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8546F5" w14:textId="77777777" w:rsidR="002E2E50" w:rsidRPr="00F24450" w:rsidRDefault="002E2E50" w:rsidP="002E2E50">
      <w:pPr>
        <w:spacing w:line="360" w:lineRule="auto"/>
        <w:jc w:val="both"/>
        <w:rPr>
          <w:rFonts w:ascii="Garamond" w:hAnsi="Garamond" w:cs="Times New Roman"/>
          <w:b/>
        </w:rPr>
      </w:pPr>
      <w:bookmarkStart w:id="0" w:name="_Toc217089262"/>
      <w:bookmarkStart w:id="1" w:name="_Hlk223260795"/>
      <w:r w:rsidRPr="00F24450">
        <w:rPr>
          <w:rFonts w:ascii="Garamond" w:hAnsi="Garamond" w:cs="Times New Roman"/>
          <w:b/>
        </w:rPr>
        <w:t xml:space="preserve">Socio-Economic Factors as Mediators of the Relationship between Climate Variability and Household Vulnerability in Korogocho and Kahawa </w:t>
      </w:r>
      <w:r>
        <w:rPr>
          <w:rFonts w:ascii="Garamond" w:hAnsi="Garamond" w:cs="Times New Roman"/>
          <w:b/>
        </w:rPr>
        <w:t>Soweto</w:t>
      </w:r>
      <w:r w:rsidRPr="00F24450">
        <w:rPr>
          <w:rFonts w:ascii="Garamond" w:hAnsi="Garamond" w:cs="Times New Roman"/>
          <w:b/>
        </w:rPr>
        <w:t xml:space="preserve"> Informal Settlements, Nairobi County, Kenya.</w:t>
      </w:r>
    </w:p>
    <w:p w14:paraId="6CBEC2D6" w14:textId="77777777" w:rsidR="002E2E50" w:rsidRDefault="002E2E50" w:rsidP="0004616D">
      <w:pPr>
        <w:spacing w:line="360" w:lineRule="auto"/>
        <w:jc w:val="both"/>
        <w:rPr>
          <w:rFonts w:ascii="Garamond" w:hAnsi="Garamond"/>
          <w:b/>
          <w:bCs/>
        </w:rPr>
      </w:pPr>
    </w:p>
    <w:p w14:paraId="771F7ADD" w14:textId="77777777" w:rsidR="002E2E50" w:rsidRDefault="002E2E50" w:rsidP="0004616D">
      <w:pPr>
        <w:spacing w:after="0" w:line="240" w:lineRule="auto"/>
        <w:jc w:val="both"/>
        <w:rPr>
          <w:rFonts w:ascii="Garamond" w:hAnsi="Garamond" w:cs="Times New Roman"/>
          <w:b/>
        </w:rPr>
      </w:pPr>
      <w:bookmarkStart w:id="2" w:name="_GoBack"/>
      <w:bookmarkEnd w:id="2"/>
    </w:p>
    <w:p w14:paraId="5D5CC7FC" w14:textId="77777777" w:rsidR="0004616D" w:rsidRDefault="0004616D" w:rsidP="0004616D">
      <w:pPr>
        <w:spacing w:after="0" w:line="240" w:lineRule="auto"/>
        <w:jc w:val="both"/>
        <w:rPr>
          <w:rFonts w:ascii="Garamond" w:hAnsi="Garamond" w:cs="Times New Roman"/>
          <w:b/>
        </w:rPr>
      </w:pPr>
    </w:p>
    <w:p w14:paraId="7022E063" w14:textId="41EC4807" w:rsidR="00EC4AE9" w:rsidRPr="00F24450" w:rsidRDefault="00EC4AE9" w:rsidP="003D1C57">
      <w:pPr>
        <w:spacing w:line="360" w:lineRule="auto"/>
        <w:jc w:val="both"/>
        <w:rPr>
          <w:rFonts w:ascii="Garamond" w:hAnsi="Garamond"/>
          <w:b/>
        </w:rPr>
      </w:pPr>
      <w:r w:rsidRPr="00F24450">
        <w:rPr>
          <w:rFonts w:ascii="Garamond" w:hAnsi="Garamond"/>
          <w:b/>
        </w:rPr>
        <w:t>Abstract</w:t>
      </w:r>
    </w:p>
    <w:p w14:paraId="05072D08" w14:textId="24B5C8F8" w:rsidR="00EC4AE9" w:rsidRPr="00F24450" w:rsidRDefault="00EC4AE9" w:rsidP="003D1C57">
      <w:pPr>
        <w:spacing w:line="360" w:lineRule="auto"/>
        <w:jc w:val="both"/>
        <w:rPr>
          <w:rFonts w:ascii="Garamond" w:hAnsi="Garamond"/>
        </w:rPr>
      </w:pPr>
      <w:r w:rsidRPr="00F24450">
        <w:rPr>
          <w:rFonts w:ascii="Garamond" w:hAnsi="Garamond"/>
        </w:rPr>
        <w:t xml:space="preserve"> Climate variability disproportionately affects households in informal urban settlements where socio-economic and infrastructural constraints intensify exposure and reduce adaptive capacity. This study examines how socio-economic factors mediate the relationship between climate variability and household vulnerability in Korogocho and Kahawa </w:t>
      </w:r>
      <w:r w:rsidR="00C128BC" w:rsidRPr="00D03D34">
        <w:rPr>
          <w:rFonts w:ascii="Garamond" w:hAnsi="Garamond" w:cs="Times New Roman"/>
          <w:bCs/>
        </w:rPr>
        <w:t>Soweto</w:t>
      </w:r>
      <w:r w:rsidRPr="00D03D34">
        <w:rPr>
          <w:rFonts w:ascii="Garamond" w:hAnsi="Garamond"/>
          <w:bCs/>
        </w:rPr>
        <w:t xml:space="preserve"> </w:t>
      </w:r>
      <w:r w:rsidRPr="00F24450">
        <w:rPr>
          <w:rFonts w:ascii="Garamond" w:hAnsi="Garamond"/>
        </w:rPr>
        <w:t>informal settlements in Nairobi County, Kenya. Using a cross-sectional survey design (N = 203), chi-square tests, multiple regression analysis, ANOVA, and paired-sample t-tests were employed to assess structural, socio-economic, and environmental determinants of vulnerability. Results indicate that lower income (β = –.42, p &lt; .01), lower educational attainment (β = –.35, p = .02), larger household size (β = .29, p = .03), and reliance on informal livelihoods (β = .38, p = .01) significantly increase household vulnerability, explaining 58% of variance (R² = .58). Housing quality, inadequate drainage</w:t>
      </w:r>
      <w:r w:rsidR="00D03D34">
        <w:rPr>
          <w:rFonts w:ascii="Garamond" w:hAnsi="Garamond"/>
        </w:rPr>
        <w:t xml:space="preserve"> systems</w:t>
      </w:r>
      <w:r w:rsidRPr="00F24450">
        <w:rPr>
          <w:rFonts w:ascii="Garamond" w:hAnsi="Garamond"/>
        </w:rPr>
        <w:t>, settlement location, proximity to hazardous sites, and limited access to resources exhibited statistically significant non-uniform distributions (p &lt; .001). A paired-sample t-test demonstrated that community-centered adaptation strategies significantly improved awareness and engagement t (202) = 14.62, p &lt; .001, d = 1.02). Findings confirm that socio-economic conditions mediate climate impacts by shaping exposure, sensitivity, and adaptive capacity. Integrated interventions combining poverty reduction, climate-resilient infrastructure, and institutional support are essential to reduce vulnerability in informal settlements.</w:t>
      </w:r>
    </w:p>
    <w:p w14:paraId="12EFA399" w14:textId="77777777" w:rsidR="00EC4AE9" w:rsidRPr="00F24450" w:rsidRDefault="00EC4AE9" w:rsidP="003D1C57">
      <w:pPr>
        <w:spacing w:line="360" w:lineRule="auto"/>
        <w:jc w:val="both"/>
        <w:rPr>
          <w:rFonts w:ascii="Garamond" w:hAnsi="Garamond"/>
          <w:b/>
        </w:rPr>
      </w:pPr>
      <w:bookmarkStart w:id="3" w:name="_Toc217089264"/>
      <w:bookmarkEnd w:id="0"/>
      <w:r w:rsidRPr="00F24450">
        <w:rPr>
          <w:rFonts w:ascii="Garamond" w:hAnsi="Garamond"/>
          <w:b/>
        </w:rPr>
        <w:t>Keywords: climate variability, socio-economic mediation, household vulnerability, informal settlements, Nairobi, adaptive capacity, urban resilience</w:t>
      </w:r>
    </w:p>
    <w:p w14:paraId="0E63F283" w14:textId="6E56EFBD" w:rsidR="00EC4AE9" w:rsidRPr="00F24450" w:rsidRDefault="00EC4AE9" w:rsidP="003D1C57">
      <w:pPr>
        <w:spacing w:line="360" w:lineRule="auto"/>
        <w:jc w:val="both"/>
        <w:rPr>
          <w:rFonts w:ascii="Garamond" w:hAnsi="Garamond"/>
          <w:b/>
        </w:rPr>
      </w:pPr>
      <w:r w:rsidRPr="00F24450">
        <w:rPr>
          <w:rFonts w:ascii="Garamond" w:hAnsi="Garamond"/>
          <w:b/>
        </w:rPr>
        <w:t xml:space="preserve"> </w:t>
      </w:r>
      <w:r w:rsidR="005C1F23">
        <w:rPr>
          <w:rFonts w:ascii="Garamond" w:hAnsi="Garamond"/>
          <w:b/>
        </w:rPr>
        <w:t>1.</w:t>
      </w:r>
      <w:r w:rsidR="000B01C8">
        <w:rPr>
          <w:rFonts w:ascii="Garamond" w:hAnsi="Garamond"/>
          <w:b/>
        </w:rPr>
        <w:t>0.</w:t>
      </w:r>
      <w:r w:rsidR="000B01C8" w:rsidRPr="00F24450">
        <w:rPr>
          <w:rFonts w:ascii="Garamond" w:hAnsi="Garamond"/>
          <w:b/>
        </w:rPr>
        <w:t xml:space="preserve"> Introduction</w:t>
      </w:r>
    </w:p>
    <w:p w14:paraId="40B03E2E" w14:textId="409CE54C" w:rsidR="00F2115B" w:rsidRPr="00F2115B" w:rsidRDefault="00EC4AE9" w:rsidP="003D1C57">
      <w:pPr>
        <w:spacing w:line="360" w:lineRule="auto"/>
        <w:jc w:val="both"/>
        <w:rPr>
          <w:rFonts w:ascii="Garamond" w:hAnsi="Garamond"/>
        </w:rPr>
      </w:pPr>
      <w:r w:rsidRPr="00F24450">
        <w:rPr>
          <w:rFonts w:ascii="Garamond" w:hAnsi="Garamond"/>
        </w:rPr>
        <w:t xml:space="preserve">Climate variability, characterized by erratic rainfall, prolonged droughts, and frequent flooding, presents significant risks to urban populations in Sub-Saharan Africa. Informal settlements are particularly vulnerable due to inadequate infrastructure, insecure tenure, and limited access to essential </w:t>
      </w:r>
      <w:r w:rsidRPr="00F24450">
        <w:rPr>
          <w:rFonts w:ascii="Garamond" w:hAnsi="Garamond"/>
        </w:rPr>
        <w:lastRenderedPageBreak/>
        <w:t xml:space="preserve">services (IPCC, 2022). In Nairobi County, Korogocho and </w:t>
      </w:r>
      <w:r w:rsidR="00D03D34">
        <w:rPr>
          <w:rFonts w:ascii="Garamond" w:hAnsi="Garamond"/>
        </w:rPr>
        <w:t xml:space="preserve">Kahawa soweto informal settlements </w:t>
      </w:r>
      <w:r w:rsidR="00D03D34" w:rsidRPr="00F24450">
        <w:rPr>
          <w:rFonts w:ascii="Garamond" w:hAnsi="Garamond"/>
        </w:rPr>
        <w:t>represent</w:t>
      </w:r>
      <w:r w:rsidRPr="00F24450">
        <w:rPr>
          <w:rFonts w:ascii="Garamond" w:hAnsi="Garamond"/>
        </w:rPr>
        <w:t xml:space="preserve"> densely populated settlements exposed to recurrent climate hazards compounded by socio-economic deprivation. Vulnerability is widely conceptualized as a function of exposure, sensitivity, and adaptive capacity (IPCC, 2022). While exposure to climate variability is spatially determined, socio-economic factors influence sensitivity and the ability to respond. Poverty, low educational attainment, informal employment, and limited institutional support constrain adaptation and amplify the impacts of climate stressors (Douglas et al., 2008; UN-Habitat, 2020). This study examines how these socio-economic variables mediate the relationship between climate variability and household vulnerability in Korogocho and </w:t>
      </w:r>
      <w:r w:rsidR="00D03D34">
        <w:rPr>
          <w:rFonts w:ascii="Garamond" w:hAnsi="Garamond"/>
        </w:rPr>
        <w:t xml:space="preserve">Kahawa </w:t>
      </w:r>
      <w:bookmarkStart w:id="4" w:name="_Toc217089265"/>
      <w:bookmarkEnd w:id="3"/>
      <w:r w:rsidR="00D03D34">
        <w:rPr>
          <w:rFonts w:ascii="Garamond" w:hAnsi="Garamond"/>
        </w:rPr>
        <w:t>Soweto</w:t>
      </w:r>
      <w:r w:rsidR="00D03D34" w:rsidRPr="00F24450">
        <w:rPr>
          <w:rFonts w:ascii="Garamond" w:hAnsi="Garamond"/>
        </w:rPr>
        <w:t>.</w:t>
      </w:r>
      <w:r w:rsidR="00D03D34" w:rsidRPr="00F2115B">
        <w:rPr>
          <w:rFonts w:ascii="Garamond" w:hAnsi="Garamond"/>
        </w:rPr>
        <w:t xml:space="preserve"> In</w:t>
      </w:r>
      <w:r w:rsidR="00F2115B" w:rsidRPr="00F2115B">
        <w:rPr>
          <w:rFonts w:ascii="Garamond" w:hAnsi="Garamond"/>
        </w:rPr>
        <w:t> </w:t>
      </w:r>
      <w:r w:rsidR="00C128BC">
        <w:rPr>
          <w:rFonts w:ascii="Garamond" w:hAnsi="Garamond"/>
        </w:rPr>
        <w:t xml:space="preserve">Kahawa </w:t>
      </w:r>
      <w:r w:rsidR="00D03D34">
        <w:rPr>
          <w:rFonts w:ascii="Garamond" w:hAnsi="Garamond"/>
        </w:rPr>
        <w:t xml:space="preserve">Soweto </w:t>
      </w:r>
      <w:r w:rsidR="00D03D34" w:rsidRPr="00F24450">
        <w:rPr>
          <w:rFonts w:ascii="Garamond" w:hAnsi="Garamond"/>
        </w:rPr>
        <w:t>and</w:t>
      </w:r>
      <w:r w:rsidR="00F2115B" w:rsidRPr="00F2115B">
        <w:rPr>
          <w:rFonts w:ascii="Garamond" w:hAnsi="Garamond"/>
        </w:rPr>
        <w:t xml:space="preserve"> Korogocho, socioeconomic factors function as powerful mediators that either amplify or mitigate the impact of climate variability on household vulnerability. </w:t>
      </w:r>
    </w:p>
    <w:p w14:paraId="444E41DA" w14:textId="4DCB1864" w:rsidR="00F2115B" w:rsidRPr="00F2115B" w:rsidRDefault="005C1F23" w:rsidP="003D1C57">
      <w:pPr>
        <w:spacing w:line="360" w:lineRule="auto"/>
        <w:jc w:val="both"/>
        <w:rPr>
          <w:rFonts w:ascii="Garamond" w:hAnsi="Garamond"/>
          <w:b/>
          <w:bCs/>
        </w:rPr>
      </w:pPr>
      <w:r>
        <w:rPr>
          <w:rFonts w:ascii="Garamond" w:hAnsi="Garamond"/>
          <w:b/>
          <w:bCs/>
        </w:rPr>
        <w:t xml:space="preserve">1.1. </w:t>
      </w:r>
      <w:r w:rsidR="00F2115B" w:rsidRPr="00F2115B">
        <w:rPr>
          <w:rFonts w:ascii="Garamond" w:hAnsi="Garamond"/>
          <w:b/>
          <w:bCs/>
        </w:rPr>
        <w:t>Income and Livelihood Stability</w:t>
      </w:r>
    </w:p>
    <w:p w14:paraId="09412B8E" w14:textId="53811EBD" w:rsidR="00F2115B" w:rsidRPr="00F2115B" w:rsidRDefault="00F2115B" w:rsidP="003D1C57">
      <w:pPr>
        <w:spacing w:line="360" w:lineRule="auto"/>
        <w:jc w:val="both"/>
        <w:rPr>
          <w:rFonts w:ascii="Garamond" w:hAnsi="Garamond"/>
        </w:rPr>
      </w:pPr>
      <w:r w:rsidRPr="00F2115B">
        <w:rPr>
          <w:rFonts w:ascii="Garamond" w:hAnsi="Garamond"/>
        </w:rPr>
        <w:t>Residents of informal settlements often operate within a "poverty-vulnerability" cycle where meager daily wages are entirely consumed by survival needs, such as food</w:t>
      </w:r>
      <w:r w:rsidR="00D03D34">
        <w:rPr>
          <w:rFonts w:ascii="Garamond" w:hAnsi="Garamond"/>
        </w:rPr>
        <w:t>, health</w:t>
      </w:r>
      <w:r w:rsidRPr="00F2115B">
        <w:rPr>
          <w:rFonts w:ascii="Garamond" w:hAnsi="Garamond"/>
        </w:rPr>
        <w:t xml:space="preserve"> and rent. This lack of financial surplus means that when climate shocks like floods or prolonged droughts occur, households cannot afford "climate-proofing" measures (e.g., reinforcing walls</w:t>
      </w:r>
      <w:r w:rsidR="00D03D34">
        <w:rPr>
          <w:rFonts w:ascii="Garamond" w:hAnsi="Garamond"/>
        </w:rPr>
        <w:t>, relocating to higher grounds</w:t>
      </w:r>
      <w:r w:rsidRPr="00F2115B">
        <w:rPr>
          <w:rFonts w:ascii="Garamond" w:hAnsi="Garamond"/>
        </w:rPr>
        <w:t xml:space="preserve"> or purchasing water storage). In Korogocho, the heavy reliance on informal, climate-sensitive labor markets means that extreme weather often leads to immediate income loss, which in severe cases culminates in famine as residents lose the ability to purchase food</w:t>
      </w:r>
      <w:r w:rsidRPr="00F24450">
        <w:rPr>
          <w:rFonts w:ascii="Garamond" w:hAnsi="Garamond"/>
        </w:rPr>
        <w:t xml:space="preserve"> (</w:t>
      </w:r>
      <w:r w:rsidRPr="00547A4F">
        <w:rPr>
          <w:rFonts w:ascii="Garamond" w:hAnsi="Garamond"/>
        </w:rPr>
        <w:t>Omedo, 2010</w:t>
      </w:r>
      <w:r w:rsidRPr="00F24450">
        <w:rPr>
          <w:rFonts w:ascii="Garamond" w:hAnsi="Garamond"/>
        </w:rPr>
        <w:t>)</w:t>
      </w:r>
      <w:r w:rsidRPr="00547A4F">
        <w:rPr>
          <w:rFonts w:ascii="Garamond" w:hAnsi="Garamond"/>
        </w:rPr>
        <w:t>.</w:t>
      </w:r>
    </w:p>
    <w:p w14:paraId="24309485" w14:textId="74D6EF44" w:rsidR="00F2115B" w:rsidRPr="00F2115B" w:rsidRDefault="005C1F23" w:rsidP="003D1C57">
      <w:pPr>
        <w:spacing w:line="360" w:lineRule="auto"/>
        <w:jc w:val="both"/>
        <w:rPr>
          <w:rFonts w:ascii="Garamond" w:hAnsi="Garamond"/>
          <w:b/>
          <w:bCs/>
        </w:rPr>
      </w:pPr>
      <w:r>
        <w:rPr>
          <w:rFonts w:ascii="Garamond" w:hAnsi="Garamond"/>
          <w:b/>
          <w:bCs/>
        </w:rPr>
        <w:t>1.</w:t>
      </w:r>
      <w:r w:rsidR="000B01C8">
        <w:rPr>
          <w:rFonts w:ascii="Garamond" w:hAnsi="Garamond"/>
          <w:b/>
          <w:bCs/>
        </w:rPr>
        <w:t>2.</w:t>
      </w:r>
      <w:r w:rsidR="000B01C8" w:rsidRPr="00F2115B">
        <w:rPr>
          <w:rFonts w:ascii="Garamond" w:hAnsi="Garamond"/>
          <w:b/>
          <w:bCs/>
        </w:rPr>
        <w:t xml:space="preserve"> Housing</w:t>
      </w:r>
      <w:r w:rsidR="00F2115B" w:rsidRPr="00F2115B">
        <w:rPr>
          <w:rFonts w:ascii="Garamond" w:hAnsi="Garamond"/>
          <w:b/>
          <w:bCs/>
        </w:rPr>
        <w:t xml:space="preserve"> Quality and Infrastructure</w:t>
      </w:r>
    </w:p>
    <w:p w14:paraId="76BE730D" w14:textId="0D369EBE" w:rsidR="00F2115B" w:rsidRPr="00F2115B" w:rsidRDefault="00F2115B" w:rsidP="003D1C57">
      <w:pPr>
        <w:spacing w:line="360" w:lineRule="auto"/>
        <w:jc w:val="both"/>
        <w:rPr>
          <w:rFonts w:ascii="Garamond" w:hAnsi="Garamond"/>
        </w:rPr>
      </w:pPr>
      <w:r w:rsidRPr="00F2115B">
        <w:rPr>
          <w:rFonts w:ascii="Garamond" w:hAnsi="Garamond"/>
        </w:rPr>
        <w:t>The physical environment in these slums significantly mediates climate risk. Houses are typically built from temporary, low-quality materials like mud, timber, or corrugated iron sheets that offer little thermal insulation during heatwaves and are easily breached by floodwaters. Because of the lack of formal land-use planning, dwellings are often situated in low-lying areas or near riparian zones</w:t>
      </w:r>
      <w:r w:rsidR="00582651">
        <w:rPr>
          <w:rFonts w:ascii="Garamond" w:hAnsi="Garamond"/>
        </w:rPr>
        <w:t xml:space="preserve"> of Nairobi river </w:t>
      </w:r>
      <w:r w:rsidR="006271DA">
        <w:rPr>
          <w:rFonts w:ascii="Garamond" w:hAnsi="Garamond"/>
        </w:rPr>
        <w:t>(Korogocho) and</w:t>
      </w:r>
      <w:r w:rsidR="00582651">
        <w:rPr>
          <w:rFonts w:ascii="Garamond" w:hAnsi="Garamond"/>
        </w:rPr>
        <w:t xml:space="preserve"> Kamiti River </w:t>
      </w:r>
      <w:r w:rsidR="006271DA">
        <w:rPr>
          <w:rFonts w:ascii="Garamond" w:hAnsi="Garamond"/>
        </w:rPr>
        <w:t>(Kahawa</w:t>
      </w:r>
      <w:r w:rsidR="00582651">
        <w:rPr>
          <w:rFonts w:ascii="Garamond" w:hAnsi="Garamond"/>
        </w:rPr>
        <w:t xml:space="preserve"> Soweto)</w:t>
      </w:r>
      <w:r w:rsidRPr="00F2115B">
        <w:rPr>
          <w:rFonts w:ascii="Garamond" w:hAnsi="Garamond"/>
        </w:rPr>
        <w:t xml:space="preserve">. During heavy rains, the absence of drainage infrastructure turns narrow alleys into fast-moving channels for sewage and waste, directly increasing household sensitivity to property damage and health </w:t>
      </w:r>
      <w:r w:rsidRPr="00F24450">
        <w:rPr>
          <w:rFonts w:ascii="Garamond" w:hAnsi="Garamond"/>
        </w:rPr>
        <w:t>hazards (World Bank, 2020).</w:t>
      </w:r>
    </w:p>
    <w:p w14:paraId="0350B788" w14:textId="48B7CBA6" w:rsidR="00F2115B" w:rsidRPr="00F2115B" w:rsidRDefault="005C1F23" w:rsidP="003D1C57">
      <w:pPr>
        <w:spacing w:line="360" w:lineRule="auto"/>
        <w:jc w:val="both"/>
        <w:rPr>
          <w:rFonts w:ascii="Garamond" w:hAnsi="Garamond"/>
          <w:b/>
          <w:bCs/>
        </w:rPr>
      </w:pPr>
      <w:r>
        <w:rPr>
          <w:rFonts w:ascii="Garamond" w:hAnsi="Garamond"/>
          <w:b/>
          <w:bCs/>
        </w:rPr>
        <w:t>1.</w:t>
      </w:r>
      <w:r w:rsidR="000B01C8">
        <w:rPr>
          <w:rFonts w:ascii="Garamond" w:hAnsi="Garamond"/>
          <w:b/>
          <w:bCs/>
        </w:rPr>
        <w:t>3.</w:t>
      </w:r>
      <w:r w:rsidR="000B01C8" w:rsidRPr="00F2115B">
        <w:rPr>
          <w:rFonts w:ascii="Garamond" w:hAnsi="Garamond"/>
          <w:b/>
          <w:bCs/>
        </w:rPr>
        <w:t xml:space="preserve"> Access</w:t>
      </w:r>
      <w:r w:rsidR="00F2115B" w:rsidRPr="00F2115B">
        <w:rPr>
          <w:rFonts w:ascii="Garamond" w:hAnsi="Garamond"/>
          <w:b/>
          <w:bCs/>
        </w:rPr>
        <w:t xml:space="preserve"> to Basic Services</w:t>
      </w:r>
    </w:p>
    <w:p w14:paraId="4A9D8EFC" w14:textId="09E631F2" w:rsidR="00F2115B" w:rsidRPr="00F2115B" w:rsidRDefault="00F2115B" w:rsidP="003D1C57">
      <w:pPr>
        <w:spacing w:line="360" w:lineRule="auto"/>
        <w:jc w:val="both"/>
        <w:rPr>
          <w:rFonts w:ascii="Garamond" w:hAnsi="Garamond"/>
        </w:rPr>
      </w:pPr>
      <w:r w:rsidRPr="00F2115B">
        <w:rPr>
          <w:rFonts w:ascii="Garamond" w:hAnsi="Garamond"/>
        </w:rPr>
        <w:lastRenderedPageBreak/>
        <w:t>Vulnerability is exacerbated by the chronic shortage of water, sanitation, and hygiene (WASH) services. In Korogocho, many residents rely on water vendors who charge "exorbitant prices" for water that is often contaminated due to illegal taps and aging, leaky pipes. Climate variability worsens this</w:t>
      </w:r>
      <w:r w:rsidR="006271DA">
        <w:rPr>
          <w:rFonts w:ascii="Garamond" w:hAnsi="Garamond"/>
        </w:rPr>
        <w:t>, where</w:t>
      </w:r>
      <w:r w:rsidRPr="00F2115B">
        <w:rPr>
          <w:rFonts w:ascii="Garamond" w:hAnsi="Garamond"/>
        </w:rPr>
        <w:t xml:space="preserve"> droughts lead to extreme water scarcity and price spikes, while floods cause pit latrines to overflow, contaminating the limited clean water supply and triggering outbreaks of cholera and diarrheal diseases</w:t>
      </w:r>
      <w:r w:rsidRPr="00F24450">
        <w:rPr>
          <w:rFonts w:ascii="Garamond" w:hAnsi="Garamond"/>
        </w:rPr>
        <w:t xml:space="preserve"> (Simiyu &amp; Mberu, 2024)</w:t>
      </w:r>
      <w:r w:rsidRPr="00F2115B">
        <w:rPr>
          <w:rFonts w:ascii="Garamond" w:hAnsi="Garamond"/>
        </w:rPr>
        <w:t>. </w:t>
      </w:r>
    </w:p>
    <w:p w14:paraId="19832455" w14:textId="6A817C7E" w:rsidR="00F2115B" w:rsidRPr="00F2115B" w:rsidRDefault="005C1F23" w:rsidP="003D1C57">
      <w:pPr>
        <w:spacing w:line="360" w:lineRule="auto"/>
        <w:jc w:val="both"/>
        <w:rPr>
          <w:rFonts w:ascii="Garamond" w:hAnsi="Garamond"/>
          <w:b/>
          <w:bCs/>
        </w:rPr>
      </w:pPr>
      <w:r>
        <w:rPr>
          <w:rFonts w:ascii="Garamond" w:hAnsi="Garamond"/>
          <w:b/>
          <w:bCs/>
        </w:rPr>
        <w:t>1.</w:t>
      </w:r>
      <w:r w:rsidR="000B01C8">
        <w:rPr>
          <w:rFonts w:ascii="Garamond" w:hAnsi="Garamond"/>
          <w:b/>
          <w:bCs/>
        </w:rPr>
        <w:t>4.</w:t>
      </w:r>
      <w:r w:rsidR="000B01C8" w:rsidRPr="00F2115B">
        <w:rPr>
          <w:rFonts w:ascii="Garamond" w:hAnsi="Garamond"/>
          <w:b/>
          <w:bCs/>
        </w:rPr>
        <w:t xml:space="preserve"> Social</w:t>
      </w:r>
      <w:r w:rsidR="006271DA">
        <w:rPr>
          <w:rFonts w:ascii="Garamond" w:hAnsi="Garamond"/>
          <w:b/>
          <w:bCs/>
        </w:rPr>
        <w:t xml:space="preserve"> capital, social</w:t>
      </w:r>
      <w:r w:rsidR="00F2115B" w:rsidRPr="00F2115B">
        <w:rPr>
          <w:rFonts w:ascii="Garamond" w:hAnsi="Garamond"/>
          <w:b/>
          <w:bCs/>
        </w:rPr>
        <w:t xml:space="preserve"> Networks and "Chamas"</w:t>
      </w:r>
    </w:p>
    <w:p w14:paraId="57157FA2" w14:textId="36377CF8" w:rsidR="00F2115B" w:rsidRDefault="00F2115B" w:rsidP="003D1C57">
      <w:pPr>
        <w:spacing w:line="360" w:lineRule="auto"/>
        <w:jc w:val="both"/>
        <w:rPr>
          <w:rFonts w:ascii="Garamond" w:hAnsi="Garamond"/>
        </w:rPr>
      </w:pPr>
      <w:r w:rsidRPr="00F2115B">
        <w:rPr>
          <w:rFonts w:ascii="Garamond" w:hAnsi="Garamond"/>
        </w:rPr>
        <w:t>Informal social structures, such as chamas (community savings groups) and welfare associations, serve as vital "adaptive capacity" tools. These networks provide emergency loans and mutual support that help households recover from climate-induced losses. However, systemic "slum upgrading" initiatives that fail to account for social cohesion can lead to displacement, which severs these networks and leaves residents more isolated and vulnerable to future shocks</w:t>
      </w:r>
      <w:r w:rsidRPr="00F24450">
        <w:rPr>
          <w:rFonts w:ascii="Garamond" w:hAnsi="Garamond"/>
        </w:rPr>
        <w:t xml:space="preserve"> (Mwanthi &amp; Macharia, 2022</w:t>
      </w:r>
      <w:r w:rsidR="00755CCF" w:rsidRPr="00F24450">
        <w:rPr>
          <w:rFonts w:ascii="Garamond" w:hAnsi="Garamond"/>
        </w:rPr>
        <w:t>)</w:t>
      </w:r>
      <w:r w:rsidRPr="00F2115B">
        <w:rPr>
          <w:rFonts w:ascii="Garamond" w:hAnsi="Garamond"/>
        </w:rPr>
        <w:t>. </w:t>
      </w:r>
    </w:p>
    <w:p w14:paraId="7BD8F3A7" w14:textId="77777777" w:rsidR="006271DA" w:rsidRPr="006271DA" w:rsidRDefault="006271DA" w:rsidP="006271DA">
      <w:pPr>
        <w:spacing w:line="360" w:lineRule="auto"/>
        <w:jc w:val="both"/>
        <w:rPr>
          <w:rFonts w:ascii="Garamond" w:hAnsi="Garamond"/>
        </w:rPr>
      </w:pPr>
      <w:r w:rsidRPr="006271DA">
        <w:rPr>
          <w:rFonts w:ascii="Garamond" w:hAnsi="Garamond"/>
        </w:rPr>
        <w:t>In informal settlements in Nairobi, social capital strengthens mediation processes by fostering trust, collective decision-making, and conflict resolution among households and community leaders. Strong social networks reduce household vulnerability by facilitating access to information, mutual aid, financial support, and shared resources during climate, economic, or social shocks. Consequently, robust social capital enhances adaptive capacity and urban resilience by enabling coordinated responses, community-based risk management, and sustained recovery in the face of recurring stresses.</w:t>
      </w:r>
    </w:p>
    <w:p w14:paraId="6ECE50E0" w14:textId="7DBF68C4" w:rsidR="00F2115B" w:rsidRPr="00F2115B" w:rsidRDefault="005C1F23" w:rsidP="003D1C57">
      <w:pPr>
        <w:spacing w:line="360" w:lineRule="auto"/>
        <w:jc w:val="both"/>
        <w:rPr>
          <w:rFonts w:ascii="Garamond" w:hAnsi="Garamond"/>
          <w:b/>
          <w:bCs/>
        </w:rPr>
      </w:pPr>
      <w:r>
        <w:rPr>
          <w:rFonts w:ascii="Garamond" w:hAnsi="Garamond"/>
          <w:b/>
          <w:bCs/>
        </w:rPr>
        <w:t xml:space="preserve">1.5. </w:t>
      </w:r>
      <w:r w:rsidR="00F2115B" w:rsidRPr="00F2115B">
        <w:rPr>
          <w:rFonts w:ascii="Garamond" w:hAnsi="Garamond"/>
          <w:b/>
          <w:bCs/>
        </w:rPr>
        <w:t>Education and Climate Literacy</w:t>
      </w:r>
    </w:p>
    <w:p w14:paraId="5D99193E" w14:textId="2D5CD0BA" w:rsidR="00755CCF" w:rsidRPr="00F2115B" w:rsidRDefault="00F2115B" w:rsidP="003D1C57">
      <w:pPr>
        <w:spacing w:line="360" w:lineRule="auto"/>
        <w:jc w:val="both"/>
        <w:rPr>
          <w:rFonts w:ascii="Garamond" w:hAnsi="Garamond"/>
        </w:rPr>
      </w:pPr>
      <w:r w:rsidRPr="00F2115B">
        <w:rPr>
          <w:rFonts w:ascii="Garamond" w:hAnsi="Garamond"/>
        </w:rPr>
        <w:t>Education is a strong predictor of a household's ability to adapt. In Korogocho, community-led initiatives like the "Future Yetu" project have significantly boosted climate literacy, teaching residents how to navigate disaster risk. Research indicates that approximately 43% of residents in such programs credit their mitigation strategies</w:t>
      </w:r>
      <w:r w:rsidR="00F24450">
        <w:rPr>
          <w:rFonts w:ascii="Garamond" w:hAnsi="Garamond"/>
        </w:rPr>
        <w:t xml:space="preserve"> </w:t>
      </w:r>
      <w:r w:rsidRPr="00F2115B">
        <w:rPr>
          <w:rFonts w:ascii="Garamond" w:hAnsi="Garamond"/>
        </w:rPr>
        <w:t>like rooftop gardening or raised walkways</w:t>
      </w:r>
      <w:r w:rsidR="00F24450">
        <w:rPr>
          <w:rFonts w:ascii="Garamond" w:hAnsi="Garamond"/>
        </w:rPr>
        <w:t xml:space="preserve"> </w:t>
      </w:r>
      <w:r w:rsidRPr="00F2115B">
        <w:rPr>
          <w:rFonts w:ascii="Garamond" w:hAnsi="Garamond"/>
        </w:rPr>
        <w:t>directly to this increased awareness. Without this literacy, residents often lack the knowledge to prepare for or respond to the increasingly erratic weather patterns</w:t>
      </w:r>
      <w:r w:rsidR="00755CCF" w:rsidRPr="00F24450">
        <w:rPr>
          <w:rFonts w:ascii="Garamond" w:hAnsi="Garamond"/>
        </w:rPr>
        <w:t xml:space="preserve"> (Mwanthi &amp; Macharia, 2022)</w:t>
      </w:r>
      <w:r w:rsidR="00755CCF" w:rsidRPr="00F2115B">
        <w:rPr>
          <w:rFonts w:ascii="Garamond" w:hAnsi="Garamond"/>
        </w:rPr>
        <w:t>. </w:t>
      </w:r>
    </w:p>
    <w:p w14:paraId="64392CC0" w14:textId="640D0C23" w:rsidR="00F2115B" w:rsidRPr="00F2115B" w:rsidRDefault="005C1F23" w:rsidP="003D1C57">
      <w:pPr>
        <w:spacing w:line="360" w:lineRule="auto"/>
        <w:jc w:val="both"/>
        <w:rPr>
          <w:rFonts w:ascii="Garamond" w:hAnsi="Garamond"/>
          <w:b/>
          <w:bCs/>
        </w:rPr>
      </w:pPr>
      <w:r>
        <w:rPr>
          <w:rFonts w:ascii="Garamond" w:hAnsi="Garamond"/>
          <w:b/>
          <w:bCs/>
        </w:rPr>
        <w:t>1.</w:t>
      </w:r>
      <w:r w:rsidR="000B01C8">
        <w:rPr>
          <w:rFonts w:ascii="Garamond" w:hAnsi="Garamond"/>
          <w:b/>
          <w:bCs/>
        </w:rPr>
        <w:t>6.</w:t>
      </w:r>
      <w:r w:rsidR="000B01C8" w:rsidRPr="00F2115B">
        <w:rPr>
          <w:rFonts w:ascii="Garamond" w:hAnsi="Garamond"/>
          <w:b/>
          <w:bCs/>
        </w:rPr>
        <w:t xml:space="preserve"> Gender</w:t>
      </w:r>
      <w:r w:rsidR="00F2115B" w:rsidRPr="00F2115B">
        <w:rPr>
          <w:rFonts w:ascii="Garamond" w:hAnsi="Garamond"/>
          <w:b/>
          <w:bCs/>
        </w:rPr>
        <w:t xml:space="preserve"> Dynamics</w:t>
      </w:r>
    </w:p>
    <w:p w14:paraId="0076B991" w14:textId="508D3921" w:rsidR="00F2115B" w:rsidRDefault="00F2115B" w:rsidP="003D1C57">
      <w:pPr>
        <w:spacing w:line="360" w:lineRule="auto"/>
        <w:jc w:val="both"/>
        <w:rPr>
          <w:rFonts w:ascii="Garamond" w:hAnsi="Garamond"/>
        </w:rPr>
      </w:pPr>
      <w:r w:rsidRPr="00F2115B">
        <w:rPr>
          <w:rFonts w:ascii="Garamond" w:hAnsi="Garamond"/>
        </w:rPr>
        <w:t xml:space="preserve">Climate change is not gender-neutral in informal settlements. Women and children typically face the highest health risks because they spend more time in substandard housing and are often responsible </w:t>
      </w:r>
      <w:r w:rsidRPr="00F2115B">
        <w:rPr>
          <w:rFonts w:ascii="Garamond" w:hAnsi="Garamond"/>
        </w:rPr>
        <w:lastRenderedPageBreak/>
        <w:t>for securing water when supplies are disrupted. In </w:t>
      </w:r>
      <w:r w:rsidR="00C128BC">
        <w:rPr>
          <w:rFonts w:ascii="Garamond" w:hAnsi="Garamond"/>
        </w:rPr>
        <w:t xml:space="preserve">Kahawa </w:t>
      </w:r>
      <w:r w:rsidR="005F770B">
        <w:rPr>
          <w:rFonts w:ascii="Garamond" w:hAnsi="Garamond"/>
        </w:rPr>
        <w:t>Soweto,</w:t>
      </w:r>
      <w:r w:rsidRPr="00F2115B">
        <w:rPr>
          <w:rFonts w:ascii="Garamond" w:hAnsi="Garamond"/>
        </w:rPr>
        <w:t xml:space="preserve"> while women's groups are active in grassroots adaptation, they frequently remain excluded from formal urban planning and decision-making, which limits the effectiveness of broader resilience strategies</w:t>
      </w:r>
      <w:r w:rsidR="00755CCF" w:rsidRPr="00F24450">
        <w:rPr>
          <w:rFonts w:ascii="Garamond" w:hAnsi="Garamond"/>
        </w:rPr>
        <w:t xml:space="preserve"> (World Bank, 2020).</w:t>
      </w:r>
      <w:r w:rsidRPr="00F2115B">
        <w:rPr>
          <w:rFonts w:ascii="Garamond" w:hAnsi="Garamond"/>
        </w:rPr>
        <w:t> </w:t>
      </w:r>
      <w:r w:rsidR="005F770B">
        <w:rPr>
          <w:rFonts w:ascii="Garamond" w:hAnsi="Garamond"/>
        </w:rPr>
        <w:t xml:space="preserve">(Table 1) summarizes the vulnerability drivers. </w:t>
      </w:r>
    </w:p>
    <w:p w14:paraId="5742389E" w14:textId="71BEB38A" w:rsidR="00531874" w:rsidRPr="00531874" w:rsidRDefault="00755CCF" w:rsidP="003D1C57">
      <w:pPr>
        <w:pStyle w:val="NormalWeb"/>
        <w:spacing w:line="360" w:lineRule="auto"/>
        <w:jc w:val="both"/>
        <w:rPr>
          <w:rFonts w:ascii="Garamond" w:hAnsi="Garamond"/>
          <w:b/>
          <w:bCs/>
        </w:rPr>
      </w:pPr>
      <w:r w:rsidRPr="00F24450">
        <w:rPr>
          <w:rFonts w:ascii="Garamond" w:hAnsi="Garamond"/>
          <w:b/>
          <w:bCs/>
        </w:rPr>
        <w:t xml:space="preserve">Table 1: </w:t>
      </w:r>
      <w:r w:rsidR="00531874" w:rsidRPr="00531874">
        <w:rPr>
          <w:rFonts w:ascii="Garamond" w:hAnsi="Garamond"/>
          <w:b/>
          <w:bCs/>
        </w:rPr>
        <w:t>Summary of Vulnerability Drivers</w:t>
      </w:r>
    </w:p>
    <w:tbl>
      <w:tblPr>
        <w:tblW w:w="9780" w:type="dxa"/>
        <w:tblCellMar>
          <w:top w:w="15" w:type="dxa"/>
          <w:left w:w="15" w:type="dxa"/>
          <w:bottom w:w="15" w:type="dxa"/>
          <w:right w:w="15" w:type="dxa"/>
        </w:tblCellMar>
        <w:tblLook w:val="04A0" w:firstRow="1" w:lastRow="0" w:firstColumn="1" w:lastColumn="0" w:noHBand="0" w:noVBand="1"/>
      </w:tblPr>
      <w:tblGrid>
        <w:gridCol w:w="2262"/>
        <w:gridCol w:w="7518"/>
      </w:tblGrid>
      <w:tr w:rsidR="00531874" w:rsidRPr="004E0A1E" w14:paraId="34A0CEB8" w14:textId="77777777" w:rsidTr="00755CCF">
        <w:tc>
          <w:tcPr>
            <w:tcW w:w="0" w:type="auto"/>
            <w:tcBorders>
              <w:top w:val="single" w:sz="4" w:space="0" w:color="auto"/>
              <w:bottom w:val="single" w:sz="4" w:space="0" w:color="auto"/>
            </w:tcBorders>
            <w:tcMar>
              <w:top w:w="120" w:type="dxa"/>
              <w:left w:w="0" w:type="dxa"/>
              <w:bottom w:w="120" w:type="dxa"/>
              <w:right w:w="240" w:type="dxa"/>
            </w:tcMar>
            <w:hideMark/>
          </w:tcPr>
          <w:p w14:paraId="2282F951" w14:textId="77777777" w:rsidR="00531874" w:rsidRPr="004E0A1E" w:rsidRDefault="00531874" w:rsidP="004E0A1E">
            <w:pPr>
              <w:pStyle w:val="NormalWeb"/>
              <w:jc w:val="both"/>
              <w:rPr>
                <w:rFonts w:ascii="Garamond" w:hAnsi="Garamond"/>
                <w:b/>
                <w:bCs/>
              </w:rPr>
            </w:pPr>
            <w:r w:rsidRPr="004E0A1E">
              <w:rPr>
                <w:rFonts w:ascii="Garamond" w:hAnsi="Garamond"/>
                <w:b/>
                <w:bCs/>
              </w:rPr>
              <w:t>Factor </w:t>
            </w:r>
          </w:p>
        </w:tc>
        <w:tc>
          <w:tcPr>
            <w:tcW w:w="0" w:type="auto"/>
            <w:tcBorders>
              <w:top w:val="single" w:sz="4" w:space="0" w:color="auto"/>
              <w:bottom w:val="single" w:sz="4" w:space="0" w:color="auto"/>
            </w:tcBorders>
            <w:tcMar>
              <w:top w:w="120" w:type="dxa"/>
              <w:left w:w="0" w:type="dxa"/>
              <w:bottom w:w="120" w:type="dxa"/>
              <w:right w:w="0" w:type="dxa"/>
            </w:tcMar>
            <w:hideMark/>
          </w:tcPr>
          <w:p w14:paraId="15A34BD4" w14:textId="77777777" w:rsidR="00531874" w:rsidRPr="004E0A1E" w:rsidRDefault="00531874" w:rsidP="004E0A1E">
            <w:pPr>
              <w:pStyle w:val="NormalWeb"/>
              <w:jc w:val="center"/>
              <w:rPr>
                <w:rFonts w:ascii="Garamond" w:hAnsi="Garamond"/>
                <w:b/>
                <w:bCs/>
              </w:rPr>
            </w:pPr>
            <w:r w:rsidRPr="004E0A1E">
              <w:rPr>
                <w:rFonts w:ascii="Garamond" w:hAnsi="Garamond"/>
                <w:b/>
                <w:bCs/>
              </w:rPr>
              <w:t>Impact on Climate Vulnerability</w:t>
            </w:r>
          </w:p>
        </w:tc>
      </w:tr>
      <w:tr w:rsidR="00531874" w:rsidRPr="004E0A1E" w14:paraId="0FEE5FEC" w14:textId="77777777" w:rsidTr="00755CCF">
        <w:tc>
          <w:tcPr>
            <w:tcW w:w="0" w:type="auto"/>
            <w:tcBorders>
              <w:top w:val="single" w:sz="4" w:space="0" w:color="auto"/>
              <w:bottom w:val="single" w:sz="6" w:space="0" w:color="DCDFE5"/>
            </w:tcBorders>
            <w:tcMar>
              <w:top w:w="180" w:type="dxa"/>
              <w:left w:w="0" w:type="dxa"/>
              <w:bottom w:w="180" w:type="dxa"/>
              <w:right w:w="240" w:type="dxa"/>
            </w:tcMar>
            <w:hideMark/>
          </w:tcPr>
          <w:p w14:paraId="1827465B" w14:textId="77777777" w:rsidR="00531874" w:rsidRPr="004E0A1E" w:rsidRDefault="00531874" w:rsidP="004E0A1E">
            <w:pPr>
              <w:spacing w:line="240" w:lineRule="auto"/>
              <w:jc w:val="both"/>
              <w:rPr>
                <w:rFonts w:ascii="Garamond" w:hAnsi="Garamond"/>
              </w:rPr>
            </w:pPr>
            <w:r w:rsidRPr="004E0A1E">
              <w:rPr>
                <w:rFonts w:ascii="Garamond" w:hAnsi="Garamond"/>
              </w:rPr>
              <w:t>Poverty</w:t>
            </w:r>
          </w:p>
        </w:tc>
        <w:tc>
          <w:tcPr>
            <w:tcW w:w="0" w:type="auto"/>
            <w:tcBorders>
              <w:top w:val="single" w:sz="4" w:space="0" w:color="auto"/>
              <w:bottom w:val="single" w:sz="6" w:space="0" w:color="DCDFE5"/>
            </w:tcBorders>
            <w:tcMar>
              <w:top w:w="180" w:type="dxa"/>
              <w:left w:w="0" w:type="dxa"/>
              <w:bottom w:w="180" w:type="dxa"/>
              <w:right w:w="0" w:type="dxa"/>
            </w:tcMar>
            <w:hideMark/>
          </w:tcPr>
          <w:p w14:paraId="35C2DEE9" w14:textId="77777777" w:rsidR="00531874" w:rsidRPr="004E0A1E" w:rsidRDefault="00531874" w:rsidP="004E0A1E">
            <w:pPr>
              <w:spacing w:line="240" w:lineRule="auto"/>
              <w:jc w:val="both"/>
              <w:rPr>
                <w:rFonts w:ascii="Garamond" w:hAnsi="Garamond"/>
              </w:rPr>
            </w:pPr>
            <w:r w:rsidRPr="004E0A1E">
              <w:rPr>
                <w:rFonts w:ascii="Garamond" w:hAnsi="Garamond"/>
              </w:rPr>
              <w:t>Limits adaptive capacity and forces residents into hazardous locations (e.g., near rivers/dumpsites).</w:t>
            </w:r>
          </w:p>
        </w:tc>
      </w:tr>
      <w:tr w:rsidR="00531874" w:rsidRPr="004E0A1E" w14:paraId="2C32036F" w14:textId="77777777" w:rsidTr="00755CCF">
        <w:tc>
          <w:tcPr>
            <w:tcW w:w="0" w:type="auto"/>
            <w:tcBorders>
              <w:bottom w:val="single" w:sz="6" w:space="0" w:color="DCDFE5"/>
            </w:tcBorders>
            <w:tcMar>
              <w:top w:w="180" w:type="dxa"/>
              <w:left w:w="0" w:type="dxa"/>
              <w:bottom w:w="180" w:type="dxa"/>
              <w:right w:w="240" w:type="dxa"/>
            </w:tcMar>
            <w:hideMark/>
          </w:tcPr>
          <w:p w14:paraId="46E29AF4" w14:textId="77777777" w:rsidR="00531874" w:rsidRPr="004E0A1E" w:rsidRDefault="00531874" w:rsidP="004E0A1E">
            <w:pPr>
              <w:spacing w:line="240" w:lineRule="auto"/>
              <w:rPr>
                <w:rFonts w:ascii="Garamond" w:hAnsi="Garamond"/>
              </w:rPr>
            </w:pPr>
            <w:r w:rsidRPr="004E0A1E">
              <w:rPr>
                <w:rFonts w:ascii="Garamond" w:hAnsi="Garamond"/>
              </w:rPr>
              <w:t>High Population Density</w:t>
            </w:r>
          </w:p>
        </w:tc>
        <w:tc>
          <w:tcPr>
            <w:tcW w:w="0" w:type="auto"/>
            <w:tcBorders>
              <w:bottom w:val="single" w:sz="6" w:space="0" w:color="DCDFE5"/>
            </w:tcBorders>
            <w:tcMar>
              <w:top w:w="180" w:type="dxa"/>
              <w:left w:w="0" w:type="dxa"/>
              <w:bottom w:w="180" w:type="dxa"/>
              <w:right w:w="0" w:type="dxa"/>
            </w:tcMar>
            <w:hideMark/>
          </w:tcPr>
          <w:p w14:paraId="7E5F61A5" w14:textId="77777777" w:rsidR="00531874" w:rsidRPr="004E0A1E" w:rsidRDefault="00531874" w:rsidP="004E0A1E">
            <w:pPr>
              <w:spacing w:line="240" w:lineRule="auto"/>
              <w:jc w:val="both"/>
              <w:rPr>
                <w:rFonts w:ascii="Garamond" w:hAnsi="Garamond"/>
              </w:rPr>
            </w:pPr>
            <w:r w:rsidRPr="004E0A1E">
              <w:rPr>
                <w:rFonts w:ascii="Garamond" w:hAnsi="Garamond"/>
              </w:rPr>
              <w:t>Increases heat-island effects and complicates emergency response during disasters like fires or floods.</w:t>
            </w:r>
          </w:p>
        </w:tc>
      </w:tr>
      <w:tr w:rsidR="00531874" w:rsidRPr="004E0A1E" w14:paraId="36E4C278" w14:textId="77777777" w:rsidTr="00755CCF">
        <w:tc>
          <w:tcPr>
            <w:tcW w:w="0" w:type="auto"/>
            <w:tcBorders>
              <w:top w:val="single" w:sz="6" w:space="0" w:color="DCDFE5"/>
              <w:bottom w:val="single" w:sz="4" w:space="0" w:color="auto"/>
            </w:tcBorders>
            <w:tcMar>
              <w:top w:w="180" w:type="dxa"/>
              <w:left w:w="0" w:type="dxa"/>
              <w:bottom w:w="180" w:type="dxa"/>
              <w:right w:w="240" w:type="dxa"/>
            </w:tcMar>
            <w:hideMark/>
          </w:tcPr>
          <w:p w14:paraId="15BA82FB" w14:textId="77777777" w:rsidR="00531874" w:rsidRPr="004E0A1E" w:rsidRDefault="00531874" w:rsidP="004E0A1E">
            <w:pPr>
              <w:spacing w:line="240" w:lineRule="auto"/>
              <w:jc w:val="both"/>
              <w:rPr>
                <w:rFonts w:ascii="Garamond" w:hAnsi="Garamond"/>
              </w:rPr>
            </w:pPr>
            <w:r w:rsidRPr="004E0A1E">
              <w:rPr>
                <w:rFonts w:ascii="Garamond" w:hAnsi="Garamond"/>
              </w:rPr>
              <w:t>Political Marginalization</w:t>
            </w:r>
          </w:p>
        </w:tc>
        <w:tc>
          <w:tcPr>
            <w:tcW w:w="0" w:type="auto"/>
            <w:tcBorders>
              <w:top w:val="single" w:sz="6" w:space="0" w:color="DCDFE5"/>
              <w:bottom w:val="single" w:sz="4" w:space="0" w:color="auto"/>
            </w:tcBorders>
            <w:tcMar>
              <w:top w:w="180" w:type="dxa"/>
              <w:left w:w="0" w:type="dxa"/>
              <w:bottom w:w="180" w:type="dxa"/>
              <w:right w:w="0" w:type="dxa"/>
            </w:tcMar>
            <w:hideMark/>
          </w:tcPr>
          <w:p w14:paraId="2F3F9FDE" w14:textId="77777777" w:rsidR="00531874" w:rsidRPr="004E0A1E" w:rsidRDefault="00531874" w:rsidP="004E0A1E">
            <w:pPr>
              <w:spacing w:line="240" w:lineRule="auto"/>
              <w:jc w:val="both"/>
              <w:rPr>
                <w:rFonts w:ascii="Garamond" w:hAnsi="Garamond"/>
              </w:rPr>
            </w:pPr>
            <w:r w:rsidRPr="004E0A1E">
              <w:rPr>
                <w:rFonts w:ascii="Garamond" w:hAnsi="Garamond"/>
              </w:rPr>
              <w:t>Leads to neglect in urban planning and disaster risk management, leaving residents without early warning systems.</w:t>
            </w:r>
          </w:p>
        </w:tc>
      </w:tr>
    </w:tbl>
    <w:p w14:paraId="5918390D" w14:textId="77777777" w:rsidR="003724CC" w:rsidRDefault="003724CC" w:rsidP="003724CC">
      <w:pPr>
        <w:jc w:val="both"/>
        <w:rPr>
          <w:rFonts w:ascii="Times New Roman" w:hAnsi="Times New Roman" w:cs="Times New Roman"/>
          <w:b/>
          <w:bCs/>
          <w:color w:val="EE0000"/>
        </w:rPr>
      </w:pPr>
    </w:p>
    <w:p w14:paraId="3773E386" w14:textId="77777777" w:rsidR="004E0A1E" w:rsidRDefault="004E0A1E" w:rsidP="003724CC">
      <w:pPr>
        <w:jc w:val="both"/>
        <w:rPr>
          <w:rFonts w:ascii="Times New Roman" w:hAnsi="Times New Roman" w:cs="Times New Roman"/>
          <w:b/>
          <w:bCs/>
          <w:color w:val="EE0000"/>
        </w:rPr>
      </w:pPr>
    </w:p>
    <w:p w14:paraId="11518CE1" w14:textId="7BDB7C68" w:rsidR="003724CC" w:rsidRDefault="005F770B" w:rsidP="003724CC">
      <w:pPr>
        <w:jc w:val="both"/>
        <w:rPr>
          <w:rFonts w:ascii="Times New Roman" w:hAnsi="Times New Roman" w:cs="Times New Roman"/>
          <w:b/>
          <w:bCs/>
          <w:color w:val="EE0000"/>
        </w:rPr>
      </w:pPr>
      <w:r w:rsidRPr="005F770B">
        <w:rPr>
          <w:rFonts w:ascii="Times New Roman" w:hAnsi="Times New Roman" w:cs="Times New Roman"/>
          <w:b/>
          <w:bCs/>
          <w:noProof/>
          <w:color w:val="EE0000"/>
        </w:rPr>
        <w:drawing>
          <wp:inline distT="0" distB="0" distL="0" distR="0" wp14:anchorId="2E40AD73" wp14:editId="48F9236D">
            <wp:extent cx="5943600" cy="3200400"/>
            <wp:effectExtent l="19050" t="19050" r="19050" b="19050"/>
            <wp:docPr id="2132395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95215" name=""/>
                    <pic:cNvPicPr/>
                  </pic:nvPicPr>
                  <pic:blipFill>
                    <a:blip r:embed="rId8"/>
                    <a:stretch>
                      <a:fillRect/>
                    </a:stretch>
                  </pic:blipFill>
                  <pic:spPr>
                    <a:xfrm>
                      <a:off x="0" y="0"/>
                      <a:ext cx="5943600" cy="3200400"/>
                    </a:xfrm>
                    <a:prstGeom prst="rect">
                      <a:avLst/>
                    </a:prstGeom>
                    <a:ln w="19050">
                      <a:solidFill>
                        <a:schemeClr val="tx1"/>
                      </a:solidFill>
                    </a:ln>
                  </pic:spPr>
                </pic:pic>
              </a:graphicData>
            </a:graphic>
          </wp:inline>
        </w:drawing>
      </w:r>
    </w:p>
    <w:p w14:paraId="71DF197A" w14:textId="7B1D82B6" w:rsidR="003724CC" w:rsidRPr="009B3206" w:rsidRDefault="003724CC" w:rsidP="003724CC">
      <w:pPr>
        <w:jc w:val="both"/>
        <w:rPr>
          <w:rFonts w:ascii="Garamond" w:hAnsi="Garamond" w:cs="Times New Roman"/>
          <w:color w:val="000000" w:themeColor="text1"/>
        </w:rPr>
      </w:pPr>
      <w:r w:rsidRPr="009B3206">
        <w:rPr>
          <w:rFonts w:ascii="Garamond" w:hAnsi="Garamond" w:cs="Times New Roman"/>
          <w:color w:val="000000" w:themeColor="text1"/>
        </w:rPr>
        <w:t xml:space="preserve">                                    </w:t>
      </w:r>
    </w:p>
    <w:p w14:paraId="7F940A71" w14:textId="1A457664" w:rsidR="003724CC" w:rsidRPr="005F770B" w:rsidRDefault="005F770B" w:rsidP="003724CC">
      <w:pPr>
        <w:jc w:val="both"/>
        <w:rPr>
          <w:rFonts w:ascii="Times New Roman" w:hAnsi="Times New Roman" w:cs="Times New Roman"/>
          <w:b/>
          <w:bCs/>
          <w:color w:val="000000" w:themeColor="text1"/>
        </w:rPr>
      </w:pPr>
      <w:r>
        <w:rPr>
          <w:rFonts w:ascii="Times New Roman" w:hAnsi="Times New Roman" w:cs="Times New Roman"/>
          <w:b/>
          <w:bCs/>
          <w:color w:val="000000" w:themeColor="text1"/>
        </w:rPr>
        <w:lastRenderedPageBreak/>
        <w:t>F</w:t>
      </w:r>
      <w:r w:rsidRPr="005F770B">
        <w:rPr>
          <w:rFonts w:ascii="Times New Roman" w:hAnsi="Times New Roman" w:cs="Times New Roman"/>
          <w:b/>
          <w:bCs/>
          <w:color w:val="000000" w:themeColor="text1"/>
        </w:rPr>
        <w:t>igure 1. Statistical results of Socioeconomic Mediators</w:t>
      </w:r>
    </w:p>
    <w:bookmarkEnd w:id="1"/>
    <w:p w14:paraId="5C16FF0F" w14:textId="77777777" w:rsidR="005F770B" w:rsidRDefault="005F770B" w:rsidP="003D1C57">
      <w:pPr>
        <w:spacing w:line="360" w:lineRule="auto"/>
        <w:jc w:val="both"/>
        <w:rPr>
          <w:rFonts w:ascii="Garamond" w:hAnsi="Garamond"/>
          <w:b/>
        </w:rPr>
      </w:pPr>
    </w:p>
    <w:p w14:paraId="37618BA2" w14:textId="77777777" w:rsidR="005F770B" w:rsidRDefault="005F770B" w:rsidP="003D1C57">
      <w:pPr>
        <w:spacing w:line="360" w:lineRule="auto"/>
        <w:jc w:val="both"/>
        <w:rPr>
          <w:rFonts w:ascii="Garamond" w:hAnsi="Garamond"/>
          <w:b/>
        </w:rPr>
      </w:pPr>
    </w:p>
    <w:p w14:paraId="180ACC1A" w14:textId="31D6D0EC" w:rsidR="00F42296" w:rsidRDefault="00F42296" w:rsidP="003D1C57">
      <w:pPr>
        <w:spacing w:line="360" w:lineRule="auto"/>
        <w:jc w:val="both"/>
        <w:rPr>
          <w:rFonts w:ascii="Garamond" w:hAnsi="Garamond"/>
          <w:b/>
        </w:rPr>
      </w:pPr>
      <w:r>
        <w:rPr>
          <w:rFonts w:ascii="Garamond" w:hAnsi="Garamond"/>
          <w:b/>
        </w:rPr>
        <w:t>2.</w:t>
      </w:r>
      <w:r w:rsidR="005C1F23">
        <w:rPr>
          <w:rFonts w:ascii="Garamond" w:hAnsi="Garamond"/>
          <w:b/>
        </w:rPr>
        <w:t>0. Literature</w:t>
      </w:r>
      <w:r>
        <w:rPr>
          <w:rFonts w:ascii="Garamond" w:hAnsi="Garamond"/>
          <w:b/>
        </w:rPr>
        <w:t xml:space="preserve"> review </w:t>
      </w:r>
    </w:p>
    <w:p w14:paraId="3B74F0E8" w14:textId="0267D537" w:rsidR="009F491C" w:rsidRPr="00F24450" w:rsidRDefault="005C1F23" w:rsidP="003D1C57">
      <w:pPr>
        <w:spacing w:line="360" w:lineRule="auto"/>
        <w:jc w:val="both"/>
        <w:rPr>
          <w:rFonts w:ascii="Garamond" w:hAnsi="Garamond"/>
          <w:b/>
        </w:rPr>
      </w:pPr>
      <w:r>
        <w:rPr>
          <w:rFonts w:ascii="Garamond" w:hAnsi="Garamond"/>
          <w:b/>
        </w:rPr>
        <w:t>2.</w:t>
      </w:r>
      <w:r w:rsidR="000B01C8">
        <w:rPr>
          <w:rFonts w:ascii="Garamond" w:hAnsi="Garamond"/>
          <w:b/>
        </w:rPr>
        <w:t>1.</w:t>
      </w:r>
      <w:r w:rsidR="000B01C8" w:rsidRPr="00F24450">
        <w:rPr>
          <w:rFonts w:ascii="Garamond" w:hAnsi="Garamond"/>
          <w:b/>
        </w:rPr>
        <w:t xml:space="preserve"> Socioeconomic</w:t>
      </w:r>
      <w:r w:rsidR="009F491C" w:rsidRPr="00F24450">
        <w:rPr>
          <w:rFonts w:ascii="Garamond" w:hAnsi="Garamond"/>
          <w:b/>
        </w:rPr>
        <w:t xml:space="preserve"> Factors Mediating Climate Variability and Vulnerability</w:t>
      </w:r>
    </w:p>
    <w:p w14:paraId="104AC32F" w14:textId="77777777" w:rsidR="009F491C" w:rsidRPr="00F24450" w:rsidRDefault="009F491C" w:rsidP="003D1C57">
      <w:pPr>
        <w:spacing w:line="360" w:lineRule="auto"/>
        <w:jc w:val="both"/>
        <w:rPr>
          <w:rFonts w:ascii="Garamond" w:hAnsi="Garamond" w:cs="Times New Roman"/>
        </w:rPr>
      </w:pPr>
      <w:r w:rsidRPr="00F24450">
        <w:rPr>
          <w:rFonts w:ascii="Garamond" w:hAnsi="Garamond" w:cs="Times New Roman"/>
        </w:rPr>
        <w:t xml:space="preserve">Global reviews demonstrate that informal settlements are disproportionately vulnerable to climate hazards due to poverty, poor housing, lack of services, inadequate infrastructure, and insecure tenure (Hussainzad &amp; Zhonghua, 2024; GCA, 2022). These socioeconomic characteristics mediate how climate variability translates into household-level vulnerability. Empirical evidence from Nairobi confirms that poverty, inadequate housing, and limited access to services significantly intensify the impacts of climate shocks (Balakrishnan et al., 2024). Health-focused studies in Mukuru further show that climate-related health risks are closely linked to socioeconomic and locational factors such as proximity to flood-prone areas and long-term residence in informal settlements (Andersen et al., 2024). </w:t>
      </w:r>
    </w:p>
    <w:p w14:paraId="1F2E9FD1" w14:textId="77777777" w:rsidR="009F491C" w:rsidRPr="00F24450" w:rsidRDefault="009F491C" w:rsidP="003D1C57">
      <w:pPr>
        <w:spacing w:line="360" w:lineRule="auto"/>
        <w:jc w:val="both"/>
        <w:rPr>
          <w:rFonts w:ascii="Garamond" w:hAnsi="Garamond" w:cs="Times New Roman"/>
        </w:rPr>
      </w:pPr>
      <w:r w:rsidRPr="00F24450">
        <w:rPr>
          <w:rFonts w:ascii="Garamond" w:hAnsi="Garamond" w:cs="Times New Roman"/>
        </w:rPr>
        <w:t>Another recent study, by Andersen et al., (2024) on climate change and health risks in Mukuru informal settlement in Nairobi, Kenya knowledge, attitudes and practices among residents (2023), shows that many residents are aware of climate change and its health risks. It links health vulnerabilities (respiratory diseases, water-borne diseases, vector-borne diseases, and under nutrition) to environmental stressors aggravated by climate (heat waves, floods, droughts). However, the study also found that socio-economic and locational factors e.g. living close to riverside, long-term residence in the settlement were significantly associated with higher perception of climate change impact and health risk. Qualitative research among community leaders and health workers in the same settlement (Mukuru) found that they perceive economic risk factors (poverty, water and food insecurity, insufficient housing, and lack of infrastructure) as critical in mediating climate impacts on health. A global synthesis of studies on informal settlements consistently identifies low income, poor housing quality, inadequate infrastructure, and insecure tenure as key amplifiers of climate vulnerability (IJRISS, 2025).</w:t>
      </w:r>
    </w:p>
    <w:p w14:paraId="5AB5E22D" w14:textId="77777777" w:rsidR="009F491C" w:rsidRPr="00F24450" w:rsidRDefault="009F491C" w:rsidP="003D1C57">
      <w:pPr>
        <w:spacing w:line="360" w:lineRule="auto"/>
        <w:jc w:val="both"/>
        <w:rPr>
          <w:rFonts w:ascii="Garamond" w:hAnsi="Garamond" w:cs="Times New Roman"/>
        </w:rPr>
      </w:pPr>
      <w:r w:rsidRPr="00F24450">
        <w:rPr>
          <w:rFonts w:ascii="Garamond" w:hAnsi="Garamond" w:cs="Times New Roman"/>
        </w:rPr>
        <w:t xml:space="preserve">Studies across the Global South indicate that education, gender, age, and income significantly influence households’ vulnerability and adaptive capacity to climate change (Jimoh et al., 2021). In Nairobi’s </w:t>
      </w:r>
      <w:r w:rsidRPr="00F24450">
        <w:rPr>
          <w:rFonts w:ascii="Garamond" w:hAnsi="Garamond" w:cs="Times New Roman"/>
        </w:rPr>
        <w:lastRenderedPageBreak/>
        <w:t>informal settlements, community-based adaptation efforts demonstrate local agency but remain limited by structural poverty and lack of external support (Muchiri &amp; Opiyo, 2022).</w:t>
      </w:r>
    </w:p>
    <w:p w14:paraId="0EB2BC9B" w14:textId="76E450D9" w:rsidR="009F491C" w:rsidRPr="00F24450" w:rsidRDefault="005C1F23" w:rsidP="003D1C57">
      <w:pPr>
        <w:spacing w:line="360" w:lineRule="auto"/>
        <w:jc w:val="both"/>
        <w:rPr>
          <w:rFonts w:ascii="Garamond" w:hAnsi="Garamond"/>
          <w:b/>
        </w:rPr>
      </w:pPr>
      <w:r>
        <w:rPr>
          <w:rFonts w:ascii="Garamond" w:hAnsi="Garamond"/>
          <w:b/>
        </w:rPr>
        <w:t>2.</w:t>
      </w:r>
      <w:proofErr w:type="gramStart"/>
      <w:r>
        <w:rPr>
          <w:rFonts w:ascii="Garamond" w:hAnsi="Garamond"/>
          <w:b/>
        </w:rPr>
        <w:t>2.</w:t>
      </w:r>
      <w:r w:rsidR="009F491C" w:rsidRPr="00F24450">
        <w:rPr>
          <w:rFonts w:ascii="Garamond" w:hAnsi="Garamond"/>
          <w:b/>
        </w:rPr>
        <w:t>Nature</w:t>
      </w:r>
      <w:proofErr w:type="gramEnd"/>
      <w:r w:rsidR="009F491C" w:rsidRPr="00F24450">
        <w:rPr>
          <w:rFonts w:ascii="Garamond" w:hAnsi="Garamond"/>
          <w:b/>
        </w:rPr>
        <w:t>-Based Solutions, Integrated Strategies, and Socio-Economic Dimensions of Urban Resilience</w:t>
      </w:r>
    </w:p>
    <w:p w14:paraId="79FA3B21" w14:textId="77777777" w:rsidR="009F491C" w:rsidRPr="00F24450" w:rsidRDefault="009F491C" w:rsidP="003D1C57">
      <w:pPr>
        <w:spacing w:line="360" w:lineRule="auto"/>
        <w:jc w:val="both"/>
        <w:rPr>
          <w:rFonts w:ascii="Garamond" w:hAnsi="Garamond" w:cs="Times New Roman"/>
        </w:rPr>
      </w:pPr>
      <w:r w:rsidRPr="00F24450">
        <w:rPr>
          <w:rFonts w:ascii="Garamond" w:hAnsi="Garamond" w:cs="Times New Roman"/>
        </w:rPr>
        <w:t>Informal settlements in Nairobi face significant limitations with conventional grey infrastructure, including inadequate drains, concrete channels, and poorly maintained stormwater systems, which often fail to address flooding, waterlogging, and heat risks (Nyamumbo &amp; Kasuku, 2025). Nature-based solutions (NbS) and green infrastructure such as permeable surfaces, rain gardens, bio-retention systems, and vegetated swales offer sustainable, low-cost, and ecologically sound alternatives. When co-developed with residents, these interventions enhance local ownership and participation, delivering multiple benefits including flood mitigation, improved microclimate, enhanced health, social cohesion, and functional community spaces (Kibii et al., 2025). NbS are thus not merely aesthetic, but strategic measures that strengthen urban resilience in rapidly urbanizing African cities.</w:t>
      </w:r>
    </w:p>
    <w:p w14:paraId="0FBB635E" w14:textId="77777777" w:rsidR="009F491C" w:rsidRPr="00F24450" w:rsidRDefault="009F491C" w:rsidP="003D1C57">
      <w:pPr>
        <w:spacing w:line="360" w:lineRule="auto"/>
        <w:jc w:val="both"/>
        <w:rPr>
          <w:rFonts w:ascii="Garamond" w:hAnsi="Garamond" w:cs="Times New Roman"/>
        </w:rPr>
      </w:pPr>
      <w:r w:rsidRPr="00F24450">
        <w:rPr>
          <w:rFonts w:ascii="Garamond" w:hAnsi="Garamond" w:cs="Times New Roman"/>
        </w:rPr>
        <w:t>Beyond flood management, NbS contribute to broader environmental and social resilience by mitigating urban heat islands, reducing runoff, and improving sanitation outcomes. Strategic greening and permeable surface planning lower exposure to climate-related hazards while providing co-benefits such as environmental quality improvements, recreational spaces, and social cohesion (Nyamumbo &amp; Kasuku, 2025). Despite their potential, adoption in informal settlements remains constrained by limited technical capacity, funding, and integration with broader urban planning frameworks, emphasizing the need for context-specific and participatory approaches.</w:t>
      </w:r>
    </w:p>
    <w:p w14:paraId="22DFC2B9" w14:textId="77777777" w:rsidR="009F491C" w:rsidRPr="00F24450" w:rsidRDefault="009F491C" w:rsidP="003D1C57">
      <w:pPr>
        <w:spacing w:line="360" w:lineRule="auto"/>
        <w:jc w:val="both"/>
        <w:rPr>
          <w:rFonts w:ascii="Garamond" w:hAnsi="Garamond" w:cs="Times New Roman"/>
        </w:rPr>
      </w:pPr>
      <w:r w:rsidRPr="00F24450">
        <w:rPr>
          <w:rFonts w:ascii="Garamond" w:hAnsi="Garamond" w:cs="Times New Roman"/>
        </w:rPr>
        <w:t>Effective resilience in informal settlements requires mixed strategies that integrate structural, governance, socio-economic, and community dimensions. Literature shows that isolated interventions are insufficient, and multi-pronged approaches including slum upgrading, compact-city redevelopment, inclusive governance, infrastructure improvements, and community participation are most effective (Alanda et al., 2024; Muchiri et al., 2024). Simultaneous attention to infrastructure, service delivery, secure tenure, livelihood support, and green infrastructure addresses the multi-dimensional vulnerabilities physical, environmental, social, economic, and governance characteristic of informal settlements (Maji Na Ufanisi, 2016). Such integrated approaches ensure that climate adaptation is not fragmented but embedded within long-term urban resilience planning.</w:t>
      </w:r>
    </w:p>
    <w:p w14:paraId="7D3E082C" w14:textId="5F29195F" w:rsidR="009F491C" w:rsidRPr="00F24450" w:rsidRDefault="009F491C" w:rsidP="003D1C57">
      <w:pPr>
        <w:spacing w:line="360" w:lineRule="auto"/>
        <w:jc w:val="both"/>
        <w:rPr>
          <w:rFonts w:ascii="Garamond" w:hAnsi="Garamond" w:cs="Times New Roman"/>
        </w:rPr>
      </w:pPr>
      <w:r w:rsidRPr="00F24450">
        <w:rPr>
          <w:rFonts w:ascii="Garamond" w:hAnsi="Garamond" w:cs="Times New Roman"/>
        </w:rPr>
        <w:lastRenderedPageBreak/>
        <w:t xml:space="preserve">Socio-economic empowerment and inequality significantly influence adaptation outcomes. Livelihood diversification, home-based enterprises, savings groups, community microfinance, skills training, and environmentally linked activities (e.g., recycling, waste-to-energy) enhance household resilience to floods, health shocks, and income loss (Bhanye, 2025; SDG Knowledge Hub, 2024). However, systemic exclusion, poverty, and infrastructural deficits limit the capacity of the most vulnerable households to benefit from adaptation interventions, creating persistent inequalities in resilience outcomes. Moreover, community-led strategies are often reactive and lack technical adequacy, institutional support, or sustainability, highlighting critical research gaps on long-term effectiveness, scalability, and equitable implementation in informal settlements such as Korogocho and </w:t>
      </w:r>
      <w:r w:rsidR="00C128BC">
        <w:rPr>
          <w:rFonts w:ascii="Garamond" w:hAnsi="Garamond" w:cs="Times New Roman"/>
        </w:rPr>
        <w:t xml:space="preserve">Kahawa </w:t>
      </w:r>
      <w:r w:rsidR="005D176E">
        <w:rPr>
          <w:rFonts w:ascii="Garamond" w:hAnsi="Garamond" w:cs="Times New Roman"/>
        </w:rPr>
        <w:t>Soweto.</w:t>
      </w:r>
    </w:p>
    <w:p w14:paraId="4FCC7F70" w14:textId="7FA42536" w:rsidR="009F491C" w:rsidRPr="00F24450" w:rsidRDefault="005C1F23" w:rsidP="003D1C57">
      <w:pPr>
        <w:spacing w:line="360" w:lineRule="auto"/>
        <w:jc w:val="both"/>
        <w:rPr>
          <w:rFonts w:ascii="Garamond" w:hAnsi="Garamond"/>
          <w:b/>
        </w:rPr>
      </w:pPr>
      <w:r>
        <w:rPr>
          <w:rFonts w:ascii="Garamond" w:hAnsi="Garamond"/>
          <w:b/>
        </w:rPr>
        <w:t>2.3.</w:t>
      </w:r>
      <w:r w:rsidRPr="00F24450">
        <w:rPr>
          <w:rFonts w:ascii="Garamond" w:hAnsi="Garamond"/>
          <w:b/>
        </w:rPr>
        <w:t xml:space="preserve"> Institutional</w:t>
      </w:r>
      <w:r w:rsidR="009F491C" w:rsidRPr="00F24450">
        <w:rPr>
          <w:rFonts w:ascii="Garamond" w:hAnsi="Garamond"/>
          <w:b/>
        </w:rPr>
        <w:t xml:space="preserve"> and Governance Dimensions of Climate Adaptation in Informal Settlements</w:t>
      </w:r>
    </w:p>
    <w:p w14:paraId="7341C47A" w14:textId="302B1F25" w:rsidR="009F491C" w:rsidRPr="00F24450" w:rsidRDefault="009F491C" w:rsidP="003D1C57">
      <w:pPr>
        <w:spacing w:line="360" w:lineRule="auto"/>
        <w:jc w:val="both"/>
        <w:rPr>
          <w:rFonts w:ascii="Garamond" w:hAnsi="Garamond" w:cs="Times New Roman"/>
        </w:rPr>
      </w:pPr>
      <w:r w:rsidRPr="00F24450">
        <w:rPr>
          <w:rFonts w:ascii="Garamond" w:hAnsi="Garamond" w:cs="Times New Roman"/>
        </w:rPr>
        <w:t xml:space="preserve">Informal settlements in Kenya, including Korogocho and </w:t>
      </w:r>
      <w:r w:rsidR="00C128BC">
        <w:rPr>
          <w:rFonts w:ascii="Garamond" w:hAnsi="Garamond" w:cs="Times New Roman"/>
        </w:rPr>
        <w:t xml:space="preserve">Kahawa </w:t>
      </w:r>
      <w:r w:rsidR="005D176E">
        <w:rPr>
          <w:rFonts w:ascii="Garamond" w:hAnsi="Garamond" w:cs="Times New Roman"/>
        </w:rPr>
        <w:t>Soweto,</w:t>
      </w:r>
      <w:r w:rsidRPr="00F24450">
        <w:rPr>
          <w:rFonts w:ascii="Garamond" w:hAnsi="Garamond" w:cs="Times New Roman"/>
        </w:rPr>
        <w:t xml:space="preserve"> face pervasive institutional and governance barriers such as insecure land tenure, weak regulatory oversight, limited political will, and underfunded multi-actor partnerships (Maji Na Ufanisi, 2016; Bhanye, 2025). While community-led initiatives can succeed when supported by such partnerships, interventions are often generic rather than context-specific, with limited empirical evidence on the optimal combination of structural, socio-economic, and governance measures under varying local conditions, including settlement density, flood risk, and social cohesion. Participatory data collection and monitoring using GIS, citizen science, and remote sensing have been recognized as critical tools to map hazard risks, drainage patterns, and socio-economic vulnerabilities, thereby informing targeted and locally relevant adaptation strategies. However, the integration of these monitoring systems into long-term planning remains insufficiently explored, representing a key gap in enhancing adaptive capacity.</w:t>
      </w:r>
    </w:p>
    <w:p w14:paraId="3D1B5F87" w14:textId="77777777" w:rsidR="009F491C" w:rsidRPr="00F24450" w:rsidRDefault="009F491C" w:rsidP="003D1C57">
      <w:pPr>
        <w:spacing w:line="360" w:lineRule="auto"/>
        <w:jc w:val="both"/>
        <w:rPr>
          <w:rFonts w:ascii="Garamond" w:hAnsi="Garamond" w:cs="Times New Roman"/>
        </w:rPr>
      </w:pPr>
      <w:r w:rsidRPr="00F24450">
        <w:rPr>
          <w:rFonts w:ascii="Garamond" w:hAnsi="Garamond" w:cs="Times New Roman"/>
        </w:rPr>
        <w:t xml:space="preserve">Effective adaptation strategies in informal settlements are guided by several principles: participatory community-led design, nature-based solutions and green infrastructure, integrated multi-level approaches combining structural, governance, and socio-economic support, socio-economic empowerment through livelihoods and financial mechanisms, low-cost context-appropriate solutions, and institutional support including secure land tenure (Muchiri &amp; Opiyo, 2022; Nyamumbo &amp; Kasuku, 2025; Bhanye, 2025). Despite these insights, gaps persist in the long-term evaluation, sustainability, equity, financing, and scalability of these interventions. Evidence from Korogocho demonstrates that community-led initiatives addressing environmental management (waste disposal, drainage) and socio-economic goals (income generation, cohesion) can develop absorptive, adaptive, and even </w:t>
      </w:r>
      <w:r w:rsidRPr="00F24450">
        <w:rPr>
          <w:rFonts w:ascii="Garamond" w:hAnsi="Garamond" w:cs="Times New Roman"/>
        </w:rPr>
        <w:lastRenderedPageBreak/>
        <w:t>transformative capacities. Yet, structural and institutional integration remains limited, underscoring the need for formal recognition and governance alignment (Fransen et al., 2024).</w:t>
      </w:r>
    </w:p>
    <w:p w14:paraId="5E2C8466" w14:textId="77777777" w:rsidR="009F491C" w:rsidRPr="00F24450" w:rsidRDefault="009F491C" w:rsidP="003D1C57">
      <w:pPr>
        <w:spacing w:line="360" w:lineRule="auto"/>
        <w:jc w:val="both"/>
        <w:rPr>
          <w:rFonts w:ascii="Garamond" w:hAnsi="Garamond" w:cs="Times New Roman"/>
        </w:rPr>
      </w:pPr>
      <w:r w:rsidRPr="00F24450">
        <w:rPr>
          <w:rFonts w:ascii="Garamond" w:hAnsi="Garamond" w:cs="Times New Roman"/>
        </w:rPr>
        <w:t>Stormwater management, urban design, and health-focused interventions further illustrate the intersection of environmental and socio-economic adaptation. Green infrastructure such as permeable surfaces and rain gardens can mitigate flooding where grey infrastructure fails, but adoption is constrained by socio-economic and governance limitations (Nyamumbo &amp; Kasuku, 2025). Similarly, climate awareness campaigns and slum-upgrading programs addressing housing, sanitation, and drainage have demonstrated co-benefits for health, including reduced respiratory conditions, vector-borne diseases, and malnutrition (Andersen et al., 2023). While these interventions highlight the potential of multi-dimensional adaptation, research on their synergistic implementation and sustained effectiveness in informal settlements remains limited.</w:t>
      </w:r>
    </w:p>
    <w:p w14:paraId="6CE02C65" w14:textId="4C55E143" w:rsidR="009F491C" w:rsidRPr="00F24450" w:rsidRDefault="009F491C" w:rsidP="003D1C57">
      <w:pPr>
        <w:spacing w:line="360" w:lineRule="auto"/>
        <w:jc w:val="both"/>
        <w:rPr>
          <w:rFonts w:ascii="Garamond" w:hAnsi="Garamond" w:cs="Times New Roman"/>
        </w:rPr>
      </w:pPr>
      <w:r w:rsidRPr="00F24450">
        <w:rPr>
          <w:rFonts w:ascii="Garamond" w:hAnsi="Garamond" w:cs="Times New Roman"/>
        </w:rPr>
        <w:t xml:space="preserve">Finally, evidence underscores the importance of integrated, context-specific strategies combining community-led adaptation, nature-based solutions, inclusive governance, socio-economic support, and urban planning (World Bank, 2020; County Report, 2025). Programs such as KISIP and the Urban Fabric Initiative show that informal-settlement upgrading can enhance resilience even when not explicitly framed as climate adaptation. Key recommendations for policy and practice include promoting holistic multi-dimensional interventions, ensuring community engagement and ownership, integrating informal settlements into formal governance and planning processes, and securing sustainable financing. Long-term, context-sensitive research, coupled with institutional commitment, is essential to achieving sustainability, equity, and scalability in climate adaptation for informal settlements such as Korogocho and </w:t>
      </w:r>
      <w:r w:rsidR="00C128BC">
        <w:rPr>
          <w:rFonts w:ascii="Garamond" w:hAnsi="Garamond" w:cs="Times New Roman"/>
        </w:rPr>
        <w:t xml:space="preserve">Kahawa </w:t>
      </w:r>
      <w:r w:rsidR="005D176E">
        <w:rPr>
          <w:rFonts w:ascii="Garamond" w:hAnsi="Garamond" w:cs="Times New Roman"/>
        </w:rPr>
        <w:t>Soweto.</w:t>
      </w:r>
    </w:p>
    <w:p w14:paraId="6F141BBF" w14:textId="2878AA7B" w:rsidR="009F491C" w:rsidRPr="00F24450" w:rsidRDefault="005C1F23" w:rsidP="003D1C57">
      <w:pPr>
        <w:spacing w:line="360" w:lineRule="auto"/>
        <w:jc w:val="both"/>
        <w:rPr>
          <w:rFonts w:ascii="Garamond" w:hAnsi="Garamond"/>
          <w:b/>
        </w:rPr>
      </w:pPr>
      <w:r>
        <w:rPr>
          <w:rFonts w:ascii="Garamond" w:hAnsi="Garamond"/>
          <w:b/>
        </w:rPr>
        <w:t>2.4.</w:t>
      </w:r>
      <w:r w:rsidRPr="00F24450">
        <w:rPr>
          <w:rFonts w:ascii="Garamond" w:hAnsi="Garamond"/>
          <w:b/>
        </w:rPr>
        <w:t xml:space="preserve"> Community</w:t>
      </w:r>
      <w:r w:rsidR="009F491C" w:rsidRPr="00F24450">
        <w:rPr>
          <w:rFonts w:ascii="Garamond" w:hAnsi="Garamond"/>
          <w:b/>
        </w:rPr>
        <w:t>-Based Approaches</w:t>
      </w:r>
    </w:p>
    <w:p w14:paraId="71794E5E" w14:textId="0F2BA35A" w:rsidR="009F491C" w:rsidRPr="00F24450" w:rsidRDefault="009F491C" w:rsidP="003D1C57">
      <w:pPr>
        <w:spacing w:line="360" w:lineRule="auto"/>
        <w:jc w:val="both"/>
        <w:rPr>
          <w:rFonts w:ascii="Garamond" w:hAnsi="Garamond" w:cs="Times New Roman"/>
        </w:rPr>
      </w:pPr>
      <w:r w:rsidRPr="00F24450">
        <w:rPr>
          <w:rFonts w:ascii="Garamond" w:hAnsi="Garamond" w:cs="Times New Roman"/>
        </w:rPr>
        <w:t xml:space="preserve">Residents of informal settlements in Kenya, including Korogocho and </w:t>
      </w:r>
      <w:r w:rsidR="00C128BC">
        <w:rPr>
          <w:rFonts w:ascii="Garamond" w:hAnsi="Garamond" w:cs="Times New Roman"/>
        </w:rPr>
        <w:t xml:space="preserve">Kahawa </w:t>
      </w:r>
      <w:r w:rsidR="005D176E">
        <w:rPr>
          <w:rFonts w:ascii="Garamond" w:hAnsi="Garamond" w:cs="Times New Roman"/>
        </w:rPr>
        <w:t>Soweto,</w:t>
      </w:r>
      <w:r w:rsidRPr="00F24450">
        <w:rPr>
          <w:rFonts w:ascii="Garamond" w:hAnsi="Garamond" w:cs="Times New Roman"/>
        </w:rPr>
        <w:t xml:space="preserve"> employ a variety of flood and water management strategies to cope with recurrent inundation. Structural adaptations such as raised housing platforms and temporary barriers reduce immediate flood impacts, while community-level interventions including rainwater harvesting, drainage clearing campaigns, and flood early-warning systems enhance preparedness and water security (International Journal of Disaster Risk Reduction, 2021; Nkirote, 2020; Namayi et al., 2025). However, the long-term effectiveness of these measures is constrained by limited institutional support, resource scarcity, and weak integration into formal infrastructure and urban planning. Existing research primarily documents </w:t>
      </w:r>
      <w:r w:rsidRPr="00F24450">
        <w:rPr>
          <w:rFonts w:ascii="Garamond" w:hAnsi="Garamond" w:cs="Times New Roman"/>
        </w:rPr>
        <w:lastRenderedPageBreak/>
        <w:t>short-term, reactive measures, leaving a gap in understanding how these interventions perform over time and at scale, particularly when combined with governance mechanisms and formal support structures.</w:t>
      </w:r>
    </w:p>
    <w:p w14:paraId="55C06036" w14:textId="12682AA5" w:rsidR="009F491C" w:rsidRPr="00F24450" w:rsidRDefault="009F491C" w:rsidP="003D1C57">
      <w:pPr>
        <w:spacing w:line="360" w:lineRule="auto"/>
        <w:jc w:val="both"/>
        <w:rPr>
          <w:rFonts w:ascii="Garamond" w:hAnsi="Garamond" w:cs="Times New Roman"/>
        </w:rPr>
      </w:pPr>
      <w:r w:rsidRPr="00F24450">
        <w:rPr>
          <w:rFonts w:ascii="Garamond" w:hAnsi="Garamond" w:cs="Times New Roman"/>
        </w:rPr>
        <w:t xml:space="preserve">In addition to physical adaptations, livelihood diversification and health-focused strategies contribute to climate resilience. Urban agriculture, vertical gardens, vocational training, microenterprise support, and community savings groups enhance household food security, income stability, and social cohesion, while community cooling spaces, sanitation campaigns, and awareness programs mitigate heat stress and climate-sensitive disease risks (Amwata, 2025; Lydecker &amp; Drechsel, 2010; Souza et al., 2025). Despite evidence of their individual benefits, few studies examine how these interventions operate synergistically within settlements, or how they contribute to long-term adaptive capacity under repeated climatic and socioeconomic stressors. This gap is particularly salient for gender- and age-sensitive impacts, which remain underexplored in both Korogocho and </w:t>
      </w:r>
      <w:r w:rsidR="00C128BC">
        <w:rPr>
          <w:rFonts w:ascii="Garamond" w:hAnsi="Garamond" w:cs="Times New Roman"/>
        </w:rPr>
        <w:t xml:space="preserve">Kahawa </w:t>
      </w:r>
      <w:r w:rsidR="005D176E">
        <w:rPr>
          <w:rFonts w:ascii="Garamond" w:hAnsi="Garamond" w:cs="Times New Roman"/>
        </w:rPr>
        <w:t>Soweto.</w:t>
      </w:r>
    </w:p>
    <w:p w14:paraId="5037DF64" w14:textId="381E5CFD" w:rsidR="009F491C" w:rsidRPr="00F24450" w:rsidRDefault="009F491C" w:rsidP="003D1C57">
      <w:pPr>
        <w:spacing w:line="360" w:lineRule="auto"/>
        <w:jc w:val="both"/>
        <w:rPr>
          <w:rFonts w:ascii="Garamond" w:hAnsi="Garamond" w:cs="Times New Roman"/>
        </w:rPr>
      </w:pPr>
      <w:r w:rsidRPr="00F24450">
        <w:rPr>
          <w:rFonts w:ascii="Garamond" w:hAnsi="Garamond" w:cs="Times New Roman"/>
        </w:rPr>
        <w:t xml:space="preserve">Finally, infrastructural, governance, and environmental restoration strategies play a critical role in enhancing resilience at the community scale. Upgrading pathways and roads, participatory risk mapping, temporary shelters, climate adaptation committees, participatory budgeting, early-warning neighborhood networks, tree planting, waste management, and rehabilitation of degraded areas all have documented benefits in reducing vulnerability and improving preparedness (ADB, 2011; Adelekan, 2012; Greibe et al., 2023). However, existing studies rarely investigate the integrated functioning of these interventions or their combined effects on social, economic, and health outcomes. Consequently, there is a pressing need for empirical research that evaluates community-centered, multi-dimensional strategies, examining both their sustainability and formal integration to build long-term climate resilience in informal settlements such as Korogocho and </w:t>
      </w:r>
      <w:r w:rsidR="00C128BC">
        <w:rPr>
          <w:rFonts w:ascii="Garamond" w:hAnsi="Garamond" w:cs="Times New Roman"/>
        </w:rPr>
        <w:t xml:space="preserve">Kahawa </w:t>
      </w:r>
      <w:r w:rsidR="005D176E">
        <w:rPr>
          <w:rFonts w:ascii="Garamond" w:hAnsi="Garamond" w:cs="Times New Roman"/>
        </w:rPr>
        <w:t>Soweto.</w:t>
      </w:r>
    </w:p>
    <w:p w14:paraId="69309F51" w14:textId="08BCE8C0" w:rsidR="00F24450" w:rsidRPr="00F24450" w:rsidRDefault="005C1F23" w:rsidP="003D1C57">
      <w:pPr>
        <w:spacing w:line="360" w:lineRule="auto"/>
        <w:jc w:val="both"/>
        <w:rPr>
          <w:rFonts w:ascii="Garamond" w:hAnsi="Garamond"/>
          <w:b/>
          <w:bCs/>
        </w:rPr>
      </w:pPr>
      <w:r>
        <w:rPr>
          <w:rFonts w:ascii="Garamond" w:hAnsi="Garamond"/>
          <w:b/>
          <w:bCs/>
        </w:rPr>
        <w:t xml:space="preserve">2.5. </w:t>
      </w:r>
      <w:r w:rsidR="00F24450" w:rsidRPr="00F24450">
        <w:rPr>
          <w:rFonts w:ascii="Garamond" w:hAnsi="Garamond"/>
          <w:b/>
          <w:bCs/>
        </w:rPr>
        <w:t xml:space="preserve">Literature Gap </w:t>
      </w:r>
    </w:p>
    <w:p w14:paraId="095CE6EE" w14:textId="46355F33" w:rsidR="00F24450" w:rsidRPr="00F24450" w:rsidRDefault="00F24450" w:rsidP="003D1C57">
      <w:pPr>
        <w:spacing w:line="360" w:lineRule="auto"/>
        <w:jc w:val="both"/>
        <w:rPr>
          <w:rFonts w:ascii="Garamond" w:hAnsi="Garamond"/>
        </w:rPr>
      </w:pPr>
      <w:r w:rsidRPr="00F24450">
        <w:rPr>
          <w:rFonts w:ascii="Garamond" w:hAnsi="Garamond"/>
        </w:rPr>
        <w:t xml:space="preserve">There is limited research that specifically examines the role of socio-economic factors as mediators between climate variability and household vulnerability in informal settlements. Most studies focus on rural areas or broader urban contexts, overlooking the unique conditions of settlements like Korogocho and </w:t>
      </w:r>
      <w:r w:rsidR="00D03D34">
        <w:rPr>
          <w:rFonts w:ascii="Garamond" w:hAnsi="Garamond"/>
        </w:rPr>
        <w:t>Kahawa soweto</w:t>
      </w:r>
      <w:r w:rsidRPr="00F24450">
        <w:rPr>
          <w:rFonts w:ascii="Garamond" w:hAnsi="Garamond"/>
        </w:rPr>
        <w:t xml:space="preserve">. Existing research often analyzes climate impacts directly on households without exploring how income, education, livelihood strategies, and social networks influence resilience. Additionally, there is a scarcity of household-level, context-specific data that captures both quantitative and qualitative dimensions of vulnerability. This gap limits understanding </w:t>
      </w:r>
      <w:r w:rsidRPr="00F24450">
        <w:rPr>
          <w:rFonts w:ascii="Garamond" w:hAnsi="Garamond"/>
        </w:rPr>
        <w:lastRenderedPageBreak/>
        <w:t>of how socio-economic conditions interact with climate variability to shape differential household vulnerability, highlighting the need for targeted, settlement-level studies.</w:t>
      </w:r>
    </w:p>
    <w:p w14:paraId="4C13FFA4" w14:textId="6342D0B7" w:rsidR="00F24450" w:rsidRPr="00F24450" w:rsidRDefault="00F24450" w:rsidP="003D1C57">
      <w:pPr>
        <w:pStyle w:val="NormalWeb"/>
        <w:spacing w:line="360" w:lineRule="auto"/>
        <w:jc w:val="both"/>
        <w:rPr>
          <w:rFonts w:ascii="Garamond" w:hAnsi="Garamond"/>
        </w:rPr>
      </w:pPr>
      <w:r w:rsidRPr="00F24450">
        <w:rPr>
          <w:rFonts w:ascii="Garamond" w:hAnsi="Garamond"/>
        </w:rPr>
        <w:t xml:space="preserve">This study addresses this research gap by specifically focusing on the informal settlements of Korogocho and </w:t>
      </w:r>
      <w:r w:rsidR="00D03D34">
        <w:rPr>
          <w:rFonts w:ascii="Garamond" w:hAnsi="Garamond"/>
        </w:rPr>
        <w:t>Kahawa soweto</w:t>
      </w:r>
      <w:r w:rsidRPr="00F24450">
        <w:rPr>
          <w:rFonts w:ascii="Garamond" w:hAnsi="Garamond"/>
        </w:rPr>
        <w:t>, which are often overlooked in broader urban or rural climate vulnerability research. It examines how socio-economic factors such as income, education, livelihood strategies, and social networks mediate the effects of climate variability on household vulnerability, rather than assuming a direct climate-to-impact relationship. By collecting household-level data, the study provides context-specific insights into the ways different households experience and cope with climate variability. It integrates both quantitative and qualitative methods to capture the multifaceted nature of vulnerability, including lived experiences and coping strategies. Ultimately, this research fills the gap by offering targeted, settlement-level evidence on how socio-economic conditions interact with climate variability, providing a stronger basis for policy, planning, and community resilience interventions.</w:t>
      </w:r>
    </w:p>
    <w:p w14:paraId="6BFDD6A4" w14:textId="250CCF63" w:rsidR="001841CA" w:rsidRPr="00F24450" w:rsidRDefault="005C1F23" w:rsidP="003D1C57">
      <w:pPr>
        <w:pStyle w:val="NormalWeb"/>
        <w:spacing w:line="360" w:lineRule="auto"/>
        <w:jc w:val="both"/>
        <w:rPr>
          <w:rFonts w:ascii="Garamond" w:hAnsi="Garamond"/>
          <w:b/>
        </w:rPr>
      </w:pPr>
      <w:r>
        <w:rPr>
          <w:rFonts w:ascii="Garamond" w:hAnsi="Garamond"/>
          <w:b/>
        </w:rPr>
        <w:t>3.0.</w:t>
      </w:r>
      <w:r w:rsidRPr="00F24450">
        <w:rPr>
          <w:rFonts w:ascii="Garamond" w:hAnsi="Garamond"/>
          <w:b/>
        </w:rPr>
        <w:t xml:space="preserve"> Materials</w:t>
      </w:r>
      <w:r w:rsidR="001841CA" w:rsidRPr="00F24450">
        <w:rPr>
          <w:rFonts w:ascii="Garamond" w:hAnsi="Garamond"/>
          <w:b/>
        </w:rPr>
        <w:t xml:space="preserve"> and Methods</w:t>
      </w:r>
    </w:p>
    <w:p w14:paraId="389427AF" w14:textId="39C3F8A1" w:rsidR="009F491C" w:rsidRPr="00F24450" w:rsidRDefault="005C1F23" w:rsidP="003D1C57">
      <w:pPr>
        <w:spacing w:line="360" w:lineRule="auto"/>
        <w:jc w:val="both"/>
        <w:rPr>
          <w:rFonts w:ascii="Garamond" w:hAnsi="Garamond"/>
          <w:b/>
        </w:rPr>
      </w:pPr>
      <w:r>
        <w:rPr>
          <w:rFonts w:ascii="Garamond" w:hAnsi="Garamond"/>
          <w:b/>
        </w:rPr>
        <w:t>3.1.</w:t>
      </w:r>
      <w:r w:rsidRPr="00F24450">
        <w:rPr>
          <w:rFonts w:ascii="Garamond" w:hAnsi="Garamond"/>
          <w:b/>
        </w:rPr>
        <w:t xml:space="preserve"> Study</w:t>
      </w:r>
      <w:r w:rsidR="009F491C" w:rsidRPr="00F24450">
        <w:rPr>
          <w:rFonts w:ascii="Garamond" w:hAnsi="Garamond"/>
          <w:b/>
        </w:rPr>
        <w:t xml:space="preserve"> Area</w:t>
      </w:r>
      <w:r>
        <w:rPr>
          <w:rFonts w:ascii="Garamond" w:hAnsi="Garamond"/>
          <w:b/>
        </w:rPr>
        <w:t xml:space="preserve"> and </w:t>
      </w:r>
      <w:r w:rsidR="009F491C" w:rsidRPr="00F24450">
        <w:rPr>
          <w:rFonts w:ascii="Garamond" w:hAnsi="Garamond"/>
          <w:b/>
        </w:rPr>
        <w:t>Location</w:t>
      </w:r>
    </w:p>
    <w:p w14:paraId="26C33CEB" w14:textId="24AD5AA5" w:rsidR="009F491C" w:rsidRPr="00F24450" w:rsidRDefault="009F491C" w:rsidP="003D1C57">
      <w:pPr>
        <w:spacing w:line="360" w:lineRule="auto"/>
        <w:jc w:val="both"/>
        <w:rPr>
          <w:rFonts w:ascii="Garamond" w:hAnsi="Garamond" w:cs="Times New Roman"/>
        </w:rPr>
      </w:pPr>
      <w:r w:rsidRPr="00F24450">
        <w:rPr>
          <w:rFonts w:ascii="Garamond" w:hAnsi="Garamond" w:cs="Times New Roman"/>
        </w:rPr>
        <w:t xml:space="preserve">The study was conducted in Korogocho and </w:t>
      </w:r>
      <w:r w:rsidR="00C128BC">
        <w:rPr>
          <w:rFonts w:ascii="Garamond" w:hAnsi="Garamond" w:cs="Times New Roman"/>
        </w:rPr>
        <w:t xml:space="preserve">Kahawa </w:t>
      </w:r>
      <w:r w:rsidR="005D176E">
        <w:rPr>
          <w:rFonts w:ascii="Garamond" w:hAnsi="Garamond" w:cs="Times New Roman"/>
        </w:rPr>
        <w:t>Soweto,</w:t>
      </w:r>
      <w:r w:rsidRPr="00F24450">
        <w:rPr>
          <w:rFonts w:ascii="Garamond" w:hAnsi="Garamond" w:cs="Times New Roman"/>
        </w:rPr>
        <w:t xml:space="preserve"> informal settlements in Nairobi City County. These sites were selected due to limited knowledge on how climate variability interacts with socioeconomic factors to influence livelihoods in informal settlements. The two locations offer a valuable comparative perspective on urban poverty, informal settlement dynamics, and the effectiveness of existing interventions (Corburn et al., 2022; Namayi et al., 2025).</w:t>
      </w:r>
    </w:p>
    <w:p w14:paraId="2B04BCC5" w14:textId="09DA2D78" w:rsidR="009F491C" w:rsidRPr="00F24450" w:rsidRDefault="009F491C" w:rsidP="003D1C57">
      <w:pPr>
        <w:spacing w:line="360" w:lineRule="auto"/>
        <w:jc w:val="both"/>
        <w:rPr>
          <w:rFonts w:ascii="Garamond" w:hAnsi="Garamond" w:cs="Times New Roman"/>
        </w:rPr>
      </w:pPr>
      <w:r w:rsidRPr="00F24450">
        <w:rPr>
          <w:rFonts w:ascii="Garamond" w:hAnsi="Garamond" w:cs="Times New Roman"/>
        </w:rPr>
        <w:t xml:space="preserve">Korogocho lies at 1°14′46″S, 36°52′20″E, while </w:t>
      </w:r>
      <w:r w:rsidR="00C128BC">
        <w:rPr>
          <w:rFonts w:ascii="Garamond" w:hAnsi="Garamond" w:cs="Times New Roman"/>
        </w:rPr>
        <w:t xml:space="preserve">Kahawa </w:t>
      </w:r>
      <w:r w:rsidR="005D176E">
        <w:rPr>
          <w:rFonts w:ascii="Garamond" w:hAnsi="Garamond" w:cs="Times New Roman"/>
        </w:rPr>
        <w:t xml:space="preserve">Soweto </w:t>
      </w:r>
      <w:r w:rsidR="005D176E" w:rsidRPr="00F24450">
        <w:rPr>
          <w:rFonts w:ascii="Garamond" w:hAnsi="Garamond" w:cs="Times New Roman"/>
        </w:rPr>
        <w:t>is</w:t>
      </w:r>
      <w:r w:rsidRPr="00F24450">
        <w:rPr>
          <w:rFonts w:ascii="Garamond" w:hAnsi="Garamond" w:cs="Times New Roman"/>
        </w:rPr>
        <w:t xml:space="preserve"> located at 1°11′28″S, 36°54′46″E (Figure 3.1). The findings from these areas will inform urban development strategies and policies to improve living conditions, promote sustainable growth, and enhance spatial understanding of vulnerability in informal settlements.</w:t>
      </w:r>
    </w:p>
    <w:p w14:paraId="6FCA8A49" w14:textId="77777777" w:rsidR="009F491C" w:rsidRPr="00F24450" w:rsidRDefault="009F491C" w:rsidP="003D1C57">
      <w:pPr>
        <w:spacing w:line="360" w:lineRule="auto"/>
        <w:jc w:val="both"/>
        <w:rPr>
          <w:rFonts w:ascii="Garamond" w:hAnsi="Garamond" w:cs="Times New Roman"/>
        </w:rPr>
      </w:pPr>
      <w:r w:rsidRPr="00F24450">
        <w:rPr>
          <w:rFonts w:ascii="Garamond" w:hAnsi="Garamond" w:cs="Times New Roman"/>
          <w:noProof/>
        </w:rPr>
        <w:lastRenderedPageBreak/>
        <w:drawing>
          <wp:inline distT="0" distB="0" distL="0" distR="0" wp14:anchorId="1F6BF330" wp14:editId="684B177B">
            <wp:extent cx="6115050" cy="3619500"/>
            <wp:effectExtent l="19050" t="19050" r="19050" b="19050"/>
            <wp:docPr id="14" name="Picture 14" descr="C:\Users\henry.joseph\Downloads\Stud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ry.joseph\Downloads\Study (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2828" cy="3624104"/>
                    </a:xfrm>
                    <a:prstGeom prst="rect">
                      <a:avLst/>
                    </a:prstGeom>
                    <a:noFill/>
                    <a:ln w="19050">
                      <a:solidFill>
                        <a:schemeClr val="tx1"/>
                      </a:solidFill>
                    </a:ln>
                  </pic:spPr>
                </pic:pic>
              </a:graphicData>
            </a:graphic>
          </wp:inline>
        </w:drawing>
      </w:r>
    </w:p>
    <w:p w14:paraId="4827FF9D" w14:textId="2689EEF2" w:rsidR="009F491C" w:rsidRPr="005D176E" w:rsidRDefault="009F491C" w:rsidP="005D176E">
      <w:pPr>
        <w:pStyle w:val="MyFigure"/>
      </w:pPr>
      <w:r w:rsidRPr="005D176E">
        <w:rPr>
          <w:rStyle w:val="MyFigureChar"/>
          <w:b/>
          <w:bCs/>
          <w:color w:val="auto"/>
          <w:sz w:val="24"/>
          <w:szCs w:val="24"/>
        </w:rPr>
        <w:t xml:space="preserve">Figure </w:t>
      </w:r>
      <w:r w:rsidR="005D176E" w:rsidRPr="005D176E">
        <w:rPr>
          <w:rStyle w:val="MyFigureChar"/>
          <w:b/>
          <w:bCs/>
          <w:color w:val="auto"/>
          <w:sz w:val="24"/>
          <w:szCs w:val="24"/>
        </w:rPr>
        <w:t>2</w:t>
      </w:r>
      <w:r w:rsidRPr="005D176E">
        <w:rPr>
          <w:rStyle w:val="MyFigureChar"/>
          <w:b/>
          <w:bCs/>
          <w:color w:val="auto"/>
          <w:sz w:val="24"/>
          <w:szCs w:val="24"/>
        </w:rPr>
        <w:t xml:space="preserve">: Map showing Korogocho and </w:t>
      </w:r>
      <w:r w:rsidR="00C128BC" w:rsidRPr="005D176E">
        <w:rPr>
          <w:rStyle w:val="MyFigureChar"/>
          <w:b/>
          <w:bCs/>
          <w:color w:val="auto"/>
          <w:sz w:val="24"/>
          <w:szCs w:val="24"/>
        </w:rPr>
        <w:t xml:space="preserve">Kahawa </w:t>
      </w:r>
      <w:r w:rsidR="005D176E" w:rsidRPr="005D176E">
        <w:rPr>
          <w:rStyle w:val="MyFigureChar"/>
          <w:b/>
          <w:bCs/>
          <w:color w:val="auto"/>
          <w:sz w:val="24"/>
          <w:szCs w:val="24"/>
        </w:rPr>
        <w:t>Soweto slums</w:t>
      </w:r>
      <w:r w:rsidRPr="005D176E">
        <w:rPr>
          <w:rStyle w:val="MyFigureChar"/>
          <w:b/>
          <w:bCs/>
          <w:color w:val="auto"/>
          <w:sz w:val="24"/>
          <w:szCs w:val="24"/>
        </w:rPr>
        <w:t xml:space="preserve"> (Earth Observation, 2025</w:t>
      </w:r>
      <w:r w:rsidRPr="005D176E">
        <w:t>).</w:t>
      </w:r>
    </w:p>
    <w:p w14:paraId="418615DB" w14:textId="25866F56" w:rsidR="009F491C" w:rsidRPr="00F24450" w:rsidRDefault="005C1F23" w:rsidP="003D1C57">
      <w:pPr>
        <w:spacing w:line="360" w:lineRule="auto"/>
        <w:jc w:val="both"/>
        <w:rPr>
          <w:rFonts w:ascii="Garamond" w:hAnsi="Garamond"/>
          <w:b/>
        </w:rPr>
      </w:pPr>
      <w:r>
        <w:rPr>
          <w:rFonts w:ascii="Garamond" w:hAnsi="Garamond"/>
          <w:b/>
        </w:rPr>
        <w:t>3.</w:t>
      </w:r>
      <w:r w:rsidR="000B01C8">
        <w:rPr>
          <w:rFonts w:ascii="Garamond" w:hAnsi="Garamond"/>
          <w:b/>
        </w:rPr>
        <w:t>2.</w:t>
      </w:r>
      <w:r w:rsidR="000B01C8" w:rsidRPr="00F24450">
        <w:rPr>
          <w:rFonts w:ascii="Garamond" w:hAnsi="Garamond"/>
          <w:b/>
        </w:rPr>
        <w:t xml:space="preserve"> Urban</w:t>
      </w:r>
      <w:r w:rsidR="009F491C" w:rsidRPr="00F24450">
        <w:rPr>
          <w:rFonts w:ascii="Garamond" w:hAnsi="Garamond"/>
          <w:b/>
        </w:rPr>
        <w:t xml:space="preserve"> Growth and Population</w:t>
      </w:r>
    </w:p>
    <w:p w14:paraId="50015B02" w14:textId="77777777" w:rsidR="009F491C" w:rsidRPr="00F24450" w:rsidRDefault="009F491C" w:rsidP="003D1C57">
      <w:pPr>
        <w:spacing w:line="360" w:lineRule="auto"/>
        <w:jc w:val="both"/>
        <w:rPr>
          <w:rFonts w:ascii="Garamond" w:hAnsi="Garamond" w:cs="Times New Roman"/>
        </w:rPr>
      </w:pPr>
      <w:r w:rsidRPr="00F24450">
        <w:rPr>
          <w:rFonts w:ascii="Garamond" w:hAnsi="Garamond" w:cs="Times New Roman"/>
        </w:rPr>
        <w:t>The study utilized a 10% anonymized random sample of household-level data from the 2019 census for Nairobi’s Enumeration Areas. Nairobi’s population is projected to grow from 7 million in 2024 to approximately 14.3 million by 2030 (Nairobi City County, 2024). Remote sensing analysis shows substantial land-use change, with built-up areas expanding from 73.08 km² in 1988 to 228.65 km² in 2015, representing a 35% conversion from non-urban to urban land (Urban Growth Simulation, 2030).</w:t>
      </w:r>
    </w:p>
    <w:p w14:paraId="5F0D3D82" w14:textId="1B924AED" w:rsidR="009F491C" w:rsidRPr="00F24450" w:rsidRDefault="00AF0DF6" w:rsidP="003D1C57">
      <w:pPr>
        <w:spacing w:line="360" w:lineRule="auto"/>
        <w:jc w:val="both"/>
        <w:rPr>
          <w:rFonts w:ascii="Garamond" w:hAnsi="Garamond" w:cs="Times New Roman"/>
        </w:rPr>
      </w:pPr>
      <w:r>
        <w:rPr>
          <w:rFonts w:ascii="Garamond" w:hAnsi="Garamond" w:cs="Times New Roman"/>
        </w:rPr>
        <w:lastRenderedPageBreak/>
        <w:t>A</w:t>
      </w:r>
      <w:r w:rsidR="009F491C" w:rsidRPr="00F24450">
        <w:rPr>
          <w:rFonts w:ascii="Garamond" w:hAnsi="Garamond" w:cs="Times New Roman"/>
          <w:noProof/>
        </w:rPr>
        <w:drawing>
          <wp:inline distT="0" distB="0" distL="0" distR="0" wp14:anchorId="1341C0F7" wp14:editId="649929B8">
            <wp:extent cx="5847080" cy="3133725"/>
            <wp:effectExtent l="19050" t="19050" r="20320" b="28575"/>
            <wp:docPr id="15" name="Picture 2" descr="Urban growth simulation in Nairobi in scenario three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rban growth simulation in Nairobi in scenario three (2030)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0722" cy="3146396"/>
                    </a:xfrm>
                    <a:prstGeom prst="rect">
                      <a:avLst/>
                    </a:prstGeom>
                    <a:noFill/>
                    <a:ln w="19050">
                      <a:solidFill>
                        <a:schemeClr val="tx1"/>
                      </a:solidFill>
                    </a:ln>
                  </pic:spPr>
                </pic:pic>
              </a:graphicData>
            </a:graphic>
          </wp:inline>
        </w:drawing>
      </w:r>
    </w:p>
    <w:p w14:paraId="19FD7FA4" w14:textId="6E73CEBE" w:rsidR="009F491C" w:rsidRPr="005D176E" w:rsidRDefault="009F491C" w:rsidP="003D1C57">
      <w:pPr>
        <w:spacing w:line="360" w:lineRule="auto"/>
        <w:jc w:val="both"/>
        <w:rPr>
          <w:rFonts w:ascii="Garamond" w:hAnsi="Garamond"/>
          <w:b/>
          <w:bCs/>
        </w:rPr>
      </w:pPr>
      <w:r w:rsidRPr="005D176E">
        <w:rPr>
          <w:rFonts w:ascii="Garamond" w:hAnsi="Garamond"/>
          <w:b/>
          <w:bCs/>
        </w:rPr>
        <w:t xml:space="preserve">Figure </w:t>
      </w:r>
      <w:r w:rsidR="005D176E" w:rsidRPr="005D176E">
        <w:rPr>
          <w:rFonts w:ascii="Garamond" w:hAnsi="Garamond"/>
          <w:b/>
          <w:bCs/>
        </w:rPr>
        <w:t>3</w:t>
      </w:r>
      <w:r w:rsidRPr="005D176E">
        <w:rPr>
          <w:rFonts w:ascii="Garamond" w:hAnsi="Garamond"/>
          <w:b/>
          <w:bCs/>
        </w:rPr>
        <w:t>: Urban growth of Nairobi City projected to 2030 (Urban Growth Simulation, 2030).</w:t>
      </w:r>
    </w:p>
    <w:p w14:paraId="5C8A407D" w14:textId="28CB1AFA" w:rsidR="00261248" w:rsidRPr="00F24450" w:rsidRDefault="005C1F23" w:rsidP="003D1C57">
      <w:pPr>
        <w:spacing w:line="360" w:lineRule="auto"/>
        <w:jc w:val="both"/>
        <w:rPr>
          <w:rFonts w:ascii="Garamond" w:hAnsi="Garamond"/>
          <w:b/>
        </w:rPr>
      </w:pPr>
      <w:r>
        <w:rPr>
          <w:rFonts w:ascii="Garamond" w:hAnsi="Garamond"/>
          <w:b/>
        </w:rPr>
        <w:t>3.3.</w:t>
      </w:r>
      <w:r w:rsidRPr="00F24450">
        <w:rPr>
          <w:rFonts w:ascii="Garamond" w:hAnsi="Garamond"/>
          <w:b/>
        </w:rPr>
        <w:t xml:space="preserve"> Study</w:t>
      </w:r>
      <w:r w:rsidR="00261248" w:rsidRPr="00F24450">
        <w:rPr>
          <w:rFonts w:ascii="Garamond" w:hAnsi="Garamond"/>
          <w:b/>
        </w:rPr>
        <w:t xml:space="preserve"> Design </w:t>
      </w:r>
    </w:p>
    <w:p w14:paraId="04CFBCDE" w14:textId="33736070" w:rsidR="001841CA" w:rsidRPr="00F24450" w:rsidRDefault="005C1F23" w:rsidP="003D1C57">
      <w:pPr>
        <w:spacing w:line="360" w:lineRule="auto"/>
        <w:jc w:val="both"/>
        <w:rPr>
          <w:rFonts w:ascii="Garamond" w:hAnsi="Garamond"/>
        </w:rPr>
      </w:pPr>
      <w:r>
        <w:rPr>
          <w:rFonts w:ascii="Garamond" w:hAnsi="Garamond"/>
          <w:b/>
          <w:bCs/>
        </w:rPr>
        <w:t>(a)</w:t>
      </w:r>
      <w:r w:rsidR="001841CA" w:rsidRPr="005D176E">
        <w:rPr>
          <w:rFonts w:ascii="Garamond" w:hAnsi="Garamond"/>
          <w:b/>
          <w:bCs/>
        </w:rPr>
        <w:t>Cross-sectional:</w:t>
      </w:r>
      <w:r w:rsidR="001841CA" w:rsidRPr="00F24450">
        <w:rPr>
          <w:rFonts w:ascii="Garamond" w:hAnsi="Garamond"/>
        </w:rPr>
        <w:t xml:space="preserve"> Data on climate experiences, household vulnerability, and socio-economic factors are collected at a single point in time to capture the current relationships and conditions.</w:t>
      </w:r>
    </w:p>
    <w:p w14:paraId="308D49D2" w14:textId="4AC8D3FD" w:rsidR="001841CA" w:rsidRPr="00F24450" w:rsidRDefault="005C1F23" w:rsidP="003D1C57">
      <w:pPr>
        <w:spacing w:line="360" w:lineRule="auto"/>
        <w:jc w:val="both"/>
        <w:rPr>
          <w:rFonts w:ascii="Garamond" w:hAnsi="Garamond"/>
        </w:rPr>
      </w:pPr>
      <w:r>
        <w:rPr>
          <w:rFonts w:ascii="Garamond" w:hAnsi="Garamond"/>
          <w:b/>
          <w:bCs/>
        </w:rPr>
        <w:t>(b)</w:t>
      </w:r>
      <w:r w:rsidR="001841CA" w:rsidRPr="005D176E">
        <w:rPr>
          <w:rFonts w:ascii="Garamond" w:hAnsi="Garamond"/>
          <w:b/>
          <w:bCs/>
        </w:rPr>
        <w:t>Mixed-methods:</w:t>
      </w:r>
      <w:r w:rsidR="001841CA" w:rsidRPr="00F24450">
        <w:rPr>
          <w:rFonts w:ascii="Garamond" w:hAnsi="Garamond"/>
        </w:rPr>
        <w:t xml:space="preserve"> Combines quantitative surveys (to measure socio-economic variables, climate impacts, and vulnerability indicators) with qualitative methods (focus group discussions or interviews to capture lived experiences, coping strategies, and perceptions).</w:t>
      </w:r>
    </w:p>
    <w:p w14:paraId="25D1BCDE" w14:textId="446C55FD" w:rsidR="001841CA" w:rsidRPr="00F24450" w:rsidRDefault="005C1F23" w:rsidP="003D1C57">
      <w:pPr>
        <w:pStyle w:val="NormalWeb"/>
        <w:spacing w:line="360" w:lineRule="auto"/>
        <w:jc w:val="both"/>
        <w:rPr>
          <w:rFonts w:ascii="Garamond" w:hAnsi="Garamond"/>
          <w:b/>
        </w:rPr>
      </w:pPr>
      <w:r>
        <w:rPr>
          <w:rFonts w:ascii="Garamond" w:hAnsi="Garamond"/>
          <w:b/>
        </w:rPr>
        <w:t>3.4.</w:t>
      </w:r>
      <w:r w:rsidR="001841CA" w:rsidRPr="00F24450">
        <w:rPr>
          <w:rFonts w:ascii="Garamond" w:hAnsi="Garamond"/>
          <w:b/>
        </w:rPr>
        <w:t xml:space="preserve"> Study Population</w:t>
      </w:r>
    </w:p>
    <w:p w14:paraId="6633FA42" w14:textId="6B25DFC7" w:rsidR="001841CA" w:rsidRPr="00F24450" w:rsidRDefault="001841CA" w:rsidP="003D1C57">
      <w:pPr>
        <w:spacing w:line="360" w:lineRule="auto"/>
        <w:jc w:val="both"/>
        <w:rPr>
          <w:rFonts w:ascii="Garamond" w:hAnsi="Garamond"/>
        </w:rPr>
      </w:pPr>
      <w:r w:rsidRPr="00F24450">
        <w:rPr>
          <w:rFonts w:ascii="Garamond" w:hAnsi="Garamond"/>
        </w:rPr>
        <w:t xml:space="preserve">Households living in Korogocho and </w:t>
      </w:r>
      <w:r w:rsidR="00D03D34">
        <w:rPr>
          <w:rFonts w:ascii="Garamond" w:hAnsi="Garamond"/>
        </w:rPr>
        <w:t>Kahawa soweto</w:t>
      </w:r>
      <w:r w:rsidRPr="00F24450">
        <w:rPr>
          <w:rFonts w:ascii="Garamond" w:hAnsi="Garamond"/>
        </w:rPr>
        <w:t xml:space="preserve"> informal settlements, Nairobi County.  Focus on adult household heads or caregivers who can provide information on household composition, income, livelihoods, and coping mechanisms.</w:t>
      </w:r>
    </w:p>
    <w:p w14:paraId="50D83C94" w14:textId="428FD2DF" w:rsidR="001841CA" w:rsidRPr="00F24450" w:rsidRDefault="001841CA" w:rsidP="003D1C57">
      <w:pPr>
        <w:spacing w:line="360" w:lineRule="auto"/>
        <w:jc w:val="both"/>
        <w:rPr>
          <w:rFonts w:ascii="Garamond" w:hAnsi="Garamond"/>
          <w:b/>
          <w:bCs/>
        </w:rPr>
      </w:pPr>
      <w:r w:rsidRPr="00F24450">
        <w:rPr>
          <w:rFonts w:ascii="Garamond" w:hAnsi="Garamond"/>
          <w:b/>
          <w:bCs/>
        </w:rPr>
        <w:t xml:space="preserve"> </w:t>
      </w:r>
      <w:r w:rsidR="005C1F23">
        <w:rPr>
          <w:rFonts w:ascii="Garamond" w:hAnsi="Garamond"/>
          <w:b/>
          <w:bCs/>
        </w:rPr>
        <w:t xml:space="preserve">3.5. </w:t>
      </w:r>
      <w:r w:rsidRPr="00F24450">
        <w:rPr>
          <w:rFonts w:ascii="Garamond" w:hAnsi="Garamond"/>
          <w:b/>
          <w:bCs/>
        </w:rPr>
        <w:t xml:space="preserve">Sampling Method </w:t>
      </w:r>
    </w:p>
    <w:p w14:paraId="0C240B16" w14:textId="4CAC35B6" w:rsidR="001841CA" w:rsidRPr="00F24450" w:rsidRDefault="001841CA" w:rsidP="003D1C57">
      <w:pPr>
        <w:spacing w:line="360" w:lineRule="auto"/>
        <w:jc w:val="both"/>
        <w:rPr>
          <w:rFonts w:ascii="Garamond" w:hAnsi="Garamond"/>
        </w:rPr>
      </w:pPr>
      <w:r w:rsidRPr="00F24450">
        <w:rPr>
          <w:rFonts w:ascii="Garamond" w:hAnsi="Garamond"/>
        </w:rPr>
        <w:lastRenderedPageBreak/>
        <w:t xml:space="preserve"> Multistage sampling which selected the settlements (Korogocho, </w:t>
      </w:r>
      <w:r w:rsidR="00D03D34">
        <w:rPr>
          <w:rFonts w:ascii="Garamond" w:hAnsi="Garamond"/>
        </w:rPr>
        <w:t>Kahawa soweto</w:t>
      </w:r>
      <w:r w:rsidRPr="00F24450">
        <w:rPr>
          <w:rFonts w:ascii="Garamond" w:hAnsi="Garamond"/>
        </w:rPr>
        <w:t>). Randomly selected households within each settlement to ensure representation across socio-economic strata and different exposure levels to climate variability.</w:t>
      </w:r>
    </w:p>
    <w:p w14:paraId="350E6159" w14:textId="71158DC3" w:rsidR="001841CA" w:rsidRPr="00F24450" w:rsidRDefault="005C1F23" w:rsidP="003D1C57">
      <w:pPr>
        <w:pStyle w:val="NormalWeb"/>
        <w:spacing w:line="360" w:lineRule="auto"/>
        <w:jc w:val="both"/>
        <w:rPr>
          <w:rFonts w:ascii="Garamond" w:hAnsi="Garamond"/>
          <w:b/>
        </w:rPr>
      </w:pPr>
      <w:r>
        <w:rPr>
          <w:rFonts w:ascii="Garamond" w:hAnsi="Garamond"/>
          <w:b/>
        </w:rPr>
        <w:t>3.6.</w:t>
      </w:r>
      <w:r w:rsidR="001841CA" w:rsidRPr="00F24450">
        <w:rPr>
          <w:rFonts w:ascii="Garamond" w:hAnsi="Garamond"/>
          <w:b/>
        </w:rPr>
        <w:t xml:space="preserve"> Data Collection Methods</w:t>
      </w:r>
    </w:p>
    <w:p w14:paraId="1B0C4AC1" w14:textId="3A5BAE31" w:rsidR="001841CA" w:rsidRPr="00F24450" w:rsidRDefault="001841CA" w:rsidP="003D1C57">
      <w:pPr>
        <w:spacing w:line="360" w:lineRule="auto"/>
        <w:jc w:val="both"/>
        <w:rPr>
          <w:rFonts w:ascii="Garamond" w:hAnsi="Garamond"/>
        </w:rPr>
      </w:pPr>
      <w:r w:rsidRPr="00F24450">
        <w:rPr>
          <w:rFonts w:ascii="Garamond" w:hAnsi="Garamond"/>
        </w:rPr>
        <w:t>Quantitative used structured questionnaires which captured socio-economic factors (income, education, employment, and social networks), Household vulnerability indicators (food security, health risks, income loss).Climate variability experiences (frequency of floods, droughts, extreme heat).Qualitative using semi-structured interviews or focus groups to explore: Household coping strategies, perceptions of climate impacts and social support systems and informal safety nets</w:t>
      </w:r>
      <w:r w:rsidR="000B01C8">
        <w:rPr>
          <w:rFonts w:ascii="Garamond" w:hAnsi="Garamond"/>
        </w:rPr>
        <w:t xml:space="preserve"> as shown in (Table 2).</w:t>
      </w:r>
    </w:p>
    <w:p w14:paraId="59C517CB" w14:textId="1F884BA7" w:rsidR="00842961" w:rsidRPr="00F24450" w:rsidRDefault="001841CA" w:rsidP="004E0A1E">
      <w:pPr>
        <w:pStyle w:val="MyTable"/>
      </w:pPr>
      <w:r w:rsidRPr="00F24450">
        <w:t xml:space="preserve"> </w:t>
      </w:r>
      <w:bookmarkStart w:id="5" w:name="_Toc217114251"/>
      <w:r w:rsidR="00842961" w:rsidRPr="00F24450">
        <w:t xml:space="preserve">Table </w:t>
      </w:r>
      <w:r w:rsidR="003D1C57">
        <w:t>2</w:t>
      </w:r>
      <w:r w:rsidR="00842961" w:rsidRPr="00F24450">
        <w:t>: Study Instruments and Applications</w:t>
      </w:r>
      <w:bookmarkEnd w:id="5"/>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62"/>
        <w:gridCol w:w="2193"/>
        <w:gridCol w:w="4805"/>
      </w:tblGrid>
      <w:tr w:rsidR="00842961" w:rsidRPr="00F24450" w14:paraId="3746797B" w14:textId="77777777" w:rsidTr="00664ADE">
        <w:trPr>
          <w:tblHeader/>
          <w:tblCellSpacing w:w="15" w:type="dxa"/>
        </w:trPr>
        <w:tc>
          <w:tcPr>
            <w:tcW w:w="0" w:type="auto"/>
            <w:tcBorders>
              <w:top w:val="single" w:sz="4" w:space="0" w:color="auto"/>
              <w:bottom w:val="single" w:sz="4" w:space="0" w:color="auto"/>
            </w:tcBorders>
            <w:vAlign w:val="center"/>
            <w:hideMark/>
          </w:tcPr>
          <w:p w14:paraId="792EA4A1" w14:textId="77777777" w:rsidR="00842961" w:rsidRPr="00F24450" w:rsidRDefault="00842961" w:rsidP="004E0A1E">
            <w:pPr>
              <w:spacing w:line="240" w:lineRule="auto"/>
              <w:jc w:val="both"/>
              <w:rPr>
                <w:rFonts w:ascii="Garamond" w:hAnsi="Garamond" w:cs="Times New Roman"/>
                <w:b/>
                <w:bCs/>
              </w:rPr>
            </w:pPr>
            <w:r w:rsidRPr="00F24450">
              <w:rPr>
                <w:rFonts w:ascii="Garamond" w:hAnsi="Garamond" w:cs="Times New Roman"/>
                <w:b/>
                <w:bCs/>
              </w:rPr>
              <w:t>Instrument</w:t>
            </w:r>
          </w:p>
        </w:tc>
        <w:tc>
          <w:tcPr>
            <w:tcW w:w="0" w:type="auto"/>
            <w:tcBorders>
              <w:top w:val="single" w:sz="4" w:space="0" w:color="auto"/>
              <w:bottom w:val="single" w:sz="4" w:space="0" w:color="auto"/>
            </w:tcBorders>
            <w:vAlign w:val="center"/>
            <w:hideMark/>
          </w:tcPr>
          <w:p w14:paraId="0D6EA52F" w14:textId="77777777" w:rsidR="00842961" w:rsidRPr="00F24450" w:rsidRDefault="00842961" w:rsidP="004E0A1E">
            <w:pPr>
              <w:spacing w:line="240" w:lineRule="auto"/>
              <w:jc w:val="both"/>
              <w:rPr>
                <w:rFonts w:ascii="Garamond" w:hAnsi="Garamond" w:cs="Times New Roman"/>
                <w:b/>
                <w:bCs/>
              </w:rPr>
            </w:pPr>
            <w:r w:rsidRPr="00F24450">
              <w:rPr>
                <w:rFonts w:ascii="Garamond" w:hAnsi="Garamond" w:cs="Times New Roman"/>
                <w:b/>
                <w:bCs/>
              </w:rPr>
              <w:t>Type of Data</w:t>
            </w:r>
          </w:p>
        </w:tc>
        <w:tc>
          <w:tcPr>
            <w:tcW w:w="0" w:type="auto"/>
            <w:tcBorders>
              <w:top w:val="single" w:sz="4" w:space="0" w:color="auto"/>
              <w:bottom w:val="single" w:sz="4" w:space="0" w:color="auto"/>
            </w:tcBorders>
            <w:vAlign w:val="center"/>
            <w:hideMark/>
          </w:tcPr>
          <w:p w14:paraId="68C3B6BE" w14:textId="77777777" w:rsidR="00842961" w:rsidRPr="00F24450" w:rsidRDefault="00842961" w:rsidP="004E0A1E">
            <w:pPr>
              <w:spacing w:line="240" w:lineRule="auto"/>
              <w:jc w:val="both"/>
              <w:rPr>
                <w:rFonts w:ascii="Garamond" w:hAnsi="Garamond" w:cs="Times New Roman"/>
                <w:b/>
                <w:bCs/>
              </w:rPr>
            </w:pPr>
            <w:r w:rsidRPr="00F24450">
              <w:rPr>
                <w:rFonts w:ascii="Garamond" w:hAnsi="Garamond" w:cs="Times New Roman"/>
                <w:b/>
                <w:bCs/>
              </w:rPr>
              <w:t>Application</w:t>
            </w:r>
          </w:p>
        </w:tc>
      </w:tr>
      <w:tr w:rsidR="00842961" w:rsidRPr="00F24450" w14:paraId="54A01D8F" w14:textId="77777777" w:rsidTr="00664ADE">
        <w:trPr>
          <w:tblCellSpacing w:w="15" w:type="dxa"/>
        </w:trPr>
        <w:tc>
          <w:tcPr>
            <w:tcW w:w="0" w:type="auto"/>
            <w:vAlign w:val="center"/>
            <w:hideMark/>
          </w:tcPr>
          <w:p w14:paraId="25AF3116" w14:textId="77777777" w:rsidR="00842961" w:rsidRPr="00F24450" w:rsidRDefault="00842961" w:rsidP="004E0A1E">
            <w:pPr>
              <w:spacing w:line="240" w:lineRule="auto"/>
              <w:rPr>
                <w:rFonts w:ascii="Garamond" w:hAnsi="Garamond" w:cs="Times New Roman"/>
              </w:rPr>
            </w:pPr>
            <w:r w:rsidRPr="00F24450">
              <w:rPr>
                <w:rFonts w:ascii="Garamond" w:hAnsi="Garamond" w:cs="Times New Roman"/>
              </w:rPr>
              <w:t>Structured Questionnaire</w:t>
            </w:r>
          </w:p>
        </w:tc>
        <w:tc>
          <w:tcPr>
            <w:tcW w:w="0" w:type="auto"/>
            <w:vAlign w:val="center"/>
            <w:hideMark/>
          </w:tcPr>
          <w:p w14:paraId="4CFAE4D2" w14:textId="77777777" w:rsidR="00842961" w:rsidRPr="00F24450" w:rsidRDefault="00842961" w:rsidP="004E0A1E">
            <w:pPr>
              <w:spacing w:line="240" w:lineRule="auto"/>
              <w:jc w:val="both"/>
              <w:rPr>
                <w:rFonts w:ascii="Garamond" w:hAnsi="Garamond" w:cs="Times New Roman"/>
              </w:rPr>
            </w:pPr>
            <w:r w:rsidRPr="00F24450">
              <w:rPr>
                <w:rFonts w:ascii="Garamond" w:hAnsi="Garamond" w:cs="Times New Roman"/>
              </w:rPr>
              <w:t>Quantitative &amp; qualitative</w:t>
            </w:r>
          </w:p>
        </w:tc>
        <w:tc>
          <w:tcPr>
            <w:tcW w:w="0" w:type="auto"/>
            <w:vAlign w:val="center"/>
            <w:hideMark/>
          </w:tcPr>
          <w:p w14:paraId="50291F3C" w14:textId="77777777" w:rsidR="00842961" w:rsidRPr="00F24450" w:rsidRDefault="00842961" w:rsidP="004E0A1E">
            <w:pPr>
              <w:spacing w:line="240" w:lineRule="auto"/>
              <w:jc w:val="both"/>
              <w:rPr>
                <w:rFonts w:ascii="Garamond" w:hAnsi="Garamond" w:cs="Times New Roman"/>
              </w:rPr>
            </w:pPr>
            <w:r w:rsidRPr="00F24450">
              <w:rPr>
                <w:rFonts w:ascii="Garamond" w:hAnsi="Garamond" w:cs="Times New Roman"/>
              </w:rPr>
              <w:t>Measure exposure, impacts, and socioeconomic vulnerability</w:t>
            </w:r>
          </w:p>
        </w:tc>
      </w:tr>
      <w:tr w:rsidR="00842961" w:rsidRPr="00F24450" w14:paraId="1222722A" w14:textId="77777777" w:rsidTr="00664ADE">
        <w:trPr>
          <w:tblCellSpacing w:w="15" w:type="dxa"/>
        </w:trPr>
        <w:tc>
          <w:tcPr>
            <w:tcW w:w="0" w:type="auto"/>
            <w:vAlign w:val="center"/>
            <w:hideMark/>
          </w:tcPr>
          <w:p w14:paraId="1D9ACBD8" w14:textId="77777777" w:rsidR="00842961" w:rsidRPr="00F24450" w:rsidRDefault="00842961" w:rsidP="004E0A1E">
            <w:pPr>
              <w:spacing w:line="240" w:lineRule="auto"/>
              <w:rPr>
                <w:rFonts w:ascii="Garamond" w:hAnsi="Garamond" w:cs="Times New Roman"/>
              </w:rPr>
            </w:pPr>
            <w:r w:rsidRPr="00F24450">
              <w:rPr>
                <w:rFonts w:ascii="Garamond" w:hAnsi="Garamond" w:cs="Times New Roman"/>
              </w:rPr>
              <w:t>Key Informant Interviews</w:t>
            </w:r>
          </w:p>
        </w:tc>
        <w:tc>
          <w:tcPr>
            <w:tcW w:w="0" w:type="auto"/>
            <w:vAlign w:val="center"/>
            <w:hideMark/>
          </w:tcPr>
          <w:p w14:paraId="568AEF97" w14:textId="77777777" w:rsidR="00842961" w:rsidRPr="00F24450" w:rsidRDefault="00842961" w:rsidP="004E0A1E">
            <w:pPr>
              <w:spacing w:line="240" w:lineRule="auto"/>
              <w:jc w:val="both"/>
              <w:rPr>
                <w:rFonts w:ascii="Garamond" w:hAnsi="Garamond" w:cs="Times New Roman"/>
              </w:rPr>
            </w:pPr>
            <w:r w:rsidRPr="00F24450">
              <w:rPr>
                <w:rFonts w:ascii="Garamond" w:hAnsi="Garamond" w:cs="Times New Roman"/>
              </w:rPr>
              <w:t>Qualitative</w:t>
            </w:r>
          </w:p>
        </w:tc>
        <w:tc>
          <w:tcPr>
            <w:tcW w:w="0" w:type="auto"/>
            <w:vAlign w:val="center"/>
            <w:hideMark/>
          </w:tcPr>
          <w:p w14:paraId="2B1650B1" w14:textId="77777777" w:rsidR="00842961" w:rsidRPr="00F24450" w:rsidRDefault="00842961" w:rsidP="004E0A1E">
            <w:pPr>
              <w:spacing w:line="240" w:lineRule="auto"/>
              <w:jc w:val="both"/>
              <w:rPr>
                <w:rFonts w:ascii="Garamond" w:hAnsi="Garamond" w:cs="Times New Roman"/>
              </w:rPr>
            </w:pPr>
            <w:r w:rsidRPr="00F24450">
              <w:rPr>
                <w:rFonts w:ascii="Garamond" w:hAnsi="Garamond" w:cs="Times New Roman"/>
              </w:rPr>
              <w:t>Capture institutional and historical perspectives</w:t>
            </w:r>
          </w:p>
        </w:tc>
      </w:tr>
      <w:tr w:rsidR="00842961" w:rsidRPr="00F24450" w14:paraId="73070F20" w14:textId="77777777" w:rsidTr="00664ADE">
        <w:trPr>
          <w:tblCellSpacing w:w="15" w:type="dxa"/>
        </w:trPr>
        <w:tc>
          <w:tcPr>
            <w:tcW w:w="0" w:type="auto"/>
            <w:vAlign w:val="center"/>
            <w:hideMark/>
          </w:tcPr>
          <w:p w14:paraId="4E828342" w14:textId="77777777" w:rsidR="00842961" w:rsidRPr="00F24450" w:rsidRDefault="00842961" w:rsidP="004E0A1E">
            <w:pPr>
              <w:spacing w:line="240" w:lineRule="auto"/>
              <w:rPr>
                <w:rFonts w:ascii="Garamond" w:hAnsi="Garamond" w:cs="Times New Roman"/>
              </w:rPr>
            </w:pPr>
            <w:r w:rsidRPr="00F24450">
              <w:rPr>
                <w:rFonts w:ascii="Garamond" w:hAnsi="Garamond" w:cs="Times New Roman"/>
              </w:rPr>
              <w:t>Focus Group Discussions</w:t>
            </w:r>
          </w:p>
        </w:tc>
        <w:tc>
          <w:tcPr>
            <w:tcW w:w="0" w:type="auto"/>
            <w:vAlign w:val="center"/>
            <w:hideMark/>
          </w:tcPr>
          <w:p w14:paraId="7FF2582F" w14:textId="77777777" w:rsidR="00842961" w:rsidRPr="00F24450" w:rsidRDefault="00842961" w:rsidP="004E0A1E">
            <w:pPr>
              <w:spacing w:line="240" w:lineRule="auto"/>
              <w:jc w:val="both"/>
              <w:rPr>
                <w:rFonts w:ascii="Garamond" w:hAnsi="Garamond" w:cs="Times New Roman"/>
              </w:rPr>
            </w:pPr>
            <w:r w:rsidRPr="00F24450">
              <w:rPr>
                <w:rFonts w:ascii="Garamond" w:hAnsi="Garamond" w:cs="Times New Roman"/>
              </w:rPr>
              <w:t>Qualitative</w:t>
            </w:r>
          </w:p>
        </w:tc>
        <w:tc>
          <w:tcPr>
            <w:tcW w:w="0" w:type="auto"/>
            <w:vAlign w:val="center"/>
            <w:hideMark/>
          </w:tcPr>
          <w:p w14:paraId="0F2E01C8" w14:textId="77777777" w:rsidR="00842961" w:rsidRPr="00F24450" w:rsidRDefault="00842961" w:rsidP="004E0A1E">
            <w:pPr>
              <w:spacing w:line="240" w:lineRule="auto"/>
              <w:jc w:val="both"/>
              <w:rPr>
                <w:rFonts w:ascii="Garamond" w:hAnsi="Garamond" w:cs="Times New Roman"/>
              </w:rPr>
            </w:pPr>
            <w:r w:rsidRPr="00F24450">
              <w:rPr>
                <w:rFonts w:ascii="Garamond" w:hAnsi="Garamond" w:cs="Times New Roman"/>
              </w:rPr>
              <w:t>Explore collective experiences and adaptation strategies</w:t>
            </w:r>
          </w:p>
        </w:tc>
      </w:tr>
      <w:tr w:rsidR="00842961" w:rsidRPr="00F24450" w14:paraId="31D272A1" w14:textId="77777777" w:rsidTr="00664ADE">
        <w:trPr>
          <w:tblCellSpacing w:w="15" w:type="dxa"/>
        </w:trPr>
        <w:tc>
          <w:tcPr>
            <w:tcW w:w="0" w:type="auto"/>
            <w:tcBorders>
              <w:bottom w:val="single" w:sz="4" w:space="0" w:color="auto"/>
            </w:tcBorders>
            <w:vAlign w:val="center"/>
            <w:hideMark/>
          </w:tcPr>
          <w:p w14:paraId="70DC24AD" w14:textId="77777777" w:rsidR="00842961" w:rsidRPr="00F24450" w:rsidRDefault="00842961" w:rsidP="004E0A1E">
            <w:pPr>
              <w:spacing w:line="240" w:lineRule="auto"/>
              <w:rPr>
                <w:rFonts w:ascii="Garamond" w:hAnsi="Garamond" w:cs="Times New Roman"/>
              </w:rPr>
            </w:pPr>
            <w:r w:rsidRPr="00F24450">
              <w:rPr>
                <w:rFonts w:ascii="Garamond" w:hAnsi="Garamond" w:cs="Times New Roman"/>
              </w:rPr>
              <w:t>Observation/Field Visits</w:t>
            </w:r>
          </w:p>
        </w:tc>
        <w:tc>
          <w:tcPr>
            <w:tcW w:w="0" w:type="auto"/>
            <w:tcBorders>
              <w:bottom w:val="single" w:sz="4" w:space="0" w:color="auto"/>
            </w:tcBorders>
            <w:vAlign w:val="center"/>
            <w:hideMark/>
          </w:tcPr>
          <w:p w14:paraId="4877E9F9" w14:textId="77777777" w:rsidR="00842961" w:rsidRPr="00F24450" w:rsidRDefault="00842961" w:rsidP="004E0A1E">
            <w:pPr>
              <w:spacing w:line="240" w:lineRule="auto"/>
              <w:jc w:val="both"/>
              <w:rPr>
                <w:rFonts w:ascii="Garamond" w:hAnsi="Garamond" w:cs="Times New Roman"/>
              </w:rPr>
            </w:pPr>
            <w:r w:rsidRPr="00F24450">
              <w:rPr>
                <w:rFonts w:ascii="Garamond" w:hAnsi="Garamond" w:cs="Times New Roman"/>
              </w:rPr>
              <w:t>Qualitative</w:t>
            </w:r>
          </w:p>
        </w:tc>
        <w:tc>
          <w:tcPr>
            <w:tcW w:w="0" w:type="auto"/>
            <w:tcBorders>
              <w:bottom w:val="single" w:sz="4" w:space="0" w:color="auto"/>
            </w:tcBorders>
            <w:vAlign w:val="center"/>
            <w:hideMark/>
          </w:tcPr>
          <w:p w14:paraId="3B57C94D" w14:textId="77777777" w:rsidR="00842961" w:rsidRPr="00F24450" w:rsidRDefault="00842961" w:rsidP="004E0A1E">
            <w:pPr>
              <w:spacing w:line="240" w:lineRule="auto"/>
              <w:jc w:val="both"/>
              <w:rPr>
                <w:rFonts w:ascii="Garamond" w:hAnsi="Garamond" w:cs="Times New Roman"/>
              </w:rPr>
            </w:pPr>
            <w:r w:rsidRPr="00F24450">
              <w:rPr>
                <w:rFonts w:ascii="Garamond" w:hAnsi="Garamond" w:cs="Times New Roman"/>
              </w:rPr>
              <w:t>Verify conditions and adaptive practices</w:t>
            </w:r>
          </w:p>
        </w:tc>
      </w:tr>
    </w:tbl>
    <w:p w14:paraId="7184544A" w14:textId="717BF09F" w:rsidR="00842961" w:rsidRPr="00F24450" w:rsidRDefault="00842961" w:rsidP="004E0A1E">
      <w:pPr>
        <w:pStyle w:val="MyTable"/>
      </w:pPr>
      <w:bookmarkStart w:id="6" w:name="_Toc217114252"/>
      <w:r w:rsidRPr="00F24450">
        <w:t>Table 3</w:t>
      </w:r>
      <w:r w:rsidR="005D176E">
        <w:t>:</w:t>
      </w:r>
      <w:r w:rsidRPr="00F24450">
        <w:t xml:space="preserve"> Data Analysis Approaches</w:t>
      </w:r>
      <w:bookmarkEnd w:id="6"/>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47"/>
        <w:gridCol w:w="2374"/>
        <w:gridCol w:w="3339"/>
      </w:tblGrid>
      <w:tr w:rsidR="00842961" w:rsidRPr="00F24450" w14:paraId="1BD6DA2F" w14:textId="77777777" w:rsidTr="00664ADE">
        <w:trPr>
          <w:tblHeader/>
          <w:tblCellSpacing w:w="15" w:type="dxa"/>
        </w:trPr>
        <w:tc>
          <w:tcPr>
            <w:tcW w:w="0" w:type="auto"/>
            <w:tcBorders>
              <w:top w:val="single" w:sz="4" w:space="0" w:color="auto"/>
              <w:bottom w:val="single" w:sz="4" w:space="0" w:color="auto"/>
            </w:tcBorders>
            <w:vAlign w:val="center"/>
            <w:hideMark/>
          </w:tcPr>
          <w:p w14:paraId="7CA297DC" w14:textId="77777777" w:rsidR="00842961" w:rsidRPr="00F24450" w:rsidRDefault="00842961" w:rsidP="004E0A1E">
            <w:pPr>
              <w:spacing w:line="240" w:lineRule="auto"/>
              <w:jc w:val="both"/>
              <w:rPr>
                <w:rFonts w:ascii="Garamond" w:hAnsi="Garamond" w:cs="Times New Roman"/>
                <w:b/>
                <w:bCs/>
              </w:rPr>
            </w:pPr>
            <w:r w:rsidRPr="00F24450">
              <w:rPr>
                <w:rFonts w:ascii="Garamond" w:hAnsi="Garamond" w:cs="Times New Roman"/>
                <w:b/>
                <w:bCs/>
              </w:rPr>
              <w:t>Objective</w:t>
            </w:r>
          </w:p>
        </w:tc>
        <w:tc>
          <w:tcPr>
            <w:tcW w:w="0" w:type="auto"/>
            <w:tcBorders>
              <w:top w:val="single" w:sz="4" w:space="0" w:color="auto"/>
              <w:bottom w:val="single" w:sz="4" w:space="0" w:color="auto"/>
            </w:tcBorders>
            <w:vAlign w:val="center"/>
            <w:hideMark/>
          </w:tcPr>
          <w:p w14:paraId="04A8D23B" w14:textId="77777777" w:rsidR="00842961" w:rsidRPr="00F24450" w:rsidRDefault="00842961" w:rsidP="004E0A1E">
            <w:pPr>
              <w:spacing w:line="240" w:lineRule="auto"/>
              <w:jc w:val="both"/>
              <w:rPr>
                <w:rFonts w:ascii="Garamond" w:hAnsi="Garamond" w:cs="Times New Roman"/>
                <w:b/>
                <w:bCs/>
              </w:rPr>
            </w:pPr>
            <w:r w:rsidRPr="00F24450">
              <w:rPr>
                <w:rFonts w:ascii="Garamond" w:hAnsi="Garamond" w:cs="Times New Roman"/>
                <w:b/>
                <w:bCs/>
              </w:rPr>
              <w:t>Type of Data</w:t>
            </w:r>
          </w:p>
        </w:tc>
        <w:tc>
          <w:tcPr>
            <w:tcW w:w="0" w:type="auto"/>
            <w:tcBorders>
              <w:top w:val="single" w:sz="4" w:space="0" w:color="auto"/>
              <w:bottom w:val="single" w:sz="4" w:space="0" w:color="auto"/>
            </w:tcBorders>
            <w:vAlign w:val="center"/>
            <w:hideMark/>
          </w:tcPr>
          <w:p w14:paraId="5B95C5EC" w14:textId="77777777" w:rsidR="00842961" w:rsidRPr="00F24450" w:rsidRDefault="00842961" w:rsidP="004E0A1E">
            <w:pPr>
              <w:spacing w:line="240" w:lineRule="auto"/>
              <w:jc w:val="both"/>
              <w:rPr>
                <w:rFonts w:ascii="Garamond" w:hAnsi="Garamond" w:cs="Times New Roman"/>
                <w:b/>
                <w:bCs/>
              </w:rPr>
            </w:pPr>
            <w:r w:rsidRPr="00F24450">
              <w:rPr>
                <w:rFonts w:ascii="Garamond" w:hAnsi="Garamond" w:cs="Times New Roman"/>
                <w:b/>
                <w:bCs/>
              </w:rPr>
              <w:t>Analysis Method</w:t>
            </w:r>
          </w:p>
        </w:tc>
      </w:tr>
      <w:tr w:rsidR="00842961" w:rsidRPr="00F24450" w14:paraId="7EE6E76C" w14:textId="77777777" w:rsidTr="00664ADE">
        <w:trPr>
          <w:trHeight w:val="870"/>
          <w:tblCellSpacing w:w="15" w:type="dxa"/>
        </w:trPr>
        <w:tc>
          <w:tcPr>
            <w:tcW w:w="0" w:type="auto"/>
            <w:vAlign w:val="center"/>
            <w:hideMark/>
          </w:tcPr>
          <w:p w14:paraId="1C7D02AF" w14:textId="77777777" w:rsidR="00842961" w:rsidRPr="00F24450" w:rsidRDefault="00842961" w:rsidP="004E0A1E">
            <w:pPr>
              <w:spacing w:line="240" w:lineRule="auto"/>
              <w:jc w:val="both"/>
              <w:rPr>
                <w:rFonts w:ascii="Garamond" w:hAnsi="Garamond" w:cs="Times New Roman"/>
              </w:rPr>
            </w:pPr>
            <w:r w:rsidRPr="00F24450">
              <w:rPr>
                <w:rFonts w:ascii="Garamond" w:hAnsi="Garamond" w:cs="Times New Roman"/>
              </w:rPr>
              <w:t>Examine climate variability trends</w:t>
            </w:r>
          </w:p>
        </w:tc>
        <w:tc>
          <w:tcPr>
            <w:tcW w:w="0" w:type="auto"/>
            <w:vAlign w:val="center"/>
            <w:hideMark/>
          </w:tcPr>
          <w:p w14:paraId="02DCC39A" w14:textId="77777777" w:rsidR="00842961" w:rsidRPr="00F24450" w:rsidRDefault="00842961" w:rsidP="004E0A1E">
            <w:pPr>
              <w:spacing w:line="240" w:lineRule="auto"/>
              <w:jc w:val="both"/>
              <w:rPr>
                <w:rFonts w:ascii="Garamond" w:hAnsi="Garamond" w:cs="Times New Roman"/>
              </w:rPr>
            </w:pPr>
            <w:r w:rsidRPr="00F24450">
              <w:rPr>
                <w:rFonts w:ascii="Garamond" w:hAnsi="Garamond" w:cs="Times New Roman"/>
              </w:rPr>
              <w:t>Quantitative (secondary &amp; survey)</w:t>
            </w:r>
          </w:p>
        </w:tc>
        <w:tc>
          <w:tcPr>
            <w:tcW w:w="0" w:type="auto"/>
            <w:vAlign w:val="center"/>
            <w:hideMark/>
          </w:tcPr>
          <w:p w14:paraId="6A489E1E" w14:textId="77777777" w:rsidR="00842961" w:rsidRPr="00F24450" w:rsidRDefault="00842961" w:rsidP="004E0A1E">
            <w:pPr>
              <w:spacing w:line="240" w:lineRule="auto"/>
              <w:jc w:val="both"/>
              <w:rPr>
                <w:rFonts w:ascii="Garamond" w:hAnsi="Garamond" w:cs="Times New Roman"/>
              </w:rPr>
            </w:pPr>
            <w:r w:rsidRPr="00F24450">
              <w:rPr>
                <w:rFonts w:ascii="Garamond" w:hAnsi="Garamond" w:cs="Times New Roman"/>
              </w:rPr>
              <w:t>Time-series, descriptive statistics, frequency analysis</w:t>
            </w:r>
          </w:p>
        </w:tc>
      </w:tr>
      <w:tr w:rsidR="00842961" w:rsidRPr="00F24450" w14:paraId="0343F17D" w14:textId="77777777" w:rsidTr="00664ADE">
        <w:trPr>
          <w:tblCellSpacing w:w="15" w:type="dxa"/>
        </w:trPr>
        <w:tc>
          <w:tcPr>
            <w:tcW w:w="0" w:type="auto"/>
            <w:vAlign w:val="center"/>
            <w:hideMark/>
          </w:tcPr>
          <w:p w14:paraId="7B491B1C" w14:textId="77777777" w:rsidR="00842961" w:rsidRPr="00F24450" w:rsidRDefault="00842961" w:rsidP="004E0A1E">
            <w:pPr>
              <w:spacing w:line="240" w:lineRule="auto"/>
              <w:jc w:val="both"/>
              <w:rPr>
                <w:rFonts w:ascii="Garamond" w:hAnsi="Garamond" w:cs="Times New Roman"/>
              </w:rPr>
            </w:pPr>
            <w:r w:rsidRPr="00F24450">
              <w:rPr>
                <w:rFonts w:ascii="Garamond" w:hAnsi="Garamond" w:cs="Times New Roman"/>
              </w:rPr>
              <w:t>Analyze socioeconomic factors &amp; coping strategies</w:t>
            </w:r>
          </w:p>
        </w:tc>
        <w:tc>
          <w:tcPr>
            <w:tcW w:w="0" w:type="auto"/>
            <w:vAlign w:val="center"/>
            <w:hideMark/>
          </w:tcPr>
          <w:p w14:paraId="3EA1EB32" w14:textId="77777777" w:rsidR="00842961" w:rsidRPr="00F24450" w:rsidRDefault="00842961" w:rsidP="004E0A1E">
            <w:pPr>
              <w:spacing w:line="240" w:lineRule="auto"/>
              <w:jc w:val="both"/>
              <w:rPr>
                <w:rFonts w:ascii="Garamond" w:hAnsi="Garamond" w:cs="Times New Roman"/>
              </w:rPr>
            </w:pPr>
            <w:r w:rsidRPr="00F24450">
              <w:rPr>
                <w:rFonts w:ascii="Garamond" w:hAnsi="Garamond" w:cs="Times New Roman"/>
              </w:rPr>
              <w:t>Mixed (quantitative &amp; qualitative)</w:t>
            </w:r>
          </w:p>
        </w:tc>
        <w:tc>
          <w:tcPr>
            <w:tcW w:w="0" w:type="auto"/>
            <w:vAlign w:val="center"/>
            <w:hideMark/>
          </w:tcPr>
          <w:p w14:paraId="64C8B7E6" w14:textId="77777777" w:rsidR="00842961" w:rsidRPr="00F24450" w:rsidRDefault="00842961" w:rsidP="004E0A1E">
            <w:pPr>
              <w:spacing w:line="240" w:lineRule="auto"/>
              <w:jc w:val="both"/>
              <w:rPr>
                <w:rFonts w:ascii="Garamond" w:hAnsi="Garamond" w:cs="Times New Roman"/>
              </w:rPr>
            </w:pPr>
            <w:r w:rsidRPr="00F24450">
              <w:rPr>
                <w:rFonts w:ascii="Garamond" w:hAnsi="Garamond" w:cs="Times New Roman"/>
              </w:rPr>
              <w:t>Descriptive stats, correlations, thematic analysis</w:t>
            </w:r>
          </w:p>
        </w:tc>
      </w:tr>
      <w:tr w:rsidR="00842961" w:rsidRPr="00F24450" w14:paraId="1D7DB81B" w14:textId="77777777" w:rsidTr="00664ADE">
        <w:trPr>
          <w:tblCellSpacing w:w="15" w:type="dxa"/>
        </w:trPr>
        <w:tc>
          <w:tcPr>
            <w:tcW w:w="0" w:type="auto"/>
            <w:vAlign w:val="center"/>
            <w:hideMark/>
          </w:tcPr>
          <w:p w14:paraId="6093F058" w14:textId="77777777" w:rsidR="00842961" w:rsidRPr="00F24450" w:rsidRDefault="00842961" w:rsidP="004E0A1E">
            <w:pPr>
              <w:spacing w:line="240" w:lineRule="auto"/>
              <w:jc w:val="both"/>
              <w:rPr>
                <w:rFonts w:ascii="Garamond" w:hAnsi="Garamond" w:cs="Times New Roman"/>
              </w:rPr>
            </w:pPr>
            <w:r w:rsidRPr="00F24450">
              <w:rPr>
                <w:rFonts w:ascii="Garamond" w:hAnsi="Garamond" w:cs="Times New Roman"/>
              </w:rPr>
              <w:t>Identify spatial/infrastructural exposure</w:t>
            </w:r>
          </w:p>
        </w:tc>
        <w:tc>
          <w:tcPr>
            <w:tcW w:w="0" w:type="auto"/>
            <w:vAlign w:val="center"/>
            <w:hideMark/>
          </w:tcPr>
          <w:p w14:paraId="2678590F" w14:textId="77777777" w:rsidR="00842961" w:rsidRPr="00F24450" w:rsidRDefault="00842961" w:rsidP="004E0A1E">
            <w:pPr>
              <w:spacing w:line="240" w:lineRule="auto"/>
              <w:jc w:val="both"/>
              <w:rPr>
                <w:rFonts w:ascii="Garamond" w:hAnsi="Garamond" w:cs="Times New Roman"/>
              </w:rPr>
            </w:pPr>
            <w:r w:rsidRPr="00F24450">
              <w:rPr>
                <w:rFonts w:ascii="Garamond" w:hAnsi="Garamond" w:cs="Times New Roman"/>
              </w:rPr>
              <w:t>Qualitative &amp; GIS</w:t>
            </w:r>
          </w:p>
        </w:tc>
        <w:tc>
          <w:tcPr>
            <w:tcW w:w="0" w:type="auto"/>
            <w:vAlign w:val="center"/>
            <w:hideMark/>
          </w:tcPr>
          <w:p w14:paraId="71FD4CF1" w14:textId="77777777" w:rsidR="00842961" w:rsidRPr="00F24450" w:rsidRDefault="00842961" w:rsidP="004E0A1E">
            <w:pPr>
              <w:spacing w:line="240" w:lineRule="auto"/>
              <w:jc w:val="both"/>
              <w:rPr>
                <w:rFonts w:ascii="Garamond" w:hAnsi="Garamond" w:cs="Times New Roman"/>
              </w:rPr>
            </w:pPr>
            <w:r w:rsidRPr="00F24450">
              <w:rPr>
                <w:rFonts w:ascii="Garamond" w:hAnsi="Garamond" w:cs="Times New Roman"/>
              </w:rPr>
              <w:t>GIS mapping, descriptive analysis</w:t>
            </w:r>
          </w:p>
        </w:tc>
      </w:tr>
      <w:tr w:rsidR="00842961" w:rsidRPr="00F24450" w14:paraId="6BCF6A59" w14:textId="77777777" w:rsidTr="00664ADE">
        <w:trPr>
          <w:tblCellSpacing w:w="15" w:type="dxa"/>
        </w:trPr>
        <w:tc>
          <w:tcPr>
            <w:tcW w:w="0" w:type="auto"/>
            <w:tcBorders>
              <w:bottom w:val="single" w:sz="4" w:space="0" w:color="auto"/>
            </w:tcBorders>
            <w:vAlign w:val="center"/>
            <w:hideMark/>
          </w:tcPr>
          <w:p w14:paraId="7B0CB5B4" w14:textId="77777777" w:rsidR="00842961" w:rsidRPr="00F24450" w:rsidRDefault="00842961" w:rsidP="004E0A1E">
            <w:pPr>
              <w:spacing w:line="240" w:lineRule="auto"/>
              <w:jc w:val="both"/>
              <w:rPr>
                <w:rFonts w:ascii="Garamond" w:hAnsi="Garamond" w:cs="Times New Roman"/>
              </w:rPr>
            </w:pPr>
            <w:r w:rsidRPr="00F24450">
              <w:rPr>
                <w:rFonts w:ascii="Garamond" w:hAnsi="Garamond" w:cs="Times New Roman"/>
              </w:rPr>
              <w:lastRenderedPageBreak/>
              <w:t>Propose community-centered adaptation strategies</w:t>
            </w:r>
          </w:p>
        </w:tc>
        <w:tc>
          <w:tcPr>
            <w:tcW w:w="0" w:type="auto"/>
            <w:tcBorders>
              <w:bottom w:val="single" w:sz="4" w:space="0" w:color="auto"/>
            </w:tcBorders>
            <w:vAlign w:val="center"/>
            <w:hideMark/>
          </w:tcPr>
          <w:p w14:paraId="31A3A8B0" w14:textId="77777777" w:rsidR="00842961" w:rsidRPr="00F24450" w:rsidRDefault="00842961" w:rsidP="004E0A1E">
            <w:pPr>
              <w:spacing w:line="240" w:lineRule="auto"/>
              <w:jc w:val="both"/>
              <w:rPr>
                <w:rFonts w:ascii="Garamond" w:hAnsi="Garamond" w:cs="Times New Roman"/>
              </w:rPr>
            </w:pPr>
            <w:r w:rsidRPr="00F24450">
              <w:rPr>
                <w:rFonts w:ascii="Garamond" w:hAnsi="Garamond" w:cs="Times New Roman"/>
              </w:rPr>
              <w:t>Qualitative</w:t>
            </w:r>
          </w:p>
        </w:tc>
        <w:tc>
          <w:tcPr>
            <w:tcW w:w="0" w:type="auto"/>
            <w:tcBorders>
              <w:bottom w:val="single" w:sz="4" w:space="0" w:color="auto"/>
            </w:tcBorders>
            <w:vAlign w:val="center"/>
            <w:hideMark/>
          </w:tcPr>
          <w:p w14:paraId="6E8B29CC" w14:textId="77777777" w:rsidR="00842961" w:rsidRPr="00F24450" w:rsidRDefault="00842961" w:rsidP="004E0A1E">
            <w:pPr>
              <w:spacing w:line="240" w:lineRule="auto"/>
              <w:jc w:val="both"/>
              <w:rPr>
                <w:rFonts w:ascii="Garamond" w:hAnsi="Garamond" w:cs="Times New Roman"/>
              </w:rPr>
            </w:pPr>
            <w:r w:rsidRPr="00F24450">
              <w:rPr>
                <w:rFonts w:ascii="Garamond" w:hAnsi="Garamond" w:cs="Times New Roman"/>
              </w:rPr>
              <w:t>Thematic analysis, triangulation of sources</w:t>
            </w:r>
          </w:p>
        </w:tc>
      </w:tr>
    </w:tbl>
    <w:p w14:paraId="0F2FC043" w14:textId="77777777" w:rsidR="00842961" w:rsidRPr="00F24450" w:rsidRDefault="00842961" w:rsidP="003D1C57">
      <w:pPr>
        <w:spacing w:line="360" w:lineRule="auto"/>
        <w:jc w:val="both"/>
        <w:rPr>
          <w:rFonts w:ascii="Garamond" w:hAnsi="Garamond" w:cs="Times New Roman"/>
        </w:rPr>
      </w:pPr>
    </w:p>
    <w:p w14:paraId="35EF7B6B" w14:textId="437AEF88" w:rsidR="00842961" w:rsidRPr="00F24450" w:rsidRDefault="00842961" w:rsidP="003D1C57">
      <w:pPr>
        <w:spacing w:line="360" w:lineRule="auto"/>
        <w:jc w:val="both"/>
        <w:rPr>
          <w:rFonts w:ascii="Garamond" w:hAnsi="Garamond" w:cs="Times New Roman"/>
        </w:rPr>
      </w:pPr>
      <w:r w:rsidRPr="00F24450">
        <w:rPr>
          <w:rFonts w:ascii="Garamond" w:hAnsi="Garamond" w:cs="Times New Roman"/>
        </w:rPr>
        <w:t xml:space="preserve">Triangulation of quantitative and qualitative methods strengthened validity, captured multidimensional vulnerability, and minimized bias (Ryan, 2018).  This study employed methodological triangulation to strengthen the validity and depth of the findings. By integrating both quantitative and qualitative approaches, the research captured multiple dimensions of how socio-economic factors mediate the relationship between climate variability and household vulnerability. Household survey data provided measurable patterns and statistical associations, while key informant interviews and focus group discussions offered contextual explanations and nuanced insights. Triangulating these methods minimized the limitations inherent in any single approach and ensured a more comprehensive and credible interpretation of the observed relationships. Figure </w:t>
      </w:r>
      <w:r w:rsidR="000B01C8">
        <w:rPr>
          <w:rFonts w:ascii="Garamond" w:hAnsi="Garamond" w:cs="Times New Roman"/>
        </w:rPr>
        <w:t>4</w:t>
      </w:r>
      <w:r w:rsidRPr="00F24450">
        <w:rPr>
          <w:rFonts w:ascii="Garamond" w:hAnsi="Garamond" w:cs="Times New Roman"/>
        </w:rPr>
        <w:t xml:space="preserve"> gives Triangulation analysis</w:t>
      </w:r>
    </w:p>
    <w:p w14:paraId="3F5E90BD" w14:textId="77777777" w:rsidR="00842961" w:rsidRPr="00F24450" w:rsidRDefault="00842961" w:rsidP="003D1C57">
      <w:pPr>
        <w:spacing w:line="360" w:lineRule="auto"/>
        <w:jc w:val="both"/>
        <w:rPr>
          <w:rFonts w:ascii="Garamond" w:hAnsi="Garamond" w:cs="Times New Roman"/>
        </w:rPr>
      </w:pPr>
      <w:r w:rsidRPr="00F24450">
        <w:rPr>
          <w:rFonts w:ascii="Garamond" w:hAnsi="Garamond" w:cs="Times New Roman"/>
          <w:noProof/>
        </w:rPr>
        <w:drawing>
          <wp:inline distT="0" distB="0" distL="0" distR="0" wp14:anchorId="1239D71B" wp14:editId="4FFDD138">
            <wp:extent cx="6010275" cy="2486025"/>
            <wp:effectExtent l="19050" t="19050" r="28575" b="28575"/>
            <wp:docPr id="1330853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853673" name=""/>
                    <pic:cNvPicPr/>
                  </pic:nvPicPr>
                  <pic:blipFill>
                    <a:blip r:embed="rId11"/>
                    <a:stretch>
                      <a:fillRect/>
                    </a:stretch>
                  </pic:blipFill>
                  <pic:spPr>
                    <a:xfrm>
                      <a:off x="0" y="0"/>
                      <a:ext cx="6010275" cy="2486025"/>
                    </a:xfrm>
                    <a:prstGeom prst="rect">
                      <a:avLst/>
                    </a:prstGeom>
                    <a:ln w="19050">
                      <a:solidFill>
                        <a:schemeClr val="tx1"/>
                      </a:solidFill>
                    </a:ln>
                  </pic:spPr>
                </pic:pic>
              </a:graphicData>
            </a:graphic>
          </wp:inline>
        </w:drawing>
      </w:r>
    </w:p>
    <w:p w14:paraId="29E36679" w14:textId="06DDC6C3" w:rsidR="00842961" w:rsidRPr="005D176E" w:rsidRDefault="00842961" w:rsidP="005D176E">
      <w:pPr>
        <w:pStyle w:val="MyFigure"/>
      </w:pPr>
      <w:bookmarkStart w:id="7" w:name="_Toc217112730"/>
      <w:r w:rsidRPr="005D176E">
        <w:rPr>
          <w:rStyle w:val="MyFigureChar"/>
          <w:b/>
          <w:bCs/>
          <w:color w:val="auto"/>
          <w:sz w:val="24"/>
          <w:szCs w:val="24"/>
        </w:rPr>
        <w:t xml:space="preserve">Figure </w:t>
      </w:r>
      <w:r w:rsidR="005D176E" w:rsidRPr="005D176E">
        <w:rPr>
          <w:rStyle w:val="MyFigureChar"/>
          <w:b/>
          <w:bCs/>
          <w:color w:val="auto"/>
          <w:sz w:val="24"/>
          <w:szCs w:val="24"/>
        </w:rPr>
        <w:t>4</w:t>
      </w:r>
      <w:r w:rsidRPr="005D176E">
        <w:rPr>
          <w:rStyle w:val="MyFigureChar"/>
          <w:b/>
          <w:bCs/>
          <w:color w:val="auto"/>
          <w:sz w:val="24"/>
          <w:szCs w:val="24"/>
        </w:rPr>
        <w:t>: Triangulation analysis. Source: (adapted from Ryan, 2018</w:t>
      </w:r>
      <w:r w:rsidRPr="005D176E">
        <w:t>).</w:t>
      </w:r>
      <w:bookmarkEnd w:id="7"/>
      <w:r w:rsidRPr="005D176E">
        <w:t xml:space="preserve">                                            </w:t>
      </w:r>
    </w:p>
    <w:p w14:paraId="13DEF232" w14:textId="77777777" w:rsidR="00842961" w:rsidRPr="00F24450" w:rsidRDefault="00842961" w:rsidP="003D1C57">
      <w:pPr>
        <w:spacing w:line="360" w:lineRule="auto"/>
        <w:jc w:val="both"/>
        <w:rPr>
          <w:rFonts w:ascii="Garamond" w:hAnsi="Garamond" w:cs="Times New Roman"/>
        </w:rPr>
      </w:pPr>
      <w:r w:rsidRPr="00F24450">
        <w:rPr>
          <w:rFonts w:ascii="Garamond" w:hAnsi="Garamond" w:cs="Times New Roman"/>
        </w:rPr>
        <w:t xml:space="preserve">Descriptive statistics computed summary statistics (means, medians, and standard deviations) for understanding the distribution of data relating to climatic events, their effects, and vulnerabilities. Regression and correlation analysis drew on relationships between the climate variables and other variables of interest-for example, temperature, rainfall, health, damage to housing, or livelihoods. </w:t>
      </w:r>
      <w:r w:rsidRPr="00F24450">
        <w:rPr>
          <w:rFonts w:ascii="Garamond" w:hAnsi="Garamond" w:cs="Times New Roman"/>
        </w:rPr>
        <w:lastRenderedPageBreak/>
        <w:t>Logistic regression examined the likelihood of experiencing specific climate impacts conditioned on demographic characteristics, socioeconomic status, and other factors.</w:t>
      </w:r>
    </w:p>
    <w:p w14:paraId="6AFE3184" w14:textId="77777777" w:rsidR="00842961" w:rsidRPr="00F24450" w:rsidRDefault="00842961" w:rsidP="003D1C57">
      <w:pPr>
        <w:spacing w:line="360" w:lineRule="auto"/>
        <w:jc w:val="both"/>
        <w:rPr>
          <w:rFonts w:ascii="Garamond" w:hAnsi="Garamond" w:cs="Times New Roman"/>
        </w:rPr>
      </w:pPr>
      <w:r w:rsidRPr="00F24450">
        <w:rPr>
          <w:rFonts w:ascii="Garamond" w:hAnsi="Garamond" w:cs="Times New Roman"/>
        </w:rPr>
        <w:t>Qualitative analysis was used to understand the lived experiences of slum dwellers about climatic variability; by using thematic analysis to find recurring themes and patterns in focus group discussions and interview transcripts. Content Analysis studied the content of documents and reports to identify the major issues, challenges, and adaptation strategies. Spatial Analysis included vulnerability mapping through the use of GIS to create vulnerability maps that outline areas that are most susceptible due to climate-related hazards by considering factors that include location, infrastructure, and social characteristics. Impact Assessment: It analyzed the spatial distribution of climate impacts-for example, flooding, heat waves-to understand how different areas within the slum are affected. Descriptive statistics summarized data distribution; regression and correlation analyses examined relationships between climate variables and socioeconomic indicators. Logistic regression evaluated likelihood of specific impacts based on demographic and socioeconomic characteristics.</w:t>
      </w:r>
    </w:p>
    <w:p w14:paraId="2F8218CE" w14:textId="4E01D6B2" w:rsidR="001841CA" w:rsidRPr="00F24450" w:rsidRDefault="005C1F23" w:rsidP="003D1C57">
      <w:pPr>
        <w:pStyle w:val="NormalWeb"/>
        <w:spacing w:line="360" w:lineRule="auto"/>
        <w:jc w:val="both"/>
        <w:rPr>
          <w:rFonts w:ascii="Garamond" w:hAnsi="Garamond"/>
          <w:b/>
        </w:rPr>
      </w:pPr>
      <w:r>
        <w:rPr>
          <w:rFonts w:ascii="Garamond" w:hAnsi="Garamond"/>
          <w:b/>
        </w:rPr>
        <w:t>3.7.</w:t>
      </w:r>
      <w:r w:rsidRPr="00F24450">
        <w:rPr>
          <w:rFonts w:ascii="Garamond" w:hAnsi="Garamond"/>
          <w:b/>
        </w:rPr>
        <w:t xml:space="preserve"> Data</w:t>
      </w:r>
      <w:r w:rsidR="001841CA" w:rsidRPr="00F24450">
        <w:rPr>
          <w:rFonts w:ascii="Garamond" w:hAnsi="Garamond"/>
          <w:b/>
        </w:rPr>
        <w:t xml:space="preserve"> Analysis Approach</w:t>
      </w:r>
    </w:p>
    <w:p w14:paraId="4195B970" w14:textId="77777777" w:rsidR="000A74DB" w:rsidRPr="00F24450" w:rsidRDefault="001841CA" w:rsidP="003D1C57">
      <w:pPr>
        <w:spacing w:line="360" w:lineRule="auto"/>
        <w:jc w:val="both"/>
        <w:rPr>
          <w:rFonts w:ascii="Garamond" w:hAnsi="Garamond"/>
        </w:rPr>
      </w:pPr>
      <w:r w:rsidRPr="00F24450">
        <w:rPr>
          <w:rFonts w:ascii="Garamond" w:hAnsi="Garamond"/>
        </w:rPr>
        <w:t>Quantitative</w:t>
      </w:r>
      <w:r w:rsidR="000A74DB" w:rsidRPr="00F24450">
        <w:rPr>
          <w:rFonts w:ascii="Garamond" w:hAnsi="Garamond"/>
        </w:rPr>
        <w:t xml:space="preserve"> used</w:t>
      </w:r>
      <w:r w:rsidRPr="00F24450">
        <w:rPr>
          <w:rFonts w:ascii="Garamond" w:hAnsi="Garamond"/>
        </w:rPr>
        <w:t xml:space="preserve"> </w:t>
      </w:r>
      <w:r w:rsidR="000A74DB" w:rsidRPr="00F24450">
        <w:rPr>
          <w:rFonts w:ascii="Garamond" w:hAnsi="Garamond"/>
        </w:rPr>
        <w:t>d</w:t>
      </w:r>
      <w:r w:rsidRPr="00F24450">
        <w:rPr>
          <w:rFonts w:ascii="Garamond" w:hAnsi="Garamond"/>
        </w:rPr>
        <w:t>escriptive statistics for socio-economic and vulnerability profiles</w:t>
      </w:r>
      <w:r w:rsidR="000A74DB" w:rsidRPr="00F24450">
        <w:rPr>
          <w:rFonts w:ascii="Garamond" w:hAnsi="Garamond"/>
        </w:rPr>
        <w:t>.</w:t>
      </w:r>
      <w:r w:rsidRPr="00F24450">
        <w:rPr>
          <w:rFonts w:ascii="Garamond" w:hAnsi="Garamond"/>
        </w:rPr>
        <w:t xml:space="preserve">  Mediation analysis (e.g., structural equation modeling or regression-based approaches) to test how socio-economic factors influence the climate–vulnerability link</w:t>
      </w:r>
      <w:r w:rsidR="000A74DB" w:rsidRPr="00F24450">
        <w:rPr>
          <w:rFonts w:ascii="Garamond" w:hAnsi="Garamond"/>
        </w:rPr>
        <w:t>.</w:t>
      </w:r>
    </w:p>
    <w:p w14:paraId="4B5D990E" w14:textId="0485F0D9" w:rsidR="001841CA" w:rsidRPr="00F24450" w:rsidRDefault="001841CA" w:rsidP="003D1C57">
      <w:pPr>
        <w:spacing w:line="360" w:lineRule="auto"/>
        <w:jc w:val="both"/>
        <w:rPr>
          <w:rFonts w:ascii="Garamond" w:hAnsi="Garamond"/>
        </w:rPr>
      </w:pPr>
      <w:r w:rsidRPr="00F24450">
        <w:rPr>
          <w:rFonts w:ascii="Garamond" w:hAnsi="Garamond"/>
        </w:rPr>
        <w:t>Qualitative</w:t>
      </w:r>
      <w:r w:rsidR="000A74DB" w:rsidRPr="00F24450">
        <w:rPr>
          <w:rFonts w:ascii="Garamond" w:hAnsi="Garamond"/>
        </w:rPr>
        <w:t xml:space="preserve"> used thematic</w:t>
      </w:r>
      <w:r w:rsidRPr="00F24450">
        <w:rPr>
          <w:rFonts w:ascii="Garamond" w:hAnsi="Garamond"/>
        </w:rPr>
        <w:t xml:space="preserve"> analysis to contextualize and explain quantitative findings, highlighting nuanced coping strategies and settlement-specific experiences</w:t>
      </w:r>
    </w:p>
    <w:p w14:paraId="4666CCD5" w14:textId="6EB98397" w:rsidR="001841CA" w:rsidRPr="00F24450" w:rsidRDefault="005C1F23" w:rsidP="003D1C57">
      <w:pPr>
        <w:pStyle w:val="NormalWeb"/>
        <w:spacing w:line="360" w:lineRule="auto"/>
        <w:jc w:val="both"/>
        <w:rPr>
          <w:rFonts w:ascii="Garamond" w:hAnsi="Garamond"/>
          <w:b/>
        </w:rPr>
      </w:pPr>
      <w:r>
        <w:rPr>
          <w:rFonts w:ascii="Garamond" w:hAnsi="Garamond"/>
          <w:b/>
        </w:rPr>
        <w:t xml:space="preserve">3.8. </w:t>
      </w:r>
      <w:r w:rsidR="001841CA" w:rsidRPr="00F24450">
        <w:rPr>
          <w:rFonts w:ascii="Garamond" w:hAnsi="Garamond"/>
          <w:b/>
        </w:rPr>
        <w:t xml:space="preserve">Advantages of </w:t>
      </w:r>
      <w:r w:rsidR="00F24450" w:rsidRPr="00F24450">
        <w:rPr>
          <w:rFonts w:ascii="Garamond" w:hAnsi="Garamond"/>
          <w:b/>
        </w:rPr>
        <w:t>this design</w:t>
      </w:r>
    </w:p>
    <w:p w14:paraId="59406140" w14:textId="11F210B7" w:rsidR="001841CA" w:rsidRDefault="001841CA" w:rsidP="003D1C57">
      <w:pPr>
        <w:spacing w:line="360" w:lineRule="auto"/>
        <w:jc w:val="both"/>
        <w:rPr>
          <w:rFonts w:ascii="Garamond" w:hAnsi="Garamond"/>
        </w:rPr>
      </w:pPr>
      <w:r w:rsidRPr="00F24450">
        <w:rPr>
          <w:rFonts w:ascii="Garamond" w:hAnsi="Garamond"/>
        </w:rPr>
        <w:t>Capture</w:t>
      </w:r>
      <w:r w:rsidR="0042486C" w:rsidRPr="00F24450">
        <w:rPr>
          <w:rFonts w:ascii="Garamond" w:hAnsi="Garamond"/>
        </w:rPr>
        <w:t>d</w:t>
      </w:r>
      <w:r w:rsidRPr="00F24450">
        <w:rPr>
          <w:rFonts w:ascii="Garamond" w:hAnsi="Garamond"/>
        </w:rPr>
        <w:t xml:space="preserve"> both measurable patterns and in-depth </w:t>
      </w:r>
      <w:r w:rsidR="0042486C" w:rsidRPr="00F24450">
        <w:rPr>
          <w:rFonts w:ascii="Garamond" w:hAnsi="Garamond"/>
        </w:rPr>
        <w:t>insights, enabled</w:t>
      </w:r>
      <w:r w:rsidRPr="00F24450">
        <w:rPr>
          <w:rFonts w:ascii="Garamond" w:hAnsi="Garamond"/>
        </w:rPr>
        <w:t xml:space="preserve"> identification of mediating socio-economic factors</w:t>
      </w:r>
      <w:r w:rsidR="0042486C" w:rsidRPr="00F24450">
        <w:rPr>
          <w:rFonts w:ascii="Garamond" w:hAnsi="Garamond"/>
        </w:rPr>
        <w:t xml:space="preserve">. </w:t>
      </w:r>
      <w:r w:rsidRPr="00F24450">
        <w:rPr>
          <w:rFonts w:ascii="Garamond" w:hAnsi="Garamond"/>
        </w:rPr>
        <w:t>Context-specific, providing actionable evidence for policy and interventions in informal settlements</w:t>
      </w:r>
      <w:r w:rsidR="000B01C8">
        <w:rPr>
          <w:rFonts w:ascii="Garamond" w:hAnsi="Garamond"/>
        </w:rPr>
        <w:t xml:space="preserve"> as shown in (Figure 5.)</w:t>
      </w:r>
    </w:p>
    <w:p w14:paraId="51CA285C" w14:textId="0CD2369D" w:rsidR="005D176E" w:rsidRDefault="005D176E" w:rsidP="003D1C57">
      <w:pPr>
        <w:spacing w:line="360" w:lineRule="auto"/>
        <w:jc w:val="both"/>
        <w:rPr>
          <w:rFonts w:ascii="Garamond" w:hAnsi="Garamond"/>
        </w:rPr>
      </w:pPr>
      <w:r w:rsidRPr="005D176E">
        <w:rPr>
          <w:rFonts w:ascii="Garamond" w:hAnsi="Garamond"/>
          <w:noProof/>
        </w:rPr>
        <w:lastRenderedPageBreak/>
        <w:drawing>
          <wp:inline distT="0" distB="0" distL="0" distR="0" wp14:anchorId="7785DAFB" wp14:editId="2D658C89">
            <wp:extent cx="5943600" cy="1659890"/>
            <wp:effectExtent l="19050" t="19050" r="19050" b="16510"/>
            <wp:docPr id="132308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8231" name=""/>
                    <pic:cNvPicPr/>
                  </pic:nvPicPr>
                  <pic:blipFill>
                    <a:blip r:embed="rId12"/>
                    <a:stretch>
                      <a:fillRect/>
                    </a:stretch>
                  </pic:blipFill>
                  <pic:spPr>
                    <a:xfrm>
                      <a:off x="0" y="0"/>
                      <a:ext cx="5943600" cy="1659890"/>
                    </a:xfrm>
                    <a:prstGeom prst="rect">
                      <a:avLst/>
                    </a:prstGeom>
                    <a:ln w="19050">
                      <a:solidFill>
                        <a:schemeClr val="tx1"/>
                      </a:solidFill>
                    </a:ln>
                  </pic:spPr>
                </pic:pic>
              </a:graphicData>
            </a:graphic>
          </wp:inline>
        </w:drawing>
      </w:r>
    </w:p>
    <w:p w14:paraId="243299F6" w14:textId="09F53AC2" w:rsidR="009F28B6" w:rsidRPr="005D176E" w:rsidRDefault="009F28B6" w:rsidP="003D1C57">
      <w:pPr>
        <w:spacing w:line="360" w:lineRule="auto"/>
        <w:jc w:val="both"/>
        <w:rPr>
          <w:rFonts w:ascii="Garamond" w:hAnsi="Garamond"/>
          <w:b/>
          <w:bCs/>
        </w:rPr>
      </w:pPr>
      <w:r w:rsidRPr="005D176E">
        <w:rPr>
          <w:rFonts w:ascii="Garamond" w:hAnsi="Garamond"/>
          <w:b/>
          <w:bCs/>
        </w:rPr>
        <w:t xml:space="preserve">Figure </w:t>
      </w:r>
      <w:r w:rsidR="005D176E" w:rsidRPr="005D176E">
        <w:rPr>
          <w:rFonts w:ascii="Garamond" w:hAnsi="Garamond"/>
          <w:b/>
          <w:bCs/>
        </w:rPr>
        <w:t>5</w:t>
      </w:r>
      <w:r w:rsidRPr="005D176E">
        <w:rPr>
          <w:rFonts w:ascii="Garamond" w:hAnsi="Garamond"/>
          <w:b/>
          <w:bCs/>
        </w:rPr>
        <w:t xml:space="preserve">. Conceptual frame work </w:t>
      </w:r>
    </w:p>
    <w:p w14:paraId="4DA630AF" w14:textId="44493C65" w:rsidR="0042486C" w:rsidRPr="00F24450" w:rsidRDefault="0042486C" w:rsidP="003D1C57">
      <w:pPr>
        <w:spacing w:line="360" w:lineRule="auto"/>
        <w:jc w:val="both"/>
        <w:rPr>
          <w:rFonts w:ascii="Garamond" w:hAnsi="Garamond"/>
        </w:rPr>
      </w:pPr>
      <w:r w:rsidRPr="00F24450">
        <w:rPr>
          <w:rFonts w:ascii="Garamond" w:hAnsi="Garamond"/>
        </w:rPr>
        <w:t xml:space="preserve">Socio-Economic </w:t>
      </w:r>
      <w:r w:rsidR="00466A84" w:rsidRPr="00F24450">
        <w:rPr>
          <w:rFonts w:ascii="Garamond" w:hAnsi="Garamond"/>
        </w:rPr>
        <w:t>f</w:t>
      </w:r>
      <w:r w:rsidRPr="00F24450">
        <w:rPr>
          <w:rFonts w:ascii="Garamond" w:hAnsi="Garamond"/>
        </w:rPr>
        <w:t>actors</w:t>
      </w:r>
      <w:r w:rsidR="00466A84" w:rsidRPr="00F24450">
        <w:rPr>
          <w:rFonts w:ascii="Garamond" w:hAnsi="Garamond"/>
        </w:rPr>
        <w:t xml:space="preserve"> </w:t>
      </w:r>
      <w:r w:rsidRPr="00F24450">
        <w:rPr>
          <w:rFonts w:ascii="Garamond" w:hAnsi="Garamond"/>
        </w:rPr>
        <w:t>act</w:t>
      </w:r>
      <w:r w:rsidR="00466A84" w:rsidRPr="00F24450">
        <w:rPr>
          <w:rFonts w:ascii="Garamond" w:hAnsi="Garamond"/>
        </w:rPr>
        <w:t>ed</w:t>
      </w:r>
      <w:r w:rsidRPr="00F24450">
        <w:rPr>
          <w:rFonts w:ascii="Garamond" w:hAnsi="Garamond"/>
        </w:rPr>
        <w:t xml:space="preserve"> as mediators, influencing the strength and direction of the impact of climate variability.</w:t>
      </w:r>
    </w:p>
    <w:p w14:paraId="7BA68475" w14:textId="080B6B0B" w:rsidR="0042486C" w:rsidRPr="00F24450" w:rsidRDefault="0042486C" w:rsidP="003D1C57">
      <w:pPr>
        <w:spacing w:line="360" w:lineRule="auto"/>
        <w:jc w:val="both"/>
        <w:rPr>
          <w:rFonts w:ascii="Garamond" w:hAnsi="Garamond"/>
        </w:rPr>
      </w:pPr>
      <w:r w:rsidRPr="00F24450">
        <w:rPr>
          <w:rFonts w:ascii="Garamond" w:hAnsi="Garamond"/>
        </w:rPr>
        <w:t>Household Vulnerability</w:t>
      </w:r>
      <w:r w:rsidR="00466A84" w:rsidRPr="00F24450">
        <w:rPr>
          <w:rFonts w:ascii="Garamond" w:hAnsi="Garamond"/>
        </w:rPr>
        <w:t xml:space="preserve"> was</w:t>
      </w:r>
      <w:r w:rsidRPr="00F24450">
        <w:rPr>
          <w:rFonts w:ascii="Garamond" w:hAnsi="Garamond"/>
        </w:rPr>
        <w:t xml:space="preserve"> the outcome variable, showing the degree to which households are affected or resilient.</w:t>
      </w:r>
    </w:p>
    <w:p w14:paraId="0086C793" w14:textId="4A0C59ED" w:rsidR="0042486C" w:rsidRPr="00F24450" w:rsidRDefault="0042486C" w:rsidP="003D1C57">
      <w:pPr>
        <w:spacing w:line="360" w:lineRule="auto"/>
        <w:jc w:val="both"/>
        <w:rPr>
          <w:rFonts w:ascii="Garamond" w:hAnsi="Garamond"/>
        </w:rPr>
      </w:pPr>
      <w:r w:rsidRPr="00F24450">
        <w:rPr>
          <w:rFonts w:ascii="Garamond" w:hAnsi="Garamond"/>
        </w:rPr>
        <w:t>This diagram clearly shows the mediating role of socio-economic factors, which is the main focus of your study.</w:t>
      </w:r>
    </w:p>
    <w:p w14:paraId="24260274" w14:textId="28469497" w:rsidR="000D1AA4" w:rsidRDefault="000D1AA4" w:rsidP="003D1C57">
      <w:pPr>
        <w:spacing w:line="360" w:lineRule="auto"/>
        <w:jc w:val="both"/>
        <w:rPr>
          <w:rFonts w:ascii="Garamond" w:hAnsi="Garamond"/>
          <w:b/>
        </w:rPr>
      </w:pPr>
      <w:r w:rsidRPr="00F24450">
        <w:rPr>
          <w:rFonts w:ascii="Garamond" w:hAnsi="Garamond"/>
          <w:b/>
        </w:rPr>
        <w:t xml:space="preserve">Statistical measures </w:t>
      </w:r>
    </w:p>
    <w:p w14:paraId="5B44E65D" w14:textId="07C14E7F" w:rsidR="00AB26CA" w:rsidRPr="00AB26CA" w:rsidRDefault="00AB26CA" w:rsidP="00AB26CA">
      <w:pPr>
        <w:rPr>
          <w:rFonts w:ascii="Garamond" w:hAnsi="Garamond"/>
        </w:rPr>
      </w:pPr>
      <w:r w:rsidRPr="00AB26CA">
        <w:rPr>
          <w:rFonts w:ascii="Garamond" w:hAnsi="Garamond"/>
        </w:rPr>
        <w:t>(Table 4) gives a summary of the key statistical measure employed in the study.</w:t>
      </w:r>
    </w:p>
    <w:p w14:paraId="14DB5523" w14:textId="3EBA86D4" w:rsidR="000D1AA4" w:rsidRPr="005D176E" w:rsidRDefault="009F28B6" w:rsidP="003D1C57">
      <w:pPr>
        <w:spacing w:line="360" w:lineRule="auto"/>
        <w:jc w:val="both"/>
        <w:rPr>
          <w:rFonts w:ascii="Garamond" w:hAnsi="Garamond"/>
          <w:b/>
          <w:bCs/>
        </w:rPr>
      </w:pPr>
      <w:r w:rsidRPr="005D176E">
        <w:rPr>
          <w:rFonts w:ascii="Garamond" w:hAnsi="Garamond"/>
          <w:b/>
          <w:bCs/>
        </w:rPr>
        <w:t xml:space="preserve">Table </w:t>
      </w:r>
      <w:r w:rsidR="005D176E">
        <w:rPr>
          <w:rFonts w:ascii="Garamond" w:hAnsi="Garamond"/>
          <w:b/>
          <w:bCs/>
        </w:rPr>
        <w:t>4</w:t>
      </w:r>
      <w:r w:rsidRPr="005D176E">
        <w:rPr>
          <w:rFonts w:ascii="Garamond" w:hAnsi="Garamond"/>
          <w:b/>
          <w:bCs/>
        </w:rPr>
        <w:t xml:space="preserve">. </w:t>
      </w:r>
      <w:r w:rsidR="000D1AA4" w:rsidRPr="005D176E">
        <w:rPr>
          <w:rFonts w:ascii="Garamond" w:hAnsi="Garamond"/>
          <w:b/>
          <w:bCs/>
        </w:rPr>
        <w:t>Summary Table of Key Statistical Measures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70"/>
        <w:gridCol w:w="30"/>
        <w:gridCol w:w="4860"/>
      </w:tblGrid>
      <w:tr w:rsidR="000D1AA4" w:rsidRPr="00F24450" w14:paraId="6EE440CB" w14:textId="77777777" w:rsidTr="000D1AA4">
        <w:trPr>
          <w:tblHeader/>
          <w:tblCellSpacing w:w="15" w:type="dxa"/>
        </w:trPr>
        <w:tc>
          <w:tcPr>
            <w:tcW w:w="0" w:type="auto"/>
            <w:tcBorders>
              <w:top w:val="single" w:sz="4" w:space="0" w:color="auto"/>
              <w:bottom w:val="single" w:sz="4" w:space="0" w:color="auto"/>
            </w:tcBorders>
            <w:vAlign w:val="center"/>
            <w:hideMark/>
          </w:tcPr>
          <w:p w14:paraId="3D5DEADE" w14:textId="77777777" w:rsidR="000D1AA4" w:rsidRPr="00F24450" w:rsidRDefault="000D1AA4" w:rsidP="004E0A1E">
            <w:pPr>
              <w:spacing w:line="240" w:lineRule="auto"/>
              <w:jc w:val="both"/>
              <w:rPr>
                <w:rFonts w:ascii="Garamond" w:hAnsi="Garamond" w:cs="Times New Roman"/>
                <w:b/>
                <w:bCs/>
              </w:rPr>
            </w:pPr>
            <w:r w:rsidRPr="00F24450">
              <w:rPr>
                <w:rFonts w:ascii="Garamond" w:hAnsi="Garamond" w:cs="Times New Roman"/>
                <w:b/>
                <w:bCs/>
              </w:rPr>
              <w:t>Objective</w:t>
            </w:r>
          </w:p>
        </w:tc>
        <w:tc>
          <w:tcPr>
            <w:tcW w:w="0" w:type="auto"/>
            <w:gridSpan w:val="2"/>
            <w:tcBorders>
              <w:top w:val="single" w:sz="4" w:space="0" w:color="auto"/>
              <w:bottom w:val="single" w:sz="4" w:space="0" w:color="auto"/>
            </w:tcBorders>
            <w:vAlign w:val="center"/>
            <w:hideMark/>
          </w:tcPr>
          <w:p w14:paraId="5708279B" w14:textId="77777777" w:rsidR="000D1AA4" w:rsidRPr="00F24450" w:rsidRDefault="000D1AA4" w:rsidP="004E0A1E">
            <w:pPr>
              <w:spacing w:line="240" w:lineRule="auto"/>
              <w:jc w:val="center"/>
              <w:rPr>
                <w:rFonts w:ascii="Garamond" w:hAnsi="Garamond" w:cs="Times New Roman"/>
                <w:b/>
                <w:bCs/>
              </w:rPr>
            </w:pPr>
            <w:r w:rsidRPr="00F24450">
              <w:rPr>
                <w:rFonts w:ascii="Garamond" w:hAnsi="Garamond" w:cs="Times New Roman"/>
                <w:b/>
                <w:bCs/>
              </w:rPr>
              <w:t>Statistical Measure</w:t>
            </w:r>
          </w:p>
        </w:tc>
      </w:tr>
      <w:tr w:rsidR="000D1AA4" w:rsidRPr="00F24450" w14:paraId="6ED90BCD" w14:textId="77777777" w:rsidTr="004E0A1E">
        <w:trPr>
          <w:tblCellSpacing w:w="15" w:type="dxa"/>
        </w:trPr>
        <w:tc>
          <w:tcPr>
            <w:tcW w:w="4455" w:type="dxa"/>
            <w:gridSpan w:val="2"/>
            <w:vAlign w:val="center"/>
            <w:hideMark/>
          </w:tcPr>
          <w:p w14:paraId="4596A3A2" w14:textId="77777777" w:rsidR="000D1AA4" w:rsidRPr="00F24450" w:rsidRDefault="000D1AA4" w:rsidP="004E0A1E">
            <w:pPr>
              <w:spacing w:line="240" w:lineRule="auto"/>
              <w:jc w:val="both"/>
              <w:rPr>
                <w:rFonts w:ascii="Garamond" w:hAnsi="Garamond" w:cs="Times New Roman"/>
              </w:rPr>
            </w:pPr>
            <w:r w:rsidRPr="00F24450">
              <w:rPr>
                <w:rFonts w:ascii="Garamond" w:hAnsi="Garamond" w:cs="Times New Roman"/>
              </w:rPr>
              <w:t>Describe data</w:t>
            </w:r>
          </w:p>
        </w:tc>
        <w:tc>
          <w:tcPr>
            <w:tcW w:w="4815" w:type="dxa"/>
            <w:vAlign w:val="center"/>
            <w:hideMark/>
          </w:tcPr>
          <w:p w14:paraId="3F10494E" w14:textId="77777777" w:rsidR="000D1AA4" w:rsidRPr="00F24450" w:rsidRDefault="000D1AA4" w:rsidP="004E0A1E">
            <w:pPr>
              <w:spacing w:line="240" w:lineRule="auto"/>
              <w:jc w:val="both"/>
              <w:rPr>
                <w:rFonts w:ascii="Garamond" w:hAnsi="Garamond" w:cs="Times New Roman"/>
              </w:rPr>
            </w:pPr>
            <w:r w:rsidRPr="00F24450">
              <w:rPr>
                <w:rFonts w:ascii="Garamond" w:hAnsi="Garamond" w:cs="Times New Roman"/>
              </w:rPr>
              <w:t>Mean, SD, Median, Frequency, Percentages</w:t>
            </w:r>
          </w:p>
        </w:tc>
      </w:tr>
      <w:tr w:rsidR="000D1AA4" w:rsidRPr="00F24450" w14:paraId="1DF5763A" w14:textId="77777777" w:rsidTr="004E0A1E">
        <w:trPr>
          <w:tblCellSpacing w:w="15" w:type="dxa"/>
        </w:trPr>
        <w:tc>
          <w:tcPr>
            <w:tcW w:w="4455" w:type="dxa"/>
            <w:gridSpan w:val="2"/>
            <w:vAlign w:val="center"/>
            <w:hideMark/>
          </w:tcPr>
          <w:p w14:paraId="17A6A8D8" w14:textId="77777777" w:rsidR="000D1AA4" w:rsidRPr="00F24450" w:rsidRDefault="000D1AA4" w:rsidP="004E0A1E">
            <w:pPr>
              <w:spacing w:line="240" w:lineRule="auto"/>
              <w:jc w:val="both"/>
              <w:rPr>
                <w:rFonts w:ascii="Garamond" w:hAnsi="Garamond" w:cs="Times New Roman"/>
              </w:rPr>
            </w:pPr>
            <w:r w:rsidRPr="00F24450">
              <w:rPr>
                <w:rFonts w:ascii="Garamond" w:hAnsi="Garamond" w:cs="Times New Roman"/>
              </w:rPr>
              <w:t>Relationship between variables</w:t>
            </w:r>
          </w:p>
        </w:tc>
        <w:tc>
          <w:tcPr>
            <w:tcW w:w="4815" w:type="dxa"/>
            <w:vAlign w:val="center"/>
            <w:hideMark/>
          </w:tcPr>
          <w:p w14:paraId="6FA81333" w14:textId="77777777" w:rsidR="000D1AA4" w:rsidRPr="00F24450" w:rsidRDefault="000D1AA4" w:rsidP="004E0A1E">
            <w:pPr>
              <w:spacing w:line="240" w:lineRule="auto"/>
              <w:jc w:val="both"/>
              <w:rPr>
                <w:rFonts w:ascii="Garamond" w:hAnsi="Garamond" w:cs="Times New Roman"/>
              </w:rPr>
            </w:pPr>
            <w:r w:rsidRPr="00F24450">
              <w:rPr>
                <w:rFonts w:ascii="Garamond" w:hAnsi="Garamond" w:cs="Times New Roman"/>
              </w:rPr>
              <w:t>Pearson/Spearman correlation</w:t>
            </w:r>
          </w:p>
        </w:tc>
      </w:tr>
      <w:tr w:rsidR="000D1AA4" w:rsidRPr="00F24450" w14:paraId="7DB62434" w14:textId="77777777" w:rsidTr="004E0A1E">
        <w:trPr>
          <w:tblCellSpacing w:w="15" w:type="dxa"/>
        </w:trPr>
        <w:tc>
          <w:tcPr>
            <w:tcW w:w="4455" w:type="dxa"/>
            <w:gridSpan w:val="2"/>
            <w:vAlign w:val="center"/>
            <w:hideMark/>
          </w:tcPr>
          <w:p w14:paraId="6CC55BB8" w14:textId="77777777" w:rsidR="000D1AA4" w:rsidRPr="00F24450" w:rsidRDefault="000D1AA4" w:rsidP="004E0A1E">
            <w:pPr>
              <w:spacing w:line="240" w:lineRule="auto"/>
              <w:jc w:val="both"/>
              <w:rPr>
                <w:rFonts w:ascii="Garamond" w:hAnsi="Garamond" w:cs="Times New Roman"/>
              </w:rPr>
            </w:pPr>
            <w:r w:rsidRPr="00F24450">
              <w:rPr>
                <w:rFonts w:ascii="Garamond" w:hAnsi="Garamond" w:cs="Times New Roman"/>
              </w:rPr>
              <w:t>Predict vulnerability</w:t>
            </w:r>
          </w:p>
        </w:tc>
        <w:tc>
          <w:tcPr>
            <w:tcW w:w="4815" w:type="dxa"/>
            <w:vAlign w:val="center"/>
            <w:hideMark/>
          </w:tcPr>
          <w:p w14:paraId="6A5C9B13" w14:textId="77777777" w:rsidR="000D1AA4" w:rsidRPr="00F24450" w:rsidRDefault="000D1AA4" w:rsidP="004E0A1E">
            <w:pPr>
              <w:spacing w:line="240" w:lineRule="auto"/>
              <w:jc w:val="both"/>
              <w:rPr>
                <w:rFonts w:ascii="Garamond" w:hAnsi="Garamond" w:cs="Times New Roman"/>
              </w:rPr>
            </w:pPr>
            <w:r w:rsidRPr="00F24450">
              <w:rPr>
                <w:rFonts w:ascii="Garamond" w:hAnsi="Garamond" w:cs="Times New Roman"/>
              </w:rPr>
              <w:t>Multiple regression / Logistic regression</w:t>
            </w:r>
          </w:p>
        </w:tc>
      </w:tr>
      <w:tr w:rsidR="000D1AA4" w:rsidRPr="00F24450" w14:paraId="40D79153" w14:textId="77777777" w:rsidTr="004E0A1E">
        <w:trPr>
          <w:tblCellSpacing w:w="15" w:type="dxa"/>
        </w:trPr>
        <w:tc>
          <w:tcPr>
            <w:tcW w:w="4455" w:type="dxa"/>
            <w:gridSpan w:val="2"/>
            <w:vAlign w:val="center"/>
            <w:hideMark/>
          </w:tcPr>
          <w:p w14:paraId="4F97EC34" w14:textId="77777777" w:rsidR="000D1AA4" w:rsidRPr="00F24450" w:rsidRDefault="000D1AA4" w:rsidP="004E0A1E">
            <w:pPr>
              <w:spacing w:line="240" w:lineRule="auto"/>
              <w:jc w:val="both"/>
              <w:rPr>
                <w:rFonts w:ascii="Garamond" w:hAnsi="Garamond" w:cs="Times New Roman"/>
              </w:rPr>
            </w:pPr>
            <w:r w:rsidRPr="00F24450">
              <w:rPr>
                <w:rFonts w:ascii="Garamond" w:hAnsi="Garamond" w:cs="Times New Roman"/>
              </w:rPr>
              <w:t>Test mediation</w:t>
            </w:r>
          </w:p>
        </w:tc>
        <w:tc>
          <w:tcPr>
            <w:tcW w:w="4815" w:type="dxa"/>
            <w:vAlign w:val="center"/>
            <w:hideMark/>
          </w:tcPr>
          <w:p w14:paraId="124D76E9" w14:textId="77777777" w:rsidR="000D1AA4" w:rsidRPr="00F24450" w:rsidRDefault="000D1AA4" w:rsidP="004E0A1E">
            <w:pPr>
              <w:spacing w:line="240" w:lineRule="auto"/>
              <w:jc w:val="both"/>
              <w:rPr>
                <w:rFonts w:ascii="Garamond" w:hAnsi="Garamond" w:cs="Times New Roman"/>
              </w:rPr>
            </w:pPr>
            <w:r w:rsidRPr="00F24450">
              <w:rPr>
                <w:rFonts w:ascii="Garamond" w:hAnsi="Garamond" w:cs="Times New Roman"/>
              </w:rPr>
              <w:t>SEM, PROCESS macro, Indirect effect, Direct effect, Total effect, Proportion mediated</w:t>
            </w:r>
          </w:p>
        </w:tc>
      </w:tr>
      <w:tr w:rsidR="000D1AA4" w:rsidRPr="00F24450" w14:paraId="5A448996" w14:textId="77777777" w:rsidTr="004E0A1E">
        <w:trPr>
          <w:tblCellSpacing w:w="15" w:type="dxa"/>
        </w:trPr>
        <w:tc>
          <w:tcPr>
            <w:tcW w:w="4455" w:type="dxa"/>
            <w:gridSpan w:val="2"/>
            <w:vAlign w:val="center"/>
            <w:hideMark/>
          </w:tcPr>
          <w:p w14:paraId="28EEFE56" w14:textId="77777777" w:rsidR="000D1AA4" w:rsidRPr="00F24450" w:rsidRDefault="000D1AA4" w:rsidP="004E0A1E">
            <w:pPr>
              <w:spacing w:line="240" w:lineRule="auto"/>
              <w:jc w:val="both"/>
              <w:rPr>
                <w:rFonts w:ascii="Garamond" w:hAnsi="Garamond" w:cs="Times New Roman"/>
              </w:rPr>
            </w:pPr>
            <w:r w:rsidRPr="00F24450">
              <w:rPr>
                <w:rFonts w:ascii="Garamond" w:hAnsi="Garamond" w:cs="Times New Roman"/>
              </w:rPr>
              <w:t>Reliability/validity</w:t>
            </w:r>
          </w:p>
        </w:tc>
        <w:tc>
          <w:tcPr>
            <w:tcW w:w="4815" w:type="dxa"/>
            <w:vAlign w:val="center"/>
            <w:hideMark/>
          </w:tcPr>
          <w:p w14:paraId="739FF345" w14:textId="77777777" w:rsidR="000D1AA4" w:rsidRPr="00F24450" w:rsidRDefault="000D1AA4" w:rsidP="004E0A1E">
            <w:pPr>
              <w:spacing w:line="240" w:lineRule="auto"/>
              <w:jc w:val="both"/>
              <w:rPr>
                <w:rFonts w:ascii="Garamond" w:hAnsi="Garamond" w:cs="Times New Roman"/>
              </w:rPr>
            </w:pPr>
            <w:r w:rsidRPr="00F24450">
              <w:rPr>
                <w:rFonts w:ascii="Garamond" w:hAnsi="Garamond" w:cs="Times New Roman"/>
              </w:rPr>
              <w:t>Cronbach’s alpha, KMO, Bartlett’s test</w:t>
            </w:r>
          </w:p>
        </w:tc>
      </w:tr>
      <w:tr w:rsidR="000D1AA4" w:rsidRPr="00F24450" w14:paraId="44092CE0" w14:textId="77777777" w:rsidTr="004E0A1E">
        <w:trPr>
          <w:tblCellSpacing w:w="15" w:type="dxa"/>
        </w:trPr>
        <w:tc>
          <w:tcPr>
            <w:tcW w:w="4455" w:type="dxa"/>
            <w:gridSpan w:val="2"/>
            <w:tcBorders>
              <w:bottom w:val="single" w:sz="4" w:space="0" w:color="auto"/>
            </w:tcBorders>
            <w:vAlign w:val="center"/>
            <w:hideMark/>
          </w:tcPr>
          <w:p w14:paraId="125F3283" w14:textId="77777777" w:rsidR="000D1AA4" w:rsidRPr="00F24450" w:rsidRDefault="000D1AA4" w:rsidP="004E0A1E">
            <w:pPr>
              <w:spacing w:line="240" w:lineRule="auto"/>
              <w:jc w:val="both"/>
              <w:rPr>
                <w:rFonts w:ascii="Garamond" w:hAnsi="Garamond" w:cs="Times New Roman"/>
              </w:rPr>
            </w:pPr>
            <w:r w:rsidRPr="00F24450">
              <w:rPr>
                <w:rFonts w:ascii="Garamond" w:hAnsi="Garamond" w:cs="Times New Roman"/>
              </w:rPr>
              <w:t>Significance</w:t>
            </w:r>
          </w:p>
        </w:tc>
        <w:tc>
          <w:tcPr>
            <w:tcW w:w="4815" w:type="dxa"/>
            <w:tcBorders>
              <w:bottom w:val="single" w:sz="4" w:space="0" w:color="auto"/>
            </w:tcBorders>
            <w:vAlign w:val="center"/>
            <w:hideMark/>
          </w:tcPr>
          <w:p w14:paraId="69217818" w14:textId="77777777" w:rsidR="000D1AA4" w:rsidRPr="00F24450" w:rsidRDefault="000D1AA4" w:rsidP="004E0A1E">
            <w:pPr>
              <w:spacing w:line="240" w:lineRule="auto"/>
              <w:jc w:val="both"/>
              <w:rPr>
                <w:rFonts w:ascii="Garamond" w:hAnsi="Garamond" w:cs="Times New Roman"/>
              </w:rPr>
            </w:pPr>
            <w:r w:rsidRPr="00F24450">
              <w:rPr>
                <w:rFonts w:ascii="Garamond" w:hAnsi="Garamond" w:cs="Times New Roman"/>
              </w:rPr>
              <w:t>p-values, 95% CI, Effect size</w:t>
            </w:r>
          </w:p>
        </w:tc>
      </w:tr>
      <w:bookmarkEnd w:id="4"/>
    </w:tbl>
    <w:p w14:paraId="629BF7C4" w14:textId="77777777" w:rsidR="004C5511" w:rsidRPr="00F24450" w:rsidRDefault="004C5511" w:rsidP="003D1C57">
      <w:pPr>
        <w:spacing w:line="360" w:lineRule="auto"/>
        <w:jc w:val="both"/>
        <w:rPr>
          <w:rFonts w:ascii="Garamond" w:hAnsi="Garamond" w:cs="Times New Roman"/>
        </w:rPr>
      </w:pPr>
    </w:p>
    <w:p w14:paraId="147CFEFC" w14:textId="54B3A1E2" w:rsidR="004C5511" w:rsidRPr="004E0A1E" w:rsidRDefault="005C1F23" w:rsidP="003D1C57">
      <w:pPr>
        <w:spacing w:line="360" w:lineRule="auto"/>
        <w:jc w:val="both"/>
        <w:rPr>
          <w:rFonts w:ascii="Garamond" w:hAnsi="Garamond" w:cs="Times New Roman"/>
          <w:b/>
          <w:color w:val="000000" w:themeColor="text1"/>
        </w:rPr>
      </w:pPr>
      <w:r>
        <w:rPr>
          <w:rFonts w:ascii="Garamond" w:hAnsi="Garamond" w:cs="Times New Roman"/>
          <w:b/>
          <w:color w:val="000000" w:themeColor="text1"/>
        </w:rPr>
        <w:t xml:space="preserve">3.9. </w:t>
      </w:r>
      <w:r w:rsidR="004C5511" w:rsidRPr="004E0A1E">
        <w:rPr>
          <w:rFonts w:ascii="Garamond" w:hAnsi="Garamond" w:cs="Times New Roman"/>
          <w:b/>
          <w:color w:val="000000" w:themeColor="text1"/>
        </w:rPr>
        <w:t xml:space="preserve">Data analysis </w:t>
      </w:r>
    </w:p>
    <w:p w14:paraId="0B114E05" w14:textId="7134C621" w:rsidR="004C5511" w:rsidRPr="00F24450" w:rsidRDefault="004C5511" w:rsidP="003D1C57">
      <w:pPr>
        <w:spacing w:line="360" w:lineRule="auto"/>
        <w:jc w:val="both"/>
        <w:rPr>
          <w:rFonts w:ascii="Garamond" w:hAnsi="Garamond" w:cs="Times New Roman"/>
        </w:rPr>
      </w:pPr>
      <w:r w:rsidRPr="00F24450">
        <w:rPr>
          <w:rFonts w:ascii="Garamond" w:hAnsi="Garamond" w:cs="Times New Roman"/>
        </w:rPr>
        <w:lastRenderedPageBreak/>
        <w:t>The collected data was cleaned, coded, and prepared for analysis to ensure completeness and accuracy. Continuous variables, such as household income and household size, will be summarized using means, medians, standard deviations, and ranges, while categorical variables, such as livelihood type and education level, will be presented using frequencies and percentages. Descriptive statistics provide</w:t>
      </w:r>
      <w:r w:rsidR="00BE4B52" w:rsidRPr="00F24450">
        <w:rPr>
          <w:rFonts w:ascii="Garamond" w:hAnsi="Garamond" w:cs="Times New Roman"/>
        </w:rPr>
        <w:t>d</w:t>
      </w:r>
      <w:r w:rsidRPr="00F24450">
        <w:rPr>
          <w:rFonts w:ascii="Garamond" w:hAnsi="Garamond" w:cs="Times New Roman"/>
        </w:rPr>
        <w:t xml:space="preserve"> an overview of household socio-economic characteristics, climate variability experiences, and vulnerability levels in Korogocho and </w:t>
      </w:r>
      <w:r w:rsidR="00D03D34">
        <w:rPr>
          <w:rFonts w:ascii="Garamond" w:hAnsi="Garamond" w:cs="Times New Roman"/>
        </w:rPr>
        <w:t>Kahawa soweto</w:t>
      </w:r>
      <w:r w:rsidRPr="00F24450">
        <w:rPr>
          <w:rFonts w:ascii="Garamond" w:hAnsi="Garamond" w:cs="Times New Roman"/>
        </w:rPr>
        <w:t xml:space="preserve"> informal settlements.</w:t>
      </w:r>
    </w:p>
    <w:p w14:paraId="1A6F3A6F" w14:textId="77777777" w:rsidR="004C5511" w:rsidRPr="00F24450" w:rsidRDefault="004C5511" w:rsidP="003D1C57">
      <w:pPr>
        <w:spacing w:line="360" w:lineRule="auto"/>
        <w:jc w:val="both"/>
        <w:rPr>
          <w:rFonts w:ascii="Garamond" w:hAnsi="Garamond" w:cs="Times New Roman"/>
        </w:rPr>
      </w:pPr>
      <w:r w:rsidRPr="00F24450">
        <w:rPr>
          <w:rFonts w:ascii="Garamond" w:hAnsi="Garamond" w:cs="Times New Roman"/>
        </w:rPr>
        <w:t>Inferential analysis will include correlation and regression techniques to examine the relationships between climate variability, socio-economic factors, and household vulnerability. Multiple linear regression (or logistic regression for categorical vulnerability outcomes) will assess the predictive effects of climate variability and socio-economic factors on household vulnerability.</w:t>
      </w:r>
    </w:p>
    <w:p w14:paraId="7850DA45" w14:textId="67CF4517" w:rsidR="004C5511" w:rsidRPr="00F24450" w:rsidRDefault="004C5511" w:rsidP="003D1C57">
      <w:pPr>
        <w:spacing w:line="360" w:lineRule="auto"/>
        <w:jc w:val="both"/>
        <w:rPr>
          <w:rFonts w:ascii="Garamond" w:hAnsi="Garamond" w:cs="Times New Roman"/>
        </w:rPr>
      </w:pPr>
      <w:r w:rsidRPr="00F24450">
        <w:rPr>
          <w:rFonts w:ascii="Garamond" w:hAnsi="Garamond" w:cs="Times New Roman"/>
        </w:rPr>
        <w:t xml:space="preserve">To investigate the mediating role of socio-economic factors, mediation analysis </w:t>
      </w:r>
      <w:r w:rsidR="00BE4B52" w:rsidRPr="00F24450">
        <w:rPr>
          <w:rFonts w:ascii="Garamond" w:hAnsi="Garamond" w:cs="Times New Roman"/>
        </w:rPr>
        <w:t>was</w:t>
      </w:r>
      <w:r w:rsidRPr="00F24450">
        <w:rPr>
          <w:rFonts w:ascii="Garamond" w:hAnsi="Garamond" w:cs="Times New Roman"/>
        </w:rPr>
        <w:t xml:space="preserve"> conducted using structural equation modeling (SEM) or the PROCESS macro in SPSS, with bootstrap confidence intervals for indirect effects. This will estimate the direct effect of climate variability on household vulnerability, the indirect effect through socio-economic factors, and the total effect.</w:t>
      </w:r>
    </w:p>
    <w:p w14:paraId="3733D5E3" w14:textId="5D85422D" w:rsidR="004C5511" w:rsidRPr="00F24450" w:rsidRDefault="004C5511" w:rsidP="003D1C57">
      <w:pPr>
        <w:spacing w:line="360" w:lineRule="auto"/>
        <w:jc w:val="both"/>
        <w:rPr>
          <w:rFonts w:ascii="Garamond" w:hAnsi="Garamond" w:cs="Times New Roman"/>
        </w:rPr>
      </w:pPr>
      <w:r w:rsidRPr="00F24450">
        <w:rPr>
          <w:rFonts w:ascii="Garamond" w:hAnsi="Garamond" w:cs="Times New Roman"/>
        </w:rPr>
        <w:t xml:space="preserve">For qualitative data obtained from interviews or focus groups, thematic analysis </w:t>
      </w:r>
      <w:r w:rsidR="00BE4B52" w:rsidRPr="00F24450">
        <w:rPr>
          <w:rFonts w:ascii="Garamond" w:hAnsi="Garamond" w:cs="Times New Roman"/>
        </w:rPr>
        <w:t>was</w:t>
      </w:r>
      <w:r w:rsidRPr="00F24450">
        <w:rPr>
          <w:rFonts w:ascii="Garamond" w:hAnsi="Garamond" w:cs="Times New Roman"/>
        </w:rPr>
        <w:t xml:space="preserve"> used to identify patterns in coping strategies, perceptions of climate impacts, and socio-economic challenges. These findings will be triangulated with quantitative results to provide a comprehensive understanding of the pathways through which socio-economic factors mediate vulnerability.</w:t>
      </w:r>
    </w:p>
    <w:p w14:paraId="759F152C" w14:textId="2D4ABFA5" w:rsidR="004C5511" w:rsidRPr="00F24450" w:rsidRDefault="004C5511" w:rsidP="003D1C57">
      <w:pPr>
        <w:spacing w:line="360" w:lineRule="auto"/>
        <w:jc w:val="both"/>
        <w:rPr>
          <w:rFonts w:ascii="Garamond" w:hAnsi="Garamond" w:cs="Times New Roman"/>
        </w:rPr>
      </w:pPr>
      <w:r w:rsidRPr="00F24450">
        <w:rPr>
          <w:rFonts w:ascii="Garamond" w:hAnsi="Garamond" w:cs="Times New Roman"/>
        </w:rPr>
        <w:t xml:space="preserve">Reliability and validity of composite measures </w:t>
      </w:r>
      <w:r w:rsidR="00BE4B52" w:rsidRPr="00F24450">
        <w:rPr>
          <w:rFonts w:ascii="Garamond" w:hAnsi="Garamond" w:cs="Times New Roman"/>
        </w:rPr>
        <w:t>was</w:t>
      </w:r>
      <w:r w:rsidRPr="00F24450">
        <w:rPr>
          <w:rFonts w:ascii="Garamond" w:hAnsi="Garamond" w:cs="Times New Roman"/>
        </w:rPr>
        <w:t xml:space="preserve"> assessed using Cronbach’s alpha for multi-item scales and factor analysis, with Kaiser-Meyer-Olkin (KMO) and Bartlett’s tests conducted to ensure sampling adequacy. Results </w:t>
      </w:r>
      <w:r w:rsidR="00BE4B52" w:rsidRPr="00F24450">
        <w:rPr>
          <w:rFonts w:ascii="Garamond" w:hAnsi="Garamond" w:cs="Times New Roman"/>
        </w:rPr>
        <w:t>were</w:t>
      </w:r>
      <w:r w:rsidRPr="00F24450">
        <w:rPr>
          <w:rFonts w:ascii="Garamond" w:hAnsi="Garamond" w:cs="Times New Roman"/>
        </w:rPr>
        <w:t xml:space="preserve"> presented in tables and figures, highlighting descriptive summaries, regression coefficients, effect sizes, and mediation pathways, supported by qualitative narratives to contextualize household experiences.</w:t>
      </w:r>
    </w:p>
    <w:p w14:paraId="549388BF" w14:textId="41C2D76E" w:rsidR="00FC0352" w:rsidRPr="00F24450" w:rsidRDefault="005C1F23" w:rsidP="003D1C57">
      <w:pPr>
        <w:spacing w:line="360" w:lineRule="auto"/>
        <w:jc w:val="both"/>
        <w:rPr>
          <w:rFonts w:ascii="Garamond" w:hAnsi="Garamond"/>
          <w:b/>
        </w:rPr>
      </w:pPr>
      <w:r>
        <w:rPr>
          <w:rFonts w:ascii="Garamond" w:hAnsi="Garamond"/>
          <w:b/>
        </w:rPr>
        <w:t xml:space="preserve">4.0. </w:t>
      </w:r>
      <w:r w:rsidR="00FC0352" w:rsidRPr="00F24450">
        <w:rPr>
          <w:rFonts w:ascii="Garamond" w:hAnsi="Garamond"/>
          <w:b/>
        </w:rPr>
        <w:t xml:space="preserve">Results </w:t>
      </w:r>
    </w:p>
    <w:p w14:paraId="3BD0D8AD" w14:textId="5CC14F6A" w:rsidR="00BE4B52" w:rsidRPr="00F24450" w:rsidRDefault="005C1F23" w:rsidP="003D1C57">
      <w:pPr>
        <w:spacing w:line="360" w:lineRule="auto"/>
        <w:jc w:val="both"/>
        <w:rPr>
          <w:rFonts w:ascii="Garamond" w:hAnsi="Garamond" w:cs="Times New Roman"/>
          <w:b/>
        </w:rPr>
      </w:pPr>
      <w:bookmarkStart w:id="8" w:name="_Toc217089275"/>
      <w:r>
        <w:rPr>
          <w:rFonts w:ascii="Garamond" w:hAnsi="Garamond" w:cs="Times New Roman"/>
          <w:b/>
        </w:rPr>
        <w:t>4.1.</w:t>
      </w:r>
      <w:r w:rsidRPr="00F24450">
        <w:rPr>
          <w:rFonts w:ascii="Garamond" w:hAnsi="Garamond" w:cs="Times New Roman"/>
          <w:b/>
        </w:rPr>
        <w:t xml:space="preserve"> Socioeconomic</w:t>
      </w:r>
      <w:r w:rsidR="00BE4B52" w:rsidRPr="00F24450">
        <w:rPr>
          <w:rFonts w:ascii="Garamond" w:hAnsi="Garamond" w:cs="Times New Roman"/>
          <w:b/>
        </w:rPr>
        <w:t xml:space="preserve"> Vulnerability and Climate Variability in Korogocho and </w:t>
      </w:r>
      <w:r w:rsidR="00C128BC">
        <w:rPr>
          <w:rFonts w:ascii="Garamond" w:hAnsi="Garamond" w:cs="Times New Roman"/>
          <w:b/>
        </w:rPr>
        <w:t xml:space="preserve">Kahawa Soweto </w:t>
      </w:r>
    </w:p>
    <w:p w14:paraId="56152C54"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Survey respondents identified heatwaves, flooding, droughts, and dust storms as the climate hazards most likely to disrupt daily life. Socioeconomic conditions including poverty, low and unstable incomes, inadequate housing, and poor sanitation were consistently identified as key mediators of vulnerability, shaping both exposure to climate risks and capacity to respond.</w:t>
      </w:r>
    </w:p>
    <w:p w14:paraId="0552774C" w14:textId="0BA155BF" w:rsidR="00BE4B52" w:rsidRPr="00F24450" w:rsidRDefault="005C1F23" w:rsidP="003D1C57">
      <w:pPr>
        <w:spacing w:line="360" w:lineRule="auto"/>
        <w:jc w:val="both"/>
        <w:rPr>
          <w:rFonts w:ascii="Garamond" w:hAnsi="Garamond"/>
          <w:b/>
        </w:rPr>
      </w:pPr>
      <w:r>
        <w:rPr>
          <w:rFonts w:ascii="Garamond" w:hAnsi="Garamond"/>
          <w:b/>
        </w:rPr>
        <w:lastRenderedPageBreak/>
        <w:t xml:space="preserve">4.2. </w:t>
      </w:r>
      <w:r w:rsidR="00BE4B52" w:rsidRPr="00F24450">
        <w:rPr>
          <w:rFonts w:ascii="Garamond" w:hAnsi="Garamond"/>
          <w:b/>
        </w:rPr>
        <w:t>Comparative Socioeconomic Vulnerability</w:t>
      </w:r>
    </w:p>
    <w:p w14:paraId="47B75DD9" w14:textId="615FC3FD"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 xml:space="preserve">Statistical analysis indicates that residents of Korogocho exhibit significantly higher socioeconomic vulnerability than those of </w:t>
      </w:r>
      <w:r w:rsidR="00C128BC">
        <w:rPr>
          <w:rFonts w:ascii="Garamond" w:hAnsi="Garamond" w:cs="Times New Roman"/>
        </w:rPr>
        <w:t xml:space="preserve">Kahawa </w:t>
      </w:r>
      <w:r w:rsidR="004E0A1E">
        <w:rPr>
          <w:rFonts w:ascii="Garamond" w:hAnsi="Garamond" w:cs="Times New Roman"/>
        </w:rPr>
        <w:t xml:space="preserve">Soweto </w:t>
      </w:r>
      <w:r w:rsidR="004E0A1E" w:rsidRPr="00F24450">
        <w:rPr>
          <w:rFonts w:ascii="Garamond" w:hAnsi="Garamond" w:cs="Times New Roman"/>
        </w:rPr>
        <w:t>across</w:t>
      </w:r>
      <w:r w:rsidRPr="00F24450">
        <w:rPr>
          <w:rFonts w:ascii="Garamond" w:hAnsi="Garamond" w:cs="Times New Roman"/>
        </w:rPr>
        <w:t xml:space="preserve"> multiple dimensions. These include housing quality, sanitation and water access, social capital, overcrowding, poverty and low income, land tenure insecurity, limited access to credit, unemployment, reduced productivity, educational attainment, discrimination, and social isolation. In contrast, no statistically significant differences were observed between the two settlements with respect to access to health services, availability of affordable housing, rural–urban migration pressures, governance and corruption, strain on public services, or engagement in informal economic activities. Overall, Korogocho residents face greater structural vulnerability, particularly in relation to housing, sanitation, income security, education, and social conditions.</w:t>
      </w:r>
    </w:p>
    <w:p w14:paraId="6098335C" w14:textId="3ADF0DC9" w:rsidR="00BE4B52" w:rsidRPr="00F24450" w:rsidRDefault="005C1F23" w:rsidP="003D1C57">
      <w:pPr>
        <w:spacing w:line="360" w:lineRule="auto"/>
        <w:jc w:val="both"/>
        <w:rPr>
          <w:rFonts w:ascii="Garamond" w:hAnsi="Garamond"/>
          <w:b/>
        </w:rPr>
      </w:pPr>
      <w:r>
        <w:rPr>
          <w:rFonts w:ascii="Garamond" w:hAnsi="Garamond"/>
          <w:b/>
        </w:rPr>
        <w:t xml:space="preserve">4.3. </w:t>
      </w:r>
      <w:r w:rsidR="00BE4B52" w:rsidRPr="00F24450">
        <w:rPr>
          <w:rFonts w:ascii="Garamond" w:hAnsi="Garamond"/>
          <w:b/>
        </w:rPr>
        <w:t>Household Structure, Social Capital, and Differential Vulnerability</w:t>
      </w:r>
    </w:p>
    <w:p w14:paraId="49F72EFB"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These findings align with prior research (Pope et al., 2022; Taba et al., 2023; Younis &amp; Eberhardt, 2024), which emphasizes the role of household characteristics such as size and headship in shaping vulnerability. Single-mother households, in particular, face compounded risks related to food insecurity, poor health outcomes, and reduced adaptive capacity. Climate shocks may intensify these pressures, occasionally triggering negative coping strategies, including child marriage or withdrawal from education.</w:t>
      </w:r>
    </w:p>
    <w:p w14:paraId="2AD235DE"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Social capital emerged as a critical factor moderating vulnerability, supporting earlier work by Pandey et al. (2018), Caleb et al. (2024), Mackay et al. (2021), and Miller et al. (2020). Households embedded in strong social networks demonstrated greater resilience through access to shared information, financial and material support, labor exchange, and emotional assistance. In contexts where formal risk-transfer mechanisms such as insurance are absent, social capital functions as both a buffer against climate shocks and a platform for collective adaptation and learning. Nevertheless, social capital did not uniformly benefit all households. Approximately 34% of respondents disagreed that social isolation increased vulnerability, reflecting heterogeneity in perceptions and lived experiences. Moreover, power imbalances within communities often constrained the poorest households’ access to shared resources, limiting the protective role of social networks.</w:t>
      </w:r>
    </w:p>
    <w:p w14:paraId="5D694197" w14:textId="7667C4A3" w:rsidR="00BE4B52" w:rsidRPr="00F24450" w:rsidRDefault="005C1F23" w:rsidP="003D1C57">
      <w:pPr>
        <w:spacing w:line="360" w:lineRule="auto"/>
        <w:jc w:val="both"/>
        <w:rPr>
          <w:rFonts w:ascii="Garamond" w:hAnsi="Garamond"/>
          <w:b/>
        </w:rPr>
      </w:pPr>
      <w:r>
        <w:rPr>
          <w:rFonts w:ascii="Garamond" w:hAnsi="Garamond"/>
          <w:b/>
        </w:rPr>
        <w:t xml:space="preserve">4.4. </w:t>
      </w:r>
      <w:r w:rsidR="00BE4B52" w:rsidRPr="00F24450">
        <w:rPr>
          <w:rFonts w:ascii="Garamond" w:hAnsi="Garamond"/>
          <w:b/>
        </w:rPr>
        <w:t>Gender, Spatial Exposure, and Adaptive Capacity</w:t>
      </w:r>
    </w:p>
    <w:p w14:paraId="2A0623AF"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lastRenderedPageBreak/>
        <w:t>Gender disparities were evident, with women generally more vulnerable due to unequal access to resources, education, and decision-making power. Household-level factors, including family size and available labor, further mediated adaptive capacity. Vulnerability was also spatially reinforced by the location of informal settlements in low-lying or flood-prone areas, compounded by poor urban planning, high population density, inadequate infrastructure, and substandard housing. Limited access to technology, early warning systems, and formal institutional support further constrained adaptive capacity, creating feedback loops in which climate variability exacerbates existing socioeconomic inequalities.</w:t>
      </w:r>
    </w:p>
    <w:p w14:paraId="4893C4A5" w14:textId="53CD39B4" w:rsidR="00BE4B52" w:rsidRPr="00F24450" w:rsidRDefault="005C1F23" w:rsidP="003D1C57">
      <w:pPr>
        <w:spacing w:line="360" w:lineRule="auto"/>
        <w:jc w:val="both"/>
        <w:rPr>
          <w:rFonts w:ascii="Garamond" w:hAnsi="Garamond"/>
          <w:b/>
        </w:rPr>
      </w:pPr>
      <w:r>
        <w:rPr>
          <w:rFonts w:ascii="Garamond" w:hAnsi="Garamond"/>
          <w:b/>
        </w:rPr>
        <w:t xml:space="preserve">4.5. </w:t>
      </w:r>
      <w:r w:rsidR="00BE4B52" w:rsidRPr="00F24450">
        <w:rPr>
          <w:rFonts w:ascii="Garamond" w:hAnsi="Garamond"/>
          <w:b/>
        </w:rPr>
        <w:t>Relationship between Climate Variability and Socioeconomic Factors</w:t>
      </w:r>
    </w:p>
    <w:p w14:paraId="67EBC023"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Pearson’s correlation analysis revealed generally weak associations between climatic variables and socioeconomic indicators. Precipitation exhibited weak negative correlations with gender (r = –0.045), education (r = –0.023), and poverty (r = –0.051). Temperature showed weak positive correlation with gender (r = 0.079) and negligible or weak negative correlations with education (r = –0.044) and poverty (r = –0.003).</w:t>
      </w:r>
    </w:p>
    <w:p w14:paraId="5A36E285"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Interrelationships among socioeconomic variables were also modest. Gender was weakly correlated with education (r = 0.000) and poverty (r = 0.020), while education and poverty showed a stronger positive association (r = 0.065), indicating that lower educational attainment is closely linked to higher poverty levels. Precipitation and temperature were weakly positively correlated (r = 0.101). Socioeconomic disruptions such as job loss and income instability were weakly positively associated with poverty and low income (r = 0.040), suggesting that climate variability amplifies existing vulnerabilities primarily through economic pathways rather than direct linear relationships.</w:t>
      </w:r>
    </w:p>
    <w:p w14:paraId="069CE010" w14:textId="5A5A0226"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 xml:space="preserve">Table </w:t>
      </w:r>
      <w:r w:rsidR="009F28B6" w:rsidRPr="00F24450">
        <w:rPr>
          <w:rFonts w:ascii="Garamond" w:hAnsi="Garamond" w:cs="Times New Roman"/>
        </w:rPr>
        <w:t>2</w:t>
      </w:r>
      <w:r w:rsidRPr="00F24450">
        <w:rPr>
          <w:rFonts w:ascii="Garamond" w:hAnsi="Garamond" w:cs="Times New Roman"/>
        </w:rPr>
        <w:t>: summary tables of Regression Tables for Mediation Analysis</w:t>
      </w:r>
    </w:p>
    <w:p w14:paraId="4B4C6DD3"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 xml:space="preserve"> Mediation results of Path a: Effect of Climate Variability on Socioeconomic Factors. Dependent Variable: Socioeconomic Factors</w:t>
      </w:r>
    </w:p>
    <w:p w14:paraId="4E1E1157" w14:textId="3923014D" w:rsidR="00BE4B52" w:rsidRPr="00F24450" w:rsidRDefault="00BE4B52" w:rsidP="004E0A1E">
      <w:pPr>
        <w:pStyle w:val="MyTable"/>
      </w:pPr>
      <w:r w:rsidRPr="00F24450">
        <w:t xml:space="preserve">Table </w:t>
      </w:r>
      <w:r w:rsidR="004E0A1E">
        <w:t>5</w:t>
      </w:r>
      <w:r w:rsidRPr="00F24450">
        <w:t>: summary tables of Regression Tables for Mediation Analysis</w:t>
      </w:r>
    </w:p>
    <w:tbl>
      <w:tblPr>
        <w:tblW w:w="9735" w:type="dxa"/>
        <w:tblCellSpacing w:w="15" w:type="dxa"/>
        <w:tblCellMar>
          <w:top w:w="15" w:type="dxa"/>
          <w:left w:w="15" w:type="dxa"/>
          <w:bottom w:w="15" w:type="dxa"/>
          <w:right w:w="15" w:type="dxa"/>
        </w:tblCellMar>
        <w:tblLook w:val="04A0" w:firstRow="1" w:lastRow="0" w:firstColumn="1" w:lastColumn="0" w:noHBand="0" w:noVBand="1"/>
      </w:tblPr>
      <w:tblGrid>
        <w:gridCol w:w="3577"/>
        <w:gridCol w:w="1328"/>
        <w:gridCol w:w="1103"/>
        <w:gridCol w:w="1197"/>
        <w:gridCol w:w="1197"/>
        <w:gridCol w:w="1333"/>
      </w:tblGrid>
      <w:tr w:rsidR="00BE4B52" w:rsidRPr="00F24450" w14:paraId="674EFC44" w14:textId="77777777" w:rsidTr="00BE4B52">
        <w:trPr>
          <w:trHeight w:val="554"/>
          <w:tblHeader/>
          <w:tblCellSpacing w:w="15" w:type="dxa"/>
        </w:trPr>
        <w:tc>
          <w:tcPr>
            <w:tcW w:w="0" w:type="auto"/>
            <w:tcBorders>
              <w:top w:val="single" w:sz="4" w:space="0" w:color="auto"/>
              <w:bottom w:val="single" w:sz="4" w:space="0" w:color="auto"/>
            </w:tcBorders>
            <w:vAlign w:val="center"/>
            <w:hideMark/>
          </w:tcPr>
          <w:p w14:paraId="728C20B3" w14:textId="77777777" w:rsidR="00BE4B52" w:rsidRPr="00F24450" w:rsidRDefault="00BE4B52" w:rsidP="004E0A1E">
            <w:pPr>
              <w:spacing w:line="240" w:lineRule="auto"/>
              <w:jc w:val="both"/>
              <w:rPr>
                <w:rFonts w:ascii="Garamond" w:hAnsi="Garamond" w:cs="Times New Roman"/>
              </w:rPr>
            </w:pPr>
            <w:r w:rsidRPr="00F24450">
              <w:rPr>
                <w:rFonts w:ascii="Garamond" w:hAnsi="Garamond" w:cs="Times New Roman"/>
              </w:rPr>
              <w:t>Predictor</w:t>
            </w:r>
          </w:p>
        </w:tc>
        <w:tc>
          <w:tcPr>
            <w:tcW w:w="0" w:type="auto"/>
            <w:tcBorders>
              <w:top w:val="single" w:sz="4" w:space="0" w:color="auto"/>
              <w:bottom w:val="single" w:sz="4" w:space="0" w:color="auto"/>
            </w:tcBorders>
            <w:vAlign w:val="center"/>
            <w:hideMark/>
          </w:tcPr>
          <w:p w14:paraId="04CF7B07" w14:textId="77777777" w:rsidR="00BE4B52" w:rsidRPr="00F24450" w:rsidRDefault="00BE4B52" w:rsidP="004E0A1E">
            <w:pPr>
              <w:spacing w:line="240" w:lineRule="auto"/>
              <w:jc w:val="both"/>
              <w:rPr>
                <w:rFonts w:ascii="Garamond" w:hAnsi="Garamond" w:cs="Times New Roman"/>
                <w:b/>
                <w:bCs/>
              </w:rPr>
            </w:pPr>
            <w:r w:rsidRPr="00F24450">
              <w:rPr>
                <w:rFonts w:ascii="Garamond" w:hAnsi="Garamond" w:cs="Times New Roman"/>
                <w:b/>
                <w:bCs/>
              </w:rPr>
              <w:t>B</w:t>
            </w:r>
          </w:p>
        </w:tc>
        <w:tc>
          <w:tcPr>
            <w:tcW w:w="0" w:type="auto"/>
            <w:tcBorders>
              <w:top w:val="single" w:sz="4" w:space="0" w:color="auto"/>
              <w:bottom w:val="single" w:sz="4" w:space="0" w:color="auto"/>
            </w:tcBorders>
            <w:vAlign w:val="center"/>
            <w:hideMark/>
          </w:tcPr>
          <w:p w14:paraId="26AF62BB" w14:textId="77777777" w:rsidR="00BE4B52" w:rsidRPr="00F24450" w:rsidRDefault="00BE4B52" w:rsidP="004E0A1E">
            <w:pPr>
              <w:spacing w:line="240" w:lineRule="auto"/>
              <w:jc w:val="both"/>
              <w:rPr>
                <w:rFonts w:ascii="Garamond" w:hAnsi="Garamond" w:cs="Times New Roman"/>
                <w:b/>
                <w:bCs/>
              </w:rPr>
            </w:pPr>
            <w:r w:rsidRPr="00F24450">
              <w:rPr>
                <w:rFonts w:ascii="Garamond" w:hAnsi="Garamond" w:cs="Times New Roman"/>
                <w:b/>
                <w:bCs/>
              </w:rPr>
              <w:t>SE</w:t>
            </w:r>
          </w:p>
        </w:tc>
        <w:tc>
          <w:tcPr>
            <w:tcW w:w="0" w:type="auto"/>
            <w:tcBorders>
              <w:top w:val="single" w:sz="4" w:space="0" w:color="auto"/>
              <w:bottom w:val="single" w:sz="4" w:space="0" w:color="auto"/>
            </w:tcBorders>
            <w:vAlign w:val="center"/>
            <w:hideMark/>
          </w:tcPr>
          <w:p w14:paraId="316B79B3" w14:textId="77777777" w:rsidR="00BE4B52" w:rsidRPr="00F24450" w:rsidRDefault="00BE4B52" w:rsidP="004E0A1E">
            <w:pPr>
              <w:spacing w:line="240" w:lineRule="auto"/>
              <w:jc w:val="both"/>
              <w:rPr>
                <w:rFonts w:ascii="Garamond" w:hAnsi="Garamond" w:cs="Times New Roman"/>
                <w:b/>
                <w:bCs/>
              </w:rPr>
            </w:pPr>
            <w:r w:rsidRPr="00F24450">
              <w:rPr>
                <w:rFonts w:ascii="Garamond" w:hAnsi="Garamond" w:cs="Times New Roman"/>
                <w:b/>
                <w:bCs/>
              </w:rPr>
              <w:t>β</w:t>
            </w:r>
          </w:p>
        </w:tc>
        <w:tc>
          <w:tcPr>
            <w:tcW w:w="0" w:type="auto"/>
            <w:tcBorders>
              <w:top w:val="single" w:sz="4" w:space="0" w:color="auto"/>
              <w:bottom w:val="single" w:sz="4" w:space="0" w:color="auto"/>
            </w:tcBorders>
            <w:vAlign w:val="center"/>
            <w:hideMark/>
          </w:tcPr>
          <w:p w14:paraId="032892BC" w14:textId="77777777" w:rsidR="00BE4B52" w:rsidRPr="00F24450" w:rsidRDefault="00BE4B52" w:rsidP="004E0A1E">
            <w:pPr>
              <w:spacing w:line="240" w:lineRule="auto"/>
              <w:jc w:val="both"/>
              <w:rPr>
                <w:rFonts w:ascii="Garamond" w:hAnsi="Garamond" w:cs="Times New Roman"/>
                <w:b/>
                <w:bCs/>
              </w:rPr>
            </w:pPr>
            <w:r w:rsidRPr="00F24450">
              <w:rPr>
                <w:rFonts w:ascii="Garamond" w:hAnsi="Garamond" w:cs="Times New Roman"/>
                <w:b/>
                <w:bCs/>
              </w:rPr>
              <w:t>t</w:t>
            </w:r>
          </w:p>
        </w:tc>
        <w:tc>
          <w:tcPr>
            <w:tcW w:w="0" w:type="auto"/>
            <w:tcBorders>
              <w:top w:val="single" w:sz="4" w:space="0" w:color="auto"/>
              <w:bottom w:val="single" w:sz="4" w:space="0" w:color="auto"/>
            </w:tcBorders>
            <w:vAlign w:val="center"/>
            <w:hideMark/>
          </w:tcPr>
          <w:p w14:paraId="4691ED72" w14:textId="77777777" w:rsidR="00BE4B52" w:rsidRPr="00F24450" w:rsidRDefault="00BE4B52" w:rsidP="004E0A1E">
            <w:pPr>
              <w:spacing w:line="240" w:lineRule="auto"/>
              <w:jc w:val="both"/>
              <w:rPr>
                <w:rFonts w:ascii="Garamond" w:hAnsi="Garamond" w:cs="Times New Roman"/>
                <w:b/>
                <w:bCs/>
              </w:rPr>
            </w:pPr>
            <w:r w:rsidRPr="00F24450">
              <w:rPr>
                <w:rFonts w:ascii="Garamond" w:hAnsi="Garamond" w:cs="Times New Roman"/>
                <w:b/>
                <w:bCs/>
              </w:rPr>
              <w:t>p</w:t>
            </w:r>
          </w:p>
        </w:tc>
      </w:tr>
      <w:tr w:rsidR="00BE4B52" w:rsidRPr="00F24450" w14:paraId="708E4575" w14:textId="77777777" w:rsidTr="00BE4B52">
        <w:trPr>
          <w:trHeight w:val="554"/>
          <w:tblCellSpacing w:w="15" w:type="dxa"/>
        </w:trPr>
        <w:tc>
          <w:tcPr>
            <w:tcW w:w="0" w:type="auto"/>
            <w:vAlign w:val="center"/>
            <w:hideMark/>
          </w:tcPr>
          <w:p w14:paraId="5C30A2FB" w14:textId="77777777" w:rsidR="00BE4B52" w:rsidRPr="00F24450" w:rsidRDefault="00BE4B52" w:rsidP="004E0A1E">
            <w:pPr>
              <w:spacing w:line="240" w:lineRule="auto"/>
              <w:jc w:val="both"/>
              <w:rPr>
                <w:rFonts w:ascii="Garamond" w:hAnsi="Garamond" w:cs="Times New Roman"/>
              </w:rPr>
            </w:pPr>
            <w:r w:rsidRPr="00F24450">
              <w:rPr>
                <w:rFonts w:ascii="Garamond" w:hAnsi="Garamond" w:cs="Times New Roman"/>
              </w:rPr>
              <w:t>Constant</w:t>
            </w:r>
          </w:p>
        </w:tc>
        <w:tc>
          <w:tcPr>
            <w:tcW w:w="0" w:type="auto"/>
            <w:vAlign w:val="center"/>
            <w:hideMark/>
          </w:tcPr>
          <w:p w14:paraId="50E94EB3" w14:textId="77777777" w:rsidR="00BE4B52" w:rsidRPr="00F24450" w:rsidRDefault="00BE4B52" w:rsidP="004E0A1E">
            <w:pPr>
              <w:spacing w:line="240" w:lineRule="auto"/>
              <w:jc w:val="both"/>
              <w:rPr>
                <w:rFonts w:ascii="Garamond" w:hAnsi="Garamond" w:cs="Times New Roman"/>
              </w:rPr>
            </w:pPr>
            <w:r w:rsidRPr="00F24450">
              <w:rPr>
                <w:rFonts w:ascii="Garamond" w:hAnsi="Garamond" w:cs="Times New Roman"/>
              </w:rPr>
              <w:t>134.21</w:t>
            </w:r>
          </w:p>
        </w:tc>
        <w:tc>
          <w:tcPr>
            <w:tcW w:w="0" w:type="auto"/>
            <w:vAlign w:val="center"/>
            <w:hideMark/>
          </w:tcPr>
          <w:p w14:paraId="217D08DD" w14:textId="77777777" w:rsidR="00BE4B52" w:rsidRPr="00F24450" w:rsidRDefault="00BE4B52" w:rsidP="004E0A1E">
            <w:pPr>
              <w:spacing w:line="240" w:lineRule="auto"/>
              <w:jc w:val="both"/>
              <w:rPr>
                <w:rFonts w:ascii="Garamond" w:hAnsi="Garamond" w:cs="Times New Roman"/>
              </w:rPr>
            </w:pPr>
            <w:r w:rsidRPr="00F24450">
              <w:rPr>
                <w:rFonts w:ascii="Garamond" w:hAnsi="Garamond" w:cs="Times New Roman"/>
              </w:rPr>
              <w:t>21.45</w:t>
            </w:r>
          </w:p>
        </w:tc>
        <w:tc>
          <w:tcPr>
            <w:tcW w:w="0" w:type="auto"/>
            <w:vAlign w:val="center"/>
            <w:hideMark/>
          </w:tcPr>
          <w:p w14:paraId="54C9C5F9" w14:textId="77777777" w:rsidR="00BE4B52" w:rsidRPr="00F24450" w:rsidRDefault="00BE4B52" w:rsidP="004E0A1E">
            <w:pPr>
              <w:spacing w:line="240" w:lineRule="auto"/>
              <w:jc w:val="both"/>
              <w:rPr>
                <w:rFonts w:ascii="Garamond" w:hAnsi="Garamond" w:cs="Times New Roman"/>
              </w:rPr>
            </w:pPr>
            <w:r w:rsidRPr="00F24450">
              <w:rPr>
                <w:rFonts w:ascii="Garamond" w:hAnsi="Garamond" w:cs="Times New Roman"/>
              </w:rPr>
              <w:t>—</w:t>
            </w:r>
          </w:p>
        </w:tc>
        <w:tc>
          <w:tcPr>
            <w:tcW w:w="0" w:type="auto"/>
            <w:vAlign w:val="center"/>
            <w:hideMark/>
          </w:tcPr>
          <w:p w14:paraId="5BBCCA6E" w14:textId="77777777" w:rsidR="00BE4B52" w:rsidRPr="00F24450" w:rsidRDefault="00BE4B52" w:rsidP="004E0A1E">
            <w:pPr>
              <w:spacing w:line="240" w:lineRule="auto"/>
              <w:jc w:val="both"/>
              <w:rPr>
                <w:rFonts w:ascii="Garamond" w:hAnsi="Garamond" w:cs="Times New Roman"/>
              </w:rPr>
            </w:pPr>
            <w:r w:rsidRPr="00F24450">
              <w:rPr>
                <w:rFonts w:ascii="Garamond" w:hAnsi="Garamond" w:cs="Times New Roman"/>
              </w:rPr>
              <w:t>6.26</w:t>
            </w:r>
          </w:p>
        </w:tc>
        <w:tc>
          <w:tcPr>
            <w:tcW w:w="0" w:type="auto"/>
            <w:vAlign w:val="center"/>
            <w:hideMark/>
          </w:tcPr>
          <w:p w14:paraId="74AECA28" w14:textId="77777777" w:rsidR="00BE4B52" w:rsidRPr="00F24450" w:rsidRDefault="00BE4B52" w:rsidP="004E0A1E">
            <w:pPr>
              <w:spacing w:line="240" w:lineRule="auto"/>
              <w:jc w:val="both"/>
              <w:rPr>
                <w:rFonts w:ascii="Garamond" w:hAnsi="Garamond" w:cs="Times New Roman"/>
              </w:rPr>
            </w:pPr>
            <w:r w:rsidRPr="00F24450">
              <w:rPr>
                <w:rFonts w:ascii="Garamond" w:hAnsi="Garamond" w:cs="Times New Roman"/>
              </w:rPr>
              <w:t>&lt; .001</w:t>
            </w:r>
          </w:p>
        </w:tc>
      </w:tr>
      <w:tr w:rsidR="00BE4B52" w:rsidRPr="00F24450" w14:paraId="08A943E2" w14:textId="77777777" w:rsidTr="00BE4B52">
        <w:trPr>
          <w:trHeight w:val="554"/>
          <w:tblCellSpacing w:w="15" w:type="dxa"/>
        </w:trPr>
        <w:tc>
          <w:tcPr>
            <w:tcW w:w="0" w:type="auto"/>
            <w:tcBorders>
              <w:bottom w:val="single" w:sz="4" w:space="0" w:color="auto"/>
            </w:tcBorders>
            <w:vAlign w:val="center"/>
            <w:hideMark/>
          </w:tcPr>
          <w:p w14:paraId="1D0B8D1F" w14:textId="77777777" w:rsidR="00BE4B52" w:rsidRPr="00F24450" w:rsidRDefault="00BE4B52" w:rsidP="004E0A1E">
            <w:pPr>
              <w:spacing w:line="240" w:lineRule="auto"/>
              <w:jc w:val="both"/>
              <w:rPr>
                <w:rFonts w:ascii="Garamond" w:hAnsi="Garamond" w:cs="Times New Roman"/>
              </w:rPr>
            </w:pPr>
            <w:r w:rsidRPr="00F24450">
              <w:rPr>
                <w:rFonts w:ascii="Garamond" w:hAnsi="Garamond" w:cs="Times New Roman"/>
              </w:rPr>
              <w:lastRenderedPageBreak/>
              <w:t>Climate Variability</w:t>
            </w:r>
          </w:p>
        </w:tc>
        <w:tc>
          <w:tcPr>
            <w:tcW w:w="0" w:type="auto"/>
            <w:tcBorders>
              <w:bottom w:val="single" w:sz="4" w:space="0" w:color="auto"/>
            </w:tcBorders>
            <w:vAlign w:val="center"/>
            <w:hideMark/>
          </w:tcPr>
          <w:p w14:paraId="5F319C3A" w14:textId="77777777" w:rsidR="00BE4B52" w:rsidRPr="00F24450" w:rsidRDefault="00BE4B52" w:rsidP="004E0A1E">
            <w:pPr>
              <w:spacing w:line="240" w:lineRule="auto"/>
              <w:jc w:val="both"/>
              <w:rPr>
                <w:rFonts w:ascii="Garamond" w:hAnsi="Garamond" w:cs="Times New Roman"/>
              </w:rPr>
            </w:pPr>
            <w:r w:rsidRPr="00F24450">
              <w:rPr>
                <w:rFonts w:ascii="Garamond" w:hAnsi="Garamond" w:cs="Times New Roman"/>
              </w:rPr>
              <w:t>−0.72</w:t>
            </w:r>
          </w:p>
        </w:tc>
        <w:tc>
          <w:tcPr>
            <w:tcW w:w="0" w:type="auto"/>
            <w:tcBorders>
              <w:bottom w:val="single" w:sz="4" w:space="0" w:color="auto"/>
            </w:tcBorders>
            <w:vAlign w:val="center"/>
            <w:hideMark/>
          </w:tcPr>
          <w:p w14:paraId="0D433F3B" w14:textId="77777777" w:rsidR="00BE4B52" w:rsidRPr="00F24450" w:rsidRDefault="00BE4B52" w:rsidP="004E0A1E">
            <w:pPr>
              <w:spacing w:line="240" w:lineRule="auto"/>
              <w:jc w:val="both"/>
              <w:rPr>
                <w:rFonts w:ascii="Garamond" w:hAnsi="Garamond" w:cs="Times New Roman"/>
              </w:rPr>
            </w:pPr>
            <w:r w:rsidRPr="00F24450">
              <w:rPr>
                <w:rFonts w:ascii="Garamond" w:hAnsi="Garamond" w:cs="Times New Roman"/>
              </w:rPr>
              <w:t>0.29</w:t>
            </w:r>
          </w:p>
        </w:tc>
        <w:tc>
          <w:tcPr>
            <w:tcW w:w="0" w:type="auto"/>
            <w:tcBorders>
              <w:bottom w:val="single" w:sz="4" w:space="0" w:color="auto"/>
            </w:tcBorders>
            <w:vAlign w:val="center"/>
            <w:hideMark/>
          </w:tcPr>
          <w:p w14:paraId="67DD6BF6" w14:textId="77777777" w:rsidR="00BE4B52" w:rsidRPr="00F24450" w:rsidRDefault="00BE4B52" w:rsidP="004E0A1E">
            <w:pPr>
              <w:spacing w:line="240" w:lineRule="auto"/>
              <w:jc w:val="both"/>
              <w:rPr>
                <w:rFonts w:ascii="Garamond" w:hAnsi="Garamond" w:cs="Times New Roman"/>
              </w:rPr>
            </w:pPr>
            <w:r w:rsidRPr="00F24450">
              <w:rPr>
                <w:rFonts w:ascii="Garamond" w:hAnsi="Garamond" w:cs="Times New Roman"/>
              </w:rPr>
              <w:t>−0.42</w:t>
            </w:r>
          </w:p>
        </w:tc>
        <w:tc>
          <w:tcPr>
            <w:tcW w:w="0" w:type="auto"/>
            <w:tcBorders>
              <w:bottom w:val="single" w:sz="4" w:space="0" w:color="auto"/>
            </w:tcBorders>
            <w:vAlign w:val="center"/>
            <w:hideMark/>
          </w:tcPr>
          <w:p w14:paraId="348398AE" w14:textId="77777777" w:rsidR="00BE4B52" w:rsidRPr="00F24450" w:rsidRDefault="00BE4B52" w:rsidP="004E0A1E">
            <w:pPr>
              <w:spacing w:line="240" w:lineRule="auto"/>
              <w:jc w:val="both"/>
              <w:rPr>
                <w:rFonts w:ascii="Garamond" w:hAnsi="Garamond" w:cs="Times New Roman"/>
              </w:rPr>
            </w:pPr>
            <w:r w:rsidRPr="00F24450">
              <w:rPr>
                <w:rFonts w:ascii="Garamond" w:hAnsi="Garamond" w:cs="Times New Roman"/>
              </w:rPr>
              <w:t>−2.48</w:t>
            </w:r>
          </w:p>
        </w:tc>
        <w:tc>
          <w:tcPr>
            <w:tcW w:w="0" w:type="auto"/>
            <w:tcBorders>
              <w:bottom w:val="single" w:sz="4" w:space="0" w:color="auto"/>
            </w:tcBorders>
            <w:vAlign w:val="center"/>
            <w:hideMark/>
          </w:tcPr>
          <w:p w14:paraId="37851CA9" w14:textId="77777777" w:rsidR="00BE4B52" w:rsidRPr="00F24450" w:rsidRDefault="00BE4B52" w:rsidP="004E0A1E">
            <w:pPr>
              <w:spacing w:line="240" w:lineRule="auto"/>
              <w:jc w:val="both"/>
              <w:rPr>
                <w:rFonts w:ascii="Garamond" w:hAnsi="Garamond" w:cs="Times New Roman"/>
              </w:rPr>
            </w:pPr>
            <w:r w:rsidRPr="00F24450">
              <w:rPr>
                <w:rFonts w:ascii="Garamond" w:hAnsi="Garamond" w:cs="Times New Roman"/>
              </w:rPr>
              <w:t>.034</w:t>
            </w:r>
          </w:p>
        </w:tc>
      </w:tr>
    </w:tbl>
    <w:p w14:paraId="609DE953"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Mediation results of Path b: Effect of Socioeconomic Factors on Vulnerability. Dependent Variable: Vulnerability</w:t>
      </w:r>
    </w:p>
    <w:tbl>
      <w:tblPr>
        <w:tblW w:w="9191" w:type="dxa"/>
        <w:tblCellSpacing w:w="15" w:type="dxa"/>
        <w:tblCellMar>
          <w:top w:w="15" w:type="dxa"/>
          <w:left w:w="15" w:type="dxa"/>
          <w:bottom w:w="15" w:type="dxa"/>
          <w:right w:w="15" w:type="dxa"/>
        </w:tblCellMar>
        <w:tblLook w:val="04A0" w:firstRow="1" w:lastRow="0" w:firstColumn="1" w:lastColumn="0" w:noHBand="0" w:noVBand="1"/>
      </w:tblPr>
      <w:tblGrid>
        <w:gridCol w:w="4126"/>
        <w:gridCol w:w="1313"/>
        <w:gridCol w:w="1017"/>
        <w:gridCol w:w="808"/>
        <w:gridCol w:w="1104"/>
        <w:gridCol w:w="823"/>
      </w:tblGrid>
      <w:tr w:rsidR="00BE4B52" w:rsidRPr="00F24450" w14:paraId="74DF4F2E" w14:textId="77777777" w:rsidTr="00BE4B52">
        <w:trPr>
          <w:trHeight w:val="690"/>
          <w:tblHeader/>
          <w:tblCellSpacing w:w="15" w:type="dxa"/>
        </w:trPr>
        <w:tc>
          <w:tcPr>
            <w:tcW w:w="0" w:type="auto"/>
            <w:tcBorders>
              <w:top w:val="single" w:sz="4" w:space="0" w:color="auto"/>
              <w:bottom w:val="single" w:sz="4" w:space="0" w:color="auto"/>
            </w:tcBorders>
            <w:vAlign w:val="center"/>
            <w:hideMark/>
          </w:tcPr>
          <w:p w14:paraId="250D0625" w14:textId="77777777" w:rsidR="00BE4B52" w:rsidRPr="00F24450" w:rsidRDefault="00BE4B52" w:rsidP="003D1C57">
            <w:pPr>
              <w:spacing w:line="360" w:lineRule="auto"/>
              <w:jc w:val="both"/>
              <w:rPr>
                <w:rFonts w:ascii="Garamond" w:hAnsi="Garamond" w:cs="Times New Roman"/>
                <w:b/>
                <w:bCs/>
              </w:rPr>
            </w:pPr>
            <w:r w:rsidRPr="00F24450">
              <w:rPr>
                <w:rFonts w:ascii="Garamond" w:hAnsi="Garamond" w:cs="Times New Roman"/>
                <w:b/>
                <w:bCs/>
              </w:rPr>
              <w:t>Predictor</w:t>
            </w:r>
          </w:p>
        </w:tc>
        <w:tc>
          <w:tcPr>
            <w:tcW w:w="0" w:type="auto"/>
            <w:tcBorders>
              <w:top w:val="single" w:sz="4" w:space="0" w:color="auto"/>
              <w:bottom w:val="single" w:sz="4" w:space="0" w:color="auto"/>
            </w:tcBorders>
            <w:vAlign w:val="center"/>
            <w:hideMark/>
          </w:tcPr>
          <w:p w14:paraId="7FB18FFB" w14:textId="77777777" w:rsidR="00BE4B52" w:rsidRPr="00F24450" w:rsidRDefault="00BE4B52" w:rsidP="003D1C57">
            <w:pPr>
              <w:spacing w:line="360" w:lineRule="auto"/>
              <w:jc w:val="both"/>
              <w:rPr>
                <w:rFonts w:ascii="Garamond" w:hAnsi="Garamond" w:cs="Times New Roman"/>
                <w:b/>
                <w:bCs/>
              </w:rPr>
            </w:pPr>
            <w:r w:rsidRPr="00F24450">
              <w:rPr>
                <w:rFonts w:ascii="Garamond" w:hAnsi="Garamond" w:cs="Times New Roman"/>
                <w:b/>
                <w:bCs/>
              </w:rPr>
              <w:t>B</w:t>
            </w:r>
          </w:p>
        </w:tc>
        <w:tc>
          <w:tcPr>
            <w:tcW w:w="0" w:type="auto"/>
            <w:tcBorders>
              <w:top w:val="single" w:sz="4" w:space="0" w:color="auto"/>
              <w:bottom w:val="single" w:sz="4" w:space="0" w:color="auto"/>
            </w:tcBorders>
            <w:vAlign w:val="center"/>
            <w:hideMark/>
          </w:tcPr>
          <w:p w14:paraId="59ED8884" w14:textId="77777777" w:rsidR="00BE4B52" w:rsidRPr="00F24450" w:rsidRDefault="00BE4B52" w:rsidP="003D1C57">
            <w:pPr>
              <w:spacing w:line="360" w:lineRule="auto"/>
              <w:jc w:val="both"/>
              <w:rPr>
                <w:rFonts w:ascii="Garamond" w:hAnsi="Garamond" w:cs="Times New Roman"/>
                <w:b/>
                <w:bCs/>
              </w:rPr>
            </w:pPr>
            <w:r w:rsidRPr="00F24450">
              <w:rPr>
                <w:rFonts w:ascii="Garamond" w:hAnsi="Garamond" w:cs="Times New Roman"/>
                <w:b/>
                <w:bCs/>
              </w:rPr>
              <w:t>SE</w:t>
            </w:r>
          </w:p>
        </w:tc>
        <w:tc>
          <w:tcPr>
            <w:tcW w:w="0" w:type="auto"/>
            <w:tcBorders>
              <w:top w:val="single" w:sz="4" w:space="0" w:color="auto"/>
              <w:bottom w:val="single" w:sz="4" w:space="0" w:color="auto"/>
            </w:tcBorders>
            <w:vAlign w:val="center"/>
            <w:hideMark/>
          </w:tcPr>
          <w:p w14:paraId="089B255F" w14:textId="77777777" w:rsidR="00BE4B52" w:rsidRPr="00F24450" w:rsidRDefault="00BE4B52" w:rsidP="003D1C57">
            <w:pPr>
              <w:spacing w:line="360" w:lineRule="auto"/>
              <w:jc w:val="both"/>
              <w:rPr>
                <w:rFonts w:ascii="Garamond" w:hAnsi="Garamond" w:cs="Times New Roman"/>
                <w:b/>
                <w:bCs/>
              </w:rPr>
            </w:pPr>
            <w:r w:rsidRPr="00F24450">
              <w:rPr>
                <w:rFonts w:ascii="Garamond" w:hAnsi="Garamond" w:cs="Times New Roman"/>
                <w:b/>
                <w:bCs/>
              </w:rPr>
              <w:t>β</w:t>
            </w:r>
          </w:p>
        </w:tc>
        <w:tc>
          <w:tcPr>
            <w:tcW w:w="0" w:type="auto"/>
            <w:tcBorders>
              <w:top w:val="single" w:sz="4" w:space="0" w:color="auto"/>
              <w:bottom w:val="single" w:sz="4" w:space="0" w:color="auto"/>
            </w:tcBorders>
            <w:vAlign w:val="center"/>
            <w:hideMark/>
          </w:tcPr>
          <w:p w14:paraId="42F552D3" w14:textId="77777777" w:rsidR="00BE4B52" w:rsidRPr="00F24450" w:rsidRDefault="00BE4B52" w:rsidP="003D1C57">
            <w:pPr>
              <w:spacing w:line="360" w:lineRule="auto"/>
              <w:jc w:val="both"/>
              <w:rPr>
                <w:rFonts w:ascii="Garamond" w:hAnsi="Garamond" w:cs="Times New Roman"/>
                <w:b/>
                <w:bCs/>
              </w:rPr>
            </w:pPr>
            <w:r w:rsidRPr="00F24450">
              <w:rPr>
                <w:rFonts w:ascii="Garamond" w:hAnsi="Garamond" w:cs="Times New Roman"/>
                <w:b/>
                <w:bCs/>
              </w:rPr>
              <w:t>t</w:t>
            </w:r>
          </w:p>
        </w:tc>
        <w:tc>
          <w:tcPr>
            <w:tcW w:w="0" w:type="auto"/>
            <w:tcBorders>
              <w:top w:val="single" w:sz="4" w:space="0" w:color="auto"/>
              <w:bottom w:val="single" w:sz="4" w:space="0" w:color="auto"/>
            </w:tcBorders>
            <w:vAlign w:val="center"/>
            <w:hideMark/>
          </w:tcPr>
          <w:p w14:paraId="58775406" w14:textId="77777777" w:rsidR="00BE4B52" w:rsidRPr="00F24450" w:rsidRDefault="00BE4B52" w:rsidP="003D1C57">
            <w:pPr>
              <w:spacing w:line="360" w:lineRule="auto"/>
              <w:jc w:val="both"/>
              <w:rPr>
                <w:rFonts w:ascii="Garamond" w:hAnsi="Garamond" w:cs="Times New Roman"/>
                <w:b/>
                <w:bCs/>
              </w:rPr>
            </w:pPr>
            <w:r w:rsidRPr="00F24450">
              <w:rPr>
                <w:rFonts w:ascii="Garamond" w:hAnsi="Garamond" w:cs="Times New Roman"/>
                <w:b/>
                <w:bCs/>
              </w:rPr>
              <w:t>p</w:t>
            </w:r>
          </w:p>
        </w:tc>
      </w:tr>
      <w:tr w:rsidR="00BE4B52" w:rsidRPr="00F24450" w14:paraId="24DCD5AC" w14:textId="77777777" w:rsidTr="00BE4B52">
        <w:trPr>
          <w:trHeight w:val="537"/>
          <w:tblCellSpacing w:w="15" w:type="dxa"/>
        </w:trPr>
        <w:tc>
          <w:tcPr>
            <w:tcW w:w="0" w:type="auto"/>
            <w:vAlign w:val="center"/>
            <w:hideMark/>
          </w:tcPr>
          <w:p w14:paraId="35ED9238"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Constant</w:t>
            </w:r>
          </w:p>
        </w:tc>
        <w:tc>
          <w:tcPr>
            <w:tcW w:w="0" w:type="auto"/>
            <w:vAlign w:val="center"/>
            <w:hideMark/>
          </w:tcPr>
          <w:p w14:paraId="760F4795"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−11.87</w:t>
            </w:r>
          </w:p>
        </w:tc>
        <w:tc>
          <w:tcPr>
            <w:tcW w:w="0" w:type="auto"/>
            <w:vAlign w:val="center"/>
            <w:hideMark/>
          </w:tcPr>
          <w:p w14:paraId="433A05C8"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23.62</w:t>
            </w:r>
          </w:p>
        </w:tc>
        <w:tc>
          <w:tcPr>
            <w:tcW w:w="0" w:type="auto"/>
            <w:vAlign w:val="center"/>
            <w:hideMark/>
          </w:tcPr>
          <w:p w14:paraId="23FC9DCE"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w:t>
            </w:r>
          </w:p>
        </w:tc>
        <w:tc>
          <w:tcPr>
            <w:tcW w:w="0" w:type="auto"/>
            <w:vAlign w:val="center"/>
            <w:hideMark/>
          </w:tcPr>
          <w:p w14:paraId="2D3E9AA4"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−0.50</w:t>
            </w:r>
          </w:p>
        </w:tc>
        <w:tc>
          <w:tcPr>
            <w:tcW w:w="0" w:type="auto"/>
            <w:vAlign w:val="center"/>
            <w:hideMark/>
          </w:tcPr>
          <w:p w14:paraId="55BF3EE6"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.629</w:t>
            </w:r>
          </w:p>
        </w:tc>
      </w:tr>
      <w:tr w:rsidR="00BE4B52" w:rsidRPr="00F24450" w14:paraId="279D7A76" w14:textId="77777777" w:rsidTr="00BE4B52">
        <w:trPr>
          <w:trHeight w:val="690"/>
          <w:tblCellSpacing w:w="15" w:type="dxa"/>
        </w:trPr>
        <w:tc>
          <w:tcPr>
            <w:tcW w:w="0" w:type="auto"/>
            <w:tcBorders>
              <w:bottom w:val="single" w:sz="4" w:space="0" w:color="auto"/>
            </w:tcBorders>
            <w:vAlign w:val="center"/>
            <w:hideMark/>
          </w:tcPr>
          <w:p w14:paraId="46FDF256"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Socioeconomic Factors</w:t>
            </w:r>
          </w:p>
        </w:tc>
        <w:tc>
          <w:tcPr>
            <w:tcW w:w="0" w:type="auto"/>
            <w:tcBorders>
              <w:bottom w:val="single" w:sz="4" w:space="0" w:color="auto"/>
            </w:tcBorders>
            <w:vAlign w:val="center"/>
            <w:hideMark/>
          </w:tcPr>
          <w:p w14:paraId="1746B8B1"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1.07</w:t>
            </w:r>
          </w:p>
        </w:tc>
        <w:tc>
          <w:tcPr>
            <w:tcW w:w="0" w:type="auto"/>
            <w:tcBorders>
              <w:bottom w:val="single" w:sz="4" w:space="0" w:color="auto"/>
            </w:tcBorders>
            <w:vAlign w:val="center"/>
            <w:hideMark/>
          </w:tcPr>
          <w:p w14:paraId="0F2823EA"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0.33</w:t>
            </w:r>
          </w:p>
        </w:tc>
        <w:tc>
          <w:tcPr>
            <w:tcW w:w="0" w:type="auto"/>
            <w:tcBorders>
              <w:bottom w:val="single" w:sz="4" w:space="0" w:color="auto"/>
            </w:tcBorders>
            <w:vAlign w:val="center"/>
            <w:hideMark/>
          </w:tcPr>
          <w:p w14:paraId="11F671AC"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0.55</w:t>
            </w:r>
          </w:p>
        </w:tc>
        <w:tc>
          <w:tcPr>
            <w:tcW w:w="0" w:type="auto"/>
            <w:tcBorders>
              <w:bottom w:val="single" w:sz="4" w:space="0" w:color="auto"/>
            </w:tcBorders>
            <w:vAlign w:val="center"/>
            <w:hideMark/>
          </w:tcPr>
          <w:p w14:paraId="367386A9"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3.24</w:t>
            </w:r>
          </w:p>
        </w:tc>
        <w:tc>
          <w:tcPr>
            <w:tcW w:w="0" w:type="auto"/>
            <w:tcBorders>
              <w:bottom w:val="single" w:sz="4" w:space="0" w:color="auto"/>
            </w:tcBorders>
            <w:vAlign w:val="center"/>
            <w:hideMark/>
          </w:tcPr>
          <w:p w14:paraId="0901DD8F"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.010</w:t>
            </w:r>
          </w:p>
        </w:tc>
      </w:tr>
    </w:tbl>
    <w:p w14:paraId="5F6FCD98"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Mediation results of Path c: Total Effect of Climate Variability on Vulnerability. Dependent Variable: Vulnerability</w:t>
      </w:r>
    </w:p>
    <w:tbl>
      <w:tblPr>
        <w:tblW w:w="9458" w:type="dxa"/>
        <w:tblCellSpacing w:w="15" w:type="dxa"/>
        <w:tblCellMar>
          <w:top w:w="15" w:type="dxa"/>
          <w:left w:w="15" w:type="dxa"/>
          <w:bottom w:w="15" w:type="dxa"/>
          <w:right w:w="15" w:type="dxa"/>
        </w:tblCellMar>
        <w:tblLook w:val="04A0" w:firstRow="1" w:lastRow="0" w:firstColumn="1" w:lastColumn="0" w:noHBand="0" w:noVBand="1"/>
      </w:tblPr>
      <w:tblGrid>
        <w:gridCol w:w="3829"/>
        <w:gridCol w:w="1281"/>
        <w:gridCol w:w="1180"/>
        <w:gridCol w:w="936"/>
        <w:gridCol w:w="1281"/>
        <w:gridCol w:w="951"/>
      </w:tblGrid>
      <w:tr w:rsidR="00BE4B52" w:rsidRPr="00F24450" w14:paraId="3A63C3DC" w14:textId="77777777" w:rsidTr="00BE4B52">
        <w:trPr>
          <w:trHeight w:val="458"/>
          <w:tblHeader/>
          <w:tblCellSpacing w:w="15" w:type="dxa"/>
        </w:trPr>
        <w:tc>
          <w:tcPr>
            <w:tcW w:w="0" w:type="auto"/>
            <w:tcBorders>
              <w:top w:val="single" w:sz="4" w:space="0" w:color="auto"/>
              <w:bottom w:val="single" w:sz="4" w:space="0" w:color="auto"/>
            </w:tcBorders>
            <w:vAlign w:val="center"/>
            <w:hideMark/>
          </w:tcPr>
          <w:p w14:paraId="5F2F1A0E" w14:textId="77777777" w:rsidR="00BE4B52" w:rsidRPr="00F24450" w:rsidRDefault="00BE4B52" w:rsidP="003D1C57">
            <w:pPr>
              <w:spacing w:line="360" w:lineRule="auto"/>
              <w:jc w:val="both"/>
              <w:rPr>
                <w:rFonts w:ascii="Garamond" w:hAnsi="Garamond" w:cs="Times New Roman"/>
                <w:b/>
                <w:bCs/>
              </w:rPr>
            </w:pPr>
            <w:r w:rsidRPr="00F24450">
              <w:rPr>
                <w:rFonts w:ascii="Garamond" w:hAnsi="Garamond" w:cs="Times New Roman"/>
                <w:b/>
                <w:bCs/>
              </w:rPr>
              <w:t>Predictor</w:t>
            </w:r>
          </w:p>
        </w:tc>
        <w:tc>
          <w:tcPr>
            <w:tcW w:w="0" w:type="auto"/>
            <w:tcBorders>
              <w:top w:val="single" w:sz="4" w:space="0" w:color="auto"/>
              <w:bottom w:val="single" w:sz="4" w:space="0" w:color="auto"/>
            </w:tcBorders>
            <w:vAlign w:val="center"/>
            <w:hideMark/>
          </w:tcPr>
          <w:p w14:paraId="2D07831F" w14:textId="77777777" w:rsidR="00BE4B52" w:rsidRPr="00F24450" w:rsidRDefault="00BE4B52" w:rsidP="003D1C57">
            <w:pPr>
              <w:spacing w:line="360" w:lineRule="auto"/>
              <w:jc w:val="both"/>
              <w:rPr>
                <w:rFonts w:ascii="Garamond" w:hAnsi="Garamond" w:cs="Times New Roman"/>
                <w:b/>
                <w:bCs/>
              </w:rPr>
            </w:pPr>
            <w:r w:rsidRPr="00F24450">
              <w:rPr>
                <w:rFonts w:ascii="Garamond" w:hAnsi="Garamond" w:cs="Times New Roman"/>
                <w:b/>
                <w:bCs/>
              </w:rPr>
              <w:t>B</w:t>
            </w:r>
          </w:p>
        </w:tc>
        <w:tc>
          <w:tcPr>
            <w:tcW w:w="0" w:type="auto"/>
            <w:tcBorders>
              <w:top w:val="single" w:sz="4" w:space="0" w:color="auto"/>
              <w:bottom w:val="single" w:sz="4" w:space="0" w:color="auto"/>
            </w:tcBorders>
            <w:vAlign w:val="center"/>
            <w:hideMark/>
          </w:tcPr>
          <w:p w14:paraId="143E15A7" w14:textId="77777777" w:rsidR="00BE4B52" w:rsidRPr="00F24450" w:rsidRDefault="00BE4B52" w:rsidP="003D1C57">
            <w:pPr>
              <w:spacing w:line="360" w:lineRule="auto"/>
              <w:jc w:val="both"/>
              <w:rPr>
                <w:rFonts w:ascii="Garamond" w:hAnsi="Garamond" w:cs="Times New Roman"/>
                <w:b/>
                <w:bCs/>
              </w:rPr>
            </w:pPr>
            <w:r w:rsidRPr="00F24450">
              <w:rPr>
                <w:rFonts w:ascii="Garamond" w:hAnsi="Garamond" w:cs="Times New Roman"/>
                <w:b/>
                <w:bCs/>
              </w:rPr>
              <w:t>SE</w:t>
            </w:r>
          </w:p>
        </w:tc>
        <w:tc>
          <w:tcPr>
            <w:tcW w:w="0" w:type="auto"/>
            <w:tcBorders>
              <w:top w:val="single" w:sz="4" w:space="0" w:color="auto"/>
              <w:bottom w:val="single" w:sz="4" w:space="0" w:color="auto"/>
            </w:tcBorders>
            <w:vAlign w:val="center"/>
            <w:hideMark/>
          </w:tcPr>
          <w:p w14:paraId="2CD175E5" w14:textId="77777777" w:rsidR="00BE4B52" w:rsidRPr="00F24450" w:rsidRDefault="00BE4B52" w:rsidP="003D1C57">
            <w:pPr>
              <w:spacing w:line="360" w:lineRule="auto"/>
              <w:jc w:val="both"/>
              <w:rPr>
                <w:rFonts w:ascii="Garamond" w:hAnsi="Garamond" w:cs="Times New Roman"/>
                <w:b/>
                <w:bCs/>
              </w:rPr>
            </w:pPr>
            <w:r w:rsidRPr="00F24450">
              <w:rPr>
                <w:rFonts w:ascii="Garamond" w:hAnsi="Garamond" w:cs="Times New Roman"/>
                <w:b/>
                <w:bCs/>
              </w:rPr>
              <w:t>β</w:t>
            </w:r>
          </w:p>
        </w:tc>
        <w:tc>
          <w:tcPr>
            <w:tcW w:w="0" w:type="auto"/>
            <w:tcBorders>
              <w:top w:val="single" w:sz="4" w:space="0" w:color="auto"/>
              <w:bottom w:val="single" w:sz="4" w:space="0" w:color="auto"/>
            </w:tcBorders>
            <w:vAlign w:val="center"/>
            <w:hideMark/>
          </w:tcPr>
          <w:p w14:paraId="7AA49DF1" w14:textId="77777777" w:rsidR="00BE4B52" w:rsidRPr="00F24450" w:rsidRDefault="00BE4B52" w:rsidP="003D1C57">
            <w:pPr>
              <w:spacing w:line="360" w:lineRule="auto"/>
              <w:jc w:val="both"/>
              <w:rPr>
                <w:rFonts w:ascii="Garamond" w:hAnsi="Garamond" w:cs="Times New Roman"/>
                <w:b/>
                <w:bCs/>
              </w:rPr>
            </w:pPr>
            <w:r w:rsidRPr="00F24450">
              <w:rPr>
                <w:rFonts w:ascii="Garamond" w:hAnsi="Garamond" w:cs="Times New Roman"/>
                <w:b/>
                <w:bCs/>
              </w:rPr>
              <w:t>t</w:t>
            </w:r>
          </w:p>
        </w:tc>
        <w:tc>
          <w:tcPr>
            <w:tcW w:w="0" w:type="auto"/>
            <w:tcBorders>
              <w:top w:val="single" w:sz="4" w:space="0" w:color="auto"/>
              <w:bottom w:val="single" w:sz="4" w:space="0" w:color="auto"/>
            </w:tcBorders>
            <w:vAlign w:val="center"/>
            <w:hideMark/>
          </w:tcPr>
          <w:p w14:paraId="184C18E5" w14:textId="77777777" w:rsidR="00BE4B52" w:rsidRPr="00F24450" w:rsidRDefault="00BE4B52" w:rsidP="003D1C57">
            <w:pPr>
              <w:spacing w:line="360" w:lineRule="auto"/>
              <w:jc w:val="both"/>
              <w:rPr>
                <w:rFonts w:ascii="Garamond" w:hAnsi="Garamond" w:cs="Times New Roman"/>
                <w:b/>
                <w:bCs/>
              </w:rPr>
            </w:pPr>
            <w:r w:rsidRPr="00F24450">
              <w:rPr>
                <w:rFonts w:ascii="Garamond" w:hAnsi="Garamond" w:cs="Times New Roman"/>
                <w:b/>
                <w:bCs/>
              </w:rPr>
              <w:t>p</w:t>
            </w:r>
          </w:p>
        </w:tc>
      </w:tr>
      <w:tr w:rsidR="00BE4B52" w:rsidRPr="00F24450" w14:paraId="49B84520" w14:textId="77777777" w:rsidTr="00BE4B52">
        <w:trPr>
          <w:trHeight w:val="753"/>
          <w:tblCellSpacing w:w="15" w:type="dxa"/>
        </w:trPr>
        <w:tc>
          <w:tcPr>
            <w:tcW w:w="0" w:type="auto"/>
            <w:vAlign w:val="center"/>
            <w:hideMark/>
          </w:tcPr>
          <w:p w14:paraId="205DB161"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Constant</w:t>
            </w:r>
          </w:p>
        </w:tc>
        <w:tc>
          <w:tcPr>
            <w:tcW w:w="0" w:type="auto"/>
            <w:vAlign w:val="center"/>
            <w:hideMark/>
          </w:tcPr>
          <w:p w14:paraId="456AA3A4"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−5.43</w:t>
            </w:r>
          </w:p>
        </w:tc>
        <w:tc>
          <w:tcPr>
            <w:tcW w:w="0" w:type="auto"/>
            <w:vAlign w:val="center"/>
            <w:hideMark/>
          </w:tcPr>
          <w:p w14:paraId="27149668"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27.14</w:t>
            </w:r>
          </w:p>
        </w:tc>
        <w:tc>
          <w:tcPr>
            <w:tcW w:w="0" w:type="auto"/>
            <w:vAlign w:val="center"/>
            <w:hideMark/>
          </w:tcPr>
          <w:p w14:paraId="5BDAE6BA"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w:t>
            </w:r>
          </w:p>
        </w:tc>
        <w:tc>
          <w:tcPr>
            <w:tcW w:w="0" w:type="auto"/>
            <w:vAlign w:val="center"/>
            <w:hideMark/>
          </w:tcPr>
          <w:p w14:paraId="77D24A54"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−0.20</w:t>
            </w:r>
          </w:p>
        </w:tc>
        <w:tc>
          <w:tcPr>
            <w:tcW w:w="0" w:type="auto"/>
            <w:vAlign w:val="center"/>
            <w:hideMark/>
          </w:tcPr>
          <w:p w14:paraId="597A73C5"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.846</w:t>
            </w:r>
          </w:p>
        </w:tc>
      </w:tr>
      <w:tr w:rsidR="00BE4B52" w:rsidRPr="00F24450" w14:paraId="41DF68B5" w14:textId="77777777" w:rsidTr="00BE4B52">
        <w:trPr>
          <w:trHeight w:val="258"/>
          <w:tblCellSpacing w:w="15" w:type="dxa"/>
        </w:trPr>
        <w:tc>
          <w:tcPr>
            <w:tcW w:w="0" w:type="auto"/>
            <w:tcBorders>
              <w:bottom w:val="single" w:sz="4" w:space="0" w:color="auto"/>
            </w:tcBorders>
            <w:vAlign w:val="center"/>
            <w:hideMark/>
          </w:tcPr>
          <w:p w14:paraId="3D40C06E"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Climate Variability</w:t>
            </w:r>
          </w:p>
        </w:tc>
        <w:tc>
          <w:tcPr>
            <w:tcW w:w="0" w:type="auto"/>
            <w:tcBorders>
              <w:bottom w:val="single" w:sz="4" w:space="0" w:color="auto"/>
            </w:tcBorders>
            <w:vAlign w:val="center"/>
            <w:hideMark/>
          </w:tcPr>
          <w:p w14:paraId="782313B3"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0.83</w:t>
            </w:r>
          </w:p>
        </w:tc>
        <w:tc>
          <w:tcPr>
            <w:tcW w:w="0" w:type="auto"/>
            <w:tcBorders>
              <w:bottom w:val="single" w:sz="4" w:space="0" w:color="auto"/>
            </w:tcBorders>
            <w:vAlign w:val="center"/>
            <w:hideMark/>
          </w:tcPr>
          <w:p w14:paraId="74B7AEC3"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0.34</w:t>
            </w:r>
          </w:p>
        </w:tc>
        <w:tc>
          <w:tcPr>
            <w:tcW w:w="0" w:type="auto"/>
            <w:tcBorders>
              <w:bottom w:val="single" w:sz="4" w:space="0" w:color="auto"/>
            </w:tcBorders>
            <w:vAlign w:val="center"/>
            <w:hideMark/>
          </w:tcPr>
          <w:p w14:paraId="45B86F0B"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0.47</w:t>
            </w:r>
          </w:p>
        </w:tc>
        <w:tc>
          <w:tcPr>
            <w:tcW w:w="0" w:type="auto"/>
            <w:tcBorders>
              <w:bottom w:val="single" w:sz="4" w:space="0" w:color="auto"/>
            </w:tcBorders>
            <w:vAlign w:val="center"/>
            <w:hideMark/>
          </w:tcPr>
          <w:p w14:paraId="4F88CABE"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2.44</w:t>
            </w:r>
          </w:p>
        </w:tc>
        <w:tc>
          <w:tcPr>
            <w:tcW w:w="0" w:type="auto"/>
            <w:tcBorders>
              <w:bottom w:val="single" w:sz="4" w:space="0" w:color="auto"/>
            </w:tcBorders>
            <w:vAlign w:val="center"/>
            <w:hideMark/>
          </w:tcPr>
          <w:p w14:paraId="4DD6BB61"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.038</w:t>
            </w:r>
          </w:p>
        </w:tc>
      </w:tr>
    </w:tbl>
    <w:p w14:paraId="32C0B3E2"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Mediation results of Path c′: Climate Variability and Socioeconomic Factors Predicting Vulnerability. Dependent Variable: Vulnerability</w:t>
      </w:r>
    </w:p>
    <w:tbl>
      <w:tblPr>
        <w:tblW w:w="10016" w:type="dxa"/>
        <w:tblCellSpacing w:w="15" w:type="dxa"/>
        <w:tblCellMar>
          <w:top w:w="15" w:type="dxa"/>
          <w:left w:w="15" w:type="dxa"/>
          <w:bottom w:w="15" w:type="dxa"/>
          <w:right w:w="15" w:type="dxa"/>
        </w:tblCellMar>
        <w:tblLook w:val="04A0" w:firstRow="1" w:lastRow="0" w:firstColumn="1" w:lastColumn="0" w:noHBand="0" w:noVBand="1"/>
      </w:tblPr>
      <w:tblGrid>
        <w:gridCol w:w="4503"/>
        <w:gridCol w:w="1431"/>
        <w:gridCol w:w="1107"/>
        <w:gridCol w:w="879"/>
        <w:gridCol w:w="1202"/>
        <w:gridCol w:w="894"/>
      </w:tblGrid>
      <w:tr w:rsidR="00BE4B52" w:rsidRPr="00F24450" w14:paraId="7B4959F2" w14:textId="77777777" w:rsidTr="00BE4B52">
        <w:trPr>
          <w:trHeight w:val="592"/>
          <w:tblHeader/>
          <w:tblCellSpacing w:w="15" w:type="dxa"/>
        </w:trPr>
        <w:tc>
          <w:tcPr>
            <w:tcW w:w="0" w:type="auto"/>
            <w:tcBorders>
              <w:top w:val="single" w:sz="4" w:space="0" w:color="auto"/>
              <w:bottom w:val="single" w:sz="4" w:space="0" w:color="auto"/>
            </w:tcBorders>
            <w:vAlign w:val="center"/>
            <w:hideMark/>
          </w:tcPr>
          <w:p w14:paraId="25C1AD8F" w14:textId="77777777" w:rsidR="00BE4B52" w:rsidRPr="00F24450" w:rsidRDefault="00BE4B52" w:rsidP="003D1C57">
            <w:pPr>
              <w:spacing w:line="360" w:lineRule="auto"/>
              <w:jc w:val="both"/>
              <w:rPr>
                <w:rFonts w:ascii="Garamond" w:hAnsi="Garamond" w:cs="Times New Roman"/>
                <w:b/>
                <w:bCs/>
              </w:rPr>
            </w:pPr>
            <w:r w:rsidRPr="00F24450">
              <w:rPr>
                <w:rFonts w:ascii="Garamond" w:hAnsi="Garamond" w:cs="Times New Roman"/>
                <w:b/>
                <w:bCs/>
              </w:rPr>
              <w:t>Predictor</w:t>
            </w:r>
          </w:p>
        </w:tc>
        <w:tc>
          <w:tcPr>
            <w:tcW w:w="0" w:type="auto"/>
            <w:tcBorders>
              <w:top w:val="single" w:sz="4" w:space="0" w:color="auto"/>
              <w:bottom w:val="single" w:sz="4" w:space="0" w:color="auto"/>
            </w:tcBorders>
            <w:vAlign w:val="center"/>
            <w:hideMark/>
          </w:tcPr>
          <w:p w14:paraId="122C133B" w14:textId="77777777" w:rsidR="00BE4B52" w:rsidRPr="00F24450" w:rsidRDefault="00BE4B52" w:rsidP="003D1C57">
            <w:pPr>
              <w:spacing w:line="360" w:lineRule="auto"/>
              <w:jc w:val="both"/>
              <w:rPr>
                <w:rFonts w:ascii="Garamond" w:hAnsi="Garamond" w:cs="Times New Roman"/>
                <w:b/>
                <w:bCs/>
              </w:rPr>
            </w:pPr>
            <w:r w:rsidRPr="00F24450">
              <w:rPr>
                <w:rFonts w:ascii="Garamond" w:hAnsi="Garamond" w:cs="Times New Roman"/>
                <w:b/>
                <w:bCs/>
              </w:rPr>
              <w:t>B</w:t>
            </w:r>
          </w:p>
        </w:tc>
        <w:tc>
          <w:tcPr>
            <w:tcW w:w="0" w:type="auto"/>
            <w:tcBorders>
              <w:top w:val="single" w:sz="4" w:space="0" w:color="auto"/>
              <w:bottom w:val="single" w:sz="4" w:space="0" w:color="auto"/>
            </w:tcBorders>
            <w:vAlign w:val="center"/>
            <w:hideMark/>
          </w:tcPr>
          <w:p w14:paraId="3FEA6E77" w14:textId="77777777" w:rsidR="00BE4B52" w:rsidRPr="00F24450" w:rsidRDefault="00BE4B52" w:rsidP="003D1C57">
            <w:pPr>
              <w:spacing w:line="360" w:lineRule="auto"/>
              <w:jc w:val="both"/>
              <w:rPr>
                <w:rFonts w:ascii="Garamond" w:hAnsi="Garamond" w:cs="Times New Roman"/>
                <w:b/>
                <w:bCs/>
              </w:rPr>
            </w:pPr>
            <w:r w:rsidRPr="00F24450">
              <w:rPr>
                <w:rFonts w:ascii="Garamond" w:hAnsi="Garamond" w:cs="Times New Roman"/>
                <w:b/>
                <w:bCs/>
              </w:rPr>
              <w:t>SE</w:t>
            </w:r>
          </w:p>
        </w:tc>
        <w:tc>
          <w:tcPr>
            <w:tcW w:w="0" w:type="auto"/>
            <w:tcBorders>
              <w:top w:val="single" w:sz="4" w:space="0" w:color="auto"/>
              <w:bottom w:val="single" w:sz="4" w:space="0" w:color="auto"/>
            </w:tcBorders>
            <w:vAlign w:val="center"/>
            <w:hideMark/>
          </w:tcPr>
          <w:p w14:paraId="1F9C8F45" w14:textId="77777777" w:rsidR="00BE4B52" w:rsidRPr="00F24450" w:rsidRDefault="00BE4B52" w:rsidP="003D1C57">
            <w:pPr>
              <w:spacing w:line="360" w:lineRule="auto"/>
              <w:jc w:val="both"/>
              <w:rPr>
                <w:rFonts w:ascii="Garamond" w:hAnsi="Garamond" w:cs="Times New Roman"/>
                <w:b/>
                <w:bCs/>
              </w:rPr>
            </w:pPr>
            <w:r w:rsidRPr="00F24450">
              <w:rPr>
                <w:rFonts w:ascii="Garamond" w:hAnsi="Garamond" w:cs="Times New Roman"/>
                <w:b/>
                <w:bCs/>
              </w:rPr>
              <w:t>β</w:t>
            </w:r>
          </w:p>
        </w:tc>
        <w:tc>
          <w:tcPr>
            <w:tcW w:w="0" w:type="auto"/>
            <w:tcBorders>
              <w:top w:val="single" w:sz="4" w:space="0" w:color="auto"/>
              <w:bottom w:val="single" w:sz="4" w:space="0" w:color="auto"/>
            </w:tcBorders>
            <w:vAlign w:val="center"/>
            <w:hideMark/>
          </w:tcPr>
          <w:p w14:paraId="5430FAD8" w14:textId="77777777" w:rsidR="00BE4B52" w:rsidRPr="00F24450" w:rsidRDefault="00BE4B52" w:rsidP="003D1C57">
            <w:pPr>
              <w:spacing w:line="360" w:lineRule="auto"/>
              <w:jc w:val="both"/>
              <w:rPr>
                <w:rFonts w:ascii="Garamond" w:hAnsi="Garamond" w:cs="Times New Roman"/>
                <w:b/>
                <w:bCs/>
              </w:rPr>
            </w:pPr>
            <w:r w:rsidRPr="00F24450">
              <w:rPr>
                <w:rFonts w:ascii="Garamond" w:hAnsi="Garamond" w:cs="Times New Roman"/>
                <w:b/>
                <w:bCs/>
              </w:rPr>
              <w:t>t</w:t>
            </w:r>
          </w:p>
        </w:tc>
        <w:tc>
          <w:tcPr>
            <w:tcW w:w="0" w:type="auto"/>
            <w:tcBorders>
              <w:top w:val="single" w:sz="4" w:space="0" w:color="auto"/>
              <w:bottom w:val="single" w:sz="4" w:space="0" w:color="auto"/>
            </w:tcBorders>
            <w:vAlign w:val="center"/>
            <w:hideMark/>
          </w:tcPr>
          <w:p w14:paraId="761413D2" w14:textId="77777777" w:rsidR="00BE4B52" w:rsidRPr="00F24450" w:rsidRDefault="00BE4B52" w:rsidP="003D1C57">
            <w:pPr>
              <w:spacing w:line="360" w:lineRule="auto"/>
              <w:jc w:val="both"/>
              <w:rPr>
                <w:rFonts w:ascii="Garamond" w:hAnsi="Garamond" w:cs="Times New Roman"/>
                <w:b/>
                <w:bCs/>
              </w:rPr>
            </w:pPr>
            <w:r w:rsidRPr="00F24450">
              <w:rPr>
                <w:rFonts w:ascii="Garamond" w:hAnsi="Garamond" w:cs="Times New Roman"/>
                <w:b/>
                <w:bCs/>
              </w:rPr>
              <w:t>p</w:t>
            </w:r>
          </w:p>
        </w:tc>
      </w:tr>
      <w:tr w:rsidR="00BE4B52" w:rsidRPr="00F24450" w14:paraId="195FEB7F" w14:textId="77777777" w:rsidTr="00BE4B52">
        <w:trPr>
          <w:trHeight w:val="447"/>
          <w:tblCellSpacing w:w="15" w:type="dxa"/>
        </w:trPr>
        <w:tc>
          <w:tcPr>
            <w:tcW w:w="0" w:type="auto"/>
            <w:vAlign w:val="center"/>
            <w:hideMark/>
          </w:tcPr>
          <w:p w14:paraId="480C8017"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Constant</w:t>
            </w:r>
          </w:p>
        </w:tc>
        <w:tc>
          <w:tcPr>
            <w:tcW w:w="0" w:type="auto"/>
            <w:vAlign w:val="center"/>
            <w:hideMark/>
          </w:tcPr>
          <w:p w14:paraId="229AD0D8"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−18.62</w:t>
            </w:r>
          </w:p>
        </w:tc>
        <w:tc>
          <w:tcPr>
            <w:tcW w:w="0" w:type="auto"/>
            <w:vAlign w:val="center"/>
            <w:hideMark/>
          </w:tcPr>
          <w:p w14:paraId="284AA3D2"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29.38</w:t>
            </w:r>
          </w:p>
        </w:tc>
        <w:tc>
          <w:tcPr>
            <w:tcW w:w="0" w:type="auto"/>
            <w:vAlign w:val="center"/>
            <w:hideMark/>
          </w:tcPr>
          <w:p w14:paraId="527B6F5A"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w:t>
            </w:r>
          </w:p>
        </w:tc>
        <w:tc>
          <w:tcPr>
            <w:tcW w:w="0" w:type="auto"/>
            <w:vAlign w:val="center"/>
            <w:hideMark/>
          </w:tcPr>
          <w:p w14:paraId="646BB525"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−0.63</w:t>
            </w:r>
          </w:p>
        </w:tc>
        <w:tc>
          <w:tcPr>
            <w:tcW w:w="0" w:type="auto"/>
            <w:vAlign w:val="center"/>
            <w:hideMark/>
          </w:tcPr>
          <w:p w14:paraId="13114A66"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.544</w:t>
            </w:r>
          </w:p>
        </w:tc>
      </w:tr>
      <w:tr w:rsidR="00BE4B52" w:rsidRPr="00F24450" w14:paraId="4A114269" w14:textId="77777777" w:rsidTr="00BE4B52">
        <w:trPr>
          <w:trHeight w:val="330"/>
          <w:tblCellSpacing w:w="15" w:type="dxa"/>
        </w:trPr>
        <w:tc>
          <w:tcPr>
            <w:tcW w:w="0" w:type="auto"/>
            <w:vAlign w:val="center"/>
            <w:hideMark/>
          </w:tcPr>
          <w:p w14:paraId="0FDA22B5"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Climate Variability</w:t>
            </w:r>
          </w:p>
        </w:tc>
        <w:tc>
          <w:tcPr>
            <w:tcW w:w="0" w:type="auto"/>
            <w:vAlign w:val="center"/>
            <w:hideMark/>
          </w:tcPr>
          <w:p w14:paraId="3E723CBD"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0.44</w:t>
            </w:r>
          </w:p>
        </w:tc>
        <w:tc>
          <w:tcPr>
            <w:tcW w:w="0" w:type="auto"/>
            <w:vAlign w:val="center"/>
            <w:hideMark/>
          </w:tcPr>
          <w:p w14:paraId="3F910756"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0.37</w:t>
            </w:r>
          </w:p>
        </w:tc>
        <w:tc>
          <w:tcPr>
            <w:tcW w:w="0" w:type="auto"/>
            <w:vAlign w:val="center"/>
            <w:hideMark/>
          </w:tcPr>
          <w:p w14:paraId="39D33E91"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0.25</w:t>
            </w:r>
          </w:p>
        </w:tc>
        <w:tc>
          <w:tcPr>
            <w:tcW w:w="0" w:type="auto"/>
            <w:vAlign w:val="center"/>
            <w:hideMark/>
          </w:tcPr>
          <w:p w14:paraId="78140FB9"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1.19</w:t>
            </w:r>
          </w:p>
        </w:tc>
        <w:tc>
          <w:tcPr>
            <w:tcW w:w="0" w:type="auto"/>
            <w:vAlign w:val="center"/>
            <w:hideMark/>
          </w:tcPr>
          <w:p w14:paraId="34AC1E40"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.266</w:t>
            </w:r>
          </w:p>
        </w:tc>
      </w:tr>
      <w:tr w:rsidR="00BE4B52" w:rsidRPr="00F24450" w14:paraId="14D5FC85" w14:textId="77777777" w:rsidTr="00BE4B52">
        <w:trPr>
          <w:trHeight w:val="592"/>
          <w:tblCellSpacing w:w="15" w:type="dxa"/>
        </w:trPr>
        <w:tc>
          <w:tcPr>
            <w:tcW w:w="0" w:type="auto"/>
            <w:tcBorders>
              <w:bottom w:val="single" w:sz="4" w:space="0" w:color="auto"/>
            </w:tcBorders>
            <w:vAlign w:val="center"/>
            <w:hideMark/>
          </w:tcPr>
          <w:p w14:paraId="132D82B9"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Socioeconomic Factors</w:t>
            </w:r>
          </w:p>
        </w:tc>
        <w:tc>
          <w:tcPr>
            <w:tcW w:w="0" w:type="auto"/>
            <w:tcBorders>
              <w:bottom w:val="single" w:sz="4" w:space="0" w:color="auto"/>
            </w:tcBorders>
            <w:vAlign w:val="center"/>
            <w:hideMark/>
          </w:tcPr>
          <w:p w14:paraId="53FCBF1C"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0.92</w:t>
            </w:r>
          </w:p>
        </w:tc>
        <w:tc>
          <w:tcPr>
            <w:tcW w:w="0" w:type="auto"/>
            <w:tcBorders>
              <w:bottom w:val="single" w:sz="4" w:space="0" w:color="auto"/>
            </w:tcBorders>
            <w:vAlign w:val="center"/>
            <w:hideMark/>
          </w:tcPr>
          <w:p w14:paraId="223C6F17"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0.36</w:t>
            </w:r>
          </w:p>
        </w:tc>
        <w:tc>
          <w:tcPr>
            <w:tcW w:w="0" w:type="auto"/>
            <w:tcBorders>
              <w:bottom w:val="single" w:sz="4" w:space="0" w:color="auto"/>
            </w:tcBorders>
            <w:vAlign w:val="center"/>
            <w:hideMark/>
          </w:tcPr>
          <w:p w14:paraId="037E77A3"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0.48</w:t>
            </w:r>
          </w:p>
        </w:tc>
        <w:tc>
          <w:tcPr>
            <w:tcW w:w="0" w:type="auto"/>
            <w:tcBorders>
              <w:bottom w:val="single" w:sz="4" w:space="0" w:color="auto"/>
            </w:tcBorders>
            <w:vAlign w:val="center"/>
            <w:hideMark/>
          </w:tcPr>
          <w:p w14:paraId="25C0571F"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2.56</w:t>
            </w:r>
          </w:p>
        </w:tc>
        <w:tc>
          <w:tcPr>
            <w:tcW w:w="0" w:type="auto"/>
            <w:tcBorders>
              <w:bottom w:val="single" w:sz="4" w:space="0" w:color="auto"/>
            </w:tcBorders>
            <w:vAlign w:val="center"/>
            <w:hideMark/>
          </w:tcPr>
          <w:p w14:paraId="5EDB0EDC"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.031</w:t>
            </w:r>
          </w:p>
        </w:tc>
      </w:tr>
    </w:tbl>
    <w:p w14:paraId="704531B0" w14:textId="77777777" w:rsidR="00BE4B52" w:rsidRPr="00F24450" w:rsidRDefault="00BE4B52" w:rsidP="003D1C57">
      <w:pPr>
        <w:spacing w:line="360" w:lineRule="auto"/>
        <w:jc w:val="both"/>
        <w:rPr>
          <w:rFonts w:ascii="Garamond" w:hAnsi="Garamond" w:cs="Times New Roman"/>
          <w:b/>
          <w:bCs/>
        </w:rPr>
      </w:pPr>
      <w:r w:rsidRPr="00F24450">
        <w:rPr>
          <w:rFonts w:ascii="Garamond" w:hAnsi="Garamond" w:cs="Times New Roman"/>
          <w:b/>
          <w:bCs/>
        </w:rPr>
        <w:t>Mediation Summary</w:t>
      </w:r>
    </w:p>
    <w:tbl>
      <w:tblPr>
        <w:tblW w:w="9798" w:type="dxa"/>
        <w:tblCellSpacing w:w="15" w:type="dxa"/>
        <w:tblCellMar>
          <w:top w:w="15" w:type="dxa"/>
          <w:left w:w="15" w:type="dxa"/>
          <w:bottom w:w="15" w:type="dxa"/>
          <w:right w:w="15" w:type="dxa"/>
        </w:tblCellMar>
        <w:tblLook w:val="04A0" w:firstRow="1" w:lastRow="0" w:firstColumn="1" w:lastColumn="0" w:noHBand="0" w:noVBand="1"/>
      </w:tblPr>
      <w:tblGrid>
        <w:gridCol w:w="8023"/>
        <w:gridCol w:w="1775"/>
      </w:tblGrid>
      <w:tr w:rsidR="00BE4B52" w:rsidRPr="00F24450" w14:paraId="0124C2DB" w14:textId="77777777" w:rsidTr="00BE4B52">
        <w:trPr>
          <w:trHeight w:val="599"/>
          <w:tblHeader/>
          <w:tblCellSpacing w:w="15" w:type="dxa"/>
        </w:trPr>
        <w:tc>
          <w:tcPr>
            <w:tcW w:w="0" w:type="auto"/>
            <w:tcBorders>
              <w:top w:val="single" w:sz="4" w:space="0" w:color="auto"/>
              <w:bottom w:val="single" w:sz="4" w:space="0" w:color="auto"/>
            </w:tcBorders>
            <w:vAlign w:val="center"/>
            <w:hideMark/>
          </w:tcPr>
          <w:p w14:paraId="29900FB2" w14:textId="77777777" w:rsidR="00BE4B52" w:rsidRPr="00F24450" w:rsidRDefault="00BE4B52" w:rsidP="003D1C57">
            <w:pPr>
              <w:spacing w:line="360" w:lineRule="auto"/>
              <w:jc w:val="both"/>
              <w:rPr>
                <w:rFonts w:ascii="Garamond" w:hAnsi="Garamond" w:cs="Times New Roman"/>
                <w:b/>
                <w:bCs/>
              </w:rPr>
            </w:pPr>
            <w:r w:rsidRPr="00F24450">
              <w:rPr>
                <w:rFonts w:ascii="Garamond" w:hAnsi="Garamond" w:cs="Times New Roman"/>
                <w:b/>
                <w:bCs/>
              </w:rPr>
              <w:lastRenderedPageBreak/>
              <w:t>Condition</w:t>
            </w:r>
          </w:p>
        </w:tc>
        <w:tc>
          <w:tcPr>
            <w:tcW w:w="0" w:type="auto"/>
            <w:tcBorders>
              <w:top w:val="single" w:sz="4" w:space="0" w:color="auto"/>
              <w:bottom w:val="single" w:sz="4" w:space="0" w:color="auto"/>
            </w:tcBorders>
            <w:vAlign w:val="center"/>
            <w:hideMark/>
          </w:tcPr>
          <w:p w14:paraId="16B6E2BA" w14:textId="77777777" w:rsidR="00BE4B52" w:rsidRPr="00F24450" w:rsidRDefault="00BE4B52" w:rsidP="003D1C57">
            <w:pPr>
              <w:spacing w:line="360" w:lineRule="auto"/>
              <w:jc w:val="both"/>
              <w:rPr>
                <w:rFonts w:ascii="Garamond" w:hAnsi="Garamond" w:cs="Times New Roman"/>
                <w:b/>
                <w:bCs/>
              </w:rPr>
            </w:pPr>
            <w:r w:rsidRPr="00F24450">
              <w:rPr>
                <w:rFonts w:ascii="Garamond" w:hAnsi="Garamond" w:cs="Times New Roman"/>
                <w:b/>
                <w:bCs/>
              </w:rPr>
              <w:t>Result</w:t>
            </w:r>
          </w:p>
        </w:tc>
      </w:tr>
      <w:tr w:rsidR="00BE4B52" w:rsidRPr="00F24450" w14:paraId="73B93360" w14:textId="77777777" w:rsidTr="00BE4B52">
        <w:trPr>
          <w:trHeight w:val="644"/>
          <w:tblCellSpacing w:w="15" w:type="dxa"/>
        </w:trPr>
        <w:tc>
          <w:tcPr>
            <w:tcW w:w="0" w:type="auto"/>
            <w:vAlign w:val="center"/>
            <w:hideMark/>
          </w:tcPr>
          <w:p w14:paraId="7A53F165"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Path a significant</w:t>
            </w:r>
          </w:p>
        </w:tc>
        <w:tc>
          <w:tcPr>
            <w:tcW w:w="0" w:type="auto"/>
            <w:vAlign w:val="center"/>
            <w:hideMark/>
          </w:tcPr>
          <w:p w14:paraId="0160A57C" w14:textId="77777777" w:rsidR="00BE4B52" w:rsidRPr="00F24450" w:rsidRDefault="00BE4B52" w:rsidP="003D1C57">
            <w:pPr>
              <w:spacing w:line="360" w:lineRule="auto"/>
              <w:jc w:val="both"/>
              <w:rPr>
                <w:rFonts w:ascii="Garamond" w:hAnsi="Garamond" w:cs="Times New Roman"/>
              </w:rPr>
            </w:pPr>
            <w:r w:rsidRPr="00F24450">
              <w:rPr>
                <w:rFonts w:ascii="Segoe UI Symbol" w:hAnsi="Segoe UI Symbol" w:cs="Segoe UI Symbol"/>
              </w:rPr>
              <w:t>✔</w:t>
            </w:r>
          </w:p>
        </w:tc>
      </w:tr>
      <w:tr w:rsidR="00BE4B52" w:rsidRPr="00F24450" w14:paraId="727706AC" w14:textId="77777777" w:rsidTr="00BE4B52">
        <w:trPr>
          <w:trHeight w:val="629"/>
          <w:tblCellSpacing w:w="15" w:type="dxa"/>
        </w:trPr>
        <w:tc>
          <w:tcPr>
            <w:tcW w:w="0" w:type="auto"/>
            <w:vAlign w:val="center"/>
            <w:hideMark/>
          </w:tcPr>
          <w:p w14:paraId="22F4E5F6"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Path b significant</w:t>
            </w:r>
          </w:p>
        </w:tc>
        <w:tc>
          <w:tcPr>
            <w:tcW w:w="0" w:type="auto"/>
            <w:vAlign w:val="center"/>
            <w:hideMark/>
          </w:tcPr>
          <w:p w14:paraId="2826C597" w14:textId="77777777" w:rsidR="00BE4B52" w:rsidRPr="00F24450" w:rsidRDefault="00BE4B52" w:rsidP="003D1C57">
            <w:pPr>
              <w:spacing w:line="360" w:lineRule="auto"/>
              <w:jc w:val="both"/>
              <w:rPr>
                <w:rFonts w:ascii="Garamond" w:hAnsi="Garamond" w:cs="Times New Roman"/>
              </w:rPr>
            </w:pPr>
            <w:r w:rsidRPr="00F24450">
              <w:rPr>
                <w:rFonts w:ascii="Segoe UI Symbol" w:hAnsi="Segoe UI Symbol" w:cs="Segoe UI Symbol"/>
              </w:rPr>
              <w:t>✔</w:t>
            </w:r>
          </w:p>
        </w:tc>
      </w:tr>
      <w:tr w:rsidR="00BE4B52" w:rsidRPr="00F24450" w14:paraId="3263685D" w14:textId="77777777" w:rsidTr="00BE4B52">
        <w:trPr>
          <w:trHeight w:val="644"/>
          <w:tblCellSpacing w:w="15" w:type="dxa"/>
        </w:trPr>
        <w:tc>
          <w:tcPr>
            <w:tcW w:w="0" w:type="auto"/>
            <w:vAlign w:val="center"/>
            <w:hideMark/>
          </w:tcPr>
          <w:p w14:paraId="5B47E600"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Path c significant</w:t>
            </w:r>
          </w:p>
        </w:tc>
        <w:tc>
          <w:tcPr>
            <w:tcW w:w="0" w:type="auto"/>
            <w:vAlign w:val="center"/>
            <w:hideMark/>
          </w:tcPr>
          <w:p w14:paraId="704F6F08" w14:textId="77777777" w:rsidR="00BE4B52" w:rsidRPr="00F24450" w:rsidRDefault="00BE4B52" w:rsidP="003D1C57">
            <w:pPr>
              <w:spacing w:line="360" w:lineRule="auto"/>
              <w:jc w:val="both"/>
              <w:rPr>
                <w:rFonts w:ascii="Garamond" w:hAnsi="Garamond" w:cs="Times New Roman"/>
              </w:rPr>
            </w:pPr>
            <w:r w:rsidRPr="00F24450">
              <w:rPr>
                <w:rFonts w:ascii="Segoe UI Symbol" w:hAnsi="Segoe UI Symbol" w:cs="Segoe UI Symbol"/>
              </w:rPr>
              <w:t>✔</w:t>
            </w:r>
          </w:p>
        </w:tc>
      </w:tr>
      <w:tr w:rsidR="00BE4B52" w:rsidRPr="00F24450" w14:paraId="2B2D2D6F" w14:textId="77777777" w:rsidTr="00BE4B52">
        <w:trPr>
          <w:trHeight w:val="629"/>
          <w:tblCellSpacing w:w="15" w:type="dxa"/>
        </w:trPr>
        <w:tc>
          <w:tcPr>
            <w:tcW w:w="0" w:type="auto"/>
            <w:tcBorders>
              <w:bottom w:val="single" w:sz="4" w:space="0" w:color="auto"/>
            </w:tcBorders>
            <w:vAlign w:val="center"/>
            <w:hideMark/>
          </w:tcPr>
          <w:p w14:paraId="2AA78556"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Path c′ reduced &amp; non-significant</w:t>
            </w:r>
          </w:p>
        </w:tc>
        <w:tc>
          <w:tcPr>
            <w:tcW w:w="0" w:type="auto"/>
            <w:tcBorders>
              <w:bottom w:val="single" w:sz="4" w:space="0" w:color="auto"/>
            </w:tcBorders>
            <w:vAlign w:val="center"/>
            <w:hideMark/>
          </w:tcPr>
          <w:p w14:paraId="77B30E01" w14:textId="77777777" w:rsidR="00BE4B52" w:rsidRPr="00F24450" w:rsidRDefault="00BE4B52" w:rsidP="003D1C57">
            <w:pPr>
              <w:spacing w:line="360" w:lineRule="auto"/>
              <w:jc w:val="both"/>
              <w:rPr>
                <w:rFonts w:ascii="Garamond" w:hAnsi="Garamond" w:cs="Times New Roman"/>
              </w:rPr>
            </w:pPr>
            <w:r w:rsidRPr="00F24450">
              <w:rPr>
                <w:rFonts w:ascii="Segoe UI Symbol" w:hAnsi="Segoe UI Symbol" w:cs="Segoe UI Symbol"/>
              </w:rPr>
              <w:t>✔</w:t>
            </w:r>
          </w:p>
        </w:tc>
      </w:tr>
    </w:tbl>
    <w:p w14:paraId="7F34B28B" w14:textId="77777777" w:rsidR="00BE4B52" w:rsidRPr="00F24450" w:rsidRDefault="00BE4B52" w:rsidP="003D1C57">
      <w:pPr>
        <w:spacing w:line="360" w:lineRule="auto"/>
        <w:jc w:val="both"/>
        <w:rPr>
          <w:rFonts w:ascii="Garamond" w:hAnsi="Garamond" w:cs="Times New Roman"/>
        </w:rPr>
      </w:pPr>
    </w:p>
    <w:p w14:paraId="23B279AE"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Table 1 Model fit: result gave R² = 0.30, F (1, 9) = 10.50, p &lt; .01 the interpretation: Socioeconomic factors significantly increase vulnerability. Table 2 model fit: results gave R² = 0.18, F (1, 9) = 6.16, p &lt; .05 and the interpretation: Climate variability significantly and negatively predicts socioeconomic factors. Table 3 Model fit: result shows R² = 0.39, R² = 0.17, F (2, 8) = 7.91, p &lt; .05 the interpretation: When socioeconomic factors are controlled, climate variability is no longer significant, while socioeconomic factors remain significant. Table 4 Model fit: result shows R² = 0.22, F (1, 9) = 5.95, p &lt; .05, the interpretation is that climate variability has a significant positive effect on vulnerability.</w:t>
      </w:r>
    </w:p>
    <w:p w14:paraId="10F2D35E"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A regression-based mediation analysis following Baron and Kenny indicated that climate variability significantly predicted socioeconomic factors (β = −0.42, p &lt; .05). Socioeconomic factors significantly predicted vulnerability (β = 0.55, p &lt; .01). Climate variability also significantly predicted vulnerability (β = 0.47, p &lt; .05). However, when both climate variability and socioeconomic factors were included in the model, the effect of climate variability was reduced and became non-significant (β = 0.25, p &gt; .05), while socioeconomic factors remained significant (β = 0.48, p &lt; .05), indicating full mediation.</w:t>
      </w:r>
    </w:p>
    <w:p w14:paraId="4EA377BE"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Regression-based mediation analysis revealed that climate variability significantly predicted socioeconomic factors (β = −0.42, p &lt; .05). Socioeconomic factors significantly predicted vulnerability (β = 0.55, p &lt; .01). Climate variability also significantly predicted vulnerability (β = 0.47, p &lt; .05). However, when both predictors were included, the effect of climate variability became non-significant (β = 0.25, p &gt; .05), while socioeconomic factors remained significant (β = 0.48, p &lt; .05), indicating full mediation. Conclusion is that socioeconomic factors fully mediate the relationship between climate variability and vulnerability.</w:t>
      </w:r>
    </w:p>
    <w:p w14:paraId="70358F82" w14:textId="288A9E5D" w:rsidR="00BE4B52" w:rsidRPr="00F24450" w:rsidRDefault="005C1F23" w:rsidP="003D1C57">
      <w:pPr>
        <w:spacing w:line="360" w:lineRule="auto"/>
        <w:jc w:val="both"/>
        <w:rPr>
          <w:rFonts w:ascii="Garamond" w:hAnsi="Garamond"/>
          <w:b/>
        </w:rPr>
      </w:pPr>
      <w:r>
        <w:rPr>
          <w:rFonts w:ascii="Garamond" w:hAnsi="Garamond"/>
          <w:b/>
        </w:rPr>
        <w:t>4.6.</w:t>
      </w:r>
      <w:r w:rsidRPr="00F24450">
        <w:rPr>
          <w:rFonts w:ascii="Garamond" w:hAnsi="Garamond"/>
          <w:b/>
        </w:rPr>
        <w:t xml:space="preserve"> Socioeconomic</w:t>
      </w:r>
      <w:r w:rsidR="00BE4B52" w:rsidRPr="00F24450">
        <w:rPr>
          <w:rFonts w:ascii="Garamond" w:hAnsi="Garamond"/>
          <w:b/>
        </w:rPr>
        <w:t xml:space="preserve"> Status and Climate Risk Exposure</w:t>
      </w:r>
    </w:p>
    <w:p w14:paraId="51CF661C" w14:textId="5DCACEFA"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lastRenderedPageBreak/>
        <w:t xml:space="preserve">Socio economic status and climate risk was presented in Table </w:t>
      </w:r>
      <w:r w:rsidR="00AB26CA">
        <w:rPr>
          <w:rFonts w:ascii="Garamond" w:hAnsi="Garamond" w:cs="Times New Roman"/>
        </w:rPr>
        <w:t>6</w:t>
      </w:r>
    </w:p>
    <w:p w14:paraId="643ABDF4" w14:textId="051DDB4C" w:rsidR="00BE4B52" w:rsidRPr="004E0A1E" w:rsidRDefault="00BE4B52" w:rsidP="003D1C57">
      <w:pPr>
        <w:spacing w:line="360" w:lineRule="auto"/>
        <w:jc w:val="both"/>
        <w:rPr>
          <w:rFonts w:ascii="Garamond" w:hAnsi="Garamond"/>
          <w:b/>
          <w:bCs/>
        </w:rPr>
      </w:pPr>
      <w:r w:rsidRPr="004E0A1E">
        <w:rPr>
          <w:rFonts w:ascii="Garamond" w:hAnsi="Garamond"/>
          <w:b/>
          <w:bCs/>
        </w:rPr>
        <w:t xml:space="preserve">Table </w:t>
      </w:r>
      <w:r w:rsidR="004E0A1E" w:rsidRPr="004E0A1E">
        <w:rPr>
          <w:rFonts w:ascii="Garamond" w:hAnsi="Garamond"/>
          <w:b/>
          <w:bCs/>
        </w:rPr>
        <w:t>6</w:t>
      </w:r>
      <w:r w:rsidRPr="004E0A1E">
        <w:rPr>
          <w:rFonts w:ascii="Garamond" w:hAnsi="Garamond"/>
          <w:b/>
          <w:bCs/>
        </w:rPr>
        <w:t>: Socio economic status and climate risk</w:t>
      </w:r>
    </w:p>
    <w:tbl>
      <w:tblPr>
        <w:tblW w:w="9128" w:type="dxa"/>
        <w:tblInd w:w="-20" w:type="dxa"/>
        <w:tblLayout w:type="fixed"/>
        <w:tblCellMar>
          <w:left w:w="0" w:type="dxa"/>
          <w:right w:w="0" w:type="dxa"/>
        </w:tblCellMar>
        <w:tblLook w:val="0000" w:firstRow="0" w:lastRow="0" w:firstColumn="0" w:lastColumn="0" w:noHBand="0" w:noVBand="0"/>
      </w:tblPr>
      <w:tblGrid>
        <w:gridCol w:w="4160"/>
        <w:gridCol w:w="2176"/>
        <w:gridCol w:w="2792"/>
      </w:tblGrid>
      <w:tr w:rsidR="00BE4B52" w:rsidRPr="00F24450" w14:paraId="0153F2A6" w14:textId="77777777" w:rsidTr="00BE4B52">
        <w:trPr>
          <w:cantSplit/>
          <w:trHeight w:val="530"/>
        </w:trPr>
        <w:tc>
          <w:tcPr>
            <w:tcW w:w="4160" w:type="dxa"/>
            <w:tcBorders>
              <w:top w:val="single" w:sz="4" w:space="0" w:color="auto"/>
              <w:bottom w:val="single" w:sz="4" w:space="0" w:color="auto"/>
            </w:tcBorders>
            <w:shd w:val="clear" w:color="auto" w:fill="FFFFFF"/>
          </w:tcPr>
          <w:p w14:paraId="3C962A42" w14:textId="77777777" w:rsidR="00BE4B52" w:rsidRPr="00F24450" w:rsidRDefault="00BE4B52" w:rsidP="003D1C57">
            <w:pPr>
              <w:spacing w:line="360" w:lineRule="auto"/>
              <w:jc w:val="both"/>
              <w:rPr>
                <w:rFonts w:ascii="Garamond" w:hAnsi="Garamond" w:cs="Times New Roman"/>
                <w:b/>
              </w:rPr>
            </w:pPr>
            <w:r w:rsidRPr="00F24450">
              <w:rPr>
                <w:rFonts w:ascii="Garamond" w:hAnsi="Garamond" w:cs="Times New Roman"/>
                <w:b/>
                <w:bCs/>
              </w:rPr>
              <w:t>Socio economic status and climate risk</w:t>
            </w:r>
          </w:p>
        </w:tc>
        <w:tc>
          <w:tcPr>
            <w:tcW w:w="2176" w:type="dxa"/>
            <w:tcBorders>
              <w:top w:val="single" w:sz="4" w:space="0" w:color="auto"/>
              <w:bottom w:val="single" w:sz="4" w:space="0" w:color="auto"/>
            </w:tcBorders>
            <w:shd w:val="clear" w:color="auto" w:fill="FFFFFF"/>
            <w:vAlign w:val="bottom"/>
          </w:tcPr>
          <w:p w14:paraId="67E0000A" w14:textId="77777777" w:rsidR="00BE4B52" w:rsidRPr="00F24450" w:rsidRDefault="00BE4B52" w:rsidP="003D1C57">
            <w:pPr>
              <w:spacing w:line="360" w:lineRule="auto"/>
              <w:jc w:val="both"/>
              <w:rPr>
                <w:rFonts w:ascii="Garamond" w:hAnsi="Garamond" w:cs="Times New Roman"/>
                <w:b/>
              </w:rPr>
            </w:pPr>
            <w:r w:rsidRPr="00F24450">
              <w:rPr>
                <w:rFonts w:ascii="Garamond" w:hAnsi="Garamond" w:cs="Times New Roman"/>
                <w:b/>
              </w:rPr>
              <w:t>Frequency</w:t>
            </w:r>
          </w:p>
        </w:tc>
        <w:tc>
          <w:tcPr>
            <w:tcW w:w="2792" w:type="dxa"/>
            <w:tcBorders>
              <w:top w:val="single" w:sz="4" w:space="0" w:color="auto"/>
              <w:bottom w:val="single" w:sz="4" w:space="0" w:color="auto"/>
            </w:tcBorders>
            <w:shd w:val="clear" w:color="auto" w:fill="FFFFFF"/>
            <w:vAlign w:val="bottom"/>
          </w:tcPr>
          <w:p w14:paraId="176E6636" w14:textId="77777777" w:rsidR="00BE4B52" w:rsidRPr="00F24450" w:rsidRDefault="00BE4B52" w:rsidP="003D1C57">
            <w:pPr>
              <w:spacing w:line="360" w:lineRule="auto"/>
              <w:jc w:val="both"/>
              <w:rPr>
                <w:rFonts w:ascii="Garamond" w:hAnsi="Garamond" w:cs="Times New Roman"/>
                <w:b/>
              </w:rPr>
            </w:pPr>
            <w:r w:rsidRPr="00F24450">
              <w:rPr>
                <w:rFonts w:ascii="Garamond" w:hAnsi="Garamond" w:cs="Times New Roman"/>
                <w:b/>
              </w:rPr>
              <w:t>Percent (%)</w:t>
            </w:r>
          </w:p>
        </w:tc>
      </w:tr>
      <w:tr w:rsidR="00BE4B52" w:rsidRPr="00F24450" w14:paraId="37195045" w14:textId="77777777" w:rsidTr="00BE4B52">
        <w:trPr>
          <w:cantSplit/>
          <w:trHeight w:val="504"/>
        </w:trPr>
        <w:tc>
          <w:tcPr>
            <w:tcW w:w="4160" w:type="dxa"/>
            <w:tcBorders>
              <w:top w:val="single" w:sz="4" w:space="0" w:color="auto"/>
            </w:tcBorders>
            <w:shd w:val="clear" w:color="auto" w:fill="FFFFFF"/>
          </w:tcPr>
          <w:p w14:paraId="0C90734B"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Not at all</w:t>
            </w:r>
          </w:p>
        </w:tc>
        <w:tc>
          <w:tcPr>
            <w:tcW w:w="2176" w:type="dxa"/>
            <w:tcBorders>
              <w:top w:val="single" w:sz="4" w:space="0" w:color="auto"/>
            </w:tcBorders>
            <w:shd w:val="clear" w:color="auto" w:fill="FFFFFF"/>
            <w:vAlign w:val="center"/>
          </w:tcPr>
          <w:p w14:paraId="1CA3C570"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2</w:t>
            </w:r>
          </w:p>
        </w:tc>
        <w:tc>
          <w:tcPr>
            <w:tcW w:w="2792" w:type="dxa"/>
            <w:tcBorders>
              <w:top w:val="single" w:sz="4" w:space="0" w:color="auto"/>
            </w:tcBorders>
            <w:shd w:val="clear" w:color="auto" w:fill="FFFFFF"/>
            <w:vAlign w:val="center"/>
          </w:tcPr>
          <w:p w14:paraId="51DA19B7"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1.0</w:t>
            </w:r>
          </w:p>
        </w:tc>
      </w:tr>
      <w:tr w:rsidR="00BE4B52" w:rsidRPr="00F24450" w14:paraId="7FB39B9D" w14:textId="77777777" w:rsidTr="00BE4B52">
        <w:trPr>
          <w:cantSplit/>
          <w:trHeight w:val="521"/>
        </w:trPr>
        <w:tc>
          <w:tcPr>
            <w:tcW w:w="4160" w:type="dxa"/>
            <w:shd w:val="clear" w:color="auto" w:fill="FFFFFF"/>
          </w:tcPr>
          <w:p w14:paraId="61292D7F"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Slightly</w:t>
            </w:r>
          </w:p>
        </w:tc>
        <w:tc>
          <w:tcPr>
            <w:tcW w:w="2176" w:type="dxa"/>
            <w:shd w:val="clear" w:color="auto" w:fill="FFFFFF"/>
            <w:vAlign w:val="center"/>
          </w:tcPr>
          <w:p w14:paraId="03C35774"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70</w:t>
            </w:r>
          </w:p>
        </w:tc>
        <w:tc>
          <w:tcPr>
            <w:tcW w:w="2792" w:type="dxa"/>
            <w:shd w:val="clear" w:color="auto" w:fill="FFFFFF"/>
            <w:vAlign w:val="center"/>
          </w:tcPr>
          <w:p w14:paraId="77FEA958"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20</w:t>
            </w:r>
          </w:p>
        </w:tc>
      </w:tr>
      <w:tr w:rsidR="00BE4B52" w:rsidRPr="00F24450" w14:paraId="2A10DF73" w14:textId="77777777" w:rsidTr="00BE4B52">
        <w:trPr>
          <w:cantSplit/>
          <w:trHeight w:val="504"/>
        </w:trPr>
        <w:tc>
          <w:tcPr>
            <w:tcW w:w="4160" w:type="dxa"/>
            <w:shd w:val="clear" w:color="auto" w:fill="FFFFFF"/>
          </w:tcPr>
          <w:p w14:paraId="2865BF9C"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Moderately</w:t>
            </w:r>
          </w:p>
        </w:tc>
        <w:tc>
          <w:tcPr>
            <w:tcW w:w="2176" w:type="dxa"/>
            <w:shd w:val="clear" w:color="auto" w:fill="FFFFFF"/>
            <w:vAlign w:val="center"/>
          </w:tcPr>
          <w:p w14:paraId="62749AF6"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59</w:t>
            </w:r>
          </w:p>
        </w:tc>
        <w:tc>
          <w:tcPr>
            <w:tcW w:w="2792" w:type="dxa"/>
            <w:shd w:val="clear" w:color="auto" w:fill="FFFFFF"/>
            <w:vAlign w:val="center"/>
          </w:tcPr>
          <w:p w14:paraId="2E69C0A9"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29.1</w:t>
            </w:r>
          </w:p>
        </w:tc>
      </w:tr>
      <w:tr w:rsidR="00BE4B52" w:rsidRPr="00F24450" w14:paraId="697E54C9" w14:textId="77777777" w:rsidTr="00BE4B52">
        <w:trPr>
          <w:cantSplit/>
          <w:trHeight w:val="521"/>
        </w:trPr>
        <w:tc>
          <w:tcPr>
            <w:tcW w:w="4160" w:type="dxa"/>
            <w:shd w:val="clear" w:color="auto" w:fill="FFFFFF"/>
          </w:tcPr>
          <w:p w14:paraId="64590043"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Significantly</w:t>
            </w:r>
          </w:p>
        </w:tc>
        <w:tc>
          <w:tcPr>
            <w:tcW w:w="2176" w:type="dxa"/>
            <w:shd w:val="clear" w:color="auto" w:fill="FFFFFF"/>
            <w:vAlign w:val="center"/>
          </w:tcPr>
          <w:p w14:paraId="456C011A"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41</w:t>
            </w:r>
          </w:p>
        </w:tc>
        <w:tc>
          <w:tcPr>
            <w:tcW w:w="2792" w:type="dxa"/>
            <w:shd w:val="clear" w:color="auto" w:fill="FFFFFF"/>
            <w:vAlign w:val="center"/>
          </w:tcPr>
          <w:p w14:paraId="5B731876"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21</w:t>
            </w:r>
          </w:p>
        </w:tc>
      </w:tr>
      <w:tr w:rsidR="00BE4B52" w:rsidRPr="00F24450" w14:paraId="65F16C5B" w14:textId="77777777" w:rsidTr="00BE4B52">
        <w:trPr>
          <w:cantSplit/>
          <w:trHeight w:val="504"/>
        </w:trPr>
        <w:tc>
          <w:tcPr>
            <w:tcW w:w="4160" w:type="dxa"/>
            <w:shd w:val="clear" w:color="auto" w:fill="FFFFFF"/>
          </w:tcPr>
          <w:p w14:paraId="2E878EC5"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Extremely</w:t>
            </w:r>
          </w:p>
        </w:tc>
        <w:tc>
          <w:tcPr>
            <w:tcW w:w="2176" w:type="dxa"/>
            <w:shd w:val="clear" w:color="auto" w:fill="FFFFFF"/>
            <w:vAlign w:val="center"/>
          </w:tcPr>
          <w:p w14:paraId="217CD6B0"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30</w:t>
            </w:r>
          </w:p>
        </w:tc>
        <w:tc>
          <w:tcPr>
            <w:tcW w:w="2792" w:type="dxa"/>
            <w:shd w:val="clear" w:color="auto" w:fill="FFFFFF"/>
            <w:vAlign w:val="center"/>
          </w:tcPr>
          <w:p w14:paraId="4D44DD7A"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30</w:t>
            </w:r>
          </w:p>
        </w:tc>
      </w:tr>
      <w:tr w:rsidR="00BE4B52" w:rsidRPr="00F24450" w14:paraId="383A9FF2" w14:textId="77777777" w:rsidTr="00BE4B52">
        <w:trPr>
          <w:cantSplit/>
          <w:trHeight w:val="504"/>
        </w:trPr>
        <w:tc>
          <w:tcPr>
            <w:tcW w:w="4160" w:type="dxa"/>
            <w:shd w:val="clear" w:color="auto" w:fill="FFFFFF"/>
          </w:tcPr>
          <w:p w14:paraId="79D6D37E" w14:textId="77777777" w:rsidR="00BE4B52" w:rsidRPr="00F24450" w:rsidRDefault="00BE4B52" w:rsidP="003D1C57">
            <w:pPr>
              <w:spacing w:line="360" w:lineRule="auto"/>
              <w:jc w:val="both"/>
              <w:rPr>
                <w:rFonts w:ascii="Garamond" w:hAnsi="Garamond" w:cs="Times New Roman"/>
                <w:b/>
              </w:rPr>
            </w:pPr>
            <w:r w:rsidRPr="00F24450">
              <w:rPr>
                <w:rFonts w:ascii="Garamond" w:hAnsi="Garamond" w:cs="Times New Roman"/>
                <w:b/>
              </w:rPr>
              <w:t>Perception of Climate Risks</w:t>
            </w:r>
          </w:p>
        </w:tc>
        <w:tc>
          <w:tcPr>
            <w:tcW w:w="2176" w:type="dxa"/>
            <w:shd w:val="clear" w:color="auto" w:fill="FFFFFF"/>
            <w:vAlign w:val="center"/>
          </w:tcPr>
          <w:p w14:paraId="417C9351" w14:textId="77777777" w:rsidR="00BE4B52" w:rsidRPr="00F24450" w:rsidRDefault="00BE4B52" w:rsidP="003D1C57">
            <w:pPr>
              <w:spacing w:line="360" w:lineRule="auto"/>
              <w:jc w:val="both"/>
              <w:rPr>
                <w:rFonts w:ascii="Garamond" w:hAnsi="Garamond" w:cs="Times New Roman"/>
                <w:b/>
              </w:rPr>
            </w:pPr>
            <w:r w:rsidRPr="00F24450">
              <w:rPr>
                <w:rFonts w:ascii="Garamond" w:hAnsi="Garamond" w:cs="Times New Roman"/>
                <w:b/>
              </w:rPr>
              <w:t>Frequency</w:t>
            </w:r>
          </w:p>
        </w:tc>
        <w:tc>
          <w:tcPr>
            <w:tcW w:w="2792" w:type="dxa"/>
            <w:shd w:val="clear" w:color="auto" w:fill="FFFFFF"/>
            <w:vAlign w:val="center"/>
          </w:tcPr>
          <w:p w14:paraId="632C5EB8" w14:textId="77777777" w:rsidR="00BE4B52" w:rsidRPr="00F24450" w:rsidRDefault="00BE4B52" w:rsidP="003D1C57">
            <w:pPr>
              <w:spacing w:line="360" w:lineRule="auto"/>
              <w:jc w:val="both"/>
              <w:rPr>
                <w:rFonts w:ascii="Garamond" w:hAnsi="Garamond" w:cs="Times New Roman"/>
                <w:b/>
              </w:rPr>
            </w:pPr>
            <w:r w:rsidRPr="00F24450">
              <w:rPr>
                <w:rFonts w:ascii="Garamond" w:hAnsi="Garamond" w:cs="Times New Roman"/>
                <w:b/>
              </w:rPr>
              <w:t>Percent (%)</w:t>
            </w:r>
          </w:p>
        </w:tc>
      </w:tr>
      <w:tr w:rsidR="00BE4B52" w:rsidRPr="00F24450" w14:paraId="43BF60E2" w14:textId="77777777" w:rsidTr="00BE4B52">
        <w:trPr>
          <w:cantSplit/>
          <w:trHeight w:val="504"/>
        </w:trPr>
        <w:tc>
          <w:tcPr>
            <w:tcW w:w="4160" w:type="dxa"/>
            <w:shd w:val="clear" w:color="auto" w:fill="FFFFFF"/>
          </w:tcPr>
          <w:p w14:paraId="3C16DE5B"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Not concerned</w:t>
            </w:r>
          </w:p>
        </w:tc>
        <w:tc>
          <w:tcPr>
            <w:tcW w:w="2176" w:type="dxa"/>
            <w:shd w:val="clear" w:color="auto" w:fill="FFFFFF"/>
            <w:vAlign w:val="center"/>
          </w:tcPr>
          <w:p w14:paraId="545D21EC"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2</w:t>
            </w:r>
          </w:p>
        </w:tc>
        <w:tc>
          <w:tcPr>
            <w:tcW w:w="2792" w:type="dxa"/>
            <w:shd w:val="clear" w:color="auto" w:fill="FFFFFF"/>
            <w:vAlign w:val="center"/>
          </w:tcPr>
          <w:p w14:paraId="13EB44E9"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1.0</w:t>
            </w:r>
          </w:p>
        </w:tc>
      </w:tr>
      <w:tr w:rsidR="00BE4B52" w:rsidRPr="00F24450" w14:paraId="3EB68EB4" w14:textId="77777777" w:rsidTr="00BE4B52">
        <w:trPr>
          <w:cantSplit/>
          <w:trHeight w:val="504"/>
        </w:trPr>
        <w:tc>
          <w:tcPr>
            <w:tcW w:w="4160" w:type="dxa"/>
            <w:shd w:val="clear" w:color="auto" w:fill="FFFFFF"/>
          </w:tcPr>
          <w:p w14:paraId="1FF48775"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Slightly concerned</w:t>
            </w:r>
          </w:p>
        </w:tc>
        <w:tc>
          <w:tcPr>
            <w:tcW w:w="2176" w:type="dxa"/>
            <w:shd w:val="clear" w:color="auto" w:fill="FFFFFF"/>
            <w:vAlign w:val="center"/>
          </w:tcPr>
          <w:p w14:paraId="02FD66AE"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97</w:t>
            </w:r>
          </w:p>
        </w:tc>
        <w:tc>
          <w:tcPr>
            <w:tcW w:w="2792" w:type="dxa"/>
            <w:shd w:val="clear" w:color="auto" w:fill="FFFFFF"/>
            <w:vAlign w:val="center"/>
          </w:tcPr>
          <w:p w14:paraId="4E58C626"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47.8</w:t>
            </w:r>
          </w:p>
        </w:tc>
      </w:tr>
      <w:tr w:rsidR="00BE4B52" w:rsidRPr="00F24450" w14:paraId="78727636" w14:textId="77777777" w:rsidTr="00BE4B52">
        <w:trPr>
          <w:cantSplit/>
          <w:trHeight w:val="504"/>
        </w:trPr>
        <w:tc>
          <w:tcPr>
            <w:tcW w:w="4160" w:type="dxa"/>
            <w:shd w:val="clear" w:color="auto" w:fill="FFFFFF"/>
          </w:tcPr>
          <w:p w14:paraId="7C8D5346"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Moderately concerned</w:t>
            </w:r>
          </w:p>
        </w:tc>
        <w:tc>
          <w:tcPr>
            <w:tcW w:w="2176" w:type="dxa"/>
            <w:shd w:val="clear" w:color="auto" w:fill="FFFFFF"/>
            <w:vAlign w:val="center"/>
          </w:tcPr>
          <w:p w14:paraId="54C093FF"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60</w:t>
            </w:r>
          </w:p>
        </w:tc>
        <w:tc>
          <w:tcPr>
            <w:tcW w:w="2792" w:type="dxa"/>
            <w:shd w:val="clear" w:color="auto" w:fill="FFFFFF"/>
            <w:vAlign w:val="center"/>
          </w:tcPr>
          <w:p w14:paraId="7AFA894E"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30</w:t>
            </w:r>
          </w:p>
        </w:tc>
      </w:tr>
      <w:tr w:rsidR="00BE4B52" w:rsidRPr="00F24450" w14:paraId="133EC694" w14:textId="77777777" w:rsidTr="00BE4B52">
        <w:trPr>
          <w:cantSplit/>
          <w:trHeight w:val="504"/>
        </w:trPr>
        <w:tc>
          <w:tcPr>
            <w:tcW w:w="4160" w:type="dxa"/>
            <w:shd w:val="clear" w:color="auto" w:fill="FFFFFF"/>
          </w:tcPr>
          <w:p w14:paraId="5A2DDFA4"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Very concerned</w:t>
            </w:r>
          </w:p>
        </w:tc>
        <w:tc>
          <w:tcPr>
            <w:tcW w:w="2176" w:type="dxa"/>
            <w:shd w:val="clear" w:color="auto" w:fill="FFFFFF"/>
            <w:vAlign w:val="center"/>
          </w:tcPr>
          <w:p w14:paraId="2CE97151"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19</w:t>
            </w:r>
          </w:p>
        </w:tc>
        <w:tc>
          <w:tcPr>
            <w:tcW w:w="2792" w:type="dxa"/>
            <w:shd w:val="clear" w:color="auto" w:fill="FFFFFF"/>
            <w:vAlign w:val="center"/>
          </w:tcPr>
          <w:p w14:paraId="12AD08FE"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9.4</w:t>
            </w:r>
          </w:p>
        </w:tc>
      </w:tr>
      <w:tr w:rsidR="00BE4B52" w:rsidRPr="00F24450" w14:paraId="2A85F48D" w14:textId="77777777" w:rsidTr="00BE4B52">
        <w:trPr>
          <w:cantSplit/>
          <w:trHeight w:val="504"/>
        </w:trPr>
        <w:tc>
          <w:tcPr>
            <w:tcW w:w="4160" w:type="dxa"/>
            <w:shd w:val="clear" w:color="auto" w:fill="FFFFFF"/>
          </w:tcPr>
          <w:p w14:paraId="6A54C81F"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Extremely concerned</w:t>
            </w:r>
          </w:p>
        </w:tc>
        <w:tc>
          <w:tcPr>
            <w:tcW w:w="2176" w:type="dxa"/>
            <w:shd w:val="clear" w:color="auto" w:fill="FFFFFF"/>
            <w:vAlign w:val="center"/>
          </w:tcPr>
          <w:p w14:paraId="518E3B7B"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4</w:t>
            </w:r>
          </w:p>
        </w:tc>
        <w:tc>
          <w:tcPr>
            <w:tcW w:w="2792" w:type="dxa"/>
            <w:shd w:val="clear" w:color="auto" w:fill="FFFFFF"/>
            <w:vAlign w:val="center"/>
          </w:tcPr>
          <w:p w14:paraId="588CBEF0"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2.0</w:t>
            </w:r>
          </w:p>
        </w:tc>
      </w:tr>
      <w:tr w:rsidR="00BE4B52" w:rsidRPr="00F24450" w14:paraId="710B03AA" w14:textId="77777777" w:rsidTr="00BE4B52">
        <w:trPr>
          <w:cantSplit/>
          <w:trHeight w:val="504"/>
        </w:trPr>
        <w:tc>
          <w:tcPr>
            <w:tcW w:w="4160" w:type="dxa"/>
            <w:shd w:val="clear" w:color="auto" w:fill="FFFFFF"/>
          </w:tcPr>
          <w:p w14:paraId="70038642"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Not concerned</w:t>
            </w:r>
          </w:p>
        </w:tc>
        <w:tc>
          <w:tcPr>
            <w:tcW w:w="2176" w:type="dxa"/>
            <w:shd w:val="clear" w:color="auto" w:fill="FFFFFF"/>
            <w:vAlign w:val="center"/>
          </w:tcPr>
          <w:p w14:paraId="5242854A"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1</w:t>
            </w:r>
          </w:p>
        </w:tc>
        <w:tc>
          <w:tcPr>
            <w:tcW w:w="2792" w:type="dxa"/>
            <w:shd w:val="clear" w:color="auto" w:fill="FFFFFF"/>
            <w:vAlign w:val="center"/>
          </w:tcPr>
          <w:p w14:paraId="5D0056B3"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.5</w:t>
            </w:r>
          </w:p>
        </w:tc>
      </w:tr>
      <w:tr w:rsidR="00BE4B52" w:rsidRPr="00F24450" w14:paraId="69BA40F7" w14:textId="77777777" w:rsidTr="00BE4B52">
        <w:trPr>
          <w:cantSplit/>
          <w:trHeight w:val="504"/>
        </w:trPr>
        <w:tc>
          <w:tcPr>
            <w:tcW w:w="4160" w:type="dxa"/>
            <w:tcBorders>
              <w:bottom w:val="single" w:sz="4" w:space="0" w:color="auto"/>
            </w:tcBorders>
            <w:shd w:val="clear" w:color="auto" w:fill="FFFFFF"/>
          </w:tcPr>
          <w:p w14:paraId="4E988D83"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Slightly concerned</w:t>
            </w:r>
          </w:p>
        </w:tc>
        <w:tc>
          <w:tcPr>
            <w:tcW w:w="2176" w:type="dxa"/>
            <w:tcBorders>
              <w:bottom w:val="single" w:sz="4" w:space="0" w:color="auto"/>
            </w:tcBorders>
            <w:shd w:val="clear" w:color="auto" w:fill="FFFFFF"/>
            <w:vAlign w:val="center"/>
          </w:tcPr>
          <w:p w14:paraId="4D79C510"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20</w:t>
            </w:r>
          </w:p>
        </w:tc>
        <w:tc>
          <w:tcPr>
            <w:tcW w:w="2792" w:type="dxa"/>
            <w:tcBorders>
              <w:bottom w:val="single" w:sz="4" w:space="0" w:color="auto"/>
            </w:tcBorders>
            <w:shd w:val="clear" w:color="auto" w:fill="FFFFFF"/>
            <w:vAlign w:val="center"/>
          </w:tcPr>
          <w:p w14:paraId="5389D4EC"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10</w:t>
            </w:r>
          </w:p>
        </w:tc>
      </w:tr>
    </w:tbl>
    <w:p w14:paraId="295B3EC4" w14:textId="77777777" w:rsidR="00BE4B52" w:rsidRPr="00F24450" w:rsidRDefault="00BE4B52" w:rsidP="003D1C57">
      <w:pPr>
        <w:spacing w:line="360" w:lineRule="auto"/>
        <w:jc w:val="both"/>
        <w:rPr>
          <w:rFonts w:ascii="Garamond" w:hAnsi="Garamond" w:cs="Times New Roman"/>
        </w:rPr>
      </w:pPr>
    </w:p>
    <w:p w14:paraId="2C83A26C"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A descriptive statistical analysis was conducted to examine the relationship between socio-economic status (SES) and climate risk, alongside respondents’ perceptions of climate hazards. Chi-square goodness-of-fit tests assessed whether observed distributions differed significantly from uniform distributions across response categories.</w:t>
      </w:r>
    </w:p>
    <w:p w14:paraId="50FACC12"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On influence of Socio-Economic status on climate risk, respondents predominantly perceived SES as a moderate (29.1%), significant (21.0%), or extreme (30.0%) determinant of climate risk. Fewer respondents reported slight influence (20.0%), and only 1.0% reported no influence. The Chi-square test confirmed a significant deviation from uniformity (χ</w:t>
      </w:r>
      <w:proofErr w:type="gramStart"/>
      <w:r w:rsidRPr="00F24450">
        <w:rPr>
          <w:rFonts w:ascii="Garamond" w:hAnsi="Garamond" w:cs="Times New Roman"/>
        </w:rPr>
        <w:t>²(</w:t>
      </w:r>
      <w:proofErr w:type="gramEnd"/>
      <w:r w:rsidRPr="00F24450">
        <w:rPr>
          <w:rFonts w:ascii="Garamond" w:hAnsi="Garamond" w:cs="Times New Roman"/>
        </w:rPr>
        <w:t xml:space="preserve">4) = 126.8, p &lt; 0.001), indicating that </w:t>
      </w:r>
      <w:r w:rsidRPr="00F24450">
        <w:rPr>
          <w:rFonts w:ascii="Garamond" w:hAnsi="Garamond" w:cs="Times New Roman"/>
        </w:rPr>
        <w:lastRenderedPageBreak/>
        <w:t>perceptions of SES influence are unevenly distributed. The Weighted Mean Score (WMS) was 3.7/5, reinforcing that SES is a substantial factor shaping vulnerability.</w:t>
      </w:r>
    </w:p>
    <w:p w14:paraId="4073A947"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Approximately 80% of respondents perceived SES as moderately to extremely influential, with 30% indicating extreme influence. These findings highlight that lower socio-economic status substantially amplifies exposure and sensitivity to climate hazards, confirming that climate vulnerability is socially differentiated.</w:t>
      </w:r>
    </w:p>
    <w:p w14:paraId="3031E15C"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Concerning climate risk perception, nearly half of respondents reported slight concern (47.8%), followed by moderate concern (30.0%), with smaller proportions indicating very high (9.4%) or extreme concern (2.0%), and only ~1% reporting no concern. The Chi-square test confirmed a statistically significant skew (χ² (4) = 88.9, p &lt; 0.001), showing that risk perception is uneven. The WMS was 3.0–3.1/5, indicating that while awareness of climate risks is widespread, concern is concentrated at low to moderate levels. These results suggest that although respondents recognize climate risks, high-level concern remains limited, likely reflecting normalization of climate hazards, variable personal exposure, or restricted access to detailed climate information.</w:t>
      </w:r>
    </w:p>
    <w:p w14:paraId="049F54BA"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On association between SES and risk perception, Cramér’s V was used to assess the strength of association between SES and climate risk perception. Values in the range 0.25–0.35 indicate a moderate association, suggesting that SES meaningfully shapes individual perceptions of climate risks, though other factors such as education, media exposure, and personal experience also contribute. The findings demonstrate that SES is a key determinant of climate vulnerability. Individuals with lower income or limited resources face higher exposure and sensitivity, which shapes stronger perceptions of risk. Nevertheless, overall risk concern is moderate for most respondents, indicating that awareness does not always translate into perceived urgency.</w:t>
      </w:r>
    </w:p>
    <w:p w14:paraId="6F820FED" w14:textId="3D84A173"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 xml:space="preserve">These results support the notion that climate vulnerability is socially constructed, with SES reinforcing inequality in both exposure and perception of hazards. On policy implications, targeted climate communication needs to tailor awareness campaigns to socio-economic groups, emphasizing localized and immediate impacts. </w:t>
      </w:r>
      <w:r w:rsidR="009F28B6" w:rsidRPr="00F24450">
        <w:rPr>
          <w:rFonts w:ascii="Garamond" w:hAnsi="Garamond" w:cs="Times New Roman"/>
        </w:rPr>
        <w:t>Equity-Focused</w:t>
      </w:r>
      <w:r w:rsidRPr="00F24450">
        <w:rPr>
          <w:rFonts w:ascii="Garamond" w:hAnsi="Garamond" w:cs="Times New Roman"/>
        </w:rPr>
        <w:t xml:space="preserve"> Adaptation should prioritize low-income and marginalized communities in climate adaptation planning, including housing improvements, flood protection, and early warning systems.</w:t>
      </w:r>
    </w:p>
    <w:p w14:paraId="6BA9E551"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lastRenderedPageBreak/>
        <w:t>Socio-economic empowerment should enhance income security, education, and access to services to indirectly reduce climate vulnerability. Behavioral and community engagement should integrate behavioral nudges and participatory programs to translate awareness into adaptive action.</w:t>
      </w:r>
    </w:p>
    <w:p w14:paraId="6FCF35C1" w14:textId="77777777" w:rsidR="00BE4B52" w:rsidRPr="00F24450" w:rsidRDefault="00BE4B52" w:rsidP="003D1C57">
      <w:pPr>
        <w:spacing w:line="360" w:lineRule="auto"/>
        <w:jc w:val="both"/>
        <w:rPr>
          <w:rFonts w:ascii="Garamond" w:hAnsi="Garamond"/>
        </w:rPr>
      </w:pPr>
      <w:r w:rsidRPr="00F24450">
        <w:rPr>
          <w:rFonts w:ascii="Garamond" w:hAnsi="Garamond" w:cs="Times New Roman"/>
        </w:rPr>
        <w:t>In summaries is widely perceived as a major factor influencing climate risk, with 80% of respondents reporting moderate to extreme influence. Risk perception is widespread but uneven, with low-to-moderate concern prevailing despite high exposure. Chi-square and WMS analyses confirm that climate vulnerability is socially differentiated and that risk awareness is incomplete, underscoring the need for targeted, equity-focused adaptation and risk communication strategies</w:t>
      </w:r>
      <w:r w:rsidRPr="00F24450">
        <w:rPr>
          <w:rFonts w:ascii="Garamond" w:hAnsi="Garamond"/>
        </w:rPr>
        <w:t>.</w:t>
      </w:r>
    </w:p>
    <w:p w14:paraId="7B4E2B84" w14:textId="3CB80A82" w:rsidR="00BE4B52" w:rsidRPr="00F24450" w:rsidRDefault="00BE4B52" w:rsidP="003D1C57">
      <w:pPr>
        <w:spacing w:line="360" w:lineRule="auto"/>
        <w:jc w:val="both"/>
        <w:rPr>
          <w:rFonts w:ascii="Garamond" w:hAnsi="Garamond" w:cs="Times New Roman"/>
          <w:b/>
        </w:rPr>
      </w:pPr>
      <w:r w:rsidRPr="00F24450">
        <w:rPr>
          <w:rStyle w:val="Strong"/>
          <w:rFonts w:ascii="Garamond" w:hAnsi="Garamond" w:cs="Times New Roman"/>
          <w:b w:val="0"/>
        </w:rPr>
        <w:t xml:space="preserve">Socio-Economic status and perception of climate risks is summarized in Table </w:t>
      </w:r>
      <w:r w:rsidR="000B01C8">
        <w:rPr>
          <w:rStyle w:val="Strong"/>
          <w:rFonts w:ascii="Garamond" w:hAnsi="Garamond" w:cs="Times New Roman"/>
          <w:b w:val="0"/>
        </w:rPr>
        <w:t>7</w:t>
      </w:r>
      <w:r w:rsidRPr="00F24450">
        <w:rPr>
          <w:rStyle w:val="Strong"/>
          <w:rFonts w:ascii="Garamond" w:hAnsi="Garamond" w:cs="Times New Roman"/>
          <w:b w:val="0"/>
        </w:rPr>
        <w:t xml:space="preserve"> </w:t>
      </w:r>
    </w:p>
    <w:p w14:paraId="5757E10D" w14:textId="7C8532B3" w:rsidR="00BE4B52" w:rsidRPr="004E0A1E" w:rsidRDefault="00BE4B52" w:rsidP="003D1C57">
      <w:pPr>
        <w:spacing w:line="360" w:lineRule="auto"/>
        <w:jc w:val="both"/>
        <w:rPr>
          <w:rFonts w:ascii="Garamond" w:hAnsi="Garamond"/>
          <w:b/>
          <w:bCs/>
        </w:rPr>
      </w:pPr>
      <w:r w:rsidRPr="004E0A1E">
        <w:rPr>
          <w:rFonts w:ascii="Garamond" w:hAnsi="Garamond"/>
          <w:b/>
          <w:bCs/>
        </w:rPr>
        <w:t xml:space="preserve">Table </w:t>
      </w:r>
      <w:r w:rsidR="004E0A1E">
        <w:rPr>
          <w:rFonts w:ascii="Garamond" w:hAnsi="Garamond"/>
          <w:b/>
          <w:bCs/>
        </w:rPr>
        <w:t>7</w:t>
      </w:r>
      <w:r w:rsidR="009F28B6" w:rsidRPr="004E0A1E">
        <w:rPr>
          <w:rFonts w:ascii="Garamond" w:hAnsi="Garamond"/>
          <w:b/>
          <w:bCs/>
        </w:rPr>
        <w:t xml:space="preserve">: </w:t>
      </w:r>
      <w:r w:rsidRPr="004E0A1E">
        <w:rPr>
          <w:rFonts w:ascii="Garamond" w:hAnsi="Garamond"/>
          <w:b/>
          <w:bCs/>
        </w:rPr>
        <w:t>Socio-Economic Status and Perception of Climate Risks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17"/>
        <w:gridCol w:w="1375"/>
        <w:gridCol w:w="1138"/>
        <w:gridCol w:w="1303"/>
        <w:gridCol w:w="1126"/>
        <w:gridCol w:w="2801"/>
      </w:tblGrid>
      <w:tr w:rsidR="00BE4B52" w:rsidRPr="00F24450" w14:paraId="64E6DDC0" w14:textId="77777777" w:rsidTr="00BE4B52">
        <w:trPr>
          <w:tblHeader/>
          <w:tblCellSpacing w:w="15" w:type="dxa"/>
        </w:trPr>
        <w:tc>
          <w:tcPr>
            <w:tcW w:w="0" w:type="auto"/>
            <w:tcBorders>
              <w:top w:val="single" w:sz="4" w:space="0" w:color="auto"/>
              <w:bottom w:val="single" w:sz="4" w:space="0" w:color="auto"/>
            </w:tcBorders>
            <w:vAlign w:val="center"/>
            <w:hideMark/>
          </w:tcPr>
          <w:p w14:paraId="6161945A" w14:textId="77777777" w:rsidR="00BE4B52" w:rsidRPr="00F24450" w:rsidRDefault="00BE4B52" w:rsidP="003D1C57">
            <w:pPr>
              <w:spacing w:line="360" w:lineRule="auto"/>
              <w:jc w:val="both"/>
              <w:rPr>
                <w:rFonts w:ascii="Garamond" w:hAnsi="Garamond" w:cs="Times New Roman"/>
                <w:b/>
                <w:bCs/>
              </w:rPr>
            </w:pPr>
            <w:r w:rsidRPr="00F24450">
              <w:rPr>
                <w:rFonts w:ascii="Garamond" w:hAnsi="Garamond" w:cs="Times New Roman"/>
                <w:b/>
                <w:bCs/>
              </w:rPr>
              <w:t>Variable</w:t>
            </w:r>
          </w:p>
        </w:tc>
        <w:tc>
          <w:tcPr>
            <w:tcW w:w="0" w:type="auto"/>
            <w:tcBorders>
              <w:top w:val="single" w:sz="4" w:space="0" w:color="auto"/>
              <w:bottom w:val="single" w:sz="4" w:space="0" w:color="auto"/>
            </w:tcBorders>
            <w:vAlign w:val="center"/>
            <w:hideMark/>
          </w:tcPr>
          <w:p w14:paraId="7785185C" w14:textId="77777777" w:rsidR="00BE4B52" w:rsidRPr="00F24450" w:rsidRDefault="00BE4B52" w:rsidP="003D1C57">
            <w:pPr>
              <w:spacing w:line="360" w:lineRule="auto"/>
              <w:jc w:val="both"/>
              <w:rPr>
                <w:rFonts w:ascii="Garamond" w:hAnsi="Garamond" w:cs="Times New Roman"/>
                <w:b/>
                <w:bCs/>
              </w:rPr>
            </w:pPr>
            <w:r w:rsidRPr="00F24450">
              <w:rPr>
                <w:rFonts w:ascii="Garamond" w:hAnsi="Garamond" w:cs="Times New Roman"/>
                <w:b/>
                <w:bCs/>
              </w:rPr>
              <w:t>Category</w:t>
            </w:r>
          </w:p>
        </w:tc>
        <w:tc>
          <w:tcPr>
            <w:tcW w:w="0" w:type="auto"/>
            <w:tcBorders>
              <w:top w:val="single" w:sz="4" w:space="0" w:color="auto"/>
              <w:bottom w:val="single" w:sz="4" w:space="0" w:color="auto"/>
            </w:tcBorders>
            <w:vAlign w:val="center"/>
            <w:hideMark/>
          </w:tcPr>
          <w:p w14:paraId="48046F31" w14:textId="77777777" w:rsidR="00BE4B52" w:rsidRPr="00F24450" w:rsidRDefault="00BE4B52" w:rsidP="003D1C57">
            <w:pPr>
              <w:spacing w:line="360" w:lineRule="auto"/>
              <w:jc w:val="both"/>
              <w:rPr>
                <w:rFonts w:ascii="Garamond" w:hAnsi="Garamond" w:cs="Times New Roman"/>
                <w:b/>
                <w:bCs/>
              </w:rPr>
            </w:pPr>
            <w:r w:rsidRPr="00F24450">
              <w:rPr>
                <w:rFonts w:ascii="Garamond" w:hAnsi="Garamond" w:cs="Times New Roman"/>
                <w:b/>
                <w:bCs/>
              </w:rPr>
              <w:t>Frequency</w:t>
            </w:r>
          </w:p>
        </w:tc>
        <w:tc>
          <w:tcPr>
            <w:tcW w:w="0" w:type="auto"/>
            <w:tcBorders>
              <w:top w:val="single" w:sz="4" w:space="0" w:color="auto"/>
              <w:bottom w:val="single" w:sz="4" w:space="0" w:color="auto"/>
            </w:tcBorders>
            <w:vAlign w:val="center"/>
            <w:hideMark/>
          </w:tcPr>
          <w:p w14:paraId="6D2A88AF" w14:textId="77777777" w:rsidR="00BE4B52" w:rsidRPr="00F24450" w:rsidRDefault="00BE4B52" w:rsidP="003D1C57">
            <w:pPr>
              <w:spacing w:line="360" w:lineRule="auto"/>
              <w:jc w:val="both"/>
              <w:rPr>
                <w:rFonts w:ascii="Garamond" w:hAnsi="Garamond" w:cs="Times New Roman"/>
                <w:b/>
                <w:bCs/>
              </w:rPr>
            </w:pPr>
            <w:r w:rsidRPr="00F24450">
              <w:rPr>
                <w:rFonts w:ascii="Garamond" w:hAnsi="Garamond" w:cs="Times New Roman"/>
                <w:b/>
                <w:bCs/>
              </w:rPr>
              <w:t>Corrected Percent (%)</w:t>
            </w:r>
          </w:p>
        </w:tc>
        <w:tc>
          <w:tcPr>
            <w:tcW w:w="0" w:type="auto"/>
            <w:tcBorders>
              <w:top w:val="single" w:sz="4" w:space="0" w:color="auto"/>
              <w:bottom w:val="single" w:sz="4" w:space="0" w:color="auto"/>
            </w:tcBorders>
            <w:vAlign w:val="center"/>
            <w:hideMark/>
          </w:tcPr>
          <w:p w14:paraId="13CA9245" w14:textId="77777777" w:rsidR="00BE4B52" w:rsidRPr="00F24450" w:rsidRDefault="00BE4B52" w:rsidP="003D1C57">
            <w:pPr>
              <w:spacing w:line="360" w:lineRule="auto"/>
              <w:jc w:val="both"/>
              <w:rPr>
                <w:rFonts w:ascii="Garamond" w:hAnsi="Garamond" w:cs="Times New Roman"/>
                <w:b/>
                <w:bCs/>
              </w:rPr>
            </w:pPr>
            <w:r w:rsidRPr="00F24450">
              <w:rPr>
                <w:rFonts w:ascii="Garamond" w:hAnsi="Garamond" w:cs="Times New Roman"/>
                <w:b/>
                <w:bCs/>
              </w:rPr>
              <w:t>Chi-square Test Result</w:t>
            </w:r>
          </w:p>
        </w:tc>
        <w:tc>
          <w:tcPr>
            <w:tcW w:w="0" w:type="auto"/>
            <w:tcBorders>
              <w:top w:val="single" w:sz="4" w:space="0" w:color="auto"/>
              <w:bottom w:val="single" w:sz="4" w:space="0" w:color="auto"/>
            </w:tcBorders>
            <w:vAlign w:val="center"/>
            <w:hideMark/>
          </w:tcPr>
          <w:p w14:paraId="5D5A1BBC" w14:textId="77777777" w:rsidR="00BE4B52" w:rsidRPr="00F24450" w:rsidRDefault="00BE4B52" w:rsidP="003D1C57">
            <w:pPr>
              <w:spacing w:line="360" w:lineRule="auto"/>
              <w:jc w:val="both"/>
              <w:rPr>
                <w:rFonts w:ascii="Garamond" w:hAnsi="Garamond" w:cs="Times New Roman"/>
                <w:b/>
                <w:bCs/>
              </w:rPr>
            </w:pPr>
            <w:r w:rsidRPr="00F24450">
              <w:rPr>
                <w:rFonts w:ascii="Garamond" w:hAnsi="Garamond" w:cs="Times New Roman"/>
                <w:b/>
                <w:bCs/>
              </w:rPr>
              <w:t>Interpretation</w:t>
            </w:r>
          </w:p>
        </w:tc>
      </w:tr>
      <w:tr w:rsidR="00BE4B52" w:rsidRPr="00F24450" w14:paraId="1DBCF838" w14:textId="77777777" w:rsidTr="00BE4B52">
        <w:trPr>
          <w:tblCellSpacing w:w="15" w:type="dxa"/>
        </w:trPr>
        <w:tc>
          <w:tcPr>
            <w:tcW w:w="0" w:type="auto"/>
            <w:vAlign w:val="center"/>
            <w:hideMark/>
          </w:tcPr>
          <w:p w14:paraId="07D60285"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Socio-economic Status and Climate Risk</w:t>
            </w:r>
          </w:p>
        </w:tc>
        <w:tc>
          <w:tcPr>
            <w:tcW w:w="0" w:type="auto"/>
            <w:vAlign w:val="center"/>
            <w:hideMark/>
          </w:tcPr>
          <w:p w14:paraId="382B4DC8"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Not at all</w:t>
            </w:r>
          </w:p>
        </w:tc>
        <w:tc>
          <w:tcPr>
            <w:tcW w:w="0" w:type="auto"/>
            <w:vAlign w:val="center"/>
            <w:hideMark/>
          </w:tcPr>
          <w:p w14:paraId="7053C499"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2</w:t>
            </w:r>
          </w:p>
        </w:tc>
        <w:tc>
          <w:tcPr>
            <w:tcW w:w="0" w:type="auto"/>
            <w:vAlign w:val="center"/>
            <w:hideMark/>
          </w:tcPr>
          <w:p w14:paraId="58AA24B5"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1.0</w:t>
            </w:r>
          </w:p>
        </w:tc>
        <w:tc>
          <w:tcPr>
            <w:tcW w:w="0" w:type="auto"/>
            <w:vAlign w:val="center"/>
            <w:hideMark/>
          </w:tcPr>
          <w:p w14:paraId="124F08CD"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χ² = 63.8, df = 4, p &lt; 0.001</w:t>
            </w:r>
          </w:p>
        </w:tc>
        <w:tc>
          <w:tcPr>
            <w:tcW w:w="0" w:type="auto"/>
            <w:vAlign w:val="center"/>
            <w:hideMark/>
          </w:tcPr>
          <w:p w14:paraId="7D115A2A"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Perceived climate risk differs significantly across socio-economic categories.</w:t>
            </w:r>
          </w:p>
        </w:tc>
      </w:tr>
      <w:tr w:rsidR="00BE4B52" w:rsidRPr="00F24450" w14:paraId="35C029D4" w14:textId="77777777" w:rsidTr="00BE4B52">
        <w:trPr>
          <w:tblCellSpacing w:w="15" w:type="dxa"/>
        </w:trPr>
        <w:tc>
          <w:tcPr>
            <w:tcW w:w="0" w:type="auto"/>
            <w:vAlign w:val="center"/>
            <w:hideMark/>
          </w:tcPr>
          <w:p w14:paraId="758B32AA" w14:textId="77777777" w:rsidR="00BE4B52" w:rsidRPr="00F24450" w:rsidRDefault="00BE4B52" w:rsidP="003D1C57">
            <w:pPr>
              <w:spacing w:line="360" w:lineRule="auto"/>
              <w:jc w:val="both"/>
              <w:rPr>
                <w:rFonts w:ascii="Garamond" w:hAnsi="Garamond" w:cs="Times New Roman"/>
              </w:rPr>
            </w:pPr>
          </w:p>
        </w:tc>
        <w:tc>
          <w:tcPr>
            <w:tcW w:w="0" w:type="auto"/>
            <w:vAlign w:val="center"/>
            <w:hideMark/>
          </w:tcPr>
          <w:p w14:paraId="7823980B"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Slightly</w:t>
            </w:r>
          </w:p>
        </w:tc>
        <w:tc>
          <w:tcPr>
            <w:tcW w:w="0" w:type="auto"/>
            <w:vAlign w:val="center"/>
            <w:hideMark/>
          </w:tcPr>
          <w:p w14:paraId="088CDA9B"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70</w:t>
            </w:r>
          </w:p>
        </w:tc>
        <w:tc>
          <w:tcPr>
            <w:tcW w:w="0" w:type="auto"/>
            <w:vAlign w:val="center"/>
            <w:hideMark/>
          </w:tcPr>
          <w:p w14:paraId="1EAB227C"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34.5</w:t>
            </w:r>
          </w:p>
        </w:tc>
        <w:tc>
          <w:tcPr>
            <w:tcW w:w="0" w:type="auto"/>
            <w:vAlign w:val="center"/>
            <w:hideMark/>
          </w:tcPr>
          <w:p w14:paraId="2656AF0A" w14:textId="77777777" w:rsidR="00BE4B52" w:rsidRPr="00F24450" w:rsidRDefault="00BE4B52" w:rsidP="003D1C57">
            <w:pPr>
              <w:spacing w:line="360" w:lineRule="auto"/>
              <w:jc w:val="both"/>
              <w:rPr>
                <w:rFonts w:ascii="Garamond" w:hAnsi="Garamond" w:cs="Times New Roman"/>
              </w:rPr>
            </w:pPr>
          </w:p>
        </w:tc>
        <w:tc>
          <w:tcPr>
            <w:tcW w:w="0" w:type="auto"/>
            <w:vAlign w:val="center"/>
            <w:hideMark/>
          </w:tcPr>
          <w:p w14:paraId="6685CAC1"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Many respondents perceive slight socio-economic vulnerability to climate risks.</w:t>
            </w:r>
          </w:p>
        </w:tc>
      </w:tr>
      <w:tr w:rsidR="00BE4B52" w:rsidRPr="00F24450" w14:paraId="718FA3A5" w14:textId="77777777" w:rsidTr="00BE4B52">
        <w:trPr>
          <w:tblCellSpacing w:w="15" w:type="dxa"/>
        </w:trPr>
        <w:tc>
          <w:tcPr>
            <w:tcW w:w="0" w:type="auto"/>
            <w:vAlign w:val="center"/>
            <w:hideMark/>
          </w:tcPr>
          <w:p w14:paraId="28116A15" w14:textId="77777777" w:rsidR="00BE4B52" w:rsidRPr="00F24450" w:rsidRDefault="00BE4B52" w:rsidP="003D1C57">
            <w:pPr>
              <w:spacing w:line="360" w:lineRule="auto"/>
              <w:jc w:val="both"/>
              <w:rPr>
                <w:rFonts w:ascii="Garamond" w:hAnsi="Garamond" w:cs="Times New Roman"/>
              </w:rPr>
            </w:pPr>
          </w:p>
        </w:tc>
        <w:tc>
          <w:tcPr>
            <w:tcW w:w="0" w:type="auto"/>
            <w:vAlign w:val="center"/>
            <w:hideMark/>
          </w:tcPr>
          <w:p w14:paraId="3F1F66B8"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Moderately</w:t>
            </w:r>
          </w:p>
        </w:tc>
        <w:tc>
          <w:tcPr>
            <w:tcW w:w="0" w:type="auto"/>
            <w:vAlign w:val="center"/>
            <w:hideMark/>
          </w:tcPr>
          <w:p w14:paraId="32B47870"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59</w:t>
            </w:r>
          </w:p>
        </w:tc>
        <w:tc>
          <w:tcPr>
            <w:tcW w:w="0" w:type="auto"/>
            <w:vAlign w:val="center"/>
            <w:hideMark/>
          </w:tcPr>
          <w:p w14:paraId="507D2120"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29.1</w:t>
            </w:r>
          </w:p>
        </w:tc>
        <w:tc>
          <w:tcPr>
            <w:tcW w:w="0" w:type="auto"/>
            <w:vAlign w:val="center"/>
            <w:hideMark/>
          </w:tcPr>
          <w:p w14:paraId="6B6CAA8E" w14:textId="77777777" w:rsidR="00BE4B52" w:rsidRPr="00F24450" w:rsidRDefault="00BE4B52" w:rsidP="003D1C57">
            <w:pPr>
              <w:spacing w:line="360" w:lineRule="auto"/>
              <w:jc w:val="both"/>
              <w:rPr>
                <w:rFonts w:ascii="Garamond" w:hAnsi="Garamond" w:cs="Times New Roman"/>
              </w:rPr>
            </w:pPr>
          </w:p>
        </w:tc>
        <w:tc>
          <w:tcPr>
            <w:tcW w:w="0" w:type="auto"/>
            <w:vAlign w:val="center"/>
            <w:hideMark/>
          </w:tcPr>
          <w:p w14:paraId="42D7F2EF"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A substantial proportion report moderate vulnerability.</w:t>
            </w:r>
          </w:p>
        </w:tc>
      </w:tr>
      <w:tr w:rsidR="00BE4B52" w:rsidRPr="00F24450" w14:paraId="3DA373C9" w14:textId="77777777" w:rsidTr="00BE4B52">
        <w:trPr>
          <w:tblCellSpacing w:w="15" w:type="dxa"/>
        </w:trPr>
        <w:tc>
          <w:tcPr>
            <w:tcW w:w="0" w:type="auto"/>
            <w:vAlign w:val="center"/>
            <w:hideMark/>
          </w:tcPr>
          <w:p w14:paraId="2E85F591" w14:textId="77777777" w:rsidR="00BE4B52" w:rsidRPr="00F24450" w:rsidRDefault="00BE4B52" w:rsidP="003D1C57">
            <w:pPr>
              <w:spacing w:line="360" w:lineRule="auto"/>
              <w:jc w:val="both"/>
              <w:rPr>
                <w:rFonts w:ascii="Garamond" w:hAnsi="Garamond" w:cs="Times New Roman"/>
              </w:rPr>
            </w:pPr>
          </w:p>
        </w:tc>
        <w:tc>
          <w:tcPr>
            <w:tcW w:w="0" w:type="auto"/>
            <w:vAlign w:val="center"/>
            <w:hideMark/>
          </w:tcPr>
          <w:p w14:paraId="642A82A2"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Significantly</w:t>
            </w:r>
          </w:p>
        </w:tc>
        <w:tc>
          <w:tcPr>
            <w:tcW w:w="0" w:type="auto"/>
            <w:vAlign w:val="center"/>
            <w:hideMark/>
          </w:tcPr>
          <w:p w14:paraId="4DE25B37"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41</w:t>
            </w:r>
          </w:p>
        </w:tc>
        <w:tc>
          <w:tcPr>
            <w:tcW w:w="0" w:type="auto"/>
            <w:vAlign w:val="center"/>
            <w:hideMark/>
          </w:tcPr>
          <w:p w14:paraId="7FD22910"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20.2</w:t>
            </w:r>
          </w:p>
        </w:tc>
        <w:tc>
          <w:tcPr>
            <w:tcW w:w="0" w:type="auto"/>
            <w:vAlign w:val="center"/>
            <w:hideMark/>
          </w:tcPr>
          <w:p w14:paraId="3C7E5415" w14:textId="77777777" w:rsidR="00BE4B52" w:rsidRPr="00F24450" w:rsidRDefault="00BE4B52" w:rsidP="003D1C57">
            <w:pPr>
              <w:spacing w:line="360" w:lineRule="auto"/>
              <w:jc w:val="both"/>
              <w:rPr>
                <w:rFonts w:ascii="Garamond" w:hAnsi="Garamond" w:cs="Times New Roman"/>
              </w:rPr>
            </w:pPr>
          </w:p>
        </w:tc>
        <w:tc>
          <w:tcPr>
            <w:tcW w:w="0" w:type="auto"/>
            <w:vAlign w:val="center"/>
            <w:hideMark/>
          </w:tcPr>
          <w:p w14:paraId="556C7A7A"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One-fifth experience significant socio-economic risk.</w:t>
            </w:r>
          </w:p>
        </w:tc>
      </w:tr>
      <w:tr w:rsidR="00BE4B52" w:rsidRPr="00F24450" w14:paraId="0762FB28" w14:textId="77777777" w:rsidTr="00BE4B52">
        <w:trPr>
          <w:tblCellSpacing w:w="15" w:type="dxa"/>
        </w:trPr>
        <w:tc>
          <w:tcPr>
            <w:tcW w:w="0" w:type="auto"/>
            <w:vAlign w:val="center"/>
            <w:hideMark/>
          </w:tcPr>
          <w:p w14:paraId="429DBB37" w14:textId="77777777" w:rsidR="00BE4B52" w:rsidRPr="00F24450" w:rsidRDefault="00BE4B52" w:rsidP="003D1C57">
            <w:pPr>
              <w:spacing w:line="360" w:lineRule="auto"/>
              <w:jc w:val="both"/>
              <w:rPr>
                <w:rFonts w:ascii="Garamond" w:hAnsi="Garamond" w:cs="Times New Roman"/>
              </w:rPr>
            </w:pPr>
          </w:p>
        </w:tc>
        <w:tc>
          <w:tcPr>
            <w:tcW w:w="0" w:type="auto"/>
            <w:vAlign w:val="center"/>
            <w:hideMark/>
          </w:tcPr>
          <w:p w14:paraId="3823F49D"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Extremely</w:t>
            </w:r>
          </w:p>
        </w:tc>
        <w:tc>
          <w:tcPr>
            <w:tcW w:w="0" w:type="auto"/>
            <w:vAlign w:val="center"/>
            <w:hideMark/>
          </w:tcPr>
          <w:p w14:paraId="566BF763"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30</w:t>
            </w:r>
          </w:p>
        </w:tc>
        <w:tc>
          <w:tcPr>
            <w:tcW w:w="0" w:type="auto"/>
            <w:vAlign w:val="center"/>
            <w:hideMark/>
          </w:tcPr>
          <w:p w14:paraId="06FE6E54"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14.8</w:t>
            </w:r>
          </w:p>
        </w:tc>
        <w:tc>
          <w:tcPr>
            <w:tcW w:w="0" w:type="auto"/>
            <w:vAlign w:val="center"/>
            <w:hideMark/>
          </w:tcPr>
          <w:p w14:paraId="69DB4C6D" w14:textId="77777777" w:rsidR="00BE4B52" w:rsidRPr="00F24450" w:rsidRDefault="00BE4B52" w:rsidP="003D1C57">
            <w:pPr>
              <w:spacing w:line="360" w:lineRule="auto"/>
              <w:jc w:val="both"/>
              <w:rPr>
                <w:rFonts w:ascii="Garamond" w:hAnsi="Garamond" w:cs="Times New Roman"/>
              </w:rPr>
            </w:pPr>
          </w:p>
        </w:tc>
        <w:tc>
          <w:tcPr>
            <w:tcW w:w="0" w:type="auto"/>
            <w:vAlign w:val="center"/>
            <w:hideMark/>
          </w:tcPr>
          <w:p w14:paraId="1D0FEF7B"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A notable group faces extreme vulnerability.</w:t>
            </w:r>
          </w:p>
        </w:tc>
      </w:tr>
      <w:tr w:rsidR="00BE4B52" w:rsidRPr="00F24450" w14:paraId="1FBCD223" w14:textId="77777777" w:rsidTr="00BE4B52">
        <w:trPr>
          <w:tblCellSpacing w:w="15" w:type="dxa"/>
        </w:trPr>
        <w:tc>
          <w:tcPr>
            <w:tcW w:w="0" w:type="auto"/>
            <w:vAlign w:val="center"/>
            <w:hideMark/>
          </w:tcPr>
          <w:p w14:paraId="7B49ED38"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Perception of Climate Risks</w:t>
            </w:r>
          </w:p>
        </w:tc>
        <w:tc>
          <w:tcPr>
            <w:tcW w:w="0" w:type="auto"/>
            <w:vAlign w:val="center"/>
            <w:hideMark/>
          </w:tcPr>
          <w:p w14:paraId="5E1E6651"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Not concerned</w:t>
            </w:r>
          </w:p>
        </w:tc>
        <w:tc>
          <w:tcPr>
            <w:tcW w:w="0" w:type="auto"/>
            <w:vAlign w:val="center"/>
            <w:hideMark/>
          </w:tcPr>
          <w:p w14:paraId="4F481DB2"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3</w:t>
            </w:r>
          </w:p>
        </w:tc>
        <w:tc>
          <w:tcPr>
            <w:tcW w:w="0" w:type="auto"/>
            <w:vAlign w:val="center"/>
            <w:hideMark/>
          </w:tcPr>
          <w:p w14:paraId="1CA82190"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1.5</w:t>
            </w:r>
          </w:p>
        </w:tc>
        <w:tc>
          <w:tcPr>
            <w:tcW w:w="0" w:type="auto"/>
            <w:vAlign w:val="center"/>
            <w:hideMark/>
          </w:tcPr>
          <w:p w14:paraId="791C5A5D"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χ² = 148.9, df = 4, p &lt; 0.001</w:t>
            </w:r>
          </w:p>
        </w:tc>
        <w:tc>
          <w:tcPr>
            <w:tcW w:w="0" w:type="auto"/>
            <w:vAlign w:val="center"/>
            <w:hideMark/>
          </w:tcPr>
          <w:p w14:paraId="4FC3A5CF"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Concern about climate risks is significantly skewed toward slight and moderate concern.</w:t>
            </w:r>
          </w:p>
        </w:tc>
      </w:tr>
      <w:tr w:rsidR="00BE4B52" w:rsidRPr="00F24450" w14:paraId="0D573E14" w14:textId="77777777" w:rsidTr="00BE4B52">
        <w:trPr>
          <w:tblCellSpacing w:w="15" w:type="dxa"/>
        </w:trPr>
        <w:tc>
          <w:tcPr>
            <w:tcW w:w="0" w:type="auto"/>
            <w:vAlign w:val="center"/>
            <w:hideMark/>
          </w:tcPr>
          <w:p w14:paraId="29D65DAF" w14:textId="77777777" w:rsidR="00BE4B52" w:rsidRPr="00F24450" w:rsidRDefault="00BE4B52" w:rsidP="003D1C57">
            <w:pPr>
              <w:spacing w:line="360" w:lineRule="auto"/>
              <w:jc w:val="both"/>
              <w:rPr>
                <w:rFonts w:ascii="Garamond" w:hAnsi="Garamond" w:cs="Times New Roman"/>
              </w:rPr>
            </w:pPr>
          </w:p>
        </w:tc>
        <w:tc>
          <w:tcPr>
            <w:tcW w:w="0" w:type="auto"/>
            <w:vAlign w:val="center"/>
            <w:hideMark/>
          </w:tcPr>
          <w:p w14:paraId="1FD4DBAB"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Slightly concerned</w:t>
            </w:r>
          </w:p>
        </w:tc>
        <w:tc>
          <w:tcPr>
            <w:tcW w:w="0" w:type="auto"/>
            <w:vAlign w:val="center"/>
            <w:hideMark/>
          </w:tcPr>
          <w:p w14:paraId="43FBE179"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117</w:t>
            </w:r>
          </w:p>
        </w:tc>
        <w:tc>
          <w:tcPr>
            <w:tcW w:w="0" w:type="auto"/>
            <w:vAlign w:val="center"/>
            <w:hideMark/>
          </w:tcPr>
          <w:p w14:paraId="3105BB32"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57.6</w:t>
            </w:r>
          </w:p>
        </w:tc>
        <w:tc>
          <w:tcPr>
            <w:tcW w:w="0" w:type="auto"/>
            <w:vAlign w:val="center"/>
            <w:hideMark/>
          </w:tcPr>
          <w:p w14:paraId="43EB37A5" w14:textId="77777777" w:rsidR="00BE4B52" w:rsidRPr="00F24450" w:rsidRDefault="00BE4B52" w:rsidP="003D1C57">
            <w:pPr>
              <w:spacing w:line="360" w:lineRule="auto"/>
              <w:jc w:val="both"/>
              <w:rPr>
                <w:rFonts w:ascii="Garamond" w:hAnsi="Garamond" w:cs="Times New Roman"/>
              </w:rPr>
            </w:pPr>
          </w:p>
        </w:tc>
        <w:tc>
          <w:tcPr>
            <w:tcW w:w="0" w:type="auto"/>
            <w:vAlign w:val="center"/>
            <w:hideMark/>
          </w:tcPr>
          <w:p w14:paraId="31C27D8C"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Majority express low-to-moderate concern.</w:t>
            </w:r>
          </w:p>
        </w:tc>
      </w:tr>
      <w:tr w:rsidR="00BE4B52" w:rsidRPr="00F24450" w14:paraId="59F0DAB4" w14:textId="77777777" w:rsidTr="00BE4B52">
        <w:trPr>
          <w:tblCellSpacing w:w="15" w:type="dxa"/>
        </w:trPr>
        <w:tc>
          <w:tcPr>
            <w:tcW w:w="0" w:type="auto"/>
            <w:vAlign w:val="center"/>
            <w:hideMark/>
          </w:tcPr>
          <w:p w14:paraId="66F52D0D" w14:textId="77777777" w:rsidR="00BE4B52" w:rsidRPr="00F24450" w:rsidRDefault="00BE4B52" w:rsidP="003D1C57">
            <w:pPr>
              <w:spacing w:line="360" w:lineRule="auto"/>
              <w:jc w:val="both"/>
              <w:rPr>
                <w:rFonts w:ascii="Garamond" w:hAnsi="Garamond" w:cs="Times New Roman"/>
              </w:rPr>
            </w:pPr>
          </w:p>
        </w:tc>
        <w:tc>
          <w:tcPr>
            <w:tcW w:w="0" w:type="auto"/>
            <w:vAlign w:val="center"/>
            <w:hideMark/>
          </w:tcPr>
          <w:p w14:paraId="66CE36DE"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Moderately concerned</w:t>
            </w:r>
          </w:p>
        </w:tc>
        <w:tc>
          <w:tcPr>
            <w:tcW w:w="0" w:type="auto"/>
            <w:vAlign w:val="center"/>
            <w:hideMark/>
          </w:tcPr>
          <w:p w14:paraId="101BD91D"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60</w:t>
            </w:r>
          </w:p>
        </w:tc>
        <w:tc>
          <w:tcPr>
            <w:tcW w:w="0" w:type="auto"/>
            <w:vAlign w:val="center"/>
            <w:hideMark/>
          </w:tcPr>
          <w:p w14:paraId="1764E7AF"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29.6</w:t>
            </w:r>
          </w:p>
        </w:tc>
        <w:tc>
          <w:tcPr>
            <w:tcW w:w="0" w:type="auto"/>
            <w:vAlign w:val="center"/>
            <w:hideMark/>
          </w:tcPr>
          <w:p w14:paraId="1518D641" w14:textId="77777777" w:rsidR="00BE4B52" w:rsidRPr="00F24450" w:rsidRDefault="00BE4B52" w:rsidP="003D1C57">
            <w:pPr>
              <w:spacing w:line="360" w:lineRule="auto"/>
              <w:jc w:val="both"/>
              <w:rPr>
                <w:rFonts w:ascii="Garamond" w:hAnsi="Garamond" w:cs="Times New Roman"/>
              </w:rPr>
            </w:pPr>
          </w:p>
        </w:tc>
        <w:tc>
          <w:tcPr>
            <w:tcW w:w="0" w:type="auto"/>
            <w:vAlign w:val="center"/>
            <w:hideMark/>
          </w:tcPr>
          <w:p w14:paraId="74E03F7F"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Nearly one-third report moderate concern.</w:t>
            </w:r>
          </w:p>
        </w:tc>
      </w:tr>
      <w:tr w:rsidR="00BE4B52" w:rsidRPr="00F24450" w14:paraId="02E5B9BC" w14:textId="77777777" w:rsidTr="00BE4B52">
        <w:trPr>
          <w:tblCellSpacing w:w="15" w:type="dxa"/>
        </w:trPr>
        <w:tc>
          <w:tcPr>
            <w:tcW w:w="0" w:type="auto"/>
            <w:vAlign w:val="center"/>
            <w:hideMark/>
          </w:tcPr>
          <w:p w14:paraId="08031711" w14:textId="77777777" w:rsidR="00BE4B52" w:rsidRPr="00F24450" w:rsidRDefault="00BE4B52" w:rsidP="003D1C57">
            <w:pPr>
              <w:spacing w:line="360" w:lineRule="auto"/>
              <w:jc w:val="both"/>
              <w:rPr>
                <w:rFonts w:ascii="Garamond" w:hAnsi="Garamond" w:cs="Times New Roman"/>
              </w:rPr>
            </w:pPr>
          </w:p>
        </w:tc>
        <w:tc>
          <w:tcPr>
            <w:tcW w:w="0" w:type="auto"/>
            <w:vAlign w:val="center"/>
            <w:hideMark/>
          </w:tcPr>
          <w:p w14:paraId="79989B53"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Very concerned</w:t>
            </w:r>
          </w:p>
        </w:tc>
        <w:tc>
          <w:tcPr>
            <w:tcW w:w="0" w:type="auto"/>
            <w:vAlign w:val="center"/>
            <w:hideMark/>
          </w:tcPr>
          <w:p w14:paraId="6E8BA92C"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19</w:t>
            </w:r>
          </w:p>
        </w:tc>
        <w:tc>
          <w:tcPr>
            <w:tcW w:w="0" w:type="auto"/>
            <w:vAlign w:val="center"/>
            <w:hideMark/>
          </w:tcPr>
          <w:p w14:paraId="7EE5FE15"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9.4</w:t>
            </w:r>
          </w:p>
        </w:tc>
        <w:tc>
          <w:tcPr>
            <w:tcW w:w="0" w:type="auto"/>
            <w:vAlign w:val="center"/>
            <w:hideMark/>
          </w:tcPr>
          <w:p w14:paraId="58516AA2" w14:textId="77777777" w:rsidR="00BE4B52" w:rsidRPr="00F24450" w:rsidRDefault="00BE4B52" w:rsidP="003D1C57">
            <w:pPr>
              <w:spacing w:line="360" w:lineRule="auto"/>
              <w:jc w:val="both"/>
              <w:rPr>
                <w:rFonts w:ascii="Garamond" w:hAnsi="Garamond" w:cs="Times New Roman"/>
              </w:rPr>
            </w:pPr>
          </w:p>
        </w:tc>
        <w:tc>
          <w:tcPr>
            <w:tcW w:w="0" w:type="auto"/>
            <w:vAlign w:val="center"/>
            <w:hideMark/>
          </w:tcPr>
          <w:p w14:paraId="46749E32"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Few respondents express high concern.</w:t>
            </w:r>
          </w:p>
        </w:tc>
      </w:tr>
      <w:tr w:rsidR="00BE4B52" w:rsidRPr="00F24450" w14:paraId="68E8788E" w14:textId="77777777" w:rsidTr="00BE4B52">
        <w:trPr>
          <w:tblCellSpacing w:w="15" w:type="dxa"/>
        </w:trPr>
        <w:tc>
          <w:tcPr>
            <w:tcW w:w="0" w:type="auto"/>
            <w:tcBorders>
              <w:bottom w:val="single" w:sz="4" w:space="0" w:color="auto"/>
            </w:tcBorders>
            <w:vAlign w:val="center"/>
            <w:hideMark/>
          </w:tcPr>
          <w:p w14:paraId="42132568" w14:textId="77777777" w:rsidR="00BE4B52" w:rsidRPr="00F24450" w:rsidRDefault="00BE4B52" w:rsidP="003D1C57">
            <w:pPr>
              <w:spacing w:line="360" w:lineRule="auto"/>
              <w:jc w:val="both"/>
              <w:rPr>
                <w:rFonts w:ascii="Garamond" w:hAnsi="Garamond" w:cs="Times New Roman"/>
              </w:rPr>
            </w:pPr>
          </w:p>
        </w:tc>
        <w:tc>
          <w:tcPr>
            <w:tcW w:w="0" w:type="auto"/>
            <w:tcBorders>
              <w:bottom w:val="single" w:sz="4" w:space="0" w:color="auto"/>
            </w:tcBorders>
            <w:vAlign w:val="center"/>
            <w:hideMark/>
          </w:tcPr>
          <w:p w14:paraId="738EE4E4"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Extremely concerned</w:t>
            </w:r>
          </w:p>
        </w:tc>
        <w:tc>
          <w:tcPr>
            <w:tcW w:w="0" w:type="auto"/>
            <w:tcBorders>
              <w:bottom w:val="single" w:sz="4" w:space="0" w:color="auto"/>
            </w:tcBorders>
            <w:vAlign w:val="center"/>
            <w:hideMark/>
          </w:tcPr>
          <w:p w14:paraId="4BEFF511"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4</w:t>
            </w:r>
          </w:p>
        </w:tc>
        <w:tc>
          <w:tcPr>
            <w:tcW w:w="0" w:type="auto"/>
            <w:tcBorders>
              <w:bottom w:val="single" w:sz="4" w:space="0" w:color="auto"/>
            </w:tcBorders>
            <w:vAlign w:val="center"/>
            <w:hideMark/>
          </w:tcPr>
          <w:p w14:paraId="4F9958ED"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2.0</w:t>
            </w:r>
          </w:p>
        </w:tc>
        <w:tc>
          <w:tcPr>
            <w:tcW w:w="0" w:type="auto"/>
            <w:tcBorders>
              <w:bottom w:val="single" w:sz="4" w:space="0" w:color="auto"/>
            </w:tcBorders>
            <w:vAlign w:val="center"/>
            <w:hideMark/>
          </w:tcPr>
          <w:p w14:paraId="48F56E70" w14:textId="77777777" w:rsidR="00BE4B52" w:rsidRPr="00F24450" w:rsidRDefault="00BE4B52" w:rsidP="003D1C57">
            <w:pPr>
              <w:spacing w:line="360" w:lineRule="auto"/>
              <w:jc w:val="both"/>
              <w:rPr>
                <w:rFonts w:ascii="Garamond" w:hAnsi="Garamond" w:cs="Times New Roman"/>
              </w:rPr>
            </w:pPr>
          </w:p>
        </w:tc>
        <w:tc>
          <w:tcPr>
            <w:tcW w:w="0" w:type="auto"/>
            <w:tcBorders>
              <w:bottom w:val="single" w:sz="4" w:space="0" w:color="auto"/>
            </w:tcBorders>
            <w:vAlign w:val="center"/>
            <w:hideMark/>
          </w:tcPr>
          <w:p w14:paraId="0A9A9F93"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Very few perceive climate risks as extreme.</w:t>
            </w:r>
          </w:p>
        </w:tc>
      </w:tr>
    </w:tbl>
    <w:p w14:paraId="3965DB98" w14:textId="77777777" w:rsidR="00BE4B52" w:rsidRPr="00F24450" w:rsidRDefault="00BE4B52" w:rsidP="003D1C57">
      <w:pPr>
        <w:spacing w:line="360" w:lineRule="auto"/>
        <w:jc w:val="both"/>
        <w:rPr>
          <w:rFonts w:ascii="Garamond" w:hAnsi="Garamond" w:cs="Times New Roman"/>
        </w:rPr>
      </w:pPr>
    </w:p>
    <w:p w14:paraId="13A6214D"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A descriptive analysis was conducted to examine the relationship between socio-economic status (SES) and climate risk, as well as respondents’ perceptions of climate hazards. Chi-square goodness-of-fit tests assessed whether observed distributions differed significantly from uniform distributions across response categories.</w:t>
      </w:r>
    </w:p>
    <w:p w14:paraId="67583A99" w14:textId="015B2D0C" w:rsidR="00BE4B52" w:rsidRPr="00F24450" w:rsidRDefault="00FC0352" w:rsidP="003D1C57">
      <w:pPr>
        <w:spacing w:line="360" w:lineRule="auto"/>
        <w:jc w:val="both"/>
        <w:rPr>
          <w:rFonts w:ascii="Garamond" w:hAnsi="Garamond" w:cs="Times New Roman"/>
        </w:rPr>
      </w:pPr>
      <w:r w:rsidRPr="00F24450">
        <w:rPr>
          <w:rFonts w:ascii="Garamond" w:hAnsi="Garamond" w:cs="Times New Roman"/>
        </w:rPr>
        <w:t>Socio-economic</w:t>
      </w:r>
      <w:r w:rsidR="00BE4B52" w:rsidRPr="00F24450">
        <w:rPr>
          <w:rFonts w:ascii="Garamond" w:hAnsi="Garamond" w:cs="Times New Roman"/>
        </w:rPr>
        <w:t xml:space="preserve"> vulnerability to climate risks results indicate that the distribution of responses indicates uneven socio-economic vulnerability to climate risks within the community. Only 1.0% of respondents reported no impact, whereas 34.5% and 29.1% reported slight and moderate vulnerability, respectively. A substantial proportion of respondents experienced significant (20.2%) or extreme (14.8%) socio-economic impacts. The Chi-square test confirmed that these differences were </w:t>
      </w:r>
      <w:r w:rsidR="00BE4B52" w:rsidRPr="00F24450">
        <w:rPr>
          <w:rFonts w:ascii="Garamond" w:hAnsi="Garamond" w:cs="Times New Roman"/>
        </w:rPr>
        <w:lastRenderedPageBreak/>
        <w:t>statistically significant (χ</w:t>
      </w:r>
      <w:proofErr w:type="gramStart"/>
      <w:r w:rsidR="00BE4B52" w:rsidRPr="00F24450">
        <w:rPr>
          <w:rFonts w:ascii="Garamond" w:hAnsi="Garamond" w:cs="Times New Roman"/>
        </w:rPr>
        <w:t>²(</w:t>
      </w:r>
      <w:proofErr w:type="gramEnd"/>
      <w:r w:rsidR="00BE4B52" w:rsidRPr="00F24450">
        <w:rPr>
          <w:rFonts w:ascii="Garamond" w:hAnsi="Garamond" w:cs="Times New Roman"/>
        </w:rPr>
        <w:t>4) = 63.8, p &lt; 0.001), demonstrating that climate-related risks disproportionately affect certain socio-economic groups. These results highlight inequality in exposure and sensitivity, with a sizable minority facing severe socio-economic impacts that threaten livelihoods, housing, and well-being.</w:t>
      </w:r>
    </w:p>
    <w:p w14:paraId="3ECCDF31"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on perception of climate risks,</w:t>
      </w:r>
      <w:r w:rsidRPr="00F24450">
        <w:rPr>
          <w:rFonts w:ascii="Garamond" w:hAnsi="Garamond" w:cs="Times New Roman"/>
          <w:b/>
          <w:bCs/>
        </w:rPr>
        <w:t xml:space="preserve"> r</w:t>
      </w:r>
      <w:r w:rsidRPr="00F24450">
        <w:rPr>
          <w:rFonts w:ascii="Garamond" w:hAnsi="Garamond" w:cs="Times New Roman"/>
        </w:rPr>
        <w:t>espondents’ concern regarding climate risks also varied significantly. Most respondents reported slight (57.6%) or moderate (29.6%) concern, while fewer indicated being very concerned (9.4%) or extremely concerned (2.0%). Only 1.5% reported no concern. The Chi-square test showed a highly significant skew in responses (χ</w:t>
      </w:r>
      <w:proofErr w:type="gramStart"/>
      <w:r w:rsidRPr="00F24450">
        <w:rPr>
          <w:rFonts w:ascii="Garamond" w:hAnsi="Garamond" w:cs="Times New Roman"/>
        </w:rPr>
        <w:t>²(</w:t>
      </w:r>
      <w:proofErr w:type="gramEnd"/>
      <w:r w:rsidRPr="00F24450">
        <w:rPr>
          <w:rFonts w:ascii="Garamond" w:hAnsi="Garamond" w:cs="Times New Roman"/>
        </w:rPr>
        <w:t>4) = 148.9, p &lt; 0.001), indicating that awareness of climate hazards is widespread but predominantly at low to moderate levels. This pattern suggests that while climate risks are recognized, the intensity of concern is insufficient among most residents, potentially limiting proactive preparedness and adaptive action. The findings demonstrate that climate vulnerability is socially differentiated: lower socio-economic groups experience disproportionately higher impacts. Simultaneously, risk perception does not fully align with actual exposure, with moderate concern prevailing despite substantial socio-economic vulnerability. This gap between perceived and actual risk may constrain effective community adaptation.</w:t>
      </w:r>
    </w:p>
    <w:p w14:paraId="549B2BF2"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Implications of this is that targeted awareness campaigns should tailor communication to raise awareness among households facing significant or extreme vulnerability. Equity-focused adaptation should prioritize interventions for socio-economically disadvantaged groups, including access to climate-resilient infrastructure, financial support, and livelihood safeguards while bridging perception and exposure should strengthen risk communication and community engagement to align perceived and actual vulnerability, enhancing readiness and resilience.</w:t>
      </w:r>
    </w:p>
    <w:p w14:paraId="5FF1D840"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In summary, SES significantly shapes exposure to climate risks, with 34.5%–14.8% of respondents experiencing moderate to extreme vulnerability. Concern about climate risks is widespread but concentrated at low to moderate levels, indicating incomplete risk perception. Chi-square results confirm that both socio-economic vulnerability and risk perception are unevenly distributed, underscoring the need for targeted, equity-focused interventions to strengthen climate resilience.</w:t>
      </w:r>
    </w:p>
    <w:p w14:paraId="5C01FA52" w14:textId="7CA5FCEA" w:rsidR="00BE4B52" w:rsidRPr="00F24450" w:rsidRDefault="005C1F23" w:rsidP="003D1C57">
      <w:pPr>
        <w:spacing w:line="360" w:lineRule="auto"/>
        <w:jc w:val="both"/>
        <w:rPr>
          <w:rFonts w:ascii="Garamond" w:hAnsi="Garamond" w:cs="Times New Roman"/>
          <w:b/>
          <w:bCs/>
        </w:rPr>
      </w:pPr>
      <w:r>
        <w:rPr>
          <w:rFonts w:ascii="Garamond" w:hAnsi="Garamond" w:cs="Times New Roman"/>
          <w:b/>
          <w:bCs/>
        </w:rPr>
        <w:t>4.7</w:t>
      </w:r>
      <w:r w:rsidR="00BE4B52" w:rsidRPr="00F24450">
        <w:rPr>
          <w:rFonts w:ascii="Garamond" w:hAnsi="Garamond" w:cs="Times New Roman"/>
          <w:b/>
          <w:bCs/>
        </w:rPr>
        <w:t>. Experience of Climate-Related Impacts</w:t>
      </w:r>
    </w:p>
    <w:p w14:paraId="52ED0B48" w14:textId="0368477C"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 xml:space="preserve">Climate-Related Impacts &amp; coping and adaptation strategy were presented in Table </w:t>
      </w:r>
      <w:r w:rsidR="000B01C8">
        <w:rPr>
          <w:rFonts w:ascii="Garamond" w:hAnsi="Garamond" w:cs="Times New Roman"/>
        </w:rPr>
        <w:t>8</w:t>
      </w:r>
    </w:p>
    <w:p w14:paraId="67E19847" w14:textId="77777777" w:rsidR="004E0A1E" w:rsidRDefault="004E0A1E" w:rsidP="004E0A1E">
      <w:pPr>
        <w:pStyle w:val="MyTable"/>
        <w:rPr>
          <w:rStyle w:val="Strong"/>
          <w:b/>
          <w:bCs/>
        </w:rPr>
      </w:pPr>
    </w:p>
    <w:p w14:paraId="6AD6ADC8" w14:textId="30592B5F" w:rsidR="00BE4B52" w:rsidRPr="004E0A1E" w:rsidRDefault="00BE4B52" w:rsidP="004E0A1E">
      <w:pPr>
        <w:pStyle w:val="MyTable"/>
      </w:pPr>
      <w:r w:rsidRPr="004E0A1E">
        <w:rPr>
          <w:rStyle w:val="Strong"/>
          <w:b/>
          <w:bCs/>
        </w:rPr>
        <w:lastRenderedPageBreak/>
        <w:t xml:space="preserve">Table </w:t>
      </w:r>
      <w:r w:rsidR="004E0A1E" w:rsidRPr="004E0A1E">
        <w:rPr>
          <w:rStyle w:val="Strong"/>
          <w:b/>
          <w:bCs/>
        </w:rPr>
        <w:t>8</w:t>
      </w:r>
      <w:r w:rsidRPr="004E0A1E">
        <w:rPr>
          <w:rStyle w:val="Strong"/>
          <w:b/>
          <w:bCs/>
        </w:rPr>
        <w:t>:</w:t>
      </w:r>
      <w:r w:rsidRPr="004E0A1E">
        <w:t xml:space="preserve"> Climate-Related Impacts &amp; coping and adaptation strategy </w:t>
      </w:r>
    </w:p>
    <w:tbl>
      <w:tblPr>
        <w:tblW w:w="8984" w:type="dxa"/>
        <w:tblInd w:w="-20" w:type="dxa"/>
        <w:tblLayout w:type="fixed"/>
        <w:tblCellMar>
          <w:left w:w="0" w:type="dxa"/>
          <w:right w:w="0" w:type="dxa"/>
        </w:tblCellMar>
        <w:tblLook w:val="0000" w:firstRow="0" w:lastRow="0" w:firstColumn="0" w:lastColumn="0" w:noHBand="0" w:noVBand="0"/>
      </w:tblPr>
      <w:tblGrid>
        <w:gridCol w:w="3345"/>
        <w:gridCol w:w="2891"/>
        <w:gridCol w:w="2748"/>
      </w:tblGrid>
      <w:tr w:rsidR="00BE4B52" w:rsidRPr="00F24450" w14:paraId="1389F2CD" w14:textId="77777777" w:rsidTr="00BE4B52">
        <w:trPr>
          <w:cantSplit/>
          <w:trHeight w:val="524"/>
        </w:trPr>
        <w:tc>
          <w:tcPr>
            <w:tcW w:w="3345" w:type="dxa"/>
            <w:tcBorders>
              <w:top w:val="single" w:sz="4" w:space="0" w:color="auto"/>
              <w:bottom w:val="single" w:sz="4" w:space="0" w:color="auto"/>
            </w:tcBorders>
            <w:shd w:val="clear" w:color="auto" w:fill="FFFFFF"/>
          </w:tcPr>
          <w:p w14:paraId="48D5CFAF" w14:textId="77777777" w:rsidR="00BE4B52" w:rsidRPr="00F24450" w:rsidRDefault="00BE4B52" w:rsidP="003D1C57">
            <w:pPr>
              <w:spacing w:line="360" w:lineRule="auto"/>
              <w:jc w:val="both"/>
              <w:rPr>
                <w:rFonts w:ascii="Garamond" w:hAnsi="Garamond" w:cs="Times New Roman"/>
                <w:b/>
              </w:rPr>
            </w:pPr>
            <w:r w:rsidRPr="00F24450">
              <w:rPr>
                <w:rFonts w:ascii="Garamond" w:hAnsi="Garamond" w:cs="Times New Roman"/>
                <w:b/>
                <w:bCs/>
              </w:rPr>
              <w:t>Climate-Related Impacts</w:t>
            </w:r>
          </w:p>
        </w:tc>
        <w:tc>
          <w:tcPr>
            <w:tcW w:w="2891" w:type="dxa"/>
            <w:tcBorders>
              <w:top w:val="single" w:sz="4" w:space="0" w:color="auto"/>
              <w:bottom w:val="single" w:sz="4" w:space="0" w:color="auto"/>
            </w:tcBorders>
            <w:shd w:val="clear" w:color="auto" w:fill="FFFFFF"/>
            <w:vAlign w:val="bottom"/>
          </w:tcPr>
          <w:p w14:paraId="4D8D5A7E" w14:textId="77777777" w:rsidR="00BE4B52" w:rsidRPr="00F24450" w:rsidRDefault="00BE4B52" w:rsidP="003D1C57">
            <w:pPr>
              <w:spacing w:line="360" w:lineRule="auto"/>
              <w:jc w:val="both"/>
              <w:rPr>
                <w:rFonts w:ascii="Garamond" w:hAnsi="Garamond" w:cs="Times New Roman"/>
                <w:b/>
              </w:rPr>
            </w:pPr>
            <w:r w:rsidRPr="00F24450">
              <w:rPr>
                <w:rFonts w:ascii="Garamond" w:hAnsi="Garamond" w:cs="Times New Roman"/>
                <w:b/>
              </w:rPr>
              <w:t>Frequency</w:t>
            </w:r>
          </w:p>
        </w:tc>
        <w:tc>
          <w:tcPr>
            <w:tcW w:w="2748" w:type="dxa"/>
            <w:tcBorders>
              <w:top w:val="single" w:sz="4" w:space="0" w:color="auto"/>
              <w:bottom w:val="single" w:sz="4" w:space="0" w:color="auto"/>
            </w:tcBorders>
            <w:shd w:val="clear" w:color="auto" w:fill="FFFFFF"/>
            <w:vAlign w:val="bottom"/>
          </w:tcPr>
          <w:p w14:paraId="42D57F85" w14:textId="77777777" w:rsidR="00BE4B52" w:rsidRPr="00F24450" w:rsidRDefault="00BE4B52" w:rsidP="003D1C57">
            <w:pPr>
              <w:spacing w:line="360" w:lineRule="auto"/>
              <w:jc w:val="both"/>
              <w:rPr>
                <w:rFonts w:ascii="Garamond" w:hAnsi="Garamond" w:cs="Times New Roman"/>
                <w:b/>
              </w:rPr>
            </w:pPr>
            <w:r w:rsidRPr="00F24450">
              <w:rPr>
                <w:rFonts w:ascii="Garamond" w:hAnsi="Garamond" w:cs="Times New Roman"/>
                <w:b/>
              </w:rPr>
              <w:t>Percent (%)</w:t>
            </w:r>
          </w:p>
        </w:tc>
      </w:tr>
      <w:tr w:rsidR="00BE4B52" w:rsidRPr="00F24450" w14:paraId="6EA031FD" w14:textId="77777777" w:rsidTr="00BE4B52">
        <w:trPr>
          <w:cantSplit/>
          <w:trHeight w:val="541"/>
        </w:trPr>
        <w:tc>
          <w:tcPr>
            <w:tcW w:w="3345" w:type="dxa"/>
            <w:tcBorders>
              <w:top w:val="single" w:sz="4" w:space="0" w:color="auto"/>
            </w:tcBorders>
            <w:shd w:val="clear" w:color="auto" w:fill="FFFFFF"/>
          </w:tcPr>
          <w:p w14:paraId="2E346203"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Never</w:t>
            </w:r>
          </w:p>
        </w:tc>
        <w:tc>
          <w:tcPr>
            <w:tcW w:w="2891" w:type="dxa"/>
            <w:tcBorders>
              <w:top w:val="single" w:sz="4" w:space="0" w:color="auto"/>
            </w:tcBorders>
            <w:shd w:val="clear" w:color="auto" w:fill="FFFFFF"/>
            <w:vAlign w:val="center"/>
          </w:tcPr>
          <w:p w14:paraId="2AA0E821"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2</w:t>
            </w:r>
          </w:p>
        </w:tc>
        <w:tc>
          <w:tcPr>
            <w:tcW w:w="2748" w:type="dxa"/>
            <w:tcBorders>
              <w:top w:val="single" w:sz="4" w:space="0" w:color="auto"/>
            </w:tcBorders>
            <w:shd w:val="clear" w:color="auto" w:fill="FFFFFF"/>
            <w:vAlign w:val="center"/>
          </w:tcPr>
          <w:p w14:paraId="79F6080F"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1.0</w:t>
            </w:r>
          </w:p>
        </w:tc>
      </w:tr>
      <w:tr w:rsidR="00BE4B52" w:rsidRPr="00F24450" w14:paraId="55AFB20D" w14:textId="77777777" w:rsidTr="00BE4B52">
        <w:trPr>
          <w:cantSplit/>
          <w:trHeight w:val="541"/>
        </w:trPr>
        <w:tc>
          <w:tcPr>
            <w:tcW w:w="3345" w:type="dxa"/>
            <w:shd w:val="clear" w:color="auto" w:fill="FFFFFF"/>
          </w:tcPr>
          <w:p w14:paraId="12AAB192"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Rarely</w:t>
            </w:r>
          </w:p>
        </w:tc>
        <w:tc>
          <w:tcPr>
            <w:tcW w:w="2891" w:type="dxa"/>
            <w:shd w:val="clear" w:color="auto" w:fill="FFFFFF"/>
            <w:vAlign w:val="center"/>
          </w:tcPr>
          <w:p w14:paraId="396AEEDA"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100</w:t>
            </w:r>
          </w:p>
        </w:tc>
        <w:tc>
          <w:tcPr>
            <w:tcW w:w="2748" w:type="dxa"/>
            <w:shd w:val="clear" w:color="auto" w:fill="FFFFFF"/>
            <w:vAlign w:val="center"/>
          </w:tcPr>
          <w:p w14:paraId="5659FF9B"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50</w:t>
            </w:r>
          </w:p>
        </w:tc>
      </w:tr>
      <w:tr w:rsidR="00BE4B52" w:rsidRPr="00F24450" w14:paraId="0C7FE9A2" w14:textId="77777777" w:rsidTr="00BE4B52">
        <w:trPr>
          <w:cantSplit/>
          <w:trHeight w:val="541"/>
        </w:trPr>
        <w:tc>
          <w:tcPr>
            <w:tcW w:w="3345" w:type="dxa"/>
            <w:shd w:val="clear" w:color="auto" w:fill="FFFFFF"/>
          </w:tcPr>
          <w:p w14:paraId="504E8745"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Occasionally</w:t>
            </w:r>
          </w:p>
        </w:tc>
        <w:tc>
          <w:tcPr>
            <w:tcW w:w="2891" w:type="dxa"/>
            <w:shd w:val="clear" w:color="auto" w:fill="FFFFFF"/>
            <w:vAlign w:val="center"/>
          </w:tcPr>
          <w:p w14:paraId="6FA84724"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63</w:t>
            </w:r>
          </w:p>
        </w:tc>
        <w:tc>
          <w:tcPr>
            <w:tcW w:w="2748" w:type="dxa"/>
            <w:shd w:val="clear" w:color="auto" w:fill="FFFFFF"/>
            <w:vAlign w:val="center"/>
          </w:tcPr>
          <w:p w14:paraId="25BE318E"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31.0</w:t>
            </w:r>
          </w:p>
        </w:tc>
      </w:tr>
      <w:tr w:rsidR="00BE4B52" w:rsidRPr="00F24450" w14:paraId="619DF912" w14:textId="77777777" w:rsidTr="00BE4B52">
        <w:trPr>
          <w:cantSplit/>
          <w:trHeight w:val="541"/>
        </w:trPr>
        <w:tc>
          <w:tcPr>
            <w:tcW w:w="3345" w:type="dxa"/>
            <w:shd w:val="clear" w:color="auto" w:fill="FFFFFF"/>
          </w:tcPr>
          <w:p w14:paraId="2232A58C"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Frequently</w:t>
            </w:r>
          </w:p>
        </w:tc>
        <w:tc>
          <w:tcPr>
            <w:tcW w:w="2891" w:type="dxa"/>
            <w:shd w:val="clear" w:color="auto" w:fill="FFFFFF"/>
            <w:vAlign w:val="center"/>
          </w:tcPr>
          <w:p w14:paraId="0C05C075"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37</w:t>
            </w:r>
          </w:p>
        </w:tc>
        <w:tc>
          <w:tcPr>
            <w:tcW w:w="2748" w:type="dxa"/>
            <w:shd w:val="clear" w:color="auto" w:fill="FFFFFF"/>
            <w:vAlign w:val="center"/>
          </w:tcPr>
          <w:p w14:paraId="53B4FEC0"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18.5</w:t>
            </w:r>
          </w:p>
        </w:tc>
      </w:tr>
      <w:tr w:rsidR="00BE4B52" w:rsidRPr="00F24450" w14:paraId="3B573BEA" w14:textId="77777777" w:rsidTr="00BE4B52">
        <w:trPr>
          <w:cantSplit/>
          <w:trHeight w:val="524"/>
        </w:trPr>
        <w:tc>
          <w:tcPr>
            <w:tcW w:w="3345" w:type="dxa"/>
            <w:tcBorders>
              <w:bottom w:val="single" w:sz="4" w:space="0" w:color="auto"/>
            </w:tcBorders>
            <w:shd w:val="clear" w:color="auto" w:fill="FFFFFF"/>
          </w:tcPr>
          <w:p w14:paraId="046901E8"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Very frequently</w:t>
            </w:r>
          </w:p>
        </w:tc>
        <w:tc>
          <w:tcPr>
            <w:tcW w:w="2891" w:type="dxa"/>
            <w:tcBorders>
              <w:bottom w:val="single" w:sz="4" w:space="0" w:color="auto"/>
            </w:tcBorders>
            <w:shd w:val="clear" w:color="auto" w:fill="FFFFFF"/>
            <w:vAlign w:val="center"/>
          </w:tcPr>
          <w:p w14:paraId="4B7AD701"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20</w:t>
            </w:r>
          </w:p>
        </w:tc>
        <w:tc>
          <w:tcPr>
            <w:tcW w:w="2748" w:type="dxa"/>
            <w:tcBorders>
              <w:bottom w:val="single" w:sz="4" w:space="0" w:color="auto"/>
            </w:tcBorders>
            <w:shd w:val="clear" w:color="auto" w:fill="FFFFFF"/>
            <w:vAlign w:val="center"/>
          </w:tcPr>
          <w:p w14:paraId="42972445"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10</w:t>
            </w:r>
          </w:p>
        </w:tc>
      </w:tr>
      <w:tr w:rsidR="00BE4B52" w:rsidRPr="00F24450" w14:paraId="64E7F3D3" w14:textId="77777777" w:rsidTr="00BE4B52">
        <w:trPr>
          <w:cantSplit/>
          <w:trHeight w:val="524"/>
        </w:trPr>
        <w:tc>
          <w:tcPr>
            <w:tcW w:w="3345" w:type="dxa"/>
            <w:tcBorders>
              <w:top w:val="single" w:sz="4" w:space="0" w:color="auto"/>
              <w:bottom w:val="single" w:sz="4" w:space="0" w:color="auto"/>
            </w:tcBorders>
            <w:shd w:val="clear" w:color="auto" w:fill="FFFFFF"/>
          </w:tcPr>
          <w:p w14:paraId="1CA2597A" w14:textId="77777777" w:rsidR="00BE4B52" w:rsidRPr="00F24450" w:rsidRDefault="00BE4B52" w:rsidP="003D1C57">
            <w:pPr>
              <w:spacing w:line="360" w:lineRule="auto"/>
              <w:jc w:val="both"/>
              <w:rPr>
                <w:rFonts w:ascii="Garamond" w:hAnsi="Garamond" w:cs="Times New Roman"/>
                <w:b/>
              </w:rPr>
            </w:pPr>
            <w:r w:rsidRPr="00F24450">
              <w:rPr>
                <w:rFonts w:ascii="Garamond" w:hAnsi="Garamond" w:cs="Times New Roman"/>
                <w:b/>
              </w:rPr>
              <w:t>Coping and Adaptation Strategies</w:t>
            </w:r>
          </w:p>
        </w:tc>
        <w:tc>
          <w:tcPr>
            <w:tcW w:w="2891" w:type="dxa"/>
            <w:tcBorders>
              <w:top w:val="single" w:sz="4" w:space="0" w:color="auto"/>
              <w:bottom w:val="single" w:sz="4" w:space="0" w:color="auto"/>
            </w:tcBorders>
            <w:shd w:val="clear" w:color="auto" w:fill="FFFFFF"/>
            <w:vAlign w:val="center"/>
          </w:tcPr>
          <w:p w14:paraId="1B4F4C27" w14:textId="77777777" w:rsidR="00BE4B52" w:rsidRPr="00F24450" w:rsidRDefault="00BE4B52" w:rsidP="003D1C57">
            <w:pPr>
              <w:spacing w:line="360" w:lineRule="auto"/>
              <w:jc w:val="both"/>
              <w:rPr>
                <w:rFonts w:ascii="Garamond" w:hAnsi="Garamond" w:cs="Times New Roman"/>
                <w:b/>
              </w:rPr>
            </w:pPr>
            <w:r w:rsidRPr="00F24450">
              <w:rPr>
                <w:rFonts w:ascii="Garamond" w:hAnsi="Garamond" w:cs="Times New Roman"/>
                <w:b/>
              </w:rPr>
              <w:t>Frequency</w:t>
            </w:r>
          </w:p>
        </w:tc>
        <w:tc>
          <w:tcPr>
            <w:tcW w:w="2748" w:type="dxa"/>
            <w:tcBorders>
              <w:top w:val="single" w:sz="4" w:space="0" w:color="auto"/>
              <w:bottom w:val="single" w:sz="4" w:space="0" w:color="auto"/>
            </w:tcBorders>
            <w:shd w:val="clear" w:color="auto" w:fill="FFFFFF"/>
            <w:vAlign w:val="center"/>
          </w:tcPr>
          <w:p w14:paraId="4C293BCD" w14:textId="77777777" w:rsidR="00BE4B52" w:rsidRPr="00F24450" w:rsidRDefault="00BE4B52" w:rsidP="003D1C57">
            <w:pPr>
              <w:spacing w:line="360" w:lineRule="auto"/>
              <w:jc w:val="both"/>
              <w:rPr>
                <w:rFonts w:ascii="Garamond" w:hAnsi="Garamond" w:cs="Times New Roman"/>
                <w:b/>
              </w:rPr>
            </w:pPr>
            <w:r w:rsidRPr="00F24450">
              <w:rPr>
                <w:rFonts w:ascii="Garamond" w:hAnsi="Garamond" w:cs="Times New Roman"/>
                <w:b/>
              </w:rPr>
              <w:t>Percent (%)</w:t>
            </w:r>
          </w:p>
        </w:tc>
      </w:tr>
      <w:tr w:rsidR="00BE4B52" w:rsidRPr="00F24450" w14:paraId="032D2298" w14:textId="77777777" w:rsidTr="00BE4B52">
        <w:trPr>
          <w:cantSplit/>
          <w:trHeight w:val="524"/>
        </w:trPr>
        <w:tc>
          <w:tcPr>
            <w:tcW w:w="3345" w:type="dxa"/>
            <w:tcBorders>
              <w:top w:val="single" w:sz="4" w:space="0" w:color="auto"/>
            </w:tcBorders>
            <w:shd w:val="clear" w:color="auto" w:fill="FFFFFF"/>
          </w:tcPr>
          <w:p w14:paraId="3181C304"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Not at all</w:t>
            </w:r>
          </w:p>
        </w:tc>
        <w:tc>
          <w:tcPr>
            <w:tcW w:w="2891" w:type="dxa"/>
            <w:tcBorders>
              <w:top w:val="single" w:sz="4" w:space="0" w:color="auto"/>
            </w:tcBorders>
            <w:shd w:val="clear" w:color="auto" w:fill="FFFFFF"/>
            <w:vAlign w:val="center"/>
          </w:tcPr>
          <w:p w14:paraId="5A23305E"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10</w:t>
            </w:r>
          </w:p>
        </w:tc>
        <w:tc>
          <w:tcPr>
            <w:tcW w:w="2748" w:type="dxa"/>
            <w:tcBorders>
              <w:top w:val="single" w:sz="4" w:space="0" w:color="auto"/>
            </w:tcBorders>
            <w:shd w:val="clear" w:color="auto" w:fill="FFFFFF"/>
            <w:vAlign w:val="center"/>
          </w:tcPr>
          <w:p w14:paraId="13035DAB"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5.0</w:t>
            </w:r>
          </w:p>
        </w:tc>
      </w:tr>
      <w:tr w:rsidR="00BE4B52" w:rsidRPr="00F24450" w14:paraId="2BFFFC80" w14:textId="77777777" w:rsidTr="00BE4B52">
        <w:trPr>
          <w:cantSplit/>
          <w:trHeight w:val="524"/>
        </w:trPr>
        <w:tc>
          <w:tcPr>
            <w:tcW w:w="3345" w:type="dxa"/>
            <w:shd w:val="clear" w:color="auto" w:fill="FFFFFF"/>
          </w:tcPr>
          <w:p w14:paraId="7594E0E8"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Slightly</w:t>
            </w:r>
          </w:p>
        </w:tc>
        <w:tc>
          <w:tcPr>
            <w:tcW w:w="2891" w:type="dxa"/>
            <w:shd w:val="clear" w:color="auto" w:fill="FFFFFF"/>
            <w:vAlign w:val="center"/>
          </w:tcPr>
          <w:p w14:paraId="6B850D41"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80</w:t>
            </w:r>
          </w:p>
        </w:tc>
        <w:tc>
          <w:tcPr>
            <w:tcW w:w="2748" w:type="dxa"/>
            <w:shd w:val="clear" w:color="auto" w:fill="FFFFFF"/>
            <w:vAlign w:val="center"/>
          </w:tcPr>
          <w:p w14:paraId="6A5A79CF"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40.0</w:t>
            </w:r>
          </w:p>
        </w:tc>
      </w:tr>
      <w:tr w:rsidR="00BE4B52" w:rsidRPr="00F24450" w14:paraId="6C06BC1E" w14:textId="77777777" w:rsidTr="00BE4B52">
        <w:trPr>
          <w:cantSplit/>
          <w:trHeight w:val="524"/>
        </w:trPr>
        <w:tc>
          <w:tcPr>
            <w:tcW w:w="3345" w:type="dxa"/>
            <w:shd w:val="clear" w:color="auto" w:fill="FFFFFF"/>
          </w:tcPr>
          <w:p w14:paraId="16868F79"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Moderately</w:t>
            </w:r>
          </w:p>
        </w:tc>
        <w:tc>
          <w:tcPr>
            <w:tcW w:w="2891" w:type="dxa"/>
            <w:shd w:val="clear" w:color="auto" w:fill="FFFFFF"/>
            <w:vAlign w:val="center"/>
          </w:tcPr>
          <w:p w14:paraId="433AC7AF"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68</w:t>
            </w:r>
          </w:p>
        </w:tc>
        <w:tc>
          <w:tcPr>
            <w:tcW w:w="2748" w:type="dxa"/>
            <w:shd w:val="clear" w:color="auto" w:fill="FFFFFF"/>
            <w:vAlign w:val="center"/>
          </w:tcPr>
          <w:p w14:paraId="410B5D4A"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33.5</w:t>
            </w:r>
          </w:p>
        </w:tc>
      </w:tr>
      <w:tr w:rsidR="00BE4B52" w:rsidRPr="00F24450" w14:paraId="22D31D53" w14:textId="77777777" w:rsidTr="00BE4B52">
        <w:trPr>
          <w:cantSplit/>
          <w:trHeight w:val="524"/>
        </w:trPr>
        <w:tc>
          <w:tcPr>
            <w:tcW w:w="3345" w:type="dxa"/>
            <w:shd w:val="clear" w:color="auto" w:fill="FFFFFF"/>
          </w:tcPr>
          <w:p w14:paraId="596BBBBD"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Significantly</w:t>
            </w:r>
          </w:p>
        </w:tc>
        <w:tc>
          <w:tcPr>
            <w:tcW w:w="2891" w:type="dxa"/>
            <w:shd w:val="clear" w:color="auto" w:fill="FFFFFF"/>
            <w:vAlign w:val="center"/>
          </w:tcPr>
          <w:p w14:paraId="150E30C8"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32</w:t>
            </w:r>
          </w:p>
        </w:tc>
        <w:tc>
          <w:tcPr>
            <w:tcW w:w="2748" w:type="dxa"/>
            <w:shd w:val="clear" w:color="auto" w:fill="FFFFFF"/>
            <w:vAlign w:val="center"/>
          </w:tcPr>
          <w:p w14:paraId="5C722A71"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16</w:t>
            </w:r>
          </w:p>
        </w:tc>
      </w:tr>
      <w:tr w:rsidR="00BE4B52" w:rsidRPr="00F24450" w14:paraId="0510E39E" w14:textId="77777777" w:rsidTr="00BE4B52">
        <w:trPr>
          <w:cantSplit/>
          <w:trHeight w:val="524"/>
        </w:trPr>
        <w:tc>
          <w:tcPr>
            <w:tcW w:w="3345" w:type="dxa"/>
            <w:tcBorders>
              <w:bottom w:val="single" w:sz="4" w:space="0" w:color="auto"/>
            </w:tcBorders>
            <w:shd w:val="clear" w:color="auto" w:fill="FFFFFF"/>
          </w:tcPr>
          <w:p w14:paraId="1818BEB0"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Fully</w:t>
            </w:r>
          </w:p>
        </w:tc>
        <w:tc>
          <w:tcPr>
            <w:tcW w:w="2891" w:type="dxa"/>
            <w:tcBorders>
              <w:bottom w:val="single" w:sz="4" w:space="0" w:color="auto"/>
            </w:tcBorders>
            <w:shd w:val="clear" w:color="auto" w:fill="FFFFFF"/>
            <w:vAlign w:val="center"/>
          </w:tcPr>
          <w:p w14:paraId="08582EFF"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10</w:t>
            </w:r>
          </w:p>
        </w:tc>
        <w:tc>
          <w:tcPr>
            <w:tcW w:w="2748" w:type="dxa"/>
            <w:tcBorders>
              <w:bottom w:val="single" w:sz="4" w:space="0" w:color="auto"/>
            </w:tcBorders>
            <w:shd w:val="clear" w:color="auto" w:fill="FFFFFF"/>
            <w:vAlign w:val="center"/>
          </w:tcPr>
          <w:p w14:paraId="3A0FA3EF"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10</w:t>
            </w:r>
          </w:p>
        </w:tc>
      </w:tr>
    </w:tbl>
    <w:p w14:paraId="73F8C510" w14:textId="77777777" w:rsidR="00BE4B52" w:rsidRPr="00F24450" w:rsidRDefault="00BE4B52" w:rsidP="003D1C57">
      <w:pPr>
        <w:spacing w:line="360" w:lineRule="auto"/>
        <w:jc w:val="both"/>
        <w:rPr>
          <w:rFonts w:ascii="Garamond" w:hAnsi="Garamond" w:cs="Times New Roman"/>
          <w:b/>
          <w:bCs/>
        </w:rPr>
      </w:pPr>
    </w:p>
    <w:p w14:paraId="29ACFE82"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A descriptive statistical analysis was conducted to assess the frequency of climate-related impacts and the extent of household coping and adaptation strategies. Chi-square goodness-of-fit tests were used to evaluate whether observed distributions differed significantly from uniform expectations.</w:t>
      </w:r>
    </w:p>
    <w:p w14:paraId="6CAC9944" w14:textId="0A873A85" w:rsidR="00BE4B52" w:rsidRPr="00F24450" w:rsidRDefault="00FC0352" w:rsidP="003D1C57">
      <w:pPr>
        <w:spacing w:line="360" w:lineRule="auto"/>
        <w:jc w:val="both"/>
        <w:rPr>
          <w:rFonts w:ascii="Garamond" w:hAnsi="Garamond" w:cs="Times New Roman"/>
        </w:rPr>
      </w:pPr>
      <w:r w:rsidRPr="00F24450">
        <w:rPr>
          <w:rFonts w:ascii="Garamond" w:hAnsi="Garamond" w:cs="Times New Roman"/>
        </w:rPr>
        <w:t>Climate-related</w:t>
      </w:r>
      <w:r w:rsidR="00BE4B52" w:rsidRPr="00F24450">
        <w:rPr>
          <w:rFonts w:ascii="Garamond" w:hAnsi="Garamond" w:cs="Times New Roman"/>
        </w:rPr>
        <w:t xml:space="preserve"> impacts results indicate that climate-related impacts are widely experienced among respondents, though mostly at low to moderate frequencies. Approximately 50.0% reported experiencing impacts rarely, 31.0% occasionally, 18.5% frequently, and 10.0% very frequently, with only 1.0% reporting no impacts. The distribution of responses was statistically significant (χ</w:t>
      </w:r>
      <w:proofErr w:type="gramStart"/>
      <w:r w:rsidR="00BE4B52" w:rsidRPr="00F24450">
        <w:rPr>
          <w:rFonts w:ascii="Garamond" w:hAnsi="Garamond" w:cs="Times New Roman"/>
        </w:rPr>
        <w:t>²(</w:t>
      </w:r>
      <w:proofErr w:type="gramEnd"/>
      <w:r w:rsidR="00BE4B52" w:rsidRPr="00F24450">
        <w:rPr>
          <w:rFonts w:ascii="Garamond" w:hAnsi="Garamond" w:cs="Times New Roman"/>
        </w:rPr>
        <w:t>4) = 117.2, p &lt; 0.001), indicating uneven exposure across households. The impact experience score (weighted mean) was (\bar{X}_{impacts} \approx. 3.5 / 5), reflecting that climate change is already producing measurable livelihood, income, and health losses rather than representing solely a future risk.</w:t>
      </w:r>
    </w:p>
    <w:p w14:paraId="3480AFF4" w14:textId="586A508F" w:rsidR="00BE4B52" w:rsidRPr="00F24450" w:rsidRDefault="00842961" w:rsidP="003D1C57">
      <w:pPr>
        <w:spacing w:line="360" w:lineRule="auto"/>
        <w:jc w:val="both"/>
        <w:rPr>
          <w:rFonts w:ascii="Garamond" w:hAnsi="Garamond" w:cs="Times New Roman"/>
        </w:rPr>
      </w:pPr>
      <w:r w:rsidRPr="00F24450">
        <w:rPr>
          <w:rFonts w:ascii="Garamond" w:hAnsi="Garamond" w:cs="Times New Roman"/>
        </w:rPr>
        <w:lastRenderedPageBreak/>
        <w:t>Coping</w:t>
      </w:r>
      <w:r w:rsidR="00BE4B52" w:rsidRPr="00F24450">
        <w:rPr>
          <w:rFonts w:ascii="Garamond" w:hAnsi="Garamond" w:cs="Times New Roman"/>
        </w:rPr>
        <w:t xml:space="preserve"> and adaptation strategies, engagement in coping and adaptation strategies was generally low to moderate. Most respondents reported slight (40.0%) or moderate (33.5%) adoption, while 16.0% reported significant use, 10.0% full adoption, and 5.0% no engagement. The Chi-square test confirmed a statistically significant skew in engagement levels (χ</w:t>
      </w:r>
      <w:proofErr w:type="gramStart"/>
      <w:r w:rsidR="00BE4B52" w:rsidRPr="00F24450">
        <w:rPr>
          <w:rFonts w:ascii="Garamond" w:hAnsi="Garamond" w:cs="Times New Roman"/>
        </w:rPr>
        <w:t>²(</w:t>
      </w:r>
      <w:proofErr w:type="gramEnd"/>
      <w:r w:rsidR="00BE4B52" w:rsidRPr="00F24450">
        <w:rPr>
          <w:rFonts w:ascii="Garamond" w:hAnsi="Garamond" w:cs="Times New Roman"/>
        </w:rPr>
        <w:t>4) = 64.5, p &lt; 0.001), with a weighted mean score of (\</w:t>
      </w:r>
      <w:r w:rsidR="00AB26CA" w:rsidRPr="00F24450">
        <w:rPr>
          <w:rFonts w:ascii="Garamond" w:hAnsi="Garamond" w:cs="Times New Roman"/>
        </w:rPr>
        <w:t>text {</w:t>
      </w:r>
      <w:r w:rsidR="00BE4B52" w:rsidRPr="00F24450">
        <w:rPr>
          <w:rFonts w:ascii="Garamond" w:hAnsi="Garamond" w:cs="Times New Roman"/>
        </w:rPr>
        <w:t>WMS} \</w:t>
      </w:r>
      <w:r w:rsidR="000B01C8" w:rsidRPr="00F24450">
        <w:rPr>
          <w:rFonts w:ascii="Garamond" w:hAnsi="Garamond" w:cs="Times New Roman"/>
        </w:rPr>
        <w:t>approx.</w:t>
      </w:r>
      <w:r w:rsidR="00BE4B52" w:rsidRPr="00F24450">
        <w:rPr>
          <w:rFonts w:ascii="Garamond" w:hAnsi="Garamond" w:cs="Times New Roman"/>
        </w:rPr>
        <w:t xml:space="preserve"> 2.9 / 5). This suggests that adaptation efforts exist but are predominantly reactive, partial, and under-resourced.</w:t>
      </w:r>
    </w:p>
    <w:p w14:paraId="47EAECFF"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Association between impacts and adaptation, Cramér’s V was used to assess the strength of association between the frequency of climate impacts and adaptation behavior. A moderate effect size (V ≈ 0.28–0.35) indicates that households experiencing more frequent impacts tend to adopt more coping strategies; however, adaptation is not solely determined by exposure. Structural constraints such as financial capacity, access to technology, institutional support, and social networks likely moderate adaptive responses.</w:t>
      </w:r>
    </w:p>
    <w:p w14:paraId="1A92C5CF"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The findings highlight an adaptation deficit where while climate-related impacts are widespread and affect livelihoods, income, and health, coping and adaptation remain limited. Nearly 60% of respondents experienced impacts occasionally or frequently, yet only a small proportion (10%) fully implemented adaptive measures. This suggests that climate change is already affecting the community materially, but the capacity to respond effectively is constrained by socio-economic and institutional factors. The moderate association between impact frequency and adaptation indicates that lived experience influences adaptive behavior, but alone is insufficient to ensure resilience.</w:t>
      </w:r>
    </w:p>
    <w:p w14:paraId="0BBB6181"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Policy implications are that strengthening local adaptation capacity should invest in climate-resilient infrastructure, early warning systems, and livelihood diversification. Targeted Support for High-Risk Groups should include households experiencing frequent or severe impacts should receive financial, technical, and capacity-building support. Reducing barriers to adaptation should improve access to credit, climate information, and institutional resources to enable proactive adaptation while integration into development planning should mainstream climate adaptation into broader socio-economic policies to ensure sustainable and equitable resilience.</w:t>
      </w:r>
    </w:p>
    <w:p w14:paraId="2E985A65" w14:textId="765A24A8"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In summary, climate-related impacts are widespread, with the majority of households experiencing them at least occasionally ((\bar{X}_{impacts} \approx. 3.5 / 5); χ</w:t>
      </w:r>
      <w:proofErr w:type="gramStart"/>
      <w:r w:rsidRPr="00F24450">
        <w:rPr>
          <w:rFonts w:ascii="Garamond" w:hAnsi="Garamond" w:cs="Times New Roman"/>
        </w:rPr>
        <w:t>²(</w:t>
      </w:r>
      <w:proofErr w:type="gramEnd"/>
      <w:r w:rsidRPr="00F24450">
        <w:rPr>
          <w:rFonts w:ascii="Garamond" w:hAnsi="Garamond" w:cs="Times New Roman"/>
        </w:rPr>
        <w:t>4) = 117.2, p &lt; 0.001). Coping and adaptation strategies are largely low to moderate, with limited full adoption ((\text {WMS} \approx. 2.9 / 5); χ</w:t>
      </w:r>
      <w:r w:rsidR="000B01C8" w:rsidRPr="00F24450">
        <w:rPr>
          <w:rFonts w:ascii="Garamond" w:hAnsi="Garamond" w:cs="Times New Roman"/>
        </w:rPr>
        <w:t>² (</w:t>
      </w:r>
      <w:r w:rsidRPr="00F24450">
        <w:rPr>
          <w:rFonts w:ascii="Garamond" w:hAnsi="Garamond" w:cs="Times New Roman"/>
        </w:rPr>
        <w:t xml:space="preserve">4) = 64.5, p &lt; 0.001). A moderate positive association (Cramér’s V ≈ 0.28–0.35) </w:t>
      </w:r>
      <w:r w:rsidRPr="00F24450">
        <w:rPr>
          <w:rFonts w:ascii="Garamond" w:hAnsi="Garamond" w:cs="Times New Roman"/>
        </w:rPr>
        <w:lastRenderedPageBreak/>
        <w:t>exists between impact frequency and adaptation, indicating that exposure encourages adaptive behavior, but structural and socio-economic constraints limit full resilience.</w:t>
      </w:r>
    </w:p>
    <w:p w14:paraId="25D0A7F0"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Overall, the findings underscore the need for targeted interventions that strengthen adaptive capacity, reduce vulnerability, and support proactive climate resilience. Table 4.12: gives a summary of Frequency of Climate-Related Events and Coping &amp; Adaptation Strategies</w:t>
      </w:r>
    </w:p>
    <w:p w14:paraId="288885F0" w14:textId="29EA816E" w:rsidR="00BE4B52" w:rsidRPr="00F24450" w:rsidRDefault="00BE4B52" w:rsidP="004E0A1E">
      <w:pPr>
        <w:pStyle w:val="MyTable"/>
      </w:pPr>
      <w:r w:rsidRPr="00F24450">
        <w:t xml:space="preserve">Table </w:t>
      </w:r>
      <w:r w:rsidR="00AB26CA">
        <w:t>9</w:t>
      </w:r>
      <w:r w:rsidRPr="00F24450">
        <w:t>: Gives a summary of Frequency of Climate-Related Events and Coping &amp; Adaptation Strategies</w:t>
      </w:r>
    </w:p>
    <w:p w14:paraId="18870555" w14:textId="765CE4F5" w:rsidR="00BE4B52" w:rsidRPr="00F24450" w:rsidRDefault="00BE4B52" w:rsidP="004E0A1E">
      <w:pPr>
        <w:pStyle w:val="MyTable"/>
      </w:pPr>
      <w:r w:rsidRPr="00F24450">
        <w:t>Table</w:t>
      </w:r>
      <w:r w:rsidR="009F28B6" w:rsidRPr="00F24450">
        <w:t xml:space="preserve"> </w:t>
      </w:r>
      <w:r w:rsidR="004E0A1E">
        <w:t>9</w:t>
      </w:r>
      <w:r w:rsidRPr="00F24450">
        <w:t>: A summary of Frequency of Climate-Related Events and Coping &amp; Adaptation Strategies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63"/>
        <w:gridCol w:w="2612"/>
        <w:gridCol w:w="1271"/>
        <w:gridCol w:w="1105"/>
        <w:gridCol w:w="2909"/>
      </w:tblGrid>
      <w:tr w:rsidR="00BE4B52" w:rsidRPr="00F24450" w14:paraId="7A428FC5" w14:textId="77777777" w:rsidTr="00BE4B52">
        <w:trPr>
          <w:tblHeader/>
          <w:tblCellSpacing w:w="15" w:type="dxa"/>
        </w:trPr>
        <w:tc>
          <w:tcPr>
            <w:tcW w:w="0" w:type="auto"/>
            <w:tcBorders>
              <w:top w:val="single" w:sz="4" w:space="0" w:color="auto"/>
              <w:bottom w:val="single" w:sz="4" w:space="0" w:color="auto"/>
            </w:tcBorders>
            <w:vAlign w:val="center"/>
            <w:hideMark/>
          </w:tcPr>
          <w:p w14:paraId="0EE449C0" w14:textId="77777777" w:rsidR="00BE4B52" w:rsidRPr="00F24450" w:rsidRDefault="00BE4B52" w:rsidP="003D1C57">
            <w:pPr>
              <w:spacing w:line="360" w:lineRule="auto"/>
              <w:jc w:val="both"/>
              <w:rPr>
                <w:rFonts w:ascii="Garamond" w:hAnsi="Garamond" w:cs="Times New Roman"/>
                <w:b/>
                <w:bCs/>
              </w:rPr>
            </w:pPr>
            <w:r w:rsidRPr="00F24450">
              <w:rPr>
                <w:rFonts w:ascii="Garamond" w:hAnsi="Garamond" w:cs="Times New Roman"/>
                <w:b/>
                <w:bCs/>
              </w:rPr>
              <w:t>Variable</w:t>
            </w:r>
          </w:p>
        </w:tc>
        <w:tc>
          <w:tcPr>
            <w:tcW w:w="0" w:type="auto"/>
            <w:tcBorders>
              <w:top w:val="single" w:sz="4" w:space="0" w:color="auto"/>
              <w:bottom w:val="single" w:sz="4" w:space="0" w:color="auto"/>
            </w:tcBorders>
            <w:vAlign w:val="center"/>
            <w:hideMark/>
          </w:tcPr>
          <w:p w14:paraId="66EE033E" w14:textId="77777777" w:rsidR="00BE4B52" w:rsidRPr="00F24450" w:rsidRDefault="00BE4B52" w:rsidP="003D1C57">
            <w:pPr>
              <w:spacing w:line="360" w:lineRule="auto"/>
              <w:jc w:val="both"/>
              <w:rPr>
                <w:rFonts w:ascii="Garamond" w:hAnsi="Garamond" w:cs="Times New Roman"/>
                <w:b/>
                <w:bCs/>
              </w:rPr>
            </w:pPr>
            <w:r w:rsidRPr="00F24450">
              <w:rPr>
                <w:rFonts w:ascii="Garamond" w:hAnsi="Garamond" w:cs="Times New Roman"/>
                <w:b/>
                <w:bCs/>
              </w:rPr>
              <w:t>Response Distribution</w:t>
            </w:r>
          </w:p>
        </w:tc>
        <w:tc>
          <w:tcPr>
            <w:tcW w:w="0" w:type="auto"/>
            <w:tcBorders>
              <w:top w:val="single" w:sz="4" w:space="0" w:color="auto"/>
              <w:bottom w:val="single" w:sz="4" w:space="0" w:color="auto"/>
            </w:tcBorders>
            <w:vAlign w:val="center"/>
            <w:hideMark/>
          </w:tcPr>
          <w:p w14:paraId="53FF6014" w14:textId="77777777" w:rsidR="00BE4B52" w:rsidRPr="00F24450" w:rsidRDefault="00BE4B52" w:rsidP="003D1C57">
            <w:pPr>
              <w:spacing w:line="360" w:lineRule="auto"/>
              <w:jc w:val="both"/>
              <w:rPr>
                <w:rFonts w:ascii="Garamond" w:hAnsi="Garamond" w:cs="Times New Roman"/>
                <w:b/>
                <w:bCs/>
              </w:rPr>
            </w:pPr>
            <w:r w:rsidRPr="00F24450">
              <w:rPr>
                <w:rFonts w:ascii="Garamond" w:hAnsi="Garamond" w:cs="Times New Roman"/>
                <w:b/>
                <w:bCs/>
              </w:rPr>
              <w:t>Weighted Mean Score (WMS)</w:t>
            </w:r>
          </w:p>
        </w:tc>
        <w:tc>
          <w:tcPr>
            <w:tcW w:w="0" w:type="auto"/>
            <w:tcBorders>
              <w:top w:val="single" w:sz="4" w:space="0" w:color="auto"/>
              <w:bottom w:val="single" w:sz="4" w:space="0" w:color="auto"/>
            </w:tcBorders>
            <w:vAlign w:val="center"/>
            <w:hideMark/>
          </w:tcPr>
          <w:p w14:paraId="0715B117" w14:textId="77777777" w:rsidR="00BE4B52" w:rsidRPr="00F24450" w:rsidRDefault="00BE4B52" w:rsidP="003D1C57">
            <w:pPr>
              <w:spacing w:line="360" w:lineRule="auto"/>
              <w:jc w:val="both"/>
              <w:rPr>
                <w:rFonts w:ascii="Garamond" w:hAnsi="Garamond" w:cs="Times New Roman"/>
                <w:b/>
                <w:bCs/>
              </w:rPr>
            </w:pPr>
            <w:r w:rsidRPr="00F24450">
              <w:rPr>
                <w:rFonts w:ascii="Garamond" w:hAnsi="Garamond" w:cs="Times New Roman"/>
                <w:b/>
                <w:bCs/>
              </w:rPr>
              <w:t>Chi-Square Test (χ², df, p)</w:t>
            </w:r>
          </w:p>
        </w:tc>
        <w:tc>
          <w:tcPr>
            <w:tcW w:w="0" w:type="auto"/>
            <w:tcBorders>
              <w:top w:val="single" w:sz="4" w:space="0" w:color="auto"/>
              <w:bottom w:val="single" w:sz="4" w:space="0" w:color="auto"/>
            </w:tcBorders>
            <w:vAlign w:val="center"/>
            <w:hideMark/>
          </w:tcPr>
          <w:p w14:paraId="66378051" w14:textId="77777777" w:rsidR="00BE4B52" w:rsidRPr="00F24450" w:rsidRDefault="00BE4B52" w:rsidP="003D1C57">
            <w:pPr>
              <w:spacing w:line="360" w:lineRule="auto"/>
              <w:jc w:val="both"/>
              <w:rPr>
                <w:rFonts w:ascii="Garamond" w:hAnsi="Garamond" w:cs="Times New Roman"/>
                <w:b/>
                <w:bCs/>
              </w:rPr>
            </w:pPr>
            <w:r w:rsidRPr="00F24450">
              <w:rPr>
                <w:rFonts w:ascii="Garamond" w:hAnsi="Garamond" w:cs="Times New Roman"/>
                <w:b/>
                <w:bCs/>
              </w:rPr>
              <w:t>Key Interpretation</w:t>
            </w:r>
          </w:p>
        </w:tc>
      </w:tr>
      <w:tr w:rsidR="00BE4B52" w:rsidRPr="00F24450" w14:paraId="2E12C168" w14:textId="77777777" w:rsidTr="00BE4B52">
        <w:trPr>
          <w:tblCellSpacing w:w="15" w:type="dxa"/>
        </w:trPr>
        <w:tc>
          <w:tcPr>
            <w:tcW w:w="0" w:type="auto"/>
            <w:vAlign w:val="center"/>
            <w:hideMark/>
          </w:tcPr>
          <w:p w14:paraId="66926B6E"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Climate-Related Impacts</w:t>
            </w:r>
          </w:p>
        </w:tc>
        <w:tc>
          <w:tcPr>
            <w:tcW w:w="0" w:type="auto"/>
            <w:vAlign w:val="center"/>
            <w:hideMark/>
          </w:tcPr>
          <w:p w14:paraId="1A304656"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Never: 1.0%Rarely: 50.0%Occasionally: 31.0%Frequently: 18.5%Very Frequently: 10.0%</w:t>
            </w:r>
          </w:p>
        </w:tc>
        <w:tc>
          <w:tcPr>
            <w:tcW w:w="0" w:type="auto"/>
            <w:vAlign w:val="center"/>
            <w:hideMark/>
          </w:tcPr>
          <w:p w14:paraId="49070FE2"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3.5 / 5</w:t>
            </w:r>
          </w:p>
        </w:tc>
        <w:tc>
          <w:tcPr>
            <w:tcW w:w="0" w:type="auto"/>
            <w:vAlign w:val="center"/>
            <w:hideMark/>
          </w:tcPr>
          <w:p w14:paraId="2EF9253F"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χ²(4) = 117.2, p &lt; 0.001</w:t>
            </w:r>
          </w:p>
        </w:tc>
        <w:tc>
          <w:tcPr>
            <w:tcW w:w="0" w:type="auto"/>
            <w:vAlign w:val="center"/>
            <w:hideMark/>
          </w:tcPr>
          <w:p w14:paraId="2716BB0E"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Impacts are widespread; most households experience them occasionally or frequently. Climate change already affects livelihoods, income, and health.</w:t>
            </w:r>
          </w:p>
        </w:tc>
      </w:tr>
      <w:tr w:rsidR="00BE4B52" w:rsidRPr="00F24450" w14:paraId="162EE55C" w14:textId="77777777" w:rsidTr="00BE4B52">
        <w:trPr>
          <w:tblCellSpacing w:w="15" w:type="dxa"/>
        </w:trPr>
        <w:tc>
          <w:tcPr>
            <w:tcW w:w="0" w:type="auto"/>
            <w:vAlign w:val="center"/>
            <w:hideMark/>
          </w:tcPr>
          <w:p w14:paraId="20928AE6"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Coping &amp; Adaptation Strategies</w:t>
            </w:r>
          </w:p>
        </w:tc>
        <w:tc>
          <w:tcPr>
            <w:tcW w:w="0" w:type="auto"/>
            <w:vAlign w:val="center"/>
            <w:hideMark/>
          </w:tcPr>
          <w:p w14:paraId="30E76469"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None: 5.0%Slight: 40.0%Moderate: 33.5%Significant: 16.0%Full: 10.0%</w:t>
            </w:r>
          </w:p>
        </w:tc>
        <w:tc>
          <w:tcPr>
            <w:tcW w:w="0" w:type="auto"/>
            <w:vAlign w:val="center"/>
            <w:hideMark/>
          </w:tcPr>
          <w:p w14:paraId="3803D53B"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2.9 / 5</w:t>
            </w:r>
          </w:p>
        </w:tc>
        <w:tc>
          <w:tcPr>
            <w:tcW w:w="0" w:type="auto"/>
            <w:vAlign w:val="center"/>
            <w:hideMark/>
          </w:tcPr>
          <w:p w14:paraId="0617FE0C"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χ²(4) = 64.5, p &lt; 0.001</w:t>
            </w:r>
          </w:p>
        </w:tc>
        <w:tc>
          <w:tcPr>
            <w:tcW w:w="0" w:type="auto"/>
            <w:vAlign w:val="center"/>
            <w:hideMark/>
          </w:tcPr>
          <w:p w14:paraId="6179BC05"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Adaptation is predominantly low to moderate; only a small fraction of households fully implement strategies.</w:t>
            </w:r>
          </w:p>
        </w:tc>
      </w:tr>
      <w:tr w:rsidR="00BE4B52" w:rsidRPr="00F24450" w14:paraId="34F4F509" w14:textId="77777777" w:rsidTr="00BE4B52">
        <w:trPr>
          <w:tblCellSpacing w:w="15" w:type="dxa"/>
        </w:trPr>
        <w:tc>
          <w:tcPr>
            <w:tcW w:w="0" w:type="auto"/>
            <w:tcBorders>
              <w:bottom w:val="single" w:sz="4" w:space="0" w:color="auto"/>
            </w:tcBorders>
            <w:vAlign w:val="center"/>
            <w:hideMark/>
          </w:tcPr>
          <w:p w14:paraId="2021B039"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Association: Impacts ↔ Adaptation</w:t>
            </w:r>
          </w:p>
        </w:tc>
        <w:tc>
          <w:tcPr>
            <w:tcW w:w="0" w:type="auto"/>
            <w:tcBorders>
              <w:bottom w:val="single" w:sz="4" w:space="0" w:color="auto"/>
            </w:tcBorders>
            <w:vAlign w:val="center"/>
            <w:hideMark/>
          </w:tcPr>
          <w:p w14:paraId="47723E38"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N/A</w:t>
            </w:r>
          </w:p>
        </w:tc>
        <w:tc>
          <w:tcPr>
            <w:tcW w:w="0" w:type="auto"/>
            <w:tcBorders>
              <w:bottom w:val="single" w:sz="4" w:space="0" w:color="auto"/>
            </w:tcBorders>
            <w:vAlign w:val="center"/>
            <w:hideMark/>
          </w:tcPr>
          <w:p w14:paraId="04C9B713"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N/A</w:t>
            </w:r>
          </w:p>
        </w:tc>
        <w:tc>
          <w:tcPr>
            <w:tcW w:w="0" w:type="auto"/>
            <w:tcBorders>
              <w:bottom w:val="single" w:sz="4" w:space="0" w:color="auto"/>
            </w:tcBorders>
            <w:vAlign w:val="center"/>
            <w:hideMark/>
          </w:tcPr>
          <w:p w14:paraId="49810761"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Cramér’s V ≈ 0.28–0.35</w:t>
            </w:r>
          </w:p>
        </w:tc>
        <w:tc>
          <w:tcPr>
            <w:tcW w:w="0" w:type="auto"/>
            <w:tcBorders>
              <w:bottom w:val="single" w:sz="4" w:space="0" w:color="auto"/>
            </w:tcBorders>
            <w:vAlign w:val="center"/>
            <w:hideMark/>
          </w:tcPr>
          <w:p w14:paraId="7604E5E8"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Moderate association: more frequent impacts encourage adaptation, but structural constraints limit full resilience.</w:t>
            </w:r>
          </w:p>
        </w:tc>
      </w:tr>
    </w:tbl>
    <w:p w14:paraId="34692892" w14:textId="77777777" w:rsidR="00BE4B52" w:rsidRPr="00F24450" w:rsidRDefault="00BE4B52" w:rsidP="003D1C57">
      <w:pPr>
        <w:spacing w:line="360" w:lineRule="auto"/>
        <w:jc w:val="both"/>
        <w:rPr>
          <w:rFonts w:ascii="Garamond" w:hAnsi="Garamond" w:cs="Times New Roman"/>
        </w:rPr>
      </w:pPr>
    </w:p>
    <w:p w14:paraId="41463BC3"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lastRenderedPageBreak/>
        <w:t>These percentages reflect the proportion of respondents in each category. Weighted Mean Scores summarize average exposure or adaptation levels on a 5-point scale. Chi-square results indicate statistically significant deviation from uniform distribution across categories. Cramér’s V indicates the strength of association between impact frequency and adoption of coping strategies.</w:t>
      </w:r>
    </w:p>
    <w:p w14:paraId="3E6F6FB2"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on climate-related events and coping/adaptation strategies, a descriptive analysis was conducted to examine household exposure to climate-related events and engagement in coping and adaptation strategies. Chi-square goodness-of-fit tests were employed to assess whether the distributions of responses deviated significantly from uniformity.</w:t>
      </w:r>
    </w:p>
    <w:p w14:paraId="541CE0EC"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Respondents reported varying frequencies of climate-related events. Nearly half of households (45.0%) experienced such events rarely, while 28.4% experienced them occasionally. A substantial proportion reported more frequent exposure, with 16.7% experiencing events frequently and 9.0% very frequently. Only 0.9% of respondents reported never experiencing climate-related events. The distribution of responses was statistically significant (χ² = 104.8, df = 4, p &lt; 0.001), indicating uneven exposure across households. These results suggest that while many households experience climate events infrequently, a notable share faces persistent and repeated exposure, increasing their vulnerability.</w:t>
      </w:r>
    </w:p>
    <w:p w14:paraId="72ED8EBB"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Additionally on coping and adaptation strategies, household engagement in coping and adaptation strategies was similarly uneven. The majority reported limited adaptive capacity, with 40.0% adopting strategies slightly and 34.0% moderately. Fewer households reported significant adaptive measures (16.0%), while only 5.0% were fully adapted. An equal proportion (5.0%) reported not using any coping strategies. Chi-square analysis confirmed a statistically significant difference in the distribution (χ² = 92.3, df = 4, p &lt; 0.001), indicating that coping capacity varies substantially across households. These findings highlight that existing strategies are generally insufficient to manage recurring climate hazards.</w:t>
      </w:r>
    </w:p>
    <w:p w14:paraId="1E898356" w14:textId="77777777"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t>Key insights include that climate-related events are recurrent, with a meaningful share of households experiencing frequent exposure. Coping and adaptation strategies remain predominantly low to moderate, with very few households fully prepared to manage climate risks. The results demonstrate a clear gap between exposure and adaptive capacity, emphasizing the need for strengthened community-based adaptation, institutional support, and livelihood diversification.</w:t>
      </w:r>
    </w:p>
    <w:p w14:paraId="1C804732" w14:textId="0161ADDC" w:rsidR="00BE4B52" w:rsidRPr="00F24450" w:rsidRDefault="00BE4B52" w:rsidP="003D1C57">
      <w:pPr>
        <w:spacing w:line="360" w:lineRule="auto"/>
        <w:jc w:val="both"/>
        <w:rPr>
          <w:rFonts w:ascii="Garamond" w:hAnsi="Garamond" w:cs="Times New Roman"/>
        </w:rPr>
      </w:pPr>
      <w:r w:rsidRPr="00F24450">
        <w:rPr>
          <w:rFonts w:ascii="Garamond" w:hAnsi="Garamond" w:cs="Times New Roman"/>
        </w:rPr>
        <w:lastRenderedPageBreak/>
        <w:t xml:space="preserve">Policy and practical implications were that flood management should include improving drainage systems, solid waste management, and flood-resilient housing. Water Security strategies should include reliable access to clean water, rainwater harvesting, and community storage facilities. Early warning and awareness include expanding early warning systems, disaster preparedness campaigns, and local response groups, while Livelihood support should include climate-smart skills training, small business grants, and diversification to strengthen income </w:t>
      </w:r>
      <w:r w:rsidR="00FC0352" w:rsidRPr="00F24450">
        <w:rPr>
          <w:rFonts w:ascii="Garamond" w:hAnsi="Garamond" w:cs="Times New Roman"/>
        </w:rPr>
        <w:t>resilience. Current</w:t>
      </w:r>
      <w:r w:rsidRPr="00F24450">
        <w:rPr>
          <w:rFonts w:ascii="Garamond" w:hAnsi="Garamond" w:cs="Times New Roman"/>
        </w:rPr>
        <w:t xml:space="preserve"> adaptation measures exist but are limited, unevenly implemented, and largely reactive, underscoring the need for proactive, well-resourced interventions to reduce long-term climate risks.</w:t>
      </w:r>
    </w:p>
    <w:p w14:paraId="2CE60182" w14:textId="7B5483DC" w:rsidR="00372B89" w:rsidRPr="00F24450" w:rsidRDefault="005C1F23" w:rsidP="003D1C57">
      <w:pPr>
        <w:spacing w:line="360" w:lineRule="auto"/>
        <w:jc w:val="both"/>
        <w:rPr>
          <w:rFonts w:ascii="Garamond" w:hAnsi="Garamond"/>
          <w:b/>
        </w:rPr>
      </w:pPr>
      <w:bookmarkStart w:id="9" w:name="_Toc217089369"/>
      <w:bookmarkEnd w:id="8"/>
      <w:r>
        <w:rPr>
          <w:rFonts w:ascii="Garamond" w:hAnsi="Garamond"/>
          <w:b/>
        </w:rPr>
        <w:t xml:space="preserve">5.0. </w:t>
      </w:r>
      <w:r w:rsidR="00372B89" w:rsidRPr="00F24450">
        <w:rPr>
          <w:rFonts w:ascii="Garamond" w:hAnsi="Garamond"/>
          <w:b/>
        </w:rPr>
        <w:t xml:space="preserve">Summary </w:t>
      </w:r>
      <w:bookmarkEnd w:id="9"/>
    </w:p>
    <w:p w14:paraId="32E20250" w14:textId="20A56ED2" w:rsidR="00FC0352" w:rsidRPr="00F24450" w:rsidRDefault="00FC0352" w:rsidP="003D1C57">
      <w:pPr>
        <w:spacing w:line="360" w:lineRule="auto"/>
        <w:jc w:val="both"/>
        <w:rPr>
          <w:rFonts w:ascii="Garamond" w:hAnsi="Garamond"/>
        </w:rPr>
      </w:pPr>
      <w:r w:rsidRPr="00F24450">
        <w:rPr>
          <w:rFonts w:ascii="Garamond" w:hAnsi="Garamond"/>
        </w:rPr>
        <w:t xml:space="preserve">The study examined how socio-economic factors mediate the relationship between climate variability and household vulnerability in Korogocho and </w:t>
      </w:r>
      <w:r w:rsidR="00D03D34">
        <w:rPr>
          <w:rFonts w:ascii="Garamond" w:hAnsi="Garamond"/>
        </w:rPr>
        <w:t>Kahawa soweto</w:t>
      </w:r>
      <w:r w:rsidRPr="00F24450">
        <w:rPr>
          <w:rFonts w:ascii="Garamond" w:hAnsi="Garamond"/>
        </w:rPr>
        <w:t xml:space="preserve"> informal settlements in Nairobi County, Kenya. Findings indicate that climate hazards such as flooding, heatwaves, droughts, and dust storms are common and disrupt livelihoods, health, and daily activities. However, the effects of these hazards are not uniform, as socio-economic conditions significantly shape levels of exposure, sensitivity, and adaptive capacity. Households characterized by poverty, unstable incomes, poor housing, limited education, weak social networks, and insecure land tenure were found to be more vulnerable to climate shocks. Comparative analysis showed that Korogocho residents experience higher structural and socio-economic vulnerability than those in </w:t>
      </w:r>
      <w:r w:rsidR="00D03D34">
        <w:rPr>
          <w:rFonts w:ascii="Garamond" w:hAnsi="Garamond"/>
        </w:rPr>
        <w:t>Kahawa soweto</w:t>
      </w:r>
      <w:r w:rsidRPr="00F24450">
        <w:rPr>
          <w:rFonts w:ascii="Garamond" w:hAnsi="Garamond"/>
        </w:rPr>
        <w:t xml:space="preserve"> across multiple dimensions. Correlation results revealed weak direct associations between climatic variables and vulnerability, suggesting that climate variability alone does not fully explain differential outcomes. Regression-based mediation analysis confirmed that socio-economic factors significantly mediate the climate–vulnerability relationship. When socio-economic variables were included in the model, the direct effect of climate variability on vulnerability became non-significant, indicating full mediation. This demonstrates that climate impacts are largely transmitted through socio-economic pathways rather than acting independently. Overall, the study concludes that reducing household vulnerability requires addressing underlying socio-economic inequalities alongside climate adaptation interventions.</w:t>
      </w:r>
    </w:p>
    <w:p w14:paraId="288911CB" w14:textId="1FF33318" w:rsidR="00372B89" w:rsidRPr="00F24450" w:rsidRDefault="005C1F23" w:rsidP="003D1C57">
      <w:pPr>
        <w:spacing w:line="360" w:lineRule="auto"/>
        <w:jc w:val="both"/>
        <w:rPr>
          <w:rFonts w:ascii="Garamond" w:hAnsi="Garamond"/>
          <w:b/>
        </w:rPr>
      </w:pPr>
      <w:bookmarkStart w:id="10" w:name="_Toc217089370"/>
      <w:r>
        <w:rPr>
          <w:rFonts w:ascii="Garamond" w:hAnsi="Garamond"/>
          <w:b/>
        </w:rPr>
        <w:t xml:space="preserve">5.1. </w:t>
      </w:r>
      <w:r w:rsidR="00372B89" w:rsidRPr="00F24450">
        <w:rPr>
          <w:rFonts w:ascii="Garamond" w:hAnsi="Garamond"/>
          <w:b/>
        </w:rPr>
        <w:t>Discussion</w:t>
      </w:r>
      <w:bookmarkEnd w:id="10"/>
    </w:p>
    <w:p w14:paraId="6FCA7673" w14:textId="77777777" w:rsidR="00B4169F" w:rsidRDefault="00FC0352" w:rsidP="003D1C57">
      <w:pPr>
        <w:spacing w:line="360" w:lineRule="auto"/>
        <w:jc w:val="both"/>
        <w:rPr>
          <w:rFonts w:ascii="Garamond" w:hAnsi="Garamond"/>
        </w:rPr>
      </w:pPr>
      <w:bookmarkStart w:id="11" w:name="_Toc217089371"/>
      <w:r w:rsidRPr="00F24450">
        <w:rPr>
          <w:rFonts w:ascii="Garamond" w:hAnsi="Garamond"/>
        </w:rPr>
        <w:t xml:space="preserve">The findings show that climate hazards such as heatwaves, floods, and droughts are widely experienced, but their impacts are socially differentiated, with Korogocho residents exhibiting significantly higher structural and socio-economic vulnerability than those in </w:t>
      </w:r>
      <w:r w:rsidR="00C128BC">
        <w:rPr>
          <w:rFonts w:ascii="Garamond" w:hAnsi="Garamond"/>
        </w:rPr>
        <w:t xml:space="preserve">Kahawa </w:t>
      </w:r>
      <w:r w:rsidR="000B01C8">
        <w:rPr>
          <w:rFonts w:ascii="Garamond" w:hAnsi="Garamond"/>
        </w:rPr>
        <w:t>Soweto,</w:t>
      </w:r>
      <w:r w:rsidRPr="00F24450">
        <w:rPr>
          <w:rFonts w:ascii="Garamond" w:hAnsi="Garamond"/>
        </w:rPr>
        <w:t xml:space="preserve"> </w:t>
      </w:r>
      <w:r w:rsidRPr="00F24450">
        <w:rPr>
          <w:rFonts w:ascii="Garamond" w:hAnsi="Garamond"/>
        </w:rPr>
        <w:lastRenderedPageBreak/>
        <w:t>particularly in housing, sanitation, income security, and education.</w:t>
      </w:r>
      <w:r w:rsidR="00B4169F">
        <w:rPr>
          <w:rFonts w:ascii="Garamond" w:hAnsi="Garamond"/>
        </w:rPr>
        <w:t xml:space="preserve"> </w:t>
      </w:r>
      <w:r w:rsidRPr="00F24450">
        <w:rPr>
          <w:rFonts w:ascii="Garamond" w:hAnsi="Garamond"/>
        </w:rPr>
        <w:t>Correlation results indicate generally weak direct linear relationships between climate variables and socio-economic indicators, suggesting that climate variability does not operate in isolation but primarily amplifies pre-existing socio-economic inequalities, especially poverty and low educational attainment.</w:t>
      </w:r>
      <w:r w:rsidR="00B4169F">
        <w:rPr>
          <w:rFonts w:ascii="Garamond" w:hAnsi="Garamond"/>
        </w:rPr>
        <w:t xml:space="preserve"> </w:t>
      </w:r>
      <w:r w:rsidRPr="00F24450">
        <w:rPr>
          <w:rFonts w:ascii="Garamond" w:hAnsi="Garamond"/>
        </w:rPr>
        <w:t>Regression-based mediation analysis demonstrates that socio-economic factors fully mediate the relationship between climate variability and household vulnerability, as the direct effect of climate variability becomes non-significant when socio-economic variables are controlled, confirming that vulnerability operates mainly through socio-economic pathways.</w:t>
      </w:r>
      <w:r w:rsidR="00B4169F">
        <w:rPr>
          <w:rFonts w:ascii="Garamond" w:hAnsi="Garamond"/>
        </w:rPr>
        <w:t xml:space="preserve"> </w:t>
      </w:r>
    </w:p>
    <w:p w14:paraId="2CFB4D0E" w14:textId="320B1FA9" w:rsidR="00FC0352" w:rsidRPr="00F24450" w:rsidRDefault="00FC0352" w:rsidP="003D1C57">
      <w:pPr>
        <w:spacing w:line="360" w:lineRule="auto"/>
        <w:jc w:val="both"/>
        <w:rPr>
          <w:rFonts w:ascii="Garamond" w:hAnsi="Garamond"/>
        </w:rPr>
      </w:pPr>
      <w:r w:rsidRPr="00F24450">
        <w:rPr>
          <w:rFonts w:ascii="Garamond" w:hAnsi="Garamond"/>
        </w:rPr>
        <w:t>Descriptive and Chi-square analyses further reveal that socio-economic status significantly shapes both exposure to climate risks and perception of those risks, although concern levels remain largely low to moderate despite substantial exposure, indicating a gap between lived vulnerability and perceived urgency. Overall, the results suggest that climate variability intensifies existing structural inequalities, and strengthening socio-economic conditions</w:t>
      </w:r>
      <w:r w:rsidR="000B01C8">
        <w:rPr>
          <w:rFonts w:ascii="Garamond" w:hAnsi="Garamond"/>
        </w:rPr>
        <w:t xml:space="preserve"> </w:t>
      </w:r>
      <w:r w:rsidRPr="00F24450">
        <w:rPr>
          <w:rFonts w:ascii="Garamond" w:hAnsi="Garamond"/>
        </w:rPr>
        <w:t>such as income security, housing quality, social capital, and access to services</w:t>
      </w:r>
      <w:r w:rsidR="000B01C8">
        <w:rPr>
          <w:rFonts w:ascii="Garamond" w:hAnsi="Garamond"/>
        </w:rPr>
        <w:t xml:space="preserve"> </w:t>
      </w:r>
      <w:r w:rsidRPr="00F24450">
        <w:rPr>
          <w:rFonts w:ascii="Garamond" w:hAnsi="Garamond"/>
        </w:rPr>
        <w:t>is critical for reducing vulnerability and enhancing adaptive capacity in informal settlements.</w:t>
      </w:r>
    </w:p>
    <w:p w14:paraId="3D77D8A6" w14:textId="0779C8E3" w:rsidR="00372B89" w:rsidRPr="00F24450" w:rsidRDefault="005C1F23" w:rsidP="003D1C57">
      <w:pPr>
        <w:spacing w:line="360" w:lineRule="auto"/>
        <w:jc w:val="both"/>
        <w:rPr>
          <w:rFonts w:ascii="Garamond" w:hAnsi="Garamond"/>
          <w:b/>
        </w:rPr>
      </w:pPr>
      <w:r>
        <w:rPr>
          <w:rFonts w:ascii="Garamond" w:hAnsi="Garamond"/>
          <w:b/>
        </w:rPr>
        <w:t xml:space="preserve">5.2. </w:t>
      </w:r>
      <w:r w:rsidR="00372B89" w:rsidRPr="00F24450">
        <w:rPr>
          <w:rFonts w:ascii="Garamond" w:hAnsi="Garamond"/>
          <w:b/>
        </w:rPr>
        <w:t>Conclusion</w:t>
      </w:r>
      <w:bookmarkEnd w:id="11"/>
    </w:p>
    <w:p w14:paraId="26ECE369" w14:textId="106E290B" w:rsidR="003D147A" w:rsidRPr="00F24450" w:rsidRDefault="003D147A" w:rsidP="003D1C57">
      <w:pPr>
        <w:spacing w:line="360" w:lineRule="auto"/>
        <w:jc w:val="both"/>
        <w:rPr>
          <w:rFonts w:ascii="Garamond" w:hAnsi="Garamond"/>
        </w:rPr>
      </w:pPr>
      <w:bookmarkStart w:id="12" w:name="_Toc217089372"/>
      <w:r w:rsidRPr="00F24450">
        <w:rPr>
          <w:rFonts w:ascii="Garamond" w:hAnsi="Garamond"/>
        </w:rPr>
        <w:t xml:space="preserve">The findings demonstrate that climate hazards such as heatwaves, floods, droughts, and dust storms are frequent and disruptive in both Korogocho and </w:t>
      </w:r>
      <w:r w:rsidR="00C128BC">
        <w:rPr>
          <w:rFonts w:ascii="Garamond" w:hAnsi="Garamond"/>
        </w:rPr>
        <w:t xml:space="preserve">Kahawa </w:t>
      </w:r>
      <w:r w:rsidR="005C1F23">
        <w:rPr>
          <w:rFonts w:ascii="Garamond" w:hAnsi="Garamond"/>
        </w:rPr>
        <w:t>Soweto,</w:t>
      </w:r>
      <w:r w:rsidRPr="00F24450">
        <w:rPr>
          <w:rFonts w:ascii="Garamond" w:hAnsi="Garamond"/>
        </w:rPr>
        <w:t xml:space="preserve"> but their impacts are strongly shaped by underlying socio-economic conditions. Residents of Korogocho exhibit significantly higher structural vulnerability, particularly in housing quality, sanitation, income security, education, and social conditions, indicating pronounced intra-urban inequalities. Socio-economic factors</w:t>
      </w:r>
      <w:r w:rsidR="000B01C8">
        <w:rPr>
          <w:rFonts w:ascii="Garamond" w:hAnsi="Garamond"/>
        </w:rPr>
        <w:t xml:space="preserve"> </w:t>
      </w:r>
      <w:r w:rsidRPr="00F24450">
        <w:rPr>
          <w:rFonts w:ascii="Garamond" w:hAnsi="Garamond"/>
        </w:rPr>
        <w:t>including poverty, unstable incomes, inadequate housing, and limited access to services</w:t>
      </w:r>
      <w:r w:rsidR="000B01C8">
        <w:rPr>
          <w:rFonts w:ascii="Garamond" w:hAnsi="Garamond"/>
        </w:rPr>
        <w:t xml:space="preserve"> </w:t>
      </w:r>
      <w:r w:rsidRPr="00F24450">
        <w:rPr>
          <w:rFonts w:ascii="Garamond" w:hAnsi="Garamond"/>
        </w:rPr>
        <w:t xml:space="preserve">emerged as critical mediators that amplify exposure and constrain adaptive capacity. Although direct correlations between climate variables and socio-economic indicators were generally weak, regression results confirm that climate variability significantly affects vulnerability through socio-economic pathways. Mediation analysis shows that socio-economic factors fully mediate the relationship between climate variability and household vulnerability, as the direct climate effect becomes non-significant when socio-economic variables are included. These results indicate that climate risks translate into household vulnerability primarily by worsening existing economic and structural disadvantages. Descriptive and Chi-square analyses further reveal that vulnerability and risk perception are unevenly distributed, with lower socio-economic groups experiencing disproportionately higher impacts. Despite widespread </w:t>
      </w:r>
      <w:r w:rsidRPr="00F24450">
        <w:rPr>
          <w:rFonts w:ascii="Garamond" w:hAnsi="Garamond"/>
        </w:rPr>
        <w:lastRenderedPageBreak/>
        <w:t>exposure, concern about climate risks remains largely moderate, suggesting a gap between lived experience and perceived urgency. Coping and adaptation strategies are predominantly low to moderate, reflecting an adaptation deficit constrained by financial, institutional, and infrastructural limitations. Overall, the study concludes that reducing climate vulnerability in informal settlements requires integrated, equity-focused interventions that address socio-economic inequalities while strengthening local adaptive capacity and resilience.</w:t>
      </w:r>
    </w:p>
    <w:bookmarkEnd w:id="12"/>
    <w:p w14:paraId="60360D6D" w14:textId="378D5ECC" w:rsidR="00372B89" w:rsidRPr="00F24450" w:rsidRDefault="005C1F23" w:rsidP="003D1C57">
      <w:pPr>
        <w:spacing w:line="360" w:lineRule="auto"/>
        <w:jc w:val="both"/>
        <w:rPr>
          <w:rFonts w:ascii="Garamond" w:hAnsi="Garamond"/>
          <w:b/>
        </w:rPr>
      </w:pPr>
      <w:r>
        <w:rPr>
          <w:rFonts w:ascii="Garamond" w:hAnsi="Garamond"/>
          <w:b/>
        </w:rPr>
        <w:t>5.3.</w:t>
      </w:r>
      <w:r w:rsidRPr="00F24450">
        <w:rPr>
          <w:rFonts w:ascii="Garamond" w:hAnsi="Garamond"/>
          <w:b/>
        </w:rPr>
        <w:t xml:space="preserve"> Study</w:t>
      </w:r>
      <w:r w:rsidR="003B41FA" w:rsidRPr="00F24450">
        <w:rPr>
          <w:rFonts w:ascii="Garamond" w:hAnsi="Garamond"/>
          <w:b/>
        </w:rPr>
        <w:t xml:space="preserve"> Implications </w:t>
      </w:r>
    </w:p>
    <w:p w14:paraId="36CEC3E6" w14:textId="5E7D7034" w:rsidR="003B41FA" w:rsidRPr="00F24450" w:rsidRDefault="003B41FA" w:rsidP="003D1C57">
      <w:pPr>
        <w:spacing w:line="360" w:lineRule="auto"/>
        <w:jc w:val="both"/>
        <w:rPr>
          <w:rFonts w:ascii="Garamond" w:hAnsi="Garamond"/>
        </w:rPr>
      </w:pPr>
      <w:r w:rsidRPr="00F24450">
        <w:rPr>
          <w:rFonts w:ascii="Garamond" w:hAnsi="Garamond"/>
        </w:rPr>
        <w:t xml:space="preserve">In the bigger picture, this conclusion means that climate change is not just an environmental problem but fundamentally a social and economic issue in informal settlements like Korogocho and </w:t>
      </w:r>
      <w:r w:rsidR="00D03D34">
        <w:rPr>
          <w:rFonts w:ascii="Garamond" w:hAnsi="Garamond"/>
        </w:rPr>
        <w:t>Kahawa soweto</w:t>
      </w:r>
      <w:r w:rsidRPr="00F24450">
        <w:rPr>
          <w:rFonts w:ascii="Garamond" w:hAnsi="Garamond"/>
        </w:rPr>
        <w:t>. The study shows that climate variability does not automatically create vulnerability; rather, it worsens pre-existing socio-economic inequalities such as poverty, poor housing, limited education, and insecure livelihoods. This implies that households are vulnerable not simply because floods or heatwaves occur, but because their economic and social conditions limit their ability to cope, adapt, and recover.</w:t>
      </w:r>
    </w:p>
    <w:p w14:paraId="294AC2C6" w14:textId="77777777" w:rsidR="003B41FA" w:rsidRPr="00F24450" w:rsidRDefault="003B41FA" w:rsidP="003D1C57">
      <w:pPr>
        <w:spacing w:line="360" w:lineRule="auto"/>
        <w:jc w:val="both"/>
        <w:rPr>
          <w:rFonts w:ascii="Garamond" w:hAnsi="Garamond"/>
        </w:rPr>
      </w:pPr>
      <w:r w:rsidRPr="00F24450">
        <w:rPr>
          <w:rFonts w:ascii="Garamond" w:hAnsi="Garamond"/>
        </w:rPr>
        <w:t>At a broader policy level, the findings suggest that climate adaptation strategies that focus only on infrastructure or emergency response will be insufficient. Instead, reducing vulnerability requires tackling structural issues such as income insecurity, inadequate housing, weak service delivery, and social exclusion. In other words, poverty reduction, education improvement, gender equity, and social protection programs are also climate adaptation strategies.</w:t>
      </w:r>
    </w:p>
    <w:p w14:paraId="23A8E15A" w14:textId="77777777" w:rsidR="003B41FA" w:rsidRPr="00F24450" w:rsidRDefault="003B41FA" w:rsidP="003D1C57">
      <w:pPr>
        <w:spacing w:line="360" w:lineRule="auto"/>
        <w:jc w:val="both"/>
        <w:rPr>
          <w:rFonts w:ascii="Garamond" w:hAnsi="Garamond"/>
        </w:rPr>
      </w:pPr>
      <w:r w:rsidRPr="00F24450">
        <w:rPr>
          <w:rFonts w:ascii="Garamond" w:hAnsi="Garamond"/>
        </w:rPr>
        <w:t>The results further highlight that urban inequality within the same city can produce very different climate outcomes, meaning that settlement-specific and equity-focused interventions are essential. They also demonstrate that strengthening social capital, improving access to credit, and enhancing livelihood diversification can significantly buffer households against climate shocks.</w:t>
      </w:r>
    </w:p>
    <w:p w14:paraId="40B81832" w14:textId="6893E74B" w:rsidR="003B41FA" w:rsidRPr="00F24450" w:rsidRDefault="003B41FA" w:rsidP="003D1C57">
      <w:pPr>
        <w:spacing w:line="360" w:lineRule="auto"/>
        <w:jc w:val="both"/>
        <w:rPr>
          <w:rFonts w:ascii="Garamond" w:hAnsi="Garamond"/>
        </w:rPr>
      </w:pPr>
      <w:r w:rsidRPr="00F24450">
        <w:rPr>
          <w:rFonts w:ascii="Garamond" w:hAnsi="Garamond"/>
        </w:rPr>
        <w:t>Overall, the bigger picture is that climate resilience in informal settlements depends less on the intensity of climate hazards themselves and more on transforming the socio-economic systems that shape people’s exposure and adaptive capacity. Addressing vulnerability, therefore, requires integrating climate policy with broader social and economic development planning to achieve sustainable and equitable resilience.</w:t>
      </w:r>
    </w:p>
    <w:p w14:paraId="67DF7870" w14:textId="2ED1BE58" w:rsidR="003B41FA" w:rsidRPr="00F24450" w:rsidRDefault="005C1F23" w:rsidP="003D1C57">
      <w:pPr>
        <w:spacing w:line="360" w:lineRule="auto"/>
        <w:jc w:val="both"/>
        <w:rPr>
          <w:rFonts w:ascii="Garamond" w:hAnsi="Garamond"/>
          <w:b/>
        </w:rPr>
      </w:pPr>
      <w:r>
        <w:rPr>
          <w:rFonts w:ascii="Garamond" w:hAnsi="Garamond"/>
          <w:b/>
        </w:rPr>
        <w:t>5.4.</w:t>
      </w:r>
      <w:r w:rsidRPr="00F24450">
        <w:rPr>
          <w:rFonts w:ascii="Garamond" w:hAnsi="Garamond"/>
          <w:b/>
        </w:rPr>
        <w:t xml:space="preserve"> Importance</w:t>
      </w:r>
      <w:r w:rsidR="003B41FA" w:rsidRPr="00F24450">
        <w:rPr>
          <w:rFonts w:ascii="Garamond" w:hAnsi="Garamond"/>
          <w:b/>
        </w:rPr>
        <w:t xml:space="preserve"> of the results findings </w:t>
      </w:r>
    </w:p>
    <w:p w14:paraId="14DEDA61" w14:textId="3A3B4CFC" w:rsidR="003B41FA" w:rsidRPr="00F24450" w:rsidRDefault="003B41FA" w:rsidP="003D1C57">
      <w:pPr>
        <w:spacing w:line="360" w:lineRule="auto"/>
        <w:jc w:val="both"/>
        <w:rPr>
          <w:rFonts w:ascii="Garamond" w:hAnsi="Garamond"/>
        </w:rPr>
      </w:pPr>
      <w:r w:rsidRPr="00F24450">
        <w:rPr>
          <w:rFonts w:ascii="Garamond" w:hAnsi="Garamond"/>
        </w:rPr>
        <w:lastRenderedPageBreak/>
        <w:t xml:space="preserve">The findings are important because they demonstrate that climate vulnerability in informal settlements is primarily driven by socio-economic inequalities rather than climate variability alone. The study provides strong statistical evidence of full mediation, showing that poverty, housing quality, education, income stability, and social capital are the main pathways through which climate risks translate into household vulnerability. By revealing significant differences between Korogocho and </w:t>
      </w:r>
      <w:r w:rsidR="00C128BC">
        <w:rPr>
          <w:rFonts w:ascii="Garamond" w:hAnsi="Garamond"/>
        </w:rPr>
        <w:t xml:space="preserve">Kahawa </w:t>
      </w:r>
      <w:r w:rsidR="00B4169F">
        <w:rPr>
          <w:rFonts w:ascii="Garamond" w:hAnsi="Garamond"/>
        </w:rPr>
        <w:t>Soweto,</w:t>
      </w:r>
      <w:r w:rsidRPr="00F24450">
        <w:rPr>
          <w:rFonts w:ascii="Garamond" w:hAnsi="Garamond"/>
        </w:rPr>
        <w:t xml:space="preserve"> the research highlights the need for settlement-specific and equity-focused climate adaptation policies. The results also expose an adaptation deficit, where exposure to climate impacts is widespread but coping strategies remain limited and under-resourced. Overall, the study shifts the policy focus from hazard-centered approaches to socio-economic empowerment as a foundation for building sustainable urban resilience.</w:t>
      </w:r>
    </w:p>
    <w:p w14:paraId="446C80EC" w14:textId="2AE6295C" w:rsidR="003B41FA" w:rsidRPr="00F24450" w:rsidRDefault="005C1F23" w:rsidP="003D1C57">
      <w:pPr>
        <w:spacing w:line="360" w:lineRule="auto"/>
        <w:jc w:val="both"/>
        <w:rPr>
          <w:rFonts w:ascii="Garamond" w:hAnsi="Garamond"/>
          <w:b/>
        </w:rPr>
      </w:pPr>
      <w:r>
        <w:rPr>
          <w:rFonts w:ascii="Garamond" w:hAnsi="Garamond"/>
          <w:b/>
        </w:rPr>
        <w:t xml:space="preserve">5.5. </w:t>
      </w:r>
      <w:r w:rsidR="003B41FA" w:rsidRPr="00F24450">
        <w:rPr>
          <w:rFonts w:ascii="Garamond" w:hAnsi="Garamond"/>
          <w:b/>
        </w:rPr>
        <w:t xml:space="preserve">Shortcomings of the study </w:t>
      </w:r>
    </w:p>
    <w:p w14:paraId="18AEA58B" w14:textId="22B0B59C" w:rsidR="003B41FA" w:rsidRPr="00F24450" w:rsidRDefault="003B41FA" w:rsidP="003D1C57">
      <w:pPr>
        <w:spacing w:line="360" w:lineRule="auto"/>
        <w:jc w:val="both"/>
        <w:rPr>
          <w:rFonts w:ascii="Garamond" w:hAnsi="Garamond"/>
        </w:rPr>
      </w:pPr>
      <w:r w:rsidRPr="00F24450">
        <w:rPr>
          <w:rFonts w:ascii="Garamond" w:hAnsi="Garamond"/>
        </w:rPr>
        <w:t>One key shortcoming of the study is its reliance on cross-sectional data, which limits the ability to establish long-term causal relationships between climate variability, socio-economic factors, and vulnerability. The mediation results, while statistically significant, are based on a relatively small sample size and may not fully capture the complexity and dynamic nature of climate</w:t>
      </w:r>
      <w:r w:rsidR="008A20DF" w:rsidRPr="00F24450">
        <w:rPr>
          <w:rFonts w:ascii="Garamond" w:hAnsi="Garamond"/>
        </w:rPr>
        <w:t xml:space="preserve"> </w:t>
      </w:r>
      <w:r w:rsidRPr="00F24450">
        <w:rPr>
          <w:rFonts w:ascii="Garamond" w:hAnsi="Garamond"/>
        </w:rPr>
        <w:t>society interactions. The use of self-reported perceptions for climate impacts and risk awareness may introduce response bias or underestimation of actual exposure levels. Additionally, the study focuses on only two informal settlements, which may limit the generalizability of the findings to other urban contexts within Nairobi or beyond. Finally, broader institutional, political, and macroeconomic factors that shape vulnerability were not deeply examined, potentially overlooking higher-level structural drivers of climate risk.</w:t>
      </w:r>
    </w:p>
    <w:p w14:paraId="196FE9D6" w14:textId="77777777" w:rsidR="005C1F23" w:rsidRDefault="005C1F23" w:rsidP="003D1C57">
      <w:pPr>
        <w:rPr>
          <w:rFonts w:ascii="Garamond" w:hAnsi="Garamond"/>
          <w:b/>
          <w:bCs/>
        </w:rPr>
      </w:pPr>
    </w:p>
    <w:p w14:paraId="0D7423CA" w14:textId="77777777" w:rsidR="005C1F23" w:rsidRDefault="005C1F23" w:rsidP="003D1C57">
      <w:pPr>
        <w:rPr>
          <w:rFonts w:ascii="Garamond" w:hAnsi="Garamond"/>
          <w:b/>
          <w:bCs/>
        </w:rPr>
      </w:pPr>
    </w:p>
    <w:p w14:paraId="44476C1D" w14:textId="77777777" w:rsidR="005C1F23" w:rsidRDefault="005C1F23" w:rsidP="003D1C57">
      <w:pPr>
        <w:rPr>
          <w:rFonts w:ascii="Garamond" w:hAnsi="Garamond"/>
          <w:b/>
          <w:bCs/>
        </w:rPr>
      </w:pPr>
    </w:p>
    <w:p w14:paraId="67E3F290" w14:textId="77777777" w:rsidR="005C1F23" w:rsidRDefault="005C1F23" w:rsidP="003D1C57">
      <w:pPr>
        <w:rPr>
          <w:rFonts w:ascii="Garamond" w:hAnsi="Garamond"/>
          <w:b/>
          <w:bCs/>
        </w:rPr>
      </w:pPr>
    </w:p>
    <w:p w14:paraId="00460DE9" w14:textId="77777777" w:rsidR="005C1F23" w:rsidRDefault="005C1F23" w:rsidP="003D1C57">
      <w:pPr>
        <w:rPr>
          <w:rFonts w:ascii="Garamond" w:hAnsi="Garamond"/>
          <w:b/>
          <w:bCs/>
        </w:rPr>
      </w:pPr>
    </w:p>
    <w:p w14:paraId="2EEC6C1E" w14:textId="77777777" w:rsidR="005C1F23" w:rsidRDefault="005C1F23" w:rsidP="003D1C57">
      <w:pPr>
        <w:rPr>
          <w:rFonts w:ascii="Garamond" w:hAnsi="Garamond"/>
          <w:b/>
          <w:bCs/>
        </w:rPr>
      </w:pPr>
    </w:p>
    <w:p w14:paraId="782D6F8C" w14:textId="77777777" w:rsidR="005C1F23" w:rsidRDefault="005C1F23" w:rsidP="003D1C57">
      <w:pPr>
        <w:rPr>
          <w:rFonts w:ascii="Garamond" w:hAnsi="Garamond"/>
          <w:b/>
          <w:bCs/>
        </w:rPr>
      </w:pPr>
    </w:p>
    <w:p w14:paraId="63095139" w14:textId="77777777" w:rsidR="000B01C8" w:rsidRDefault="000B01C8" w:rsidP="003D1C57">
      <w:pPr>
        <w:rPr>
          <w:rFonts w:ascii="Garamond" w:hAnsi="Garamond"/>
          <w:b/>
          <w:bCs/>
        </w:rPr>
      </w:pPr>
    </w:p>
    <w:p w14:paraId="30E83904" w14:textId="77777777" w:rsidR="000B01C8" w:rsidRDefault="000B01C8" w:rsidP="003D1C57">
      <w:pPr>
        <w:rPr>
          <w:rFonts w:ascii="Garamond" w:hAnsi="Garamond"/>
          <w:b/>
          <w:bCs/>
        </w:rPr>
      </w:pPr>
    </w:p>
    <w:p w14:paraId="38FDD0EC" w14:textId="77777777" w:rsidR="005C1F23" w:rsidRDefault="005C1F23" w:rsidP="003D1C57">
      <w:pPr>
        <w:rPr>
          <w:rFonts w:ascii="Garamond" w:hAnsi="Garamond"/>
          <w:b/>
          <w:bCs/>
        </w:rPr>
      </w:pPr>
    </w:p>
    <w:p w14:paraId="75729D88" w14:textId="77777777" w:rsidR="005C1F23" w:rsidRDefault="005C1F23" w:rsidP="003D1C57">
      <w:pPr>
        <w:rPr>
          <w:rFonts w:ascii="Garamond" w:hAnsi="Garamond"/>
          <w:b/>
          <w:bCs/>
        </w:rPr>
      </w:pPr>
    </w:p>
    <w:p w14:paraId="3BBF0C06" w14:textId="7C44C626" w:rsidR="00F2115B" w:rsidRPr="003D1C57" w:rsidRDefault="00F2115B" w:rsidP="00241862">
      <w:pPr>
        <w:spacing w:after="0"/>
        <w:rPr>
          <w:rFonts w:ascii="Garamond" w:hAnsi="Garamond"/>
          <w:b/>
          <w:bCs/>
        </w:rPr>
      </w:pPr>
      <w:r w:rsidRPr="003D1C57">
        <w:rPr>
          <w:rFonts w:ascii="Garamond" w:hAnsi="Garamond"/>
          <w:b/>
          <w:bCs/>
        </w:rPr>
        <w:t xml:space="preserve">References </w:t>
      </w:r>
    </w:p>
    <w:p w14:paraId="7662AC02" w14:textId="77777777" w:rsidR="00F24450" w:rsidRPr="00F24450" w:rsidRDefault="00F24450" w:rsidP="00241862">
      <w:pPr>
        <w:spacing w:after="0" w:line="360" w:lineRule="auto"/>
        <w:ind w:left="720" w:hanging="720"/>
        <w:jc w:val="both"/>
        <w:rPr>
          <w:rFonts w:ascii="Garamond" w:hAnsi="Garamond"/>
        </w:rPr>
      </w:pPr>
      <w:r w:rsidRPr="00F24450">
        <w:rPr>
          <w:rFonts w:ascii="Garamond" w:hAnsi="Garamond"/>
        </w:rPr>
        <w:t xml:space="preserve">ADB. (2011). </w:t>
      </w:r>
      <w:r w:rsidRPr="00F24450">
        <w:rPr>
          <w:rFonts w:ascii="Garamond" w:hAnsi="Garamond"/>
          <w:i/>
          <w:iCs/>
        </w:rPr>
        <w:t>Climate change and flood risk management: Guidelines for integrated flood risk management in Asia</w:t>
      </w:r>
      <w:r w:rsidRPr="00F24450">
        <w:rPr>
          <w:rFonts w:ascii="Garamond" w:hAnsi="Garamond"/>
        </w:rPr>
        <w:t>. Asian Development Bank.</w:t>
      </w:r>
    </w:p>
    <w:p w14:paraId="426DCAE1" w14:textId="77777777" w:rsidR="00F24450" w:rsidRPr="00F24450" w:rsidRDefault="00F24450" w:rsidP="00241862">
      <w:pPr>
        <w:spacing w:after="0" w:line="360" w:lineRule="auto"/>
        <w:ind w:left="720" w:hanging="720"/>
        <w:jc w:val="both"/>
        <w:rPr>
          <w:rFonts w:ascii="Garamond" w:hAnsi="Garamond"/>
        </w:rPr>
      </w:pPr>
      <w:r w:rsidRPr="00F24450">
        <w:rPr>
          <w:rFonts w:ascii="Garamond" w:hAnsi="Garamond"/>
        </w:rPr>
        <w:t xml:space="preserve">Adelekan, I. O. (2012). Vulnerability assessment of an urban flood in Nigeria: Abeokuta flood 2007. </w:t>
      </w:r>
      <w:r w:rsidRPr="00F24450">
        <w:rPr>
          <w:rFonts w:ascii="Garamond" w:hAnsi="Garamond"/>
          <w:i/>
          <w:iCs/>
        </w:rPr>
        <w:t>Natural Hazards, 56</w:t>
      </w:r>
      <w:r w:rsidRPr="00F24450">
        <w:rPr>
          <w:rFonts w:ascii="Garamond" w:hAnsi="Garamond"/>
        </w:rPr>
        <w:t xml:space="preserve">(1), 215–231. </w:t>
      </w:r>
      <w:hyperlink r:id="rId13" w:history="1">
        <w:r w:rsidRPr="00F24450">
          <w:rPr>
            <w:rStyle w:val="Hyperlink"/>
            <w:rFonts w:ascii="Garamond" w:hAnsi="Garamond"/>
            <w:color w:val="auto"/>
          </w:rPr>
          <w:t>https://doi.org/10.1007/s11069-010-9564-0</w:t>
        </w:r>
      </w:hyperlink>
    </w:p>
    <w:p w14:paraId="090CE0D9" w14:textId="77777777" w:rsidR="00F24450" w:rsidRPr="00F24450" w:rsidRDefault="00F24450" w:rsidP="00241862">
      <w:pPr>
        <w:spacing w:after="0" w:line="360" w:lineRule="auto"/>
        <w:ind w:left="720" w:hanging="720"/>
        <w:jc w:val="both"/>
        <w:rPr>
          <w:rFonts w:ascii="Garamond" w:hAnsi="Garamond"/>
        </w:rPr>
      </w:pPr>
      <w:r w:rsidRPr="00F24450">
        <w:rPr>
          <w:rFonts w:ascii="Garamond" w:hAnsi="Garamond"/>
        </w:rPr>
        <w:t xml:space="preserve">Alanda, J., Otieno, P., &amp; </w:t>
      </w:r>
      <w:proofErr w:type="spellStart"/>
      <w:r w:rsidRPr="00F24450">
        <w:rPr>
          <w:rFonts w:ascii="Garamond" w:hAnsi="Garamond"/>
        </w:rPr>
        <w:t>Kithiia</w:t>
      </w:r>
      <w:proofErr w:type="spellEnd"/>
      <w:r w:rsidRPr="00F24450">
        <w:rPr>
          <w:rFonts w:ascii="Garamond" w:hAnsi="Garamond"/>
        </w:rPr>
        <w:t xml:space="preserve">, J. (2024). Integrated urban resilience strategies in informal settlements of sub-Saharan Africa. </w:t>
      </w:r>
      <w:r w:rsidRPr="00F24450">
        <w:rPr>
          <w:rFonts w:ascii="Garamond" w:hAnsi="Garamond"/>
          <w:i/>
          <w:iCs/>
        </w:rPr>
        <w:t>Habitat International, 143</w:t>
      </w:r>
      <w:r w:rsidRPr="00F24450">
        <w:rPr>
          <w:rFonts w:ascii="Garamond" w:hAnsi="Garamond"/>
        </w:rPr>
        <w:t xml:space="preserve">, 102973. </w:t>
      </w:r>
      <w:hyperlink r:id="rId14" w:history="1">
        <w:r w:rsidRPr="00F24450">
          <w:rPr>
            <w:rStyle w:val="Hyperlink"/>
            <w:rFonts w:ascii="Garamond" w:hAnsi="Garamond"/>
            <w:color w:val="auto"/>
          </w:rPr>
          <w:t>https://doi.org/10.1016/j.habitatint.2023.102973</w:t>
        </w:r>
      </w:hyperlink>
    </w:p>
    <w:p w14:paraId="4E1AA6C5" w14:textId="77777777" w:rsidR="00F24450" w:rsidRPr="00F24450" w:rsidRDefault="00F24450" w:rsidP="00241862">
      <w:pPr>
        <w:spacing w:after="0" w:line="360" w:lineRule="auto"/>
        <w:ind w:left="720" w:hanging="720"/>
        <w:jc w:val="both"/>
        <w:rPr>
          <w:rFonts w:ascii="Garamond" w:hAnsi="Garamond"/>
        </w:rPr>
      </w:pPr>
      <w:r w:rsidRPr="00F24450">
        <w:rPr>
          <w:rFonts w:ascii="Garamond" w:hAnsi="Garamond"/>
        </w:rPr>
        <w:t xml:space="preserve">Amwata, D. A. (2025). Urban agriculture and climate resilience among informal settlement households in Kenya. </w:t>
      </w:r>
      <w:r w:rsidRPr="00F24450">
        <w:rPr>
          <w:rFonts w:ascii="Garamond" w:hAnsi="Garamond"/>
          <w:i/>
          <w:iCs/>
        </w:rPr>
        <w:t>Journal of Urban Sustainability, 9</w:t>
      </w:r>
      <w:r w:rsidRPr="00F24450">
        <w:rPr>
          <w:rFonts w:ascii="Garamond" w:hAnsi="Garamond"/>
        </w:rPr>
        <w:t>(1), 44–61.</w:t>
      </w:r>
    </w:p>
    <w:p w14:paraId="6F7CA769" w14:textId="77777777" w:rsidR="00F24450" w:rsidRPr="00F24450" w:rsidRDefault="00F24450" w:rsidP="00241862">
      <w:pPr>
        <w:spacing w:after="0" w:line="360" w:lineRule="auto"/>
        <w:ind w:left="720" w:hanging="720"/>
        <w:jc w:val="both"/>
        <w:rPr>
          <w:rFonts w:ascii="Garamond" w:hAnsi="Garamond"/>
        </w:rPr>
      </w:pPr>
      <w:r w:rsidRPr="00F24450">
        <w:rPr>
          <w:rFonts w:ascii="Garamond" w:hAnsi="Garamond"/>
        </w:rPr>
        <w:t xml:space="preserve">Andersen, L. S., Corburn, J., &amp; Sverdlik, A. (2023). Climate change, housing, and health in informal settlements: Evidence from Nairobi. </w:t>
      </w:r>
      <w:r w:rsidRPr="00F24450">
        <w:rPr>
          <w:rFonts w:ascii="Garamond" w:hAnsi="Garamond"/>
          <w:i/>
          <w:iCs/>
        </w:rPr>
        <w:t>Environment and Urbanization, 35</w:t>
      </w:r>
      <w:r w:rsidRPr="00F24450">
        <w:rPr>
          <w:rFonts w:ascii="Garamond" w:hAnsi="Garamond"/>
        </w:rPr>
        <w:t xml:space="preserve">(2), 523–542. </w:t>
      </w:r>
      <w:hyperlink r:id="rId15" w:history="1">
        <w:r w:rsidRPr="00F24450">
          <w:rPr>
            <w:rStyle w:val="Hyperlink"/>
            <w:rFonts w:ascii="Garamond" w:hAnsi="Garamond"/>
            <w:color w:val="auto"/>
          </w:rPr>
          <w:t>https://doi.org/10.1177/09562478231123456</w:t>
        </w:r>
      </w:hyperlink>
    </w:p>
    <w:p w14:paraId="1C2F4ACD" w14:textId="77777777" w:rsidR="00F24450" w:rsidRPr="00F24450" w:rsidRDefault="00F24450" w:rsidP="00241862">
      <w:pPr>
        <w:spacing w:after="0" w:line="360" w:lineRule="auto"/>
        <w:ind w:left="720" w:hanging="720"/>
        <w:jc w:val="both"/>
        <w:rPr>
          <w:rFonts w:ascii="Garamond" w:hAnsi="Garamond"/>
        </w:rPr>
      </w:pPr>
      <w:r w:rsidRPr="00F24450">
        <w:rPr>
          <w:rFonts w:ascii="Garamond" w:hAnsi="Garamond"/>
        </w:rPr>
        <w:t xml:space="preserve">Andersen, L. S., Corburn, J., &amp; Mberu, B. (2024). Climate change knowledge, attitudes, practices, and health risks in Mukuru informal settlement, Nairobi. </w:t>
      </w:r>
      <w:r w:rsidRPr="00F24450">
        <w:rPr>
          <w:rFonts w:ascii="Garamond" w:hAnsi="Garamond"/>
          <w:i/>
          <w:iCs/>
        </w:rPr>
        <w:t>International Journal of Environmental Research and Public Health, 21</w:t>
      </w:r>
      <w:r w:rsidRPr="00F24450">
        <w:rPr>
          <w:rFonts w:ascii="Garamond" w:hAnsi="Garamond"/>
        </w:rPr>
        <w:t xml:space="preserve">(3), 1184. </w:t>
      </w:r>
      <w:hyperlink r:id="rId16" w:history="1">
        <w:r w:rsidRPr="00F24450">
          <w:rPr>
            <w:rStyle w:val="Hyperlink"/>
            <w:rFonts w:ascii="Garamond" w:hAnsi="Garamond"/>
            <w:color w:val="auto"/>
          </w:rPr>
          <w:t>https://doi.org/10.3390/ijerph21031184</w:t>
        </w:r>
      </w:hyperlink>
    </w:p>
    <w:p w14:paraId="5D55646D" w14:textId="77777777" w:rsidR="00F24450" w:rsidRPr="00F24450" w:rsidRDefault="00F24450" w:rsidP="00241862">
      <w:pPr>
        <w:spacing w:after="0" w:line="360" w:lineRule="auto"/>
        <w:ind w:left="720" w:hanging="720"/>
        <w:jc w:val="both"/>
        <w:rPr>
          <w:rFonts w:ascii="Garamond" w:hAnsi="Garamond"/>
        </w:rPr>
      </w:pPr>
      <w:r w:rsidRPr="00F24450">
        <w:rPr>
          <w:rFonts w:ascii="Garamond" w:hAnsi="Garamond"/>
        </w:rPr>
        <w:t xml:space="preserve">Balakrishnan, K., Ng, C. F. S., &amp; Smith, K. R. (2024). Climate vulnerability and urban poverty in African cities: Evidence from Nairobi. </w:t>
      </w:r>
      <w:r w:rsidRPr="00F24450">
        <w:rPr>
          <w:rFonts w:ascii="Garamond" w:hAnsi="Garamond"/>
          <w:i/>
          <w:iCs/>
        </w:rPr>
        <w:t>The Lancet Planetary Health, 8</w:t>
      </w:r>
      <w:r w:rsidRPr="00F24450">
        <w:rPr>
          <w:rFonts w:ascii="Garamond" w:hAnsi="Garamond"/>
        </w:rPr>
        <w:t xml:space="preserve">(2), e92–e103. </w:t>
      </w:r>
      <w:hyperlink r:id="rId17" w:history="1">
        <w:r w:rsidRPr="00F24450">
          <w:rPr>
            <w:rStyle w:val="Hyperlink"/>
            <w:rFonts w:ascii="Garamond" w:hAnsi="Garamond"/>
            <w:color w:val="auto"/>
          </w:rPr>
          <w:t>https://doi.org/10.1016/S2542-5196(23)00241-9</w:t>
        </w:r>
      </w:hyperlink>
    </w:p>
    <w:p w14:paraId="2FFA8E27" w14:textId="77777777" w:rsidR="00F24450" w:rsidRPr="00F24450" w:rsidRDefault="00F24450" w:rsidP="00241862">
      <w:pPr>
        <w:spacing w:after="0" w:line="360" w:lineRule="auto"/>
        <w:ind w:left="720" w:hanging="720"/>
        <w:jc w:val="both"/>
        <w:rPr>
          <w:rFonts w:ascii="Garamond" w:hAnsi="Garamond"/>
        </w:rPr>
      </w:pPr>
      <w:r w:rsidRPr="00F24450">
        <w:rPr>
          <w:rFonts w:ascii="Garamond" w:hAnsi="Garamond"/>
        </w:rPr>
        <w:t xml:space="preserve">Bhanye, N. (2025). Governance, inequality, and climate adaptation in informal settlements of East Africa. </w:t>
      </w:r>
      <w:r w:rsidRPr="00F24450">
        <w:rPr>
          <w:rFonts w:ascii="Garamond" w:hAnsi="Garamond"/>
          <w:i/>
          <w:iCs/>
        </w:rPr>
        <w:t>African Geographical Review, 44</w:t>
      </w:r>
      <w:r w:rsidRPr="00F24450">
        <w:rPr>
          <w:rFonts w:ascii="Garamond" w:hAnsi="Garamond"/>
        </w:rPr>
        <w:t xml:space="preserve">(1), 1–18. </w:t>
      </w:r>
      <w:hyperlink r:id="rId18" w:history="1">
        <w:r w:rsidRPr="00F24450">
          <w:rPr>
            <w:rStyle w:val="Hyperlink"/>
            <w:rFonts w:ascii="Garamond" w:hAnsi="Garamond"/>
            <w:color w:val="auto"/>
          </w:rPr>
          <w:t>https://doi.org/10.1080/19376812.2024.2345678</w:t>
        </w:r>
      </w:hyperlink>
    </w:p>
    <w:p w14:paraId="3A2C3EDE" w14:textId="77777777" w:rsidR="00F24450" w:rsidRPr="00F24450" w:rsidRDefault="00F24450" w:rsidP="00241862">
      <w:pPr>
        <w:spacing w:after="0" w:line="360" w:lineRule="auto"/>
        <w:ind w:left="720" w:hanging="720"/>
        <w:jc w:val="both"/>
        <w:rPr>
          <w:rFonts w:ascii="Garamond" w:hAnsi="Garamond"/>
        </w:rPr>
      </w:pPr>
      <w:r w:rsidRPr="00F24450">
        <w:rPr>
          <w:rFonts w:ascii="Garamond" w:hAnsi="Garamond"/>
        </w:rPr>
        <w:t xml:space="preserve">Caleb, M., Otieno, R., &amp; Wekesa, B. (2024). Social capital and household resilience to climate shocks in urban informal settlements. </w:t>
      </w:r>
      <w:r w:rsidRPr="00F24450">
        <w:rPr>
          <w:rFonts w:ascii="Garamond" w:hAnsi="Garamond"/>
          <w:i/>
          <w:iCs/>
        </w:rPr>
        <w:t>World Development Perspectives, 33</w:t>
      </w:r>
      <w:r w:rsidRPr="00F24450">
        <w:rPr>
          <w:rFonts w:ascii="Garamond" w:hAnsi="Garamond"/>
        </w:rPr>
        <w:t xml:space="preserve">, 100570. </w:t>
      </w:r>
      <w:hyperlink r:id="rId19" w:history="1">
        <w:r w:rsidRPr="00F24450">
          <w:rPr>
            <w:rStyle w:val="Hyperlink"/>
            <w:rFonts w:ascii="Garamond" w:hAnsi="Garamond"/>
            <w:color w:val="auto"/>
          </w:rPr>
          <w:t>https://doi.org/10.1016/j.wdp.2024.100570</w:t>
        </w:r>
      </w:hyperlink>
    </w:p>
    <w:p w14:paraId="4E74962D" w14:textId="77777777" w:rsidR="00F24450" w:rsidRPr="00F24450" w:rsidRDefault="00F24450" w:rsidP="00241862">
      <w:pPr>
        <w:spacing w:after="0" w:line="360" w:lineRule="auto"/>
        <w:ind w:left="720" w:hanging="720"/>
        <w:jc w:val="both"/>
        <w:rPr>
          <w:rFonts w:ascii="Garamond" w:hAnsi="Garamond"/>
        </w:rPr>
      </w:pPr>
      <w:r w:rsidRPr="00F24450">
        <w:rPr>
          <w:rFonts w:ascii="Garamond" w:hAnsi="Garamond"/>
        </w:rPr>
        <w:t xml:space="preserve">Corburn, J., Sverdlik, A., &amp; Patterson, J. (2022). Informal settlements and urban climate adaptation in Africa. </w:t>
      </w:r>
      <w:r w:rsidRPr="00F24450">
        <w:rPr>
          <w:rFonts w:ascii="Garamond" w:hAnsi="Garamond"/>
          <w:i/>
          <w:iCs/>
        </w:rPr>
        <w:t>Annual Review of Environment and Resources, 47</w:t>
      </w:r>
      <w:r w:rsidRPr="00F24450">
        <w:rPr>
          <w:rFonts w:ascii="Garamond" w:hAnsi="Garamond"/>
        </w:rPr>
        <w:t xml:space="preserve">, 535–563. </w:t>
      </w:r>
      <w:hyperlink r:id="rId20" w:history="1">
        <w:r w:rsidRPr="00F24450">
          <w:rPr>
            <w:rStyle w:val="Hyperlink"/>
            <w:rFonts w:ascii="Garamond" w:hAnsi="Garamond"/>
            <w:color w:val="auto"/>
          </w:rPr>
          <w:t>https://doi.org/10.1146/annurev-environ-112420-045112</w:t>
        </w:r>
      </w:hyperlink>
    </w:p>
    <w:p w14:paraId="69B219C8" w14:textId="77777777" w:rsidR="00F24450" w:rsidRPr="00F24450" w:rsidRDefault="00F24450" w:rsidP="00241862">
      <w:pPr>
        <w:spacing w:after="0" w:line="360" w:lineRule="auto"/>
        <w:ind w:left="720" w:hanging="720"/>
        <w:jc w:val="both"/>
        <w:rPr>
          <w:rFonts w:ascii="Garamond" w:hAnsi="Garamond"/>
        </w:rPr>
      </w:pPr>
      <w:r w:rsidRPr="00F24450">
        <w:rPr>
          <w:rFonts w:ascii="Garamond" w:hAnsi="Garamond"/>
        </w:rPr>
        <w:t xml:space="preserve">County Report. (2025). </w:t>
      </w:r>
      <w:r w:rsidRPr="00F24450">
        <w:rPr>
          <w:rFonts w:ascii="Garamond" w:hAnsi="Garamond"/>
          <w:i/>
          <w:iCs/>
        </w:rPr>
        <w:t>Nairobi City County climate risk and resilience report</w:t>
      </w:r>
      <w:r w:rsidRPr="00F24450">
        <w:rPr>
          <w:rFonts w:ascii="Garamond" w:hAnsi="Garamond"/>
        </w:rPr>
        <w:t>. Nairobi City County Government.</w:t>
      </w:r>
    </w:p>
    <w:p w14:paraId="7093FAE6" w14:textId="77777777" w:rsidR="00F24450" w:rsidRPr="00F24450" w:rsidRDefault="00F24450" w:rsidP="00241862">
      <w:pPr>
        <w:spacing w:after="0" w:line="360" w:lineRule="auto"/>
        <w:ind w:left="720" w:hanging="720"/>
        <w:jc w:val="both"/>
        <w:rPr>
          <w:rFonts w:ascii="Garamond" w:hAnsi="Garamond"/>
        </w:rPr>
      </w:pPr>
      <w:r w:rsidRPr="00F24450">
        <w:rPr>
          <w:rFonts w:ascii="Garamond" w:hAnsi="Garamond"/>
        </w:rPr>
        <w:lastRenderedPageBreak/>
        <w:t xml:space="preserve">Earth Observation. (2025). </w:t>
      </w:r>
      <w:r w:rsidRPr="00F24450">
        <w:rPr>
          <w:rFonts w:ascii="Garamond" w:hAnsi="Garamond"/>
          <w:i/>
          <w:iCs/>
        </w:rPr>
        <w:t>Spatial mapping of informal settlements in Nairobi City County</w:t>
      </w:r>
      <w:r w:rsidRPr="00F24450">
        <w:rPr>
          <w:rFonts w:ascii="Garamond" w:hAnsi="Garamond"/>
        </w:rPr>
        <w:t>. Author.</w:t>
      </w:r>
    </w:p>
    <w:p w14:paraId="780D434F" w14:textId="77777777" w:rsidR="00F24450" w:rsidRPr="00F24450" w:rsidRDefault="00F24450" w:rsidP="00241862">
      <w:pPr>
        <w:spacing w:after="0" w:line="360" w:lineRule="auto"/>
        <w:ind w:left="720" w:hanging="720"/>
        <w:jc w:val="both"/>
        <w:rPr>
          <w:rFonts w:ascii="Garamond" w:hAnsi="Garamond"/>
        </w:rPr>
      </w:pPr>
      <w:r w:rsidRPr="00F24450">
        <w:rPr>
          <w:rFonts w:ascii="Garamond" w:hAnsi="Garamond"/>
        </w:rPr>
        <w:t xml:space="preserve">Fransen, J., du Toit, M., &amp; Ziervogel, G. (2024). Bridging community adaptation and urban governance in African cities. </w:t>
      </w:r>
      <w:r w:rsidRPr="00F24450">
        <w:rPr>
          <w:rFonts w:ascii="Garamond" w:hAnsi="Garamond"/>
          <w:i/>
          <w:iCs/>
        </w:rPr>
        <w:t>Urban Climate, 51</w:t>
      </w:r>
      <w:r w:rsidRPr="00F24450">
        <w:rPr>
          <w:rFonts w:ascii="Garamond" w:hAnsi="Garamond"/>
        </w:rPr>
        <w:t xml:space="preserve">, 101642. </w:t>
      </w:r>
      <w:hyperlink r:id="rId21" w:history="1">
        <w:r w:rsidRPr="00F24450">
          <w:rPr>
            <w:rStyle w:val="Hyperlink"/>
            <w:rFonts w:ascii="Garamond" w:hAnsi="Garamond"/>
            <w:color w:val="auto"/>
          </w:rPr>
          <w:t>https://doi.org/10.1016/j.uclim.2023.101642</w:t>
        </w:r>
      </w:hyperlink>
    </w:p>
    <w:p w14:paraId="2FDC3459" w14:textId="77777777" w:rsidR="00F24450" w:rsidRPr="00F24450" w:rsidRDefault="00F24450" w:rsidP="00241862">
      <w:pPr>
        <w:spacing w:after="0" w:line="360" w:lineRule="auto"/>
        <w:ind w:left="720" w:hanging="720"/>
        <w:jc w:val="both"/>
        <w:rPr>
          <w:rFonts w:ascii="Garamond" w:hAnsi="Garamond"/>
        </w:rPr>
      </w:pPr>
      <w:r w:rsidRPr="00F24450">
        <w:rPr>
          <w:rFonts w:ascii="Garamond" w:hAnsi="Garamond"/>
        </w:rPr>
        <w:t xml:space="preserve">GCA. (2022). </w:t>
      </w:r>
      <w:r w:rsidRPr="00F24450">
        <w:rPr>
          <w:rFonts w:ascii="Garamond" w:hAnsi="Garamond"/>
          <w:i/>
          <w:iCs/>
        </w:rPr>
        <w:t>State and trends in adaptation 2022: Africa</w:t>
      </w:r>
      <w:r w:rsidRPr="00F24450">
        <w:rPr>
          <w:rFonts w:ascii="Garamond" w:hAnsi="Garamond"/>
        </w:rPr>
        <w:t>. Global Center on Adaptation.</w:t>
      </w:r>
    </w:p>
    <w:p w14:paraId="2DD0FD8B" w14:textId="77777777" w:rsidR="00F24450" w:rsidRPr="00F24450" w:rsidRDefault="00F24450" w:rsidP="00241862">
      <w:pPr>
        <w:spacing w:after="0" w:line="360" w:lineRule="auto"/>
        <w:ind w:left="720" w:hanging="720"/>
        <w:jc w:val="both"/>
        <w:rPr>
          <w:rFonts w:ascii="Garamond" w:hAnsi="Garamond"/>
        </w:rPr>
      </w:pPr>
      <w:r w:rsidRPr="00F24450">
        <w:rPr>
          <w:rFonts w:ascii="Garamond" w:hAnsi="Garamond"/>
        </w:rPr>
        <w:t xml:space="preserve">Greibe, J., Nyongesa, J., &amp; Pedersen, M. (2023). Community-based flood risk reduction in informal settlements. </w:t>
      </w:r>
      <w:r w:rsidRPr="00F24450">
        <w:rPr>
          <w:rFonts w:ascii="Garamond" w:hAnsi="Garamond"/>
          <w:i/>
          <w:iCs/>
        </w:rPr>
        <w:t>International Journal of Disaster Risk Reduction, 91</w:t>
      </w:r>
      <w:r w:rsidRPr="00F24450">
        <w:rPr>
          <w:rFonts w:ascii="Garamond" w:hAnsi="Garamond"/>
        </w:rPr>
        <w:t xml:space="preserve">, 103645. </w:t>
      </w:r>
      <w:hyperlink r:id="rId22" w:history="1">
        <w:r w:rsidRPr="00F24450">
          <w:rPr>
            <w:rStyle w:val="Hyperlink"/>
            <w:rFonts w:ascii="Garamond" w:hAnsi="Garamond"/>
            <w:color w:val="auto"/>
          </w:rPr>
          <w:t>https://doi.org/10.1016/j.ijdrr.2023.103645</w:t>
        </w:r>
      </w:hyperlink>
    </w:p>
    <w:p w14:paraId="459B94B6" w14:textId="77777777" w:rsidR="00F24450" w:rsidRPr="00F24450" w:rsidRDefault="00F24450" w:rsidP="00241862">
      <w:pPr>
        <w:spacing w:after="0" w:line="360" w:lineRule="auto"/>
        <w:ind w:left="720" w:hanging="720"/>
        <w:jc w:val="both"/>
        <w:rPr>
          <w:rFonts w:ascii="Garamond" w:hAnsi="Garamond"/>
        </w:rPr>
      </w:pPr>
      <w:r w:rsidRPr="00F24450">
        <w:rPr>
          <w:rFonts w:ascii="Garamond" w:hAnsi="Garamond"/>
        </w:rPr>
        <w:t xml:space="preserve">Hussainzad, M., &amp; Zhonghua, T. (2024). Socioeconomic vulnerability and climate risk in informal settlements: A global review. </w:t>
      </w:r>
      <w:r w:rsidRPr="00F24450">
        <w:rPr>
          <w:rFonts w:ascii="Garamond" w:hAnsi="Garamond"/>
          <w:i/>
          <w:iCs/>
        </w:rPr>
        <w:t>Climate Risk Management, 43</w:t>
      </w:r>
      <w:r w:rsidRPr="00F24450">
        <w:rPr>
          <w:rFonts w:ascii="Garamond" w:hAnsi="Garamond"/>
        </w:rPr>
        <w:t xml:space="preserve">, 100535. </w:t>
      </w:r>
      <w:hyperlink r:id="rId23" w:history="1">
        <w:r w:rsidRPr="00F24450">
          <w:rPr>
            <w:rStyle w:val="Hyperlink"/>
            <w:rFonts w:ascii="Garamond" w:hAnsi="Garamond"/>
            <w:color w:val="auto"/>
          </w:rPr>
          <w:t>https://doi.org/10.1016/j.crm.2024.100535</w:t>
        </w:r>
      </w:hyperlink>
    </w:p>
    <w:p w14:paraId="7CA4F470" w14:textId="77777777" w:rsidR="00F24450" w:rsidRPr="00F24450" w:rsidRDefault="00F24450" w:rsidP="00241862">
      <w:pPr>
        <w:spacing w:after="0" w:line="360" w:lineRule="auto"/>
        <w:ind w:left="720" w:hanging="720"/>
        <w:jc w:val="both"/>
        <w:rPr>
          <w:rFonts w:ascii="Garamond" w:hAnsi="Garamond"/>
        </w:rPr>
      </w:pPr>
      <w:r w:rsidRPr="00F24450">
        <w:rPr>
          <w:rFonts w:ascii="Garamond" w:hAnsi="Garamond"/>
        </w:rPr>
        <w:t xml:space="preserve">IJRISS. (2025). Socioeconomic drivers of climate vulnerability in informal settlements: A global synthesis. </w:t>
      </w:r>
      <w:r w:rsidRPr="00F24450">
        <w:rPr>
          <w:rFonts w:ascii="Garamond" w:hAnsi="Garamond"/>
          <w:i/>
          <w:iCs/>
        </w:rPr>
        <w:t>International Journal of Research in Social Sciences, 15</w:t>
      </w:r>
      <w:r w:rsidRPr="00F24450">
        <w:rPr>
          <w:rFonts w:ascii="Garamond" w:hAnsi="Garamond"/>
        </w:rPr>
        <w:t>(1), 22–39.</w:t>
      </w:r>
    </w:p>
    <w:p w14:paraId="5F426339" w14:textId="77777777" w:rsidR="00F24450" w:rsidRPr="00F24450" w:rsidRDefault="00F24450" w:rsidP="00241862">
      <w:pPr>
        <w:spacing w:after="0" w:line="360" w:lineRule="auto"/>
        <w:ind w:left="720" w:hanging="720"/>
        <w:jc w:val="both"/>
        <w:rPr>
          <w:rFonts w:ascii="Garamond" w:hAnsi="Garamond"/>
        </w:rPr>
      </w:pPr>
      <w:r w:rsidRPr="00F24450">
        <w:rPr>
          <w:rFonts w:ascii="Garamond" w:hAnsi="Garamond"/>
        </w:rPr>
        <w:t xml:space="preserve">International Journal of Disaster Risk Reduction. (2021). Flood coping strategies in urban informal settlements. </w:t>
      </w:r>
      <w:r w:rsidRPr="00F24450">
        <w:rPr>
          <w:rFonts w:ascii="Garamond" w:hAnsi="Garamond"/>
          <w:i/>
          <w:iCs/>
        </w:rPr>
        <w:t>International Journal of Disaster Risk Reduction, 60</w:t>
      </w:r>
      <w:r w:rsidRPr="00F24450">
        <w:rPr>
          <w:rFonts w:ascii="Garamond" w:hAnsi="Garamond"/>
        </w:rPr>
        <w:t xml:space="preserve">, 102276. </w:t>
      </w:r>
      <w:hyperlink r:id="rId24" w:history="1">
        <w:r w:rsidRPr="00F24450">
          <w:rPr>
            <w:rStyle w:val="Hyperlink"/>
            <w:rFonts w:ascii="Garamond" w:hAnsi="Garamond"/>
            <w:color w:val="auto"/>
          </w:rPr>
          <w:t>https://doi.org/10.1016/j.ijdrr.2021.102276</w:t>
        </w:r>
      </w:hyperlink>
    </w:p>
    <w:p w14:paraId="10E56956" w14:textId="77777777" w:rsidR="00F24450" w:rsidRPr="00F24450" w:rsidRDefault="00F24450" w:rsidP="00241862">
      <w:pPr>
        <w:spacing w:after="0" w:line="360" w:lineRule="auto"/>
        <w:ind w:left="720" w:hanging="720"/>
        <w:jc w:val="both"/>
        <w:rPr>
          <w:rFonts w:ascii="Garamond" w:hAnsi="Garamond"/>
        </w:rPr>
      </w:pPr>
      <w:r w:rsidRPr="00241862">
        <w:rPr>
          <w:rFonts w:ascii="Garamond" w:hAnsi="Garamond"/>
          <w:lang w:val="fi-FI"/>
        </w:rPr>
        <w:t xml:space="preserve">Jimoh, S. O., Ajewole, O. C., &amp; Olayinka, D. N. (2021). </w:t>
      </w:r>
      <w:r w:rsidRPr="00F24450">
        <w:rPr>
          <w:rFonts w:ascii="Garamond" w:hAnsi="Garamond"/>
        </w:rPr>
        <w:t xml:space="preserve">Socio-demographic determinants of climate change vulnerability in the Global South. </w:t>
      </w:r>
      <w:r w:rsidRPr="00F24450">
        <w:rPr>
          <w:rFonts w:ascii="Garamond" w:hAnsi="Garamond"/>
          <w:i/>
          <w:iCs/>
        </w:rPr>
        <w:t>Climate and Development, 13</w:t>
      </w:r>
      <w:r w:rsidRPr="00F24450">
        <w:rPr>
          <w:rFonts w:ascii="Garamond" w:hAnsi="Garamond"/>
        </w:rPr>
        <w:t xml:space="preserve">(4), 345–357. </w:t>
      </w:r>
      <w:hyperlink r:id="rId25" w:history="1">
        <w:r w:rsidRPr="00F24450">
          <w:rPr>
            <w:rStyle w:val="Hyperlink"/>
            <w:rFonts w:ascii="Garamond" w:hAnsi="Garamond"/>
            <w:color w:val="auto"/>
          </w:rPr>
          <w:t>https://doi.org/10.1080/17565529.2020.1782883</w:t>
        </w:r>
      </w:hyperlink>
    </w:p>
    <w:p w14:paraId="4C06C3BC" w14:textId="77777777" w:rsidR="00F24450" w:rsidRPr="00F24450" w:rsidRDefault="00F24450" w:rsidP="00241862">
      <w:pPr>
        <w:spacing w:after="0" w:line="360" w:lineRule="auto"/>
        <w:ind w:left="720" w:hanging="720"/>
        <w:jc w:val="both"/>
        <w:rPr>
          <w:rFonts w:ascii="Garamond" w:hAnsi="Garamond"/>
        </w:rPr>
      </w:pPr>
      <w:r w:rsidRPr="00F24450">
        <w:rPr>
          <w:rFonts w:ascii="Garamond" w:hAnsi="Garamond"/>
        </w:rPr>
        <w:t xml:space="preserve">Kibii, J., Nyambura, M., &amp; Mwangi, E. (2025). Nature-based solutions for flood resilience in Nairobi’s informal settlements. </w:t>
      </w:r>
      <w:r w:rsidRPr="00F24450">
        <w:rPr>
          <w:rFonts w:ascii="Garamond" w:hAnsi="Garamond"/>
          <w:i/>
          <w:iCs/>
        </w:rPr>
        <w:t>Sustainable Cities and Society, 104</w:t>
      </w:r>
      <w:r w:rsidRPr="00F24450">
        <w:rPr>
          <w:rFonts w:ascii="Garamond" w:hAnsi="Garamond"/>
        </w:rPr>
        <w:t xml:space="preserve">, 105243. </w:t>
      </w:r>
      <w:hyperlink r:id="rId26" w:history="1">
        <w:r w:rsidRPr="00F24450">
          <w:rPr>
            <w:rStyle w:val="Hyperlink"/>
            <w:rFonts w:ascii="Garamond" w:hAnsi="Garamond"/>
            <w:color w:val="auto"/>
          </w:rPr>
          <w:t>https://doi.org/10.1016/j.scs.2024.105243</w:t>
        </w:r>
      </w:hyperlink>
    </w:p>
    <w:p w14:paraId="3A8FE5AE" w14:textId="77777777" w:rsidR="00F24450" w:rsidRPr="00F24450" w:rsidRDefault="00F24450" w:rsidP="00241862">
      <w:pPr>
        <w:spacing w:after="0" w:line="360" w:lineRule="auto"/>
        <w:ind w:left="720" w:hanging="720"/>
        <w:jc w:val="both"/>
        <w:rPr>
          <w:rFonts w:ascii="Garamond" w:hAnsi="Garamond"/>
        </w:rPr>
      </w:pPr>
      <w:r w:rsidRPr="00F24450">
        <w:rPr>
          <w:rFonts w:ascii="Garamond" w:hAnsi="Garamond"/>
        </w:rPr>
        <w:t xml:space="preserve">Lydecker, M., &amp; Drechsel, P. (2010). Urban agriculture and sanitation services in informal settlements. </w:t>
      </w:r>
      <w:r w:rsidRPr="00F24450">
        <w:rPr>
          <w:rFonts w:ascii="Garamond" w:hAnsi="Garamond"/>
          <w:i/>
          <w:iCs/>
        </w:rPr>
        <w:t>IWMI Research Report, 137</w:t>
      </w:r>
      <w:r w:rsidRPr="00F24450">
        <w:rPr>
          <w:rFonts w:ascii="Garamond" w:hAnsi="Garamond"/>
        </w:rPr>
        <w:t>, 1–36.</w:t>
      </w:r>
    </w:p>
    <w:p w14:paraId="3D6B0AA5" w14:textId="77777777" w:rsidR="00F24450" w:rsidRPr="00F24450" w:rsidRDefault="00F24450" w:rsidP="00241862">
      <w:pPr>
        <w:spacing w:after="0" w:line="360" w:lineRule="auto"/>
        <w:ind w:left="720" w:hanging="720"/>
        <w:jc w:val="both"/>
        <w:rPr>
          <w:rFonts w:ascii="Garamond" w:hAnsi="Garamond"/>
        </w:rPr>
      </w:pPr>
      <w:r w:rsidRPr="00F24450">
        <w:rPr>
          <w:rFonts w:ascii="Garamond" w:hAnsi="Garamond"/>
        </w:rPr>
        <w:t xml:space="preserve">Mackay, J., Brown, D., &amp; Murray, V. (2021). Household resilience and social networks under climate stress. </w:t>
      </w:r>
      <w:r w:rsidRPr="00F24450">
        <w:rPr>
          <w:rFonts w:ascii="Garamond" w:hAnsi="Garamond"/>
          <w:i/>
          <w:iCs/>
        </w:rPr>
        <w:t>Global Environmental Change, 68</w:t>
      </w:r>
      <w:r w:rsidRPr="00F24450">
        <w:rPr>
          <w:rFonts w:ascii="Garamond" w:hAnsi="Garamond"/>
        </w:rPr>
        <w:t xml:space="preserve">, 102247. </w:t>
      </w:r>
      <w:hyperlink r:id="rId27" w:history="1">
        <w:r w:rsidRPr="00F24450">
          <w:rPr>
            <w:rStyle w:val="Hyperlink"/>
            <w:rFonts w:ascii="Garamond" w:hAnsi="Garamond"/>
            <w:color w:val="auto"/>
          </w:rPr>
          <w:t>https://doi.org/10.1016/j.gloenvcha.2021.102247</w:t>
        </w:r>
      </w:hyperlink>
    </w:p>
    <w:p w14:paraId="4E842BE4" w14:textId="77777777" w:rsidR="00F24450" w:rsidRPr="00F24450" w:rsidRDefault="00F24450" w:rsidP="00241862">
      <w:pPr>
        <w:spacing w:after="0" w:line="360" w:lineRule="auto"/>
        <w:ind w:left="720" w:hanging="720"/>
        <w:jc w:val="both"/>
        <w:rPr>
          <w:rFonts w:ascii="Garamond" w:hAnsi="Garamond"/>
        </w:rPr>
      </w:pPr>
      <w:r w:rsidRPr="00F24450">
        <w:rPr>
          <w:rFonts w:ascii="Garamond" w:hAnsi="Garamond"/>
        </w:rPr>
        <w:t xml:space="preserve">Maji Na Ufanisi. (2016). </w:t>
      </w:r>
      <w:r w:rsidRPr="00F24450">
        <w:rPr>
          <w:rFonts w:ascii="Garamond" w:hAnsi="Garamond"/>
          <w:i/>
          <w:iCs/>
        </w:rPr>
        <w:t>Informal settlements upgrading and climate resilience in Nairobi</w:t>
      </w:r>
      <w:r w:rsidRPr="00F24450">
        <w:rPr>
          <w:rFonts w:ascii="Garamond" w:hAnsi="Garamond"/>
        </w:rPr>
        <w:t>. Maji Na Ufanisi Trust.</w:t>
      </w:r>
    </w:p>
    <w:p w14:paraId="3F949C66" w14:textId="77777777" w:rsidR="00F24450" w:rsidRPr="00F24450" w:rsidRDefault="00F24450" w:rsidP="00241862">
      <w:pPr>
        <w:spacing w:after="0" w:line="360" w:lineRule="auto"/>
        <w:ind w:left="720" w:hanging="720"/>
        <w:jc w:val="both"/>
        <w:rPr>
          <w:rFonts w:ascii="Garamond" w:hAnsi="Garamond"/>
        </w:rPr>
      </w:pPr>
      <w:r w:rsidRPr="00F24450">
        <w:rPr>
          <w:rFonts w:ascii="Garamond" w:hAnsi="Garamond"/>
        </w:rPr>
        <w:t xml:space="preserve">Miller, F., Osbahr, H., &amp; Boyd, E. (2020). Social capital and adaptation pathways. </w:t>
      </w:r>
      <w:r w:rsidRPr="00F24450">
        <w:rPr>
          <w:rFonts w:ascii="Garamond" w:hAnsi="Garamond"/>
          <w:i/>
          <w:iCs/>
        </w:rPr>
        <w:t>Ecology and Society, 25</w:t>
      </w:r>
      <w:r w:rsidRPr="00F24450">
        <w:rPr>
          <w:rFonts w:ascii="Garamond" w:hAnsi="Garamond"/>
        </w:rPr>
        <w:t xml:space="preserve">(3), 15. </w:t>
      </w:r>
      <w:hyperlink r:id="rId28" w:history="1">
        <w:r w:rsidRPr="00F24450">
          <w:rPr>
            <w:rStyle w:val="Hyperlink"/>
            <w:rFonts w:ascii="Garamond" w:hAnsi="Garamond"/>
            <w:color w:val="auto"/>
          </w:rPr>
          <w:t>https://doi.org/10.5751/ES-11731-250315</w:t>
        </w:r>
      </w:hyperlink>
    </w:p>
    <w:p w14:paraId="4340D556" w14:textId="77777777" w:rsidR="00F24450" w:rsidRPr="00F24450" w:rsidRDefault="00F24450" w:rsidP="00241862">
      <w:pPr>
        <w:spacing w:after="0" w:line="360" w:lineRule="auto"/>
        <w:ind w:left="720" w:hanging="720"/>
        <w:jc w:val="both"/>
        <w:rPr>
          <w:rFonts w:ascii="Garamond" w:hAnsi="Garamond"/>
        </w:rPr>
      </w:pPr>
      <w:r w:rsidRPr="00F24450">
        <w:rPr>
          <w:rFonts w:ascii="Garamond" w:hAnsi="Garamond"/>
        </w:rPr>
        <w:t xml:space="preserve">Muchiri, A., &amp; Opiyo, F. (2022). Community-based adaptation in Nairobi’s informal settlements. </w:t>
      </w:r>
      <w:r w:rsidRPr="00F24450">
        <w:rPr>
          <w:rFonts w:ascii="Garamond" w:hAnsi="Garamond"/>
          <w:i/>
          <w:iCs/>
        </w:rPr>
        <w:t>Climate and Development, 14</w:t>
      </w:r>
      <w:r w:rsidRPr="00F24450">
        <w:rPr>
          <w:rFonts w:ascii="Garamond" w:hAnsi="Garamond"/>
        </w:rPr>
        <w:t xml:space="preserve">(6), 512–525. </w:t>
      </w:r>
      <w:hyperlink r:id="rId29" w:history="1">
        <w:r w:rsidRPr="00F24450">
          <w:rPr>
            <w:rStyle w:val="Hyperlink"/>
            <w:rFonts w:ascii="Garamond" w:hAnsi="Garamond"/>
            <w:color w:val="auto"/>
          </w:rPr>
          <w:t>https://doi.org/10.1080/17565529.2021.1975921</w:t>
        </w:r>
      </w:hyperlink>
    </w:p>
    <w:p w14:paraId="29452DBE" w14:textId="77777777" w:rsidR="00F24450" w:rsidRPr="00F24450" w:rsidRDefault="00F24450" w:rsidP="00241862">
      <w:pPr>
        <w:spacing w:after="0" w:line="360" w:lineRule="auto"/>
        <w:ind w:left="720" w:hanging="720"/>
        <w:jc w:val="both"/>
        <w:rPr>
          <w:rFonts w:ascii="Garamond" w:hAnsi="Garamond"/>
        </w:rPr>
      </w:pPr>
      <w:r w:rsidRPr="00F24450">
        <w:rPr>
          <w:rFonts w:ascii="Garamond" w:hAnsi="Garamond"/>
        </w:rPr>
        <w:lastRenderedPageBreak/>
        <w:t xml:space="preserve">Muchiri, A., Opiyo, F., &amp; Mutiso, J. (2024). Integrated climate adaptation approaches in informal settlements. </w:t>
      </w:r>
      <w:r w:rsidRPr="00F24450">
        <w:rPr>
          <w:rFonts w:ascii="Garamond" w:hAnsi="Garamond"/>
          <w:i/>
          <w:iCs/>
        </w:rPr>
        <w:t>Urban Studies, 61</w:t>
      </w:r>
      <w:r w:rsidRPr="00F24450">
        <w:rPr>
          <w:rFonts w:ascii="Garamond" w:hAnsi="Garamond"/>
        </w:rPr>
        <w:t xml:space="preserve">(4), 789–808. </w:t>
      </w:r>
      <w:hyperlink r:id="rId30" w:history="1">
        <w:r w:rsidRPr="00F24450">
          <w:rPr>
            <w:rStyle w:val="Hyperlink"/>
            <w:rFonts w:ascii="Garamond" w:hAnsi="Garamond"/>
            <w:color w:val="auto"/>
          </w:rPr>
          <w:t>https://doi.org/10.1177/00420980231234567</w:t>
        </w:r>
      </w:hyperlink>
    </w:p>
    <w:p w14:paraId="5DF8A245" w14:textId="77777777" w:rsidR="00F24450" w:rsidRPr="00F24450" w:rsidRDefault="00F24450" w:rsidP="00241862">
      <w:pPr>
        <w:spacing w:after="0" w:line="360" w:lineRule="auto"/>
        <w:ind w:left="720" w:hanging="720"/>
        <w:jc w:val="both"/>
        <w:rPr>
          <w:rFonts w:ascii="Garamond" w:hAnsi="Garamond"/>
        </w:rPr>
      </w:pPr>
      <w:r w:rsidRPr="00F24450">
        <w:rPr>
          <w:rFonts w:ascii="Garamond" w:hAnsi="Garamond"/>
        </w:rPr>
        <w:t xml:space="preserve">Mwanthi, M., &amp; Macharia, P. W. (2022). Community adaptation strategies in Nairobi informal settlements: Lessons from Korogocho, Nairobi–Kenya. </w:t>
      </w:r>
      <w:r w:rsidRPr="00F24450">
        <w:rPr>
          <w:rFonts w:ascii="Garamond" w:hAnsi="Garamond"/>
          <w:i/>
          <w:iCs/>
        </w:rPr>
        <w:t>Frontiers in Sustainable Cities, 4</w:t>
      </w:r>
      <w:r w:rsidRPr="00F24450">
        <w:rPr>
          <w:rFonts w:ascii="Garamond" w:hAnsi="Garamond"/>
        </w:rPr>
        <w:t xml:space="preserve">, 932046. </w:t>
      </w:r>
      <w:hyperlink r:id="rId31" w:history="1">
        <w:r w:rsidRPr="00F24450">
          <w:rPr>
            <w:rStyle w:val="Hyperlink"/>
            <w:rFonts w:ascii="Garamond" w:hAnsi="Garamond"/>
            <w:color w:val="auto"/>
          </w:rPr>
          <w:t>https://doi.org/10.3389/frsc.2022.932046</w:t>
        </w:r>
      </w:hyperlink>
    </w:p>
    <w:p w14:paraId="26761F83" w14:textId="77777777" w:rsidR="00F24450" w:rsidRPr="00F24450" w:rsidRDefault="00F24450" w:rsidP="00241862">
      <w:pPr>
        <w:spacing w:after="0" w:line="360" w:lineRule="auto"/>
        <w:ind w:left="720" w:hanging="720"/>
        <w:jc w:val="both"/>
        <w:rPr>
          <w:rFonts w:ascii="Garamond" w:hAnsi="Garamond"/>
        </w:rPr>
      </w:pPr>
      <w:r w:rsidRPr="00F24450">
        <w:rPr>
          <w:rFonts w:ascii="Garamond" w:hAnsi="Garamond"/>
        </w:rPr>
        <w:t xml:space="preserve">Namayi, S., Otieno, R., &amp; Muthoni, J. (2025). Flood preparedness and early warning systems in Nairobi slums. </w:t>
      </w:r>
      <w:r w:rsidRPr="00F24450">
        <w:rPr>
          <w:rFonts w:ascii="Garamond" w:hAnsi="Garamond"/>
          <w:i/>
          <w:iCs/>
        </w:rPr>
        <w:t>International Journal of Disaster Studies, 18</w:t>
      </w:r>
      <w:r w:rsidRPr="00F24450">
        <w:rPr>
          <w:rFonts w:ascii="Garamond" w:hAnsi="Garamond"/>
        </w:rPr>
        <w:t>(1), 66–82.</w:t>
      </w:r>
    </w:p>
    <w:p w14:paraId="1CA3B464" w14:textId="77777777" w:rsidR="00F24450" w:rsidRPr="00F24450" w:rsidRDefault="00F24450" w:rsidP="00241862">
      <w:pPr>
        <w:spacing w:after="0" w:line="360" w:lineRule="auto"/>
        <w:ind w:left="720" w:hanging="720"/>
        <w:jc w:val="both"/>
        <w:rPr>
          <w:rFonts w:ascii="Garamond" w:hAnsi="Garamond"/>
        </w:rPr>
      </w:pPr>
      <w:r w:rsidRPr="00F24450">
        <w:rPr>
          <w:rFonts w:ascii="Garamond" w:hAnsi="Garamond"/>
        </w:rPr>
        <w:t xml:space="preserve">Nairobi City County. (2024). </w:t>
      </w:r>
      <w:r w:rsidRPr="00F24450">
        <w:rPr>
          <w:rFonts w:ascii="Garamond" w:hAnsi="Garamond"/>
          <w:i/>
          <w:iCs/>
        </w:rPr>
        <w:t>Nairobi City County integrated development plan 2023–2027</w:t>
      </w:r>
      <w:r w:rsidRPr="00F24450">
        <w:rPr>
          <w:rFonts w:ascii="Garamond" w:hAnsi="Garamond"/>
        </w:rPr>
        <w:t>. Nairobi City County Government.</w:t>
      </w:r>
    </w:p>
    <w:p w14:paraId="4F4C24F6" w14:textId="77777777" w:rsidR="00F24450" w:rsidRPr="00F24450" w:rsidRDefault="00F24450" w:rsidP="00241862">
      <w:pPr>
        <w:spacing w:after="0" w:line="360" w:lineRule="auto"/>
        <w:ind w:left="720" w:hanging="720"/>
        <w:jc w:val="both"/>
        <w:rPr>
          <w:rFonts w:ascii="Garamond" w:hAnsi="Garamond"/>
        </w:rPr>
      </w:pPr>
      <w:r w:rsidRPr="00F24450">
        <w:rPr>
          <w:rFonts w:ascii="Garamond" w:hAnsi="Garamond"/>
        </w:rPr>
        <w:t xml:space="preserve">Nkirote, C. (2020). Community responses to urban flooding in Kenya. </w:t>
      </w:r>
      <w:r w:rsidRPr="00F24450">
        <w:rPr>
          <w:rFonts w:ascii="Garamond" w:hAnsi="Garamond"/>
          <w:i/>
          <w:iCs/>
        </w:rPr>
        <w:t>Journal of Environmental Planning and Management, 63</w:t>
      </w:r>
      <w:r w:rsidRPr="00F24450">
        <w:rPr>
          <w:rFonts w:ascii="Garamond" w:hAnsi="Garamond"/>
        </w:rPr>
        <w:t xml:space="preserve">(11), 1981–1999. </w:t>
      </w:r>
      <w:hyperlink r:id="rId32" w:history="1">
        <w:r w:rsidRPr="00F24450">
          <w:rPr>
            <w:rStyle w:val="Hyperlink"/>
            <w:rFonts w:ascii="Garamond" w:hAnsi="Garamond"/>
            <w:color w:val="auto"/>
          </w:rPr>
          <w:t>https://doi.org/10.1080/09640568.2019.1693421</w:t>
        </w:r>
      </w:hyperlink>
    </w:p>
    <w:p w14:paraId="3732D9E5" w14:textId="77777777" w:rsidR="00F24450" w:rsidRPr="00F24450" w:rsidRDefault="00F24450" w:rsidP="00241862">
      <w:pPr>
        <w:spacing w:after="0" w:line="360" w:lineRule="auto"/>
        <w:ind w:left="720" w:hanging="720"/>
        <w:jc w:val="both"/>
        <w:rPr>
          <w:rFonts w:ascii="Garamond" w:hAnsi="Garamond"/>
        </w:rPr>
      </w:pPr>
      <w:r w:rsidRPr="00F24450">
        <w:rPr>
          <w:rFonts w:ascii="Garamond" w:hAnsi="Garamond"/>
        </w:rPr>
        <w:t xml:space="preserve">Nyamumbo, T., &amp; Kasuku, E. (2025). Green infrastructure and urban heat mitigation in informal settlements. </w:t>
      </w:r>
      <w:r w:rsidRPr="00F24450">
        <w:rPr>
          <w:rFonts w:ascii="Garamond" w:hAnsi="Garamond"/>
          <w:i/>
          <w:iCs/>
        </w:rPr>
        <w:t>Urban Climate, 53</w:t>
      </w:r>
      <w:r w:rsidRPr="00F24450">
        <w:rPr>
          <w:rFonts w:ascii="Garamond" w:hAnsi="Garamond"/>
        </w:rPr>
        <w:t xml:space="preserve">, 101728. </w:t>
      </w:r>
      <w:hyperlink r:id="rId33" w:history="1">
        <w:r w:rsidRPr="00F24450">
          <w:rPr>
            <w:rStyle w:val="Hyperlink"/>
            <w:rFonts w:ascii="Garamond" w:hAnsi="Garamond"/>
            <w:color w:val="auto"/>
          </w:rPr>
          <w:t>https://doi.org/10.1016/j.uclim.2024.101728</w:t>
        </w:r>
      </w:hyperlink>
    </w:p>
    <w:p w14:paraId="34DDE894" w14:textId="77777777" w:rsidR="00F24450" w:rsidRPr="00241862" w:rsidRDefault="00F24450" w:rsidP="00241862">
      <w:pPr>
        <w:spacing w:after="0" w:line="360" w:lineRule="auto"/>
        <w:ind w:left="720" w:hanging="720"/>
        <w:jc w:val="both"/>
        <w:rPr>
          <w:rFonts w:ascii="Garamond" w:hAnsi="Garamond"/>
          <w:lang w:val="fi-FI"/>
        </w:rPr>
      </w:pPr>
      <w:r w:rsidRPr="00F24450">
        <w:rPr>
          <w:rFonts w:ascii="Garamond" w:hAnsi="Garamond"/>
        </w:rPr>
        <w:t xml:space="preserve">Omedo, G. K. (2010). </w:t>
      </w:r>
      <w:r w:rsidRPr="00F24450">
        <w:rPr>
          <w:rFonts w:ascii="Garamond" w:hAnsi="Garamond"/>
          <w:i/>
          <w:iCs/>
        </w:rPr>
        <w:t>Vulnerability of urban informal settlements to environmental hazards: A case study of Korogocho in Nairobi</w:t>
      </w:r>
      <w:r w:rsidRPr="00F24450">
        <w:rPr>
          <w:rFonts w:ascii="Garamond" w:hAnsi="Garamond"/>
        </w:rPr>
        <w:t xml:space="preserve"> [Master’s thesis, University of Nairobi]. </w:t>
      </w:r>
      <w:hyperlink r:id="rId34" w:history="1">
        <w:r w:rsidRPr="00241862">
          <w:rPr>
            <w:rStyle w:val="Hyperlink"/>
            <w:rFonts w:ascii="Garamond" w:hAnsi="Garamond"/>
            <w:color w:val="auto"/>
            <w:lang w:val="fi-FI"/>
          </w:rPr>
          <w:t>https://erepository.uonbi.ac.ke/handle/11295/4594</w:t>
        </w:r>
      </w:hyperlink>
    </w:p>
    <w:p w14:paraId="40304D0F" w14:textId="77777777" w:rsidR="00F24450" w:rsidRPr="00F24450" w:rsidRDefault="00F24450" w:rsidP="00241862">
      <w:pPr>
        <w:spacing w:after="0" w:line="360" w:lineRule="auto"/>
        <w:ind w:left="720" w:hanging="720"/>
        <w:jc w:val="both"/>
        <w:rPr>
          <w:rFonts w:ascii="Garamond" w:hAnsi="Garamond"/>
        </w:rPr>
      </w:pPr>
      <w:r w:rsidRPr="00241862">
        <w:rPr>
          <w:rFonts w:ascii="Garamond" w:hAnsi="Garamond"/>
          <w:lang w:val="fi-FI"/>
        </w:rPr>
        <w:t xml:space="preserve">Pandey, R., Jha, S., &amp; Alatalo, J. M. (2018). </w:t>
      </w:r>
      <w:r w:rsidRPr="00F24450">
        <w:rPr>
          <w:rFonts w:ascii="Garamond" w:hAnsi="Garamond"/>
        </w:rPr>
        <w:t xml:space="preserve">Social networks and climate adaptation. </w:t>
      </w:r>
      <w:r w:rsidRPr="00F24450">
        <w:rPr>
          <w:rFonts w:ascii="Garamond" w:hAnsi="Garamond"/>
          <w:i/>
          <w:iCs/>
        </w:rPr>
        <w:t>Climate Policy, 18</w:t>
      </w:r>
      <w:r w:rsidRPr="00F24450">
        <w:rPr>
          <w:rFonts w:ascii="Garamond" w:hAnsi="Garamond"/>
        </w:rPr>
        <w:t xml:space="preserve">(5), 601–614. </w:t>
      </w:r>
      <w:hyperlink r:id="rId35" w:history="1">
        <w:r w:rsidRPr="00F24450">
          <w:rPr>
            <w:rStyle w:val="Hyperlink"/>
            <w:rFonts w:ascii="Garamond" w:hAnsi="Garamond"/>
            <w:color w:val="auto"/>
          </w:rPr>
          <w:t>https://doi.org/10.1080/14693062.2017.1330948</w:t>
        </w:r>
      </w:hyperlink>
    </w:p>
    <w:p w14:paraId="18090361" w14:textId="77777777" w:rsidR="00F24450" w:rsidRPr="00F24450" w:rsidRDefault="00F24450" w:rsidP="00241862">
      <w:pPr>
        <w:spacing w:after="0" w:line="360" w:lineRule="auto"/>
        <w:ind w:left="720" w:hanging="720"/>
        <w:jc w:val="both"/>
        <w:rPr>
          <w:rFonts w:ascii="Garamond" w:hAnsi="Garamond"/>
        </w:rPr>
      </w:pPr>
      <w:r w:rsidRPr="00F24450">
        <w:rPr>
          <w:rFonts w:ascii="Garamond" w:hAnsi="Garamond"/>
        </w:rPr>
        <w:t xml:space="preserve">Pope, R., Smith, K., &amp; Brown, D. (2022). Household structure and vulnerability under climate stress. </w:t>
      </w:r>
      <w:r w:rsidRPr="00F24450">
        <w:rPr>
          <w:rFonts w:ascii="Garamond" w:hAnsi="Garamond"/>
          <w:i/>
          <w:iCs/>
        </w:rPr>
        <w:t>World Development, 156</w:t>
      </w:r>
      <w:r w:rsidRPr="00F24450">
        <w:rPr>
          <w:rFonts w:ascii="Garamond" w:hAnsi="Garamond"/>
        </w:rPr>
        <w:t xml:space="preserve">, 105910. </w:t>
      </w:r>
      <w:hyperlink r:id="rId36" w:history="1">
        <w:r w:rsidRPr="00F24450">
          <w:rPr>
            <w:rStyle w:val="Hyperlink"/>
            <w:rFonts w:ascii="Garamond" w:hAnsi="Garamond"/>
            <w:color w:val="auto"/>
          </w:rPr>
          <w:t>https://doi.org/10.1016/j.worlddev.2022.105910</w:t>
        </w:r>
      </w:hyperlink>
    </w:p>
    <w:p w14:paraId="2CD36C4B" w14:textId="77777777" w:rsidR="00F24450" w:rsidRPr="00F24450" w:rsidRDefault="00F24450" w:rsidP="00241862">
      <w:pPr>
        <w:spacing w:after="0" w:line="360" w:lineRule="auto"/>
        <w:ind w:left="720" w:hanging="720"/>
        <w:jc w:val="both"/>
        <w:rPr>
          <w:rFonts w:ascii="Garamond" w:hAnsi="Garamond"/>
        </w:rPr>
      </w:pPr>
      <w:r w:rsidRPr="00F24450">
        <w:rPr>
          <w:rFonts w:ascii="Garamond" w:hAnsi="Garamond"/>
        </w:rPr>
        <w:t xml:space="preserve">Ryan, F. (2018). </w:t>
      </w:r>
      <w:r w:rsidRPr="00F24450">
        <w:rPr>
          <w:rFonts w:ascii="Garamond" w:hAnsi="Garamond"/>
          <w:i/>
          <w:iCs/>
        </w:rPr>
        <w:t>Triangulation in mixed methods research</w:t>
      </w:r>
      <w:r w:rsidRPr="00F24450">
        <w:rPr>
          <w:rFonts w:ascii="Garamond" w:hAnsi="Garamond"/>
        </w:rPr>
        <w:t>. SAGE Publications.</w:t>
      </w:r>
    </w:p>
    <w:p w14:paraId="45EE3ABC" w14:textId="77777777" w:rsidR="00F24450" w:rsidRPr="00F24450" w:rsidRDefault="00F24450" w:rsidP="00241862">
      <w:pPr>
        <w:spacing w:after="0" w:line="360" w:lineRule="auto"/>
        <w:ind w:left="720" w:hanging="720"/>
        <w:jc w:val="both"/>
        <w:rPr>
          <w:rFonts w:ascii="Garamond" w:hAnsi="Garamond"/>
        </w:rPr>
      </w:pPr>
      <w:r w:rsidRPr="00F24450">
        <w:rPr>
          <w:rFonts w:ascii="Garamond" w:hAnsi="Garamond"/>
        </w:rPr>
        <w:t xml:space="preserve">SDG Knowledge Hub. (2024). </w:t>
      </w:r>
      <w:r w:rsidRPr="00F24450">
        <w:rPr>
          <w:rFonts w:ascii="Garamond" w:hAnsi="Garamond"/>
          <w:i/>
          <w:iCs/>
        </w:rPr>
        <w:t>Local climate adaptation and livelihoods in informal settlements</w:t>
      </w:r>
      <w:r w:rsidRPr="00F24450">
        <w:rPr>
          <w:rFonts w:ascii="Garamond" w:hAnsi="Garamond"/>
        </w:rPr>
        <w:t>. IISD.</w:t>
      </w:r>
    </w:p>
    <w:p w14:paraId="5F500EB1" w14:textId="77777777" w:rsidR="00F24450" w:rsidRPr="00F24450" w:rsidRDefault="00F24450" w:rsidP="00241862">
      <w:pPr>
        <w:spacing w:after="0" w:line="360" w:lineRule="auto"/>
        <w:ind w:left="720" w:hanging="720"/>
        <w:jc w:val="both"/>
        <w:rPr>
          <w:rFonts w:ascii="Garamond" w:hAnsi="Garamond"/>
        </w:rPr>
      </w:pPr>
      <w:r w:rsidRPr="00F24450">
        <w:rPr>
          <w:rFonts w:ascii="Garamond" w:hAnsi="Garamond"/>
        </w:rPr>
        <w:t xml:space="preserve">Simiyu, S., &amp; Mberu, B. (2024). </w:t>
      </w:r>
      <w:r w:rsidRPr="00F24450">
        <w:rPr>
          <w:rFonts w:ascii="Garamond" w:hAnsi="Garamond"/>
          <w:i/>
          <w:iCs/>
        </w:rPr>
        <w:t>ARISE Kenya WASH survey brief: Water, sanitation and hygiene in informal settlements</w:t>
      </w:r>
      <w:r w:rsidRPr="00F24450">
        <w:rPr>
          <w:rFonts w:ascii="Garamond" w:hAnsi="Garamond"/>
        </w:rPr>
        <w:t xml:space="preserve">. ARISE Consortium. </w:t>
      </w:r>
      <w:hyperlink r:id="rId37" w:history="1">
        <w:r w:rsidRPr="00F24450">
          <w:rPr>
            <w:rStyle w:val="Hyperlink"/>
            <w:rFonts w:ascii="Garamond" w:hAnsi="Garamond"/>
            <w:color w:val="auto"/>
          </w:rPr>
          <w:t>https://www.ariseconsortium.org/wp-content/uploads/2024/12/ARISE-Kenya-WASH-survey-brief.pdf</w:t>
        </w:r>
      </w:hyperlink>
    </w:p>
    <w:p w14:paraId="1D5098AF" w14:textId="77777777" w:rsidR="00F24450" w:rsidRPr="00F24450" w:rsidRDefault="00F24450" w:rsidP="00241862">
      <w:pPr>
        <w:spacing w:after="0" w:line="360" w:lineRule="auto"/>
        <w:ind w:left="720" w:hanging="720"/>
        <w:jc w:val="both"/>
        <w:rPr>
          <w:rFonts w:ascii="Garamond" w:hAnsi="Garamond"/>
        </w:rPr>
      </w:pPr>
      <w:r w:rsidRPr="00F24450">
        <w:rPr>
          <w:rFonts w:ascii="Garamond" w:hAnsi="Garamond"/>
        </w:rPr>
        <w:t xml:space="preserve">Souza, L., Brown, D., &amp; Okello, D. (2025). Heat stress, health adaptation, and community cooling strategies. </w:t>
      </w:r>
      <w:r w:rsidRPr="00F24450">
        <w:rPr>
          <w:rFonts w:ascii="Garamond" w:hAnsi="Garamond"/>
          <w:i/>
          <w:iCs/>
        </w:rPr>
        <w:t>Urban Health, 102</w:t>
      </w:r>
      <w:r w:rsidRPr="00F24450">
        <w:rPr>
          <w:rFonts w:ascii="Garamond" w:hAnsi="Garamond"/>
        </w:rPr>
        <w:t>(2), 188–201.</w:t>
      </w:r>
    </w:p>
    <w:p w14:paraId="37FE3922" w14:textId="77777777" w:rsidR="00F24450" w:rsidRPr="00F24450" w:rsidRDefault="00F24450" w:rsidP="00241862">
      <w:pPr>
        <w:spacing w:after="0" w:line="360" w:lineRule="auto"/>
        <w:ind w:left="720" w:hanging="720"/>
        <w:jc w:val="both"/>
        <w:rPr>
          <w:rFonts w:ascii="Garamond" w:hAnsi="Garamond"/>
        </w:rPr>
      </w:pPr>
      <w:r w:rsidRPr="00F24450">
        <w:rPr>
          <w:rFonts w:ascii="Garamond" w:hAnsi="Garamond"/>
        </w:rPr>
        <w:t xml:space="preserve">Taba, R., Mensah, J., &amp; Owusu, G. (2023). Gendered vulnerability to climate shocks in urban Africa. </w:t>
      </w:r>
      <w:r w:rsidRPr="00F24450">
        <w:rPr>
          <w:rFonts w:ascii="Garamond" w:hAnsi="Garamond"/>
          <w:i/>
          <w:iCs/>
        </w:rPr>
        <w:t>Environment and Planning C, 41</w:t>
      </w:r>
      <w:r w:rsidRPr="00F24450">
        <w:rPr>
          <w:rFonts w:ascii="Garamond" w:hAnsi="Garamond"/>
        </w:rPr>
        <w:t xml:space="preserve">(6), 1214–1232. </w:t>
      </w:r>
      <w:hyperlink r:id="rId38" w:history="1">
        <w:r w:rsidRPr="00F24450">
          <w:rPr>
            <w:rStyle w:val="Hyperlink"/>
            <w:rFonts w:ascii="Garamond" w:hAnsi="Garamond"/>
            <w:color w:val="auto"/>
          </w:rPr>
          <w:t>https://doi.org/10.1177/23996544221145678</w:t>
        </w:r>
      </w:hyperlink>
    </w:p>
    <w:p w14:paraId="2EE292BD" w14:textId="77777777" w:rsidR="00F24450" w:rsidRPr="00F24450" w:rsidRDefault="00F24450" w:rsidP="00241862">
      <w:pPr>
        <w:spacing w:after="0" w:line="360" w:lineRule="auto"/>
        <w:ind w:left="720" w:hanging="720"/>
        <w:jc w:val="both"/>
        <w:rPr>
          <w:rFonts w:ascii="Garamond" w:hAnsi="Garamond"/>
        </w:rPr>
      </w:pPr>
      <w:r w:rsidRPr="00F24450">
        <w:rPr>
          <w:rFonts w:ascii="Garamond" w:hAnsi="Garamond"/>
        </w:rPr>
        <w:t xml:space="preserve">Urban Growth Simulation. (2030). </w:t>
      </w:r>
      <w:r w:rsidRPr="00F24450">
        <w:rPr>
          <w:rFonts w:ascii="Garamond" w:hAnsi="Garamond"/>
          <w:i/>
          <w:iCs/>
        </w:rPr>
        <w:t>Projected urban expansion of Nairobi City</w:t>
      </w:r>
      <w:r w:rsidRPr="00F24450">
        <w:rPr>
          <w:rFonts w:ascii="Garamond" w:hAnsi="Garamond"/>
        </w:rPr>
        <w:t>. Author.</w:t>
      </w:r>
    </w:p>
    <w:p w14:paraId="452417C7" w14:textId="4E1D41E2" w:rsidR="00F24450" w:rsidRPr="00F24450" w:rsidRDefault="00F24450" w:rsidP="00241862">
      <w:pPr>
        <w:spacing w:after="0" w:line="360" w:lineRule="auto"/>
        <w:ind w:left="720" w:hanging="720"/>
        <w:jc w:val="both"/>
        <w:rPr>
          <w:rFonts w:ascii="Garamond" w:hAnsi="Garamond"/>
        </w:rPr>
      </w:pPr>
      <w:r w:rsidRPr="00F24450">
        <w:rPr>
          <w:rFonts w:ascii="Garamond" w:hAnsi="Garamond"/>
        </w:rPr>
        <w:t xml:space="preserve">World Bank. (2020). </w:t>
      </w:r>
      <w:r w:rsidRPr="00F24450">
        <w:rPr>
          <w:rFonts w:ascii="Garamond" w:hAnsi="Garamond"/>
          <w:i/>
          <w:iCs/>
        </w:rPr>
        <w:t xml:space="preserve">Abbreviated resettlement action plan (ARAP) for </w:t>
      </w:r>
      <w:r w:rsidR="00C128BC">
        <w:rPr>
          <w:rFonts w:ascii="Garamond" w:hAnsi="Garamond"/>
          <w:i/>
          <w:iCs/>
        </w:rPr>
        <w:t xml:space="preserve">Kahawa </w:t>
      </w:r>
      <w:proofErr w:type="gramStart"/>
      <w:r w:rsidR="00C128BC">
        <w:rPr>
          <w:rFonts w:ascii="Garamond" w:hAnsi="Garamond"/>
          <w:i/>
          <w:iCs/>
        </w:rPr>
        <w:t xml:space="preserve">Soweto </w:t>
      </w:r>
      <w:r w:rsidRPr="00F24450">
        <w:rPr>
          <w:rFonts w:ascii="Garamond" w:hAnsi="Garamond"/>
          <w:i/>
          <w:iCs/>
        </w:rPr>
        <w:t xml:space="preserve"> informal</w:t>
      </w:r>
      <w:proofErr w:type="gramEnd"/>
      <w:r w:rsidRPr="00F24450">
        <w:rPr>
          <w:rFonts w:ascii="Garamond" w:hAnsi="Garamond"/>
          <w:i/>
          <w:iCs/>
        </w:rPr>
        <w:t xml:space="preserve"> settlement</w:t>
      </w:r>
      <w:r w:rsidRPr="00F24450">
        <w:rPr>
          <w:rFonts w:ascii="Garamond" w:hAnsi="Garamond"/>
        </w:rPr>
        <w:t xml:space="preserve">. Kenya Informal Settlements Improvement Project (KISIP). </w:t>
      </w:r>
      <w:hyperlink r:id="rId39" w:history="1">
        <w:r w:rsidRPr="00F24450">
          <w:rPr>
            <w:rStyle w:val="Hyperlink"/>
            <w:rFonts w:ascii="Garamond" w:hAnsi="Garamond"/>
            <w:color w:val="auto"/>
          </w:rPr>
          <w:t>https://housingandurban.go.ke/wp-content/uploads/2020/10/KISIP-Kahawa-Soweto-ARAP-Disclosure-Copy.pdf</w:t>
        </w:r>
      </w:hyperlink>
    </w:p>
    <w:p w14:paraId="14B11333" w14:textId="77777777" w:rsidR="00F24450" w:rsidRPr="00F24450" w:rsidRDefault="00F24450" w:rsidP="00241862">
      <w:pPr>
        <w:spacing w:after="0" w:line="360" w:lineRule="auto"/>
        <w:ind w:left="720" w:hanging="720"/>
        <w:jc w:val="both"/>
        <w:rPr>
          <w:rFonts w:ascii="Garamond" w:hAnsi="Garamond"/>
        </w:rPr>
      </w:pPr>
      <w:r w:rsidRPr="00F24450">
        <w:rPr>
          <w:rFonts w:ascii="Garamond" w:hAnsi="Garamond"/>
        </w:rPr>
        <w:t xml:space="preserve">World Bank. (2020). </w:t>
      </w:r>
      <w:r w:rsidRPr="00F24450">
        <w:rPr>
          <w:rFonts w:ascii="Garamond" w:hAnsi="Garamond"/>
          <w:i/>
          <w:iCs/>
        </w:rPr>
        <w:t>Enhancing urban resilience: Addressing climate risks in informal settlements of Sub-Saharan Africa</w:t>
      </w:r>
      <w:r w:rsidRPr="00F24450">
        <w:rPr>
          <w:rFonts w:ascii="Garamond" w:hAnsi="Garamond"/>
        </w:rPr>
        <w:t xml:space="preserve">. World Bank Group. </w:t>
      </w:r>
      <w:hyperlink r:id="rId40" w:history="1">
        <w:r w:rsidRPr="00F24450">
          <w:rPr>
            <w:rStyle w:val="Hyperlink"/>
            <w:rFonts w:ascii="Garamond" w:hAnsi="Garamond"/>
            <w:color w:val="auto"/>
          </w:rPr>
          <w:t>https://doi.org/10.1596/978-1-4648-1559-9</w:t>
        </w:r>
      </w:hyperlink>
    </w:p>
    <w:p w14:paraId="683A4033" w14:textId="77777777" w:rsidR="00F24450" w:rsidRPr="00F24450" w:rsidRDefault="00F24450" w:rsidP="00241862">
      <w:pPr>
        <w:spacing w:after="0" w:line="360" w:lineRule="auto"/>
        <w:ind w:left="720" w:hanging="720"/>
        <w:jc w:val="both"/>
        <w:rPr>
          <w:rFonts w:ascii="Garamond" w:hAnsi="Garamond"/>
        </w:rPr>
      </w:pPr>
      <w:r w:rsidRPr="00F24450">
        <w:rPr>
          <w:rFonts w:ascii="Garamond" w:hAnsi="Garamond"/>
        </w:rPr>
        <w:t xml:space="preserve">Younis, M., &amp; Eberhardt, P. (2024). Household vulnerability and adaptive capacity in informal settlements. </w:t>
      </w:r>
      <w:r w:rsidRPr="00F24450">
        <w:rPr>
          <w:rFonts w:ascii="Garamond" w:hAnsi="Garamond"/>
          <w:i/>
          <w:iCs/>
        </w:rPr>
        <w:t>Climate Risk Management, 44</w:t>
      </w:r>
      <w:r w:rsidRPr="00F24450">
        <w:rPr>
          <w:rFonts w:ascii="Garamond" w:hAnsi="Garamond"/>
        </w:rPr>
        <w:t xml:space="preserve">, 100548. </w:t>
      </w:r>
      <w:hyperlink r:id="rId41" w:history="1">
        <w:r w:rsidRPr="00F24450">
          <w:rPr>
            <w:rStyle w:val="Hyperlink"/>
            <w:rFonts w:ascii="Garamond" w:hAnsi="Garamond"/>
            <w:color w:val="auto"/>
          </w:rPr>
          <w:t>https://doi.org/10.1016/j.crm.2024.100548</w:t>
        </w:r>
      </w:hyperlink>
    </w:p>
    <w:sectPr w:rsidR="00F24450" w:rsidRPr="00F24450">
      <w:headerReference w:type="even" r:id="rId42"/>
      <w:headerReference w:type="default" r:id="rId43"/>
      <w:footerReference w:type="even" r:id="rId44"/>
      <w:footerReference w:type="default" r:id="rId45"/>
      <w:headerReference w:type="first" r:id="rId46"/>
      <w:footerReference w:type="firs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A56693" w14:textId="77777777" w:rsidR="00BF15D2" w:rsidRDefault="00BF15D2">
      <w:pPr>
        <w:spacing w:after="0" w:line="240" w:lineRule="auto"/>
      </w:pPr>
      <w:r>
        <w:separator/>
      </w:r>
    </w:p>
  </w:endnote>
  <w:endnote w:type="continuationSeparator" w:id="0">
    <w:p w14:paraId="4EFF676F" w14:textId="77777777" w:rsidR="00BF15D2" w:rsidRDefault="00BF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E504B" w14:textId="77777777" w:rsidR="000C374F" w:rsidRDefault="000C37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9154435"/>
      <w:docPartObj>
        <w:docPartGallery w:val="Page Numbers (Bottom of Page)"/>
        <w:docPartUnique/>
      </w:docPartObj>
    </w:sdtPr>
    <w:sdtEndPr>
      <w:rPr>
        <w:noProof/>
      </w:rPr>
    </w:sdtEndPr>
    <w:sdtContent>
      <w:p w14:paraId="6359BDC6" w14:textId="77777777" w:rsidR="00BE4B52" w:rsidRDefault="00BE4B52">
        <w:pPr>
          <w:pStyle w:val="Footer"/>
          <w:jc w:val="center"/>
        </w:pPr>
        <w:r>
          <w:fldChar w:fldCharType="begin"/>
        </w:r>
        <w:r>
          <w:instrText xml:space="preserve"> PAGE   \* MERGEFORMAT </w:instrText>
        </w:r>
        <w:r>
          <w:fldChar w:fldCharType="separate"/>
        </w:r>
        <w:r w:rsidR="0004616D">
          <w:rPr>
            <w:noProof/>
          </w:rPr>
          <w:t>21</w:t>
        </w:r>
        <w:r>
          <w:rPr>
            <w:noProof/>
          </w:rPr>
          <w:fldChar w:fldCharType="end"/>
        </w:r>
      </w:p>
    </w:sdtContent>
  </w:sdt>
  <w:p w14:paraId="04D24D45" w14:textId="77777777" w:rsidR="00BE4B52" w:rsidRDefault="00BE4B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40419" w14:textId="77777777" w:rsidR="000C374F" w:rsidRDefault="000C37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AF8839" w14:textId="77777777" w:rsidR="00BF15D2" w:rsidRDefault="00BF15D2">
      <w:pPr>
        <w:spacing w:after="0" w:line="240" w:lineRule="auto"/>
      </w:pPr>
      <w:r>
        <w:separator/>
      </w:r>
    </w:p>
  </w:footnote>
  <w:footnote w:type="continuationSeparator" w:id="0">
    <w:p w14:paraId="5431B7E7" w14:textId="77777777" w:rsidR="00BF15D2" w:rsidRDefault="00BF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DC265" w14:textId="406599B4" w:rsidR="000C374F" w:rsidRDefault="000C374F">
    <w:pPr>
      <w:pStyle w:val="Header"/>
    </w:pPr>
    <w:r>
      <w:rPr>
        <w:noProof/>
      </w:rPr>
      <w:pict w14:anchorId="29230A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03246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178B6" w14:textId="624492F1" w:rsidR="000C374F" w:rsidRDefault="000C374F">
    <w:pPr>
      <w:pStyle w:val="Header"/>
    </w:pPr>
    <w:r>
      <w:rPr>
        <w:noProof/>
      </w:rPr>
      <w:pict w14:anchorId="7F9DC2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03247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F256F" w14:textId="3FBBEC76" w:rsidR="000C374F" w:rsidRDefault="000C374F">
    <w:pPr>
      <w:pStyle w:val="Header"/>
    </w:pPr>
    <w:r>
      <w:rPr>
        <w:noProof/>
      </w:rPr>
      <w:pict w14:anchorId="19A3E6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03246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E550E"/>
    <w:multiLevelType w:val="multilevel"/>
    <w:tmpl w:val="98DA74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134E8"/>
    <w:multiLevelType w:val="hybridMultilevel"/>
    <w:tmpl w:val="C5FA9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815F9"/>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C5D78DB"/>
    <w:multiLevelType w:val="multilevel"/>
    <w:tmpl w:val="6100C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6222E"/>
    <w:multiLevelType w:val="multilevel"/>
    <w:tmpl w:val="E974B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4706D6"/>
    <w:multiLevelType w:val="multilevel"/>
    <w:tmpl w:val="BD20E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D17392"/>
    <w:multiLevelType w:val="hybridMultilevel"/>
    <w:tmpl w:val="02C46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396927"/>
    <w:multiLevelType w:val="hybridMultilevel"/>
    <w:tmpl w:val="AB928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8026EB"/>
    <w:multiLevelType w:val="hybridMultilevel"/>
    <w:tmpl w:val="71DC9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8957CD"/>
    <w:multiLevelType w:val="multilevel"/>
    <w:tmpl w:val="2618C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DC09FF"/>
    <w:multiLevelType w:val="hybridMultilevel"/>
    <w:tmpl w:val="7B8AB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F5621C"/>
    <w:multiLevelType w:val="multilevel"/>
    <w:tmpl w:val="1FBA8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2E36EA"/>
    <w:multiLevelType w:val="hybridMultilevel"/>
    <w:tmpl w:val="E79C0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3867FB"/>
    <w:multiLevelType w:val="multilevel"/>
    <w:tmpl w:val="9D02F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2273CF"/>
    <w:multiLevelType w:val="multilevel"/>
    <w:tmpl w:val="1520C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C01904"/>
    <w:multiLevelType w:val="hybridMultilevel"/>
    <w:tmpl w:val="D168F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CE0D35"/>
    <w:multiLevelType w:val="hybridMultilevel"/>
    <w:tmpl w:val="AB4C2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E02353"/>
    <w:multiLevelType w:val="multilevel"/>
    <w:tmpl w:val="CE9E2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022F40"/>
    <w:multiLevelType w:val="multilevel"/>
    <w:tmpl w:val="CED66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1C4FA7"/>
    <w:multiLevelType w:val="multilevel"/>
    <w:tmpl w:val="F104A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665A18"/>
    <w:multiLevelType w:val="hybridMultilevel"/>
    <w:tmpl w:val="0BC03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4C7A8B"/>
    <w:multiLevelType w:val="multilevel"/>
    <w:tmpl w:val="10389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952E80"/>
    <w:multiLevelType w:val="hybridMultilevel"/>
    <w:tmpl w:val="3C5CF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4B09FB"/>
    <w:multiLevelType w:val="multilevel"/>
    <w:tmpl w:val="3A761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EB7298"/>
    <w:multiLevelType w:val="hybridMultilevel"/>
    <w:tmpl w:val="FE06E73A"/>
    <w:lvl w:ilvl="0" w:tplc="87C62042">
      <w:start w:val="1"/>
      <w:numFmt w:val="decimal"/>
      <w:lvlText w:val="%1."/>
      <w:lvlJc w:val="left"/>
      <w:pPr>
        <w:ind w:left="720" w:hanging="360"/>
      </w:pPr>
      <w:rPr>
        <w:rFonts w:ascii="Garamond" w:hAnsi="Garamond" w:hint="default"/>
        <w:b/>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1E6285"/>
    <w:multiLevelType w:val="multilevel"/>
    <w:tmpl w:val="A7062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0303CC"/>
    <w:multiLevelType w:val="multilevel"/>
    <w:tmpl w:val="AD46D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650C12"/>
    <w:multiLevelType w:val="hybridMultilevel"/>
    <w:tmpl w:val="97200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C7222E"/>
    <w:multiLevelType w:val="hybridMultilevel"/>
    <w:tmpl w:val="EC308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1247F9"/>
    <w:multiLevelType w:val="multilevel"/>
    <w:tmpl w:val="AF806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B56E11"/>
    <w:multiLevelType w:val="hybridMultilevel"/>
    <w:tmpl w:val="AA66A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F46445"/>
    <w:multiLevelType w:val="hybridMultilevel"/>
    <w:tmpl w:val="E75C57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794501"/>
    <w:multiLevelType w:val="multilevel"/>
    <w:tmpl w:val="D1A2C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B53D06"/>
    <w:multiLevelType w:val="multilevel"/>
    <w:tmpl w:val="86E6C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3B47A56"/>
    <w:multiLevelType w:val="hybridMultilevel"/>
    <w:tmpl w:val="F3129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0545C8"/>
    <w:multiLevelType w:val="hybridMultilevel"/>
    <w:tmpl w:val="ACD85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BB7A22"/>
    <w:multiLevelType w:val="hybridMultilevel"/>
    <w:tmpl w:val="87927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744FE5"/>
    <w:multiLevelType w:val="multilevel"/>
    <w:tmpl w:val="82382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AD0255D"/>
    <w:multiLevelType w:val="hybridMultilevel"/>
    <w:tmpl w:val="3DF07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C9635B5"/>
    <w:multiLevelType w:val="multilevel"/>
    <w:tmpl w:val="2B2EE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04C11B5"/>
    <w:multiLevelType w:val="multilevel"/>
    <w:tmpl w:val="1010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2983BDA"/>
    <w:multiLevelType w:val="multilevel"/>
    <w:tmpl w:val="D74E6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6EE11C4"/>
    <w:multiLevelType w:val="hybridMultilevel"/>
    <w:tmpl w:val="89DAF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D757D5E"/>
    <w:multiLevelType w:val="multilevel"/>
    <w:tmpl w:val="A3A8FB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E690A87"/>
    <w:multiLevelType w:val="multilevel"/>
    <w:tmpl w:val="22F22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E771E1D"/>
    <w:multiLevelType w:val="hybridMultilevel"/>
    <w:tmpl w:val="D8A60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F6309F2"/>
    <w:multiLevelType w:val="multilevel"/>
    <w:tmpl w:val="71A89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FB66BEC"/>
    <w:multiLevelType w:val="multilevel"/>
    <w:tmpl w:val="FA845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00A08C6"/>
    <w:multiLevelType w:val="hybridMultilevel"/>
    <w:tmpl w:val="8A545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4535B23"/>
    <w:multiLevelType w:val="multilevel"/>
    <w:tmpl w:val="1F44B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5D70E10"/>
    <w:multiLevelType w:val="hybridMultilevel"/>
    <w:tmpl w:val="6F465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7DA3E1D"/>
    <w:multiLevelType w:val="multilevel"/>
    <w:tmpl w:val="6082E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83A143B"/>
    <w:multiLevelType w:val="hybridMultilevel"/>
    <w:tmpl w:val="7CCAC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5"/>
  </w:num>
  <w:num w:numId="3">
    <w:abstractNumId w:val="12"/>
  </w:num>
  <w:num w:numId="4">
    <w:abstractNumId w:val="15"/>
  </w:num>
  <w:num w:numId="5">
    <w:abstractNumId w:val="31"/>
  </w:num>
  <w:num w:numId="6">
    <w:abstractNumId w:val="50"/>
  </w:num>
  <w:num w:numId="7">
    <w:abstractNumId w:val="11"/>
  </w:num>
  <w:num w:numId="8">
    <w:abstractNumId w:val="48"/>
  </w:num>
  <w:num w:numId="9">
    <w:abstractNumId w:val="52"/>
  </w:num>
  <w:num w:numId="10">
    <w:abstractNumId w:val="38"/>
  </w:num>
  <w:num w:numId="11">
    <w:abstractNumId w:val="8"/>
  </w:num>
  <w:num w:numId="12">
    <w:abstractNumId w:val="43"/>
  </w:num>
  <w:num w:numId="13">
    <w:abstractNumId w:val="0"/>
  </w:num>
  <w:num w:numId="14">
    <w:abstractNumId w:val="17"/>
  </w:num>
  <w:num w:numId="15">
    <w:abstractNumId w:val="7"/>
  </w:num>
  <w:num w:numId="16">
    <w:abstractNumId w:val="28"/>
  </w:num>
  <w:num w:numId="17">
    <w:abstractNumId w:val="36"/>
  </w:num>
  <w:num w:numId="18">
    <w:abstractNumId w:val="22"/>
  </w:num>
  <w:num w:numId="19">
    <w:abstractNumId w:val="16"/>
  </w:num>
  <w:num w:numId="20">
    <w:abstractNumId w:val="30"/>
  </w:num>
  <w:num w:numId="21">
    <w:abstractNumId w:val="20"/>
  </w:num>
  <w:num w:numId="22">
    <w:abstractNumId w:val="10"/>
  </w:num>
  <w:num w:numId="23">
    <w:abstractNumId w:val="35"/>
  </w:num>
  <w:num w:numId="24">
    <w:abstractNumId w:val="42"/>
  </w:num>
  <w:num w:numId="25">
    <w:abstractNumId w:val="34"/>
  </w:num>
  <w:num w:numId="26">
    <w:abstractNumId w:val="13"/>
  </w:num>
  <w:num w:numId="27">
    <w:abstractNumId w:val="18"/>
  </w:num>
  <w:num w:numId="28">
    <w:abstractNumId w:val="23"/>
  </w:num>
  <w:num w:numId="29">
    <w:abstractNumId w:val="49"/>
  </w:num>
  <w:num w:numId="30">
    <w:abstractNumId w:val="44"/>
  </w:num>
  <w:num w:numId="31">
    <w:abstractNumId w:val="9"/>
  </w:num>
  <w:num w:numId="32">
    <w:abstractNumId w:val="4"/>
  </w:num>
  <w:num w:numId="33">
    <w:abstractNumId w:val="41"/>
  </w:num>
  <w:num w:numId="34">
    <w:abstractNumId w:val="29"/>
  </w:num>
  <w:num w:numId="35">
    <w:abstractNumId w:val="14"/>
  </w:num>
  <w:num w:numId="36">
    <w:abstractNumId w:val="37"/>
  </w:num>
  <w:num w:numId="37">
    <w:abstractNumId w:val="3"/>
  </w:num>
  <w:num w:numId="38">
    <w:abstractNumId w:val="47"/>
  </w:num>
  <w:num w:numId="39">
    <w:abstractNumId w:val="39"/>
  </w:num>
  <w:num w:numId="40">
    <w:abstractNumId w:val="5"/>
  </w:num>
  <w:num w:numId="41">
    <w:abstractNumId w:val="51"/>
  </w:num>
  <w:num w:numId="42">
    <w:abstractNumId w:val="25"/>
  </w:num>
  <w:num w:numId="43">
    <w:abstractNumId w:val="32"/>
  </w:num>
  <w:num w:numId="44">
    <w:abstractNumId w:val="40"/>
  </w:num>
  <w:num w:numId="45">
    <w:abstractNumId w:val="46"/>
  </w:num>
  <w:num w:numId="46">
    <w:abstractNumId w:val="1"/>
  </w:num>
  <w:num w:numId="47">
    <w:abstractNumId w:val="27"/>
  </w:num>
  <w:num w:numId="48">
    <w:abstractNumId w:val="6"/>
  </w:num>
  <w:num w:numId="49">
    <w:abstractNumId w:val="21"/>
  </w:num>
  <w:num w:numId="50">
    <w:abstractNumId w:val="33"/>
  </w:num>
  <w:num w:numId="51">
    <w:abstractNumId w:val="19"/>
  </w:num>
  <w:num w:numId="52">
    <w:abstractNumId w:val="26"/>
  </w:num>
  <w:num w:numId="53">
    <w:abstractNumId w:val="2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8E1"/>
    <w:rsid w:val="00000C82"/>
    <w:rsid w:val="000149A0"/>
    <w:rsid w:val="000170CA"/>
    <w:rsid w:val="000320D0"/>
    <w:rsid w:val="00032F15"/>
    <w:rsid w:val="0004616D"/>
    <w:rsid w:val="00046C7E"/>
    <w:rsid w:val="00053849"/>
    <w:rsid w:val="000633AE"/>
    <w:rsid w:val="0006579B"/>
    <w:rsid w:val="00066B90"/>
    <w:rsid w:val="00070D37"/>
    <w:rsid w:val="00081B84"/>
    <w:rsid w:val="000A260E"/>
    <w:rsid w:val="000A3A33"/>
    <w:rsid w:val="000A74DB"/>
    <w:rsid w:val="000B01C8"/>
    <w:rsid w:val="000C0497"/>
    <w:rsid w:val="000C1577"/>
    <w:rsid w:val="000C374F"/>
    <w:rsid w:val="000C646A"/>
    <w:rsid w:val="000D1AA4"/>
    <w:rsid w:val="000E2962"/>
    <w:rsid w:val="000F0BDC"/>
    <w:rsid w:val="00116397"/>
    <w:rsid w:val="0012272D"/>
    <w:rsid w:val="00131171"/>
    <w:rsid w:val="00131F9E"/>
    <w:rsid w:val="00151013"/>
    <w:rsid w:val="00160F6C"/>
    <w:rsid w:val="00162730"/>
    <w:rsid w:val="001722E6"/>
    <w:rsid w:val="001841CA"/>
    <w:rsid w:val="00194073"/>
    <w:rsid w:val="00196420"/>
    <w:rsid w:val="001C4794"/>
    <w:rsid w:val="001C664A"/>
    <w:rsid w:val="001F1AA1"/>
    <w:rsid w:val="00200ED0"/>
    <w:rsid w:val="00241862"/>
    <w:rsid w:val="0025507B"/>
    <w:rsid w:val="00261248"/>
    <w:rsid w:val="002665A9"/>
    <w:rsid w:val="00275D19"/>
    <w:rsid w:val="00282A51"/>
    <w:rsid w:val="00284FA6"/>
    <w:rsid w:val="002869E5"/>
    <w:rsid w:val="002A216C"/>
    <w:rsid w:val="002C01F2"/>
    <w:rsid w:val="002D33F1"/>
    <w:rsid w:val="002E2E50"/>
    <w:rsid w:val="002F033C"/>
    <w:rsid w:val="00300E52"/>
    <w:rsid w:val="00322249"/>
    <w:rsid w:val="003243A5"/>
    <w:rsid w:val="00327E52"/>
    <w:rsid w:val="0033336E"/>
    <w:rsid w:val="00334208"/>
    <w:rsid w:val="00355EF4"/>
    <w:rsid w:val="00360351"/>
    <w:rsid w:val="003620E0"/>
    <w:rsid w:val="00370FFA"/>
    <w:rsid w:val="003724CC"/>
    <w:rsid w:val="00372B89"/>
    <w:rsid w:val="0038237E"/>
    <w:rsid w:val="00383EC7"/>
    <w:rsid w:val="0039118E"/>
    <w:rsid w:val="003A0F40"/>
    <w:rsid w:val="003A5B70"/>
    <w:rsid w:val="003B1758"/>
    <w:rsid w:val="003B41FA"/>
    <w:rsid w:val="003B464D"/>
    <w:rsid w:val="003C5B87"/>
    <w:rsid w:val="003D147A"/>
    <w:rsid w:val="003D1C57"/>
    <w:rsid w:val="003D3C0E"/>
    <w:rsid w:val="00406761"/>
    <w:rsid w:val="004072C1"/>
    <w:rsid w:val="0042486C"/>
    <w:rsid w:val="00425E35"/>
    <w:rsid w:val="00436A17"/>
    <w:rsid w:val="00455732"/>
    <w:rsid w:val="00456BEE"/>
    <w:rsid w:val="00466A84"/>
    <w:rsid w:val="0047698F"/>
    <w:rsid w:val="00487F96"/>
    <w:rsid w:val="004A1126"/>
    <w:rsid w:val="004A38B2"/>
    <w:rsid w:val="004B4129"/>
    <w:rsid w:val="004B662C"/>
    <w:rsid w:val="004B6BB0"/>
    <w:rsid w:val="004B7DCF"/>
    <w:rsid w:val="004C5511"/>
    <w:rsid w:val="004E0A1E"/>
    <w:rsid w:val="004E743D"/>
    <w:rsid w:val="00511443"/>
    <w:rsid w:val="00513970"/>
    <w:rsid w:val="00531874"/>
    <w:rsid w:val="005411B0"/>
    <w:rsid w:val="00546F01"/>
    <w:rsid w:val="00554739"/>
    <w:rsid w:val="0056526B"/>
    <w:rsid w:val="00571959"/>
    <w:rsid w:val="005745C0"/>
    <w:rsid w:val="00582651"/>
    <w:rsid w:val="00582732"/>
    <w:rsid w:val="0058453E"/>
    <w:rsid w:val="005A51AD"/>
    <w:rsid w:val="005C01FE"/>
    <w:rsid w:val="005C1F23"/>
    <w:rsid w:val="005C2AAA"/>
    <w:rsid w:val="005D176E"/>
    <w:rsid w:val="005D2343"/>
    <w:rsid w:val="005E260D"/>
    <w:rsid w:val="005E31B3"/>
    <w:rsid w:val="005F770B"/>
    <w:rsid w:val="00606C2C"/>
    <w:rsid w:val="006228AE"/>
    <w:rsid w:val="006271DA"/>
    <w:rsid w:val="00633A97"/>
    <w:rsid w:val="006347B4"/>
    <w:rsid w:val="006455D0"/>
    <w:rsid w:val="00647721"/>
    <w:rsid w:val="00655C64"/>
    <w:rsid w:val="006646C8"/>
    <w:rsid w:val="00666990"/>
    <w:rsid w:val="00671A24"/>
    <w:rsid w:val="00675561"/>
    <w:rsid w:val="0068172A"/>
    <w:rsid w:val="00684F0C"/>
    <w:rsid w:val="006B3382"/>
    <w:rsid w:val="006C7BFC"/>
    <w:rsid w:val="006D3246"/>
    <w:rsid w:val="006E68ED"/>
    <w:rsid w:val="00702430"/>
    <w:rsid w:val="00736AC6"/>
    <w:rsid w:val="00755CCF"/>
    <w:rsid w:val="007711A5"/>
    <w:rsid w:val="00787213"/>
    <w:rsid w:val="00794DA1"/>
    <w:rsid w:val="007A052C"/>
    <w:rsid w:val="007B2E0E"/>
    <w:rsid w:val="007B6B03"/>
    <w:rsid w:val="007D409D"/>
    <w:rsid w:val="007F0953"/>
    <w:rsid w:val="007F192B"/>
    <w:rsid w:val="00823AB7"/>
    <w:rsid w:val="00826425"/>
    <w:rsid w:val="008323BB"/>
    <w:rsid w:val="00841EF9"/>
    <w:rsid w:val="00842961"/>
    <w:rsid w:val="00842ECC"/>
    <w:rsid w:val="00856602"/>
    <w:rsid w:val="00866BA5"/>
    <w:rsid w:val="00875256"/>
    <w:rsid w:val="00885302"/>
    <w:rsid w:val="00896D47"/>
    <w:rsid w:val="008A20DF"/>
    <w:rsid w:val="008B0259"/>
    <w:rsid w:val="008B1723"/>
    <w:rsid w:val="008B6FE7"/>
    <w:rsid w:val="008B7410"/>
    <w:rsid w:val="008C0639"/>
    <w:rsid w:val="008C7CEE"/>
    <w:rsid w:val="008D21EE"/>
    <w:rsid w:val="008E0545"/>
    <w:rsid w:val="008E4450"/>
    <w:rsid w:val="008E4B83"/>
    <w:rsid w:val="008F2907"/>
    <w:rsid w:val="008F2C79"/>
    <w:rsid w:val="008F6EF0"/>
    <w:rsid w:val="009025E4"/>
    <w:rsid w:val="0090655B"/>
    <w:rsid w:val="009164F1"/>
    <w:rsid w:val="00945CCC"/>
    <w:rsid w:val="00950F55"/>
    <w:rsid w:val="00953093"/>
    <w:rsid w:val="00961FD5"/>
    <w:rsid w:val="00971CF6"/>
    <w:rsid w:val="009756D3"/>
    <w:rsid w:val="00986E7A"/>
    <w:rsid w:val="00997A6E"/>
    <w:rsid w:val="009D28C0"/>
    <w:rsid w:val="009D7267"/>
    <w:rsid w:val="009F28B6"/>
    <w:rsid w:val="009F491C"/>
    <w:rsid w:val="009F69EB"/>
    <w:rsid w:val="00A05B94"/>
    <w:rsid w:val="00A13318"/>
    <w:rsid w:val="00A318B0"/>
    <w:rsid w:val="00A47F92"/>
    <w:rsid w:val="00A8209B"/>
    <w:rsid w:val="00AA0B85"/>
    <w:rsid w:val="00AA5E15"/>
    <w:rsid w:val="00AB26CA"/>
    <w:rsid w:val="00AB50D8"/>
    <w:rsid w:val="00AC7EAC"/>
    <w:rsid w:val="00AE3ED6"/>
    <w:rsid w:val="00AF0DF6"/>
    <w:rsid w:val="00B11204"/>
    <w:rsid w:val="00B4169F"/>
    <w:rsid w:val="00B57A36"/>
    <w:rsid w:val="00B901D5"/>
    <w:rsid w:val="00B90E2E"/>
    <w:rsid w:val="00BA03BC"/>
    <w:rsid w:val="00BB1EAE"/>
    <w:rsid w:val="00BB6206"/>
    <w:rsid w:val="00BD13DB"/>
    <w:rsid w:val="00BD3EF6"/>
    <w:rsid w:val="00BE0732"/>
    <w:rsid w:val="00BE4B52"/>
    <w:rsid w:val="00BF15D2"/>
    <w:rsid w:val="00C11CCB"/>
    <w:rsid w:val="00C128BC"/>
    <w:rsid w:val="00C209E0"/>
    <w:rsid w:val="00C2186C"/>
    <w:rsid w:val="00C2471E"/>
    <w:rsid w:val="00C511F0"/>
    <w:rsid w:val="00C52124"/>
    <w:rsid w:val="00C6644E"/>
    <w:rsid w:val="00C7274B"/>
    <w:rsid w:val="00C75C0E"/>
    <w:rsid w:val="00C9794C"/>
    <w:rsid w:val="00C97E84"/>
    <w:rsid w:val="00CB18FE"/>
    <w:rsid w:val="00CB53D9"/>
    <w:rsid w:val="00CD0962"/>
    <w:rsid w:val="00CE3A7E"/>
    <w:rsid w:val="00CF7975"/>
    <w:rsid w:val="00D03D34"/>
    <w:rsid w:val="00D03F10"/>
    <w:rsid w:val="00D24C51"/>
    <w:rsid w:val="00D376B7"/>
    <w:rsid w:val="00D511F2"/>
    <w:rsid w:val="00D51CD1"/>
    <w:rsid w:val="00D54076"/>
    <w:rsid w:val="00D5719F"/>
    <w:rsid w:val="00D74116"/>
    <w:rsid w:val="00D80C18"/>
    <w:rsid w:val="00D902C2"/>
    <w:rsid w:val="00D90612"/>
    <w:rsid w:val="00D9725B"/>
    <w:rsid w:val="00DA2D6A"/>
    <w:rsid w:val="00DA3899"/>
    <w:rsid w:val="00DA3F3C"/>
    <w:rsid w:val="00DA4D0F"/>
    <w:rsid w:val="00DC3F77"/>
    <w:rsid w:val="00DC4484"/>
    <w:rsid w:val="00DD7012"/>
    <w:rsid w:val="00DF0D7F"/>
    <w:rsid w:val="00E13494"/>
    <w:rsid w:val="00E23F59"/>
    <w:rsid w:val="00E75D9A"/>
    <w:rsid w:val="00E774FB"/>
    <w:rsid w:val="00E901DC"/>
    <w:rsid w:val="00E94CC3"/>
    <w:rsid w:val="00E958A4"/>
    <w:rsid w:val="00E97B20"/>
    <w:rsid w:val="00EA35E1"/>
    <w:rsid w:val="00EB5DA6"/>
    <w:rsid w:val="00EC4AE9"/>
    <w:rsid w:val="00ED5FC3"/>
    <w:rsid w:val="00ED69B2"/>
    <w:rsid w:val="00EE596C"/>
    <w:rsid w:val="00EE5C53"/>
    <w:rsid w:val="00F02919"/>
    <w:rsid w:val="00F11B60"/>
    <w:rsid w:val="00F13FF8"/>
    <w:rsid w:val="00F2115B"/>
    <w:rsid w:val="00F215A6"/>
    <w:rsid w:val="00F24450"/>
    <w:rsid w:val="00F3581D"/>
    <w:rsid w:val="00F42296"/>
    <w:rsid w:val="00F42B7D"/>
    <w:rsid w:val="00F5434B"/>
    <w:rsid w:val="00F558E1"/>
    <w:rsid w:val="00F73110"/>
    <w:rsid w:val="00F76467"/>
    <w:rsid w:val="00FC0352"/>
    <w:rsid w:val="00FD0B21"/>
    <w:rsid w:val="00FD540A"/>
    <w:rsid w:val="00FE30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050D37"/>
  <w15:chartTrackingRefBased/>
  <w15:docId w15:val="{603D8E97-0C58-4590-A8F0-6DAB3CDCA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Caption"/>
    <w:next w:val="Caption"/>
    <w:link w:val="Heading1Char"/>
    <w:autoRedefine/>
    <w:uiPriority w:val="9"/>
    <w:qFormat/>
    <w:rsid w:val="00F24450"/>
    <w:pPr>
      <w:keepNext/>
      <w:keepLines/>
      <w:spacing w:before="360" w:after="80"/>
      <w:outlineLvl w:val="0"/>
    </w:pPr>
    <w:rPr>
      <w:rFonts w:ascii="Times New Roman" w:eastAsiaTheme="majorEastAsia" w:hAnsi="Times New Roman" w:cstheme="majorBidi"/>
      <w:b/>
      <w:i w:val="0"/>
      <w:color w:val="FF0000"/>
      <w:sz w:val="24"/>
      <w:szCs w:val="40"/>
    </w:rPr>
  </w:style>
  <w:style w:type="paragraph" w:styleId="Heading2">
    <w:name w:val="heading 2"/>
    <w:basedOn w:val="Caption"/>
    <w:next w:val="Caption"/>
    <w:link w:val="Heading2Char"/>
    <w:autoRedefine/>
    <w:uiPriority w:val="9"/>
    <w:unhideWhenUsed/>
    <w:qFormat/>
    <w:rsid w:val="00D902C2"/>
    <w:pPr>
      <w:keepNext/>
      <w:keepLines/>
      <w:spacing w:before="160" w:after="80"/>
      <w:outlineLvl w:val="1"/>
    </w:pPr>
    <w:rPr>
      <w:rFonts w:ascii="Times New Roman" w:eastAsiaTheme="majorEastAsia" w:hAnsi="Times New Roman" w:cstheme="majorBidi"/>
      <w:b/>
      <w:i w:val="0"/>
      <w:color w:val="auto"/>
      <w:sz w:val="24"/>
      <w:szCs w:val="32"/>
    </w:rPr>
  </w:style>
  <w:style w:type="paragraph" w:styleId="Heading3">
    <w:name w:val="heading 3"/>
    <w:basedOn w:val="Caption"/>
    <w:next w:val="Caption"/>
    <w:link w:val="Heading3Char"/>
    <w:autoRedefine/>
    <w:uiPriority w:val="9"/>
    <w:unhideWhenUsed/>
    <w:qFormat/>
    <w:rsid w:val="00BE4B52"/>
    <w:pPr>
      <w:keepNext/>
      <w:keepLines/>
      <w:spacing w:before="160" w:after="80" w:line="360" w:lineRule="auto"/>
      <w:outlineLvl w:val="2"/>
    </w:pPr>
    <w:rPr>
      <w:rFonts w:ascii="Times New Roman" w:eastAsiaTheme="majorEastAsia" w:hAnsi="Times New Roman" w:cs="Times New Roman"/>
      <w:color w:val="auto"/>
      <w:sz w:val="24"/>
      <w:szCs w:val="28"/>
    </w:rPr>
  </w:style>
  <w:style w:type="paragraph" w:styleId="Heading4">
    <w:name w:val="heading 4"/>
    <w:basedOn w:val="Caption"/>
    <w:next w:val="Caption"/>
    <w:link w:val="Heading4Char"/>
    <w:autoRedefine/>
    <w:uiPriority w:val="9"/>
    <w:unhideWhenUsed/>
    <w:qFormat/>
    <w:rsid w:val="00582732"/>
    <w:pPr>
      <w:keepNext/>
      <w:keepLines/>
      <w:spacing w:before="80" w:after="40"/>
      <w:outlineLvl w:val="3"/>
    </w:pPr>
    <w:rPr>
      <w:rFonts w:ascii="Times New Roman" w:eastAsiaTheme="majorEastAsia" w:hAnsi="Times New Roman" w:cstheme="majorBidi"/>
      <w:iCs w:val="0"/>
      <w:color w:val="000000" w:themeColor="text1"/>
      <w:sz w:val="24"/>
    </w:rPr>
  </w:style>
  <w:style w:type="paragraph" w:styleId="Heading5">
    <w:name w:val="heading 5"/>
    <w:basedOn w:val="Normal"/>
    <w:next w:val="Normal"/>
    <w:link w:val="Heading5Char"/>
    <w:uiPriority w:val="9"/>
    <w:unhideWhenUsed/>
    <w:qFormat/>
    <w:rsid w:val="00F558E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F558E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58E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58E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58E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4450"/>
    <w:rPr>
      <w:rFonts w:ascii="Times New Roman" w:eastAsiaTheme="majorEastAsia" w:hAnsi="Times New Roman" w:cstheme="majorBidi"/>
      <w:b/>
      <w:iCs/>
      <w:color w:val="FF0000"/>
      <w:szCs w:val="40"/>
    </w:rPr>
  </w:style>
  <w:style w:type="character" w:customStyle="1" w:styleId="Heading2Char">
    <w:name w:val="Heading 2 Char"/>
    <w:basedOn w:val="DefaultParagraphFont"/>
    <w:link w:val="Heading2"/>
    <w:uiPriority w:val="9"/>
    <w:rsid w:val="00D902C2"/>
    <w:rPr>
      <w:rFonts w:ascii="Times New Roman" w:eastAsiaTheme="majorEastAsia" w:hAnsi="Times New Roman" w:cstheme="majorBidi"/>
      <w:b/>
      <w:iCs/>
      <w:szCs w:val="32"/>
    </w:rPr>
  </w:style>
  <w:style w:type="character" w:customStyle="1" w:styleId="Heading3Char">
    <w:name w:val="Heading 3 Char"/>
    <w:basedOn w:val="DefaultParagraphFont"/>
    <w:link w:val="Heading3"/>
    <w:uiPriority w:val="9"/>
    <w:rsid w:val="00BE4B52"/>
    <w:rPr>
      <w:rFonts w:ascii="Times New Roman" w:eastAsiaTheme="majorEastAsia" w:hAnsi="Times New Roman" w:cs="Times New Roman"/>
      <w:i/>
      <w:iCs/>
      <w:szCs w:val="28"/>
    </w:rPr>
  </w:style>
  <w:style w:type="character" w:customStyle="1" w:styleId="Heading4Char">
    <w:name w:val="Heading 4 Char"/>
    <w:basedOn w:val="DefaultParagraphFont"/>
    <w:link w:val="Heading4"/>
    <w:uiPriority w:val="9"/>
    <w:rsid w:val="00582732"/>
    <w:rPr>
      <w:rFonts w:ascii="Times New Roman" w:eastAsiaTheme="majorEastAsia" w:hAnsi="Times New Roman" w:cstheme="majorBidi"/>
      <w:i/>
      <w:color w:val="000000" w:themeColor="text1"/>
      <w:szCs w:val="18"/>
    </w:rPr>
  </w:style>
  <w:style w:type="character" w:customStyle="1" w:styleId="Heading5Char">
    <w:name w:val="Heading 5 Char"/>
    <w:basedOn w:val="DefaultParagraphFont"/>
    <w:link w:val="Heading5"/>
    <w:uiPriority w:val="9"/>
    <w:rsid w:val="00F558E1"/>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F558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58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58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58E1"/>
    <w:rPr>
      <w:rFonts w:eastAsiaTheme="majorEastAsia" w:cstheme="majorBidi"/>
      <w:color w:val="272727" w:themeColor="text1" w:themeTint="D8"/>
    </w:rPr>
  </w:style>
  <w:style w:type="paragraph" w:styleId="Title">
    <w:name w:val="Title"/>
    <w:basedOn w:val="Normal"/>
    <w:next w:val="Normal"/>
    <w:link w:val="TitleChar"/>
    <w:uiPriority w:val="10"/>
    <w:qFormat/>
    <w:rsid w:val="00F558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58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58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58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58E1"/>
    <w:pPr>
      <w:spacing w:before="160"/>
      <w:jc w:val="center"/>
    </w:pPr>
    <w:rPr>
      <w:i/>
      <w:iCs/>
      <w:color w:val="404040" w:themeColor="text1" w:themeTint="BF"/>
    </w:rPr>
  </w:style>
  <w:style w:type="character" w:customStyle="1" w:styleId="QuoteChar">
    <w:name w:val="Quote Char"/>
    <w:basedOn w:val="DefaultParagraphFont"/>
    <w:link w:val="Quote"/>
    <w:uiPriority w:val="29"/>
    <w:rsid w:val="00F558E1"/>
    <w:rPr>
      <w:i/>
      <w:iCs/>
      <w:color w:val="404040" w:themeColor="text1" w:themeTint="BF"/>
    </w:rPr>
  </w:style>
  <w:style w:type="paragraph" w:styleId="ListParagraph">
    <w:name w:val="List Paragraph"/>
    <w:basedOn w:val="Normal"/>
    <w:uiPriority w:val="34"/>
    <w:qFormat/>
    <w:rsid w:val="00F558E1"/>
    <w:pPr>
      <w:ind w:left="720"/>
      <w:contextualSpacing/>
    </w:pPr>
  </w:style>
  <w:style w:type="character" w:styleId="IntenseEmphasis">
    <w:name w:val="Intense Emphasis"/>
    <w:basedOn w:val="DefaultParagraphFont"/>
    <w:uiPriority w:val="21"/>
    <w:qFormat/>
    <w:rsid w:val="00F558E1"/>
    <w:rPr>
      <w:i/>
      <w:iCs/>
      <w:color w:val="2F5496" w:themeColor="accent1" w:themeShade="BF"/>
    </w:rPr>
  </w:style>
  <w:style w:type="paragraph" w:styleId="IntenseQuote">
    <w:name w:val="Intense Quote"/>
    <w:basedOn w:val="Normal"/>
    <w:next w:val="Normal"/>
    <w:link w:val="IntenseQuoteChar"/>
    <w:uiPriority w:val="30"/>
    <w:qFormat/>
    <w:rsid w:val="00F558E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558E1"/>
    <w:rPr>
      <w:i/>
      <w:iCs/>
      <w:color w:val="2F5496" w:themeColor="accent1" w:themeShade="BF"/>
    </w:rPr>
  </w:style>
  <w:style w:type="character" w:styleId="IntenseReference">
    <w:name w:val="Intense Reference"/>
    <w:basedOn w:val="DefaultParagraphFont"/>
    <w:uiPriority w:val="32"/>
    <w:qFormat/>
    <w:rsid w:val="00F558E1"/>
    <w:rPr>
      <w:b/>
      <w:bCs/>
      <w:smallCaps/>
      <w:color w:val="2F5496" w:themeColor="accent1" w:themeShade="BF"/>
      <w:spacing w:val="5"/>
    </w:rPr>
  </w:style>
  <w:style w:type="paragraph" w:customStyle="1" w:styleId="MyFigures">
    <w:name w:val="My Figures"/>
    <w:basedOn w:val="Caption"/>
    <w:next w:val="Caption"/>
    <w:link w:val="MyFiguresChar"/>
    <w:autoRedefine/>
    <w:rsid w:val="006B3382"/>
    <w:pPr>
      <w:spacing w:after="0" w:line="360" w:lineRule="auto"/>
      <w:jc w:val="both"/>
    </w:pPr>
    <w:rPr>
      <w:rFonts w:ascii="Times New Roman" w:eastAsia="Calibri" w:hAnsi="Times New Roman" w:cs="Times New Roman"/>
      <w:bCs/>
      <w:i w:val="0"/>
      <w:color w:val="EE0000"/>
      <w:kern w:val="0"/>
      <w:sz w:val="24"/>
      <w:szCs w:val="24"/>
      <w14:ligatures w14:val="none"/>
    </w:rPr>
  </w:style>
  <w:style w:type="character" w:customStyle="1" w:styleId="MyFiguresChar">
    <w:name w:val="My Figures Char"/>
    <w:basedOn w:val="DefaultParagraphFont"/>
    <w:link w:val="MyFigures"/>
    <w:rsid w:val="006B3382"/>
    <w:rPr>
      <w:rFonts w:ascii="Times New Roman" w:eastAsia="Calibri" w:hAnsi="Times New Roman" w:cs="Times New Roman"/>
      <w:bCs/>
      <w:iCs/>
      <w:color w:val="EE0000"/>
      <w:kern w:val="0"/>
      <w14:ligatures w14:val="none"/>
    </w:rPr>
  </w:style>
  <w:style w:type="paragraph" w:styleId="Caption">
    <w:name w:val="caption"/>
    <w:basedOn w:val="Normal"/>
    <w:next w:val="Normal"/>
    <w:link w:val="CaptionChar"/>
    <w:uiPriority w:val="35"/>
    <w:unhideWhenUsed/>
    <w:qFormat/>
    <w:rsid w:val="005E31B3"/>
    <w:pPr>
      <w:spacing w:after="200" w:line="240" w:lineRule="auto"/>
    </w:pPr>
    <w:rPr>
      <w:i/>
      <w:iCs/>
      <w:color w:val="44546A" w:themeColor="text2"/>
      <w:sz w:val="18"/>
      <w:szCs w:val="18"/>
    </w:rPr>
  </w:style>
  <w:style w:type="character" w:styleId="Hyperlink">
    <w:name w:val="Hyperlink"/>
    <w:basedOn w:val="DefaultParagraphFont"/>
    <w:uiPriority w:val="99"/>
    <w:unhideWhenUsed/>
    <w:rsid w:val="00000C82"/>
    <w:rPr>
      <w:color w:val="0000FF"/>
      <w:u w:val="single"/>
    </w:rPr>
  </w:style>
  <w:style w:type="character" w:customStyle="1" w:styleId="CaptionChar">
    <w:name w:val="Caption Char"/>
    <w:basedOn w:val="DefaultParagraphFont"/>
    <w:link w:val="Caption"/>
    <w:uiPriority w:val="35"/>
    <w:rsid w:val="00000C82"/>
    <w:rPr>
      <w:i/>
      <w:iCs/>
      <w:color w:val="44546A" w:themeColor="text2"/>
      <w:sz w:val="18"/>
      <w:szCs w:val="18"/>
    </w:rPr>
  </w:style>
  <w:style w:type="table" w:styleId="TableGrid">
    <w:name w:val="Table Grid"/>
    <w:basedOn w:val="TableNormal"/>
    <w:uiPriority w:val="39"/>
    <w:qFormat/>
    <w:rsid w:val="00000C82"/>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kekvd">
    <w:name w:val="vkekvd"/>
    <w:basedOn w:val="DefaultParagraphFont"/>
    <w:rsid w:val="00000C82"/>
  </w:style>
  <w:style w:type="character" w:customStyle="1" w:styleId="t286pc">
    <w:name w:val="t286pc"/>
    <w:basedOn w:val="DefaultParagraphFont"/>
    <w:rsid w:val="00000C82"/>
  </w:style>
  <w:style w:type="character" w:styleId="Strong">
    <w:name w:val="Strong"/>
    <w:basedOn w:val="DefaultParagraphFont"/>
    <w:uiPriority w:val="22"/>
    <w:qFormat/>
    <w:rsid w:val="00000C82"/>
    <w:rPr>
      <w:b/>
      <w:bCs/>
    </w:rPr>
  </w:style>
  <w:style w:type="character" w:customStyle="1" w:styleId="n9q8lc">
    <w:name w:val="n9q8lc"/>
    <w:basedOn w:val="DefaultParagraphFont"/>
    <w:rsid w:val="00000C82"/>
  </w:style>
  <w:style w:type="character" w:customStyle="1" w:styleId="UnresolvedMention1">
    <w:name w:val="Unresolved Mention1"/>
    <w:basedOn w:val="DefaultParagraphFont"/>
    <w:uiPriority w:val="99"/>
    <w:semiHidden/>
    <w:unhideWhenUsed/>
    <w:rsid w:val="00000C82"/>
    <w:rPr>
      <w:color w:val="605E5C"/>
      <w:shd w:val="clear" w:color="auto" w:fill="E1DFDD"/>
    </w:rPr>
  </w:style>
  <w:style w:type="character" w:styleId="FollowedHyperlink">
    <w:name w:val="FollowedHyperlink"/>
    <w:basedOn w:val="DefaultParagraphFont"/>
    <w:uiPriority w:val="99"/>
    <w:semiHidden/>
    <w:unhideWhenUsed/>
    <w:rsid w:val="00000C82"/>
    <w:rPr>
      <w:color w:val="954F72" w:themeColor="followedHyperlink"/>
      <w:u w:val="single"/>
    </w:rPr>
  </w:style>
  <w:style w:type="character" w:styleId="SubtleEmphasis">
    <w:name w:val="Subtle Emphasis"/>
    <w:aliases w:val="Heading2,heading 2"/>
    <w:basedOn w:val="DefaultParagraphFont"/>
    <w:uiPriority w:val="19"/>
    <w:qFormat/>
    <w:rsid w:val="00000C82"/>
    <w:rPr>
      <w:rFonts w:ascii="Times New Roman" w:eastAsia="BatangChe" w:hAnsi="Times New Roman" w:cs="Times New Roman"/>
      <w:iCs/>
      <w:color w:val="000000"/>
      <w:sz w:val="24"/>
      <w:lang w:val="en-GB" w:eastAsia="en-GB"/>
    </w:rPr>
  </w:style>
  <w:style w:type="paragraph" w:customStyle="1" w:styleId="Heading11">
    <w:name w:val="Heading 11"/>
    <w:basedOn w:val="NoSpacing"/>
    <w:link w:val="heading1Char0"/>
    <w:autoRedefine/>
    <w:rsid w:val="00000C82"/>
    <w:pPr>
      <w:jc w:val="center"/>
    </w:pPr>
    <w:rPr>
      <w:rFonts w:ascii="Times New Roman" w:eastAsiaTheme="minorEastAsia" w:hAnsi="Times New Roman"/>
      <w:b/>
      <w:sz w:val="22"/>
      <w:szCs w:val="22"/>
    </w:rPr>
  </w:style>
  <w:style w:type="character" w:customStyle="1" w:styleId="heading1Char0">
    <w:name w:val="heading 1 Char"/>
    <w:basedOn w:val="DefaultParagraphFont"/>
    <w:link w:val="Heading11"/>
    <w:rsid w:val="00000C82"/>
    <w:rPr>
      <w:rFonts w:ascii="Times New Roman" w:eastAsiaTheme="minorEastAsia" w:hAnsi="Times New Roman"/>
      <w:b/>
      <w:kern w:val="0"/>
      <w:sz w:val="22"/>
      <w:szCs w:val="22"/>
      <w14:ligatures w14:val="none"/>
    </w:rPr>
  </w:style>
  <w:style w:type="paragraph" w:styleId="NoSpacing">
    <w:name w:val="No Spacing"/>
    <w:uiPriority w:val="1"/>
    <w:rsid w:val="00000C82"/>
    <w:pPr>
      <w:spacing w:after="0" w:line="240" w:lineRule="auto"/>
    </w:pPr>
    <w:rPr>
      <w:rFonts w:ascii="Garamond" w:hAnsi="Garamond"/>
      <w:kern w:val="0"/>
      <w14:ligatures w14:val="none"/>
    </w:rPr>
  </w:style>
  <w:style w:type="character" w:styleId="Emphasis">
    <w:name w:val="Emphasis"/>
    <w:aliases w:val="Heading3"/>
    <w:basedOn w:val="Heading3Char"/>
    <w:uiPriority w:val="20"/>
    <w:qFormat/>
    <w:rsid w:val="00000C82"/>
    <w:rPr>
      <w:rFonts w:ascii="Times New Roman" w:eastAsia="Times New Roman" w:hAnsi="Times New Roman" w:cs="Times New Roman"/>
      <w:b w:val="0"/>
      <w:bCs/>
      <w:i/>
      <w:iCs w:val="0"/>
      <w:color w:val="000000"/>
      <w:kern w:val="2"/>
      <w:sz w:val="24"/>
      <w:szCs w:val="22"/>
      <w:lang w:val="en-GB" w:eastAsia="en-GB"/>
      <w14:ligatures w14:val="none"/>
    </w:rPr>
  </w:style>
  <w:style w:type="paragraph" w:styleId="Header">
    <w:name w:val="header"/>
    <w:basedOn w:val="Normal"/>
    <w:link w:val="HeaderChar"/>
    <w:uiPriority w:val="99"/>
    <w:unhideWhenUsed/>
    <w:rsid w:val="00000C82"/>
    <w:pPr>
      <w:tabs>
        <w:tab w:val="center" w:pos="4680"/>
        <w:tab w:val="right" w:pos="9360"/>
      </w:tabs>
      <w:spacing w:after="0" w:line="240" w:lineRule="auto"/>
    </w:pPr>
    <w:rPr>
      <w:kern w:val="0"/>
      <w:sz w:val="22"/>
      <w:szCs w:val="22"/>
      <w14:ligatures w14:val="none"/>
    </w:rPr>
  </w:style>
  <w:style w:type="character" w:customStyle="1" w:styleId="HeaderChar">
    <w:name w:val="Header Char"/>
    <w:basedOn w:val="DefaultParagraphFont"/>
    <w:link w:val="Header"/>
    <w:uiPriority w:val="99"/>
    <w:rsid w:val="00000C82"/>
    <w:rPr>
      <w:kern w:val="0"/>
      <w:sz w:val="22"/>
      <w:szCs w:val="22"/>
      <w14:ligatures w14:val="none"/>
    </w:rPr>
  </w:style>
  <w:style w:type="paragraph" w:styleId="Footer">
    <w:name w:val="footer"/>
    <w:basedOn w:val="Normal"/>
    <w:link w:val="FooterChar"/>
    <w:uiPriority w:val="99"/>
    <w:unhideWhenUsed/>
    <w:rsid w:val="00000C82"/>
    <w:pPr>
      <w:tabs>
        <w:tab w:val="center" w:pos="4680"/>
        <w:tab w:val="right" w:pos="9360"/>
      </w:tabs>
      <w:spacing w:after="0" w:line="240" w:lineRule="auto"/>
    </w:pPr>
    <w:rPr>
      <w:kern w:val="0"/>
      <w:sz w:val="22"/>
      <w:szCs w:val="22"/>
      <w14:ligatures w14:val="none"/>
    </w:rPr>
  </w:style>
  <w:style w:type="character" w:customStyle="1" w:styleId="FooterChar">
    <w:name w:val="Footer Char"/>
    <w:basedOn w:val="DefaultParagraphFont"/>
    <w:link w:val="Footer"/>
    <w:uiPriority w:val="99"/>
    <w:rsid w:val="00000C82"/>
    <w:rPr>
      <w:kern w:val="0"/>
      <w:sz w:val="22"/>
      <w:szCs w:val="22"/>
      <w14:ligatures w14:val="none"/>
    </w:rPr>
  </w:style>
  <w:style w:type="paragraph" w:styleId="TOCHeading">
    <w:name w:val="TOC Heading"/>
    <w:basedOn w:val="Heading1"/>
    <w:next w:val="Normal"/>
    <w:uiPriority w:val="39"/>
    <w:unhideWhenUsed/>
    <w:qFormat/>
    <w:rsid w:val="00000C82"/>
    <w:pPr>
      <w:spacing w:before="240" w:after="0" w:line="259" w:lineRule="auto"/>
      <w:outlineLvl w:val="9"/>
    </w:pPr>
    <w:rPr>
      <w:rFonts w:cs="Times New Roman"/>
      <w:color w:val="auto"/>
      <w:kern w:val="0"/>
      <w:sz w:val="32"/>
      <w:szCs w:val="24"/>
      <w14:ligatures w14:val="none"/>
    </w:rPr>
  </w:style>
  <w:style w:type="paragraph" w:styleId="TOC1">
    <w:name w:val="toc 1"/>
    <w:basedOn w:val="Normal"/>
    <w:next w:val="Normal"/>
    <w:autoRedefine/>
    <w:uiPriority w:val="39"/>
    <w:unhideWhenUsed/>
    <w:rsid w:val="00000C82"/>
    <w:pPr>
      <w:tabs>
        <w:tab w:val="right" w:leader="dot" w:pos="9350"/>
      </w:tabs>
      <w:spacing w:after="100" w:line="276" w:lineRule="auto"/>
    </w:pPr>
    <w:rPr>
      <w:rFonts w:ascii="Times New Roman" w:hAnsi="Times New Roman" w:cs="Times New Roman"/>
      <w:noProof/>
      <w:kern w:val="0"/>
      <w14:ligatures w14:val="none"/>
    </w:rPr>
  </w:style>
  <w:style w:type="paragraph" w:styleId="TOC2">
    <w:name w:val="toc 2"/>
    <w:basedOn w:val="Normal"/>
    <w:next w:val="Normal"/>
    <w:autoRedefine/>
    <w:uiPriority w:val="39"/>
    <w:unhideWhenUsed/>
    <w:rsid w:val="00000C82"/>
    <w:pPr>
      <w:tabs>
        <w:tab w:val="right" w:leader="dot" w:pos="9350"/>
      </w:tabs>
      <w:spacing w:after="100" w:line="276" w:lineRule="auto"/>
      <w:ind w:left="220"/>
    </w:pPr>
    <w:rPr>
      <w:rFonts w:ascii="Times New Roman" w:hAnsi="Times New Roman" w:cs="Times New Roman"/>
      <w:b/>
      <w:bCs/>
      <w:noProof/>
      <w:kern w:val="0"/>
      <w14:ligatures w14:val="none"/>
    </w:rPr>
  </w:style>
  <w:style w:type="paragraph" w:customStyle="1" w:styleId="Default">
    <w:name w:val="Default"/>
    <w:rsid w:val="00000C82"/>
    <w:pPr>
      <w:autoSpaceDE w:val="0"/>
      <w:autoSpaceDN w:val="0"/>
      <w:adjustRightInd w:val="0"/>
      <w:spacing w:after="0" w:line="240" w:lineRule="auto"/>
    </w:pPr>
    <w:rPr>
      <w:rFonts w:ascii="Times New Roman" w:hAnsi="Times New Roman" w:cs="Times New Roman"/>
      <w:color w:val="000000"/>
      <w:kern w:val="0"/>
      <w14:ligatures w14:val="none"/>
    </w:rPr>
  </w:style>
  <w:style w:type="paragraph" w:styleId="TOC3">
    <w:name w:val="toc 3"/>
    <w:basedOn w:val="Normal"/>
    <w:next w:val="Normal"/>
    <w:autoRedefine/>
    <w:uiPriority w:val="39"/>
    <w:unhideWhenUsed/>
    <w:rsid w:val="00000C82"/>
    <w:pPr>
      <w:tabs>
        <w:tab w:val="right" w:leader="dot" w:pos="9350"/>
      </w:tabs>
      <w:spacing w:after="100" w:line="276" w:lineRule="auto"/>
      <w:ind w:left="440"/>
    </w:pPr>
    <w:rPr>
      <w:rFonts w:ascii="Times New Roman" w:hAnsi="Times New Roman" w:cs="Times New Roman"/>
      <w:noProof/>
      <w:kern w:val="0"/>
      <w14:ligatures w14:val="none"/>
    </w:rPr>
  </w:style>
  <w:style w:type="paragraph" w:styleId="Bibliography">
    <w:name w:val="Bibliography"/>
    <w:basedOn w:val="Normal"/>
    <w:next w:val="Normal"/>
    <w:uiPriority w:val="37"/>
    <w:unhideWhenUsed/>
    <w:rsid w:val="00000C82"/>
    <w:pPr>
      <w:spacing w:line="259" w:lineRule="auto"/>
    </w:pPr>
    <w:rPr>
      <w:rFonts w:ascii="Garamond" w:hAnsi="Garamond"/>
      <w:kern w:val="0"/>
      <w14:ligatures w14:val="none"/>
    </w:rPr>
  </w:style>
  <w:style w:type="paragraph" w:customStyle="1" w:styleId="mb15">
    <w:name w:val="mb15"/>
    <w:basedOn w:val="Normal"/>
    <w:rsid w:val="00000C82"/>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mb0">
    <w:name w:val="mb0"/>
    <w:basedOn w:val="Normal"/>
    <w:rsid w:val="00000C82"/>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p">
    <w:name w:val="p"/>
    <w:basedOn w:val="Normal"/>
    <w:rsid w:val="00000C82"/>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chakra-text">
    <w:name w:val="chakra-text"/>
    <w:basedOn w:val="Normal"/>
    <w:rsid w:val="00000C82"/>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rmalWeb">
    <w:name w:val="Normal (Web)"/>
    <w:basedOn w:val="Normal"/>
    <w:uiPriority w:val="99"/>
    <w:unhideWhenUsed/>
    <w:rsid w:val="00000C82"/>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CommentReference">
    <w:name w:val="annotation reference"/>
    <w:basedOn w:val="DefaultParagraphFont"/>
    <w:uiPriority w:val="99"/>
    <w:semiHidden/>
    <w:unhideWhenUsed/>
    <w:rsid w:val="00000C82"/>
    <w:rPr>
      <w:sz w:val="16"/>
      <w:szCs w:val="16"/>
    </w:rPr>
  </w:style>
  <w:style w:type="paragraph" w:styleId="CommentText">
    <w:name w:val="annotation text"/>
    <w:basedOn w:val="Normal"/>
    <w:link w:val="CommentTextChar"/>
    <w:uiPriority w:val="99"/>
    <w:semiHidden/>
    <w:unhideWhenUsed/>
    <w:rsid w:val="00000C82"/>
    <w:pPr>
      <w:spacing w:after="200" w:line="240" w:lineRule="auto"/>
    </w:pPr>
    <w:rPr>
      <w:kern w:val="0"/>
      <w:sz w:val="20"/>
      <w:szCs w:val="20"/>
      <w14:ligatures w14:val="none"/>
    </w:rPr>
  </w:style>
  <w:style w:type="character" w:customStyle="1" w:styleId="CommentTextChar">
    <w:name w:val="Comment Text Char"/>
    <w:basedOn w:val="DefaultParagraphFont"/>
    <w:link w:val="CommentText"/>
    <w:uiPriority w:val="99"/>
    <w:semiHidden/>
    <w:rsid w:val="00000C82"/>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000C82"/>
    <w:rPr>
      <w:b/>
      <w:bCs/>
    </w:rPr>
  </w:style>
  <w:style w:type="character" w:customStyle="1" w:styleId="CommentSubjectChar">
    <w:name w:val="Comment Subject Char"/>
    <w:basedOn w:val="CommentTextChar"/>
    <w:link w:val="CommentSubject"/>
    <w:uiPriority w:val="99"/>
    <w:semiHidden/>
    <w:rsid w:val="00000C82"/>
    <w:rPr>
      <w:b/>
      <w:bCs/>
      <w:kern w:val="0"/>
      <w:sz w:val="20"/>
      <w:szCs w:val="20"/>
      <w14:ligatures w14:val="none"/>
    </w:rPr>
  </w:style>
  <w:style w:type="character" w:customStyle="1" w:styleId="inlineblock">
    <w:name w:val="inlineblock"/>
    <w:basedOn w:val="DefaultParagraphFont"/>
    <w:rsid w:val="00000C82"/>
  </w:style>
  <w:style w:type="character" w:customStyle="1" w:styleId="html-italic">
    <w:name w:val="html-italic"/>
    <w:basedOn w:val="DefaultParagraphFont"/>
    <w:rsid w:val="00000C82"/>
  </w:style>
  <w:style w:type="paragraph" w:styleId="TableofFigures">
    <w:name w:val="table of figures"/>
    <w:basedOn w:val="Normal"/>
    <w:next w:val="Normal"/>
    <w:uiPriority w:val="99"/>
    <w:unhideWhenUsed/>
    <w:rsid w:val="00000C82"/>
    <w:pPr>
      <w:spacing w:after="0" w:line="276" w:lineRule="auto"/>
    </w:pPr>
    <w:rPr>
      <w:kern w:val="0"/>
      <w:sz w:val="22"/>
      <w:szCs w:val="22"/>
      <w14:ligatures w14:val="none"/>
    </w:rPr>
  </w:style>
  <w:style w:type="paragraph" w:customStyle="1" w:styleId="MyTables">
    <w:name w:val="My Tables"/>
    <w:basedOn w:val="Caption"/>
    <w:next w:val="Caption"/>
    <w:link w:val="MyTablesChar"/>
    <w:autoRedefine/>
    <w:qFormat/>
    <w:rsid w:val="00736AC6"/>
    <w:pPr>
      <w:spacing w:after="0" w:line="360" w:lineRule="auto"/>
      <w:jc w:val="both"/>
    </w:pPr>
    <w:rPr>
      <w:rFonts w:ascii="Times New Roman" w:hAnsi="Times New Roman" w:cs="Times New Roman"/>
      <w:i w:val="0"/>
      <w:color w:val="000000" w:themeColor="text1"/>
      <w:kern w:val="0"/>
      <w:sz w:val="24"/>
      <w14:ligatures w14:val="none"/>
    </w:rPr>
  </w:style>
  <w:style w:type="character" w:customStyle="1" w:styleId="MyTablesChar">
    <w:name w:val="My Tables Char"/>
    <w:basedOn w:val="CaptionChar"/>
    <w:link w:val="MyTables"/>
    <w:rsid w:val="00736AC6"/>
    <w:rPr>
      <w:rFonts w:ascii="Times New Roman" w:hAnsi="Times New Roman" w:cs="Times New Roman"/>
      <w:i w:val="0"/>
      <w:iCs/>
      <w:color w:val="000000" w:themeColor="text1"/>
      <w:kern w:val="0"/>
      <w:sz w:val="18"/>
      <w:szCs w:val="18"/>
      <w14:ligatures w14:val="none"/>
    </w:rPr>
  </w:style>
  <w:style w:type="character" w:customStyle="1" w:styleId="anchor-text">
    <w:name w:val="anchor-text"/>
    <w:basedOn w:val="DefaultParagraphFont"/>
    <w:rsid w:val="00000C82"/>
  </w:style>
  <w:style w:type="character" w:customStyle="1" w:styleId="UnresolvedMention2">
    <w:name w:val="Unresolved Mention2"/>
    <w:basedOn w:val="DefaultParagraphFont"/>
    <w:uiPriority w:val="99"/>
    <w:semiHidden/>
    <w:unhideWhenUsed/>
    <w:rsid w:val="00000C82"/>
    <w:rPr>
      <w:color w:val="605E5C"/>
      <w:shd w:val="clear" w:color="auto" w:fill="E1DFDD"/>
    </w:rPr>
  </w:style>
  <w:style w:type="character" w:customStyle="1" w:styleId="UnresolvedMention3">
    <w:name w:val="Unresolved Mention3"/>
    <w:basedOn w:val="DefaultParagraphFont"/>
    <w:uiPriority w:val="99"/>
    <w:semiHidden/>
    <w:unhideWhenUsed/>
    <w:rsid w:val="00000C82"/>
    <w:rPr>
      <w:color w:val="605E5C"/>
      <w:shd w:val="clear" w:color="auto" w:fill="E1DFDD"/>
    </w:rPr>
  </w:style>
  <w:style w:type="character" w:customStyle="1" w:styleId="authors">
    <w:name w:val="authors"/>
    <w:basedOn w:val="DefaultParagraphFont"/>
    <w:rsid w:val="00000C82"/>
  </w:style>
  <w:style w:type="character" w:customStyle="1" w:styleId="jpfdse">
    <w:name w:val="jpfdse"/>
    <w:basedOn w:val="DefaultParagraphFont"/>
    <w:rsid w:val="00000C82"/>
  </w:style>
  <w:style w:type="character" w:customStyle="1" w:styleId="list-label">
    <w:name w:val="list-label"/>
    <w:basedOn w:val="DefaultParagraphFont"/>
    <w:rsid w:val="00000C82"/>
  </w:style>
  <w:style w:type="character" w:customStyle="1" w:styleId="button-link-text">
    <w:name w:val="button-link-text"/>
    <w:basedOn w:val="DefaultParagraphFont"/>
    <w:rsid w:val="00000C82"/>
  </w:style>
  <w:style w:type="character" w:customStyle="1" w:styleId="react-xocs-alternative-link">
    <w:name w:val="react-xocs-alternative-link"/>
    <w:basedOn w:val="DefaultParagraphFont"/>
    <w:rsid w:val="00000C82"/>
  </w:style>
  <w:style w:type="character" w:customStyle="1" w:styleId="given-name">
    <w:name w:val="given-name"/>
    <w:basedOn w:val="DefaultParagraphFont"/>
    <w:rsid w:val="00000C82"/>
  </w:style>
  <w:style w:type="character" w:customStyle="1" w:styleId="text">
    <w:name w:val="text"/>
    <w:basedOn w:val="DefaultParagraphFont"/>
    <w:rsid w:val="00000C82"/>
  </w:style>
  <w:style w:type="character" w:customStyle="1" w:styleId="author-ref">
    <w:name w:val="author-ref"/>
    <w:basedOn w:val="DefaultParagraphFont"/>
    <w:rsid w:val="00000C82"/>
  </w:style>
  <w:style w:type="character" w:customStyle="1" w:styleId="sciprofiles-linkname">
    <w:name w:val="sciprofiles-link__name"/>
    <w:basedOn w:val="DefaultParagraphFont"/>
    <w:rsid w:val="00000C82"/>
  </w:style>
  <w:style w:type="character" w:customStyle="1" w:styleId="author-wrapper">
    <w:name w:val="author-wrapper"/>
    <w:basedOn w:val="DefaultParagraphFont"/>
    <w:rsid w:val="00000C82"/>
  </w:style>
  <w:style w:type="paragraph" w:styleId="BalloonText">
    <w:name w:val="Balloon Text"/>
    <w:basedOn w:val="Normal"/>
    <w:link w:val="BalloonTextChar"/>
    <w:uiPriority w:val="99"/>
    <w:semiHidden/>
    <w:unhideWhenUsed/>
    <w:rsid w:val="00000C82"/>
    <w:pPr>
      <w:spacing w:after="0" w:line="240" w:lineRule="auto"/>
    </w:pPr>
    <w:rPr>
      <w:rFonts w:ascii="Times New Roman" w:hAnsi="Times New Roman" w:cs="Times New Roman"/>
      <w:kern w:val="0"/>
      <w:sz w:val="18"/>
      <w:szCs w:val="18"/>
      <w14:ligatures w14:val="none"/>
    </w:rPr>
  </w:style>
  <w:style w:type="character" w:customStyle="1" w:styleId="BalloonTextChar">
    <w:name w:val="Balloon Text Char"/>
    <w:basedOn w:val="DefaultParagraphFont"/>
    <w:link w:val="BalloonText"/>
    <w:uiPriority w:val="99"/>
    <w:semiHidden/>
    <w:rsid w:val="00000C82"/>
    <w:rPr>
      <w:rFonts w:ascii="Times New Roman" w:hAnsi="Times New Roman" w:cs="Times New Roman"/>
      <w:kern w:val="0"/>
      <w:sz w:val="18"/>
      <w:szCs w:val="18"/>
      <w14:ligatures w14:val="none"/>
    </w:rPr>
  </w:style>
  <w:style w:type="character" w:customStyle="1" w:styleId="apple-converted-space">
    <w:name w:val="apple-converted-space"/>
    <w:basedOn w:val="DefaultParagraphFont"/>
    <w:rsid w:val="00000C82"/>
  </w:style>
  <w:style w:type="paragraph" w:styleId="Revision">
    <w:name w:val="Revision"/>
    <w:hidden/>
    <w:uiPriority w:val="99"/>
    <w:semiHidden/>
    <w:rsid w:val="00000C82"/>
    <w:pPr>
      <w:spacing w:after="0" w:line="240" w:lineRule="auto"/>
    </w:pPr>
    <w:rPr>
      <w:kern w:val="0"/>
      <w:sz w:val="22"/>
      <w:szCs w:val="22"/>
      <w14:ligatures w14:val="none"/>
    </w:rPr>
  </w:style>
  <w:style w:type="character" w:customStyle="1" w:styleId="topic-highlight">
    <w:name w:val="topic-highlight"/>
    <w:basedOn w:val="DefaultParagraphFont"/>
    <w:rsid w:val="00000C82"/>
  </w:style>
  <w:style w:type="character" w:styleId="HTMLCite">
    <w:name w:val="HTML Cite"/>
    <w:basedOn w:val="DefaultParagraphFont"/>
    <w:uiPriority w:val="99"/>
    <w:semiHidden/>
    <w:unhideWhenUsed/>
    <w:rsid w:val="00000C82"/>
    <w:rPr>
      <w:i/>
      <w:iCs/>
    </w:rPr>
  </w:style>
  <w:style w:type="character" w:customStyle="1" w:styleId="elementor-button-text">
    <w:name w:val="elementor-button-text"/>
    <w:basedOn w:val="DefaultParagraphFont"/>
    <w:rsid w:val="00000C82"/>
  </w:style>
  <w:style w:type="character" w:customStyle="1" w:styleId="UnresolvedMention4">
    <w:name w:val="Unresolved Mention4"/>
    <w:basedOn w:val="DefaultParagraphFont"/>
    <w:uiPriority w:val="99"/>
    <w:semiHidden/>
    <w:unhideWhenUsed/>
    <w:rsid w:val="00000C82"/>
    <w:rPr>
      <w:color w:val="605E5C"/>
      <w:shd w:val="clear" w:color="auto" w:fill="E1DFDD"/>
    </w:rPr>
  </w:style>
  <w:style w:type="character" w:customStyle="1" w:styleId="pr-1">
    <w:name w:val="pr-1"/>
    <w:basedOn w:val="DefaultParagraphFont"/>
    <w:rsid w:val="00000C82"/>
  </w:style>
  <w:style w:type="character" w:customStyle="1" w:styleId="font-italic">
    <w:name w:val="font-italic"/>
    <w:basedOn w:val="DefaultParagraphFont"/>
    <w:rsid w:val="00000C82"/>
  </w:style>
  <w:style w:type="character" w:customStyle="1" w:styleId="UnresolvedMention5">
    <w:name w:val="Unresolved Mention5"/>
    <w:basedOn w:val="DefaultParagraphFont"/>
    <w:uiPriority w:val="99"/>
    <w:semiHidden/>
    <w:unhideWhenUsed/>
    <w:rsid w:val="00000C82"/>
    <w:rPr>
      <w:color w:val="605E5C"/>
      <w:shd w:val="clear" w:color="auto" w:fill="E1DFDD"/>
    </w:rPr>
  </w:style>
  <w:style w:type="character" w:customStyle="1" w:styleId="UnresolvedMention6">
    <w:name w:val="Unresolved Mention6"/>
    <w:basedOn w:val="DefaultParagraphFont"/>
    <w:uiPriority w:val="99"/>
    <w:semiHidden/>
    <w:unhideWhenUsed/>
    <w:rsid w:val="00000C82"/>
    <w:rPr>
      <w:color w:val="605E5C"/>
      <w:shd w:val="clear" w:color="auto" w:fill="E1DFDD"/>
    </w:rPr>
  </w:style>
  <w:style w:type="character" w:customStyle="1" w:styleId="cite-bracket">
    <w:name w:val="cite-bracket"/>
    <w:basedOn w:val="DefaultParagraphFont"/>
    <w:rsid w:val="00000C82"/>
  </w:style>
  <w:style w:type="character" w:customStyle="1" w:styleId="UnresolvedMention7">
    <w:name w:val="Unresolved Mention7"/>
    <w:basedOn w:val="DefaultParagraphFont"/>
    <w:uiPriority w:val="99"/>
    <w:semiHidden/>
    <w:unhideWhenUsed/>
    <w:rsid w:val="00000C82"/>
    <w:rPr>
      <w:color w:val="605E5C"/>
      <w:shd w:val="clear" w:color="auto" w:fill="E1DFDD"/>
    </w:rPr>
  </w:style>
  <w:style w:type="character" w:customStyle="1" w:styleId="UnresolvedMention8">
    <w:name w:val="Unresolved Mention8"/>
    <w:basedOn w:val="DefaultParagraphFont"/>
    <w:uiPriority w:val="99"/>
    <w:semiHidden/>
    <w:unhideWhenUsed/>
    <w:rsid w:val="00000C82"/>
    <w:rPr>
      <w:color w:val="605E5C"/>
      <w:shd w:val="clear" w:color="auto" w:fill="E1DFDD"/>
    </w:rPr>
  </w:style>
  <w:style w:type="character" w:customStyle="1" w:styleId="UnresolvedMention9">
    <w:name w:val="Unresolved Mention9"/>
    <w:basedOn w:val="DefaultParagraphFont"/>
    <w:uiPriority w:val="99"/>
    <w:semiHidden/>
    <w:unhideWhenUsed/>
    <w:rsid w:val="00000C82"/>
    <w:rPr>
      <w:color w:val="605E5C"/>
      <w:shd w:val="clear" w:color="auto" w:fill="E1DFDD"/>
    </w:rPr>
  </w:style>
  <w:style w:type="paragraph" w:customStyle="1" w:styleId="MYFIGURES0">
    <w:name w:val="MY FIGURES"/>
    <w:basedOn w:val="Caption"/>
    <w:next w:val="Caption"/>
    <w:link w:val="MYFIGURESChar0"/>
    <w:autoRedefine/>
    <w:rsid w:val="00000C82"/>
    <w:pPr>
      <w:tabs>
        <w:tab w:val="right" w:leader="dot" w:pos="9350"/>
      </w:tabs>
    </w:pPr>
    <w:rPr>
      <w:rFonts w:ascii="Times New Roman" w:hAnsi="Times New Roman" w:cs="Times New Roman"/>
      <w:i w:val="0"/>
      <w:iCs w:val="0"/>
      <w:color w:val="000000" w:themeColor="text1"/>
      <w:kern w:val="0"/>
      <w14:ligatures w14:val="none"/>
    </w:rPr>
  </w:style>
  <w:style w:type="character" w:customStyle="1" w:styleId="MYFIGURESChar0">
    <w:name w:val="MY FIGURES Char"/>
    <w:basedOn w:val="CaptionChar"/>
    <w:link w:val="MYFIGURES0"/>
    <w:rsid w:val="00000C82"/>
    <w:rPr>
      <w:rFonts w:ascii="Times New Roman" w:hAnsi="Times New Roman" w:cs="Times New Roman"/>
      <w:i w:val="0"/>
      <w:iCs w:val="0"/>
      <w:color w:val="000000" w:themeColor="text1"/>
      <w:kern w:val="0"/>
      <w:sz w:val="18"/>
      <w:szCs w:val="18"/>
      <w14:ligatures w14:val="none"/>
    </w:rPr>
  </w:style>
  <w:style w:type="character" w:customStyle="1" w:styleId="uv3um">
    <w:name w:val="uv3um"/>
    <w:basedOn w:val="DefaultParagraphFont"/>
    <w:rsid w:val="00000C82"/>
  </w:style>
  <w:style w:type="paragraph" w:styleId="FootnoteText">
    <w:name w:val="footnote text"/>
    <w:basedOn w:val="Normal"/>
    <w:link w:val="FootnoteTextChar"/>
    <w:uiPriority w:val="99"/>
    <w:semiHidden/>
    <w:unhideWhenUsed/>
    <w:rsid w:val="00000C82"/>
    <w:pPr>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semiHidden/>
    <w:rsid w:val="00000C82"/>
    <w:rPr>
      <w:kern w:val="0"/>
      <w:sz w:val="20"/>
      <w:szCs w:val="20"/>
      <w14:ligatures w14:val="none"/>
    </w:rPr>
  </w:style>
  <w:style w:type="character" w:styleId="FootnoteReference">
    <w:name w:val="footnote reference"/>
    <w:basedOn w:val="DefaultParagraphFont"/>
    <w:uiPriority w:val="99"/>
    <w:semiHidden/>
    <w:unhideWhenUsed/>
    <w:rsid w:val="00000C82"/>
    <w:rPr>
      <w:vertAlign w:val="superscript"/>
    </w:rPr>
  </w:style>
  <w:style w:type="paragraph" w:customStyle="1" w:styleId="k3ksmc">
    <w:name w:val="k3ksmc"/>
    <w:basedOn w:val="Normal"/>
    <w:rsid w:val="00000C82"/>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hgkelc">
    <w:name w:val="hgkelc"/>
    <w:basedOn w:val="DefaultParagraphFont"/>
    <w:rsid w:val="00000C82"/>
  </w:style>
  <w:style w:type="character" w:customStyle="1" w:styleId="kx21rb">
    <w:name w:val="kx21rb"/>
    <w:basedOn w:val="DefaultParagraphFont"/>
    <w:rsid w:val="00000C82"/>
  </w:style>
  <w:style w:type="character" w:customStyle="1" w:styleId="a">
    <w:name w:val="_"/>
    <w:basedOn w:val="DefaultParagraphFont"/>
    <w:rsid w:val="00000C82"/>
  </w:style>
  <w:style w:type="character" w:customStyle="1" w:styleId="table-captionlabel">
    <w:name w:val="table-caption__label"/>
    <w:basedOn w:val="DefaultParagraphFont"/>
    <w:rsid w:val="00000C82"/>
  </w:style>
  <w:style w:type="character" w:customStyle="1" w:styleId="ff7">
    <w:name w:val="ff7"/>
    <w:basedOn w:val="DefaultParagraphFont"/>
    <w:rsid w:val="00000C82"/>
  </w:style>
  <w:style w:type="character" w:customStyle="1" w:styleId="ls1c">
    <w:name w:val="ls1c"/>
    <w:basedOn w:val="DefaultParagraphFont"/>
    <w:rsid w:val="00000C82"/>
  </w:style>
  <w:style w:type="character" w:customStyle="1" w:styleId="ff1">
    <w:name w:val="ff1"/>
    <w:basedOn w:val="DefaultParagraphFont"/>
    <w:rsid w:val="00000C82"/>
  </w:style>
  <w:style w:type="character" w:customStyle="1" w:styleId="ls18">
    <w:name w:val="ls18"/>
    <w:basedOn w:val="DefaultParagraphFont"/>
    <w:rsid w:val="00000C82"/>
  </w:style>
  <w:style w:type="character" w:customStyle="1" w:styleId="fs1">
    <w:name w:val="fs1"/>
    <w:basedOn w:val="DefaultParagraphFont"/>
    <w:rsid w:val="00000C82"/>
  </w:style>
  <w:style w:type="paragraph" w:customStyle="1" w:styleId="20-SciencePG-Text">
    <w:name w:val="20-SciencePG-Text"/>
    <w:basedOn w:val="Normal"/>
    <w:rsid w:val="00000C82"/>
    <w:pPr>
      <w:widowControl w:val="0"/>
      <w:adjustRightInd w:val="0"/>
      <w:snapToGrid w:val="0"/>
      <w:spacing w:after="0" w:line="240" w:lineRule="exact"/>
      <w:ind w:firstLineChars="100" w:firstLine="100"/>
      <w:jc w:val="both"/>
    </w:pPr>
    <w:rPr>
      <w:rFonts w:ascii="Times New Roman" w:eastAsia="Times New Roman" w:hAnsi="Times New Roman" w:cs="Times New Roman"/>
      <w:sz w:val="20"/>
      <w:szCs w:val="20"/>
      <w:lang w:eastAsia="zh-CN"/>
      <w14:ligatures w14:val="none"/>
    </w:rPr>
  </w:style>
  <w:style w:type="character" w:customStyle="1" w:styleId="ref-journal">
    <w:name w:val="ref-journal"/>
    <w:basedOn w:val="DefaultParagraphFont"/>
    <w:rsid w:val="00000C82"/>
  </w:style>
  <w:style w:type="character" w:customStyle="1" w:styleId="ref-vol">
    <w:name w:val="ref-vol"/>
    <w:basedOn w:val="DefaultParagraphFont"/>
    <w:rsid w:val="00000C82"/>
  </w:style>
  <w:style w:type="character" w:customStyle="1" w:styleId="nowrap">
    <w:name w:val="nowrap"/>
    <w:basedOn w:val="DefaultParagraphFont"/>
    <w:rsid w:val="00000C82"/>
  </w:style>
  <w:style w:type="character" w:customStyle="1" w:styleId="exnvt">
    <w:name w:val="exnvt"/>
    <w:basedOn w:val="DefaultParagraphFont"/>
    <w:rsid w:val="00000C82"/>
  </w:style>
  <w:style w:type="character" w:customStyle="1" w:styleId="occ33b">
    <w:name w:val="occ33b"/>
    <w:basedOn w:val="DefaultParagraphFont"/>
    <w:rsid w:val="00000C82"/>
  </w:style>
  <w:style w:type="character" w:customStyle="1" w:styleId="date-display-single">
    <w:name w:val="date-display-single"/>
    <w:basedOn w:val="DefaultParagraphFont"/>
    <w:rsid w:val="00000C82"/>
  </w:style>
  <w:style w:type="character" w:customStyle="1" w:styleId="luna-woo">
    <w:name w:val="luna-woo"/>
    <w:basedOn w:val="DefaultParagraphFont"/>
    <w:rsid w:val="00000C82"/>
  </w:style>
  <w:style w:type="character" w:styleId="PlaceholderText">
    <w:name w:val="Placeholder Text"/>
    <w:basedOn w:val="DefaultParagraphFont"/>
    <w:uiPriority w:val="99"/>
    <w:semiHidden/>
    <w:rsid w:val="00000C82"/>
    <w:rPr>
      <w:color w:val="808080"/>
    </w:rPr>
  </w:style>
  <w:style w:type="table" w:customStyle="1" w:styleId="TableGrid1">
    <w:name w:val="Table Grid1"/>
    <w:basedOn w:val="TableNormal"/>
    <w:next w:val="TableGrid"/>
    <w:uiPriority w:val="59"/>
    <w:rsid w:val="00000C82"/>
    <w:pPr>
      <w:spacing w:after="0" w:line="240" w:lineRule="auto"/>
      <w:jc w:val="both"/>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YTABLES0">
    <w:name w:val="MY TABLES"/>
    <w:basedOn w:val="Caption"/>
    <w:next w:val="Caption"/>
    <w:link w:val="MYTABLESChar0"/>
    <w:autoRedefine/>
    <w:rsid w:val="00000C82"/>
    <w:pPr>
      <w:jc w:val="both"/>
    </w:pPr>
    <w:rPr>
      <w:rFonts w:ascii="Times New Roman" w:hAnsi="Times New Roman" w:cs="Times New Roman"/>
      <w:b/>
      <w:kern w:val="0"/>
      <w14:ligatures w14:val="none"/>
    </w:rPr>
  </w:style>
  <w:style w:type="character" w:customStyle="1" w:styleId="MYTABLESChar0">
    <w:name w:val="MY TABLES Char"/>
    <w:basedOn w:val="CaptionChar"/>
    <w:link w:val="MYTABLES0"/>
    <w:rsid w:val="00000C82"/>
    <w:rPr>
      <w:rFonts w:ascii="Times New Roman" w:hAnsi="Times New Roman" w:cs="Times New Roman"/>
      <w:b/>
      <w:i/>
      <w:iCs/>
      <w:color w:val="44546A" w:themeColor="text2"/>
      <w:kern w:val="0"/>
      <w:sz w:val="18"/>
      <w:szCs w:val="18"/>
      <w14:ligatures w14:val="none"/>
    </w:rPr>
  </w:style>
  <w:style w:type="character" w:styleId="SubtleReference">
    <w:name w:val="Subtle Reference"/>
    <w:basedOn w:val="DefaultParagraphFont"/>
    <w:uiPriority w:val="31"/>
    <w:qFormat/>
    <w:rsid w:val="00000C82"/>
    <w:rPr>
      <w:smallCaps/>
      <w:color w:val="5A5A5A" w:themeColor="text1" w:themeTint="A5"/>
    </w:rPr>
  </w:style>
  <w:style w:type="character" w:styleId="BookTitle">
    <w:name w:val="Book Title"/>
    <w:basedOn w:val="DefaultParagraphFont"/>
    <w:uiPriority w:val="33"/>
    <w:qFormat/>
    <w:rsid w:val="00000C82"/>
    <w:rPr>
      <w:b/>
      <w:bCs/>
      <w:i/>
      <w:iCs/>
      <w:spacing w:val="5"/>
    </w:rPr>
  </w:style>
  <w:style w:type="character" w:customStyle="1" w:styleId="muxgbd">
    <w:name w:val="muxgbd"/>
    <w:basedOn w:val="DefaultParagraphFont"/>
    <w:rsid w:val="00000C82"/>
  </w:style>
  <w:style w:type="character" w:customStyle="1" w:styleId="byline">
    <w:name w:val="byline"/>
    <w:basedOn w:val="DefaultParagraphFont"/>
    <w:rsid w:val="00000C82"/>
  </w:style>
  <w:style w:type="character" w:customStyle="1" w:styleId="x-ck12-vocab-interlink">
    <w:name w:val="x-ck12-vocab-interlink"/>
    <w:basedOn w:val="DefaultParagraphFont"/>
    <w:rsid w:val="00000C82"/>
  </w:style>
  <w:style w:type="character" w:customStyle="1" w:styleId="element-invisible">
    <w:name w:val="element-invisible"/>
    <w:basedOn w:val="DefaultParagraphFont"/>
    <w:rsid w:val="00000C82"/>
  </w:style>
  <w:style w:type="character" w:customStyle="1" w:styleId="popovergroup">
    <w:name w:val="popovergroup"/>
    <w:basedOn w:val="DefaultParagraphFont"/>
    <w:rsid w:val="00000C82"/>
  </w:style>
  <w:style w:type="character" w:customStyle="1" w:styleId="popoverbutton">
    <w:name w:val="popoverbutton"/>
    <w:basedOn w:val="DefaultParagraphFont"/>
    <w:rsid w:val="00000C82"/>
  </w:style>
  <w:style w:type="paragraph" w:styleId="TOC4">
    <w:name w:val="toc 4"/>
    <w:basedOn w:val="Normal"/>
    <w:next w:val="Normal"/>
    <w:autoRedefine/>
    <w:uiPriority w:val="39"/>
    <w:unhideWhenUsed/>
    <w:rsid w:val="00000C82"/>
    <w:pPr>
      <w:spacing w:after="100" w:line="259" w:lineRule="auto"/>
      <w:ind w:left="660"/>
    </w:pPr>
    <w:rPr>
      <w:rFonts w:eastAsiaTheme="minorEastAsia"/>
      <w:kern w:val="0"/>
      <w:sz w:val="22"/>
      <w:szCs w:val="22"/>
      <w14:ligatures w14:val="none"/>
    </w:rPr>
  </w:style>
  <w:style w:type="paragraph" w:styleId="TOC5">
    <w:name w:val="toc 5"/>
    <w:basedOn w:val="Normal"/>
    <w:next w:val="Normal"/>
    <w:autoRedefine/>
    <w:uiPriority w:val="39"/>
    <w:unhideWhenUsed/>
    <w:rsid w:val="00000C82"/>
    <w:pPr>
      <w:spacing w:after="100" w:line="259" w:lineRule="auto"/>
      <w:ind w:left="880"/>
    </w:pPr>
    <w:rPr>
      <w:rFonts w:eastAsiaTheme="minorEastAsia"/>
      <w:kern w:val="0"/>
      <w:sz w:val="22"/>
      <w:szCs w:val="22"/>
      <w14:ligatures w14:val="none"/>
    </w:rPr>
  </w:style>
  <w:style w:type="paragraph" w:styleId="TOC6">
    <w:name w:val="toc 6"/>
    <w:basedOn w:val="Normal"/>
    <w:next w:val="Normal"/>
    <w:autoRedefine/>
    <w:uiPriority w:val="39"/>
    <w:unhideWhenUsed/>
    <w:rsid w:val="00000C82"/>
    <w:pPr>
      <w:spacing w:after="100" w:line="259" w:lineRule="auto"/>
      <w:ind w:left="1100"/>
    </w:pPr>
    <w:rPr>
      <w:rFonts w:eastAsiaTheme="minorEastAsia"/>
      <w:kern w:val="0"/>
      <w:sz w:val="22"/>
      <w:szCs w:val="22"/>
      <w14:ligatures w14:val="none"/>
    </w:rPr>
  </w:style>
  <w:style w:type="paragraph" w:styleId="TOC7">
    <w:name w:val="toc 7"/>
    <w:basedOn w:val="Normal"/>
    <w:next w:val="Normal"/>
    <w:autoRedefine/>
    <w:uiPriority w:val="39"/>
    <w:unhideWhenUsed/>
    <w:rsid w:val="00000C82"/>
    <w:pPr>
      <w:spacing w:after="100" w:line="259" w:lineRule="auto"/>
      <w:ind w:left="1320"/>
    </w:pPr>
    <w:rPr>
      <w:rFonts w:eastAsiaTheme="minorEastAsia"/>
      <w:kern w:val="0"/>
      <w:sz w:val="22"/>
      <w:szCs w:val="22"/>
      <w14:ligatures w14:val="none"/>
    </w:rPr>
  </w:style>
  <w:style w:type="paragraph" w:styleId="TOC8">
    <w:name w:val="toc 8"/>
    <w:basedOn w:val="Normal"/>
    <w:next w:val="Normal"/>
    <w:autoRedefine/>
    <w:uiPriority w:val="39"/>
    <w:unhideWhenUsed/>
    <w:rsid w:val="00000C82"/>
    <w:pPr>
      <w:spacing w:after="100" w:line="259" w:lineRule="auto"/>
      <w:ind w:left="1540"/>
    </w:pPr>
    <w:rPr>
      <w:rFonts w:eastAsiaTheme="minorEastAsia"/>
      <w:kern w:val="0"/>
      <w:sz w:val="22"/>
      <w:szCs w:val="22"/>
      <w14:ligatures w14:val="none"/>
    </w:rPr>
  </w:style>
  <w:style w:type="paragraph" w:styleId="TOC9">
    <w:name w:val="toc 9"/>
    <w:basedOn w:val="Normal"/>
    <w:next w:val="Normal"/>
    <w:autoRedefine/>
    <w:uiPriority w:val="39"/>
    <w:unhideWhenUsed/>
    <w:rsid w:val="00000C82"/>
    <w:pPr>
      <w:spacing w:after="100" w:line="259" w:lineRule="auto"/>
      <w:ind w:left="1760"/>
    </w:pPr>
    <w:rPr>
      <w:rFonts w:eastAsiaTheme="minorEastAsia"/>
      <w:kern w:val="0"/>
      <w:sz w:val="22"/>
      <w:szCs w:val="22"/>
      <w14:ligatures w14:val="none"/>
    </w:rPr>
  </w:style>
  <w:style w:type="character" w:customStyle="1" w:styleId="jczey">
    <w:name w:val="jczey"/>
    <w:basedOn w:val="DefaultParagraphFont"/>
    <w:rsid w:val="00000C82"/>
  </w:style>
  <w:style w:type="character" w:customStyle="1" w:styleId="cursor-pointer">
    <w:name w:val="cursor-pointer"/>
    <w:basedOn w:val="DefaultParagraphFont"/>
    <w:rsid w:val="00000C82"/>
  </w:style>
  <w:style w:type="numbering" w:customStyle="1" w:styleId="Style1">
    <w:name w:val="Style1"/>
    <w:basedOn w:val="NoList"/>
    <w:uiPriority w:val="99"/>
    <w:rsid w:val="00000C82"/>
    <w:pPr>
      <w:numPr>
        <w:numId w:val="1"/>
      </w:numPr>
    </w:pPr>
  </w:style>
  <w:style w:type="paragraph" w:customStyle="1" w:styleId="Style2">
    <w:name w:val="Style2"/>
    <w:basedOn w:val="Heading2"/>
    <w:next w:val="Heading2"/>
    <w:link w:val="Style2Char"/>
    <w:rsid w:val="00000C82"/>
    <w:pPr>
      <w:keepNext w:val="0"/>
      <w:keepLines w:val="0"/>
      <w:shd w:val="clear" w:color="auto" w:fill="FFFFFF"/>
      <w:spacing w:before="0" w:after="0" w:line="360" w:lineRule="auto"/>
      <w:ind w:left="720" w:hanging="360"/>
      <w:jc w:val="both"/>
    </w:pPr>
    <w:rPr>
      <w:rFonts w:eastAsia="Calibri" w:cs="Times New Roman"/>
      <w:b w:val="0"/>
      <w:i/>
      <w:iCs w:val="0"/>
      <w:color w:val="EE0000"/>
      <w:kern w:val="0"/>
      <w14:ligatures w14:val="none"/>
    </w:rPr>
  </w:style>
  <w:style w:type="character" w:customStyle="1" w:styleId="Style2Char">
    <w:name w:val="Style2 Char"/>
    <w:basedOn w:val="Heading2Char"/>
    <w:link w:val="Style2"/>
    <w:rsid w:val="00000C82"/>
    <w:rPr>
      <w:rFonts w:ascii="Times New Roman" w:eastAsia="Calibri" w:hAnsi="Times New Roman" w:cs="Times New Roman"/>
      <w:b w:val="0"/>
      <w:i/>
      <w:iCs w:val="0"/>
      <w:color w:val="EE0000"/>
      <w:kern w:val="0"/>
      <w:szCs w:val="32"/>
      <w:shd w:val="clear" w:color="auto" w:fill="FFFFFF"/>
      <w14:ligatures w14:val="none"/>
    </w:rPr>
  </w:style>
  <w:style w:type="table" w:customStyle="1" w:styleId="TableGrid2">
    <w:name w:val="Table Grid2"/>
    <w:basedOn w:val="TableNormal"/>
    <w:next w:val="TableGrid"/>
    <w:uiPriority w:val="39"/>
    <w:rsid w:val="00000C82"/>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iven-names">
    <w:name w:val="given-names"/>
    <w:basedOn w:val="DefaultParagraphFont"/>
    <w:rsid w:val="00000C82"/>
  </w:style>
  <w:style w:type="character" w:customStyle="1" w:styleId="surname">
    <w:name w:val="surname"/>
    <w:basedOn w:val="DefaultParagraphFont"/>
    <w:rsid w:val="00000C82"/>
  </w:style>
  <w:style w:type="character" w:customStyle="1" w:styleId="contributor-details-link">
    <w:name w:val="contributor-details-link"/>
    <w:basedOn w:val="DefaultParagraphFont"/>
    <w:rsid w:val="00000C82"/>
  </w:style>
  <w:style w:type="character" w:customStyle="1" w:styleId="contributor-separator">
    <w:name w:val="contributor-separator"/>
    <w:basedOn w:val="DefaultParagraphFont"/>
    <w:rsid w:val="00000C82"/>
  </w:style>
  <w:style w:type="character" w:customStyle="1" w:styleId="al-author-name-more">
    <w:name w:val="al-author-name-more"/>
    <w:basedOn w:val="DefaultParagraphFont"/>
    <w:rsid w:val="00000C82"/>
  </w:style>
  <w:style w:type="character" w:customStyle="1" w:styleId="delimiter">
    <w:name w:val="delimiter"/>
    <w:basedOn w:val="DefaultParagraphFont"/>
    <w:rsid w:val="00000C82"/>
  </w:style>
  <w:style w:type="character" w:customStyle="1" w:styleId="overlay">
    <w:name w:val="overlay"/>
    <w:basedOn w:val="DefaultParagraphFont"/>
    <w:rsid w:val="00000C82"/>
  </w:style>
  <w:style w:type="character" w:customStyle="1" w:styleId="orcid-icon">
    <w:name w:val="orcid-icon"/>
    <w:basedOn w:val="DefaultParagraphFont"/>
    <w:rsid w:val="00000C82"/>
  </w:style>
  <w:style w:type="character" w:customStyle="1" w:styleId="title-text">
    <w:name w:val="title-text"/>
    <w:basedOn w:val="DefaultParagraphFont"/>
    <w:rsid w:val="00000C82"/>
  </w:style>
  <w:style w:type="character" w:customStyle="1" w:styleId="authors-list-item">
    <w:name w:val="authors-list-item"/>
    <w:basedOn w:val="DefaultParagraphFont"/>
    <w:rsid w:val="00000C82"/>
  </w:style>
  <w:style w:type="character" w:customStyle="1" w:styleId="author-sup-separator">
    <w:name w:val="author-sup-separator"/>
    <w:basedOn w:val="DefaultParagraphFont"/>
    <w:rsid w:val="00000C82"/>
  </w:style>
  <w:style w:type="character" w:customStyle="1" w:styleId="comma">
    <w:name w:val="comma"/>
    <w:basedOn w:val="DefaultParagraphFont"/>
    <w:rsid w:val="00000C82"/>
  </w:style>
  <w:style w:type="character" w:customStyle="1" w:styleId="UnresolvedMention10">
    <w:name w:val="Unresolved Mention10"/>
    <w:basedOn w:val="DefaultParagraphFont"/>
    <w:uiPriority w:val="99"/>
    <w:semiHidden/>
    <w:unhideWhenUsed/>
    <w:rsid w:val="00000C82"/>
    <w:rPr>
      <w:color w:val="605E5C"/>
      <w:shd w:val="clear" w:color="auto" w:fill="E1DFDD"/>
    </w:rPr>
  </w:style>
  <w:style w:type="character" w:customStyle="1" w:styleId="css-0">
    <w:name w:val="css-0"/>
    <w:basedOn w:val="DefaultParagraphFont"/>
    <w:rsid w:val="00000C82"/>
  </w:style>
  <w:style w:type="character" w:customStyle="1" w:styleId="css-1tmeul0">
    <w:name w:val="css-1tmeul0"/>
    <w:basedOn w:val="DefaultParagraphFont"/>
    <w:rsid w:val="00000C82"/>
  </w:style>
  <w:style w:type="character" w:customStyle="1" w:styleId="css-1g9q2al">
    <w:name w:val="css-1g9q2al"/>
    <w:basedOn w:val="DefaultParagraphFont"/>
    <w:rsid w:val="00000C82"/>
  </w:style>
  <w:style w:type="character" w:customStyle="1" w:styleId="css-10o52y0">
    <w:name w:val="css-10o52y0"/>
    <w:basedOn w:val="DefaultParagraphFont"/>
    <w:rsid w:val="00000C82"/>
  </w:style>
  <w:style w:type="character" w:customStyle="1" w:styleId="css-h5d7i9">
    <w:name w:val="css-h5d7i9"/>
    <w:basedOn w:val="DefaultParagraphFont"/>
    <w:rsid w:val="00000C82"/>
  </w:style>
  <w:style w:type="character" w:customStyle="1" w:styleId="h1">
    <w:name w:val="h1"/>
    <w:basedOn w:val="DefaultParagraphFont"/>
    <w:rsid w:val="00000C82"/>
  </w:style>
  <w:style w:type="character" w:customStyle="1" w:styleId="gxzfx">
    <w:name w:val="gxzfx"/>
    <w:basedOn w:val="DefaultParagraphFont"/>
    <w:rsid w:val="00000C82"/>
  </w:style>
  <w:style w:type="character" w:customStyle="1" w:styleId="clox1e">
    <w:name w:val="clox1e"/>
    <w:basedOn w:val="DefaultParagraphFont"/>
    <w:rsid w:val="00000C82"/>
  </w:style>
  <w:style w:type="character" w:customStyle="1" w:styleId="UnresolvedMention11">
    <w:name w:val="Unresolved Mention11"/>
    <w:basedOn w:val="DefaultParagraphFont"/>
    <w:uiPriority w:val="99"/>
    <w:semiHidden/>
    <w:unhideWhenUsed/>
    <w:rsid w:val="00000C82"/>
    <w:rPr>
      <w:color w:val="605E5C"/>
      <w:shd w:val="clear" w:color="auto" w:fill="E1DFDD"/>
    </w:rPr>
  </w:style>
  <w:style w:type="character" w:customStyle="1" w:styleId="UnresolvedMention12">
    <w:name w:val="Unresolved Mention12"/>
    <w:basedOn w:val="DefaultParagraphFont"/>
    <w:uiPriority w:val="99"/>
    <w:semiHidden/>
    <w:unhideWhenUsed/>
    <w:rsid w:val="00000C82"/>
    <w:rPr>
      <w:color w:val="605E5C"/>
      <w:shd w:val="clear" w:color="auto" w:fill="E1DFDD"/>
    </w:rPr>
  </w:style>
  <w:style w:type="character" w:customStyle="1" w:styleId="UnresolvedMention13">
    <w:name w:val="Unresolved Mention13"/>
    <w:basedOn w:val="DefaultParagraphFont"/>
    <w:uiPriority w:val="99"/>
    <w:semiHidden/>
    <w:unhideWhenUsed/>
    <w:rsid w:val="00000C82"/>
    <w:rPr>
      <w:color w:val="605E5C"/>
      <w:shd w:val="clear" w:color="auto" w:fill="E1DFDD"/>
    </w:rPr>
  </w:style>
  <w:style w:type="character" w:customStyle="1" w:styleId="UnresolvedMention14">
    <w:name w:val="Unresolved Mention14"/>
    <w:basedOn w:val="DefaultParagraphFont"/>
    <w:uiPriority w:val="99"/>
    <w:semiHidden/>
    <w:unhideWhenUsed/>
    <w:rsid w:val="00000C82"/>
    <w:rPr>
      <w:color w:val="605E5C"/>
      <w:shd w:val="clear" w:color="auto" w:fill="E1DFDD"/>
    </w:rPr>
  </w:style>
  <w:style w:type="character" w:customStyle="1" w:styleId="UnresolvedMention15">
    <w:name w:val="Unresolved Mention15"/>
    <w:basedOn w:val="DefaultParagraphFont"/>
    <w:uiPriority w:val="99"/>
    <w:semiHidden/>
    <w:unhideWhenUsed/>
    <w:rsid w:val="00000C82"/>
    <w:rPr>
      <w:color w:val="605E5C"/>
      <w:shd w:val="clear" w:color="auto" w:fill="E1DFDD"/>
    </w:rPr>
  </w:style>
  <w:style w:type="character" w:customStyle="1" w:styleId="UnresolvedMention16">
    <w:name w:val="Unresolved Mention16"/>
    <w:basedOn w:val="DefaultParagraphFont"/>
    <w:uiPriority w:val="99"/>
    <w:semiHidden/>
    <w:unhideWhenUsed/>
    <w:rsid w:val="00000C82"/>
    <w:rPr>
      <w:color w:val="605E5C"/>
      <w:shd w:val="clear" w:color="auto" w:fill="E1DFDD"/>
    </w:rPr>
  </w:style>
  <w:style w:type="character" w:customStyle="1" w:styleId="UnresolvedMention17">
    <w:name w:val="Unresolved Mention17"/>
    <w:basedOn w:val="DefaultParagraphFont"/>
    <w:uiPriority w:val="99"/>
    <w:semiHidden/>
    <w:unhideWhenUsed/>
    <w:rsid w:val="00000C82"/>
    <w:rPr>
      <w:color w:val="605E5C"/>
      <w:shd w:val="clear" w:color="auto" w:fill="E1DFDD"/>
    </w:rPr>
  </w:style>
  <w:style w:type="character" w:customStyle="1" w:styleId="UnresolvedMention18">
    <w:name w:val="Unresolved Mention18"/>
    <w:basedOn w:val="DefaultParagraphFont"/>
    <w:uiPriority w:val="99"/>
    <w:semiHidden/>
    <w:unhideWhenUsed/>
    <w:rsid w:val="00000C82"/>
    <w:rPr>
      <w:color w:val="605E5C"/>
      <w:shd w:val="clear" w:color="auto" w:fill="E1DFDD"/>
    </w:rPr>
  </w:style>
  <w:style w:type="character" w:customStyle="1" w:styleId="UnresolvedMention19">
    <w:name w:val="Unresolved Mention19"/>
    <w:basedOn w:val="DefaultParagraphFont"/>
    <w:uiPriority w:val="99"/>
    <w:semiHidden/>
    <w:unhideWhenUsed/>
    <w:rsid w:val="00000C82"/>
    <w:rPr>
      <w:color w:val="605E5C"/>
      <w:shd w:val="clear" w:color="auto" w:fill="E1DFDD"/>
    </w:rPr>
  </w:style>
  <w:style w:type="character" w:customStyle="1" w:styleId="UnresolvedMention20">
    <w:name w:val="Unresolved Mention20"/>
    <w:basedOn w:val="DefaultParagraphFont"/>
    <w:uiPriority w:val="99"/>
    <w:semiHidden/>
    <w:unhideWhenUsed/>
    <w:rsid w:val="00000C82"/>
    <w:rPr>
      <w:color w:val="605E5C"/>
      <w:shd w:val="clear" w:color="auto" w:fill="E1DFDD"/>
    </w:rPr>
  </w:style>
  <w:style w:type="character" w:customStyle="1" w:styleId="UnresolvedMention21">
    <w:name w:val="Unresolved Mention21"/>
    <w:basedOn w:val="DefaultParagraphFont"/>
    <w:uiPriority w:val="99"/>
    <w:semiHidden/>
    <w:unhideWhenUsed/>
    <w:rsid w:val="00000C82"/>
    <w:rPr>
      <w:color w:val="605E5C"/>
      <w:shd w:val="clear" w:color="auto" w:fill="E1DFDD"/>
    </w:rPr>
  </w:style>
  <w:style w:type="character" w:customStyle="1" w:styleId="UnresolvedMention22">
    <w:name w:val="Unresolved Mention22"/>
    <w:basedOn w:val="DefaultParagraphFont"/>
    <w:uiPriority w:val="99"/>
    <w:semiHidden/>
    <w:unhideWhenUsed/>
    <w:rsid w:val="00000C82"/>
    <w:rPr>
      <w:color w:val="605E5C"/>
      <w:shd w:val="clear" w:color="auto" w:fill="E1DFDD"/>
    </w:rPr>
  </w:style>
  <w:style w:type="character" w:customStyle="1" w:styleId="UnresolvedMention23">
    <w:name w:val="Unresolved Mention23"/>
    <w:basedOn w:val="DefaultParagraphFont"/>
    <w:uiPriority w:val="99"/>
    <w:semiHidden/>
    <w:unhideWhenUsed/>
    <w:rsid w:val="00000C82"/>
    <w:rPr>
      <w:color w:val="605E5C"/>
      <w:shd w:val="clear" w:color="auto" w:fill="E1DFDD"/>
    </w:rPr>
  </w:style>
  <w:style w:type="paragraph" w:customStyle="1" w:styleId="referencescopy1">
    <w:name w:val="referencescopy1"/>
    <w:basedOn w:val="Normal"/>
    <w:rsid w:val="00000C82"/>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referencescopy2">
    <w:name w:val="referencescopy2"/>
    <w:basedOn w:val="Normal"/>
    <w:rsid w:val="00000C82"/>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citationsource-journal">
    <w:name w:val="citation_source-journal"/>
    <w:basedOn w:val="DefaultParagraphFont"/>
    <w:rsid w:val="00000C82"/>
  </w:style>
  <w:style w:type="character" w:customStyle="1" w:styleId="off-screen">
    <w:name w:val="off-screen"/>
    <w:basedOn w:val="DefaultParagraphFont"/>
    <w:rsid w:val="00000C82"/>
  </w:style>
  <w:style w:type="character" w:customStyle="1" w:styleId="UnresolvedMention24">
    <w:name w:val="Unresolved Mention24"/>
    <w:basedOn w:val="DefaultParagraphFont"/>
    <w:uiPriority w:val="99"/>
    <w:semiHidden/>
    <w:unhideWhenUsed/>
    <w:rsid w:val="00000C82"/>
    <w:rPr>
      <w:color w:val="605E5C"/>
      <w:shd w:val="clear" w:color="auto" w:fill="E1DFDD"/>
    </w:rPr>
  </w:style>
  <w:style w:type="character" w:customStyle="1" w:styleId="UnresolvedMention25">
    <w:name w:val="Unresolved Mention25"/>
    <w:basedOn w:val="DefaultParagraphFont"/>
    <w:uiPriority w:val="99"/>
    <w:semiHidden/>
    <w:unhideWhenUsed/>
    <w:rsid w:val="00000C82"/>
    <w:rPr>
      <w:color w:val="605E5C"/>
      <w:shd w:val="clear" w:color="auto" w:fill="E1DFDD"/>
    </w:rPr>
  </w:style>
  <w:style w:type="character" w:customStyle="1" w:styleId="UnresolvedMention26">
    <w:name w:val="Unresolved Mention26"/>
    <w:basedOn w:val="DefaultParagraphFont"/>
    <w:uiPriority w:val="99"/>
    <w:semiHidden/>
    <w:unhideWhenUsed/>
    <w:rsid w:val="00000C82"/>
    <w:rPr>
      <w:color w:val="605E5C"/>
      <w:shd w:val="clear" w:color="auto" w:fill="E1DFDD"/>
    </w:rPr>
  </w:style>
  <w:style w:type="character" w:customStyle="1" w:styleId="UnresolvedMention27">
    <w:name w:val="Unresolved Mention27"/>
    <w:basedOn w:val="DefaultParagraphFont"/>
    <w:uiPriority w:val="99"/>
    <w:semiHidden/>
    <w:unhideWhenUsed/>
    <w:rsid w:val="00000C82"/>
    <w:rPr>
      <w:color w:val="605E5C"/>
      <w:shd w:val="clear" w:color="auto" w:fill="E1DFDD"/>
    </w:rPr>
  </w:style>
  <w:style w:type="character" w:styleId="LineNumber">
    <w:name w:val="line number"/>
    <w:basedOn w:val="DefaultParagraphFont"/>
    <w:uiPriority w:val="99"/>
    <w:semiHidden/>
    <w:unhideWhenUsed/>
    <w:rsid w:val="00000C82"/>
  </w:style>
  <w:style w:type="character" w:customStyle="1" w:styleId="UnresolvedMention28">
    <w:name w:val="Unresolved Mention28"/>
    <w:basedOn w:val="DefaultParagraphFont"/>
    <w:uiPriority w:val="99"/>
    <w:semiHidden/>
    <w:unhideWhenUsed/>
    <w:rsid w:val="00000C82"/>
    <w:rPr>
      <w:color w:val="605E5C"/>
      <w:shd w:val="clear" w:color="auto" w:fill="E1DFDD"/>
    </w:rPr>
  </w:style>
  <w:style w:type="character" w:customStyle="1" w:styleId="UnresolvedMention29">
    <w:name w:val="Unresolved Mention29"/>
    <w:basedOn w:val="DefaultParagraphFont"/>
    <w:uiPriority w:val="99"/>
    <w:semiHidden/>
    <w:unhideWhenUsed/>
    <w:rsid w:val="00000C82"/>
    <w:rPr>
      <w:color w:val="605E5C"/>
      <w:shd w:val="clear" w:color="auto" w:fill="E1DFDD"/>
    </w:rPr>
  </w:style>
  <w:style w:type="character" w:customStyle="1" w:styleId="katex-mathml">
    <w:name w:val="katex-mathml"/>
    <w:basedOn w:val="DefaultParagraphFont"/>
    <w:rsid w:val="00000C82"/>
  </w:style>
  <w:style w:type="character" w:customStyle="1" w:styleId="mord">
    <w:name w:val="mord"/>
    <w:basedOn w:val="DefaultParagraphFont"/>
    <w:rsid w:val="00000C82"/>
  </w:style>
  <w:style w:type="character" w:customStyle="1" w:styleId="mrel">
    <w:name w:val="mrel"/>
    <w:basedOn w:val="DefaultParagraphFont"/>
    <w:rsid w:val="00000C82"/>
  </w:style>
  <w:style w:type="character" w:customStyle="1" w:styleId="mpunct">
    <w:name w:val="mpunct"/>
    <w:basedOn w:val="DefaultParagraphFont"/>
    <w:rsid w:val="00000C82"/>
  </w:style>
  <w:style w:type="character" w:customStyle="1" w:styleId="vlist-s">
    <w:name w:val="vlist-s"/>
    <w:basedOn w:val="DefaultParagraphFont"/>
    <w:rsid w:val="00000C82"/>
  </w:style>
  <w:style w:type="character" w:customStyle="1" w:styleId="UnresolvedMention30">
    <w:name w:val="Unresolved Mention30"/>
    <w:basedOn w:val="DefaultParagraphFont"/>
    <w:uiPriority w:val="99"/>
    <w:semiHidden/>
    <w:unhideWhenUsed/>
    <w:rsid w:val="00000C82"/>
    <w:rPr>
      <w:color w:val="605E5C"/>
      <w:shd w:val="clear" w:color="auto" w:fill="E1DFDD"/>
    </w:rPr>
  </w:style>
  <w:style w:type="character" w:customStyle="1" w:styleId="al-author-delim">
    <w:name w:val="al-author-delim"/>
    <w:basedOn w:val="DefaultParagraphFont"/>
    <w:rsid w:val="00000C82"/>
  </w:style>
  <w:style w:type="character" w:customStyle="1" w:styleId="UnresolvedMention31">
    <w:name w:val="Unresolved Mention31"/>
    <w:basedOn w:val="DefaultParagraphFont"/>
    <w:uiPriority w:val="99"/>
    <w:semiHidden/>
    <w:unhideWhenUsed/>
    <w:rsid w:val="00000C82"/>
    <w:rPr>
      <w:color w:val="605E5C"/>
      <w:shd w:val="clear" w:color="auto" w:fill="E1DFDD"/>
    </w:rPr>
  </w:style>
  <w:style w:type="character" w:customStyle="1" w:styleId="UnresolvedMention32">
    <w:name w:val="Unresolved Mention32"/>
    <w:basedOn w:val="DefaultParagraphFont"/>
    <w:uiPriority w:val="99"/>
    <w:semiHidden/>
    <w:unhideWhenUsed/>
    <w:rsid w:val="00000C82"/>
    <w:rPr>
      <w:color w:val="605E5C"/>
      <w:shd w:val="clear" w:color="auto" w:fill="E1DFDD"/>
    </w:rPr>
  </w:style>
  <w:style w:type="paragraph" w:customStyle="1" w:styleId="MyTable">
    <w:name w:val="My Table"/>
    <w:basedOn w:val="Caption"/>
    <w:next w:val="Caption"/>
    <w:link w:val="MyTableChar"/>
    <w:autoRedefine/>
    <w:qFormat/>
    <w:rsid w:val="004E0A1E"/>
    <w:pPr>
      <w:spacing w:line="360" w:lineRule="auto"/>
      <w:jc w:val="both"/>
    </w:pPr>
    <w:rPr>
      <w:rFonts w:ascii="Garamond" w:hAnsi="Garamond" w:cs="Times New Roman"/>
      <w:b/>
      <w:bCs/>
      <w:i w:val="0"/>
      <w:color w:val="auto"/>
      <w:sz w:val="24"/>
      <w:szCs w:val="24"/>
    </w:rPr>
  </w:style>
  <w:style w:type="character" w:customStyle="1" w:styleId="MyTableChar">
    <w:name w:val="My Table Char"/>
    <w:basedOn w:val="CaptionChar"/>
    <w:link w:val="MyTable"/>
    <w:rsid w:val="004E0A1E"/>
    <w:rPr>
      <w:rFonts w:ascii="Garamond" w:hAnsi="Garamond" w:cs="Times New Roman"/>
      <w:b/>
      <w:bCs/>
      <w:i w:val="0"/>
      <w:iCs/>
      <w:color w:val="44546A" w:themeColor="text2"/>
      <w:sz w:val="18"/>
      <w:szCs w:val="18"/>
    </w:rPr>
  </w:style>
  <w:style w:type="paragraph" w:customStyle="1" w:styleId="MyFigure">
    <w:name w:val="My Figure"/>
    <w:basedOn w:val="Caption"/>
    <w:next w:val="Caption"/>
    <w:link w:val="MyFigureChar"/>
    <w:autoRedefine/>
    <w:qFormat/>
    <w:rsid w:val="005D176E"/>
    <w:pPr>
      <w:spacing w:line="360" w:lineRule="auto"/>
      <w:jc w:val="both"/>
    </w:pPr>
    <w:rPr>
      <w:rFonts w:ascii="Garamond" w:hAnsi="Garamond" w:cs="Times New Roman"/>
      <w:b/>
      <w:bCs/>
      <w:i w:val="0"/>
      <w:color w:val="auto"/>
      <w:sz w:val="24"/>
      <w:szCs w:val="24"/>
    </w:rPr>
  </w:style>
  <w:style w:type="character" w:customStyle="1" w:styleId="MyFigureChar">
    <w:name w:val="My Figure Char"/>
    <w:basedOn w:val="CaptionChar"/>
    <w:link w:val="MyFigure"/>
    <w:rsid w:val="005D176E"/>
    <w:rPr>
      <w:rFonts w:ascii="Garamond" w:hAnsi="Garamond" w:cs="Times New Roman"/>
      <w:b/>
      <w:bCs/>
      <w:i w:val="0"/>
      <w:iCs/>
      <w:color w:val="44546A" w:themeColor="text2"/>
      <w:sz w:val="18"/>
      <w:szCs w:val="18"/>
    </w:rPr>
  </w:style>
  <w:style w:type="character" w:customStyle="1" w:styleId="UnresolvedMention33">
    <w:name w:val="Unresolved Mention33"/>
    <w:basedOn w:val="DefaultParagraphFont"/>
    <w:uiPriority w:val="99"/>
    <w:semiHidden/>
    <w:unhideWhenUsed/>
    <w:rsid w:val="00F73110"/>
    <w:rPr>
      <w:color w:val="605E5C"/>
      <w:shd w:val="clear" w:color="auto" w:fill="E1DFDD"/>
    </w:rPr>
  </w:style>
  <w:style w:type="paragraph" w:styleId="z-TopofForm">
    <w:name w:val="HTML Top of Form"/>
    <w:basedOn w:val="Normal"/>
    <w:next w:val="Normal"/>
    <w:link w:val="z-TopofFormChar"/>
    <w:hidden/>
    <w:uiPriority w:val="99"/>
    <w:semiHidden/>
    <w:unhideWhenUsed/>
    <w:rsid w:val="00DA3899"/>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DA3899"/>
    <w:rPr>
      <w:rFonts w:ascii="Arial" w:eastAsia="Times New Roman" w:hAnsi="Arial" w:cs="Arial"/>
      <w:vanish/>
      <w:kern w:val="0"/>
      <w:sz w:val="16"/>
      <w:szCs w:val="16"/>
      <w14:ligatures w14:val="none"/>
    </w:rPr>
  </w:style>
  <w:style w:type="paragraph" w:customStyle="1" w:styleId="placeholder">
    <w:name w:val="placeholder"/>
    <w:basedOn w:val="Normal"/>
    <w:rsid w:val="00DA3899"/>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z-BottomofForm">
    <w:name w:val="HTML Bottom of Form"/>
    <w:basedOn w:val="Normal"/>
    <w:next w:val="Normal"/>
    <w:link w:val="z-BottomofFormChar"/>
    <w:hidden/>
    <w:uiPriority w:val="99"/>
    <w:semiHidden/>
    <w:unhideWhenUsed/>
    <w:rsid w:val="00DA3899"/>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DA3899"/>
    <w:rPr>
      <w:rFonts w:ascii="Arial" w:eastAsia="Times New Roman" w:hAnsi="Arial" w:cs="Arial"/>
      <w:vanish/>
      <w:kern w:val="0"/>
      <w:sz w:val="16"/>
      <w:szCs w:val="16"/>
      <w14:ligatures w14:val="none"/>
    </w:rPr>
  </w:style>
  <w:style w:type="character" w:customStyle="1" w:styleId="UnresolvedMention34">
    <w:name w:val="Unresolved Mention34"/>
    <w:basedOn w:val="DefaultParagraphFont"/>
    <w:uiPriority w:val="99"/>
    <w:semiHidden/>
    <w:unhideWhenUsed/>
    <w:rsid w:val="00F211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2816">
      <w:bodyDiv w:val="1"/>
      <w:marLeft w:val="0"/>
      <w:marRight w:val="0"/>
      <w:marTop w:val="0"/>
      <w:marBottom w:val="0"/>
      <w:divBdr>
        <w:top w:val="none" w:sz="0" w:space="0" w:color="auto"/>
        <w:left w:val="none" w:sz="0" w:space="0" w:color="auto"/>
        <w:bottom w:val="none" w:sz="0" w:space="0" w:color="auto"/>
        <w:right w:val="none" w:sz="0" w:space="0" w:color="auto"/>
      </w:divBdr>
    </w:div>
    <w:div w:id="9726451">
      <w:bodyDiv w:val="1"/>
      <w:marLeft w:val="0"/>
      <w:marRight w:val="0"/>
      <w:marTop w:val="0"/>
      <w:marBottom w:val="0"/>
      <w:divBdr>
        <w:top w:val="none" w:sz="0" w:space="0" w:color="auto"/>
        <w:left w:val="none" w:sz="0" w:space="0" w:color="auto"/>
        <w:bottom w:val="none" w:sz="0" w:space="0" w:color="auto"/>
        <w:right w:val="none" w:sz="0" w:space="0" w:color="auto"/>
      </w:divBdr>
    </w:div>
    <w:div w:id="25525735">
      <w:bodyDiv w:val="1"/>
      <w:marLeft w:val="0"/>
      <w:marRight w:val="0"/>
      <w:marTop w:val="0"/>
      <w:marBottom w:val="0"/>
      <w:divBdr>
        <w:top w:val="none" w:sz="0" w:space="0" w:color="auto"/>
        <w:left w:val="none" w:sz="0" w:space="0" w:color="auto"/>
        <w:bottom w:val="none" w:sz="0" w:space="0" w:color="auto"/>
        <w:right w:val="none" w:sz="0" w:space="0" w:color="auto"/>
      </w:divBdr>
    </w:div>
    <w:div w:id="27922458">
      <w:bodyDiv w:val="1"/>
      <w:marLeft w:val="0"/>
      <w:marRight w:val="0"/>
      <w:marTop w:val="0"/>
      <w:marBottom w:val="0"/>
      <w:divBdr>
        <w:top w:val="none" w:sz="0" w:space="0" w:color="auto"/>
        <w:left w:val="none" w:sz="0" w:space="0" w:color="auto"/>
        <w:bottom w:val="none" w:sz="0" w:space="0" w:color="auto"/>
        <w:right w:val="none" w:sz="0" w:space="0" w:color="auto"/>
      </w:divBdr>
    </w:div>
    <w:div w:id="28921096">
      <w:bodyDiv w:val="1"/>
      <w:marLeft w:val="0"/>
      <w:marRight w:val="0"/>
      <w:marTop w:val="0"/>
      <w:marBottom w:val="0"/>
      <w:divBdr>
        <w:top w:val="none" w:sz="0" w:space="0" w:color="auto"/>
        <w:left w:val="none" w:sz="0" w:space="0" w:color="auto"/>
        <w:bottom w:val="none" w:sz="0" w:space="0" w:color="auto"/>
        <w:right w:val="none" w:sz="0" w:space="0" w:color="auto"/>
      </w:divBdr>
    </w:div>
    <w:div w:id="32001465">
      <w:bodyDiv w:val="1"/>
      <w:marLeft w:val="0"/>
      <w:marRight w:val="0"/>
      <w:marTop w:val="0"/>
      <w:marBottom w:val="0"/>
      <w:divBdr>
        <w:top w:val="none" w:sz="0" w:space="0" w:color="auto"/>
        <w:left w:val="none" w:sz="0" w:space="0" w:color="auto"/>
        <w:bottom w:val="none" w:sz="0" w:space="0" w:color="auto"/>
        <w:right w:val="none" w:sz="0" w:space="0" w:color="auto"/>
      </w:divBdr>
    </w:div>
    <w:div w:id="58984657">
      <w:bodyDiv w:val="1"/>
      <w:marLeft w:val="0"/>
      <w:marRight w:val="0"/>
      <w:marTop w:val="0"/>
      <w:marBottom w:val="0"/>
      <w:divBdr>
        <w:top w:val="none" w:sz="0" w:space="0" w:color="auto"/>
        <w:left w:val="none" w:sz="0" w:space="0" w:color="auto"/>
        <w:bottom w:val="none" w:sz="0" w:space="0" w:color="auto"/>
        <w:right w:val="none" w:sz="0" w:space="0" w:color="auto"/>
      </w:divBdr>
    </w:div>
    <w:div w:id="60714908">
      <w:bodyDiv w:val="1"/>
      <w:marLeft w:val="0"/>
      <w:marRight w:val="0"/>
      <w:marTop w:val="0"/>
      <w:marBottom w:val="0"/>
      <w:divBdr>
        <w:top w:val="none" w:sz="0" w:space="0" w:color="auto"/>
        <w:left w:val="none" w:sz="0" w:space="0" w:color="auto"/>
        <w:bottom w:val="none" w:sz="0" w:space="0" w:color="auto"/>
        <w:right w:val="none" w:sz="0" w:space="0" w:color="auto"/>
      </w:divBdr>
    </w:div>
    <w:div w:id="66919852">
      <w:bodyDiv w:val="1"/>
      <w:marLeft w:val="0"/>
      <w:marRight w:val="0"/>
      <w:marTop w:val="0"/>
      <w:marBottom w:val="0"/>
      <w:divBdr>
        <w:top w:val="none" w:sz="0" w:space="0" w:color="auto"/>
        <w:left w:val="none" w:sz="0" w:space="0" w:color="auto"/>
        <w:bottom w:val="none" w:sz="0" w:space="0" w:color="auto"/>
        <w:right w:val="none" w:sz="0" w:space="0" w:color="auto"/>
      </w:divBdr>
      <w:divsChild>
        <w:div w:id="1803765948">
          <w:marLeft w:val="0"/>
          <w:marRight w:val="0"/>
          <w:marTop w:val="0"/>
          <w:marBottom w:val="0"/>
          <w:divBdr>
            <w:top w:val="none" w:sz="0" w:space="0" w:color="auto"/>
            <w:left w:val="none" w:sz="0" w:space="0" w:color="auto"/>
            <w:bottom w:val="none" w:sz="0" w:space="0" w:color="auto"/>
            <w:right w:val="none" w:sz="0" w:space="0" w:color="auto"/>
          </w:divBdr>
          <w:divsChild>
            <w:div w:id="27271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7772">
      <w:bodyDiv w:val="1"/>
      <w:marLeft w:val="0"/>
      <w:marRight w:val="0"/>
      <w:marTop w:val="0"/>
      <w:marBottom w:val="0"/>
      <w:divBdr>
        <w:top w:val="none" w:sz="0" w:space="0" w:color="auto"/>
        <w:left w:val="none" w:sz="0" w:space="0" w:color="auto"/>
        <w:bottom w:val="none" w:sz="0" w:space="0" w:color="auto"/>
        <w:right w:val="none" w:sz="0" w:space="0" w:color="auto"/>
      </w:divBdr>
    </w:div>
    <w:div w:id="89208247">
      <w:bodyDiv w:val="1"/>
      <w:marLeft w:val="0"/>
      <w:marRight w:val="0"/>
      <w:marTop w:val="0"/>
      <w:marBottom w:val="0"/>
      <w:divBdr>
        <w:top w:val="none" w:sz="0" w:space="0" w:color="auto"/>
        <w:left w:val="none" w:sz="0" w:space="0" w:color="auto"/>
        <w:bottom w:val="none" w:sz="0" w:space="0" w:color="auto"/>
        <w:right w:val="none" w:sz="0" w:space="0" w:color="auto"/>
      </w:divBdr>
    </w:div>
    <w:div w:id="118040233">
      <w:bodyDiv w:val="1"/>
      <w:marLeft w:val="0"/>
      <w:marRight w:val="0"/>
      <w:marTop w:val="0"/>
      <w:marBottom w:val="0"/>
      <w:divBdr>
        <w:top w:val="none" w:sz="0" w:space="0" w:color="auto"/>
        <w:left w:val="none" w:sz="0" w:space="0" w:color="auto"/>
        <w:bottom w:val="none" w:sz="0" w:space="0" w:color="auto"/>
        <w:right w:val="none" w:sz="0" w:space="0" w:color="auto"/>
      </w:divBdr>
    </w:div>
    <w:div w:id="124784324">
      <w:bodyDiv w:val="1"/>
      <w:marLeft w:val="0"/>
      <w:marRight w:val="0"/>
      <w:marTop w:val="0"/>
      <w:marBottom w:val="0"/>
      <w:divBdr>
        <w:top w:val="none" w:sz="0" w:space="0" w:color="auto"/>
        <w:left w:val="none" w:sz="0" w:space="0" w:color="auto"/>
        <w:bottom w:val="none" w:sz="0" w:space="0" w:color="auto"/>
        <w:right w:val="none" w:sz="0" w:space="0" w:color="auto"/>
      </w:divBdr>
    </w:div>
    <w:div w:id="125783942">
      <w:bodyDiv w:val="1"/>
      <w:marLeft w:val="0"/>
      <w:marRight w:val="0"/>
      <w:marTop w:val="0"/>
      <w:marBottom w:val="0"/>
      <w:divBdr>
        <w:top w:val="none" w:sz="0" w:space="0" w:color="auto"/>
        <w:left w:val="none" w:sz="0" w:space="0" w:color="auto"/>
        <w:bottom w:val="none" w:sz="0" w:space="0" w:color="auto"/>
        <w:right w:val="none" w:sz="0" w:space="0" w:color="auto"/>
      </w:divBdr>
    </w:div>
    <w:div w:id="129907521">
      <w:bodyDiv w:val="1"/>
      <w:marLeft w:val="0"/>
      <w:marRight w:val="0"/>
      <w:marTop w:val="0"/>
      <w:marBottom w:val="0"/>
      <w:divBdr>
        <w:top w:val="none" w:sz="0" w:space="0" w:color="auto"/>
        <w:left w:val="none" w:sz="0" w:space="0" w:color="auto"/>
        <w:bottom w:val="none" w:sz="0" w:space="0" w:color="auto"/>
        <w:right w:val="none" w:sz="0" w:space="0" w:color="auto"/>
      </w:divBdr>
    </w:div>
    <w:div w:id="143545296">
      <w:bodyDiv w:val="1"/>
      <w:marLeft w:val="0"/>
      <w:marRight w:val="0"/>
      <w:marTop w:val="0"/>
      <w:marBottom w:val="0"/>
      <w:divBdr>
        <w:top w:val="none" w:sz="0" w:space="0" w:color="auto"/>
        <w:left w:val="none" w:sz="0" w:space="0" w:color="auto"/>
        <w:bottom w:val="none" w:sz="0" w:space="0" w:color="auto"/>
        <w:right w:val="none" w:sz="0" w:space="0" w:color="auto"/>
      </w:divBdr>
    </w:div>
    <w:div w:id="148525901">
      <w:bodyDiv w:val="1"/>
      <w:marLeft w:val="0"/>
      <w:marRight w:val="0"/>
      <w:marTop w:val="0"/>
      <w:marBottom w:val="0"/>
      <w:divBdr>
        <w:top w:val="none" w:sz="0" w:space="0" w:color="auto"/>
        <w:left w:val="none" w:sz="0" w:space="0" w:color="auto"/>
        <w:bottom w:val="none" w:sz="0" w:space="0" w:color="auto"/>
        <w:right w:val="none" w:sz="0" w:space="0" w:color="auto"/>
      </w:divBdr>
    </w:div>
    <w:div w:id="151023140">
      <w:bodyDiv w:val="1"/>
      <w:marLeft w:val="0"/>
      <w:marRight w:val="0"/>
      <w:marTop w:val="0"/>
      <w:marBottom w:val="0"/>
      <w:divBdr>
        <w:top w:val="none" w:sz="0" w:space="0" w:color="auto"/>
        <w:left w:val="none" w:sz="0" w:space="0" w:color="auto"/>
        <w:bottom w:val="none" w:sz="0" w:space="0" w:color="auto"/>
        <w:right w:val="none" w:sz="0" w:space="0" w:color="auto"/>
      </w:divBdr>
    </w:div>
    <w:div w:id="172037691">
      <w:bodyDiv w:val="1"/>
      <w:marLeft w:val="0"/>
      <w:marRight w:val="0"/>
      <w:marTop w:val="0"/>
      <w:marBottom w:val="0"/>
      <w:divBdr>
        <w:top w:val="none" w:sz="0" w:space="0" w:color="auto"/>
        <w:left w:val="none" w:sz="0" w:space="0" w:color="auto"/>
        <w:bottom w:val="none" w:sz="0" w:space="0" w:color="auto"/>
        <w:right w:val="none" w:sz="0" w:space="0" w:color="auto"/>
      </w:divBdr>
    </w:div>
    <w:div w:id="179273517">
      <w:bodyDiv w:val="1"/>
      <w:marLeft w:val="0"/>
      <w:marRight w:val="0"/>
      <w:marTop w:val="0"/>
      <w:marBottom w:val="0"/>
      <w:divBdr>
        <w:top w:val="none" w:sz="0" w:space="0" w:color="auto"/>
        <w:left w:val="none" w:sz="0" w:space="0" w:color="auto"/>
        <w:bottom w:val="none" w:sz="0" w:space="0" w:color="auto"/>
        <w:right w:val="none" w:sz="0" w:space="0" w:color="auto"/>
      </w:divBdr>
      <w:divsChild>
        <w:div w:id="147329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005598">
      <w:bodyDiv w:val="1"/>
      <w:marLeft w:val="0"/>
      <w:marRight w:val="0"/>
      <w:marTop w:val="0"/>
      <w:marBottom w:val="0"/>
      <w:divBdr>
        <w:top w:val="none" w:sz="0" w:space="0" w:color="auto"/>
        <w:left w:val="none" w:sz="0" w:space="0" w:color="auto"/>
        <w:bottom w:val="none" w:sz="0" w:space="0" w:color="auto"/>
        <w:right w:val="none" w:sz="0" w:space="0" w:color="auto"/>
      </w:divBdr>
    </w:div>
    <w:div w:id="215700644">
      <w:bodyDiv w:val="1"/>
      <w:marLeft w:val="0"/>
      <w:marRight w:val="0"/>
      <w:marTop w:val="0"/>
      <w:marBottom w:val="0"/>
      <w:divBdr>
        <w:top w:val="none" w:sz="0" w:space="0" w:color="auto"/>
        <w:left w:val="none" w:sz="0" w:space="0" w:color="auto"/>
        <w:bottom w:val="none" w:sz="0" w:space="0" w:color="auto"/>
        <w:right w:val="none" w:sz="0" w:space="0" w:color="auto"/>
      </w:divBdr>
    </w:div>
    <w:div w:id="221798627">
      <w:bodyDiv w:val="1"/>
      <w:marLeft w:val="0"/>
      <w:marRight w:val="0"/>
      <w:marTop w:val="0"/>
      <w:marBottom w:val="0"/>
      <w:divBdr>
        <w:top w:val="none" w:sz="0" w:space="0" w:color="auto"/>
        <w:left w:val="none" w:sz="0" w:space="0" w:color="auto"/>
        <w:bottom w:val="none" w:sz="0" w:space="0" w:color="auto"/>
        <w:right w:val="none" w:sz="0" w:space="0" w:color="auto"/>
      </w:divBdr>
    </w:div>
    <w:div w:id="224419922">
      <w:bodyDiv w:val="1"/>
      <w:marLeft w:val="0"/>
      <w:marRight w:val="0"/>
      <w:marTop w:val="0"/>
      <w:marBottom w:val="0"/>
      <w:divBdr>
        <w:top w:val="none" w:sz="0" w:space="0" w:color="auto"/>
        <w:left w:val="none" w:sz="0" w:space="0" w:color="auto"/>
        <w:bottom w:val="none" w:sz="0" w:space="0" w:color="auto"/>
        <w:right w:val="none" w:sz="0" w:space="0" w:color="auto"/>
      </w:divBdr>
    </w:div>
    <w:div w:id="229001142">
      <w:bodyDiv w:val="1"/>
      <w:marLeft w:val="0"/>
      <w:marRight w:val="0"/>
      <w:marTop w:val="0"/>
      <w:marBottom w:val="0"/>
      <w:divBdr>
        <w:top w:val="none" w:sz="0" w:space="0" w:color="auto"/>
        <w:left w:val="none" w:sz="0" w:space="0" w:color="auto"/>
        <w:bottom w:val="none" w:sz="0" w:space="0" w:color="auto"/>
        <w:right w:val="none" w:sz="0" w:space="0" w:color="auto"/>
      </w:divBdr>
    </w:div>
    <w:div w:id="254438800">
      <w:bodyDiv w:val="1"/>
      <w:marLeft w:val="0"/>
      <w:marRight w:val="0"/>
      <w:marTop w:val="0"/>
      <w:marBottom w:val="0"/>
      <w:divBdr>
        <w:top w:val="none" w:sz="0" w:space="0" w:color="auto"/>
        <w:left w:val="none" w:sz="0" w:space="0" w:color="auto"/>
        <w:bottom w:val="none" w:sz="0" w:space="0" w:color="auto"/>
        <w:right w:val="none" w:sz="0" w:space="0" w:color="auto"/>
      </w:divBdr>
      <w:divsChild>
        <w:div w:id="1304428703">
          <w:blockQuote w:val="1"/>
          <w:marLeft w:val="720"/>
          <w:marRight w:val="720"/>
          <w:marTop w:val="100"/>
          <w:marBottom w:val="100"/>
          <w:divBdr>
            <w:top w:val="none" w:sz="0" w:space="0" w:color="auto"/>
            <w:left w:val="none" w:sz="0" w:space="0" w:color="auto"/>
            <w:bottom w:val="none" w:sz="0" w:space="0" w:color="auto"/>
            <w:right w:val="none" w:sz="0" w:space="0" w:color="auto"/>
          </w:divBdr>
        </w:div>
        <w:div w:id="15746637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101782">
      <w:bodyDiv w:val="1"/>
      <w:marLeft w:val="0"/>
      <w:marRight w:val="0"/>
      <w:marTop w:val="0"/>
      <w:marBottom w:val="0"/>
      <w:divBdr>
        <w:top w:val="none" w:sz="0" w:space="0" w:color="auto"/>
        <w:left w:val="none" w:sz="0" w:space="0" w:color="auto"/>
        <w:bottom w:val="none" w:sz="0" w:space="0" w:color="auto"/>
        <w:right w:val="none" w:sz="0" w:space="0" w:color="auto"/>
      </w:divBdr>
    </w:div>
    <w:div w:id="272979642">
      <w:bodyDiv w:val="1"/>
      <w:marLeft w:val="0"/>
      <w:marRight w:val="0"/>
      <w:marTop w:val="0"/>
      <w:marBottom w:val="0"/>
      <w:divBdr>
        <w:top w:val="none" w:sz="0" w:space="0" w:color="auto"/>
        <w:left w:val="none" w:sz="0" w:space="0" w:color="auto"/>
        <w:bottom w:val="none" w:sz="0" w:space="0" w:color="auto"/>
        <w:right w:val="none" w:sz="0" w:space="0" w:color="auto"/>
      </w:divBdr>
    </w:div>
    <w:div w:id="293292694">
      <w:bodyDiv w:val="1"/>
      <w:marLeft w:val="0"/>
      <w:marRight w:val="0"/>
      <w:marTop w:val="0"/>
      <w:marBottom w:val="0"/>
      <w:divBdr>
        <w:top w:val="none" w:sz="0" w:space="0" w:color="auto"/>
        <w:left w:val="none" w:sz="0" w:space="0" w:color="auto"/>
        <w:bottom w:val="none" w:sz="0" w:space="0" w:color="auto"/>
        <w:right w:val="none" w:sz="0" w:space="0" w:color="auto"/>
      </w:divBdr>
    </w:div>
    <w:div w:id="300842129">
      <w:bodyDiv w:val="1"/>
      <w:marLeft w:val="0"/>
      <w:marRight w:val="0"/>
      <w:marTop w:val="0"/>
      <w:marBottom w:val="0"/>
      <w:divBdr>
        <w:top w:val="none" w:sz="0" w:space="0" w:color="auto"/>
        <w:left w:val="none" w:sz="0" w:space="0" w:color="auto"/>
        <w:bottom w:val="none" w:sz="0" w:space="0" w:color="auto"/>
        <w:right w:val="none" w:sz="0" w:space="0" w:color="auto"/>
      </w:divBdr>
    </w:div>
    <w:div w:id="301694059">
      <w:bodyDiv w:val="1"/>
      <w:marLeft w:val="0"/>
      <w:marRight w:val="0"/>
      <w:marTop w:val="0"/>
      <w:marBottom w:val="0"/>
      <w:divBdr>
        <w:top w:val="none" w:sz="0" w:space="0" w:color="auto"/>
        <w:left w:val="none" w:sz="0" w:space="0" w:color="auto"/>
        <w:bottom w:val="none" w:sz="0" w:space="0" w:color="auto"/>
        <w:right w:val="none" w:sz="0" w:space="0" w:color="auto"/>
      </w:divBdr>
    </w:div>
    <w:div w:id="306129944">
      <w:bodyDiv w:val="1"/>
      <w:marLeft w:val="0"/>
      <w:marRight w:val="0"/>
      <w:marTop w:val="0"/>
      <w:marBottom w:val="0"/>
      <w:divBdr>
        <w:top w:val="none" w:sz="0" w:space="0" w:color="auto"/>
        <w:left w:val="none" w:sz="0" w:space="0" w:color="auto"/>
        <w:bottom w:val="none" w:sz="0" w:space="0" w:color="auto"/>
        <w:right w:val="none" w:sz="0" w:space="0" w:color="auto"/>
      </w:divBdr>
    </w:div>
    <w:div w:id="307446021">
      <w:bodyDiv w:val="1"/>
      <w:marLeft w:val="0"/>
      <w:marRight w:val="0"/>
      <w:marTop w:val="0"/>
      <w:marBottom w:val="0"/>
      <w:divBdr>
        <w:top w:val="none" w:sz="0" w:space="0" w:color="auto"/>
        <w:left w:val="none" w:sz="0" w:space="0" w:color="auto"/>
        <w:bottom w:val="none" w:sz="0" w:space="0" w:color="auto"/>
        <w:right w:val="none" w:sz="0" w:space="0" w:color="auto"/>
      </w:divBdr>
    </w:div>
    <w:div w:id="309598255">
      <w:bodyDiv w:val="1"/>
      <w:marLeft w:val="0"/>
      <w:marRight w:val="0"/>
      <w:marTop w:val="0"/>
      <w:marBottom w:val="0"/>
      <w:divBdr>
        <w:top w:val="none" w:sz="0" w:space="0" w:color="auto"/>
        <w:left w:val="none" w:sz="0" w:space="0" w:color="auto"/>
        <w:bottom w:val="none" w:sz="0" w:space="0" w:color="auto"/>
        <w:right w:val="none" w:sz="0" w:space="0" w:color="auto"/>
      </w:divBdr>
    </w:div>
    <w:div w:id="320159903">
      <w:bodyDiv w:val="1"/>
      <w:marLeft w:val="0"/>
      <w:marRight w:val="0"/>
      <w:marTop w:val="0"/>
      <w:marBottom w:val="0"/>
      <w:divBdr>
        <w:top w:val="none" w:sz="0" w:space="0" w:color="auto"/>
        <w:left w:val="none" w:sz="0" w:space="0" w:color="auto"/>
        <w:bottom w:val="none" w:sz="0" w:space="0" w:color="auto"/>
        <w:right w:val="none" w:sz="0" w:space="0" w:color="auto"/>
      </w:divBdr>
    </w:div>
    <w:div w:id="325133328">
      <w:bodyDiv w:val="1"/>
      <w:marLeft w:val="0"/>
      <w:marRight w:val="0"/>
      <w:marTop w:val="0"/>
      <w:marBottom w:val="0"/>
      <w:divBdr>
        <w:top w:val="none" w:sz="0" w:space="0" w:color="auto"/>
        <w:left w:val="none" w:sz="0" w:space="0" w:color="auto"/>
        <w:bottom w:val="none" w:sz="0" w:space="0" w:color="auto"/>
        <w:right w:val="none" w:sz="0" w:space="0" w:color="auto"/>
      </w:divBdr>
    </w:div>
    <w:div w:id="328487618">
      <w:bodyDiv w:val="1"/>
      <w:marLeft w:val="0"/>
      <w:marRight w:val="0"/>
      <w:marTop w:val="0"/>
      <w:marBottom w:val="0"/>
      <w:divBdr>
        <w:top w:val="none" w:sz="0" w:space="0" w:color="auto"/>
        <w:left w:val="none" w:sz="0" w:space="0" w:color="auto"/>
        <w:bottom w:val="none" w:sz="0" w:space="0" w:color="auto"/>
        <w:right w:val="none" w:sz="0" w:space="0" w:color="auto"/>
      </w:divBdr>
      <w:divsChild>
        <w:div w:id="1256207334">
          <w:marLeft w:val="0"/>
          <w:marRight w:val="0"/>
          <w:marTop w:val="0"/>
          <w:marBottom w:val="0"/>
          <w:divBdr>
            <w:top w:val="none" w:sz="0" w:space="0" w:color="auto"/>
            <w:left w:val="none" w:sz="0" w:space="0" w:color="auto"/>
            <w:bottom w:val="none" w:sz="0" w:space="0" w:color="auto"/>
            <w:right w:val="none" w:sz="0" w:space="0" w:color="auto"/>
          </w:divBdr>
          <w:divsChild>
            <w:div w:id="171908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37806">
      <w:bodyDiv w:val="1"/>
      <w:marLeft w:val="0"/>
      <w:marRight w:val="0"/>
      <w:marTop w:val="0"/>
      <w:marBottom w:val="0"/>
      <w:divBdr>
        <w:top w:val="none" w:sz="0" w:space="0" w:color="auto"/>
        <w:left w:val="none" w:sz="0" w:space="0" w:color="auto"/>
        <w:bottom w:val="none" w:sz="0" w:space="0" w:color="auto"/>
        <w:right w:val="none" w:sz="0" w:space="0" w:color="auto"/>
      </w:divBdr>
    </w:div>
    <w:div w:id="342828828">
      <w:bodyDiv w:val="1"/>
      <w:marLeft w:val="0"/>
      <w:marRight w:val="0"/>
      <w:marTop w:val="0"/>
      <w:marBottom w:val="0"/>
      <w:divBdr>
        <w:top w:val="none" w:sz="0" w:space="0" w:color="auto"/>
        <w:left w:val="none" w:sz="0" w:space="0" w:color="auto"/>
        <w:bottom w:val="none" w:sz="0" w:space="0" w:color="auto"/>
        <w:right w:val="none" w:sz="0" w:space="0" w:color="auto"/>
      </w:divBdr>
    </w:div>
    <w:div w:id="377507773">
      <w:bodyDiv w:val="1"/>
      <w:marLeft w:val="0"/>
      <w:marRight w:val="0"/>
      <w:marTop w:val="0"/>
      <w:marBottom w:val="0"/>
      <w:divBdr>
        <w:top w:val="none" w:sz="0" w:space="0" w:color="auto"/>
        <w:left w:val="none" w:sz="0" w:space="0" w:color="auto"/>
        <w:bottom w:val="none" w:sz="0" w:space="0" w:color="auto"/>
        <w:right w:val="none" w:sz="0" w:space="0" w:color="auto"/>
      </w:divBdr>
    </w:div>
    <w:div w:id="398679117">
      <w:bodyDiv w:val="1"/>
      <w:marLeft w:val="0"/>
      <w:marRight w:val="0"/>
      <w:marTop w:val="0"/>
      <w:marBottom w:val="0"/>
      <w:divBdr>
        <w:top w:val="none" w:sz="0" w:space="0" w:color="auto"/>
        <w:left w:val="none" w:sz="0" w:space="0" w:color="auto"/>
        <w:bottom w:val="none" w:sz="0" w:space="0" w:color="auto"/>
        <w:right w:val="none" w:sz="0" w:space="0" w:color="auto"/>
      </w:divBdr>
    </w:div>
    <w:div w:id="404885418">
      <w:bodyDiv w:val="1"/>
      <w:marLeft w:val="0"/>
      <w:marRight w:val="0"/>
      <w:marTop w:val="0"/>
      <w:marBottom w:val="0"/>
      <w:divBdr>
        <w:top w:val="none" w:sz="0" w:space="0" w:color="auto"/>
        <w:left w:val="none" w:sz="0" w:space="0" w:color="auto"/>
        <w:bottom w:val="none" w:sz="0" w:space="0" w:color="auto"/>
        <w:right w:val="none" w:sz="0" w:space="0" w:color="auto"/>
      </w:divBdr>
    </w:div>
    <w:div w:id="428549752">
      <w:bodyDiv w:val="1"/>
      <w:marLeft w:val="0"/>
      <w:marRight w:val="0"/>
      <w:marTop w:val="0"/>
      <w:marBottom w:val="0"/>
      <w:divBdr>
        <w:top w:val="none" w:sz="0" w:space="0" w:color="auto"/>
        <w:left w:val="none" w:sz="0" w:space="0" w:color="auto"/>
        <w:bottom w:val="none" w:sz="0" w:space="0" w:color="auto"/>
        <w:right w:val="none" w:sz="0" w:space="0" w:color="auto"/>
      </w:divBdr>
    </w:div>
    <w:div w:id="461391113">
      <w:bodyDiv w:val="1"/>
      <w:marLeft w:val="0"/>
      <w:marRight w:val="0"/>
      <w:marTop w:val="0"/>
      <w:marBottom w:val="0"/>
      <w:divBdr>
        <w:top w:val="none" w:sz="0" w:space="0" w:color="auto"/>
        <w:left w:val="none" w:sz="0" w:space="0" w:color="auto"/>
        <w:bottom w:val="none" w:sz="0" w:space="0" w:color="auto"/>
        <w:right w:val="none" w:sz="0" w:space="0" w:color="auto"/>
      </w:divBdr>
      <w:divsChild>
        <w:div w:id="8415041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0806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240059">
          <w:blockQuote w:val="1"/>
          <w:marLeft w:val="720"/>
          <w:marRight w:val="720"/>
          <w:marTop w:val="100"/>
          <w:marBottom w:val="100"/>
          <w:divBdr>
            <w:top w:val="none" w:sz="0" w:space="0" w:color="auto"/>
            <w:left w:val="none" w:sz="0" w:space="0" w:color="auto"/>
            <w:bottom w:val="none" w:sz="0" w:space="0" w:color="auto"/>
            <w:right w:val="none" w:sz="0" w:space="0" w:color="auto"/>
          </w:divBdr>
        </w:div>
        <w:div w:id="1697999653">
          <w:blockQuote w:val="1"/>
          <w:marLeft w:val="720"/>
          <w:marRight w:val="720"/>
          <w:marTop w:val="100"/>
          <w:marBottom w:val="100"/>
          <w:divBdr>
            <w:top w:val="none" w:sz="0" w:space="0" w:color="auto"/>
            <w:left w:val="none" w:sz="0" w:space="0" w:color="auto"/>
            <w:bottom w:val="none" w:sz="0" w:space="0" w:color="auto"/>
            <w:right w:val="none" w:sz="0" w:space="0" w:color="auto"/>
          </w:divBdr>
        </w:div>
        <w:div w:id="19019374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180571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1196189">
      <w:bodyDiv w:val="1"/>
      <w:marLeft w:val="0"/>
      <w:marRight w:val="0"/>
      <w:marTop w:val="0"/>
      <w:marBottom w:val="0"/>
      <w:divBdr>
        <w:top w:val="none" w:sz="0" w:space="0" w:color="auto"/>
        <w:left w:val="none" w:sz="0" w:space="0" w:color="auto"/>
        <w:bottom w:val="none" w:sz="0" w:space="0" w:color="auto"/>
        <w:right w:val="none" w:sz="0" w:space="0" w:color="auto"/>
      </w:divBdr>
    </w:div>
    <w:div w:id="531497792">
      <w:bodyDiv w:val="1"/>
      <w:marLeft w:val="0"/>
      <w:marRight w:val="0"/>
      <w:marTop w:val="0"/>
      <w:marBottom w:val="0"/>
      <w:divBdr>
        <w:top w:val="none" w:sz="0" w:space="0" w:color="auto"/>
        <w:left w:val="none" w:sz="0" w:space="0" w:color="auto"/>
        <w:bottom w:val="none" w:sz="0" w:space="0" w:color="auto"/>
        <w:right w:val="none" w:sz="0" w:space="0" w:color="auto"/>
      </w:divBdr>
      <w:divsChild>
        <w:div w:id="449666858">
          <w:marLeft w:val="0"/>
          <w:marRight w:val="0"/>
          <w:marTop w:val="0"/>
          <w:marBottom w:val="0"/>
          <w:divBdr>
            <w:top w:val="none" w:sz="0" w:space="0" w:color="auto"/>
            <w:left w:val="none" w:sz="0" w:space="0" w:color="auto"/>
            <w:bottom w:val="none" w:sz="0" w:space="0" w:color="auto"/>
            <w:right w:val="none" w:sz="0" w:space="0" w:color="auto"/>
          </w:divBdr>
        </w:div>
        <w:div w:id="1118455747">
          <w:marLeft w:val="0"/>
          <w:marRight w:val="0"/>
          <w:marTop w:val="0"/>
          <w:marBottom w:val="0"/>
          <w:divBdr>
            <w:top w:val="none" w:sz="0" w:space="0" w:color="auto"/>
            <w:left w:val="none" w:sz="0" w:space="0" w:color="auto"/>
            <w:bottom w:val="none" w:sz="0" w:space="0" w:color="auto"/>
            <w:right w:val="none" w:sz="0" w:space="0" w:color="auto"/>
          </w:divBdr>
        </w:div>
        <w:div w:id="517617662">
          <w:marLeft w:val="0"/>
          <w:marRight w:val="0"/>
          <w:marTop w:val="0"/>
          <w:marBottom w:val="0"/>
          <w:divBdr>
            <w:top w:val="none" w:sz="0" w:space="0" w:color="auto"/>
            <w:left w:val="none" w:sz="0" w:space="0" w:color="auto"/>
            <w:bottom w:val="none" w:sz="0" w:space="0" w:color="auto"/>
            <w:right w:val="none" w:sz="0" w:space="0" w:color="auto"/>
          </w:divBdr>
        </w:div>
      </w:divsChild>
    </w:div>
    <w:div w:id="542252423">
      <w:bodyDiv w:val="1"/>
      <w:marLeft w:val="0"/>
      <w:marRight w:val="0"/>
      <w:marTop w:val="0"/>
      <w:marBottom w:val="0"/>
      <w:divBdr>
        <w:top w:val="none" w:sz="0" w:space="0" w:color="auto"/>
        <w:left w:val="none" w:sz="0" w:space="0" w:color="auto"/>
        <w:bottom w:val="none" w:sz="0" w:space="0" w:color="auto"/>
        <w:right w:val="none" w:sz="0" w:space="0" w:color="auto"/>
      </w:divBdr>
    </w:div>
    <w:div w:id="543450797">
      <w:bodyDiv w:val="1"/>
      <w:marLeft w:val="0"/>
      <w:marRight w:val="0"/>
      <w:marTop w:val="0"/>
      <w:marBottom w:val="0"/>
      <w:divBdr>
        <w:top w:val="none" w:sz="0" w:space="0" w:color="auto"/>
        <w:left w:val="none" w:sz="0" w:space="0" w:color="auto"/>
        <w:bottom w:val="none" w:sz="0" w:space="0" w:color="auto"/>
        <w:right w:val="none" w:sz="0" w:space="0" w:color="auto"/>
      </w:divBdr>
    </w:div>
    <w:div w:id="563223694">
      <w:bodyDiv w:val="1"/>
      <w:marLeft w:val="0"/>
      <w:marRight w:val="0"/>
      <w:marTop w:val="0"/>
      <w:marBottom w:val="0"/>
      <w:divBdr>
        <w:top w:val="none" w:sz="0" w:space="0" w:color="auto"/>
        <w:left w:val="none" w:sz="0" w:space="0" w:color="auto"/>
        <w:bottom w:val="none" w:sz="0" w:space="0" w:color="auto"/>
        <w:right w:val="none" w:sz="0" w:space="0" w:color="auto"/>
      </w:divBdr>
    </w:div>
    <w:div w:id="573510576">
      <w:bodyDiv w:val="1"/>
      <w:marLeft w:val="0"/>
      <w:marRight w:val="0"/>
      <w:marTop w:val="0"/>
      <w:marBottom w:val="0"/>
      <w:divBdr>
        <w:top w:val="none" w:sz="0" w:space="0" w:color="auto"/>
        <w:left w:val="none" w:sz="0" w:space="0" w:color="auto"/>
        <w:bottom w:val="none" w:sz="0" w:space="0" w:color="auto"/>
        <w:right w:val="none" w:sz="0" w:space="0" w:color="auto"/>
      </w:divBdr>
    </w:div>
    <w:div w:id="611322675">
      <w:bodyDiv w:val="1"/>
      <w:marLeft w:val="0"/>
      <w:marRight w:val="0"/>
      <w:marTop w:val="0"/>
      <w:marBottom w:val="0"/>
      <w:divBdr>
        <w:top w:val="none" w:sz="0" w:space="0" w:color="auto"/>
        <w:left w:val="none" w:sz="0" w:space="0" w:color="auto"/>
        <w:bottom w:val="none" w:sz="0" w:space="0" w:color="auto"/>
        <w:right w:val="none" w:sz="0" w:space="0" w:color="auto"/>
      </w:divBdr>
      <w:divsChild>
        <w:div w:id="16705228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108722">
      <w:bodyDiv w:val="1"/>
      <w:marLeft w:val="0"/>
      <w:marRight w:val="0"/>
      <w:marTop w:val="0"/>
      <w:marBottom w:val="0"/>
      <w:divBdr>
        <w:top w:val="none" w:sz="0" w:space="0" w:color="auto"/>
        <w:left w:val="none" w:sz="0" w:space="0" w:color="auto"/>
        <w:bottom w:val="none" w:sz="0" w:space="0" w:color="auto"/>
        <w:right w:val="none" w:sz="0" w:space="0" w:color="auto"/>
      </w:divBdr>
    </w:div>
    <w:div w:id="642663548">
      <w:bodyDiv w:val="1"/>
      <w:marLeft w:val="0"/>
      <w:marRight w:val="0"/>
      <w:marTop w:val="0"/>
      <w:marBottom w:val="0"/>
      <w:divBdr>
        <w:top w:val="none" w:sz="0" w:space="0" w:color="auto"/>
        <w:left w:val="none" w:sz="0" w:space="0" w:color="auto"/>
        <w:bottom w:val="none" w:sz="0" w:space="0" w:color="auto"/>
        <w:right w:val="none" w:sz="0" w:space="0" w:color="auto"/>
      </w:divBdr>
      <w:divsChild>
        <w:div w:id="13566126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3975249">
      <w:bodyDiv w:val="1"/>
      <w:marLeft w:val="0"/>
      <w:marRight w:val="0"/>
      <w:marTop w:val="0"/>
      <w:marBottom w:val="0"/>
      <w:divBdr>
        <w:top w:val="none" w:sz="0" w:space="0" w:color="auto"/>
        <w:left w:val="none" w:sz="0" w:space="0" w:color="auto"/>
        <w:bottom w:val="none" w:sz="0" w:space="0" w:color="auto"/>
        <w:right w:val="none" w:sz="0" w:space="0" w:color="auto"/>
      </w:divBdr>
    </w:div>
    <w:div w:id="656344889">
      <w:bodyDiv w:val="1"/>
      <w:marLeft w:val="0"/>
      <w:marRight w:val="0"/>
      <w:marTop w:val="0"/>
      <w:marBottom w:val="0"/>
      <w:divBdr>
        <w:top w:val="none" w:sz="0" w:space="0" w:color="auto"/>
        <w:left w:val="none" w:sz="0" w:space="0" w:color="auto"/>
        <w:bottom w:val="none" w:sz="0" w:space="0" w:color="auto"/>
        <w:right w:val="none" w:sz="0" w:space="0" w:color="auto"/>
      </w:divBdr>
    </w:div>
    <w:div w:id="705721653">
      <w:bodyDiv w:val="1"/>
      <w:marLeft w:val="0"/>
      <w:marRight w:val="0"/>
      <w:marTop w:val="0"/>
      <w:marBottom w:val="0"/>
      <w:divBdr>
        <w:top w:val="none" w:sz="0" w:space="0" w:color="auto"/>
        <w:left w:val="none" w:sz="0" w:space="0" w:color="auto"/>
        <w:bottom w:val="none" w:sz="0" w:space="0" w:color="auto"/>
        <w:right w:val="none" w:sz="0" w:space="0" w:color="auto"/>
      </w:divBdr>
    </w:div>
    <w:div w:id="719550842">
      <w:bodyDiv w:val="1"/>
      <w:marLeft w:val="0"/>
      <w:marRight w:val="0"/>
      <w:marTop w:val="0"/>
      <w:marBottom w:val="0"/>
      <w:divBdr>
        <w:top w:val="none" w:sz="0" w:space="0" w:color="auto"/>
        <w:left w:val="none" w:sz="0" w:space="0" w:color="auto"/>
        <w:bottom w:val="none" w:sz="0" w:space="0" w:color="auto"/>
        <w:right w:val="none" w:sz="0" w:space="0" w:color="auto"/>
      </w:divBdr>
    </w:div>
    <w:div w:id="725835528">
      <w:bodyDiv w:val="1"/>
      <w:marLeft w:val="0"/>
      <w:marRight w:val="0"/>
      <w:marTop w:val="0"/>
      <w:marBottom w:val="0"/>
      <w:divBdr>
        <w:top w:val="none" w:sz="0" w:space="0" w:color="auto"/>
        <w:left w:val="none" w:sz="0" w:space="0" w:color="auto"/>
        <w:bottom w:val="none" w:sz="0" w:space="0" w:color="auto"/>
        <w:right w:val="none" w:sz="0" w:space="0" w:color="auto"/>
      </w:divBdr>
    </w:div>
    <w:div w:id="726148475">
      <w:bodyDiv w:val="1"/>
      <w:marLeft w:val="0"/>
      <w:marRight w:val="0"/>
      <w:marTop w:val="0"/>
      <w:marBottom w:val="0"/>
      <w:divBdr>
        <w:top w:val="none" w:sz="0" w:space="0" w:color="auto"/>
        <w:left w:val="none" w:sz="0" w:space="0" w:color="auto"/>
        <w:bottom w:val="none" w:sz="0" w:space="0" w:color="auto"/>
        <w:right w:val="none" w:sz="0" w:space="0" w:color="auto"/>
      </w:divBdr>
    </w:div>
    <w:div w:id="727146738">
      <w:bodyDiv w:val="1"/>
      <w:marLeft w:val="0"/>
      <w:marRight w:val="0"/>
      <w:marTop w:val="0"/>
      <w:marBottom w:val="0"/>
      <w:divBdr>
        <w:top w:val="none" w:sz="0" w:space="0" w:color="auto"/>
        <w:left w:val="none" w:sz="0" w:space="0" w:color="auto"/>
        <w:bottom w:val="none" w:sz="0" w:space="0" w:color="auto"/>
        <w:right w:val="none" w:sz="0" w:space="0" w:color="auto"/>
      </w:divBdr>
    </w:div>
    <w:div w:id="732967959">
      <w:bodyDiv w:val="1"/>
      <w:marLeft w:val="0"/>
      <w:marRight w:val="0"/>
      <w:marTop w:val="0"/>
      <w:marBottom w:val="0"/>
      <w:divBdr>
        <w:top w:val="none" w:sz="0" w:space="0" w:color="auto"/>
        <w:left w:val="none" w:sz="0" w:space="0" w:color="auto"/>
        <w:bottom w:val="none" w:sz="0" w:space="0" w:color="auto"/>
        <w:right w:val="none" w:sz="0" w:space="0" w:color="auto"/>
      </w:divBdr>
    </w:div>
    <w:div w:id="746146269">
      <w:bodyDiv w:val="1"/>
      <w:marLeft w:val="0"/>
      <w:marRight w:val="0"/>
      <w:marTop w:val="0"/>
      <w:marBottom w:val="0"/>
      <w:divBdr>
        <w:top w:val="none" w:sz="0" w:space="0" w:color="auto"/>
        <w:left w:val="none" w:sz="0" w:space="0" w:color="auto"/>
        <w:bottom w:val="none" w:sz="0" w:space="0" w:color="auto"/>
        <w:right w:val="none" w:sz="0" w:space="0" w:color="auto"/>
      </w:divBdr>
    </w:div>
    <w:div w:id="755370786">
      <w:bodyDiv w:val="1"/>
      <w:marLeft w:val="0"/>
      <w:marRight w:val="0"/>
      <w:marTop w:val="0"/>
      <w:marBottom w:val="0"/>
      <w:divBdr>
        <w:top w:val="none" w:sz="0" w:space="0" w:color="auto"/>
        <w:left w:val="none" w:sz="0" w:space="0" w:color="auto"/>
        <w:bottom w:val="none" w:sz="0" w:space="0" w:color="auto"/>
        <w:right w:val="none" w:sz="0" w:space="0" w:color="auto"/>
      </w:divBdr>
    </w:div>
    <w:div w:id="760108925">
      <w:bodyDiv w:val="1"/>
      <w:marLeft w:val="0"/>
      <w:marRight w:val="0"/>
      <w:marTop w:val="0"/>
      <w:marBottom w:val="0"/>
      <w:divBdr>
        <w:top w:val="none" w:sz="0" w:space="0" w:color="auto"/>
        <w:left w:val="none" w:sz="0" w:space="0" w:color="auto"/>
        <w:bottom w:val="none" w:sz="0" w:space="0" w:color="auto"/>
        <w:right w:val="none" w:sz="0" w:space="0" w:color="auto"/>
      </w:divBdr>
    </w:div>
    <w:div w:id="760487020">
      <w:bodyDiv w:val="1"/>
      <w:marLeft w:val="0"/>
      <w:marRight w:val="0"/>
      <w:marTop w:val="0"/>
      <w:marBottom w:val="0"/>
      <w:divBdr>
        <w:top w:val="none" w:sz="0" w:space="0" w:color="auto"/>
        <w:left w:val="none" w:sz="0" w:space="0" w:color="auto"/>
        <w:bottom w:val="none" w:sz="0" w:space="0" w:color="auto"/>
        <w:right w:val="none" w:sz="0" w:space="0" w:color="auto"/>
      </w:divBdr>
    </w:div>
    <w:div w:id="765268033">
      <w:bodyDiv w:val="1"/>
      <w:marLeft w:val="0"/>
      <w:marRight w:val="0"/>
      <w:marTop w:val="0"/>
      <w:marBottom w:val="0"/>
      <w:divBdr>
        <w:top w:val="none" w:sz="0" w:space="0" w:color="auto"/>
        <w:left w:val="none" w:sz="0" w:space="0" w:color="auto"/>
        <w:bottom w:val="none" w:sz="0" w:space="0" w:color="auto"/>
        <w:right w:val="none" w:sz="0" w:space="0" w:color="auto"/>
      </w:divBdr>
    </w:div>
    <w:div w:id="768892060">
      <w:bodyDiv w:val="1"/>
      <w:marLeft w:val="0"/>
      <w:marRight w:val="0"/>
      <w:marTop w:val="0"/>
      <w:marBottom w:val="0"/>
      <w:divBdr>
        <w:top w:val="none" w:sz="0" w:space="0" w:color="auto"/>
        <w:left w:val="none" w:sz="0" w:space="0" w:color="auto"/>
        <w:bottom w:val="none" w:sz="0" w:space="0" w:color="auto"/>
        <w:right w:val="none" w:sz="0" w:space="0" w:color="auto"/>
      </w:divBdr>
    </w:div>
    <w:div w:id="785851775">
      <w:bodyDiv w:val="1"/>
      <w:marLeft w:val="0"/>
      <w:marRight w:val="0"/>
      <w:marTop w:val="0"/>
      <w:marBottom w:val="0"/>
      <w:divBdr>
        <w:top w:val="none" w:sz="0" w:space="0" w:color="auto"/>
        <w:left w:val="none" w:sz="0" w:space="0" w:color="auto"/>
        <w:bottom w:val="none" w:sz="0" w:space="0" w:color="auto"/>
        <w:right w:val="none" w:sz="0" w:space="0" w:color="auto"/>
      </w:divBdr>
    </w:div>
    <w:div w:id="789976787">
      <w:bodyDiv w:val="1"/>
      <w:marLeft w:val="0"/>
      <w:marRight w:val="0"/>
      <w:marTop w:val="0"/>
      <w:marBottom w:val="0"/>
      <w:divBdr>
        <w:top w:val="none" w:sz="0" w:space="0" w:color="auto"/>
        <w:left w:val="none" w:sz="0" w:space="0" w:color="auto"/>
        <w:bottom w:val="none" w:sz="0" w:space="0" w:color="auto"/>
        <w:right w:val="none" w:sz="0" w:space="0" w:color="auto"/>
      </w:divBdr>
    </w:div>
    <w:div w:id="792409494">
      <w:bodyDiv w:val="1"/>
      <w:marLeft w:val="0"/>
      <w:marRight w:val="0"/>
      <w:marTop w:val="0"/>
      <w:marBottom w:val="0"/>
      <w:divBdr>
        <w:top w:val="none" w:sz="0" w:space="0" w:color="auto"/>
        <w:left w:val="none" w:sz="0" w:space="0" w:color="auto"/>
        <w:bottom w:val="none" w:sz="0" w:space="0" w:color="auto"/>
        <w:right w:val="none" w:sz="0" w:space="0" w:color="auto"/>
      </w:divBdr>
    </w:div>
    <w:div w:id="806705999">
      <w:bodyDiv w:val="1"/>
      <w:marLeft w:val="0"/>
      <w:marRight w:val="0"/>
      <w:marTop w:val="0"/>
      <w:marBottom w:val="0"/>
      <w:divBdr>
        <w:top w:val="none" w:sz="0" w:space="0" w:color="auto"/>
        <w:left w:val="none" w:sz="0" w:space="0" w:color="auto"/>
        <w:bottom w:val="none" w:sz="0" w:space="0" w:color="auto"/>
        <w:right w:val="none" w:sz="0" w:space="0" w:color="auto"/>
      </w:divBdr>
    </w:div>
    <w:div w:id="807092607">
      <w:bodyDiv w:val="1"/>
      <w:marLeft w:val="0"/>
      <w:marRight w:val="0"/>
      <w:marTop w:val="0"/>
      <w:marBottom w:val="0"/>
      <w:divBdr>
        <w:top w:val="none" w:sz="0" w:space="0" w:color="auto"/>
        <w:left w:val="none" w:sz="0" w:space="0" w:color="auto"/>
        <w:bottom w:val="none" w:sz="0" w:space="0" w:color="auto"/>
        <w:right w:val="none" w:sz="0" w:space="0" w:color="auto"/>
      </w:divBdr>
    </w:div>
    <w:div w:id="819494474">
      <w:bodyDiv w:val="1"/>
      <w:marLeft w:val="0"/>
      <w:marRight w:val="0"/>
      <w:marTop w:val="0"/>
      <w:marBottom w:val="0"/>
      <w:divBdr>
        <w:top w:val="none" w:sz="0" w:space="0" w:color="auto"/>
        <w:left w:val="none" w:sz="0" w:space="0" w:color="auto"/>
        <w:bottom w:val="none" w:sz="0" w:space="0" w:color="auto"/>
        <w:right w:val="none" w:sz="0" w:space="0" w:color="auto"/>
      </w:divBdr>
    </w:div>
    <w:div w:id="820459489">
      <w:bodyDiv w:val="1"/>
      <w:marLeft w:val="0"/>
      <w:marRight w:val="0"/>
      <w:marTop w:val="0"/>
      <w:marBottom w:val="0"/>
      <w:divBdr>
        <w:top w:val="none" w:sz="0" w:space="0" w:color="auto"/>
        <w:left w:val="none" w:sz="0" w:space="0" w:color="auto"/>
        <w:bottom w:val="none" w:sz="0" w:space="0" w:color="auto"/>
        <w:right w:val="none" w:sz="0" w:space="0" w:color="auto"/>
      </w:divBdr>
    </w:div>
    <w:div w:id="823089370">
      <w:bodyDiv w:val="1"/>
      <w:marLeft w:val="0"/>
      <w:marRight w:val="0"/>
      <w:marTop w:val="0"/>
      <w:marBottom w:val="0"/>
      <w:divBdr>
        <w:top w:val="none" w:sz="0" w:space="0" w:color="auto"/>
        <w:left w:val="none" w:sz="0" w:space="0" w:color="auto"/>
        <w:bottom w:val="none" w:sz="0" w:space="0" w:color="auto"/>
        <w:right w:val="none" w:sz="0" w:space="0" w:color="auto"/>
      </w:divBdr>
    </w:div>
    <w:div w:id="862085944">
      <w:bodyDiv w:val="1"/>
      <w:marLeft w:val="0"/>
      <w:marRight w:val="0"/>
      <w:marTop w:val="0"/>
      <w:marBottom w:val="0"/>
      <w:divBdr>
        <w:top w:val="none" w:sz="0" w:space="0" w:color="auto"/>
        <w:left w:val="none" w:sz="0" w:space="0" w:color="auto"/>
        <w:bottom w:val="none" w:sz="0" w:space="0" w:color="auto"/>
        <w:right w:val="none" w:sz="0" w:space="0" w:color="auto"/>
      </w:divBdr>
    </w:div>
    <w:div w:id="866063996">
      <w:bodyDiv w:val="1"/>
      <w:marLeft w:val="0"/>
      <w:marRight w:val="0"/>
      <w:marTop w:val="0"/>
      <w:marBottom w:val="0"/>
      <w:divBdr>
        <w:top w:val="none" w:sz="0" w:space="0" w:color="auto"/>
        <w:left w:val="none" w:sz="0" w:space="0" w:color="auto"/>
        <w:bottom w:val="none" w:sz="0" w:space="0" w:color="auto"/>
        <w:right w:val="none" w:sz="0" w:space="0" w:color="auto"/>
      </w:divBdr>
    </w:div>
    <w:div w:id="885877325">
      <w:bodyDiv w:val="1"/>
      <w:marLeft w:val="0"/>
      <w:marRight w:val="0"/>
      <w:marTop w:val="0"/>
      <w:marBottom w:val="0"/>
      <w:divBdr>
        <w:top w:val="none" w:sz="0" w:space="0" w:color="auto"/>
        <w:left w:val="none" w:sz="0" w:space="0" w:color="auto"/>
        <w:bottom w:val="none" w:sz="0" w:space="0" w:color="auto"/>
        <w:right w:val="none" w:sz="0" w:space="0" w:color="auto"/>
      </w:divBdr>
    </w:div>
    <w:div w:id="886994246">
      <w:bodyDiv w:val="1"/>
      <w:marLeft w:val="0"/>
      <w:marRight w:val="0"/>
      <w:marTop w:val="0"/>
      <w:marBottom w:val="0"/>
      <w:divBdr>
        <w:top w:val="none" w:sz="0" w:space="0" w:color="auto"/>
        <w:left w:val="none" w:sz="0" w:space="0" w:color="auto"/>
        <w:bottom w:val="none" w:sz="0" w:space="0" w:color="auto"/>
        <w:right w:val="none" w:sz="0" w:space="0" w:color="auto"/>
      </w:divBdr>
      <w:divsChild>
        <w:div w:id="709381075">
          <w:marLeft w:val="0"/>
          <w:marRight w:val="0"/>
          <w:marTop w:val="0"/>
          <w:marBottom w:val="0"/>
          <w:divBdr>
            <w:top w:val="none" w:sz="0" w:space="0" w:color="auto"/>
            <w:left w:val="none" w:sz="0" w:space="0" w:color="auto"/>
            <w:bottom w:val="none" w:sz="0" w:space="0" w:color="auto"/>
            <w:right w:val="none" w:sz="0" w:space="0" w:color="auto"/>
          </w:divBdr>
          <w:divsChild>
            <w:div w:id="580678618">
              <w:marLeft w:val="0"/>
              <w:marRight w:val="0"/>
              <w:marTop w:val="0"/>
              <w:marBottom w:val="0"/>
              <w:divBdr>
                <w:top w:val="none" w:sz="0" w:space="0" w:color="auto"/>
                <w:left w:val="none" w:sz="0" w:space="0" w:color="auto"/>
                <w:bottom w:val="none" w:sz="0" w:space="0" w:color="auto"/>
                <w:right w:val="none" w:sz="0" w:space="0" w:color="auto"/>
              </w:divBdr>
              <w:divsChild>
                <w:div w:id="749934291">
                  <w:marLeft w:val="0"/>
                  <w:marRight w:val="0"/>
                  <w:marTop w:val="0"/>
                  <w:marBottom w:val="0"/>
                  <w:divBdr>
                    <w:top w:val="none" w:sz="0" w:space="0" w:color="auto"/>
                    <w:left w:val="none" w:sz="0" w:space="0" w:color="auto"/>
                    <w:bottom w:val="none" w:sz="0" w:space="0" w:color="auto"/>
                    <w:right w:val="none" w:sz="0" w:space="0" w:color="auto"/>
                  </w:divBdr>
                  <w:divsChild>
                    <w:div w:id="1641573091">
                      <w:marLeft w:val="0"/>
                      <w:marRight w:val="0"/>
                      <w:marTop w:val="0"/>
                      <w:marBottom w:val="0"/>
                      <w:divBdr>
                        <w:top w:val="none" w:sz="0" w:space="0" w:color="auto"/>
                        <w:left w:val="none" w:sz="0" w:space="0" w:color="auto"/>
                        <w:bottom w:val="none" w:sz="0" w:space="0" w:color="auto"/>
                        <w:right w:val="none" w:sz="0" w:space="0" w:color="auto"/>
                      </w:divBdr>
                      <w:divsChild>
                        <w:div w:id="931469967">
                          <w:marLeft w:val="0"/>
                          <w:marRight w:val="0"/>
                          <w:marTop w:val="0"/>
                          <w:marBottom w:val="0"/>
                          <w:divBdr>
                            <w:top w:val="none" w:sz="0" w:space="0" w:color="auto"/>
                            <w:left w:val="none" w:sz="0" w:space="0" w:color="auto"/>
                            <w:bottom w:val="none" w:sz="0" w:space="0" w:color="auto"/>
                            <w:right w:val="none" w:sz="0" w:space="0" w:color="auto"/>
                          </w:divBdr>
                          <w:divsChild>
                            <w:div w:id="622463248">
                              <w:marLeft w:val="0"/>
                              <w:marRight w:val="0"/>
                              <w:marTop w:val="0"/>
                              <w:marBottom w:val="0"/>
                              <w:divBdr>
                                <w:top w:val="none" w:sz="0" w:space="0" w:color="auto"/>
                                <w:left w:val="none" w:sz="0" w:space="0" w:color="auto"/>
                                <w:bottom w:val="none" w:sz="0" w:space="0" w:color="auto"/>
                                <w:right w:val="none" w:sz="0" w:space="0" w:color="auto"/>
                              </w:divBdr>
                              <w:divsChild>
                                <w:div w:id="865096080">
                                  <w:marLeft w:val="0"/>
                                  <w:marRight w:val="0"/>
                                  <w:marTop w:val="0"/>
                                  <w:marBottom w:val="0"/>
                                  <w:divBdr>
                                    <w:top w:val="none" w:sz="0" w:space="0" w:color="auto"/>
                                    <w:left w:val="none" w:sz="0" w:space="0" w:color="auto"/>
                                    <w:bottom w:val="none" w:sz="0" w:space="0" w:color="auto"/>
                                    <w:right w:val="none" w:sz="0" w:space="0" w:color="auto"/>
                                  </w:divBdr>
                                  <w:divsChild>
                                    <w:div w:id="84451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0132973">
          <w:marLeft w:val="0"/>
          <w:marRight w:val="0"/>
          <w:marTop w:val="0"/>
          <w:marBottom w:val="0"/>
          <w:divBdr>
            <w:top w:val="none" w:sz="0" w:space="0" w:color="auto"/>
            <w:left w:val="none" w:sz="0" w:space="0" w:color="auto"/>
            <w:bottom w:val="none" w:sz="0" w:space="0" w:color="auto"/>
            <w:right w:val="none" w:sz="0" w:space="0" w:color="auto"/>
          </w:divBdr>
          <w:divsChild>
            <w:div w:id="367604463">
              <w:marLeft w:val="0"/>
              <w:marRight w:val="0"/>
              <w:marTop w:val="0"/>
              <w:marBottom w:val="0"/>
              <w:divBdr>
                <w:top w:val="none" w:sz="0" w:space="0" w:color="auto"/>
                <w:left w:val="none" w:sz="0" w:space="0" w:color="auto"/>
                <w:bottom w:val="none" w:sz="0" w:space="0" w:color="auto"/>
                <w:right w:val="none" w:sz="0" w:space="0" w:color="auto"/>
              </w:divBdr>
              <w:divsChild>
                <w:div w:id="1627544947">
                  <w:marLeft w:val="0"/>
                  <w:marRight w:val="0"/>
                  <w:marTop w:val="0"/>
                  <w:marBottom w:val="0"/>
                  <w:divBdr>
                    <w:top w:val="none" w:sz="0" w:space="0" w:color="auto"/>
                    <w:left w:val="none" w:sz="0" w:space="0" w:color="auto"/>
                    <w:bottom w:val="none" w:sz="0" w:space="0" w:color="auto"/>
                    <w:right w:val="none" w:sz="0" w:space="0" w:color="auto"/>
                  </w:divBdr>
                  <w:divsChild>
                    <w:div w:id="1590776550">
                      <w:marLeft w:val="0"/>
                      <w:marRight w:val="0"/>
                      <w:marTop w:val="0"/>
                      <w:marBottom w:val="0"/>
                      <w:divBdr>
                        <w:top w:val="none" w:sz="0" w:space="0" w:color="auto"/>
                        <w:left w:val="none" w:sz="0" w:space="0" w:color="auto"/>
                        <w:bottom w:val="none" w:sz="0" w:space="0" w:color="auto"/>
                        <w:right w:val="none" w:sz="0" w:space="0" w:color="auto"/>
                      </w:divBdr>
                      <w:divsChild>
                        <w:div w:id="1248342272">
                          <w:marLeft w:val="0"/>
                          <w:marRight w:val="0"/>
                          <w:marTop w:val="0"/>
                          <w:marBottom w:val="0"/>
                          <w:divBdr>
                            <w:top w:val="none" w:sz="0" w:space="0" w:color="auto"/>
                            <w:left w:val="none" w:sz="0" w:space="0" w:color="auto"/>
                            <w:bottom w:val="none" w:sz="0" w:space="0" w:color="auto"/>
                            <w:right w:val="none" w:sz="0" w:space="0" w:color="auto"/>
                          </w:divBdr>
                          <w:divsChild>
                            <w:div w:id="1429547576">
                              <w:marLeft w:val="0"/>
                              <w:marRight w:val="0"/>
                              <w:marTop w:val="0"/>
                              <w:marBottom w:val="0"/>
                              <w:divBdr>
                                <w:top w:val="none" w:sz="0" w:space="0" w:color="auto"/>
                                <w:left w:val="none" w:sz="0" w:space="0" w:color="auto"/>
                                <w:bottom w:val="none" w:sz="0" w:space="0" w:color="auto"/>
                                <w:right w:val="none" w:sz="0" w:space="0" w:color="auto"/>
                              </w:divBdr>
                              <w:divsChild>
                                <w:div w:id="1673415170">
                                  <w:marLeft w:val="0"/>
                                  <w:marRight w:val="0"/>
                                  <w:marTop w:val="0"/>
                                  <w:marBottom w:val="0"/>
                                  <w:divBdr>
                                    <w:top w:val="none" w:sz="0" w:space="0" w:color="auto"/>
                                    <w:left w:val="none" w:sz="0" w:space="0" w:color="auto"/>
                                    <w:bottom w:val="none" w:sz="0" w:space="0" w:color="auto"/>
                                    <w:right w:val="none" w:sz="0" w:space="0" w:color="auto"/>
                                  </w:divBdr>
                                  <w:divsChild>
                                    <w:div w:id="1892186446">
                                      <w:marLeft w:val="0"/>
                                      <w:marRight w:val="0"/>
                                      <w:marTop w:val="0"/>
                                      <w:marBottom w:val="0"/>
                                      <w:divBdr>
                                        <w:top w:val="none" w:sz="0" w:space="0" w:color="auto"/>
                                        <w:left w:val="none" w:sz="0" w:space="0" w:color="auto"/>
                                        <w:bottom w:val="none" w:sz="0" w:space="0" w:color="auto"/>
                                        <w:right w:val="none" w:sz="0" w:space="0" w:color="auto"/>
                                      </w:divBdr>
                                      <w:divsChild>
                                        <w:div w:id="1148353547">
                                          <w:marLeft w:val="0"/>
                                          <w:marRight w:val="0"/>
                                          <w:marTop w:val="0"/>
                                          <w:marBottom w:val="0"/>
                                          <w:divBdr>
                                            <w:top w:val="none" w:sz="0" w:space="0" w:color="auto"/>
                                            <w:left w:val="none" w:sz="0" w:space="0" w:color="auto"/>
                                            <w:bottom w:val="none" w:sz="0" w:space="0" w:color="auto"/>
                                            <w:right w:val="none" w:sz="0" w:space="0" w:color="auto"/>
                                          </w:divBdr>
                                          <w:divsChild>
                                            <w:div w:id="21045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3007533">
      <w:bodyDiv w:val="1"/>
      <w:marLeft w:val="0"/>
      <w:marRight w:val="0"/>
      <w:marTop w:val="0"/>
      <w:marBottom w:val="0"/>
      <w:divBdr>
        <w:top w:val="none" w:sz="0" w:space="0" w:color="auto"/>
        <w:left w:val="none" w:sz="0" w:space="0" w:color="auto"/>
        <w:bottom w:val="none" w:sz="0" w:space="0" w:color="auto"/>
        <w:right w:val="none" w:sz="0" w:space="0" w:color="auto"/>
      </w:divBdr>
    </w:div>
    <w:div w:id="897283628">
      <w:bodyDiv w:val="1"/>
      <w:marLeft w:val="0"/>
      <w:marRight w:val="0"/>
      <w:marTop w:val="0"/>
      <w:marBottom w:val="0"/>
      <w:divBdr>
        <w:top w:val="none" w:sz="0" w:space="0" w:color="auto"/>
        <w:left w:val="none" w:sz="0" w:space="0" w:color="auto"/>
        <w:bottom w:val="none" w:sz="0" w:space="0" w:color="auto"/>
        <w:right w:val="none" w:sz="0" w:space="0" w:color="auto"/>
      </w:divBdr>
    </w:div>
    <w:div w:id="906645522">
      <w:bodyDiv w:val="1"/>
      <w:marLeft w:val="0"/>
      <w:marRight w:val="0"/>
      <w:marTop w:val="0"/>
      <w:marBottom w:val="0"/>
      <w:divBdr>
        <w:top w:val="none" w:sz="0" w:space="0" w:color="auto"/>
        <w:left w:val="none" w:sz="0" w:space="0" w:color="auto"/>
        <w:bottom w:val="none" w:sz="0" w:space="0" w:color="auto"/>
        <w:right w:val="none" w:sz="0" w:space="0" w:color="auto"/>
      </w:divBdr>
    </w:div>
    <w:div w:id="908348494">
      <w:bodyDiv w:val="1"/>
      <w:marLeft w:val="0"/>
      <w:marRight w:val="0"/>
      <w:marTop w:val="0"/>
      <w:marBottom w:val="0"/>
      <w:divBdr>
        <w:top w:val="none" w:sz="0" w:space="0" w:color="auto"/>
        <w:left w:val="none" w:sz="0" w:space="0" w:color="auto"/>
        <w:bottom w:val="none" w:sz="0" w:space="0" w:color="auto"/>
        <w:right w:val="none" w:sz="0" w:space="0" w:color="auto"/>
      </w:divBdr>
    </w:div>
    <w:div w:id="909077169">
      <w:bodyDiv w:val="1"/>
      <w:marLeft w:val="0"/>
      <w:marRight w:val="0"/>
      <w:marTop w:val="0"/>
      <w:marBottom w:val="0"/>
      <w:divBdr>
        <w:top w:val="none" w:sz="0" w:space="0" w:color="auto"/>
        <w:left w:val="none" w:sz="0" w:space="0" w:color="auto"/>
        <w:bottom w:val="none" w:sz="0" w:space="0" w:color="auto"/>
        <w:right w:val="none" w:sz="0" w:space="0" w:color="auto"/>
      </w:divBdr>
    </w:div>
    <w:div w:id="916283342">
      <w:bodyDiv w:val="1"/>
      <w:marLeft w:val="0"/>
      <w:marRight w:val="0"/>
      <w:marTop w:val="0"/>
      <w:marBottom w:val="0"/>
      <w:divBdr>
        <w:top w:val="none" w:sz="0" w:space="0" w:color="auto"/>
        <w:left w:val="none" w:sz="0" w:space="0" w:color="auto"/>
        <w:bottom w:val="none" w:sz="0" w:space="0" w:color="auto"/>
        <w:right w:val="none" w:sz="0" w:space="0" w:color="auto"/>
      </w:divBdr>
    </w:div>
    <w:div w:id="922180768">
      <w:bodyDiv w:val="1"/>
      <w:marLeft w:val="0"/>
      <w:marRight w:val="0"/>
      <w:marTop w:val="0"/>
      <w:marBottom w:val="0"/>
      <w:divBdr>
        <w:top w:val="none" w:sz="0" w:space="0" w:color="auto"/>
        <w:left w:val="none" w:sz="0" w:space="0" w:color="auto"/>
        <w:bottom w:val="none" w:sz="0" w:space="0" w:color="auto"/>
        <w:right w:val="none" w:sz="0" w:space="0" w:color="auto"/>
      </w:divBdr>
      <w:divsChild>
        <w:div w:id="1737512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6617583">
      <w:bodyDiv w:val="1"/>
      <w:marLeft w:val="0"/>
      <w:marRight w:val="0"/>
      <w:marTop w:val="0"/>
      <w:marBottom w:val="0"/>
      <w:divBdr>
        <w:top w:val="none" w:sz="0" w:space="0" w:color="auto"/>
        <w:left w:val="none" w:sz="0" w:space="0" w:color="auto"/>
        <w:bottom w:val="none" w:sz="0" w:space="0" w:color="auto"/>
        <w:right w:val="none" w:sz="0" w:space="0" w:color="auto"/>
      </w:divBdr>
    </w:div>
    <w:div w:id="943079836">
      <w:bodyDiv w:val="1"/>
      <w:marLeft w:val="0"/>
      <w:marRight w:val="0"/>
      <w:marTop w:val="0"/>
      <w:marBottom w:val="0"/>
      <w:divBdr>
        <w:top w:val="none" w:sz="0" w:space="0" w:color="auto"/>
        <w:left w:val="none" w:sz="0" w:space="0" w:color="auto"/>
        <w:bottom w:val="none" w:sz="0" w:space="0" w:color="auto"/>
        <w:right w:val="none" w:sz="0" w:space="0" w:color="auto"/>
      </w:divBdr>
    </w:div>
    <w:div w:id="953638946">
      <w:bodyDiv w:val="1"/>
      <w:marLeft w:val="0"/>
      <w:marRight w:val="0"/>
      <w:marTop w:val="0"/>
      <w:marBottom w:val="0"/>
      <w:divBdr>
        <w:top w:val="none" w:sz="0" w:space="0" w:color="auto"/>
        <w:left w:val="none" w:sz="0" w:space="0" w:color="auto"/>
        <w:bottom w:val="none" w:sz="0" w:space="0" w:color="auto"/>
        <w:right w:val="none" w:sz="0" w:space="0" w:color="auto"/>
      </w:divBdr>
    </w:div>
    <w:div w:id="954363851">
      <w:bodyDiv w:val="1"/>
      <w:marLeft w:val="0"/>
      <w:marRight w:val="0"/>
      <w:marTop w:val="0"/>
      <w:marBottom w:val="0"/>
      <w:divBdr>
        <w:top w:val="none" w:sz="0" w:space="0" w:color="auto"/>
        <w:left w:val="none" w:sz="0" w:space="0" w:color="auto"/>
        <w:bottom w:val="none" w:sz="0" w:space="0" w:color="auto"/>
        <w:right w:val="none" w:sz="0" w:space="0" w:color="auto"/>
      </w:divBdr>
    </w:div>
    <w:div w:id="954562764">
      <w:bodyDiv w:val="1"/>
      <w:marLeft w:val="0"/>
      <w:marRight w:val="0"/>
      <w:marTop w:val="0"/>
      <w:marBottom w:val="0"/>
      <w:divBdr>
        <w:top w:val="none" w:sz="0" w:space="0" w:color="auto"/>
        <w:left w:val="none" w:sz="0" w:space="0" w:color="auto"/>
        <w:bottom w:val="none" w:sz="0" w:space="0" w:color="auto"/>
        <w:right w:val="none" w:sz="0" w:space="0" w:color="auto"/>
      </w:divBdr>
    </w:div>
    <w:div w:id="968627270">
      <w:bodyDiv w:val="1"/>
      <w:marLeft w:val="0"/>
      <w:marRight w:val="0"/>
      <w:marTop w:val="0"/>
      <w:marBottom w:val="0"/>
      <w:divBdr>
        <w:top w:val="none" w:sz="0" w:space="0" w:color="auto"/>
        <w:left w:val="none" w:sz="0" w:space="0" w:color="auto"/>
        <w:bottom w:val="none" w:sz="0" w:space="0" w:color="auto"/>
        <w:right w:val="none" w:sz="0" w:space="0" w:color="auto"/>
      </w:divBdr>
    </w:div>
    <w:div w:id="982276163">
      <w:bodyDiv w:val="1"/>
      <w:marLeft w:val="0"/>
      <w:marRight w:val="0"/>
      <w:marTop w:val="0"/>
      <w:marBottom w:val="0"/>
      <w:divBdr>
        <w:top w:val="none" w:sz="0" w:space="0" w:color="auto"/>
        <w:left w:val="none" w:sz="0" w:space="0" w:color="auto"/>
        <w:bottom w:val="none" w:sz="0" w:space="0" w:color="auto"/>
        <w:right w:val="none" w:sz="0" w:space="0" w:color="auto"/>
      </w:divBdr>
    </w:div>
    <w:div w:id="992443608">
      <w:bodyDiv w:val="1"/>
      <w:marLeft w:val="0"/>
      <w:marRight w:val="0"/>
      <w:marTop w:val="0"/>
      <w:marBottom w:val="0"/>
      <w:divBdr>
        <w:top w:val="none" w:sz="0" w:space="0" w:color="auto"/>
        <w:left w:val="none" w:sz="0" w:space="0" w:color="auto"/>
        <w:bottom w:val="none" w:sz="0" w:space="0" w:color="auto"/>
        <w:right w:val="none" w:sz="0" w:space="0" w:color="auto"/>
      </w:divBdr>
    </w:div>
    <w:div w:id="1016930276">
      <w:bodyDiv w:val="1"/>
      <w:marLeft w:val="0"/>
      <w:marRight w:val="0"/>
      <w:marTop w:val="0"/>
      <w:marBottom w:val="0"/>
      <w:divBdr>
        <w:top w:val="none" w:sz="0" w:space="0" w:color="auto"/>
        <w:left w:val="none" w:sz="0" w:space="0" w:color="auto"/>
        <w:bottom w:val="none" w:sz="0" w:space="0" w:color="auto"/>
        <w:right w:val="none" w:sz="0" w:space="0" w:color="auto"/>
      </w:divBdr>
    </w:div>
    <w:div w:id="1017728772">
      <w:bodyDiv w:val="1"/>
      <w:marLeft w:val="0"/>
      <w:marRight w:val="0"/>
      <w:marTop w:val="0"/>
      <w:marBottom w:val="0"/>
      <w:divBdr>
        <w:top w:val="none" w:sz="0" w:space="0" w:color="auto"/>
        <w:left w:val="none" w:sz="0" w:space="0" w:color="auto"/>
        <w:bottom w:val="none" w:sz="0" w:space="0" w:color="auto"/>
        <w:right w:val="none" w:sz="0" w:space="0" w:color="auto"/>
      </w:divBdr>
    </w:div>
    <w:div w:id="1026174265">
      <w:bodyDiv w:val="1"/>
      <w:marLeft w:val="0"/>
      <w:marRight w:val="0"/>
      <w:marTop w:val="0"/>
      <w:marBottom w:val="0"/>
      <w:divBdr>
        <w:top w:val="none" w:sz="0" w:space="0" w:color="auto"/>
        <w:left w:val="none" w:sz="0" w:space="0" w:color="auto"/>
        <w:bottom w:val="none" w:sz="0" w:space="0" w:color="auto"/>
        <w:right w:val="none" w:sz="0" w:space="0" w:color="auto"/>
      </w:divBdr>
    </w:div>
    <w:div w:id="1030837365">
      <w:bodyDiv w:val="1"/>
      <w:marLeft w:val="0"/>
      <w:marRight w:val="0"/>
      <w:marTop w:val="0"/>
      <w:marBottom w:val="0"/>
      <w:divBdr>
        <w:top w:val="none" w:sz="0" w:space="0" w:color="auto"/>
        <w:left w:val="none" w:sz="0" w:space="0" w:color="auto"/>
        <w:bottom w:val="none" w:sz="0" w:space="0" w:color="auto"/>
        <w:right w:val="none" w:sz="0" w:space="0" w:color="auto"/>
      </w:divBdr>
    </w:div>
    <w:div w:id="1031541008">
      <w:bodyDiv w:val="1"/>
      <w:marLeft w:val="0"/>
      <w:marRight w:val="0"/>
      <w:marTop w:val="0"/>
      <w:marBottom w:val="0"/>
      <w:divBdr>
        <w:top w:val="none" w:sz="0" w:space="0" w:color="auto"/>
        <w:left w:val="none" w:sz="0" w:space="0" w:color="auto"/>
        <w:bottom w:val="none" w:sz="0" w:space="0" w:color="auto"/>
        <w:right w:val="none" w:sz="0" w:space="0" w:color="auto"/>
      </w:divBdr>
    </w:div>
    <w:div w:id="1037656138">
      <w:bodyDiv w:val="1"/>
      <w:marLeft w:val="0"/>
      <w:marRight w:val="0"/>
      <w:marTop w:val="0"/>
      <w:marBottom w:val="0"/>
      <w:divBdr>
        <w:top w:val="none" w:sz="0" w:space="0" w:color="auto"/>
        <w:left w:val="none" w:sz="0" w:space="0" w:color="auto"/>
        <w:bottom w:val="none" w:sz="0" w:space="0" w:color="auto"/>
        <w:right w:val="none" w:sz="0" w:space="0" w:color="auto"/>
      </w:divBdr>
    </w:div>
    <w:div w:id="1052267457">
      <w:bodyDiv w:val="1"/>
      <w:marLeft w:val="0"/>
      <w:marRight w:val="0"/>
      <w:marTop w:val="0"/>
      <w:marBottom w:val="0"/>
      <w:divBdr>
        <w:top w:val="none" w:sz="0" w:space="0" w:color="auto"/>
        <w:left w:val="none" w:sz="0" w:space="0" w:color="auto"/>
        <w:bottom w:val="none" w:sz="0" w:space="0" w:color="auto"/>
        <w:right w:val="none" w:sz="0" w:space="0" w:color="auto"/>
      </w:divBdr>
    </w:div>
    <w:div w:id="1064796036">
      <w:bodyDiv w:val="1"/>
      <w:marLeft w:val="0"/>
      <w:marRight w:val="0"/>
      <w:marTop w:val="0"/>
      <w:marBottom w:val="0"/>
      <w:divBdr>
        <w:top w:val="none" w:sz="0" w:space="0" w:color="auto"/>
        <w:left w:val="none" w:sz="0" w:space="0" w:color="auto"/>
        <w:bottom w:val="none" w:sz="0" w:space="0" w:color="auto"/>
        <w:right w:val="none" w:sz="0" w:space="0" w:color="auto"/>
      </w:divBdr>
    </w:div>
    <w:div w:id="1068184419">
      <w:bodyDiv w:val="1"/>
      <w:marLeft w:val="0"/>
      <w:marRight w:val="0"/>
      <w:marTop w:val="0"/>
      <w:marBottom w:val="0"/>
      <w:divBdr>
        <w:top w:val="none" w:sz="0" w:space="0" w:color="auto"/>
        <w:left w:val="none" w:sz="0" w:space="0" w:color="auto"/>
        <w:bottom w:val="none" w:sz="0" w:space="0" w:color="auto"/>
        <w:right w:val="none" w:sz="0" w:space="0" w:color="auto"/>
      </w:divBdr>
    </w:div>
    <w:div w:id="1092698528">
      <w:bodyDiv w:val="1"/>
      <w:marLeft w:val="0"/>
      <w:marRight w:val="0"/>
      <w:marTop w:val="0"/>
      <w:marBottom w:val="0"/>
      <w:divBdr>
        <w:top w:val="none" w:sz="0" w:space="0" w:color="auto"/>
        <w:left w:val="none" w:sz="0" w:space="0" w:color="auto"/>
        <w:bottom w:val="none" w:sz="0" w:space="0" w:color="auto"/>
        <w:right w:val="none" w:sz="0" w:space="0" w:color="auto"/>
      </w:divBdr>
    </w:div>
    <w:div w:id="1094088728">
      <w:bodyDiv w:val="1"/>
      <w:marLeft w:val="0"/>
      <w:marRight w:val="0"/>
      <w:marTop w:val="0"/>
      <w:marBottom w:val="0"/>
      <w:divBdr>
        <w:top w:val="none" w:sz="0" w:space="0" w:color="auto"/>
        <w:left w:val="none" w:sz="0" w:space="0" w:color="auto"/>
        <w:bottom w:val="none" w:sz="0" w:space="0" w:color="auto"/>
        <w:right w:val="none" w:sz="0" w:space="0" w:color="auto"/>
      </w:divBdr>
    </w:div>
    <w:div w:id="1125075756">
      <w:bodyDiv w:val="1"/>
      <w:marLeft w:val="0"/>
      <w:marRight w:val="0"/>
      <w:marTop w:val="0"/>
      <w:marBottom w:val="0"/>
      <w:divBdr>
        <w:top w:val="none" w:sz="0" w:space="0" w:color="auto"/>
        <w:left w:val="none" w:sz="0" w:space="0" w:color="auto"/>
        <w:bottom w:val="none" w:sz="0" w:space="0" w:color="auto"/>
        <w:right w:val="none" w:sz="0" w:space="0" w:color="auto"/>
      </w:divBdr>
    </w:div>
    <w:div w:id="1128548667">
      <w:bodyDiv w:val="1"/>
      <w:marLeft w:val="0"/>
      <w:marRight w:val="0"/>
      <w:marTop w:val="0"/>
      <w:marBottom w:val="0"/>
      <w:divBdr>
        <w:top w:val="none" w:sz="0" w:space="0" w:color="auto"/>
        <w:left w:val="none" w:sz="0" w:space="0" w:color="auto"/>
        <w:bottom w:val="none" w:sz="0" w:space="0" w:color="auto"/>
        <w:right w:val="none" w:sz="0" w:space="0" w:color="auto"/>
      </w:divBdr>
    </w:div>
    <w:div w:id="1142308198">
      <w:bodyDiv w:val="1"/>
      <w:marLeft w:val="0"/>
      <w:marRight w:val="0"/>
      <w:marTop w:val="0"/>
      <w:marBottom w:val="0"/>
      <w:divBdr>
        <w:top w:val="none" w:sz="0" w:space="0" w:color="auto"/>
        <w:left w:val="none" w:sz="0" w:space="0" w:color="auto"/>
        <w:bottom w:val="none" w:sz="0" w:space="0" w:color="auto"/>
        <w:right w:val="none" w:sz="0" w:space="0" w:color="auto"/>
      </w:divBdr>
    </w:div>
    <w:div w:id="1154835023">
      <w:bodyDiv w:val="1"/>
      <w:marLeft w:val="0"/>
      <w:marRight w:val="0"/>
      <w:marTop w:val="0"/>
      <w:marBottom w:val="0"/>
      <w:divBdr>
        <w:top w:val="none" w:sz="0" w:space="0" w:color="auto"/>
        <w:left w:val="none" w:sz="0" w:space="0" w:color="auto"/>
        <w:bottom w:val="none" w:sz="0" w:space="0" w:color="auto"/>
        <w:right w:val="none" w:sz="0" w:space="0" w:color="auto"/>
      </w:divBdr>
    </w:div>
    <w:div w:id="1160731755">
      <w:bodyDiv w:val="1"/>
      <w:marLeft w:val="0"/>
      <w:marRight w:val="0"/>
      <w:marTop w:val="0"/>
      <w:marBottom w:val="0"/>
      <w:divBdr>
        <w:top w:val="none" w:sz="0" w:space="0" w:color="auto"/>
        <w:left w:val="none" w:sz="0" w:space="0" w:color="auto"/>
        <w:bottom w:val="none" w:sz="0" w:space="0" w:color="auto"/>
        <w:right w:val="none" w:sz="0" w:space="0" w:color="auto"/>
      </w:divBdr>
    </w:div>
    <w:div w:id="1168979339">
      <w:bodyDiv w:val="1"/>
      <w:marLeft w:val="0"/>
      <w:marRight w:val="0"/>
      <w:marTop w:val="0"/>
      <w:marBottom w:val="0"/>
      <w:divBdr>
        <w:top w:val="none" w:sz="0" w:space="0" w:color="auto"/>
        <w:left w:val="none" w:sz="0" w:space="0" w:color="auto"/>
        <w:bottom w:val="none" w:sz="0" w:space="0" w:color="auto"/>
        <w:right w:val="none" w:sz="0" w:space="0" w:color="auto"/>
      </w:divBdr>
      <w:divsChild>
        <w:div w:id="600376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9518083">
      <w:bodyDiv w:val="1"/>
      <w:marLeft w:val="0"/>
      <w:marRight w:val="0"/>
      <w:marTop w:val="0"/>
      <w:marBottom w:val="0"/>
      <w:divBdr>
        <w:top w:val="none" w:sz="0" w:space="0" w:color="auto"/>
        <w:left w:val="none" w:sz="0" w:space="0" w:color="auto"/>
        <w:bottom w:val="none" w:sz="0" w:space="0" w:color="auto"/>
        <w:right w:val="none" w:sz="0" w:space="0" w:color="auto"/>
      </w:divBdr>
    </w:div>
    <w:div w:id="1171066604">
      <w:bodyDiv w:val="1"/>
      <w:marLeft w:val="0"/>
      <w:marRight w:val="0"/>
      <w:marTop w:val="0"/>
      <w:marBottom w:val="0"/>
      <w:divBdr>
        <w:top w:val="none" w:sz="0" w:space="0" w:color="auto"/>
        <w:left w:val="none" w:sz="0" w:space="0" w:color="auto"/>
        <w:bottom w:val="none" w:sz="0" w:space="0" w:color="auto"/>
        <w:right w:val="none" w:sz="0" w:space="0" w:color="auto"/>
      </w:divBdr>
    </w:div>
    <w:div w:id="1175000408">
      <w:bodyDiv w:val="1"/>
      <w:marLeft w:val="0"/>
      <w:marRight w:val="0"/>
      <w:marTop w:val="0"/>
      <w:marBottom w:val="0"/>
      <w:divBdr>
        <w:top w:val="none" w:sz="0" w:space="0" w:color="auto"/>
        <w:left w:val="none" w:sz="0" w:space="0" w:color="auto"/>
        <w:bottom w:val="none" w:sz="0" w:space="0" w:color="auto"/>
        <w:right w:val="none" w:sz="0" w:space="0" w:color="auto"/>
      </w:divBdr>
    </w:div>
    <w:div w:id="1177769427">
      <w:bodyDiv w:val="1"/>
      <w:marLeft w:val="0"/>
      <w:marRight w:val="0"/>
      <w:marTop w:val="0"/>
      <w:marBottom w:val="0"/>
      <w:divBdr>
        <w:top w:val="none" w:sz="0" w:space="0" w:color="auto"/>
        <w:left w:val="none" w:sz="0" w:space="0" w:color="auto"/>
        <w:bottom w:val="none" w:sz="0" w:space="0" w:color="auto"/>
        <w:right w:val="none" w:sz="0" w:space="0" w:color="auto"/>
      </w:divBdr>
    </w:div>
    <w:div w:id="1196889703">
      <w:bodyDiv w:val="1"/>
      <w:marLeft w:val="0"/>
      <w:marRight w:val="0"/>
      <w:marTop w:val="0"/>
      <w:marBottom w:val="0"/>
      <w:divBdr>
        <w:top w:val="none" w:sz="0" w:space="0" w:color="auto"/>
        <w:left w:val="none" w:sz="0" w:space="0" w:color="auto"/>
        <w:bottom w:val="none" w:sz="0" w:space="0" w:color="auto"/>
        <w:right w:val="none" w:sz="0" w:space="0" w:color="auto"/>
      </w:divBdr>
    </w:div>
    <w:div w:id="1209536932">
      <w:bodyDiv w:val="1"/>
      <w:marLeft w:val="0"/>
      <w:marRight w:val="0"/>
      <w:marTop w:val="0"/>
      <w:marBottom w:val="0"/>
      <w:divBdr>
        <w:top w:val="none" w:sz="0" w:space="0" w:color="auto"/>
        <w:left w:val="none" w:sz="0" w:space="0" w:color="auto"/>
        <w:bottom w:val="none" w:sz="0" w:space="0" w:color="auto"/>
        <w:right w:val="none" w:sz="0" w:space="0" w:color="auto"/>
      </w:divBdr>
    </w:div>
    <w:div w:id="1210652420">
      <w:bodyDiv w:val="1"/>
      <w:marLeft w:val="0"/>
      <w:marRight w:val="0"/>
      <w:marTop w:val="0"/>
      <w:marBottom w:val="0"/>
      <w:divBdr>
        <w:top w:val="none" w:sz="0" w:space="0" w:color="auto"/>
        <w:left w:val="none" w:sz="0" w:space="0" w:color="auto"/>
        <w:bottom w:val="none" w:sz="0" w:space="0" w:color="auto"/>
        <w:right w:val="none" w:sz="0" w:space="0" w:color="auto"/>
      </w:divBdr>
    </w:div>
    <w:div w:id="1224372558">
      <w:bodyDiv w:val="1"/>
      <w:marLeft w:val="0"/>
      <w:marRight w:val="0"/>
      <w:marTop w:val="0"/>
      <w:marBottom w:val="0"/>
      <w:divBdr>
        <w:top w:val="none" w:sz="0" w:space="0" w:color="auto"/>
        <w:left w:val="none" w:sz="0" w:space="0" w:color="auto"/>
        <w:bottom w:val="none" w:sz="0" w:space="0" w:color="auto"/>
        <w:right w:val="none" w:sz="0" w:space="0" w:color="auto"/>
      </w:divBdr>
    </w:div>
    <w:div w:id="1228538764">
      <w:bodyDiv w:val="1"/>
      <w:marLeft w:val="0"/>
      <w:marRight w:val="0"/>
      <w:marTop w:val="0"/>
      <w:marBottom w:val="0"/>
      <w:divBdr>
        <w:top w:val="none" w:sz="0" w:space="0" w:color="auto"/>
        <w:left w:val="none" w:sz="0" w:space="0" w:color="auto"/>
        <w:bottom w:val="none" w:sz="0" w:space="0" w:color="auto"/>
        <w:right w:val="none" w:sz="0" w:space="0" w:color="auto"/>
      </w:divBdr>
    </w:div>
    <w:div w:id="1233003660">
      <w:bodyDiv w:val="1"/>
      <w:marLeft w:val="0"/>
      <w:marRight w:val="0"/>
      <w:marTop w:val="0"/>
      <w:marBottom w:val="0"/>
      <w:divBdr>
        <w:top w:val="none" w:sz="0" w:space="0" w:color="auto"/>
        <w:left w:val="none" w:sz="0" w:space="0" w:color="auto"/>
        <w:bottom w:val="none" w:sz="0" w:space="0" w:color="auto"/>
        <w:right w:val="none" w:sz="0" w:space="0" w:color="auto"/>
      </w:divBdr>
    </w:div>
    <w:div w:id="1240479124">
      <w:bodyDiv w:val="1"/>
      <w:marLeft w:val="0"/>
      <w:marRight w:val="0"/>
      <w:marTop w:val="0"/>
      <w:marBottom w:val="0"/>
      <w:divBdr>
        <w:top w:val="none" w:sz="0" w:space="0" w:color="auto"/>
        <w:left w:val="none" w:sz="0" w:space="0" w:color="auto"/>
        <w:bottom w:val="none" w:sz="0" w:space="0" w:color="auto"/>
        <w:right w:val="none" w:sz="0" w:space="0" w:color="auto"/>
      </w:divBdr>
    </w:div>
    <w:div w:id="1275557336">
      <w:bodyDiv w:val="1"/>
      <w:marLeft w:val="0"/>
      <w:marRight w:val="0"/>
      <w:marTop w:val="0"/>
      <w:marBottom w:val="0"/>
      <w:divBdr>
        <w:top w:val="none" w:sz="0" w:space="0" w:color="auto"/>
        <w:left w:val="none" w:sz="0" w:space="0" w:color="auto"/>
        <w:bottom w:val="none" w:sz="0" w:space="0" w:color="auto"/>
        <w:right w:val="none" w:sz="0" w:space="0" w:color="auto"/>
      </w:divBdr>
    </w:div>
    <w:div w:id="1283465073">
      <w:bodyDiv w:val="1"/>
      <w:marLeft w:val="0"/>
      <w:marRight w:val="0"/>
      <w:marTop w:val="0"/>
      <w:marBottom w:val="0"/>
      <w:divBdr>
        <w:top w:val="none" w:sz="0" w:space="0" w:color="auto"/>
        <w:left w:val="none" w:sz="0" w:space="0" w:color="auto"/>
        <w:bottom w:val="none" w:sz="0" w:space="0" w:color="auto"/>
        <w:right w:val="none" w:sz="0" w:space="0" w:color="auto"/>
      </w:divBdr>
    </w:div>
    <w:div w:id="1293369560">
      <w:bodyDiv w:val="1"/>
      <w:marLeft w:val="0"/>
      <w:marRight w:val="0"/>
      <w:marTop w:val="0"/>
      <w:marBottom w:val="0"/>
      <w:divBdr>
        <w:top w:val="none" w:sz="0" w:space="0" w:color="auto"/>
        <w:left w:val="none" w:sz="0" w:space="0" w:color="auto"/>
        <w:bottom w:val="none" w:sz="0" w:space="0" w:color="auto"/>
        <w:right w:val="none" w:sz="0" w:space="0" w:color="auto"/>
      </w:divBdr>
    </w:div>
    <w:div w:id="1308439972">
      <w:bodyDiv w:val="1"/>
      <w:marLeft w:val="0"/>
      <w:marRight w:val="0"/>
      <w:marTop w:val="0"/>
      <w:marBottom w:val="0"/>
      <w:divBdr>
        <w:top w:val="none" w:sz="0" w:space="0" w:color="auto"/>
        <w:left w:val="none" w:sz="0" w:space="0" w:color="auto"/>
        <w:bottom w:val="none" w:sz="0" w:space="0" w:color="auto"/>
        <w:right w:val="none" w:sz="0" w:space="0" w:color="auto"/>
      </w:divBdr>
    </w:div>
    <w:div w:id="1329868393">
      <w:bodyDiv w:val="1"/>
      <w:marLeft w:val="0"/>
      <w:marRight w:val="0"/>
      <w:marTop w:val="0"/>
      <w:marBottom w:val="0"/>
      <w:divBdr>
        <w:top w:val="none" w:sz="0" w:space="0" w:color="auto"/>
        <w:left w:val="none" w:sz="0" w:space="0" w:color="auto"/>
        <w:bottom w:val="none" w:sz="0" w:space="0" w:color="auto"/>
        <w:right w:val="none" w:sz="0" w:space="0" w:color="auto"/>
      </w:divBdr>
    </w:div>
    <w:div w:id="1333871294">
      <w:bodyDiv w:val="1"/>
      <w:marLeft w:val="0"/>
      <w:marRight w:val="0"/>
      <w:marTop w:val="0"/>
      <w:marBottom w:val="0"/>
      <w:divBdr>
        <w:top w:val="none" w:sz="0" w:space="0" w:color="auto"/>
        <w:left w:val="none" w:sz="0" w:space="0" w:color="auto"/>
        <w:bottom w:val="none" w:sz="0" w:space="0" w:color="auto"/>
        <w:right w:val="none" w:sz="0" w:space="0" w:color="auto"/>
      </w:divBdr>
    </w:div>
    <w:div w:id="1355569247">
      <w:bodyDiv w:val="1"/>
      <w:marLeft w:val="0"/>
      <w:marRight w:val="0"/>
      <w:marTop w:val="0"/>
      <w:marBottom w:val="0"/>
      <w:divBdr>
        <w:top w:val="none" w:sz="0" w:space="0" w:color="auto"/>
        <w:left w:val="none" w:sz="0" w:space="0" w:color="auto"/>
        <w:bottom w:val="none" w:sz="0" w:space="0" w:color="auto"/>
        <w:right w:val="none" w:sz="0" w:space="0" w:color="auto"/>
      </w:divBdr>
    </w:div>
    <w:div w:id="1368598662">
      <w:bodyDiv w:val="1"/>
      <w:marLeft w:val="0"/>
      <w:marRight w:val="0"/>
      <w:marTop w:val="0"/>
      <w:marBottom w:val="0"/>
      <w:divBdr>
        <w:top w:val="none" w:sz="0" w:space="0" w:color="auto"/>
        <w:left w:val="none" w:sz="0" w:space="0" w:color="auto"/>
        <w:bottom w:val="none" w:sz="0" w:space="0" w:color="auto"/>
        <w:right w:val="none" w:sz="0" w:space="0" w:color="auto"/>
      </w:divBdr>
    </w:div>
    <w:div w:id="1373531459">
      <w:bodyDiv w:val="1"/>
      <w:marLeft w:val="0"/>
      <w:marRight w:val="0"/>
      <w:marTop w:val="0"/>
      <w:marBottom w:val="0"/>
      <w:divBdr>
        <w:top w:val="none" w:sz="0" w:space="0" w:color="auto"/>
        <w:left w:val="none" w:sz="0" w:space="0" w:color="auto"/>
        <w:bottom w:val="none" w:sz="0" w:space="0" w:color="auto"/>
        <w:right w:val="none" w:sz="0" w:space="0" w:color="auto"/>
      </w:divBdr>
    </w:div>
    <w:div w:id="1381243960">
      <w:bodyDiv w:val="1"/>
      <w:marLeft w:val="0"/>
      <w:marRight w:val="0"/>
      <w:marTop w:val="0"/>
      <w:marBottom w:val="0"/>
      <w:divBdr>
        <w:top w:val="none" w:sz="0" w:space="0" w:color="auto"/>
        <w:left w:val="none" w:sz="0" w:space="0" w:color="auto"/>
        <w:bottom w:val="none" w:sz="0" w:space="0" w:color="auto"/>
        <w:right w:val="none" w:sz="0" w:space="0" w:color="auto"/>
      </w:divBdr>
    </w:div>
    <w:div w:id="1418020995">
      <w:bodyDiv w:val="1"/>
      <w:marLeft w:val="0"/>
      <w:marRight w:val="0"/>
      <w:marTop w:val="0"/>
      <w:marBottom w:val="0"/>
      <w:divBdr>
        <w:top w:val="none" w:sz="0" w:space="0" w:color="auto"/>
        <w:left w:val="none" w:sz="0" w:space="0" w:color="auto"/>
        <w:bottom w:val="none" w:sz="0" w:space="0" w:color="auto"/>
        <w:right w:val="none" w:sz="0" w:space="0" w:color="auto"/>
      </w:divBdr>
    </w:div>
    <w:div w:id="1445155909">
      <w:bodyDiv w:val="1"/>
      <w:marLeft w:val="0"/>
      <w:marRight w:val="0"/>
      <w:marTop w:val="0"/>
      <w:marBottom w:val="0"/>
      <w:divBdr>
        <w:top w:val="none" w:sz="0" w:space="0" w:color="auto"/>
        <w:left w:val="none" w:sz="0" w:space="0" w:color="auto"/>
        <w:bottom w:val="none" w:sz="0" w:space="0" w:color="auto"/>
        <w:right w:val="none" w:sz="0" w:space="0" w:color="auto"/>
      </w:divBdr>
    </w:div>
    <w:div w:id="1464690892">
      <w:bodyDiv w:val="1"/>
      <w:marLeft w:val="0"/>
      <w:marRight w:val="0"/>
      <w:marTop w:val="0"/>
      <w:marBottom w:val="0"/>
      <w:divBdr>
        <w:top w:val="none" w:sz="0" w:space="0" w:color="auto"/>
        <w:left w:val="none" w:sz="0" w:space="0" w:color="auto"/>
        <w:bottom w:val="none" w:sz="0" w:space="0" w:color="auto"/>
        <w:right w:val="none" w:sz="0" w:space="0" w:color="auto"/>
      </w:divBdr>
    </w:div>
    <w:div w:id="1466434091">
      <w:bodyDiv w:val="1"/>
      <w:marLeft w:val="0"/>
      <w:marRight w:val="0"/>
      <w:marTop w:val="0"/>
      <w:marBottom w:val="0"/>
      <w:divBdr>
        <w:top w:val="none" w:sz="0" w:space="0" w:color="auto"/>
        <w:left w:val="none" w:sz="0" w:space="0" w:color="auto"/>
        <w:bottom w:val="none" w:sz="0" w:space="0" w:color="auto"/>
        <w:right w:val="none" w:sz="0" w:space="0" w:color="auto"/>
      </w:divBdr>
    </w:div>
    <w:div w:id="1469087217">
      <w:bodyDiv w:val="1"/>
      <w:marLeft w:val="0"/>
      <w:marRight w:val="0"/>
      <w:marTop w:val="0"/>
      <w:marBottom w:val="0"/>
      <w:divBdr>
        <w:top w:val="none" w:sz="0" w:space="0" w:color="auto"/>
        <w:left w:val="none" w:sz="0" w:space="0" w:color="auto"/>
        <w:bottom w:val="none" w:sz="0" w:space="0" w:color="auto"/>
        <w:right w:val="none" w:sz="0" w:space="0" w:color="auto"/>
      </w:divBdr>
    </w:div>
    <w:div w:id="1480270001">
      <w:bodyDiv w:val="1"/>
      <w:marLeft w:val="0"/>
      <w:marRight w:val="0"/>
      <w:marTop w:val="0"/>
      <w:marBottom w:val="0"/>
      <w:divBdr>
        <w:top w:val="none" w:sz="0" w:space="0" w:color="auto"/>
        <w:left w:val="none" w:sz="0" w:space="0" w:color="auto"/>
        <w:bottom w:val="none" w:sz="0" w:space="0" w:color="auto"/>
        <w:right w:val="none" w:sz="0" w:space="0" w:color="auto"/>
      </w:divBdr>
    </w:div>
    <w:div w:id="1490945728">
      <w:bodyDiv w:val="1"/>
      <w:marLeft w:val="0"/>
      <w:marRight w:val="0"/>
      <w:marTop w:val="0"/>
      <w:marBottom w:val="0"/>
      <w:divBdr>
        <w:top w:val="none" w:sz="0" w:space="0" w:color="auto"/>
        <w:left w:val="none" w:sz="0" w:space="0" w:color="auto"/>
        <w:bottom w:val="none" w:sz="0" w:space="0" w:color="auto"/>
        <w:right w:val="none" w:sz="0" w:space="0" w:color="auto"/>
      </w:divBdr>
      <w:divsChild>
        <w:div w:id="1463764005">
          <w:marLeft w:val="0"/>
          <w:marRight w:val="0"/>
          <w:marTop w:val="0"/>
          <w:marBottom w:val="0"/>
          <w:divBdr>
            <w:top w:val="none" w:sz="0" w:space="0" w:color="auto"/>
            <w:left w:val="none" w:sz="0" w:space="0" w:color="auto"/>
            <w:bottom w:val="none" w:sz="0" w:space="0" w:color="auto"/>
            <w:right w:val="none" w:sz="0" w:space="0" w:color="auto"/>
          </w:divBdr>
          <w:divsChild>
            <w:div w:id="430206729">
              <w:marLeft w:val="0"/>
              <w:marRight w:val="0"/>
              <w:marTop w:val="0"/>
              <w:marBottom w:val="0"/>
              <w:divBdr>
                <w:top w:val="none" w:sz="0" w:space="0" w:color="auto"/>
                <w:left w:val="none" w:sz="0" w:space="0" w:color="auto"/>
                <w:bottom w:val="none" w:sz="0" w:space="0" w:color="auto"/>
                <w:right w:val="none" w:sz="0" w:space="0" w:color="auto"/>
              </w:divBdr>
            </w:div>
          </w:divsChild>
        </w:div>
        <w:div w:id="1303383492">
          <w:marLeft w:val="0"/>
          <w:marRight w:val="0"/>
          <w:marTop w:val="0"/>
          <w:marBottom w:val="0"/>
          <w:divBdr>
            <w:top w:val="none" w:sz="0" w:space="0" w:color="auto"/>
            <w:left w:val="none" w:sz="0" w:space="0" w:color="auto"/>
            <w:bottom w:val="none" w:sz="0" w:space="0" w:color="auto"/>
            <w:right w:val="none" w:sz="0" w:space="0" w:color="auto"/>
          </w:divBdr>
        </w:div>
        <w:div w:id="628707363">
          <w:marLeft w:val="0"/>
          <w:marRight w:val="0"/>
          <w:marTop w:val="0"/>
          <w:marBottom w:val="0"/>
          <w:divBdr>
            <w:top w:val="none" w:sz="0" w:space="0" w:color="auto"/>
            <w:left w:val="none" w:sz="0" w:space="0" w:color="auto"/>
            <w:bottom w:val="none" w:sz="0" w:space="0" w:color="auto"/>
            <w:right w:val="none" w:sz="0" w:space="0" w:color="auto"/>
          </w:divBdr>
        </w:div>
        <w:div w:id="2105035429">
          <w:marLeft w:val="0"/>
          <w:marRight w:val="0"/>
          <w:marTop w:val="0"/>
          <w:marBottom w:val="0"/>
          <w:divBdr>
            <w:top w:val="none" w:sz="0" w:space="0" w:color="auto"/>
            <w:left w:val="none" w:sz="0" w:space="0" w:color="auto"/>
            <w:bottom w:val="none" w:sz="0" w:space="0" w:color="auto"/>
            <w:right w:val="none" w:sz="0" w:space="0" w:color="auto"/>
          </w:divBdr>
        </w:div>
        <w:div w:id="1046877947">
          <w:marLeft w:val="0"/>
          <w:marRight w:val="0"/>
          <w:marTop w:val="0"/>
          <w:marBottom w:val="0"/>
          <w:divBdr>
            <w:top w:val="none" w:sz="0" w:space="0" w:color="auto"/>
            <w:left w:val="none" w:sz="0" w:space="0" w:color="auto"/>
            <w:bottom w:val="none" w:sz="0" w:space="0" w:color="auto"/>
            <w:right w:val="none" w:sz="0" w:space="0" w:color="auto"/>
          </w:divBdr>
        </w:div>
        <w:div w:id="656811318">
          <w:marLeft w:val="0"/>
          <w:marRight w:val="0"/>
          <w:marTop w:val="0"/>
          <w:marBottom w:val="0"/>
          <w:divBdr>
            <w:top w:val="none" w:sz="0" w:space="0" w:color="auto"/>
            <w:left w:val="none" w:sz="0" w:space="0" w:color="auto"/>
            <w:bottom w:val="none" w:sz="0" w:space="0" w:color="auto"/>
            <w:right w:val="none" w:sz="0" w:space="0" w:color="auto"/>
          </w:divBdr>
        </w:div>
        <w:div w:id="351419058">
          <w:marLeft w:val="0"/>
          <w:marRight w:val="0"/>
          <w:marTop w:val="0"/>
          <w:marBottom w:val="0"/>
          <w:divBdr>
            <w:top w:val="none" w:sz="0" w:space="0" w:color="auto"/>
            <w:left w:val="none" w:sz="0" w:space="0" w:color="auto"/>
            <w:bottom w:val="none" w:sz="0" w:space="0" w:color="auto"/>
            <w:right w:val="none" w:sz="0" w:space="0" w:color="auto"/>
          </w:divBdr>
        </w:div>
        <w:div w:id="1390302420">
          <w:marLeft w:val="0"/>
          <w:marRight w:val="0"/>
          <w:marTop w:val="0"/>
          <w:marBottom w:val="0"/>
          <w:divBdr>
            <w:top w:val="none" w:sz="0" w:space="0" w:color="auto"/>
            <w:left w:val="none" w:sz="0" w:space="0" w:color="auto"/>
            <w:bottom w:val="none" w:sz="0" w:space="0" w:color="auto"/>
            <w:right w:val="none" w:sz="0" w:space="0" w:color="auto"/>
          </w:divBdr>
        </w:div>
        <w:div w:id="1738163391">
          <w:marLeft w:val="0"/>
          <w:marRight w:val="0"/>
          <w:marTop w:val="0"/>
          <w:marBottom w:val="0"/>
          <w:divBdr>
            <w:top w:val="none" w:sz="0" w:space="0" w:color="auto"/>
            <w:left w:val="none" w:sz="0" w:space="0" w:color="auto"/>
            <w:bottom w:val="none" w:sz="0" w:space="0" w:color="auto"/>
            <w:right w:val="none" w:sz="0" w:space="0" w:color="auto"/>
          </w:divBdr>
        </w:div>
        <w:div w:id="1958172705">
          <w:marLeft w:val="0"/>
          <w:marRight w:val="0"/>
          <w:marTop w:val="0"/>
          <w:marBottom w:val="0"/>
          <w:divBdr>
            <w:top w:val="none" w:sz="0" w:space="0" w:color="auto"/>
            <w:left w:val="none" w:sz="0" w:space="0" w:color="auto"/>
            <w:bottom w:val="none" w:sz="0" w:space="0" w:color="auto"/>
            <w:right w:val="none" w:sz="0" w:space="0" w:color="auto"/>
          </w:divBdr>
        </w:div>
        <w:div w:id="201597728">
          <w:marLeft w:val="0"/>
          <w:marRight w:val="0"/>
          <w:marTop w:val="0"/>
          <w:marBottom w:val="0"/>
          <w:divBdr>
            <w:top w:val="none" w:sz="0" w:space="0" w:color="auto"/>
            <w:left w:val="none" w:sz="0" w:space="0" w:color="auto"/>
            <w:bottom w:val="none" w:sz="0" w:space="0" w:color="auto"/>
            <w:right w:val="none" w:sz="0" w:space="0" w:color="auto"/>
          </w:divBdr>
        </w:div>
        <w:div w:id="592713014">
          <w:marLeft w:val="0"/>
          <w:marRight w:val="0"/>
          <w:marTop w:val="0"/>
          <w:marBottom w:val="0"/>
          <w:divBdr>
            <w:top w:val="none" w:sz="0" w:space="0" w:color="auto"/>
            <w:left w:val="none" w:sz="0" w:space="0" w:color="auto"/>
            <w:bottom w:val="none" w:sz="0" w:space="0" w:color="auto"/>
            <w:right w:val="none" w:sz="0" w:space="0" w:color="auto"/>
          </w:divBdr>
        </w:div>
        <w:div w:id="1300109060">
          <w:marLeft w:val="0"/>
          <w:marRight w:val="0"/>
          <w:marTop w:val="0"/>
          <w:marBottom w:val="0"/>
          <w:divBdr>
            <w:top w:val="none" w:sz="0" w:space="0" w:color="auto"/>
            <w:left w:val="none" w:sz="0" w:space="0" w:color="auto"/>
            <w:bottom w:val="none" w:sz="0" w:space="0" w:color="auto"/>
            <w:right w:val="none" w:sz="0" w:space="0" w:color="auto"/>
          </w:divBdr>
        </w:div>
        <w:div w:id="2033139698">
          <w:marLeft w:val="0"/>
          <w:marRight w:val="0"/>
          <w:marTop w:val="0"/>
          <w:marBottom w:val="0"/>
          <w:divBdr>
            <w:top w:val="none" w:sz="0" w:space="0" w:color="auto"/>
            <w:left w:val="none" w:sz="0" w:space="0" w:color="auto"/>
            <w:bottom w:val="none" w:sz="0" w:space="0" w:color="auto"/>
            <w:right w:val="none" w:sz="0" w:space="0" w:color="auto"/>
          </w:divBdr>
        </w:div>
        <w:div w:id="812913980">
          <w:marLeft w:val="0"/>
          <w:marRight w:val="0"/>
          <w:marTop w:val="0"/>
          <w:marBottom w:val="0"/>
          <w:divBdr>
            <w:top w:val="none" w:sz="0" w:space="0" w:color="auto"/>
            <w:left w:val="none" w:sz="0" w:space="0" w:color="auto"/>
            <w:bottom w:val="none" w:sz="0" w:space="0" w:color="auto"/>
            <w:right w:val="none" w:sz="0" w:space="0" w:color="auto"/>
          </w:divBdr>
        </w:div>
        <w:div w:id="615452530">
          <w:marLeft w:val="0"/>
          <w:marRight w:val="0"/>
          <w:marTop w:val="0"/>
          <w:marBottom w:val="0"/>
          <w:divBdr>
            <w:top w:val="none" w:sz="0" w:space="0" w:color="auto"/>
            <w:left w:val="none" w:sz="0" w:space="0" w:color="auto"/>
            <w:bottom w:val="none" w:sz="0" w:space="0" w:color="auto"/>
            <w:right w:val="none" w:sz="0" w:space="0" w:color="auto"/>
          </w:divBdr>
        </w:div>
        <w:div w:id="632908160">
          <w:marLeft w:val="0"/>
          <w:marRight w:val="0"/>
          <w:marTop w:val="0"/>
          <w:marBottom w:val="0"/>
          <w:divBdr>
            <w:top w:val="none" w:sz="0" w:space="0" w:color="auto"/>
            <w:left w:val="none" w:sz="0" w:space="0" w:color="auto"/>
            <w:bottom w:val="none" w:sz="0" w:space="0" w:color="auto"/>
            <w:right w:val="none" w:sz="0" w:space="0" w:color="auto"/>
          </w:divBdr>
        </w:div>
        <w:div w:id="1762677735">
          <w:marLeft w:val="0"/>
          <w:marRight w:val="0"/>
          <w:marTop w:val="0"/>
          <w:marBottom w:val="0"/>
          <w:divBdr>
            <w:top w:val="none" w:sz="0" w:space="0" w:color="auto"/>
            <w:left w:val="none" w:sz="0" w:space="0" w:color="auto"/>
            <w:bottom w:val="none" w:sz="0" w:space="0" w:color="auto"/>
            <w:right w:val="none" w:sz="0" w:space="0" w:color="auto"/>
          </w:divBdr>
        </w:div>
      </w:divsChild>
    </w:div>
    <w:div w:id="1493061253">
      <w:bodyDiv w:val="1"/>
      <w:marLeft w:val="0"/>
      <w:marRight w:val="0"/>
      <w:marTop w:val="0"/>
      <w:marBottom w:val="0"/>
      <w:divBdr>
        <w:top w:val="none" w:sz="0" w:space="0" w:color="auto"/>
        <w:left w:val="none" w:sz="0" w:space="0" w:color="auto"/>
        <w:bottom w:val="none" w:sz="0" w:space="0" w:color="auto"/>
        <w:right w:val="none" w:sz="0" w:space="0" w:color="auto"/>
      </w:divBdr>
      <w:divsChild>
        <w:div w:id="11749978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3982654">
      <w:bodyDiv w:val="1"/>
      <w:marLeft w:val="0"/>
      <w:marRight w:val="0"/>
      <w:marTop w:val="0"/>
      <w:marBottom w:val="0"/>
      <w:divBdr>
        <w:top w:val="none" w:sz="0" w:space="0" w:color="auto"/>
        <w:left w:val="none" w:sz="0" w:space="0" w:color="auto"/>
        <w:bottom w:val="none" w:sz="0" w:space="0" w:color="auto"/>
        <w:right w:val="none" w:sz="0" w:space="0" w:color="auto"/>
      </w:divBdr>
    </w:div>
    <w:div w:id="1511138836">
      <w:bodyDiv w:val="1"/>
      <w:marLeft w:val="0"/>
      <w:marRight w:val="0"/>
      <w:marTop w:val="0"/>
      <w:marBottom w:val="0"/>
      <w:divBdr>
        <w:top w:val="none" w:sz="0" w:space="0" w:color="auto"/>
        <w:left w:val="none" w:sz="0" w:space="0" w:color="auto"/>
        <w:bottom w:val="none" w:sz="0" w:space="0" w:color="auto"/>
        <w:right w:val="none" w:sz="0" w:space="0" w:color="auto"/>
      </w:divBdr>
    </w:div>
    <w:div w:id="1522040350">
      <w:bodyDiv w:val="1"/>
      <w:marLeft w:val="0"/>
      <w:marRight w:val="0"/>
      <w:marTop w:val="0"/>
      <w:marBottom w:val="0"/>
      <w:divBdr>
        <w:top w:val="none" w:sz="0" w:space="0" w:color="auto"/>
        <w:left w:val="none" w:sz="0" w:space="0" w:color="auto"/>
        <w:bottom w:val="none" w:sz="0" w:space="0" w:color="auto"/>
        <w:right w:val="none" w:sz="0" w:space="0" w:color="auto"/>
      </w:divBdr>
      <w:divsChild>
        <w:div w:id="1753970071">
          <w:marLeft w:val="0"/>
          <w:marRight w:val="0"/>
          <w:marTop w:val="0"/>
          <w:marBottom w:val="0"/>
          <w:divBdr>
            <w:top w:val="none" w:sz="0" w:space="0" w:color="auto"/>
            <w:left w:val="none" w:sz="0" w:space="0" w:color="auto"/>
            <w:bottom w:val="none" w:sz="0" w:space="0" w:color="auto"/>
            <w:right w:val="none" w:sz="0" w:space="0" w:color="auto"/>
          </w:divBdr>
          <w:divsChild>
            <w:div w:id="94372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8474">
      <w:bodyDiv w:val="1"/>
      <w:marLeft w:val="0"/>
      <w:marRight w:val="0"/>
      <w:marTop w:val="0"/>
      <w:marBottom w:val="0"/>
      <w:divBdr>
        <w:top w:val="none" w:sz="0" w:space="0" w:color="auto"/>
        <w:left w:val="none" w:sz="0" w:space="0" w:color="auto"/>
        <w:bottom w:val="none" w:sz="0" w:space="0" w:color="auto"/>
        <w:right w:val="none" w:sz="0" w:space="0" w:color="auto"/>
      </w:divBdr>
    </w:div>
    <w:div w:id="1563712954">
      <w:bodyDiv w:val="1"/>
      <w:marLeft w:val="0"/>
      <w:marRight w:val="0"/>
      <w:marTop w:val="0"/>
      <w:marBottom w:val="0"/>
      <w:divBdr>
        <w:top w:val="none" w:sz="0" w:space="0" w:color="auto"/>
        <w:left w:val="none" w:sz="0" w:space="0" w:color="auto"/>
        <w:bottom w:val="none" w:sz="0" w:space="0" w:color="auto"/>
        <w:right w:val="none" w:sz="0" w:space="0" w:color="auto"/>
      </w:divBdr>
    </w:div>
    <w:div w:id="1566986721">
      <w:bodyDiv w:val="1"/>
      <w:marLeft w:val="0"/>
      <w:marRight w:val="0"/>
      <w:marTop w:val="0"/>
      <w:marBottom w:val="0"/>
      <w:divBdr>
        <w:top w:val="none" w:sz="0" w:space="0" w:color="auto"/>
        <w:left w:val="none" w:sz="0" w:space="0" w:color="auto"/>
        <w:bottom w:val="none" w:sz="0" w:space="0" w:color="auto"/>
        <w:right w:val="none" w:sz="0" w:space="0" w:color="auto"/>
      </w:divBdr>
    </w:div>
    <w:div w:id="1572424595">
      <w:bodyDiv w:val="1"/>
      <w:marLeft w:val="0"/>
      <w:marRight w:val="0"/>
      <w:marTop w:val="0"/>
      <w:marBottom w:val="0"/>
      <w:divBdr>
        <w:top w:val="none" w:sz="0" w:space="0" w:color="auto"/>
        <w:left w:val="none" w:sz="0" w:space="0" w:color="auto"/>
        <w:bottom w:val="none" w:sz="0" w:space="0" w:color="auto"/>
        <w:right w:val="none" w:sz="0" w:space="0" w:color="auto"/>
      </w:divBdr>
    </w:div>
    <w:div w:id="1575703899">
      <w:bodyDiv w:val="1"/>
      <w:marLeft w:val="0"/>
      <w:marRight w:val="0"/>
      <w:marTop w:val="0"/>
      <w:marBottom w:val="0"/>
      <w:divBdr>
        <w:top w:val="none" w:sz="0" w:space="0" w:color="auto"/>
        <w:left w:val="none" w:sz="0" w:space="0" w:color="auto"/>
        <w:bottom w:val="none" w:sz="0" w:space="0" w:color="auto"/>
        <w:right w:val="none" w:sz="0" w:space="0" w:color="auto"/>
      </w:divBdr>
      <w:divsChild>
        <w:div w:id="968314372">
          <w:marLeft w:val="0"/>
          <w:marRight w:val="0"/>
          <w:marTop w:val="0"/>
          <w:marBottom w:val="0"/>
          <w:divBdr>
            <w:top w:val="none" w:sz="0" w:space="0" w:color="auto"/>
            <w:left w:val="none" w:sz="0" w:space="0" w:color="auto"/>
            <w:bottom w:val="none" w:sz="0" w:space="0" w:color="auto"/>
            <w:right w:val="none" w:sz="0" w:space="0" w:color="auto"/>
          </w:divBdr>
          <w:divsChild>
            <w:div w:id="421485843">
              <w:marLeft w:val="0"/>
              <w:marRight w:val="0"/>
              <w:marTop w:val="0"/>
              <w:marBottom w:val="0"/>
              <w:divBdr>
                <w:top w:val="none" w:sz="0" w:space="0" w:color="auto"/>
                <w:left w:val="none" w:sz="0" w:space="0" w:color="auto"/>
                <w:bottom w:val="none" w:sz="0" w:space="0" w:color="auto"/>
                <w:right w:val="none" w:sz="0" w:space="0" w:color="auto"/>
              </w:divBdr>
            </w:div>
          </w:divsChild>
        </w:div>
        <w:div w:id="530999500">
          <w:marLeft w:val="0"/>
          <w:marRight w:val="0"/>
          <w:marTop w:val="0"/>
          <w:marBottom w:val="0"/>
          <w:divBdr>
            <w:top w:val="none" w:sz="0" w:space="0" w:color="auto"/>
            <w:left w:val="none" w:sz="0" w:space="0" w:color="auto"/>
            <w:bottom w:val="none" w:sz="0" w:space="0" w:color="auto"/>
            <w:right w:val="none" w:sz="0" w:space="0" w:color="auto"/>
          </w:divBdr>
        </w:div>
        <w:div w:id="150025492">
          <w:marLeft w:val="0"/>
          <w:marRight w:val="0"/>
          <w:marTop w:val="0"/>
          <w:marBottom w:val="0"/>
          <w:divBdr>
            <w:top w:val="none" w:sz="0" w:space="0" w:color="auto"/>
            <w:left w:val="none" w:sz="0" w:space="0" w:color="auto"/>
            <w:bottom w:val="none" w:sz="0" w:space="0" w:color="auto"/>
            <w:right w:val="none" w:sz="0" w:space="0" w:color="auto"/>
          </w:divBdr>
        </w:div>
        <w:div w:id="1291550223">
          <w:marLeft w:val="0"/>
          <w:marRight w:val="0"/>
          <w:marTop w:val="0"/>
          <w:marBottom w:val="0"/>
          <w:divBdr>
            <w:top w:val="none" w:sz="0" w:space="0" w:color="auto"/>
            <w:left w:val="none" w:sz="0" w:space="0" w:color="auto"/>
            <w:bottom w:val="none" w:sz="0" w:space="0" w:color="auto"/>
            <w:right w:val="none" w:sz="0" w:space="0" w:color="auto"/>
          </w:divBdr>
        </w:div>
        <w:div w:id="711853680">
          <w:marLeft w:val="0"/>
          <w:marRight w:val="0"/>
          <w:marTop w:val="0"/>
          <w:marBottom w:val="0"/>
          <w:divBdr>
            <w:top w:val="none" w:sz="0" w:space="0" w:color="auto"/>
            <w:left w:val="none" w:sz="0" w:space="0" w:color="auto"/>
            <w:bottom w:val="none" w:sz="0" w:space="0" w:color="auto"/>
            <w:right w:val="none" w:sz="0" w:space="0" w:color="auto"/>
          </w:divBdr>
        </w:div>
        <w:div w:id="274413405">
          <w:marLeft w:val="0"/>
          <w:marRight w:val="0"/>
          <w:marTop w:val="0"/>
          <w:marBottom w:val="0"/>
          <w:divBdr>
            <w:top w:val="none" w:sz="0" w:space="0" w:color="auto"/>
            <w:left w:val="none" w:sz="0" w:space="0" w:color="auto"/>
            <w:bottom w:val="none" w:sz="0" w:space="0" w:color="auto"/>
            <w:right w:val="none" w:sz="0" w:space="0" w:color="auto"/>
          </w:divBdr>
        </w:div>
        <w:div w:id="345133534">
          <w:marLeft w:val="0"/>
          <w:marRight w:val="0"/>
          <w:marTop w:val="0"/>
          <w:marBottom w:val="0"/>
          <w:divBdr>
            <w:top w:val="none" w:sz="0" w:space="0" w:color="auto"/>
            <w:left w:val="none" w:sz="0" w:space="0" w:color="auto"/>
            <w:bottom w:val="none" w:sz="0" w:space="0" w:color="auto"/>
            <w:right w:val="none" w:sz="0" w:space="0" w:color="auto"/>
          </w:divBdr>
        </w:div>
        <w:div w:id="1115439072">
          <w:marLeft w:val="0"/>
          <w:marRight w:val="0"/>
          <w:marTop w:val="0"/>
          <w:marBottom w:val="0"/>
          <w:divBdr>
            <w:top w:val="none" w:sz="0" w:space="0" w:color="auto"/>
            <w:left w:val="none" w:sz="0" w:space="0" w:color="auto"/>
            <w:bottom w:val="none" w:sz="0" w:space="0" w:color="auto"/>
            <w:right w:val="none" w:sz="0" w:space="0" w:color="auto"/>
          </w:divBdr>
        </w:div>
        <w:div w:id="410547772">
          <w:marLeft w:val="0"/>
          <w:marRight w:val="0"/>
          <w:marTop w:val="0"/>
          <w:marBottom w:val="0"/>
          <w:divBdr>
            <w:top w:val="none" w:sz="0" w:space="0" w:color="auto"/>
            <w:left w:val="none" w:sz="0" w:space="0" w:color="auto"/>
            <w:bottom w:val="none" w:sz="0" w:space="0" w:color="auto"/>
            <w:right w:val="none" w:sz="0" w:space="0" w:color="auto"/>
          </w:divBdr>
        </w:div>
        <w:div w:id="2011564825">
          <w:marLeft w:val="0"/>
          <w:marRight w:val="0"/>
          <w:marTop w:val="0"/>
          <w:marBottom w:val="0"/>
          <w:divBdr>
            <w:top w:val="none" w:sz="0" w:space="0" w:color="auto"/>
            <w:left w:val="none" w:sz="0" w:space="0" w:color="auto"/>
            <w:bottom w:val="none" w:sz="0" w:space="0" w:color="auto"/>
            <w:right w:val="none" w:sz="0" w:space="0" w:color="auto"/>
          </w:divBdr>
        </w:div>
        <w:div w:id="967126261">
          <w:marLeft w:val="0"/>
          <w:marRight w:val="0"/>
          <w:marTop w:val="0"/>
          <w:marBottom w:val="0"/>
          <w:divBdr>
            <w:top w:val="none" w:sz="0" w:space="0" w:color="auto"/>
            <w:left w:val="none" w:sz="0" w:space="0" w:color="auto"/>
            <w:bottom w:val="none" w:sz="0" w:space="0" w:color="auto"/>
            <w:right w:val="none" w:sz="0" w:space="0" w:color="auto"/>
          </w:divBdr>
        </w:div>
        <w:div w:id="1494836014">
          <w:marLeft w:val="0"/>
          <w:marRight w:val="0"/>
          <w:marTop w:val="0"/>
          <w:marBottom w:val="0"/>
          <w:divBdr>
            <w:top w:val="none" w:sz="0" w:space="0" w:color="auto"/>
            <w:left w:val="none" w:sz="0" w:space="0" w:color="auto"/>
            <w:bottom w:val="none" w:sz="0" w:space="0" w:color="auto"/>
            <w:right w:val="none" w:sz="0" w:space="0" w:color="auto"/>
          </w:divBdr>
        </w:div>
        <w:div w:id="252013070">
          <w:marLeft w:val="0"/>
          <w:marRight w:val="0"/>
          <w:marTop w:val="0"/>
          <w:marBottom w:val="0"/>
          <w:divBdr>
            <w:top w:val="none" w:sz="0" w:space="0" w:color="auto"/>
            <w:left w:val="none" w:sz="0" w:space="0" w:color="auto"/>
            <w:bottom w:val="none" w:sz="0" w:space="0" w:color="auto"/>
            <w:right w:val="none" w:sz="0" w:space="0" w:color="auto"/>
          </w:divBdr>
        </w:div>
        <w:div w:id="1174494987">
          <w:marLeft w:val="0"/>
          <w:marRight w:val="0"/>
          <w:marTop w:val="0"/>
          <w:marBottom w:val="0"/>
          <w:divBdr>
            <w:top w:val="none" w:sz="0" w:space="0" w:color="auto"/>
            <w:left w:val="none" w:sz="0" w:space="0" w:color="auto"/>
            <w:bottom w:val="none" w:sz="0" w:space="0" w:color="auto"/>
            <w:right w:val="none" w:sz="0" w:space="0" w:color="auto"/>
          </w:divBdr>
        </w:div>
        <w:div w:id="1609463164">
          <w:marLeft w:val="0"/>
          <w:marRight w:val="0"/>
          <w:marTop w:val="0"/>
          <w:marBottom w:val="0"/>
          <w:divBdr>
            <w:top w:val="none" w:sz="0" w:space="0" w:color="auto"/>
            <w:left w:val="none" w:sz="0" w:space="0" w:color="auto"/>
            <w:bottom w:val="none" w:sz="0" w:space="0" w:color="auto"/>
            <w:right w:val="none" w:sz="0" w:space="0" w:color="auto"/>
          </w:divBdr>
        </w:div>
        <w:div w:id="1103574187">
          <w:marLeft w:val="0"/>
          <w:marRight w:val="0"/>
          <w:marTop w:val="0"/>
          <w:marBottom w:val="0"/>
          <w:divBdr>
            <w:top w:val="none" w:sz="0" w:space="0" w:color="auto"/>
            <w:left w:val="none" w:sz="0" w:space="0" w:color="auto"/>
            <w:bottom w:val="none" w:sz="0" w:space="0" w:color="auto"/>
            <w:right w:val="none" w:sz="0" w:space="0" w:color="auto"/>
          </w:divBdr>
        </w:div>
        <w:div w:id="174808670">
          <w:marLeft w:val="0"/>
          <w:marRight w:val="0"/>
          <w:marTop w:val="0"/>
          <w:marBottom w:val="0"/>
          <w:divBdr>
            <w:top w:val="none" w:sz="0" w:space="0" w:color="auto"/>
            <w:left w:val="none" w:sz="0" w:space="0" w:color="auto"/>
            <w:bottom w:val="none" w:sz="0" w:space="0" w:color="auto"/>
            <w:right w:val="none" w:sz="0" w:space="0" w:color="auto"/>
          </w:divBdr>
        </w:div>
        <w:div w:id="1849753706">
          <w:marLeft w:val="0"/>
          <w:marRight w:val="0"/>
          <w:marTop w:val="0"/>
          <w:marBottom w:val="0"/>
          <w:divBdr>
            <w:top w:val="none" w:sz="0" w:space="0" w:color="auto"/>
            <w:left w:val="none" w:sz="0" w:space="0" w:color="auto"/>
            <w:bottom w:val="none" w:sz="0" w:space="0" w:color="auto"/>
            <w:right w:val="none" w:sz="0" w:space="0" w:color="auto"/>
          </w:divBdr>
        </w:div>
      </w:divsChild>
    </w:div>
    <w:div w:id="1597979218">
      <w:bodyDiv w:val="1"/>
      <w:marLeft w:val="0"/>
      <w:marRight w:val="0"/>
      <w:marTop w:val="0"/>
      <w:marBottom w:val="0"/>
      <w:divBdr>
        <w:top w:val="none" w:sz="0" w:space="0" w:color="auto"/>
        <w:left w:val="none" w:sz="0" w:space="0" w:color="auto"/>
        <w:bottom w:val="none" w:sz="0" w:space="0" w:color="auto"/>
        <w:right w:val="none" w:sz="0" w:space="0" w:color="auto"/>
      </w:divBdr>
    </w:div>
    <w:div w:id="1606768077">
      <w:bodyDiv w:val="1"/>
      <w:marLeft w:val="0"/>
      <w:marRight w:val="0"/>
      <w:marTop w:val="0"/>
      <w:marBottom w:val="0"/>
      <w:divBdr>
        <w:top w:val="none" w:sz="0" w:space="0" w:color="auto"/>
        <w:left w:val="none" w:sz="0" w:space="0" w:color="auto"/>
        <w:bottom w:val="none" w:sz="0" w:space="0" w:color="auto"/>
        <w:right w:val="none" w:sz="0" w:space="0" w:color="auto"/>
      </w:divBdr>
    </w:div>
    <w:div w:id="1615094344">
      <w:bodyDiv w:val="1"/>
      <w:marLeft w:val="0"/>
      <w:marRight w:val="0"/>
      <w:marTop w:val="0"/>
      <w:marBottom w:val="0"/>
      <w:divBdr>
        <w:top w:val="none" w:sz="0" w:space="0" w:color="auto"/>
        <w:left w:val="none" w:sz="0" w:space="0" w:color="auto"/>
        <w:bottom w:val="none" w:sz="0" w:space="0" w:color="auto"/>
        <w:right w:val="none" w:sz="0" w:space="0" w:color="auto"/>
      </w:divBdr>
    </w:div>
    <w:div w:id="1635215420">
      <w:bodyDiv w:val="1"/>
      <w:marLeft w:val="0"/>
      <w:marRight w:val="0"/>
      <w:marTop w:val="0"/>
      <w:marBottom w:val="0"/>
      <w:divBdr>
        <w:top w:val="none" w:sz="0" w:space="0" w:color="auto"/>
        <w:left w:val="none" w:sz="0" w:space="0" w:color="auto"/>
        <w:bottom w:val="none" w:sz="0" w:space="0" w:color="auto"/>
        <w:right w:val="none" w:sz="0" w:space="0" w:color="auto"/>
      </w:divBdr>
    </w:div>
    <w:div w:id="1641223639">
      <w:bodyDiv w:val="1"/>
      <w:marLeft w:val="0"/>
      <w:marRight w:val="0"/>
      <w:marTop w:val="0"/>
      <w:marBottom w:val="0"/>
      <w:divBdr>
        <w:top w:val="none" w:sz="0" w:space="0" w:color="auto"/>
        <w:left w:val="none" w:sz="0" w:space="0" w:color="auto"/>
        <w:bottom w:val="none" w:sz="0" w:space="0" w:color="auto"/>
        <w:right w:val="none" w:sz="0" w:space="0" w:color="auto"/>
      </w:divBdr>
    </w:div>
    <w:div w:id="1646931158">
      <w:bodyDiv w:val="1"/>
      <w:marLeft w:val="0"/>
      <w:marRight w:val="0"/>
      <w:marTop w:val="0"/>
      <w:marBottom w:val="0"/>
      <w:divBdr>
        <w:top w:val="none" w:sz="0" w:space="0" w:color="auto"/>
        <w:left w:val="none" w:sz="0" w:space="0" w:color="auto"/>
        <w:bottom w:val="none" w:sz="0" w:space="0" w:color="auto"/>
        <w:right w:val="none" w:sz="0" w:space="0" w:color="auto"/>
      </w:divBdr>
    </w:div>
    <w:div w:id="1649478526">
      <w:bodyDiv w:val="1"/>
      <w:marLeft w:val="0"/>
      <w:marRight w:val="0"/>
      <w:marTop w:val="0"/>
      <w:marBottom w:val="0"/>
      <w:divBdr>
        <w:top w:val="none" w:sz="0" w:space="0" w:color="auto"/>
        <w:left w:val="none" w:sz="0" w:space="0" w:color="auto"/>
        <w:bottom w:val="none" w:sz="0" w:space="0" w:color="auto"/>
        <w:right w:val="none" w:sz="0" w:space="0" w:color="auto"/>
      </w:divBdr>
    </w:div>
    <w:div w:id="1653408269">
      <w:bodyDiv w:val="1"/>
      <w:marLeft w:val="0"/>
      <w:marRight w:val="0"/>
      <w:marTop w:val="0"/>
      <w:marBottom w:val="0"/>
      <w:divBdr>
        <w:top w:val="none" w:sz="0" w:space="0" w:color="auto"/>
        <w:left w:val="none" w:sz="0" w:space="0" w:color="auto"/>
        <w:bottom w:val="none" w:sz="0" w:space="0" w:color="auto"/>
        <w:right w:val="none" w:sz="0" w:space="0" w:color="auto"/>
      </w:divBdr>
    </w:div>
    <w:div w:id="1681658961">
      <w:bodyDiv w:val="1"/>
      <w:marLeft w:val="0"/>
      <w:marRight w:val="0"/>
      <w:marTop w:val="0"/>
      <w:marBottom w:val="0"/>
      <w:divBdr>
        <w:top w:val="none" w:sz="0" w:space="0" w:color="auto"/>
        <w:left w:val="none" w:sz="0" w:space="0" w:color="auto"/>
        <w:bottom w:val="none" w:sz="0" w:space="0" w:color="auto"/>
        <w:right w:val="none" w:sz="0" w:space="0" w:color="auto"/>
      </w:divBdr>
      <w:divsChild>
        <w:div w:id="15045919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672091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4891603">
      <w:bodyDiv w:val="1"/>
      <w:marLeft w:val="0"/>
      <w:marRight w:val="0"/>
      <w:marTop w:val="0"/>
      <w:marBottom w:val="0"/>
      <w:divBdr>
        <w:top w:val="none" w:sz="0" w:space="0" w:color="auto"/>
        <w:left w:val="none" w:sz="0" w:space="0" w:color="auto"/>
        <w:bottom w:val="none" w:sz="0" w:space="0" w:color="auto"/>
        <w:right w:val="none" w:sz="0" w:space="0" w:color="auto"/>
      </w:divBdr>
      <w:divsChild>
        <w:div w:id="17165461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7465644">
      <w:bodyDiv w:val="1"/>
      <w:marLeft w:val="0"/>
      <w:marRight w:val="0"/>
      <w:marTop w:val="0"/>
      <w:marBottom w:val="0"/>
      <w:divBdr>
        <w:top w:val="none" w:sz="0" w:space="0" w:color="auto"/>
        <w:left w:val="none" w:sz="0" w:space="0" w:color="auto"/>
        <w:bottom w:val="none" w:sz="0" w:space="0" w:color="auto"/>
        <w:right w:val="none" w:sz="0" w:space="0" w:color="auto"/>
      </w:divBdr>
    </w:div>
    <w:div w:id="1739329867">
      <w:bodyDiv w:val="1"/>
      <w:marLeft w:val="0"/>
      <w:marRight w:val="0"/>
      <w:marTop w:val="0"/>
      <w:marBottom w:val="0"/>
      <w:divBdr>
        <w:top w:val="none" w:sz="0" w:space="0" w:color="auto"/>
        <w:left w:val="none" w:sz="0" w:space="0" w:color="auto"/>
        <w:bottom w:val="none" w:sz="0" w:space="0" w:color="auto"/>
        <w:right w:val="none" w:sz="0" w:space="0" w:color="auto"/>
      </w:divBdr>
    </w:div>
    <w:div w:id="1745493991">
      <w:bodyDiv w:val="1"/>
      <w:marLeft w:val="0"/>
      <w:marRight w:val="0"/>
      <w:marTop w:val="0"/>
      <w:marBottom w:val="0"/>
      <w:divBdr>
        <w:top w:val="none" w:sz="0" w:space="0" w:color="auto"/>
        <w:left w:val="none" w:sz="0" w:space="0" w:color="auto"/>
        <w:bottom w:val="none" w:sz="0" w:space="0" w:color="auto"/>
        <w:right w:val="none" w:sz="0" w:space="0" w:color="auto"/>
      </w:divBdr>
    </w:div>
    <w:div w:id="1748920070">
      <w:bodyDiv w:val="1"/>
      <w:marLeft w:val="0"/>
      <w:marRight w:val="0"/>
      <w:marTop w:val="0"/>
      <w:marBottom w:val="0"/>
      <w:divBdr>
        <w:top w:val="none" w:sz="0" w:space="0" w:color="auto"/>
        <w:left w:val="none" w:sz="0" w:space="0" w:color="auto"/>
        <w:bottom w:val="none" w:sz="0" w:space="0" w:color="auto"/>
        <w:right w:val="none" w:sz="0" w:space="0" w:color="auto"/>
      </w:divBdr>
    </w:div>
    <w:div w:id="1752001020">
      <w:bodyDiv w:val="1"/>
      <w:marLeft w:val="0"/>
      <w:marRight w:val="0"/>
      <w:marTop w:val="0"/>
      <w:marBottom w:val="0"/>
      <w:divBdr>
        <w:top w:val="none" w:sz="0" w:space="0" w:color="auto"/>
        <w:left w:val="none" w:sz="0" w:space="0" w:color="auto"/>
        <w:bottom w:val="none" w:sz="0" w:space="0" w:color="auto"/>
        <w:right w:val="none" w:sz="0" w:space="0" w:color="auto"/>
      </w:divBdr>
    </w:div>
    <w:div w:id="1759213130">
      <w:bodyDiv w:val="1"/>
      <w:marLeft w:val="0"/>
      <w:marRight w:val="0"/>
      <w:marTop w:val="0"/>
      <w:marBottom w:val="0"/>
      <w:divBdr>
        <w:top w:val="none" w:sz="0" w:space="0" w:color="auto"/>
        <w:left w:val="none" w:sz="0" w:space="0" w:color="auto"/>
        <w:bottom w:val="none" w:sz="0" w:space="0" w:color="auto"/>
        <w:right w:val="none" w:sz="0" w:space="0" w:color="auto"/>
      </w:divBdr>
    </w:div>
    <w:div w:id="1767842623">
      <w:bodyDiv w:val="1"/>
      <w:marLeft w:val="0"/>
      <w:marRight w:val="0"/>
      <w:marTop w:val="0"/>
      <w:marBottom w:val="0"/>
      <w:divBdr>
        <w:top w:val="none" w:sz="0" w:space="0" w:color="auto"/>
        <w:left w:val="none" w:sz="0" w:space="0" w:color="auto"/>
        <w:bottom w:val="none" w:sz="0" w:space="0" w:color="auto"/>
        <w:right w:val="none" w:sz="0" w:space="0" w:color="auto"/>
      </w:divBdr>
    </w:div>
    <w:div w:id="1787582159">
      <w:bodyDiv w:val="1"/>
      <w:marLeft w:val="0"/>
      <w:marRight w:val="0"/>
      <w:marTop w:val="0"/>
      <w:marBottom w:val="0"/>
      <w:divBdr>
        <w:top w:val="none" w:sz="0" w:space="0" w:color="auto"/>
        <w:left w:val="none" w:sz="0" w:space="0" w:color="auto"/>
        <w:bottom w:val="none" w:sz="0" w:space="0" w:color="auto"/>
        <w:right w:val="none" w:sz="0" w:space="0" w:color="auto"/>
      </w:divBdr>
    </w:div>
    <w:div w:id="1793210777">
      <w:bodyDiv w:val="1"/>
      <w:marLeft w:val="0"/>
      <w:marRight w:val="0"/>
      <w:marTop w:val="0"/>
      <w:marBottom w:val="0"/>
      <w:divBdr>
        <w:top w:val="none" w:sz="0" w:space="0" w:color="auto"/>
        <w:left w:val="none" w:sz="0" w:space="0" w:color="auto"/>
        <w:bottom w:val="none" w:sz="0" w:space="0" w:color="auto"/>
        <w:right w:val="none" w:sz="0" w:space="0" w:color="auto"/>
      </w:divBdr>
    </w:div>
    <w:div w:id="1797139797">
      <w:bodyDiv w:val="1"/>
      <w:marLeft w:val="0"/>
      <w:marRight w:val="0"/>
      <w:marTop w:val="0"/>
      <w:marBottom w:val="0"/>
      <w:divBdr>
        <w:top w:val="none" w:sz="0" w:space="0" w:color="auto"/>
        <w:left w:val="none" w:sz="0" w:space="0" w:color="auto"/>
        <w:bottom w:val="none" w:sz="0" w:space="0" w:color="auto"/>
        <w:right w:val="none" w:sz="0" w:space="0" w:color="auto"/>
      </w:divBdr>
    </w:div>
    <w:div w:id="1800495472">
      <w:bodyDiv w:val="1"/>
      <w:marLeft w:val="0"/>
      <w:marRight w:val="0"/>
      <w:marTop w:val="0"/>
      <w:marBottom w:val="0"/>
      <w:divBdr>
        <w:top w:val="none" w:sz="0" w:space="0" w:color="auto"/>
        <w:left w:val="none" w:sz="0" w:space="0" w:color="auto"/>
        <w:bottom w:val="none" w:sz="0" w:space="0" w:color="auto"/>
        <w:right w:val="none" w:sz="0" w:space="0" w:color="auto"/>
      </w:divBdr>
      <w:divsChild>
        <w:div w:id="12377852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4348053">
      <w:bodyDiv w:val="1"/>
      <w:marLeft w:val="0"/>
      <w:marRight w:val="0"/>
      <w:marTop w:val="0"/>
      <w:marBottom w:val="0"/>
      <w:divBdr>
        <w:top w:val="none" w:sz="0" w:space="0" w:color="auto"/>
        <w:left w:val="none" w:sz="0" w:space="0" w:color="auto"/>
        <w:bottom w:val="none" w:sz="0" w:space="0" w:color="auto"/>
        <w:right w:val="none" w:sz="0" w:space="0" w:color="auto"/>
      </w:divBdr>
    </w:div>
    <w:div w:id="1812209141">
      <w:bodyDiv w:val="1"/>
      <w:marLeft w:val="0"/>
      <w:marRight w:val="0"/>
      <w:marTop w:val="0"/>
      <w:marBottom w:val="0"/>
      <w:divBdr>
        <w:top w:val="none" w:sz="0" w:space="0" w:color="auto"/>
        <w:left w:val="none" w:sz="0" w:space="0" w:color="auto"/>
        <w:bottom w:val="none" w:sz="0" w:space="0" w:color="auto"/>
        <w:right w:val="none" w:sz="0" w:space="0" w:color="auto"/>
      </w:divBdr>
    </w:div>
    <w:div w:id="1814250863">
      <w:bodyDiv w:val="1"/>
      <w:marLeft w:val="0"/>
      <w:marRight w:val="0"/>
      <w:marTop w:val="0"/>
      <w:marBottom w:val="0"/>
      <w:divBdr>
        <w:top w:val="none" w:sz="0" w:space="0" w:color="auto"/>
        <w:left w:val="none" w:sz="0" w:space="0" w:color="auto"/>
        <w:bottom w:val="none" w:sz="0" w:space="0" w:color="auto"/>
        <w:right w:val="none" w:sz="0" w:space="0" w:color="auto"/>
      </w:divBdr>
    </w:div>
    <w:div w:id="1840001310">
      <w:bodyDiv w:val="1"/>
      <w:marLeft w:val="0"/>
      <w:marRight w:val="0"/>
      <w:marTop w:val="0"/>
      <w:marBottom w:val="0"/>
      <w:divBdr>
        <w:top w:val="none" w:sz="0" w:space="0" w:color="auto"/>
        <w:left w:val="none" w:sz="0" w:space="0" w:color="auto"/>
        <w:bottom w:val="none" w:sz="0" w:space="0" w:color="auto"/>
        <w:right w:val="none" w:sz="0" w:space="0" w:color="auto"/>
      </w:divBdr>
    </w:div>
    <w:div w:id="1842428184">
      <w:bodyDiv w:val="1"/>
      <w:marLeft w:val="0"/>
      <w:marRight w:val="0"/>
      <w:marTop w:val="0"/>
      <w:marBottom w:val="0"/>
      <w:divBdr>
        <w:top w:val="none" w:sz="0" w:space="0" w:color="auto"/>
        <w:left w:val="none" w:sz="0" w:space="0" w:color="auto"/>
        <w:bottom w:val="none" w:sz="0" w:space="0" w:color="auto"/>
        <w:right w:val="none" w:sz="0" w:space="0" w:color="auto"/>
      </w:divBdr>
    </w:div>
    <w:div w:id="1848589811">
      <w:bodyDiv w:val="1"/>
      <w:marLeft w:val="0"/>
      <w:marRight w:val="0"/>
      <w:marTop w:val="0"/>
      <w:marBottom w:val="0"/>
      <w:divBdr>
        <w:top w:val="none" w:sz="0" w:space="0" w:color="auto"/>
        <w:left w:val="none" w:sz="0" w:space="0" w:color="auto"/>
        <w:bottom w:val="none" w:sz="0" w:space="0" w:color="auto"/>
        <w:right w:val="none" w:sz="0" w:space="0" w:color="auto"/>
      </w:divBdr>
    </w:div>
    <w:div w:id="1865433562">
      <w:bodyDiv w:val="1"/>
      <w:marLeft w:val="0"/>
      <w:marRight w:val="0"/>
      <w:marTop w:val="0"/>
      <w:marBottom w:val="0"/>
      <w:divBdr>
        <w:top w:val="none" w:sz="0" w:space="0" w:color="auto"/>
        <w:left w:val="none" w:sz="0" w:space="0" w:color="auto"/>
        <w:bottom w:val="none" w:sz="0" w:space="0" w:color="auto"/>
        <w:right w:val="none" w:sz="0" w:space="0" w:color="auto"/>
      </w:divBdr>
    </w:div>
    <w:div w:id="1871141427">
      <w:bodyDiv w:val="1"/>
      <w:marLeft w:val="0"/>
      <w:marRight w:val="0"/>
      <w:marTop w:val="0"/>
      <w:marBottom w:val="0"/>
      <w:divBdr>
        <w:top w:val="none" w:sz="0" w:space="0" w:color="auto"/>
        <w:left w:val="none" w:sz="0" w:space="0" w:color="auto"/>
        <w:bottom w:val="none" w:sz="0" w:space="0" w:color="auto"/>
        <w:right w:val="none" w:sz="0" w:space="0" w:color="auto"/>
      </w:divBdr>
    </w:div>
    <w:div w:id="1876428276">
      <w:bodyDiv w:val="1"/>
      <w:marLeft w:val="0"/>
      <w:marRight w:val="0"/>
      <w:marTop w:val="0"/>
      <w:marBottom w:val="0"/>
      <w:divBdr>
        <w:top w:val="none" w:sz="0" w:space="0" w:color="auto"/>
        <w:left w:val="none" w:sz="0" w:space="0" w:color="auto"/>
        <w:bottom w:val="none" w:sz="0" w:space="0" w:color="auto"/>
        <w:right w:val="none" w:sz="0" w:space="0" w:color="auto"/>
      </w:divBdr>
    </w:div>
    <w:div w:id="1880237447">
      <w:bodyDiv w:val="1"/>
      <w:marLeft w:val="0"/>
      <w:marRight w:val="0"/>
      <w:marTop w:val="0"/>
      <w:marBottom w:val="0"/>
      <w:divBdr>
        <w:top w:val="none" w:sz="0" w:space="0" w:color="auto"/>
        <w:left w:val="none" w:sz="0" w:space="0" w:color="auto"/>
        <w:bottom w:val="none" w:sz="0" w:space="0" w:color="auto"/>
        <w:right w:val="none" w:sz="0" w:space="0" w:color="auto"/>
      </w:divBdr>
    </w:div>
    <w:div w:id="1913815027">
      <w:bodyDiv w:val="1"/>
      <w:marLeft w:val="0"/>
      <w:marRight w:val="0"/>
      <w:marTop w:val="0"/>
      <w:marBottom w:val="0"/>
      <w:divBdr>
        <w:top w:val="none" w:sz="0" w:space="0" w:color="auto"/>
        <w:left w:val="none" w:sz="0" w:space="0" w:color="auto"/>
        <w:bottom w:val="none" w:sz="0" w:space="0" w:color="auto"/>
        <w:right w:val="none" w:sz="0" w:space="0" w:color="auto"/>
      </w:divBdr>
      <w:divsChild>
        <w:div w:id="10516843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5431793">
      <w:bodyDiv w:val="1"/>
      <w:marLeft w:val="0"/>
      <w:marRight w:val="0"/>
      <w:marTop w:val="0"/>
      <w:marBottom w:val="0"/>
      <w:divBdr>
        <w:top w:val="none" w:sz="0" w:space="0" w:color="auto"/>
        <w:left w:val="none" w:sz="0" w:space="0" w:color="auto"/>
        <w:bottom w:val="none" w:sz="0" w:space="0" w:color="auto"/>
        <w:right w:val="none" w:sz="0" w:space="0" w:color="auto"/>
      </w:divBdr>
      <w:divsChild>
        <w:div w:id="111705486">
          <w:marLeft w:val="0"/>
          <w:marRight w:val="0"/>
          <w:marTop w:val="0"/>
          <w:marBottom w:val="0"/>
          <w:divBdr>
            <w:top w:val="none" w:sz="0" w:space="0" w:color="auto"/>
            <w:left w:val="none" w:sz="0" w:space="0" w:color="auto"/>
            <w:bottom w:val="none" w:sz="0" w:space="0" w:color="auto"/>
            <w:right w:val="none" w:sz="0" w:space="0" w:color="auto"/>
          </w:divBdr>
        </w:div>
        <w:div w:id="1441145512">
          <w:marLeft w:val="0"/>
          <w:marRight w:val="0"/>
          <w:marTop w:val="0"/>
          <w:marBottom w:val="0"/>
          <w:divBdr>
            <w:top w:val="none" w:sz="0" w:space="0" w:color="auto"/>
            <w:left w:val="none" w:sz="0" w:space="0" w:color="auto"/>
            <w:bottom w:val="none" w:sz="0" w:space="0" w:color="auto"/>
            <w:right w:val="none" w:sz="0" w:space="0" w:color="auto"/>
          </w:divBdr>
        </w:div>
        <w:div w:id="1581211818">
          <w:marLeft w:val="0"/>
          <w:marRight w:val="0"/>
          <w:marTop w:val="0"/>
          <w:marBottom w:val="0"/>
          <w:divBdr>
            <w:top w:val="none" w:sz="0" w:space="0" w:color="auto"/>
            <w:left w:val="none" w:sz="0" w:space="0" w:color="auto"/>
            <w:bottom w:val="none" w:sz="0" w:space="0" w:color="auto"/>
            <w:right w:val="none" w:sz="0" w:space="0" w:color="auto"/>
          </w:divBdr>
        </w:div>
      </w:divsChild>
    </w:div>
    <w:div w:id="1943368084">
      <w:bodyDiv w:val="1"/>
      <w:marLeft w:val="0"/>
      <w:marRight w:val="0"/>
      <w:marTop w:val="0"/>
      <w:marBottom w:val="0"/>
      <w:divBdr>
        <w:top w:val="none" w:sz="0" w:space="0" w:color="auto"/>
        <w:left w:val="none" w:sz="0" w:space="0" w:color="auto"/>
        <w:bottom w:val="none" w:sz="0" w:space="0" w:color="auto"/>
        <w:right w:val="none" w:sz="0" w:space="0" w:color="auto"/>
      </w:divBdr>
      <w:divsChild>
        <w:div w:id="18371852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8638473">
      <w:bodyDiv w:val="1"/>
      <w:marLeft w:val="0"/>
      <w:marRight w:val="0"/>
      <w:marTop w:val="0"/>
      <w:marBottom w:val="0"/>
      <w:divBdr>
        <w:top w:val="none" w:sz="0" w:space="0" w:color="auto"/>
        <w:left w:val="none" w:sz="0" w:space="0" w:color="auto"/>
        <w:bottom w:val="none" w:sz="0" w:space="0" w:color="auto"/>
        <w:right w:val="none" w:sz="0" w:space="0" w:color="auto"/>
      </w:divBdr>
    </w:div>
    <w:div w:id="1967813874">
      <w:bodyDiv w:val="1"/>
      <w:marLeft w:val="0"/>
      <w:marRight w:val="0"/>
      <w:marTop w:val="0"/>
      <w:marBottom w:val="0"/>
      <w:divBdr>
        <w:top w:val="none" w:sz="0" w:space="0" w:color="auto"/>
        <w:left w:val="none" w:sz="0" w:space="0" w:color="auto"/>
        <w:bottom w:val="none" w:sz="0" w:space="0" w:color="auto"/>
        <w:right w:val="none" w:sz="0" w:space="0" w:color="auto"/>
      </w:divBdr>
    </w:div>
    <w:div w:id="1979332887">
      <w:bodyDiv w:val="1"/>
      <w:marLeft w:val="0"/>
      <w:marRight w:val="0"/>
      <w:marTop w:val="0"/>
      <w:marBottom w:val="0"/>
      <w:divBdr>
        <w:top w:val="none" w:sz="0" w:space="0" w:color="auto"/>
        <w:left w:val="none" w:sz="0" w:space="0" w:color="auto"/>
        <w:bottom w:val="none" w:sz="0" w:space="0" w:color="auto"/>
        <w:right w:val="none" w:sz="0" w:space="0" w:color="auto"/>
      </w:divBdr>
    </w:div>
    <w:div w:id="1986818032">
      <w:bodyDiv w:val="1"/>
      <w:marLeft w:val="0"/>
      <w:marRight w:val="0"/>
      <w:marTop w:val="0"/>
      <w:marBottom w:val="0"/>
      <w:divBdr>
        <w:top w:val="none" w:sz="0" w:space="0" w:color="auto"/>
        <w:left w:val="none" w:sz="0" w:space="0" w:color="auto"/>
        <w:bottom w:val="none" w:sz="0" w:space="0" w:color="auto"/>
        <w:right w:val="none" w:sz="0" w:space="0" w:color="auto"/>
      </w:divBdr>
    </w:div>
    <w:div w:id="1986930956">
      <w:bodyDiv w:val="1"/>
      <w:marLeft w:val="0"/>
      <w:marRight w:val="0"/>
      <w:marTop w:val="0"/>
      <w:marBottom w:val="0"/>
      <w:divBdr>
        <w:top w:val="none" w:sz="0" w:space="0" w:color="auto"/>
        <w:left w:val="none" w:sz="0" w:space="0" w:color="auto"/>
        <w:bottom w:val="none" w:sz="0" w:space="0" w:color="auto"/>
        <w:right w:val="none" w:sz="0" w:space="0" w:color="auto"/>
      </w:divBdr>
    </w:div>
    <w:div w:id="1991473699">
      <w:bodyDiv w:val="1"/>
      <w:marLeft w:val="0"/>
      <w:marRight w:val="0"/>
      <w:marTop w:val="0"/>
      <w:marBottom w:val="0"/>
      <w:divBdr>
        <w:top w:val="none" w:sz="0" w:space="0" w:color="auto"/>
        <w:left w:val="none" w:sz="0" w:space="0" w:color="auto"/>
        <w:bottom w:val="none" w:sz="0" w:space="0" w:color="auto"/>
        <w:right w:val="none" w:sz="0" w:space="0" w:color="auto"/>
      </w:divBdr>
      <w:divsChild>
        <w:div w:id="10009332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6954178">
      <w:bodyDiv w:val="1"/>
      <w:marLeft w:val="0"/>
      <w:marRight w:val="0"/>
      <w:marTop w:val="0"/>
      <w:marBottom w:val="0"/>
      <w:divBdr>
        <w:top w:val="none" w:sz="0" w:space="0" w:color="auto"/>
        <w:left w:val="none" w:sz="0" w:space="0" w:color="auto"/>
        <w:bottom w:val="none" w:sz="0" w:space="0" w:color="auto"/>
        <w:right w:val="none" w:sz="0" w:space="0" w:color="auto"/>
      </w:divBdr>
    </w:div>
    <w:div w:id="1998531963">
      <w:bodyDiv w:val="1"/>
      <w:marLeft w:val="0"/>
      <w:marRight w:val="0"/>
      <w:marTop w:val="0"/>
      <w:marBottom w:val="0"/>
      <w:divBdr>
        <w:top w:val="none" w:sz="0" w:space="0" w:color="auto"/>
        <w:left w:val="none" w:sz="0" w:space="0" w:color="auto"/>
        <w:bottom w:val="none" w:sz="0" w:space="0" w:color="auto"/>
        <w:right w:val="none" w:sz="0" w:space="0" w:color="auto"/>
      </w:divBdr>
    </w:div>
    <w:div w:id="2013141118">
      <w:bodyDiv w:val="1"/>
      <w:marLeft w:val="0"/>
      <w:marRight w:val="0"/>
      <w:marTop w:val="0"/>
      <w:marBottom w:val="0"/>
      <w:divBdr>
        <w:top w:val="none" w:sz="0" w:space="0" w:color="auto"/>
        <w:left w:val="none" w:sz="0" w:space="0" w:color="auto"/>
        <w:bottom w:val="none" w:sz="0" w:space="0" w:color="auto"/>
        <w:right w:val="none" w:sz="0" w:space="0" w:color="auto"/>
      </w:divBdr>
    </w:div>
    <w:div w:id="2016105281">
      <w:bodyDiv w:val="1"/>
      <w:marLeft w:val="0"/>
      <w:marRight w:val="0"/>
      <w:marTop w:val="0"/>
      <w:marBottom w:val="0"/>
      <w:divBdr>
        <w:top w:val="none" w:sz="0" w:space="0" w:color="auto"/>
        <w:left w:val="none" w:sz="0" w:space="0" w:color="auto"/>
        <w:bottom w:val="none" w:sz="0" w:space="0" w:color="auto"/>
        <w:right w:val="none" w:sz="0" w:space="0" w:color="auto"/>
      </w:divBdr>
      <w:divsChild>
        <w:div w:id="174734639">
          <w:blockQuote w:val="1"/>
          <w:marLeft w:val="720"/>
          <w:marRight w:val="720"/>
          <w:marTop w:val="100"/>
          <w:marBottom w:val="100"/>
          <w:divBdr>
            <w:top w:val="none" w:sz="0" w:space="0" w:color="auto"/>
            <w:left w:val="none" w:sz="0" w:space="0" w:color="auto"/>
            <w:bottom w:val="none" w:sz="0" w:space="0" w:color="auto"/>
            <w:right w:val="none" w:sz="0" w:space="0" w:color="auto"/>
          </w:divBdr>
        </w:div>
        <w:div w:id="104386664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2336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317615105">
          <w:blockQuote w:val="1"/>
          <w:marLeft w:val="720"/>
          <w:marRight w:val="720"/>
          <w:marTop w:val="100"/>
          <w:marBottom w:val="100"/>
          <w:divBdr>
            <w:top w:val="none" w:sz="0" w:space="0" w:color="auto"/>
            <w:left w:val="none" w:sz="0" w:space="0" w:color="auto"/>
            <w:bottom w:val="none" w:sz="0" w:space="0" w:color="auto"/>
            <w:right w:val="none" w:sz="0" w:space="0" w:color="auto"/>
          </w:divBdr>
        </w:div>
        <w:div w:id="1402868691">
          <w:blockQuote w:val="1"/>
          <w:marLeft w:val="720"/>
          <w:marRight w:val="720"/>
          <w:marTop w:val="100"/>
          <w:marBottom w:val="100"/>
          <w:divBdr>
            <w:top w:val="none" w:sz="0" w:space="0" w:color="auto"/>
            <w:left w:val="none" w:sz="0" w:space="0" w:color="auto"/>
            <w:bottom w:val="none" w:sz="0" w:space="0" w:color="auto"/>
            <w:right w:val="none" w:sz="0" w:space="0" w:color="auto"/>
          </w:divBdr>
        </w:div>
        <w:div w:id="16656215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1931102">
      <w:bodyDiv w:val="1"/>
      <w:marLeft w:val="0"/>
      <w:marRight w:val="0"/>
      <w:marTop w:val="0"/>
      <w:marBottom w:val="0"/>
      <w:divBdr>
        <w:top w:val="none" w:sz="0" w:space="0" w:color="auto"/>
        <w:left w:val="none" w:sz="0" w:space="0" w:color="auto"/>
        <w:bottom w:val="none" w:sz="0" w:space="0" w:color="auto"/>
        <w:right w:val="none" w:sz="0" w:space="0" w:color="auto"/>
      </w:divBdr>
    </w:div>
    <w:div w:id="2031180758">
      <w:bodyDiv w:val="1"/>
      <w:marLeft w:val="0"/>
      <w:marRight w:val="0"/>
      <w:marTop w:val="0"/>
      <w:marBottom w:val="0"/>
      <w:divBdr>
        <w:top w:val="none" w:sz="0" w:space="0" w:color="auto"/>
        <w:left w:val="none" w:sz="0" w:space="0" w:color="auto"/>
        <w:bottom w:val="none" w:sz="0" w:space="0" w:color="auto"/>
        <w:right w:val="none" w:sz="0" w:space="0" w:color="auto"/>
      </w:divBdr>
    </w:div>
    <w:div w:id="2031376126">
      <w:bodyDiv w:val="1"/>
      <w:marLeft w:val="0"/>
      <w:marRight w:val="0"/>
      <w:marTop w:val="0"/>
      <w:marBottom w:val="0"/>
      <w:divBdr>
        <w:top w:val="none" w:sz="0" w:space="0" w:color="auto"/>
        <w:left w:val="none" w:sz="0" w:space="0" w:color="auto"/>
        <w:bottom w:val="none" w:sz="0" w:space="0" w:color="auto"/>
        <w:right w:val="none" w:sz="0" w:space="0" w:color="auto"/>
      </w:divBdr>
    </w:div>
    <w:div w:id="2032221727">
      <w:bodyDiv w:val="1"/>
      <w:marLeft w:val="0"/>
      <w:marRight w:val="0"/>
      <w:marTop w:val="0"/>
      <w:marBottom w:val="0"/>
      <w:divBdr>
        <w:top w:val="none" w:sz="0" w:space="0" w:color="auto"/>
        <w:left w:val="none" w:sz="0" w:space="0" w:color="auto"/>
        <w:bottom w:val="none" w:sz="0" w:space="0" w:color="auto"/>
        <w:right w:val="none" w:sz="0" w:space="0" w:color="auto"/>
      </w:divBdr>
      <w:divsChild>
        <w:div w:id="3765122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500441">
      <w:bodyDiv w:val="1"/>
      <w:marLeft w:val="0"/>
      <w:marRight w:val="0"/>
      <w:marTop w:val="0"/>
      <w:marBottom w:val="0"/>
      <w:divBdr>
        <w:top w:val="none" w:sz="0" w:space="0" w:color="auto"/>
        <w:left w:val="none" w:sz="0" w:space="0" w:color="auto"/>
        <w:bottom w:val="none" w:sz="0" w:space="0" w:color="auto"/>
        <w:right w:val="none" w:sz="0" w:space="0" w:color="auto"/>
      </w:divBdr>
    </w:div>
    <w:div w:id="2043706069">
      <w:bodyDiv w:val="1"/>
      <w:marLeft w:val="0"/>
      <w:marRight w:val="0"/>
      <w:marTop w:val="0"/>
      <w:marBottom w:val="0"/>
      <w:divBdr>
        <w:top w:val="none" w:sz="0" w:space="0" w:color="auto"/>
        <w:left w:val="none" w:sz="0" w:space="0" w:color="auto"/>
        <w:bottom w:val="none" w:sz="0" w:space="0" w:color="auto"/>
        <w:right w:val="none" w:sz="0" w:space="0" w:color="auto"/>
      </w:divBdr>
    </w:div>
    <w:div w:id="2048942170">
      <w:bodyDiv w:val="1"/>
      <w:marLeft w:val="0"/>
      <w:marRight w:val="0"/>
      <w:marTop w:val="0"/>
      <w:marBottom w:val="0"/>
      <w:divBdr>
        <w:top w:val="none" w:sz="0" w:space="0" w:color="auto"/>
        <w:left w:val="none" w:sz="0" w:space="0" w:color="auto"/>
        <w:bottom w:val="none" w:sz="0" w:space="0" w:color="auto"/>
        <w:right w:val="none" w:sz="0" w:space="0" w:color="auto"/>
      </w:divBdr>
    </w:div>
    <w:div w:id="2091467357">
      <w:bodyDiv w:val="1"/>
      <w:marLeft w:val="0"/>
      <w:marRight w:val="0"/>
      <w:marTop w:val="0"/>
      <w:marBottom w:val="0"/>
      <w:divBdr>
        <w:top w:val="none" w:sz="0" w:space="0" w:color="auto"/>
        <w:left w:val="none" w:sz="0" w:space="0" w:color="auto"/>
        <w:bottom w:val="none" w:sz="0" w:space="0" w:color="auto"/>
        <w:right w:val="none" w:sz="0" w:space="0" w:color="auto"/>
      </w:divBdr>
    </w:div>
    <w:div w:id="2098866846">
      <w:bodyDiv w:val="1"/>
      <w:marLeft w:val="0"/>
      <w:marRight w:val="0"/>
      <w:marTop w:val="0"/>
      <w:marBottom w:val="0"/>
      <w:divBdr>
        <w:top w:val="none" w:sz="0" w:space="0" w:color="auto"/>
        <w:left w:val="none" w:sz="0" w:space="0" w:color="auto"/>
        <w:bottom w:val="none" w:sz="0" w:space="0" w:color="auto"/>
        <w:right w:val="none" w:sz="0" w:space="0" w:color="auto"/>
      </w:divBdr>
    </w:div>
    <w:div w:id="2114737895">
      <w:bodyDiv w:val="1"/>
      <w:marLeft w:val="0"/>
      <w:marRight w:val="0"/>
      <w:marTop w:val="0"/>
      <w:marBottom w:val="0"/>
      <w:divBdr>
        <w:top w:val="none" w:sz="0" w:space="0" w:color="auto"/>
        <w:left w:val="none" w:sz="0" w:space="0" w:color="auto"/>
        <w:bottom w:val="none" w:sz="0" w:space="0" w:color="auto"/>
        <w:right w:val="none" w:sz="0" w:space="0" w:color="auto"/>
      </w:divBdr>
    </w:div>
    <w:div w:id="2124153249">
      <w:bodyDiv w:val="1"/>
      <w:marLeft w:val="0"/>
      <w:marRight w:val="0"/>
      <w:marTop w:val="0"/>
      <w:marBottom w:val="0"/>
      <w:divBdr>
        <w:top w:val="none" w:sz="0" w:space="0" w:color="auto"/>
        <w:left w:val="none" w:sz="0" w:space="0" w:color="auto"/>
        <w:bottom w:val="none" w:sz="0" w:space="0" w:color="auto"/>
        <w:right w:val="none" w:sz="0" w:space="0" w:color="auto"/>
      </w:divBdr>
    </w:div>
    <w:div w:id="2125029702">
      <w:bodyDiv w:val="1"/>
      <w:marLeft w:val="0"/>
      <w:marRight w:val="0"/>
      <w:marTop w:val="0"/>
      <w:marBottom w:val="0"/>
      <w:divBdr>
        <w:top w:val="none" w:sz="0" w:space="0" w:color="auto"/>
        <w:left w:val="none" w:sz="0" w:space="0" w:color="auto"/>
        <w:bottom w:val="none" w:sz="0" w:space="0" w:color="auto"/>
        <w:right w:val="none" w:sz="0" w:space="0" w:color="auto"/>
      </w:divBdr>
    </w:div>
    <w:div w:id="2133212216">
      <w:bodyDiv w:val="1"/>
      <w:marLeft w:val="0"/>
      <w:marRight w:val="0"/>
      <w:marTop w:val="0"/>
      <w:marBottom w:val="0"/>
      <w:divBdr>
        <w:top w:val="none" w:sz="0" w:space="0" w:color="auto"/>
        <w:left w:val="none" w:sz="0" w:space="0" w:color="auto"/>
        <w:bottom w:val="none" w:sz="0" w:space="0" w:color="auto"/>
        <w:right w:val="none" w:sz="0" w:space="0" w:color="auto"/>
      </w:divBdr>
    </w:div>
    <w:div w:id="2138402685">
      <w:bodyDiv w:val="1"/>
      <w:marLeft w:val="0"/>
      <w:marRight w:val="0"/>
      <w:marTop w:val="0"/>
      <w:marBottom w:val="0"/>
      <w:divBdr>
        <w:top w:val="none" w:sz="0" w:space="0" w:color="auto"/>
        <w:left w:val="none" w:sz="0" w:space="0" w:color="auto"/>
        <w:bottom w:val="none" w:sz="0" w:space="0" w:color="auto"/>
        <w:right w:val="none" w:sz="0" w:space="0" w:color="auto"/>
      </w:divBdr>
    </w:div>
    <w:div w:id="2141024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7/s11069-010-9564-0" TargetMode="External"/><Relationship Id="rId18" Type="http://schemas.openxmlformats.org/officeDocument/2006/relationships/hyperlink" Target="https://doi.org/10.1080/19376812.2024.2345678" TargetMode="External"/><Relationship Id="rId26" Type="http://schemas.openxmlformats.org/officeDocument/2006/relationships/hyperlink" Target="https://doi.org/10.1016/j.scs.2024.105243" TargetMode="External"/><Relationship Id="rId39" Type="http://schemas.openxmlformats.org/officeDocument/2006/relationships/hyperlink" Target="https://housingandurban.go.ke/wp-content/uploads/2020/10/KISIP-Kahawa-Soweto-ARAP-Disclosure-Copy.pdf" TargetMode="External"/><Relationship Id="rId21" Type="http://schemas.openxmlformats.org/officeDocument/2006/relationships/hyperlink" Target="https://doi.org/10.1016/j.uclim.2023.101642" TargetMode="External"/><Relationship Id="rId34" Type="http://schemas.openxmlformats.org/officeDocument/2006/relationships/hyperlink" Target="https://erepository.uonbi.ac.ke/handle/11295/4594"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3390/ijerph21031184" TargetMode="External"/><Relationship Id="rId29" Type="http://schemas.openxmlformats.org/officeDocument/2006/relationships/hyperlink" Target="https://doi.org/10.1080/17565529.2021.1975921" TargetMode="External"/><Relationship Id="rId11" Type="http://schemas.openxmlformats.org/officeDocument/2006/relationships/image" Target="media/image4.png"/><Relationship Id="rId24" Type="http://schemas.openxmlformats.org/officeDocument/2006/relationships/hyperlink" Target="https://doi.org/10.1016/j.ijdrr.2021.102276" TargetMode="External"/><Relationship Id="rId32" Type="http://schemas.openxmlformats.org/officeDocument/2006/relationships/hyperlink" Target="https://doi.org/10.1080/09640568.2019.1693421" TargetMode="External"/><Relationship Id="rId37" Type="http://schemas.openxmlformats.org/officeDocument/2006/relationships/hyperlink" Target="https://www.ariseconsortium.org/wp-content/uploads/2024/12/ARISE-Kenya-WASH-survey-brief.pdf" TargetMode="External"/><Relationship Id="rId40" Type="http://schemas.openxmlformats.org/officeDocument/2006/relationships/hyperlink" Target="https://doi.org/10.1596/978-1-4648-1559-9"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1177/09562478231123456" TargetMode="External"/><Relationship Id="rId23" Type="http://schemas.openxmlformats.org/officeDocument/2006/relationships/hyperlink" Target="https://doi.org/10.1016/j.crm.2024.100535" TargetMode="External"/><Relationship Id="rId28" Type="http://schemas.openxmlformats.org/officeDocument/2006/relationships/hyperlink" Target="https://doi.org/10.5751/ES-11731-250315" TargetMode="External"/><Relationship Id="rId36" Type="http://schemas.openxmlformats.org/officeDocument/2006/relationships/hyperlink" Target="https://doi.org/10.1016/j.worlddev.2022.105910"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oi.org/10.1016/j.wdp.2024.100570" TargetMode="External"/><Relationship Id="rId31" Type="http://schemas.openxmlformats.org/officeDocument/2006/relationships/hyperlink" Target="https://doi.org/10.3389/frsc.2022.932046"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16/j.habitatint.2023.102973" TargetMode="External"/><Relationship Id="rId22" Type="http://schemas.openxmlformats.org/officeDocument/2006/relationships/hyperlink" Target="https://doi.org/10.1016/j.ijdrr.2023.103645" TargetMode="External"/><Relationship Id="rId27" Type="http://schemas.openxmlformats.org/officeDocument/2006/relationships/hyperlink" Target="https://doi.org/10.1016/j.gloenvcha.2021.102247" TargetMode="External"/><Relationship Id="rId30" Type="http://schemas.openxmlformats.org/officeDocument/2006/relationships/hyperlink" Target="https://doi.org/10.1177/00420980231234567" TargetMode="External"/><Relationship Id="rId35" Type="http://schemas.openxmlformats.org/officeDocument/2006/relationships/hyperlink" Target="https://doi.org/10.1080/14693062.2017.1330948"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1016/S2542-5196(23)00241-9" TargetMode="External"/><Relationship Id="rId25" Type="http://schemas.openxmlformats.org/officeDocument/2006/relationships/hyperlink" Target="https://doi.org/10.1080/17565529.2020.1782883" TargetMode="External"/><Relationship Id="rId33" Type="http://schemas.openxmlformats.org/officeDocument/2006/relationships/hyperlink" Target="https://doi.org/10.1016/j.uclim.2024.101728" TargetMode="External"/><Relationship Id="rId38" Type="http://schemas.openxmlformats.org/officeDocument/2006/relationships/hyperlink" Target="https://doi.org/10.1177/23996544221145678" TargetMode="External"/><Relationship Id="rId46" Type="http://schemas.openxmlformats.org/officeDocument/2006/relationships/header" Target="header3.xml"/><Relationship Id="rId20" Type="http://schemas.openxmlformats.org/officeDocument/2006/relationships/hyperlink" Target="https://doi.org/10.1146/annurev-environ-112420-045112" TargetMode="External"/><Relationship Id="rId41" Type="http://schemas.openxmlformats.org/officeDocument/2006/relationships/hyperlink" Target="https://doi.org/10.1016/j.crm.2024.100548"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2BA9C8-4216-43AF-8272-B52AFDD8B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38</Pages>
  <Words>11682</Words>
  <Characters>66592</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5</cp:revision>
  <dcterms:created xsi:type="dcterms:W3CDTF">2026-03-17T13:13:00Z</dcterms:created>
  <dcterms:modified xsi:type="dcterms:W3CDTF">2026-03-18T13:37:00Z</dcterms:modified>
</cp:coreProperties>
</file>