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53B13" w14:textId="072A52B9" w:rsidR="009F606C" w:rsidRDefault="009F606C" w:rsidP="00D60327">
      <w:pPr>
        <w:spacing w:after="0" w:line="480" w:lineRule="auto"/>
        <w:jc w:val="center"/>
        <w:rPr>
          <w:rFonts w:ascii="Times New Roman" w:hAnsi="Times New Roman" w:cs="Times New Roman"/>
          <w:b/>
          <w:bCs/>
        </w:rPr>
      </w:pPr>
      <w:r w:rsidRPr="00FE3924">
        <w:rPr>
          <w:rFonts w:ascii="Times New Roman" w:hAnsi="Times New Roman" w:cs="Times New Roman"/>
          <w:b/>
          <w:bCs/>
        </w:rPr>
        <w:t>Integrated Microbial Characterization, Safety Evaluation, and Nutritional Profiling of Selected Nigerian Fermented Foods</w:t>
      </w:r>
    </w:p>
    <w:p w14:paraId="4FE4D12C" w14:textId="77777777" w:rsidR="000C2E28" w:rsidRPr="00FE3924" w:rsidRDefault="000C2E28" w:rsidP="00D60327">
      <w:pPr>
        <w:spacing w:after="0" w:line="480" w:lineRule="auto"/>
        <w:jc w:val="center"/>
        <w:rPr>
          <w:rFonts w:ascii="Times New Roman" w:hAnsi="Times New Roman" w:cs="Times New Roman"/>
          <w:b/>
          <w:bCs/>
        </w:rPr>
      </w:pPr>
    </w:p>
    <w:p w14:paraId="58C6E568" w14:textId="73EE3725" w:rsidR="00AD6CF2" w:rsidRPr="00FE3924" w:rsidRDefault="00AD6CF2" w:rsidP="00D60327">
      <w:pPr>
        <w:spacing w:after="0" w:line="480" w:lineRule="auto"/>
        <w:jc w:val="both"/>
        <w:rPr>
          <w:rFonts w:ascii="Times New Roman" w:hAnsi="Times New Roman" w:cs="Times New Roman"/>
        </w:rPr>
      </w:pPr>
    </w:p>
    <w:p w14:paraId="024A5D08" w14:textId="77777777" w:rsidR="00C37813" w:rsidRPr="00FE3924" w:rsidRDefault="00C37813" w:rsidP="00D60327">
      <w:pPr>
        <w:spacing w:after="0" w:line="480" w:lineRule="auto"/>
        <w:jc w:val="both"/>
        <w:rPr>
          <w:rFonts w:ascii="Times New Roman" w:hAnsi="Times New Roman" w:cs="Times New Roman"/>
          <w:b/>
          <w:bCs/>
        </w:rPr>
      </w:pPr>
      <w:r w:rsidRPr="00FE3924">
        <w:rPr>
          <w:rFonts w:ascii="Times New Roman" w:hAnsi="Times New Roman" w:cs="Times New Roman"/>
          <w:b/>
          <w:bCs/>
        </w:rPr>
        <w:t>Abstract</w:t>
      </w:r>
    </w:p>
    <w:p w14:paraId="03CEDCED" w14:textId="77777777" w:rsidR="002A215B" w:rsidRPr="00FE3924" w:rsidRDefault="002A215B"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Aim: </w:t>
      </w:r>
      <w:r w:rsidR="00C37813" w:rsidRPr="00FE3924">
        <w:rPr>
          <w:rFonts w:ascii="Times New Roman" w:hAnsi="Times New Roman" w:cs="Times New Roman"/>
        </w:rPr>
        <w:t xml:space="preserve">This study presents an integrated evaluation of the microbial profile, safety status, and nutritional composition of selected Nigerian fermented foods, namely yoghurt, </w:t>
      </w:r>
      <w:proofErr w:type="spellStart"/>
      <w:r w:rsidR="00C37813" w:rsidRPr="00FE3924">
        <w:rPr>
          <w:rFonts w:ascii="Times New Roman" w:hAnsi="Times New Roman" w:cs="Times New Roman"/>
        </w:rPr>
        <w:t>nunu</w:t>
      </w:r>
      <w:proofErr w:type="spellEnd"/>
      <w:r w:rsidR="00C37813" w:rsidRPr="00FE3924">
        <w:rPr>
          <w:rFonts w:ascii="Times New Roman" w:hAnsi="Times New Roman" w:cs="Times New Roman"/>
        </w:rPr>
        <w:t xml:space="preserve">, </w:t>
      </w:r>
      <w:proofErr w:type="spellStart"/>
      <w:r w:rsidR="00C37813" w:rsidRPr="00FE3924">
        <w:rPr>
          <w:rFonts w:ascii="Times New Roman" w:hAnsi="Times New Roman" w:cs="Times New Roman"/>
        </w:rPr>
        <w:t>ogiri</w:t>
      </w:r>
      <w:proofErr w:type="spellEnd"/>
      <w:r w:rsidR="00C37813" w:rsidRPr="00FE3924">
        <w:rPr>
          <w:rFonts w:ascii="Times New Roman" w:hAnsi="Times New Roman" w:cs="Times New Roman"/>
        </w:rPr>
        <w:t xml:space="preserve">, and </w:t>
      </w:r>
      <w:proofErr w:type="spellStart"/>
      <w:r w:rsidR="00C37813" w:rsidRPr="00FE3924">
        <w:rPr>
          <w:rFonts w:ascii="Times New Roman" w:hAnsi="Times New Roman" w:cs="Times New Roman"/>
        </w:rPr>
        <w:t>ugba</w:t>
      </w:r>
      <w:proofErr w:type="spellEnd"/>
      <w:r w:rsidR="00C37813" w:rsidRPr="00FE3924">
        <w:rPr>
          <w:rFonts w:ascii="Times New Roman" w:hAnsi="Times New Roman" w:cs="Times New Roman"/>
        </w:rPr>
        <w:t xml:space="preserve">. </w:t>
      </w:r>
    </w:p>
    <w:p w14:paraId="7B860292" w14:textId="77777777" w:rsidR="002A215B" w:rsidRPr="00FE3924" w:rsidRDefault="002A215B"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Study design: </w:t>
      </w:r>
      <w:r w:rsidR="00C37813" w:rsidRPr="00FE3924">
        <w:rPr>
          <w:rFonts w:ascii="Times New Roman" w:hAnsi="Times New Roman" w:cs="Times New Roman"/>
        </w:rPr>
        <w:t xml:space="preserve">Standard microbiological and analytical methods were employed </w:t>
      </w:r>
    </w:p>
    <w:p w14:paraId="287293FB" w14:textId="13EF046F" w:rsidR="002A215B" w:rsidRPr="00FE3924" w:rsidRDefault="002A215B" w:rsidP="00D60327">
      <w:pPr>
        <w:spacing w:after="0" w:line="480" w:lineRule="auto"/>
        <w:jc w:val="both"/>
        <w:rPr>
          <w:rFonts w:ascii="Times New Roman" w:hAnsi="Times New Roman" w:cs="Times New Roman"/>
        </w:rPr>
      </w:pPr>
      <w:r w:rsidRPr="00FE3924">
        <w:rPr>
          <w:rFonts w:ascii="Times New Roman" w:hAnsi="Times New Roman" w:cs="Times New Roman"/>
        </w:rPr>
        <w:t>Methods: Samples were analyzed to</w:t>
      </w:r>
      <w:r w:rsidR="00C37813" w:rsidRPr="00FE3924">
        <w:rPr>
          <w:rFonts w:ascii="Times New Roman" w:hAnsi="Times New Roman" w:cs="Times New Roman"/>
        </w:rPr>
        <w:t xml:space="preserve"> determine total viable count (TVC), total fungal count (TFC), lactic acid bacteria (LAB), microbial identity, and proximate composition. </w:t>
      </w:r>
    </w:p>
    <w:p w14:paraId="68F584CC" w14:textId="49F9678B" w:rsidR="002A215B" w:rsidRPr="00FE3924" w:rsidRDefault="00C37813" w:rsidP="00D60327">
      <w:pPr>
        <w:spacing w:after="0" w:line="480" w:lineRule="auto"/>
        <w:jc w:val="both"/>
        <w:rPr>
          <w:rFonts w:ascii="Times New Roman" w:hAnsi="Times New Roman" w:cs="Times New Roman"/>
        </w:rPr>
      </w:pPr>
      <w:r w:rsidRPr="00FE3924">
        <w:rPr>
          <w:rFonts w:ascii="Times New Roman" w:hAnsi="Times New Roman" w:cs="Times New Roman"/>
        </w:rPr>
        <w:t>Results</w:t>
      </w:r>
      <w:r w:rsidR="002A215B" w:rsidRPr="00FE3924">
        <w:rPr>
          <w:rFonts w:ascii="Times New Roman" w:hAnsi="Times New Roman" w:cs="Times New Roman"/>
        </w:rPr>
        <w:t>: The study</w:t>
      </w:r>
      <w:r w:rsidRPr="00FE3924">
        <w:rPr>
          <w:rFonts w:ascii="Times New Roman" w:hAnsi="Times New Roman" w:cs="Times New Roman"/>
        </w:rPr>
        <w:t xml:space="preserve"> showed significant variations (p &lt; 0.05) among samples, with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and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exhibiting higher microbial loads (10⁸–10⁹ </w:t>
      </w:r>
      <w:proofErr w:type="spellStart"/>
      <w:r w:rsidRPr="00FE3924">
        <w:rPr>
          <w:rFonts w:ascii="Times New Roman" w:hAnsi="Times New Roman" w:cs="Times New Roman"/>
        </w:rPr>
        <w:t>cfu</w:t>
      </w:r>
      <w:proofErr w:type="spellEnd"/>
      <w:r w:rsidRPr="00FE3924">
        <w:rPr>
          <w:rFonts w:ascii="Times New Roman" w:hAnsi="Times New Roman" w:cs="Times New Roman"/>
        </w:rPr>
        <w:t xml:space="preserve">/ml) compared to Yoghurt and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(10⁶ </w:t>
      </w:r>
      <w:proofErr w:type="spellStart"/>
      <w:r w:rsidRPr="00FE3924">
        <w:rPr>
          <w:rFonts w:ascii="Times New Roman" w:hAnsi="Times New Roman" w:cs="Times New Roman"/>
        </w:rPr>
        <w:t>cfu</w:t>
      </w:r>
      <w:proofErr w:type="spellEnd"/>
      <w:r w:rsidRPr="00FE3924">
        <w:rPr>
          <w:rFonts w:ascii="Times New Roman" w:hAnsi="Times New Roman" w:cs="Times New Roman"/>
        </w:rPr>
        <w:t xml:space="preserve">/ml). LAB counts were highest in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(1.0 × 10⁹ </w:t>
      </w:r>
      <w:proofErr w:type="spellStart"/>
      <w:r w:rsidRPr="00FE3924">
        <w:rPr>
          <w:rFonts w:ascii="Times New Roman" w:hAnsi="Times New Roman" w:cs="Times New Roman"/>
        </w:rPr>
        <w:t>cfu</w:t>
      </w:r>
      <w:proofErr w:type="spellEnd"/>
      <w:r w:rsidRPr="00FE3924">
        <w:rPr>
          <w:rFonts w:ascii="Times New Roman" w:hAnsi="Times New Roman" w:cs="Times New Roman"/>
        </w:rPr>
        <w:t xml:space="preserve">/ml), indicating strong fermentative activity and potential probiotic functionality. Identified bacterial genera included </w:t>
      </w:r>
      <w:r w:rsidRPr="00FE3924">
        <w:rPr>
          <w:rFonts w:ascii="Times New Roman" w:hAnsi="Times New Roman" w:cs="Times New Roman"/>
          <w:i/>
          <w:iCs/>
        </w:rPr>
        <w:t>Lactobacillus</w:t>
      </w:r>
      <w:r w:rsidRPr="00FE3924">
        <w:rPr>
          <w:rFonts w:ascii="Times New Roman" w:hAnsi="Times New Roman" w:cs="Times New Roman"/>
        </w:rPr>
        <w:t xml:space="preserve">, </w:t>
      </w:r>
      <w:r w:rsidRPr="00FE3924">
        <w:rPr>
          <w:rFonts w:ascii="Times New Roman" w:hAnsi="Times New Roman" w:cs="Times New Roman"/>
          <w:i/>
          <w:iCs/>
        </w:rPr>
        <w:t>Streptococcus</w:t>
      </w:r>
      <w:r w:rsidRPr="00FE3924">
        <w:rPr>
          <w:rFonts w:ascii="Times New Roman" w:hAnsi="Times New Roman" w:cs="Times New Roman"/>
        </w:rPr>
        <w:t xml:space="preserve">, and </w:t>
      </w:r>
      <w:r w:rsidRPr="00FE3924">
        <w:rPr>
          <w:rFonts w:ascii="Times New Roman" w:hAnsi="Times New Roman" w:cs="Times New Roman"/>
          <w:i/>
          <w:iCs/>
        </w:rPr>
        <w:t>Enterococcus</w:t>
      </w:r>
      <w:r w:rsidRPr="00FE3924">
        <w:rPr>
          <w:rFonts w:ascii="Times New Roman" w:hAnsi="Times New Roman" w:cs="Times New Roman"/>
        </w:rPr>
        <w:t xml:space="preserve">, alongside opportunistic contaminants such as </w:t>
      </w:r>
      <w:r w:rsidRPr="00FE3924">
        <w:rPr>
          <w:rFonts w:ascii="Times New Roman" w:hAnsi="Times New Roman" w:cs="Times New Roman"/>
          <w:i/>
          <w:iCs/>
        </w:rPr>
        <w:t>Enterobacter</w:t>
      </w:r>
      <w:r w:rsidRPr="00FE3924">
        <w:rPr>
          <w:rFonts w:ascii="Times New Roman" w:hAnsi="Times New Roman" w:cs="Times New Roman"/>
        </w:rPr>
        <w:t xml:space="preserve"> and </w:t>
      </w:r>
      <w:r w:rsidRPr="00FE3924">
        <w:rPr>
          <w:rFonts w:ascii="Times New Roman" w:hAnsi="Times New Roman" w:cs="Times New Roman"/>
          <w:i/>
          <w:iCs/>
        </w:rPr>
        <w:t>Staphylococcus</w:t>
      </w:r>
      <w:r w:rsidRPr="00FE3924">
        <w:rPr>
          <w:rFonts w:ascii="Times New Roman" w:hAnsi="Times New Roman" w:cs="Times New Roman"/>
        </w:rPr>
        <w:t xml:space="preserve">. Fungal isolates included </w:t>
      </w:r>
      <w:r w:rsidRPr="00FE3924">
        <w:rPr>
          <w:rFonts w:ascii="Times New Roman" w:hAnsi="Times New Roman" w:cs="Times New Roman"/>
          <w:i/>
          <w:iCs/>
        </w:rPr>
        <w:t>Saccharomyces</w:t>
      </w:r>
      <w:r w:rsidRPr="00FE3924">
        <w:rPr>
          <w:rFonts w:ascii="Times New Roman" w:hAnsi="Times New Roman" w:cs="Times New Roman"/>
        </w:rPr>
        <w:t xml:space="preserve"> spp. in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and </w:t>
      </w:r>
      <w:r w:rsidRPr="00FE3924">
        <w:rPr>
          <w:rFonts w:ascii="Times New Roman" w:hAnsi="Times New Roman" w:cs="Times New Roman"/>
          <w:i/>
          <w:iCs/>
        </w:rPr>
        <w:t>Aspergillus</w:t>
      </w:r>
      <w:r w:rsidRPr="00FE3924">
        <w:rPr>
          <w:rFonts w:ascii="Times New Roman" w:hAnsi="Times New Roman" w:cs="Times New Roman"/>
        </w:rPr>
        <w:t xml:space="preserve"> spp. in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Proximate analysis revealed that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were rich in protein (26.34% and 19.20%, respectively) and carbohydrates, while </w:t>
      </w:r>
      <w:r w:rsidR="00503B08">
        <w:rPr>
          <w:rFonts w:ascii="Times New Roman" w:hAnsi="Times New Roman" w:cs="Times New Roman"/>
        </w:rPr>
        <w:t>y</w:t>
      </w:r>
      <w:r w:rsidRPr="00FE3924">
        <w:rPr>
          <w:rFonts w:ascii="Times New Roman" w:hAnsi="Times New Roman" w:cs="Times New Roman"/>
        </w:rPr>
        <w:t xml:space="preserve">oghurt and Nunu had higher moisture content. </w:t>
      </w:r>
    </w:p>
    <w:p w14:paraId="79DFBCF1" w14:textId="55D6812E" w:rsidR="00C37813" w:rsidRPr="00FE3924" w:rsidRDefault="002A215B"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Conclusion: </w:t>
      </w:r>
      <w:r w:rsidR="00C37813" w:rsidRPr="00FE3924">
        <w:rPr>
          <w:rFonts w:ascii="Times New Roman" w:hAnsi="Times New Roman" w:cs="Times New Roman"/>
        </w:rPr>
        <w:t xml:space="preserve">The findings highlight the dual nature of traditional fermented foods as nutritionally valuable yet microbiologically complex systems. While their high LAB content supports </w:t>
      </w:r>
      <w:r w:rsidR="00503B08">
        <w:rPr>
          <w:rFonts w:ascii="Times New Roman" w:hAnsi="Times New Roman" w:cs="Times New Roman"/>
        </w:rPr>
        <w:t xml:space="preserve">the potential of functional foods, the presence of </w:t>
      </w:r>
      <w:r w:rsidR="00C37813" w:rsidRPr="00FE3924">
        <w:rPr>
          <w:rFonts w:ascii="Times New Roman" w:hAnsi="Times New Roman" w:cs="Times New Roman"/>
        </w:rPr>
        <w:t>contaminants underscores the need for improved hygiene practices and controlled fermentation techniques to ensure safety and quality.</w:t>
      </w:r>
    </w:p>
    <w:p w14:paraId="43197C04" w14:textId="77777777" w:rsidR="00C37813" w:rsidRPr="00FE3924" w:rsidRDefault="00C37813" w:rsidP="00D60327">
      <w:pPr>
        <w:spacing w:after="0" w:line="480" w:lineRule="auto"/>
        <w:jc w:val="both"/>
        <w:rPr>
          <w:rFonts w:ascii="Times New Roman" w:hAnsi="Times New Roman" w:cs="Times New Roman"/>
          <w:b/>
          <w:bCs/>
        </w:rPr>
      </w:pPr>
    </w:p>
    <w:p w14:paraId="66D79008" w14:textId="446A750E" w:rsidR="00C37813" w:rsidRPr="00FE3924" w:rsidRDefault="00C37813" w:rsidP="00D60327">
      <w:pPr>
        <w:spacing w:after="0" w:line="480" w:lineRule="auto"/>
        <w:jc w:val="both"/>
        <w:rPr>
          <w:rFonts w:ascii="Times New Roman" w:hAnsi="Times New Roman" w:cs="Times New Roman"/>
          <w:b/>
          <w:bCs/>
        </w:rPr>
      </w:pPr>
      <w:r w:rsidRPr="00FE3924">
        <w:rPr>
          <w:rFonts w:ascii="Times New Roman" w:hAnsi="Times New Roman" w:cs="Times New Roman"/>
          <w:b/>
          <w:bCs/>
        </w:rPr>
        <w:t>Keywords</w:t>
      </w:r>
    </w:p>
    <w:p w14:paraId="76BD6582" w14:textId="62F26EB1" w:rsidR="00C37813" w:rsidRPr="00FE3924" w:rsidRDefault="00C37813" w:rsidP="00D60327">
      <w:pPr>
        <w:spacing w:after="0" w:line="480" w:lineRule="auto"/>
        <w:jc w:val="both"/>
        <w:rPr>
          <w:rFonts w:ascii="Times New Roman" w:hAnsi="Times New Roman" w:cs="Times New Roman"/>
        </w:rPr>
      </w:pPr>
      <w:r w:rsidRPr="00FE3924">
        <w:rPr>
          <w:rFonts w:ascii="Times New Roman" w:hAnsi="Times New Roman" w:cs="Times New Roman"/>
        </w:rPr>
        <w:t>Fermented foods; Lactic acid bacteria; Microbial safety; Proximate composition; Nigerian traditional foods</w:t>
      </w:r>
      <w:r w:rsidR="00574FC3" w:rsidRPr="00FE3924">
        <w:rPr>
          <w:rFonts w:ascii="Times New Roman" w:hAnsi="Times New Roman" w:cs="Times New Roman"/>
        </w:rPr>
        <w:t>.</w:t>
      </w:r>
    </w:p>
    <w:p w14:paraId="748623CA" w14:textId="77777777" w:rsidR="00574FC3" w:rsidRPr="00FE3924" w:rsidRDefault="00574FC3" w:rsidP="00D60327">
      <w:pPr>
        <w:spacing w:after="0" w:line="480" w:lineRule="auto"/>
        <w:jc w:val="both"/>
        <w:rPr>
          <w:rFonts w:ascii="Times New Roman" w:hAnsi="Times New Roman" w:cs="Times New Roman"/>
        </w:rPr>
      </w:pPr>
    </w:p>
    <w:p w14:paraId="03B45FA9" w14:textId="0F59B987" w:rsidR="00574FC3" w:rsidRPr="00FE3924" w:rsidRDefault="00574FC3" w:rsidP="00D60327">
      <w:pPr>
        <w:spacing w:after="0" w:line="480" w:lineRule="auto"/>
        <w:jc w:val="both"/>
        <w:rPr>
          <w:rFonts w:ascii="Times New Roman" w:hAnsi="Times New Roman" w:cs="Times New Roman"/>
          <w:b/>
          <w:bCs/>
        </w:rPr>
      </w:pPr>
      <w:r w:rsidRPr="00FE3924">
        <w:rPr>
          <w:rFonts w:ascii="Times New Roman" w:hAnsi="Times New Roman" w:cs="Times New Roman"/>
          <w:b/>
          <w:bCs/>
        </w:rPr>
        <w:t>Graphical Abstract</w:t>
      </w:r>
    </w:p>
    <w:p w14:paraId="13197C1C" w14:textId="4298B8C8" w:rsidR="00574FC3" w:rsidRPr="00FE3924" w:rsidRDefault="00574FC3" w:rsidP="00D60327">
      <w:pPr>
        <w:spacing w:after="0" w:line="480" w:lineRule="auto"/>
        <w:jc w:val="both"/>
        <w:rPr>
          <w:rFonts w:ascii="Times New Roman" w:hAnsi="Times New Roman" w:cs="Times New Roman"/>
        </w:rPr>
      </w:pPr>
      <w:r w:rsidRPr="00FE3924">
        <w:rPr>
          <w:rFonts w:ascii="Times New Roman" w:hAnsi="Times New Roman" w:cs="Times New Roman"/>
          <w:noProof/>
        </w:rPr>
        <w:drawing>
          <wp:inline distT="0" distB="0" distL="0" distR="0" wp14:anchorId="33146C39" wp14:editId="002F3967">
            <wp:extent cx="4563250" cy="4140213"/>
            <wp:effectExtent l="0" t="0" r="8890" b="0"/>
            <wp:docPr id="1227274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440" cy="4148551"/>
                    </a:xfrm>
                    <a:prstGeom prst="rect">
                      <a:avLst/>
                    </a:prstGeom>
                    <a:noFill/>
                  </pic:spPr>
                </pic:pic>
              </a:graphicData>
            </a:graphic>
          </wp:inline>
        </w:drawing>
      </w:r>
    </w:p>
    <w:p w14:paraId="59A4AA21" w14:textId="77777777" w:rsidR="00C37813" w:rsidRPr="00FE3924" w:rsidRDefault="00C37813" w:rsidP="00D60327">
      <w:pPr>
        <w:spacing w:after="0" w:line="480" w:lineRule="auto"/>
        <w:jc w:val="both"/>
        <w:rPr>
          <w:rFonts w:ascii="Times New Roman" w:hAnsi="Times New Roman" w:cs="Times New Roman"/>
        </w:rPr>
      </w:pPr>
    </w:p>
    <w:p w14:paraId="34F1B922" w14:textId="039DD37C" w:rsidR="00AD6CF2" w:rsidRPr="00FE3924" w:rsidRDefault="00AD6CF2" w:rsidP="00D60327">
      <w:pPr>
        <w:spacing w:after="0" w:line="480" w:lineRule="auto"/>
        <w:jc w:val="both"/>
        <w:rPr>
          <w:rFonts w:ascii="Times New Roman" w:hAnsi="Times New Roman" w:cs="Times New Roman"/>
          <w:b/>
          <w:bCs/>
        </w:rPr>
      </w:pPr>
      <w:r w:rsidRPr="00FE3924">
        <w:rPr>
          <w:rFonts w:ascii="Times New Roman" w:hAnsi="Times New Roman" w:cs="Times New Roman"/>
          <w:b/>
          <w:bCs/>
        </w:rPr>
        <w:t>Introduction</w:t>
      </w:r>
    </w:p>
    <w:p w14:paraId="38580F84" w14:textId="115EDD67" w:rsidR="00AD6CF2" w:rsidRPr="00FE3924" w:rsidRDefault="00AD6CF2"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Fermented foods constitute an essential component of human diets globally and play a particularly significant role in Africa, where they contribute to food security, nutrition, and cultural heritage. These foods are produced through the metabolic activities of diverse microorganisms, including </w:t>
      </w:r>
      <w:r w:rsidRPr="00FE3924">
        <w:rPr>
          <w:rFonts w:ascii="Times New Roman" w:hAnsi="Times New Roman" w:cs="Times New Roman"/>
        </w:rPr>
        <w:lastRenderedPageBreak/>
        <w:t>bacteria, yeasts, and molds, which transform raw substrates into products with enhanced sensory, nutritional, and functional properties (</w:t>
      </w:r>
      <w:r w:rsidR="005B1A5C" w:rsidRPr="00FE3924">
        <w:rPr>
          <w:rFonts w:ascii="Times New Roman" w:hAnsi="Times New Roman" w:cs="Times New Roman"/>
        </w:rPr>
        <w:t>Sawant et al.,</w:t>
      </w:r>
      <w:r w:rsidRPr="00FE3924">
        <w:rPr>
          <w:rFonts w:ascii="Times New Roman" w:hAnsi="Times New Roman" w:cs="Times New Roman"/>
        </w:rPr>
        <w:t xml:space="preserve"> 2025). In many African communities, traditional fermentation remains a low-cost and accessible method for food preservation, extending shelf life while improving the safety and bioavailability of nutrients.</w:t>
      </w:r>
    </w:p>
    <w:p w14:paraId="2557FD57" w14:textId="7344629A" w:rsidR="00AD6CF2" w:rsidRPr="00FE3924" w:rsidRDefault="00AD6CF2"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 fermentation process is driven predominantly by lactic acid bacteria (LAB), alongside other microbial groups such as yeasts and filamentous fungi. These microorganisms contribute to the production of organic acids, enzymes, and bioactive compounds, including peptides, vitamins, and short-chain fatty acids, which have been associated with improved digestion, immune modulation, and gut microbiota balance </w:t>
      </w:r>
      <w:r w:rsidR="005B1A5C" w:rsidRPr="00FE3924">
        <w:rPr>
          <w:rFonts w:ascii="Times New Roman" w:hAnsi="Times New Roman" w:cs="Times New Roman"/>
        </w:rPr>
        <w:t>(</w:t>
      </w:r>
      <w:proofErr w:type="spellStart"/>
      <w:r w:rsidR="005B1A5C" w:rsidRPr="00FE3924">
        <w:rPr>
          <w:rFonts w:ascii="Times New Roman" w:hAnsi="Times New Roman" w:cs="Times New Roman"/>
        </w:rPr>
        <w:t>Anumudu</w:t>
      </w:r>
      <w:proofErr w:type="spellEnd"/>
      <w:r w:rsidR="005B1A5C" w:rsidRPr="00FE3924">
        <w:rPr>
          <w:rFonts w:ascii="Times New Roman" w:hAnsi="Times New Roman" w:cs="Times New Roman"/>
        </w:rPr>
        <w:t xml:space="preserve"> et al., </w:t>
      </w:r>
      <w:r w:rsidRPr="00FE3924">
        <w:rPr>
          <w:rFonts w:ascii="Times New Roman" w:hAnsi="Times New Roman" w:cs="Times New Roman"/>
        </w:rPr>
        <w:t>202</w:t>
      </w:r>
      <w:r w:rsidR="005B1A5C" w:rsidRPr="00FE3924">
        <w:rPr>
          <w:rFonts w:ascii="Times New Roman" w:hAnsi="Times New Roman" w:cs="Times New Roman"/>
        </w:rPr>
        <w:t>4; Latif et al., 2023</w:t>
      </w:r>
      <w:r w:rsidRPr="00FE3924">
        <w:rPr>
          <w:rFonts w:ascii="Times New Roman" w:hAnsi="Times New Roman" w:cs="Times New Roman"/>
        </w:rPr>
        <w:t>). Consequently, fermented foods are increasingly recognized as functional foods with potential health-promoting effects. However, the microbial composition of fermented foods is complex and influenced by several factors, including raw materials, environmental conditions, and processing techniques, resulting in significant variability in quality and safety (</w:t>
      </w:r>
      <w:r w:rsidR="00AF4645" w:rsidRPr="00FE3924">
        <w:rPr>
          <w:rFonts w:ascii="Times New Roman" w:hAnsi="Times New Roman" w:cs="Times New Roman"/>
        </w:rPr>
        <w:t xml:space="preserve">Liu </w:t>
      </w:r>
      <w:r w:rsidRPr="00FE3924">
        <w:rPr>
          <w:rFonts w:ascii="Times New Roman" w:hAnsi="Times New Roman" w:cs="Times New Roman"/>
        </w:rPr>
        <w:t xml:space="preserve">et al., 2025; </w:t>
      </w:r>
      <w:r w:rsidR="00AF4645" w:rsidRPr="00FE3924">
        <w:rPr>
          <w:rFonts w:ascii="Times New Roman" w:hAnsi="Times New Roman" w:cs="Times New Roman"/>
        </w:rPr>
        <w:t>Sawant et al., 2025</w:t>
      </w:r>
      <w:r w:rsidRPr="00FE3924">
        <w:rPr>
          <w:rFonts w:ascii="Times New Roman" w:hAnsi="Times New Roman" w:cs="Times New Roman"/>
        </w:rPr>
        <w:t>).</w:t>
      </w:r>
    </w:p>
    <w:p w14:paraId="3B9EC9E6" w14:textId="7F7504C2" w:rsidR="00AD6CF2" w:rsidRPr="00FE3924" w:rsidRDefault="00AD6CF2"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In the African context, a wide variety of fermented </w:t>
      </w:r>
      <w:r w:rsidR="00F70CA7" w:rsidRPr="00FE3924">
        <w:rPr>
          <w:rFonts w:ascii="Times New Roman" w:hAnsi="Times New Roman" w:cs="Times New Roman"/>
        </w:rPr>
        <w:t xml:space="preserve">foods, such as animal-based yogurt and </w:t>
      </w:r>
      <w:proofErr w:type="spellStart"/>
      <w:r w:rsidR="00F70CA7" w:rsidRPr="00FE3924">
        <w:rPr>
          <w:rFonts w:ascii="Times New Roman" w:hAnsi="Times New Roman" w:cs="Times New Roman"/>
        </w:rPr>
        <w:t>nunu</w:t>
      </w:r>
      <w:proofErr w:type="spellEnd"/>
      <w:r w:rsidR="00F70CA7" w:rsidRPr="00FE3924">
        <w:rPr>
          <w:rFonts w:ascii="Times New Roman" w:hAnsi="Times New Roman" w:cs="Times New Roman"/>
        </w:rPr>
        <w:t xml:space="preserve">, or plant-based </w:t>
      </w:r>
      <w:proofErr w:type="spellStart"/>
      <w:r w:rsidR="00F70CA7" w:rsidRPr="00FE3924">
        <w:rPr>
          <w:rFonts w:ascii="Times New Roman" w:hAnsi="Times New Roman" w:cs="Times New Roman"/>
        </w:rPr>
        <w:t>ogiri</w:t>
      </w:r>
      <w:proofErr w:type="spellEnd"/>
      <w:r w:rsidR="00F70CA7" w:rsidRPr="00FE3924">
        <w:rPr>
          <w:rFonts w:ascii="Times New Roman" w:hAnsi="Times New Roman" w:cs="Times New Roman"/>
        </w:rPr>
        <w:t xml:space="preserve"> and </w:t>
      </w:r>
      <w:proofErr w:type="spellStart"/>
      <w:r w:rsidR="00F70CA7" w:rsidRPr="00FE3924">
        <w:rPr>
          <w:rFonts w:ascii="Times New Roman" w:hAnsi="Times New Roman" w:cs="Times New Roman"/>
        </w:rPr>
        <w:t>ugba</w:t>
      </w:r>
      <w:proofErr w:type="spellEnd"/>
      <w:r w:rsidR="00F70CA7" w:rsidRPr="00FE3924">
        <w:rPr>
          <w:rFonts w:ascii="Times New Roman" w:hAnsi="Times New Roman" w:cs="Times New Roman"/>
        </w:rPr>
        <w:t>,</w:t>
      </w:r>
      <w:r w:rsidRPr="00FE3924">
        <w:rPr>
          <w:rFonts w:ascii="Times New Roman" w:hAnsi="Times New Roman" w:cs="Times New Roman"/>
        </w:rPr>
        <w:t xml:space="preserve"> are widely consumed and serve as important dietary staples. These foods are typically produced through spontaneous fermentation</w:t>
      </w:r>
      <w:r w:rsidR="00F70CA7" w:rsidRPr="00FE3924">
        <w:rPr>
          <w:rFonts w:ascii="Times New Roman" w:hAnsi="Times New Roman" w:cs="Times New Roman"/>
        </w:rPr>
        <w:t>, often involving back-slopping or natural environmental inoculation</w:t>
      </w:r>
      <w:r w:rsidRPr="00FE3924">
        <w:rPr>
          <w:rFonts w:ascii="Times New Roman" w:hAnsi="Times New Roman" w:cs="Times New Roman"/>
        </w:rPr>
        <w:t>. While such traditional methods preserve indigenous knowledge and microbial diversity, they also introduce variability and potential safety risks due to the presence of undesirable or pathogenic microorganisms (</w:t>
      </w:r>
      <w:r w:rsidR="004C20D5" w:rsidRPr="00FE3924">
        <w:rPr>
          <w:rFonts w:ascii="Times New Roman" w:hAnsi="Times New Roman" w:cs="Times New Roman"/>
        </w:rPr>
        <w:t>Yee</w:t>
      </w:r>
      <w:r w:rsidRPr="00FE3924">
        <w:rPr>
          <w:rFonts w:ascii="Times New Roman" w:hAnsi="Times New Roman" w:cs="Times New Roman"/>
        </w:rPr>
        <w:t xml:space="preserve"> </w:t>
      </w:r>
      <w:r w:rsidR="004C20D5" w:rsidRPr="00FE3924">
        <w:rPr>
          <w:rFonts w:ascii="Times New Roman" w:hAnsi="Times New Roman" w:cs="Times New Roman"/>
        </w:rPr>
        <w:t>et al.</w:t>
      </w:r>
      <w:r w:rsidRPr="00FE3924">
        <w:rPr>
          <w:rFonts w:ascii="Times New Roman" w:hAnsi="Times New Roman" w:cs="Times New Roman"/>
        </w:rPr>
        <w:t xml:space="preserve">, 2025; </w:t>
      </w:r>
      <w:proofErr w:type="spellStart"/>
      <w:r w:rsidR="004C20D5" w:rsidRPr="00FE3924">
        <w:rPr>
          <w:rFonts w:ascii="Times New Roman" w:hAnsi="Times New Roman" w:cs="Times New Roman"/>
        </w:rPr>
        <w:t>Mannaa</w:t>
      </w:r>
      <w:proofErr w:type="spellEnd"/>
      <w:r w:rsidR="004C20D5" w:rsidRPr="00FE3924">
        <w:rPr>
          <w:rFonts w:ascii="Times New Roman" w:hAnsi="Times New Roman" w:cs="Times New Roman"/>
        </w:rPr>
        <w:t xml:space="preserve"> </w:t>
      </w:r>
      <w:r w:rsidRPr="00FE3924">
        <w:rPr>
          <w:rFonts w:ascii="Times New Roman" w:hAnsi="Times New Roman" w:cs="Times New Roman"/>
        </w:rPr>
        <w:t>et al., 202</w:t>
      </w:r>
      <w:r w:rsidR="004C20D5" w:rsidRPr="00FE3924">
        <w:rPr>
          <w:rFonts w:ascii="Times New Roman" w:hAnsi="Times New Roman" w:cs="Times New Roman"/>
        </w:rPr>
        <w:t>1</w:t>
      </w:r>
      <w:r w:rsidRPr="00FE3924">
        <w:rPr>
          <w:rFonts w:ascii="Times New Roman" w:hAnsi="Times New Roman" w:cs="Times New Roman"/>
        </w:rPr>
        <w:t xml:space="preserve">). Previous studies have reported the coexistence of beneficial microorganisms such as </w:t>
      </w:r>
      <w:r w:rsidRPr="00FE3924">
        <w:rPr>
          <w:rFonts w:ascii="Times New Roman" w:hAnsi="Times New Roman" w:cs="Times New Roman"/>
          <w:i/>
          <w:iCs/>
        </w:rPr>
        <w:t>Lactobacillus</w:t>
      </w:r>
      <w:r w:rsidRPr="00FE3924">
        <w:rPr>
          <w:rFonts w:ascii="Times New Roman" w:hAnsi="Times New Roman" w:cs="Times New Roman"/>
        </w:rPr>
        <w:t xml:space="preserve"> and </w:t>
      </w:r>
      <w:r w:rsidRPr="00FE3924">
        <w:rPr>
          <w:rFonts w:ascii="Times New Roman" w:hAnsi="Times New Roman" w:cs="Times New Roman"/>
          <w:i/>
          <w:iCs/>
        </w:rPr>
        <w:t>Saccharomyces</w:t>
      </w:r>
      <w:r w:rsidRPr="00FE3924">
        <w:rPr>
          <w:rFonts w:ascii="Times New Roman" w:hAnsi="Times New Roman" w:cs="Times New Roman"/>
        </w:rPr>
        <w:t xml:space="preserve"> species alongside opportunistic pathogens including </w:t>
      </w:r>
      <w:r w:rsidRPr="00FE3924">
        <w:rPr>
          <w:rFonts w:ascii="Times New Roman" w:hAnsi="Times New Roman" w:cs="Times New Roman"/>
          <w:i/>
          <w:iCs/>
        </w:rPr>
        <w:t>Staphylococcus</w:t>
      </w:r>
      <w:r w:rsidRPr="00FE3924">
        <w:rPr>
          <w:rFonts w:ascii="Times New Roman" w:hAnsi="Times New Roman" w:cs="Times New Roman"/>
        </w:rPr>
        <w:t xml:space="preserve"> and </w:t>
      </w:r>
      <w:r w:rsidRPr="00FE3924">
        <w:rPr>
          <w:rFonts w:ascii="Times New Roman" w:hAnsi="Times New Roman" w:cs="Times New Roman"/>
          <w:i/>
          <w:iCs/>
        </w:rPr>
        <w:t>Salmonella</w:t>
      </w:r>
      <w:r w:rsidRPr="00FE3924">
        <w:rPr>
          <w:rFonts w:ascii="Times New Roman" w:hAnsi="Times New Roman" w:cs="Times New Roman"/>
        </w:rPr>
        <w:t>, emphasizing the need for comprehensive microbial characterization of these foods</w:t>
      </w:r>
      <w:r w:rsidR="004C20D5" w:rsidRPr="00FE3924">
        <w:rPr>
          <w:rFonts w:ascii="Times New Roman" w:hAnsi="Times New Roman" w:cs="Times New Roman"/>
        </w:rPr>
        <w:t xml:space="preserve"> Cortés-Sánchez et al., 2025)</w:t>
      </w:r>
      <w:r w:rsidRPr="00FE3924">
        <w:rPr>
          <w:rFonts w:ascii="Times New Roman" w:hAnsi="Times New Roman" w:cs="Times New Roman"/>
        </w:rPr>
        <w:t>.</w:t>
      </w:r>
    </w:p>
    <w:p w14:paraId="55B4477B" w14:textId="5D1CFB94" w:rsidR="00AD6CF2" w:rsidRPr="00FE3924" w:rsidRDefault="00AD6CF2" w:rsidP="00D60327">
      <w:pPr>
        <w:spacing w:after="0" w:line="480" w:lineRule="auto"/>
        <w:jc w:val="both"/>
        <w:rPr>
          <w:rFonts w:ascii="Times New Roman" w:hAnsi="Times New Roman" w:cs="Times New Roman"/>
        </w:rPr>
      </w:pPr>
      <w:r w:rsidRPr="00FE3924">
        <w:rPr>
          <w:rFonts w:ascii="Times New Roman" w:hAnsi="Times New Roman" w:cs="Times New Roman"/>
        </w:rPr>
        <w:lastRenderedPageBreak/>
        <w:t>Despite the growing interest in fermented foods as sources of probiotics and functional ingredients, there remains limited systematic data on the combined microbial profile, safety status, and nutritional composition of many locally fermented Nigerian foods. Most existing studies focus on either microbial diversity or nutritional properties in isolation, thereby limiting a holistic understanding of their overall quality and health implications. Furthermore, advances in microbial ecology have revealed that fermented foods</w:t>
      </w:r>
      <w:r w:rsidR="00F70CA7" w:rsidRPr="00FE3924">
        <w:rPr>
          <w:rFonts w:ascii="Times New Roman" w:hAnsi="Times New Roman" w:cs="Times New Roman"/>
        </w:rPr>
        <w:t>, both plant and animal-based,</w:t>
      </w:r>
      <w:r w:rsidRPr="00FE3924">
        <w:rPr>
          <w:rFonts w:ascii="Times New Roman" w:hAnsi="Times New Roman" w:cs="Times New Roman"/>
        </w:rPr>
        <w:t xml:space="preserve"> </w:t>
      </w:r>
      <w:r w:rsidR="00F70CA7" w:rsidRPr="00FE3924">
        <w:rPr>
          <w:rFonts w:ascii="Times New Roman" w:hAnsi="Times New Roman" w:cs="Times New Roman"/>
        </w:rPr>
        <w:t>constitute complex ecosystems. Which</w:t>
      </w:r>
      <w:r w:rsidRPr="00FE3924">
        <w:rPr>
          <w:rFonts w:ascii="Times New Roman" w:hAnsi="Times New Roman" w:cs="Times New Roman"/>
        </w:rPr>
        <w:t xml:space="preserve"> interactions among microorganisms significantly influence product characteristics, safety, and functional potential (</w:t>
      </w:r>
      <w:r w:rsidR="004C20D5" w:rsidRPr="00FE3924">
        <w:rPr>
          <w:rFonts w:ascii="Times New Roman" w:hAnsi="Times New Roman" w:cs="Times New Roman"/>
        </w:rPr>
        <w:t xml:space="preserve">Park </w:t>
      </w:r>
      <w:r w:rsidRPr="00FE3924">
        <w:rPr>
          <w:rFonts w:ascii="Times New Roman" w:hAnsi="Times New Roman" w:cs="Times New Roman"/>
        </w:rPr>
        <w:t xml:space="preserve">et al., 2025; </w:t>
      </w:r>
      <w:r w:rsidR="004C20D5" w:rsidRPr="00FE3924">
        <w:rPr>
          <w:rFonts w:ascii="Times New Roman" w:hAnsi="Times New Roman" w:cs="Times New Roman"/>
        </w:rPr>
        <w:t>Sawant et al., 2025)</w:t>
      </w:r>
      <w:r w:rsidRPr="00FE3924">
        <w:rPr>
          <w:rFonts w:ascii="Times New Roman" w:hAnsi="Times New Roman" w:cs="Times New Roman"/>
        </w:rPr>
        <w:t>.</w:t>
      </w:r>
    </w:p>
    <w:p w14:paraId="00272C1A" w14:textId="77777777" w:rsidR="00AD6CF2" w:rsidRPr="00FE3924" w:rsidRDefault="00AD6CF2" w:rsidP="00D60327">
      <w:pPr>
        <w:spacing w:after="0" w:line="480" w:lineRule="auto"/>
        <w:jc w:val="both"/>
        <w:rPr>
          <w:rFonts w:ascii="Times New Roman" w:hAnsi="Times New Roman" w:cs="Times New Roman"/>
        </w:rPr>
      </w:pPr>
      <w:r w:rsidRPr="00FE3924">
        <w:rPr>
          <w:rFonts w:ascii="Times New Roman" w:hAnsi="Times New Roman" w:cs="Times New Roman"/>
        </w:rPr>
        <w:t>Given these gaps, there is a need for integrated studies that simultaneously evaluate microbial load, microbial identity, safety indicators, and nutritional composition of fermented foods. Such an approach is essential for assessing their suitability as functional foods and for identifying potential risks associated with their consumption.</w:t>
      </w:r>
    </w:p>
    <w:p w14:paraId="79D3A2EE" w14:textId="6F9E31F8" w:rsidR="00AD6CF2" w:rsidRPr="00FE3924" w:rsidRDefault="00AD6CF2"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Therefore, this study aims to provide an integrated microbial characterization, safety evaluation, and nutritional profiling of selected Nigerian fermented foods, including yoghurt,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By combining microbial enumeration, biochemical identification, fungal analysis, and proximate composition assessment, this study </w:t>
      </w:r>
      <w:r w:rsidR="00F70CA7" w:rsidRPr="00FE3924">
        <w:rPr>
          <w:rFonts w:ascii="Times New Roman" w:hAnsi="Times New Roman" w:cs="Times New Roman"/>
        </w:rPr>
        <w:t>aims to advance</w:t>
      </w:r>
      <w:r w:rsidRPr="00FE3924">
        <w:rPr>
          <w:rFonts w:ascii="Times New Roman" w:hAnsi="Times New Roman" w:cs="Times New Roman"/>
        </w:rPr>
        <w:t xml:space="preserve"> a more comprehensive understanding of the quality, safety, and functional potential of these widely consumed traditional foods.</w:t>
      </w:r>
    </w:p>
    <w:p w14:paraId="5850886D" w14:textId="77777777" w:rsidR="00435618" w:rsidRPr="00FE3924" w:rsidRDefault="00435618" w:rsidP="00D60327">
      <w:pPr>
        <w:spacing w:after="0" w:line="480" w:lineRule="auto"/>
        <w:jc w:val="both"/>
        <w:rPr>
          <w:rFonts w:ascii="Times New Roman" w:hAnsi="Times New Roman" w:cs="Times New Roman"/>
        </w:rPr>
      </w:pPr>
    </w:p>
    <w:p w14:paraId="793DDA9B" w14:textId="17C0BE48"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b/>
          <w:bCs/>
        </w:rPr>
        <w:t>Materials and Methods</w:t>
      </w:r>
    </w:p>
    <w:p w14:paraId="54F8567B" w14:textId="7F5C92BD"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Sample Collection and Handling</w:t>
      </w:r>
    </w:p>
    <w:p w14:paraId="561A955B" w14:textId="4C8EE436"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Four fermented food samples, yoghurt,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(fermented cow milk),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(fermented melon seed),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(fermented African oil bean seed), were used for this study.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were </w:t>
      </w:r>
      <w:r w:rsidRPr="00FE3924">
        <w:rPr>
          <w:rFonts w:ascii="Times New Roman" w:hAnsi="Times New Roman" w:cs="Times New Roman"/>
        </w:rPr>
        <w:lastRenderedPageBreak/>
        <w:t xml:space="preserve">purchased from a local vendor at Abakpa market, Enugu State, Nigeria, while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was obtained from a Fulani vendor at New Artisan market. Commercial unsweetened Greek </w:t>
      </w:r>
      <w:r w:rsidR="00527F52" w:rsidRPr="00FE3924">
        <w:rPr>
          <w:rFonts w:ascii="Times New Roman" w:hAnsi="Times New Roman" w:cs="Times New Roman"/>
        </w:rPr>
        <w:t>yogurt (Mich and Kay brand) was purchased from a Store</w:t>
      </w:r>
      <w:r w:rsidR="000F3B16" w:rsidRPr="00FE3924">
        <w:rPr>
          <w:rFonts w:ascii="Times New Roman" w:hAnsi="Times New Roman" w:cs="Times New Roman"/>
        </w:rPr>
        <w:t xml:space="preserve"> in</w:t>
      </w:r>
      <w:r w:rsidRPr="00FE3924">
        <w:rPr>
          <w:rFonts w:ascii="Times New Roman" w:hAnsi="Times New Roman" w:cs="Times New Roman"/>
        </w:rPr>
        <w:t xml:space="preserve"> Enugu.</w:t>
      </w:r>
    </w:p>
    <w:p w14:paraId="54E0BABE" w14:textId="4428D009"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Solid samples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were transported at ambient temperature and analyzed within 24 h, while liquid samples (yoghurt and </w:t>
      </w:r>
      <w:proofErr w:type="spellStart"/>
      <w:r w:rsidRPr="00FE3924">
        <w:rPr>
          <w:rFonts w:ascii="Times New Roman" w:hAnsi="Times New Roman" w:cs="Times New Roman"/>
        </w:rPr>
        <w:t>nunu</w:t>
      </w:r>
      <w:proofErr w:type="spellEnd"/>
      <w:r w:rsidRPr="00FE3924">
        <w:rPr>
          <w:rFonts w:ascii="Times New Roman" w:hAnsi="Times New Roman" w:cs="Times New Roman"/>
        </w:rPr>
        <w:t>) were stored under refrigeration (4 °C) prior to analysis to minimize microbial changes. Sample handling procedures were carried out aseptically to prevent external contamination</w:t>
      </w:r>
      <w:r w:rsidR="00801E0B" w:rsidRPr="00FE3924">
        <w:rPr>
          <w:rFonts w:ascii="Times New Roman" w:hAnsi="Times New Roman" w:cs="Times New Roman"/>
        </w:rPr>
        <w:t>.</w:t>
      </w:r>
    </w:p>
    <w:p w14:paraId="4C690070" w14:textId="434B52F4" w:rsidR="00435618" w:rsidRPr="00FE3924" w:rsidRDefault="00435618" w:rsidP="00D60327">
      <w:pPr>
        <w:spacing w:after="0" w:line="480" w:lineRule="auto"/>
        <w:jc w:val="both"/>
        <w:rPr>
          <w:rFonts w:ascii="Times New Roman" w:hAnsi="Times New Roman" w:cs="Times New Roman"/>
        </w:rPr>
      </w:pPr>
    </w:p>
    <w:p w14:paraId="7342945D" w14:textId="7BBE0178"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Determination of Physicochemical Properties</w:t>
      </w:r>
    </w:p>
    <w:p w14:paraId="5C429F28" w14:textId="28D40F5E"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pH Measurement</w:t>
      </w:r>
    </w:p>
    <w:p w14:paraId="02E0A69D" w14:textId="5C8C40F8"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The pH of each sample was determined using a calibrated digital pH meter following standard procedures. Approximately 100 mL (or homogenized equivalent) of each sample was placed in a sterile beaker and thoroughly mixed before measurement. The</w:t>
      </w:r>
      <w:r w:rsidR="00801E0B" w:rsidRPr="00FE3924">
        <w:rPr>
          <w:rFonts w:ascii="Times New Roman" w:hAnsi="Times New Roman" w:cs="Times New Roman"/>
        </w:rPr>
        <w:t xml:space="preserve"> pH</w:t>
      </w:r>
      <w:r w:rsidRPr="00FE3924">
        <w:rPr>
          <w:rFonts w:ascii="Times New Roman" w:hAnsi="Times New Roman" w:cs="Times New Roman"/>
        </w:rPr>
        <w:t xml:space="preserve"> electrode was rinsed with distilled water between readings to avoid cross-contamination. Measurements were performed in triplicate</w:t>
      </w:r>
      <w:r w:rsidR="00027138" w:rsidRPr="00FE3924">
        <w:rPr>
          <w:rFonts w:ascii="Times New Roman" w:hAnsi="Times New Roman" w:cs="Times New Roman"/>
        </w:rPr>
        <w:t>.</w:t>
      </w:r>
    </w:p>
    <w:p w14:paraId="7F6489C8" w14:textId="2B2740A7" w:rsidR="00435618" w:rsidRPr="00FE3924" w:rsidRDefault="00435618" w:rsidP="00D60327">
      <w:pPr>
        <w:spacing w:after="0" w:line="480" w:lineRule="auto"/>
        <w:jc w:val="both"/>
        <w:rPr>
          <w:rFonts w:ascii="Times New Roman" w:hAnsi="Times New Roman" w:cs="Times New Roman"/>
        </w:rPr>
      </w:pPr>
    </w:p>
    <w:p w14:paraId="4F06B911" w14:textId="630F0327"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Microbial Analysis</w:t>
      </w:r>
    </w:p>
    <w:p w14:paraId="4FF691DF" w14:textId="5AF604E9"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Sample Preparation and Serial Dilution</w:t>
      </w:r>
    </w:p>
    <w:p w14:paraId="414709E7" w14:textId="6884A27F"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One gram of each sample was aseptically homogenized in 9 mL of sterile distilled water to obtain a 10⁻¹ dilution. Serial dilutions were prepared up to 10⁻⁵ for yoghurt and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and up to 10⁻⁷ for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due to their higher microbial loads, as observed in preliminary counts. Appropriate dilutions were used for microbial enumeration (</w:t>
      </w:r>
      <w:proofErr w:type="spellStart"/>
      <w:r w:rsidR="00704C42" w:rsidRPr="00FE3924">
        <w:rPr>
          <w:rFonts w:ascii="Times New Roman" w:hAnsi="Times New Roman" w:cs="Times New Roman"/>
        </w:rPr>
        <w:t>Ogwaro</w:t>
      </w:r>
      <w:proofErr w:type="spellEnd"/>
      <w:r w:rsidR="00704C42" w:rsidRPr="00FE3924">
        <w:rPr>
          <w:rFonts w:ascii="Times New Roman" w:hAnsi="Times New Roman" w:cs="Times New Roman"/>
        </w:rPr>
        <w:t xml:space="preserve"> </w:t>
      </w:r>
      <w:r w:rsidRPr="00FE3924">
        <w:rPr>
          <w:rFonts w:ascii="Times New Roman" w:hAnsi="Times New Roman" w:cs="Times New Roman"/>
        </w:rPr>
        <w:t>et al., 20</w:t>
      </w:r>
      <w:r w:rsidR="00704C42" w:rsidRPr="00FE3924">
        <w:rPr>
          <w:rFonts w:ascii="Times New Roman" w:hAnsi="Times New Roman" w:cs="Times New Roman"/>
        </w:rPr>
        <w:t>23</w:t>
      </w:r>
      <w:r w:rsidRPr="00FE3924">
        <w:rPr>
          <w:rFonts w:ascii="Times New Roman" w:hAnsi="Times New Roman" w:cs="Times New Roman"/>
        </w:rPr>
        <w:t>).</w:t>
      </w:r>
      <w:r w:rsidR="00801E0B" w:rsidRPr="00FE3924">
        <w:rPr>
          <w:rFonts w:ascii="Times New Roman" w:eastAsia="Times New Roman" w:hAnsi="Times New Roman" w:cs="Times New Roman"/>
        </w:rPr>
        <w:t xml:space="preserve"> </w:t>
      </w:r>
    </w:p>
    <w:p w14:paraId="13B8C881" w14:textId="77777777" w:rsidR="00435618" w:rsidRPr="00FE3924" w:rsidRDefault="00435618" w:rsidP="00D60327">
      <w:pPr>
        <w:spacing w:after="0" w:line="480" w:lineRule="auto"/>
        <w:jc w:val="both"/>
        <w:rPr>
          <w:rFonts w:ascii="Times New Roman" w:hAnsi="Times New Roman" w:cs="Times New Roman"/>
          <w:b/>
          <w:bCs/>
        </w:rPr>
      </w:pPr>
    </w:p>
    <w:p w14:paraId="710729F0" w14:textId="15D7D2A5"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lastRenderedPageBreak/>
        <w:t>Enumeration of Microorganisms</w:t>
      </w:r>
    </w:p>
    <w:p w14:paraId="3AE0D5F2" w14:textId="26B2C29A" w:rsidR="00435618" w:rsidRPr="00503B08"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Aliquots (0.1–0.5 mL) of appropriate dilutions were plated using the spread plate method on </w:t>
      </w:r>
      <w:r w:rsidRPr="00503B08">
        <w:rPr>
          <w:rFonts w:ascii="Times New Roman" w:hAnsi="Times New Roman" w:cs="Times New Roman"/>
        </w:rPr>
        <w:t>selective and differential media as follows:</w:t>
      </w:r>
      <w:r w:rsidR="00D634C8" w:rsidRPr="00503B08">
        <w:rPr>
          <w:rFonts w:ascii="Times New Roman" w:hAnsi="Times New Roman" w:cs="Times New Roman"/>
        </w:rPr>
        <w:t xml:space="preserve"> </w:t>
      </w:r>
    </w:p>
    <w:p w14:paraId="5E7C8532" w14:textId="1ADF0F53" w:rsidR="00435618" w:rsidRPr="00503B08" w:rsidRDefault="00435618" w:rsidP="00D60327">
      <w:pPr>
        <w:spacing w:after="0" w:line="480" w:lineRule="auto"/>
        <w:jc w:val="both"/>
        <w:rPr>
          <w:rFonts w:ascii="Times New Roman" w:hAnsi="Times New Roman" w:cs="Times New Roman"/>
        </w:rPr>
      </w:pPr>
      <w:r w:rsidRPr="00503B08">
        <w:rPr>
          <w:rFonts w:ascii="Times New Roman" w:hAnsi="Times New Roman" w:cs="Times New Roman"/>
        </w:rPr>
        <w:t>Total viable count (TVC): Nutrient Agar (NA), incubated at 35 °C for 24 h</w:t>
      </w:r>
      <w:r w:rsidR="00675E15" w:rsidRPr="00503B08">
        <w:rPr>
          <w:rFonts w:ascii="Times New Roman" w:hAnsi="Times New Roman" w:cs="Times New Roman"/>
        </w:rPr>
        <w:t>.</w:t>
      </w:r>
    </w:p>
    <w:p w14:paraId="6A0EB8A9" w14:textId="7A5B9C78" w:rsidR="00435618" w:rsidRPr="00503B08" w:rsidRDefault="00435618" w:rsidP="00D60327">
      <w:pPr>
        <w:spacing w:after="0" w:line="480" w:lineRule="auto"/>
        <w:jc w:val="both"/>
        <w:rPr>
          <w:rFonts w:ascii="Times New Roman" w:hAnsi="Times New Roman" w:cs="Times New Roman"/>
        </w:rPr>
      </w:pPr>
      <w:r w:rsidRPr="00503B08">
        <w:rPr>
          <w:rFonts w:ascii="Times New Roman" w:hAnsi="Times New Roman" w:cs="Times New Roman"/>
        </w:rPr>
        <w:t xml:space="preserve">Lactic acid bacteria (LAB): De Man, </w:t>
      </w:r>
      <w:proofErr w:type="spellStart"/>
      <w:r w:rsidRPr="00503B08">
        <w:rPr>
          <w:rFonts w:ascii="Times New Roman" w:hAnsi="Times New Roman" w:cs="Times New Roman"/>
        </w:rPr>
        <w:t>Rogosa</w:t>
      </w:r>
      <w:proofErr w:type="spellEnd"/>
      <w:r w:rsidRPr="00503B08">
        <w:rPr>
          <w:rFonts w:ascii="Times New Roman" w:hAnsi="Times New Roman" w:cs="Times New Roman"/>
        </w:rPr>
        <w:t xml:space="preserve"> and Sharpe (MRS) agar, incubated at 35 °C for 48–72 h under anaerobic conditions</w:t>
      </w:r>
      <w:r w:rsidR="00675E15" w:rsidRPr="00503B08">
        <w:rPr>
          <w:rFonts w:ascii="Times New Roman" w:hAnsi="Times New Roman" w:cs="Times New Roman"/>
        </w:rPr>
        <w:t>.</w:t>
      </w:r>
    </w:p>
    <w:p w14:paraId="51CF2201" w14:textId="278EA613" w:rsidR="00435618" w:rsidRPr="00FE3924" w:rsidRDefault="00435618" w:rsidP="00D60327">
      <w:pPr>
        <w:spacing w:after="0" w:line="480" w:lineRule="auto"/>
        <w:jc w:val="both"/>
        <w:rPr>
          <w:rFonts w:ascii="Times New Roman" w:hAnsi="Times New Roman" w:cs="Times New Roman"/>
        </w:rPr>
      </w:pPr>
      <w:r w:rsidRPr="00503B08">
        <w:rPr>
          <w:rFonts w:ascii="Times New Roman" w:hAnsi="Times New Roman" w:cs="Times New Roman"/>
        </w:rPr>
        <w:t>Fungal count (TFC): Potato</w:t>
      </w:r>
      <w:r w:rsidRPr="00FE3924">
        <w:rPr>
          <w:rFonts w:ascii="Times New Roman" w:hAnsi="Times New Roman" w:cs="Times New Roman"/>
        </w:rPr>
        <w:t xml:space="preserve"> Dextrose Agar (PDA), incubated at 25 °C for 3–5 days</w:t>
      </w:r>
      <w:r w:rsidR="00675E15" w:rsidRPr="00FE3924">
        <w:rPr>
          <w:rFonts w:ascii="Times New Roman" w:hAnsi="Times New Roman" w:cs="Times New Roman"/>
        </w:rPr>
        <w:t>.</w:t>
      </w:r>
    </w:p>
    <w:p w14:paraId="12586ED0" w14:textId="19919003"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Plates with 30–300 colonies were counted and expressed as colony-forming units per milliliter (</w:t>
      </w:r>
      <w:proofErr w:type="spellStart"/>
      <w:r w:rsidRPr="00FE3924">
        <w:rPr>
          <w:rFonts w:ascii="Times New Roman" w:hAnsi="Times New Roman" w:cs="Times New Roman"/>
        </w:rPr>
        <w:t>cfu</w:t>
      </w:r>
      <w:proofErr w:type="spellEnd"/>
      <w:r w:rsidRPr="00FE3924">
        <w:rPr>
          <w:rFonts w:ascii="Times New Roman" w:hAnsi="Times New Roman" w:cs="Times New Roman"/>
        </w:rPr>
        <w:t>/mL). Counts were performed in triplicate and reported as mean ± standard deviation. Values recorded as too few to count (TFTC) or too numerous to count (TNTC) were noted accordingly</w:t>
      </w:r>
      <w:r w:rsidR="0066624A" w:rsidRPr="00FE3924">
        <w:rPr>
          <w:rFonts w:ascii="Times New Roman" w:hAnsi="Times New Roman" w:cs="Times New Roman"/>
        </w:rPr>
        <w:t>.</w:t>
      </w:r>
    </w:p>
    <w:p w14:paraId="3E3B83A2" w14:textId="72F1AB90"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b/>
          <w:bCs/>
        </w:rPr>
        <w:t>Isolation and Purification of Bacterial Isolates</w:t>
      </w:r>
    </w:p>
    <w:p w14:paraId="060839A1" w14:textId="21269E1A"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Distinct colonies were selected based on morphological differences and purified by repeated streaking on </w:t>
      </w:r>
      <w:r w:rsidR="00503B08">
        <w:rPr>
          <w:rFonts w:ascii="Times New Roman" w:hAnsi="Times New Roman" w:cs="Times New Roman"/>
        </w:rPr>
        <w:t xml:space="preserve">the </w:t>
      </w:r>
      <w:r w:rsidRPr="00FE3924">
        <w:rPr>
          <w:rFonts w:ascii="Times New Roman" w:hAnsi="Times New Roman" w:cs="Times New Roman"/>
        </w:rPr>
        <w:t>respective media. Pure cultures were maintained on agar slants and stored at 4 °C for further analysis (</w:t>
      </w:r>
      <w:proofErr w:type="spellStart"/>
      <w:r w:rsidR="0066624A" w:rsidRPr="00FE3924">
        <w:rPr>
          <w:rFonts w:ascii="Times New Roman" w:hAnsi="Times New Roman" w:cs="Times New Roman"/>
        </w:rPr>
        <w:t>Fowoyo</w:t>
      </w:r>
      <w:proofErr w:type="spellEnd"/>
      <w:r w:rsidR="0066624A" w:rsidRPr="00FE3924">
        <w:rPr>
          <w:rFonts w:ascii="Times New Roman" w:hAnsi="Times New Roman" w:cs="Times New Roman"/>
        </w:rPr>
        <w:t xml:space="preserve"> and Baba-Ali, 2020</w:t>
      </w:r>
      <w:r w:rsidRPr="00FE3924">
        <w:rPr>
          <w:rFonts w:ascii="Times New Roman" w:hAnsi="Times New Roman" w:cs="Times New Roman"/>
        </w:rPr>
        <w:t>).</w:t>
      </w:r>
    </w:p>
    <w:p w14:paraId="0497866C" w14:textId="050DA700"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Morphological Characterization</w:t>
      </w:r>
    </w:p>
    <w:p w14:paraId="440C81CD" w14:textId="6E1DEE2E"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Colonial characteristics such as </w:t>
      </w:r>
      <w:proofErr w:type="spellStart"/>
      <w:r w:rsidRPr="00FE3924">
        <w:rPr>
          <w:rFonts w:ascii="Times New Roman" w:hAnsi="Times New Roman" w:cs="Times New Roman"/>
        </w:rPr>
        <w:t>colour</w:t>
      </w:r>
      <w:proofErr w:type="spellEnd"/>
      <w:r w:rsidRPr="00FE3924">
        <w:rPr>
          <w:rFonts w:ascii="Times New Roman" w:hAnsi="Times New Roman" w:cs="Times New Roman"/>
        </w:rPr>
        <w:t>, shape, and elevation were initially observed. Gram staining was performed using standard procedures to differentiate isolates into Gram-positive and Gram-negative groups. Microscopic examination was carried out using oil immersion at ×100 magnification to determine cell morphology and arrangement (</w:t>
      </w:r>
      <w:r w:rsidR="00841C5B" w:rsidRPr="00FE3924">
        <w:rPr>
          <w:rFonts w:ascii="Times New Roman" w:hAnsi="Times New Roman" w:cs="Times New Roman"/>
        </w:rPr>
        <w:t xml:space="preserve">Olumuyiwa et al., 2025; </w:t>
      </w:r>
      <w:r w:rsidR="00B26723" w:rsidRPr="00FE3924">
        <w:rPr>
          <w:rFonts w:ascii="Times New Roman" w:hAnsi="Times New Roman" w:cs="Times New Roman"/>
        </w:rPr>
        <w:t xml:space="preserve">Taiwo </w:t>
      </w:r>
      <w:r w:rsidRPr="00FE3924">
        <w:rPr>
          <w:rFonts w:ascii="Times New Roman" w:hAnsi="Times New Roman" w:cs="Times New Roman"/>
        </w:rPr>
        <w:t>et al., 2018).</w:t>
      </w:r>
    </w:p>
    <w:p w14:paraId="57963987" w14:textId="23AE33C1"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Biochemical Characterization</w:t>
      </w:r>
    </w:p>
    <w:p w14:paraId="3929E6CE" w14:textId="7777777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Bacterial isolates were further identified using standard biochemical tests:</w:t>
      </w:r>
    </w:p>
    <w:p w14:paraId="178842DB" w14:textId="77777777" w:rsidR="00435618" w:rsidRPr="00FE3924" w:rsidRDefault="00435618" w:rsidP="00BE4743">
      <w:pPr>
        <w:spacing w:after="0" w:line="480" w:lineRule="auto"/>
        <w:jc w:val="both"/>
        <w:rPr>
          <w:rFonts w:ascii="Times New Roman" w:hAnsi="Times New Roman" w:cs="Times New Roman"/>
        </w:rPr>
      </w:pPr>
      <w:r w:rsidRPr="00FE3924">
        <w:rPr>
          <w:rFonts w:ascii="Times New Roman" w:hAnsi="Times New Roman" w:cs="Times New Roman"/>
          <w:b/>
          <w:bCs/>
        </w:rPr>
        <w:lastRenderedPageBreak/>
        <w:t>Catalase test:</w:t>
      </w:r>
      <w:r w:rsidRPr="00FE3924">
        <w:rPr>
          <w:rFonts w:ascii="Times New Roman" w:hAnsi="Times New Roman" w:cs="Times New Roman"/>
        </w:rPr>
        <w:t xml:space="preserve"> Bubble formation upon addition of 3% hydrogen peroxide indicated a positive reaction</w:t>
      </w:r>
    </w:p>
    <w:p w14:paraId="6179931D" w14:textId="77777777" w:rsidR="00435618" w:rsidRPr="00FE3924" w:rsidRDefault="00435618" w:rsidP="00BE4743">
      <w:pPr>
        <w:spacing w:after="0" w:line="480" w:lineRule="auto"/>
        <w:jc w:val="both"/>
        <w:rPr>
          <w:rFonts w:ascii="Times New Roman" w:hAnsi="Times New Roman" w:cs="Times New Roman"/>
        </w:rPr>
      </w:pPr>
      <w:r w:rsidRPr="00FE3924">
        <w:rPr>
          <w:rFonts w:ascii="Times New Roman" w:hAnsi="Times New Roman" w:cs="Times New Roman"/>
          <w:b/>
          <w:bCs/>
        </w:rPr>
        <w:t>Oxidase test:</w:t>
      </w:r>
      <w:r w:rsidRPr="00FE3924">
        <w:rPr>
          <w:rFonts w:ascii="Times New Roman" w:hAnsi="Times New Roman" w:cs="Times New Roman"/>
        </w:rPr>
        <w:t xml:space="preserve"> Development of blue-purple </w:t>
      </w:r>
      <w:proofErr w:type="spellStart"/>
      <w:r w:rsidRPr="00FE3924">
        <w:rPr>
          <w:rFonts w:ascii="Times New Roman" w:hAnsi="Times New Roman" w:cs="Times New Roman"/>
        </w:rPr>
        <w:t>colour</w:t>
      </w:r>
      <w:proofErr w:type="spellEnd"/>
      <w:r w:rsidRPr="00FE3924">
        <w:rPr>
          <w:rFonts w:ascii="Times New Roman" w:hAnsi="Times New Roman" w:cs="Times New Roman"/>
        </w:rPr>
        <w:t xml:space="preserve"> on oxidase disc indicated positivity</w:t>
      </w:r>
    </w:p>
    <w:p w14:paraId="100DAB49" w14:textId="77777777" w:rsidR="00435618" w:rsidRPr="00FE3924" w:rsidRDefault="00435618" w:rsidP="00BE4743">
      <w:pPr>
        <w:spacing w:after="0" w:line="480" w:lineRule="auto"/>
        <w:jc w:val="both"/>
        <w:rPr>
          <w:rFonts w:ascii="Times New Roman" w:hAnsi="Times New Roman" w:cs="Times New Roman"/>
        </w:rPr>
      </w:pPr>
      <w:r w:rsidRPr="00FE3924">
        <w:rPr>
          <w:rFonts w:ascii="Times New Roman" w:hAnsi="Times New Roman" w:cs="Times New Roman"/>
          <w:b/>
          <w:bCs/>
        </w:rPr>
        <w:t>Indole test:</w:t>
      </w:r>
      <w:r w:rsidRPr="00FE3924">
        <w:rPr>
          <w:rFonts w:ascii="Times New Roman" w:hAnsi="Times New Roman" w:cs="Times New Roman"/>
        </w:rPr>
        <w:t xml:space="preserve"> Red ring formation after addition of Kovac’s reagent indicated a positive result</w:t>
      </w:r>
    </w:p>
    <w:p w14:paraId="7770CAA3" w14:textId="77777777" w:rsidR="00435618" w:rsidRPr="00FE3924" w:rsidRDefault="00435618" w:rsidP="00BE4743">
      <w:pPr>
        <w:spacing w:after="0" w:line="480" w:lineRule="auto"/>
        <w:jc w:val="both"/>
        <w:rPr>
          <w:rFonts w:ascii="Times New Roman" w:hAnsi="Times New Roman" w:cs="Times New Roman"/>
        </w:rPr>
      </w:pPr>
      <w:r w:rsidRPr="00FE3924">
        <w:rPr>
          <w:rFonts w:ascii="Times New Roman" w:hAnsi="Times New Roman" w:cs="Times New Roman"/>
          <w:b/>
          <w:bCs/>
        </w:rPr>
        <w:t>Citrate utilization test:</w:t>
      </w:r>
      <w:r w:rsidRPr="00FE3924">
        <w:rPr>
          <w:rFonts w:ascii="Times New Roman" w:hAnsi="Times New Roman" w:cs="Times New Roman"/>
        </w:rPr>
        <w:t xml:space="preserve"> Blue coloration of citrate medium indicated a positive reaction</w:t>
      </w:r>
    </w:p>
    <w:p w14:paraId="3D1AB51E" w14:textId="77777777" w:rsidR="00435618" w:rsidRPr="00FE3924" w:rsidRDefault="00435618" w:rsidP="00BE4743">
      <w:pPr>
        <w:spacing w:after="0" w:line="480" w:lineRule="auto"/>
        <w:jc w:val="both"/>
        <w:rPr>
          <w:rFonts w:ascii="Times New Roman" w:hAnsi="Times New Roman" w:cs="Times New Roman"/>
        </w:rPr>
      </w:pPr>
      <w:r w:rsidRPr="00FE3924">
        <w:rPr>
          <w:rFonts w:ascii="Times New Roman" w:hAnsi="Times New Roman" w:cs="Times New Roman"/>
          <w:b/>
          <w:bCs/>
        </w:rPr>
        <w:t>Coagulase test:</w:t>
      </w:r>
      <w:r w:rsidRPr="00FE3924">
        <w:rPr>
          <w:rFonts w:ascii="Times New Roman" w:hAnsi="Times New Roman" w:cs="Times New Roman"/>
        </w:rPr>
        <w:t xml:space="preserve"> Agglutination in plasma indicated coagulase-positive organisms</w:t>
      </w:r>
    </w:p>
    <w:p w14:paraId="44A31AF0" w14:textId="26AF7F4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These tests were used to differentiate and identify isolates into probable genera such as </w:t>
      </w:r>
      <w:r w:rsidRPr="00FE3924">
        <w:rPr>
          <w:rFonts w:ascii="Times New Roman" w:hAnsi="Times New Roman" w:cs="Times New Roman"/>
          <w:i/>
          <w:iCs/>
        </w:rPr>
        <w:t>Lactobacillus</w:t>
      </w:r>
      <w:r w:rsidRPr="00FE3924">
        <w:rPr>
          <w:rFonts w:ascii="Times New Roman" w:hAnsi="Times New Roman" w:cs="Times New Roman"/>
        </w:rPr>
        <w:t xml:space="preserve">, </w:t>
      </w:r>
      <w:r w:rsidRPr="00FE3924">
        <w:rPr>
          <w:rFonts w:ascii="Times New Roman" w:hAnsi="Times New Roman" w:cs="Times New Roman"/>
          <w:i/>
          <w:iCs/>
        </w:rPr>
        <w:t>Streptococcus</w:t>
      </w:r>
      <w:r w:rsidRPr="00FE3924">
        <w:rPr>
          <w:rFonts w:ascii="Times New Roman" w:hAnsi="Times New Roman" w:cs="Times New Roman"/>
        </w:rPr>
        <w:t xml:space="preserve">, </w:t>
      </w:r>
      <w:r w:rsidRPr="00FE3924">
        <w:rPr>
          <w:rFonts w:ascii="Times New Roman" w:hAnsi="Times New Roman" w:cs="Times New Roman"/>
          <w:i/>
          <w:iCs/>
        </w:rPr>
        <w:t>Enterococcus</w:t>
      </w:r>
      <w:r w:rsidRPr="00FE3924">
        <w:rPr>
          <w:rFonts w:ascii="Times New Roman" w:hAnsi="Times New Roman" w:cs="Times New Roman"/>
        </w:rPr>
        <w:t xml:space="preserve">, </w:t>
      </w:r>
      <w:r w:rsidRPr="00FE3924">
        <w:rPr>
          <w:rFonts w:ascii="Times New Roman" w:hAnsi="Times New Roman" w:cs="Times New Roman"/>
          <w:i/>
          <w:iCs/>
        </w:rPr>
        <w:t>Enterobacter</w:t>
      </w:r>
      <w:r w:rsidRPr="00FE3924">
        <w:rPr>
          <w:rFonts w:ascii="Times New Roman" w:hAnsi="Times New Roman" w:cs="Times New Roman"/>
        </w:rPr>
        <w:t xml:space="preserve">, and </w:t>
      </w:r>
      <w:r w:rsidRPr="00FE3924">
        <w:rPr>
          <w:rFonts w:ascii="Times New Roman" w:hAnsi="Times New Roman" w:cs="Times New Roman"/>
          <w:i/>
          <w:iCs/>
        </w:rPr>
        <w:t>Staphylococcus</w:t>
      </w:r>
      <w:r w:rsidRPr="00FE3924">
        <w:rPr>
          <w:rFonts w:ascii="Times New Roman" w:hAnsi="Times New Roman" w:cs="Times New Roman"/>
        </w:rPr>
        <w:t>, based on established microbiological protocols (</w:t>
      </w:r>
      <w:r w:rsidR="00B26723" w:rsidRPr="00FE3924">
        <w:rPr>
          <w:rFonts w:ascii="Times New Roman" w:hAnsi="Times New Roman" w:cs="Times New Roman"/>
        </w:rPr>
        <w:t xml:space="preserve">Amanullah </w:t>
      </w:r>
      <w:r w:rsidRPr="00FE3924">
        <w:rPr>
          <w:rFonts w:ascii="Times New Roman" w:hAnsi="Times New Roman" w:cs="Times New Roman"/>
        </w:rPr>
        <w:t>et al., 20</w:t>
      </w:r>
      <w:r w:rsidR="00B26723" w:rsidRPr="00FE3924">
        <w:rPr>
          <w:rFonts w:ascii="Times New Roman" w:hAnsi="Times New Roman" w:cs="Times New Roman"/>
        </w:rPr>
        <w:t>20</w:t>
      </w:r>
      <w:r w:rsidRPr="00FE3924">
        <w:rPr>
          <w:rFonts w:ascii="Times New Roman" w:hAnsi="Times New Roman" w:cs="Times New Roman"/>
        </w:rPr>
        <w:t xml:space="preserve">; </w:t>
      </w:r>
      <w:proofErr w:type="spellStart"/>
      <w:r w:rsidR="00B26723" w:rsidRPr="00FE3924">
        <w:rPr>
          <w:rFonts w:ascii="Times New Roman" w:hAnsi="Times New Roman" w:cs="Times New Roman"/>
        </w:rPr>
        <w:t>Ohaegbu</w:t>
      </w:r>
      <w:proofErr w:type="spellEnd"/>
      <w:r w:rsidR="00B26723" w:rsidRPr="00FE3924">
        <w:rPr>
          <w:rFonts w:ascii="Times New Roman" w:hAnsi="Times New Roman" w:cs="Times New Roman"/>
        </w:rPr>
        <w:t xml:space="preserve"> </w:t>
      </w:r>
      <w:r w:rsidRPr="00FE3924">
        <w:rPr>
          <w:rFonts w:ascii="Times New Roman" w:hAnsi="Times New Roman" w:cs="Times New Roman"/>
        </w:rPr>
        <w:t>et al., 202</w:t>
      </w:r>
      <w:r w:rsidR="00B26723" w:rsidRPr="00FE3924">
        <w:rPr>
          <w:rFonts w:ascii="Times New Roman" w:hAnsi="Times New Roman" w:cs="Times New Roman"/>
        </w:rPr>
        <w:t>2</w:t>
      </w:r>
      <w:r w:rsidRPr="00FE3924">
        <w:rPr>
          <w:rFonts w:ascii="Times New Roman" w:hAnsi="Times New Roman" w:cs="Times New Roman"/>
        </w:rPr>
        <w:t>).</w:t>
      </w:r>
    </w:p>
    <w:p w14:paraId="6D4DE984" w14:textId="62919B58"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b/>
          <w:bCs/>
        </w:rPr>
        <w:t>Fungal Identification</w:t>
      </w:r>
    </w:p>
    <w:p w14:paraId="61046789" w14:textId="15F12F54"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Fungal isolates were identified based on macroscopic colony characteristics (</w:t>
      </w:r>
      <w:proofErr w:type="spellStart"/>
      <w:r w:rsidRPr="00FE3924">
        <w:rPr>
          <w:rFonts w:ascii="Times New Roman" w:hAnsi="Times New Roman" w:cs="Times New Roman"/>
        </w:rPr>
        <w:t>colour</w:t>
      </w:r>
      <w:proofErr w:type="spellEnd"/>
      <w:r w:rsidRPr="00FE3924">
        <w:rPr>
          <w:rFonts w:ascii="Times New Roman" w:hAnsi="Times New Roman" w:cs="Times New Roman"/>
        </w:rPr>
        <w:t xml:space="preserve">, texture, growth pattern) and microscopic features such as spore type and hyphal structure using standard mycological techniques. Identification was based on morphological keys for genera such as </w:t>
      </w:r>
      <w:r w:rsidRPr="00FE3924">
        <w:rPr>
          <w:rFonts w:ascii="Times New Roman" w:hAnsi="Times New Roman" w:cs="Times New Roman"/>
          <w:i/>
          <w:iCs/>
        </w:rPr>
        <w:t>Saccharomyces</w:t>
      </w:r>
      <w:r w:rsidRPr="00FE3924">
        <w:rPr>
          <w:rFonts w:ascii="Times New Roman" w:hAnsi="Times New Roman" w:cs="Times New Roman"/>
        </w:rPr>
        <w:t xml:space="preserve"> and </w:t>
      </w:r>
      <w:r w:rsidRPr="00FE3924">
        <w:rPr>
          <w:rFonts w:ascii="Times New Roman" w:hAnsi="Times New Roman" w:cs="Times New Roman"/>
          <w:i/>
          <w:iCs/>
        </w:rPr>
        <w:t>Aspergillus</w:t>
      </w:r>
      <w:r w:rsidRPr="00FE3924">
        <w:rPr>
          <w:rFonts w:ascii="Times New Roman" w:hAnsi="Times New Roman" w:cs="Times New Roman"/>
        </w:rPr>
        <w:t xml:space="preserve"> (</w:t>
      </w:r>
      <w:r w:rsidR="00841C5B" w:rsidRPr="00FE3924">
        <w:rPr>
          <w:rFonts w:ascii="Times New Roman" w:hAnsi="Times New Roman" w:cs="Times New Roman"/>
        </w:rPr>
        <w:t xml:space="preserve">Olumuyiwa </w:t>
      </w:r>
      <w:r w:rsidRPr="00FE3924">
        <w:rPr>
          <w:rFonts w:ascii="Times New Roman" w:hAnsi="Times New Roman" w:cs="Times New Roman"/>
        </w:rPr>
        <w:t>et al., 202</w:t>
      </w:r>
      <w:r w:rsidR="00841C5B" w:rsidRPr="00FE3924">
        <w:rPr>
          <w:rFonts w:ascii="Times New Roman" w:hAnsi="Times New Roman" w:cs="Times New Roman"/>
        </w:rPr>
        <w:t>5</w:t>
      </w:r>
      <w:r w:rsidRPr="00FE3924">
        <w:rPr>
          <w:rFonts w:ascii="Times New Roman" w:hAnsi="Times New Roman" w:cs="Times New Roman"/>
        </w:rPr>
        <w:t>).</w:t>
      </w:r>
    </w:p>
    <w:p w14:paraId="311BC37B" w14:textId="62D596CC"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b/>
          <w:bCs/>
        </w:rPr>
        <w:t>Proximate Analysis</w:t>
      </w:r>
    </w:p>
    <w:p w14:paraId="11271E2E" w14:textId="2ACC8C70"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Proximate composition of the samples was determined using standard methods of the Association of Official Analytical Chemists (AOAC, 201</w:t>
      </w:r>
      <w:r w:rsidR="00027138" w:rsidRPr="00FE3924">
        <w:rPr>
          <w:rFonts w:ascii="Times New Roman" w:hAnsi="Times New Roman" w:cs="Times New Roman"/>
        </w:rPr>
        <w:t>0</w:t>
      </w:r>
      <w:r w:rsidRPr="00FE3924">
        <w:rPr>
          <w:rFonts w:ascii="Times New Roman" w:hAnsi="Times New Roman" w:cs="Times New Roman"/>
        </w:rPr>
        <w:t>), with slight modifications.</w:t>
      </w:r>
    </w:p>
    <w:p w14:paraId="13920534" w14:textId="566D69F0"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b/>
          <w:bCs/>
        </w:rPr>
        <w:t>Moisture Content</w:t>
      </w:r>
    </w:p>
    <w:p w14:paraId="63DE63C8" w14:textId="7777777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Moisture content was determined by oven drying at 105 °C to constant weight. Results were expressed as percentage weight loss.</w:t>
      </w:r>
    </w:p>
    <w:p w14:paraId="4F0EFAEC" w14:textId="59501C10"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Ash Content</w:t>
      </w:r>
    </w:p>
    <w:p w14:paraId="0CBD07A1" w14:textId="7777777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Ash content was determined by incineration of samples in a muffle furnace at 550 °C for 5 h. The residue was weighed and expressed as percentage ash.</w:t>
      </w:r>
    </w:p>
    <w:p w14:paraId="36D8D723" w14:textId="7F95F5A1"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b/>
          <w:bCs/>
        </w:rPr>
        <w:lastRenderedPageBreak/>
        <w:t>Crude Protein</w:t>
      </w:r>
    </w:p>
    <w:p w14:paraId="37C21E33" w14:textId="7777777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Protein content was determined using the micro-Kjeldahl method. Nitrogen content was calculated and multiplied by a conversion factor of 6.60 to obtain crude protein content.</w:t>
      </w:r>
    </w:p>
    <w:p w14:paraId="75ECFA86" w14:textId="2905F96B"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b/>
          <w:bCs/>
        </w:rPr>
        <w:t>Crude Fat</w:t>
      </w:r>
    </w:p>
    <w:p w14:paraId="1F53E396" w14:textId="7777777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Fat content was determined using Soxhlet extraction with petroleum ether (40–60 °C) for 6 h. Extracted lipid was dried and expressed as percentage fat.</w:t>
      </w:r>
    </w:p>
    <w:p w14:paraId="18B05B01" w14:textId="33829589"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 xml:space="preserve">Crude </w:t>
      </w:r>
      <w:proofErr w:type="spellStart"/>
      <w:r w:rsidRPr="00FE3924">
        <w:rPr>
          <w:rFonts w:ascii="Times New Roman" w:hAnsi="Times New Roman" w:cs="Times New Roman"/>
          <w:b/>
          <w:bCs/>
        </w:rPr>
        <w:t>Fibre</w:t>
      </w:r>
      <w:proofErr w:type="spellEnd"/>
    </w:p>
    <w:p w14:paraId="409FEF22" w14:textId="7777777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Crude </w:t>
      </w:r>
      <w:proofErr w:type="spellStart"/>
      <w:r w:rsidRPr="00FE3924">
        <w:rPr>
          <w:rFonts w:ascii="Times New Roman" w:hAnsi="Times New Roman" w:cs="Times New Roman"/>
        </w:rPr>
        <w:t>fibre</w:t>
      </w:r>
      <w:proofErr w:type="spellEnd"/>
      <w:r w:rsidRPr="00FE3924">
        <w:rPr>
          <w:rFonts w:ascii="Times New Roman" w:hAnsi="Times New Roman" w:cs="Times New Roman"/>
        </w:rPr>
        <w:t xml:space="preserve"> was determined by sequential acid and alkaline digestion, followed by incineration. The difference in weight before and after </w:t>
      </w:r>
      <w:proofErr w:type="spellStart"/>
      <w:r w:rsidRPr="00FE3924">
        <w:rPr>
          <w:rFonts w:ascii="Times New Roman" w:hAnsi="Times New Roman" w:cs="Times New Roman"/>
        </w:rPr>
        <w:t>ashing</w:t>
      </w:r>
      <w:proofErr w:type="spellEnd"/>
      <w:r w:rsidRPr="00FE3924">
        <w:rPr>
          <w:rFonts w:ascii="Times New Roman" w:hAnsi="Times New Roman" w:cs="Times New Roman"/>
        </w:rPr>
        <w:t xml:space="preserve"> was used to calculate </w:t>
      </w:r>
      <w:proofErr w:type="spellStart"/>
      <w:r w:rsidRPr="00FE3924">
        <w:rPr>
          <w:rFonts w:ascii="Times New Roman" w:hAnsi="Times New Roman" w:cs="Times New Roman"/>
        </w:rPr>
        <w:t>fibre</w:t>
      </w:r>
      <w:proofErr w:type="spellEnd"/>
      <w:r w:rsidRPr="00FE3924">
        <w:rPr>
          <w:rFonts w:ascii="Times New Roman" w:hAnsi="Times New Roman" w:cs="Times New Roman"/>
        </w:rPr>
        <w:t xml:space="preserve"> content.</w:t>
      </w:r>
    </w:p>
    <w:p w14:paraId="3CCCD780" w14:textId="6B87F900"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Carbohydrate Content</w:t>
      </w:r>
    </w:p>
    <w:p w14:paraId="197410D6" w14:textId="14FCA689"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Carbohydrate content was calculated by difference</w:t>
      </w:r>
      <w:r w:rsidR="00DA058F" w:rsidRPr="00FE3924">
        <w:rPr>
          <w:rFonts w:ascii="Times New Roman" w:hAnsi="Times New Roman" w:cs="Times New Roman"/>
        </w:rPr>
        <w:t xml:space="preserve"> as follows</w:t>
      </w:r>
    </w:p>
    <w:p w14:paraId="78A0840C" w14:textId="39BC7FA4" w:rsidR="00DA058F" w:rsidRPr="00FE3924" w:rsidRDefault="00DA058F" w:rsidP="00D60327">
      <w:pPr>
        <w:spacing w:after="0" w:line="480" w:lineRule="auto"/>
        <w:jc w:val="both"/>
        <w:rPr>
          <w:rFonts w:ascii="Times New Roman" w:hAnsi="Times New Roman" w:cs="Times New Roman"/>
        </w:rPr>
      </w:pPr>
      <m:oMathPara>
        <m:oMath>
          <m:r>
            <m:rPr>
              <m:sty m:val="p"/>
            </m:rPr>
            <w:rPr>
              <w:rFonts w:ascii="Cambria Math" w:hAnsi="Cambria Math" w:cs="Times New Roman"/>
            </w:rPr>
            <m:t>Carbohydrate (%) = 100 -(%Moisture +% Ash +% Protein +%Fat +%Fibre)</m:t>
          </m:r>
        </m:oMath>
      </m:oMathPara>
    </w:p>
    <w:p w14:paraId="3B145C30" w14:textId="4F86B47B" w:rsidR="00435618" w:rsidRPr="00FE3924" w:rsidRDefault="00435618" w:rsidP="00D60327">
      <w:pPr>
        <w:spacing w:after="0" w:line="480" w:lineRule="auto"/>
        <w:jc w:val="both"/>
        <w:rPr>
          <w:rFonts w:ascii="Times New Roman" w:hAnsi="Times New Roman" w:cs="Times New Roman"/>
        </w:rPr>
      </w:pPr>
    </w:p>
    <w:p w14:paraId="17218238" w14:textId="031615F0"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Statistical Analysis</w:t>
      </w:r>
    </w:p>
    <w:p w14:paraId="7B8D5D94" w14:textId="5434A75C"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All analyses were performed in triplicate and results expressed as mean ± standard deviation. Data were subjected to one-way analysis of variance (ANOVA), and significant differences among means were determined at p &lt; 0.05 using Duncan’s multiple range test</w:t>
      </w:r>
      <w:r w:rsidR="00A21AF5" w:rsidRPr="00FE3924">
        <w:rPr>
          <w:rFonts w:ascii="Times New Roman" w:hAnsi="Times New Roman" w:cs="Times New Roman"/>
        </w:rPr>
        <w:t>.</w:t>
      </w:r>
    </w:p>
    <w:p w14:paraId="604C9050" w14:textId="77777777" w:rsidR="00435618" w:rsidRPr="00FE3924" w:rsidRDefault="00435618" w:rsidP="00D60327">
      <w:pPr>
        <w:spacing w:after="0" w:line="480" w:lineRule="auto"/>
        <w:jc w:val="both"/>
        <w:rPr>
          <w:rFonts w:ascii="Times New Roman" w:hAnsi="Times New Roman" w:cs="Times New Roman"/>
        </w:rPr>
      </w:pPr>
    </w:p>
    <w:p w14:paraId="4C132B75" w14:textId="46942DDA"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Results</w:t>
      </w:r>
      <w:r w:rsidR="00503B08">
        <w:rPr>
          <w:rFonts w:ascii="Times New Roman" w:hAnsi="Times New Roman" w:cs="Times New Roman"/>
          <w:b/>
          <w:bCs/>
        </w:rPr>
        <w:t xml:space="preserve"> &amp; Discussion</w:t>
      </w:r>
    </w:p>
    <w:p w14:paraId="1676FE46" w14:textId="385B06D5"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Microbial Load and Physicochemical Properties of Samples</w:t>
      </w:r>
    </w:p>
    <w:p w14:paraId="6E0583F1" w14:textId="7777777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 microbial load and physicochemical properties of the fermented food samples are presented in Table 1. The total viable count (TVC) varied significantly (p &lt; 0.05) among the samples, with </w:t>
      </w:r>
      <w:proofErr w:type="spellStart"/>
      <w:r w:rsidRPr="00FE3924">
        <w:rPr>
          <w:rFonts w:ascii="Times New Roman" w:hAnsi="Times New Roman" w:cs="Times New Roman"/>
        </w:rPr>
        <w:lastRenderedPageBreak/>
        <w:t>Ugba</w:t>
      </w:r>
      <w:proofErr w:type="spellEnd"/>
      <w:r w:rsidRPr="00FE3924">
        <w:rPr>
          <w:rFonts w:ascii="Times New Roman" w:hAnsi="Times New Roman" w:cs="Times New Roman"/>
        </w:rPr>
        <w:t xml:space="preserve"> recording the highest value of (4.2 × 10⁸ </w:t>
      </w:r>
      <w:proofErr w:type="spellStart"/>
      <w:r w:rsidRPr="00FE3924">
        <w:rPr>
          <w:rFonts w:ascii="Times New Roman" w:hAnsi="Times New Roman" w:cs="Times New Roman"/>
        </w:rPr>
        <w:t>cfu</w:t>
      </w:r>
      <w:proofErr w:type="spellEnd"/>
      <w:r w:rsidRPr="00FE3924">
        <w:rPr>
          <w:rFonts w:ascii="Times New Roman" w:hAnsi="Times New Roman" w:cs="Times New Roman"/>
        </w:rPr>
        <w:t xml:space="preserve">/ml), followed by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(3.4 × 10⁸ </w:t>
      </w:r>
      <w:proofErr w:type="spellStart"/>
      <w:r w:rsidRPr="00FE3924">
        <w:rPr>
          <w:rFonts w:ascii="Times New Roman" w:hAnsi="Times New Roman" w:cs="Times New Roman"/>
        </w:rPr>
        <w:t>cfu</w:t>
      </w:r>
      <w:proofErr w:type="spellEnd"/>
      <w:r w:rsidRPr="00FE3924">
        <w:rPr>
          <w:rFonts w:ascii="Times New Roman" w:hAnsi="Times New Roman" w:cs="Times New Roman"/>
        </w:rPr>
        <w:t xml:space="preserve">/ml), while Yoghurt (6.1 × 10⁶ </w:t>
      </w:r>
      <w:proofErr w:type="spellStart"/>
      <w:r w:rsidRPr="00FE3924">
        <w:rPr>
          <w:rFonts w:ascii="Times New Roman" w:hAnsi="Times New Roman" w:cs="Times New Roman"/>
        </w:rPr>
        <w:t>cfu</w:t>
      </w:r>
      <w:proofErr w:type="spellEnd"/>
      <w:r w:rsidRPr="00FE3924">
        <w:rPr>
          <w:rFonts w:ascii="Times New Roman" w:hAnsi="Times New Roman" w:cs="Times New Roman"/>
        </w:rPr>
        <w:t xml:space="preserve">/ml) and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(3.5 × 10⁶ </w:t>
      </w:r>
      <w:proofErr w:type="spellStart"/>
      <w:r w:rsidRPr="00FE3924">
        <w:rPr>
          <w:rFonts w:ascii="Times New Roman" w:hAnsi="Times New Roman" w:cs="Times New Roman"/>
        </w:rPr>
        <w:t>cfu</w:t>
      </w:r>
      <w:proofErr w:type="spellEnd"/>
      <w:r w:rsidRPr="00FE3924">
        <w:rPr>
          <w:rFonts w:ascii="Times New Roman" w:hAnsi="Times New Roman" w:cs="Times New Roman"/>
        </w:rPr>
        <w:t>/ml) had significantly lower counts.</w:t>
      </w:r>
    </w:p>
    <w:p w14:paraId="64A39D73" w14:textId="7777777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Total lactic acid bacteria (LAB) counts also showed significant differences (p &lt; 0.05), with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exhibiting the highest LAB population (1.0 × 10⁹ </w:t>
      </w:r>
      <w:proofErr w:type="spellStart"/>
      <w:r w:rsidRPr="00FE3924">
        <w:rPr>
          <w:rFonts w:ascii="Times New Roman" w:hAnsi="Times New Roman" w:cs="Times New Roman"/>
        </w:rPr>
        <w:t>cfu</w:t>
      </w:r>
      <w:proofErr w:type="spellEnd"/>
      <w:r w:rsidRPr="00FE3924">
        <w:rPr>
          <w:rFonts w:ascii="Times New Roman" w:hAnsi="Times New Roman" w:cs="Times New Roman"/>
        </w:rPr>
        <w:t xml:space="preserve">/ml), followed by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(3.0 × 10⁸ </w:t>
      </w:r>
      <w:proofErr w:type="spellStart"/>
      <w:r w:rsidRPr="00FE3924">
        <w:rPr>
          <w:rFonts w:ascii="Times New Roman" w:hAnsi="Times New Roman" w:cs="Times New Roman"/>
        </w:rPr>
        <w:t>cfu</w:t>
      </w:r>
      <w:proofErr w:type="spellEnd"/>
      <w:r w:rsidRPr="00FE3924">
        <w:rPr>
          <w:rFonts w:ascii="Times New Roman" w:hAnsi="Times New Roman" w:cs="Times New Roman"/>
        </w:rPr>
        <w:t xml:space="preserve">/ml), whereas Yoghurt (6.8 × 10⁶ </w:t>
      </w:r>
      <w:proofErr w:type="spellStart"/>
      <w:r w:rsidRPr="00FE3924">
        <w:rPr>
          <w:rFonts w:ascii="Times New Roman" w:hAnsi="Times New Roman" w:cs="Times New Roman"/>
        </w:rPr>
        <w:t>cfu</w:t>
      </w:r>
      <w:proofErr w:type="spellEnd"/>
      <w:r w:rsidRPr="00FE3924">
        <w:rPr>
          <w:rFonts w:ascii="Times New Roman" w:hAnsi="Times New Roman" w:cs="Times New Roman"/>
        </w:rPr>
        <w:t xml:space="preserve">/ml) and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(4.9 × 10⁶ </w:t>
      </w:r>
      <w:proofErr w:type="spellStart"/>
      <w:r w:rsidRPr="00FE3924">
        <w:rPr>
          <w:rFonts w:ascii="Times New Roman" w:hAnsi="Times New Roman" w:cs="Times New Roman"/>
        </w:rPr>
        <w:t>cfu</w:t>
      </w:r>
      <w:proofErr w:type="spellEnd"/>
      <w:r w:rsidRPr="00FE3924">
        <w:rPr>
          <w:rFonts w:ascii="Times New Roman" w:hAnsi="Times New Roman" w:cs="Times New Roman"/>
        </w:rPr>
        <w:t>/ml) had comparatively lower values.</w:t>
      </w:r>
    </w:p>
    <w:p w14:paraId="73DC2A01" w14:textId="754FAC1C"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Fungal counts were detectable only in Nunu (4.0 × 10⁶ </w:t>
      </w:r>
      <w:proofErr w:type="spellStart"/>
      <w:r w:rsidRPr="00FE3924">
        <w:rPr>
          <w:rFonts w:ascii="Times New Roman" w:hAnsi="Times New Roman" w:cs="Times New Roman"/>
        </w:rPr>
        <w:t>cfu</w:t>
      </w:r>
      <w:proofErr w:type="spellEnd"/>
      <w:r w:rsidRPr="00FE3924">
        <w:rPr>
          <w:rFonts w:ascii="Times New Roman" w:hAnsi="Times New Roman" w:cs="Times New Roman"/>
        </w:rPr>
        <w:t xml:space="preserve">/ml), while </w:t>
      </w:r>
      <w:r w:rsidR="00675E15" w:rsidRPr="00FE3924">
        <w:rPr>
          <w:rFonts w:ascii="Times New Roman" w:hAnsi="Times New Roman" w:cs="Times New Roman"/>
        </w:rPr>
        <w:t>Yoghurt</w:t>
      </w:r>
      <w:r w:rsidRPr="00FE3924">
        <w:rPr>
          <w:rFonts w:ascii="Times New Roman" w:hAnsi="Times New Roman" w:cs="Times New Roman"/>
        </w:rPr>
        <w:t xml:space="preserve"> recorded too few to count (TFTC), and both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had fungal loads too numerous to count (TNTC).</w:t>
      </w:r>
    </w:p>
    <w:p w14:paraId="3CAF36F6" w14:textId="46DC2BE4"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 pH values differed significantly (p &lt; 0.05) across the samples, with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having the highest pH (7.35), followed by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(7.05),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(6.00), and Yoghurt (5.65), which was the most acidic. However, no significant difference (p &gt; 0.05) was observed in temperature, as all samples were recorded at 31.0°C.</w:t>
      </w:r>
    </w:p>
    <w:p w14:paraId="2FD85966" w14:textId="77777777" w:rsidR="00C10538" w:rsidRDefault="00C10538" w:rsidP="00D60327">
      <w:pPr>
        <w:spacing w:after="0" w:line="480" w:lineRule="auto"/>
        <w:jc w:val="both"/>
        <w:rPr>
          <w:rFonts w:ascii="Times New Roman" w:hAnsi="Times New Roman" w:cs="Times New Roman"/>
        </w:rPr>
      </w:pPr>
    </w:p>
    <w:p w14:paraId="21193799" w14:textId="77777777" w:rsidR="00503B08" w:rsidRDefault="00503B08" w:rsidP="00D60327">
      <w:pPr>
        <w:spacing w:after="0" w:line="480" w:lineRule="auto"/>
        <w:jc w:val="both"/>
        <w:rPr>
          <w:rFonts w:ascii="Times New Roman" w:hAnsi="Times New Roman" w:cs="Times New Roman"/>
        </w:rPr>
      </w:pPr>
    </w:p>
    <w:p w14:paraId="63EC0184" w14:textId="77777777" w:rsidR="00503B08" w:rsidRDefault="00503B08" w:rsidP="00D60327">
      <w:pPr>
        <w:spacing w:after="0" w:line="480" w:lineRule="auto"/>
        <w:jc w:val="both"/>
        <w:rPr>
          <w:rFonts w:ascii="Times New Roman" w:hAnsi="Times New Roman" w:cs="Times New Roman"/>
        </w:rPr>
      </w:pPr>
    </w:p>
    <w:p w14:paraId="41A45900" w14:textId="77777777" w:rsidR="00503B08" w:rsidRDefault="00503B08" w:rsidP="00D60327">
      <w:pPr>
        <w:spacing w:after="0" w:line="480" w:lineRule="auto"/>
        <w:jc w:val="both"/>
        <w:rPr>
          <w:rFonts w:ascii="Times New Roman" w:hAnsi="Times New Roman" w:cs="Times New Roman"/>
        </w:rPr>
      </w:pPr>
    </w:p>
    <w:p w14:paraId="1C684FD1" w14:textId="77777777" w:rsidR="00503B08" w:rsidRDefault="00503B08" w:rsidP="00D60327">
      <w:pPr>
        <w:spacing w:after="0" w:line="480" w:lineRule="auto"/>
        <w:jc w:val="both"/>
        <w:rPr>
          <w:rFonts w:ascii="Times New Roman" w:hAnsi="Times New Roman" w:cs="Times New Roman"/>
        </w:rPr>
      </w:pPr>
    </w:p>
    <w:p w14:paraId="45D744A8" w14:textId="77777777" w:rsidR="00503B08" w:rsidRDefault="00503B08" w:rsidP="00D60327">
      <w:pPr>
        <w:spacing w:after="0" w:line="480" w:lineRule="auto"/>
        <w:jc w:val="both"/>
        <w:rPr>
          <w:rFonts w:ascii="Times New Roman" w:hAnsi="Times New Roman" w:cs="Times New Roman"/>
        </w:rPr>
      </w:pPr>
    </w:p>
    <w:p w14:paraId="1C31CDA7" w14:textId="77777777" w:rsidR="00503B08" w:rsidRPr="00FE3924" w:rsidRDefault="00503B08" w:rsidP="00D60327">
      <w:pPr>
        <w:spacing w:after="0" w:line="480" w:lineRule="auto"/>
        <w:jc w:val="both"/>
        <w:rPr>
          <w:rFonts w:ascii="Times New Roman" w:hAnsi="Times New Roman" w:cs="Times New Roman"/>
        </w:rPr>
      </w:pPr>
    </w:p>
    <w:p w14:paraId="524E6624" w14:textId="77777777" w:rsidR="00C10538" w:rsidRPr="00FE3924" w:rsidRDefault="00C10538" w:rsidP="00D60327">
      <w:pPr>
        <w:spacing w:after="0" w:line="480" w:lineRule="auto"/>
        <w:jc w:val="both"/>
        <w:rPr>
          <w:rFonts w:ascii="Times New Roman" w:hAnsi="Times New Roman" w:cs="Times New Roman"/>
        </w:rPr>
      </w:pPr>
    </w:p>
    <w:p w14:paraId="2E24FA11" w14:textId="02E75377" w:rsidR="00432E97" w:rsidRPr="00FE3924" w:rsidRDefault="007A0B3B" w:rsidP="00D60327">
      <w:pPr>
        <w:spacing w:after="0" w:line="480" w:lineRule="auto"/>
        <w:jc w:val="both"/>
        <w:rPr>
          <w:rFonts w:ascii="Times New Roman" w:hAnsi="Times New Roman" w:cs="Times New Roman"/>
          <w:b/>
          <w:bCs/>
        </w:rPr>
      </w:pPr>
      <w:r w:rsidRPr="00FE3924">
        <w:rPr>
          <w:rFonts w:ascii="Times New Roman" w:hAnsi="Times New Roman" w:cs="Times New Roman"/>
          <w:b/>
          <w:bCs/>
        </w:rPr>
        <w:t>Table 1: Microbial Load and Physicochemical Properties of Samples (Mean ± SD)</w:t>
      </w:r>
    </w:p>
    <w:tbl>
      <w:tblPr>
        <w:tblStyle w:val="TableGrid"/>
        <w:tblW w:w="1035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073"/>
        <w:gridCol w:w="1800"/>
        <w:gridCol w:w="1710"/>
        <w:gridCol w:w="1678"/>
        <w:gridCol w:w="1416"/>
        <w:gridCol w:w="1683"/>
      </w:tblGrid>
      <w:tr w:rsidR="00432E97" w:rsidRPr="00FE3924" w14:paraId="3C2336F5" w14:textId="77777777" w:rsidTr="00C10538">
        <w:trPr>
          <w:trHeight w:val="862"/>
        </w:trPr>
        <w:tc>
          <w:tcPr>
            <w:tcW w:w="992" w:type="dxa"/>
            <w:tcBorders>
              <w:top w:val="single" w:sz="4" w:space="0" w:color="auto"/>
              <w:bottom w:val="single" w:sz="4" w:space="0" w:color="auto"/>
            </w:tcBorders>
            <w:vAlign w:val="center"/>
          </w:tcPr>
          <w:p w14:paraId="1BE86499" w14:textId="7E92B64B"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b/>
                <w:bCs/>
              </w:rPr>
              <w:t>Sample</w:t>
            </w:r>
          </w:p>
        </w:tc>
        <w:tc>
          <w:tcPr>
            <w:tcW w:w="1073" w:type="dxa"/>
            <w:tcBorders>
              <w:top w:val="single" w:sz="4" w:space="0" w:color="auto"/>
              <w:bottom w:val="single" w:sz="4" w:space="0" w:color="auto"/>
            </w:tcBorders>
            <w:vAlign w:val="center"/>
          </w:tcPr>
          <w:p w14:paraId="3D680492" w14:textId="5D685740"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b/>
                <w:bCs/>
              </w:rPr>
              <w:t>Dilution Factor</w:t>
            </w:r>
          </w:p>
        </w:tc>
        <w:tc>
          <w:tcPr>
            <w:tcW w:w="1800" w:type="dxa"/>
            <w:tcBorders>
              <w:top w:val="single" w:sz="4" w:space="0" w:color="auto"/>
              <w:bottom w:val="single" w:sz="4" w:space="0" w:color="auto"/>
            </w:tcBorders>
            <w:vAlign w:val="center"/>
          </w:tcPr>
          <w:p w14:paraId="5A841759" w14:textId="06E823C5"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b/>
                <w:bCs/>
              </w:rPr>
              <w:t>TVC (</w:t>
            </w:r>
            <w:proofErr w:type="spellStart"/>
            <w:r w:rsidRPr="00FE3924">
              <w:rPr>
                <w:rFonts w:ascii="Times New Roman" w:hAnsi="Times New Roman" w:cs="Times New Roman"/>
                <w:b/>
                <w:bCs/>
              </w:rPr>
              <w:t>cfu</w:t>
            </w:r>
            <w:proofErr w:type="spellEnd"/>
            <w:r w:rsidRPr="00FE3924">
              <w:rPr>
                <w:rFonts w:ascii="Times New Roman" w:hAnsi="Times New Roman" w:cs="Times New Roman"/>
                <w:b/>
                <w:bCs/>
              </w:rPr>
              <w:t>/ml)</w:t>
            </w:r>
          </w:p>
        </w:tc>
        <w:tc>
          <w:tcPr>
            <w:tcW w:w="1710" w:type="dxa"/>
            <w:tcBorders>
              <w:top w:val="single" w:sz="4" w:space="0" w:color="auto"/>
              <w:bottom w:val="single" w:sz="4" w:space="0" w:color="auto"/>
            </w:tcBorders>
            <w:vAlign w:val="center"/>
          </w:tcPr>
          <w:p w14:paraId="1880A805" w14:textId="12B0F72A"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b/>
                <w:bCs/>
              </w:rPr>
              <w:t>TFC (</w:t>
            </w:r>
            <w:proofErr w:type="spellStart"/>
            <w:r w:rsidRPr="00FE3924">
              <w:rPr>
                <w:rFonts w:ascii="Times New Roman" w:hAnsi="Times New Roman" w:cs="Times New Roman"/>
                <w:b/>
                <w:bCs/>
              </w:rPr>
              <w:t>cfu</w:t>
            </w:r>
            <w:proofErr w:type="spellEnd"/>
            <w:r w:rsidRPr="00FE3924">
              <w:rPr>
                <w:rFonts w:ascii="Times New Roman" w:hAnsi="Times New Roman" w:cs="Times New Roman"/>
                <w:b/>
                <w:bCs/>
              </w:rPr>
              <w:t>/ml)</w:t>
            </w:r>
          </w:p>
        </w:tc>
        <w:tc>
          <w:tcPr>
            <w:tcW w:w="1678" w:type="dxa"/>
            <w:tcBorders>
              <w:top w:val="single" w:sz="4" w:space="0" w:color="auto"/>
              <w:bottom w:val="single" w:sz="4" w:space="0" w:color="auto"/>
            </w:tcBorders>
            <w:vAlign w:val="center"/>
          </w:tcPr>
          <w:p w14:paraId="1ABA96DE" w14:textId="2A06BB62" w:rsidR="00432E97" w:rsidRPr="00FE3924" w:rsidRDefault="00432E97" w:rsidP="00D60327">
            <w:pPr>
              <w:spacing w:line="480" w:lineRule="auto"/>
              <w:rPr>
                <w:rFonts w:ascii="Times New Roman" w:hAnsi="Times New Roman" w:cs="Times New Roman"/>
              </w:rPr>
            </w:pPr>
            <w:r w:rsidRPr="00FE3924">
              <w:rPr>
                <w:rFonts w:ascii="Times New Roman" w:hAnsi="Times New Roman" w:cs="Times New Roman"/>
                <w:b/>
                <w:bCs/>
              </w:rPr>
              <w:t>Total LAB Count (</w:t>
            </w:r>
            <w:proofErr w:type="spellStart"/>
            <w:r w:rsidRPr="00FE3924">
              <w:rPr>
                <w:rFonts w:ascii="Times New Roman" w:hAnsi="Times New Roman" w:cs="Times New Roman"/>
                <w:b/>
                <w:bCs/>
              </w:rPr>
              <w:t>cfu</w:t>
            </w:r>
            <w:proofErr w:type="spellEnd"/>
            <w:r w:rsidRPr="00FE3924">
              <w:rPr>
                <w:rFonts w:ascii="Times New Roman" w:hAnsi="Times New Roman" w:cs="Times New Roman"/>
                <w:b/>
                <w:bCs/>
              </w:rPr>
              <w:t>/ml)</w:t>
            </w:r>
          </w:p>
        </w:tc>
        <w:tc>
          <w:tcPr>
            <w:tcW w:w="1416" w:type="dxa"/>
            <w:tcBorders>
              <w:top w:val="single" w:sz="4" w:space="0" w:color="auto"/>
              <w:bottom w:val="single" w:sz="4" w:space="0" w:color="auto"/>
            </w:tcBorders>
            <w:vAlign w:val="center"/>
          </w:tcPr>
          <w:p w14:paraId="033A8E54" w14:textId="5F4F701F"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b/>
                <w:bCs/>
              </w:rPr>
              <w:t>pH</w:t>
            </w:r>
          </w:p>
        </w:tc>
        <w:tc>
          <w:tcPr>
            <w:tcW w:w="1683" w:type="dxa"/>
            <w:tcBorders>
              <w:top w:val="single" w:sz="4" w:space="0" w:color="auto"/>
              <w:bottom w:val="single" w:sz="4" w:space="0" w:color="auto"/>
            </w:tcBorders>
            <w:vAlign w:val="center"/>
          </w:tcPr>
          <w:p w14:paraId="7872F185" w14:textId="058D4715"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b/>
                <w:bCs/>
              </w:rPr>
              <w:t>Temperature (°C)</w:t>
            </w:r>
          </w:p>
        </w:tc>
      </w:tr>
      <w:tr w:rsidR="00432E97" w:rsidRPr="00FE3924" w14:paraId="758D516E" w14:textId="77777777" w:rsidTr="00C10538">
        <w:trPr>
          <w:trHeight w:val="579"/>
        </w:trPr>
        <w:tc>
          <w:tcPr>
            <w:tcW w:w="992" w:type="dxa"/>
            <w:tcBorders>
              <w:top w:val="single" w:sz="4" w:space="0" w:color="auto"/>
            </w:tcBorders>
            <w:vAlign w:val="center"/>
          </w:tcPr>
          <w:p w14:paraId="1843D2CD" w14:textId="17ECA0BC"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lastRenderedPageBreak/>
              <w:t>Yoghurt</w:t>
            </w:r>
          </w:p>
        </w:tc>
        <w:tc>
          <w:tcPr>
            <w:tcW w:w="1073" w:type="dxa"/>
            <w:tcBorders>
              <w:top w:val="single" w:sz="4" w:space="0" w:color="auto"/>
            </w:tcBorders>
            <w:vAlign w:val="center"/>
          </w:tcPr>
          <w:p w14:paraId="7CFAB33F" w14:textId="6BDF174C"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10⁵</w:t>
            </w:r>
          </w:p>
        </w:tc>
        <w:tc>
          <w:tcPr>
            <w:tcW w:w="1800" w:type="dxa"/>
            <w:tcBorders>
              <w:top w:val="single" w:sz="4" w:space="0" w:color="auto"/>
            </w:tcBorders>
            <w:vAlign w:val="center"/>
          </w:tcPr>
          <w:p w14:paraId="38BB819B" w14:textId="688DB7FE"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 xml:space="preserve">6.1 × 10⁶ᶜ ± 0.2 </w:t>
            </w:r>
          </w:p>
        </w:tc>
        <w:tc>
          <w:tcPr>
            <w:tcW w:w="1710" w:type="dxa"/>
            <w:tcBorders>
              <w:top w:val="single" w:sz="4" w:space="0" w:color="auto"/>
            </w:tcBorders>
            <w:vAlign w:val="center"/>
          </w:tcPr>
          <w:p w14:paraId="0C67EBC2" w14:textId="1FD86F01"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TFTC</w:t>
            </w:r>
          </w:p>
        </w:tc>
        <w:tc>
          <w:tcPr>
            <w:tcW w:w="1678" w:type="dxa"/>
            <w:tcBorders>
              <w:top w:val="single" w:sz="4" w:space="0" w:color="auto"/>
            </w:tcBorders>
            <w:vAlign w:val="center"/>
          </w:tcPr>
          <w:p w14:paraId="09CC19CB" w14:textId="4D274A23"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6.8 × 10⁶ᶜ ± 0.3</w:t>
            </w:r>
          </w:p>
        </w:tc>
        <w:tc>
          <w:tcPr>
            <w:tcW w:w="1416" w:type="dxa"/>
            <w:tcBorders>
              <w:top w:val="single" w:sz="4" w:space="0" w:color="auto"/>
            </w:tcBorders>
            <w:vAlign w:val="center"/>
          </w:tcPr>
          <w:p w14:paraId="76062994" w14:textId="7753F335"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5.65 ± 0.02ᶜ</w:t>
            </w:r>
          </w:p>
        </w:tc>
        <w:tc>
          <w:tcPr>
            <w:tcW w:w="1683" w:type="dxa"/>
            <w:tcBorders>
              <w:top w:val="single" w:sz="4" w:space="0" w:color="auto"/>
            </w:tcBorders>
            <w:vAlign w:val="center"/>
          </w:tcPr>
          <w:p w14:paraId="657612BE" w14:textId="6AA637EE"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31.0 ± 0.0ᵃ</w:t>
            </w:r>
          </w:p>
        </w:tc>
      </w:tr>
      <w:tr w:rsidR="00432E97" w:rsidRPr="00FE3924" w14:paraId="3E1B4770" w14:textId="77777777" w:rsidTr="00C10538">
        <w:trPr>
          <w:trHeight w:val="579"/>
        </w:trPr>
        <w:tc>
          <w:tcPr>
            <w:tcW w:w="992" w:type="dxa"/>
            <w:vAlign w:val="center"/>
          </w:tcPr>
          <w:p w14:paraId="5FBF4BEB" w14:textId="05BC9316"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Nunu</w:t>
            </w:r>
          </w:p>
        </w:tc>
        <w:tc>
          <w:tcPr>
            <w:tcW w:w="1073" w:type="dxa"/>
            <w:vAlign w:val="center"/>
          </w:tcPr>
          <w:p w14:paraId="48D069FC" w14:textId="2E635C81"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10⁵</w:t>
            </w:r>
          </w:p>
        </w:tc>
        <w:tc>
          <w:tcPr>
            <w:tcW w:w="1800" w:type="dxa"/>
            <w:vAlign w:val="center"/>
          </w:tcPr>
          <w:p w14:paraId="7E7ECCCC" w14:textId="34E08C78"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3.5 × 10⁶ᵈ ± 0.1</w:t>
            </w:r>
          </w:p>
        </w:tc>
        <w:tc>
          <w:tcPr>
            <w:tcW w:w="1710" w:type="dxa"/>
            <w:vAlign w:val="center"/>
          </w:tcPr>
          <w:p w14:paraId="6183AFA9" w14:textId="257995A3"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4.0 × 10⁶ᶜ ± 0.2</w:t>
            </w:r>
          </w:p>
        </w:tc>
        <w:tc>
          <w:tcPr>
            <w:tcW w:w="1678" w:type="dxa"/>
            <w:vAlign w:val="center"/>
          </w:tcPr>
          <w:p w14:paraId="13F6C27C" w14:textId="446E50FA"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4.9 × 10⁶ᵈ ± 0.2</w:t>
            </w:r>
          </w:p>
        </w:tc>
        <w:tc>
          <w:tcPr>
            <w:tcW w:w="1416" w:type="dxa"/>
            <w:vAlign w:val="center"/>
          </w:tcPr>
          <w:p w14:paraId="7C8FCB96" w14:textId="57255A97"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6.00 ± 0.03ᵇ</w:t>
            </w:r>
          </w:p>
        </w:tc>
        <w:tc>
          <w:tcPr>
            <w:tcW w:w="1683" w:type="dxa"/>
            <w:vAlign w:val="center"/>
          </w:tcPr>
          <w:p w14:paraId="338230B4" w14:textId="4F112F8B"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31.0 ± 0.0ᵃ</w:t>
            </w:r>
          </w:p>
        </w:tc>
      </w:tr>
      <w:tr w:rsidR="00432E97" w:rsidRPr="00FE3924" w14:paraId="1DD22006" w14:textId="77777777" w:rsidTr="00C10538">
        <w:trPr>
          <w:trHeight w:val="579"/>
        </w:trPr>
        <w:tc>
          <w:tcPr>
            <w:tcW w:w="992" w:type="dxa"/>
            <w:vAlign w:val="center"/>
          </w:tcPr>
          <w:p w14:paraId="407B809F" w14:textId="6159B56B" w:rsidR="00432E97" w:rsidRPr="00FE3924" w:rsidRDefault="00432E97" w:rsidP="00D60327">
            <w:pPr>
              <w:spacing w:line="480" w:lineRule="auto"/>
              <w:jc w:val="both"/>
              <w:rPr>
                <w:rFonts w:ascii="Times New Roman" w:hAnsi="Times New Roman" w:cs="Times New Roman"/>
              </w:rPr>
            </w:pPr>
            <w:proofErr w:type="spellStart"/>
            <w:r w:rsidRPr="00FE3924">
              <w:rPr>
                <w:rFonts w:ascii="Times New Roman" w:hAnsi="Times New Roman" w:cs="Times New Roman"/>
              </w:rPr>
              <w:t>Ogiri</w:t>
            </w:r>
            <w:proofErr w:type="spellEnd"/>
          </w:p>
        </w:tc>
        <w:tc>
          <w:tcPr>
            <w:tcW w:w="1073" w:type="dxa"/>
            <w:vAlign w:val="center"/>
          </w:tcPr>
          <w:p w14:paraId="5D023DA2" w14:textId="4991C67A"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10⁷</w:t>
            </w:r>
          </w:p>
        </w:tc>
        <w:tc>
          <w:tcPr>
            <w:tcW w:w="1800" w:type="dxa"/>
            <w:vAlign w:val="center"/>
          </w:tcPr>
          <w:p w14:paraId="3A0362F1" w14:textId="787812C7"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3.4 × 10⁸ᵇ ± 0.3</w:t>
            </w:r>
          </w:p>
        </w:tc>
        <w:tc>
          <w:tcPr>
            <w:tcW w:w="1710" w:type="dxa"/>
            <w:vAlign w:val="center"/>
          </w:tcPr>
          <w:p w14:paraId="2EF79164" w14:textId="3175620B"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TNTC</w:t>
            </w:r>
          </w:p>
        </w:tc>
        <w:tc>
          <w:tcPr>
            <w:tcW w:w="1678" w:type="dxa"/>
            <w:vAlign w:val="center"/>
          </w:tcPr>
          <w:p w14:paraId="6A917AFF" w14:textId="7F3EFC4F"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3.0 × 10⁸ᵇ ± 0.2</w:t>
            </w:r>
          </w:p>
        </w:tc>
        <w:tc>
          <w:tcPr>
            <w:tcW w:w="1416" w:type="dxa"/>
            <w:vAlign w:val="center"/>
          </w:tcPr>
          <w:p w14:paraId="6A288863" w14:textId="2E626B5F"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7.35 ± 0.04ᵃ</w:t>
            </w:r>
          </w:p>
        </w:tc>
        <w:tc>
          <w:tcPr>
            <w:tcW w:w="1683" w:type="dxa"/>
            <w:vAlign w:val="center"/>
          </w:tcPr>
          <w:p w14:paraId="3005328E" w14:textId="10BDDAFB"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31.0 ± 0.0ᵃ</w:t>
            </w:r>
          </w:p>
        </w:tc>
      </w:tr>
      <w:tr w:rsidR="00432E97" w:rsidRPr="00FE3924" w14:paraId="4DAF0246" w14:textId="77777777" w:rsidTr="00C10538">
        <w:trPr>
          <w:trHeight w:val="579"/>
        </w:trPr>
        <w:tc>
          <w:tcPr>
            <w:tcW w:w="992" w:type="dxa"/>
            <w:vAlign w:val="center"/>
          </w:tcPr>
          <w:p w14:paraId="5D4AFE95" w14:textId="5E867CE3" w:rsidR="00432E97" w:rsidRPr="00FE3924" w:rsidRDefault="00432E97" w:rsidP="00D60327">
            <w:pPr>
              <w:spacing w:line="480" w:lineRule="auto"/>
              <w:jc w:val="both"/>
              <w:rPr>
                <w:rFonts w:ascii="Times New Roman" w:hAnsi="Times New Roman" w:cs="Times New Roman"/>
              </w:rPr>
            </w:pPr>
            <w:proofErr w:type="spellStart"/>
            <w:r w:rsidRPr="00FE3924">
              <w:rPr>
                <w:rFonts w:ascii="Times New Roman" w:hAnsi="Times New Roman" w:cs="Times New Roman"/>
              </w:rPr>
              <w:t>Ugba</w:t>
            </w:r>
            <w:proofErr w:type="spellEnd"/>
          </w:p>
        </w:tc>
        <w:tc>
          <w:tcPr>
            <w:tcW w:w="1073" w:type="dxa"/>
            <w:vAlign w:val="center"/>
          </w:tcPr>
          <w:p w14:paraId="21157B03" w14:textId="68720906"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10⁷</w:t>
            </w:r>
          </w:p>
        </w:tc>
        <w:tc>
          <w:tcPr>
            <w:tcW w:w="1800" w:type="dxa"/>
            <w:vAlign w:val="center"/>
          </w:tcPr>
          <w:p w14:paraId="501CF69C" w14:textId="79D10EFB"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4.2 × 10⁸ᵃ ± 0.4</w:t>
            </w:r>
          </w:p>
        </w:tc>
        <w:tc>
          <w:tcPr>
            <w:tcW w:w="1710" w:type="dxa"/>
            <w:vAlign w:val="center"/>
          </w:tcPr>
          <w:p w14:paraId="022D9452" w14:textId="6438B149"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TNTC</w:t>
            </w:r>
          </w:p>
        </w:tc>
        <w:tc>
          <w:tcPr>
            <w:tcW w:w="1678" w:type="dxa"/>
            <w:vAlign w:val="center"/>
          </w:tcPr>
          <w:p w14:paraId="299FB281" w14:textId="6DF63255"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1.0 × 10⁹ᵃ ± 0.1</w:t>
            </w:r>
          </w:p>
        </w:tc>
        <w:tc>
          <w:tcPr>
            <w:tcW w:w="1416" w:type="dxa"/>
            <w:vAlign w:val="center"/>
          </w:tcPr>
          <w:p w14:paraId="6E8FD8DA" w14:textId="18F5C78A"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7.05 ± 0.02ᵃ</w:t>
            </w:r>
          </w:p>
        </w:tc>
        <w:tc>
          <w:tcPr>
            <w:tcW w:w="1683" w:type="dxa"/>
            <w:vAlign w:val="center"/>
          </w:tcPr>
          <w:p w14:paraId="1F7F19CF" w14:textId="27F4B8E6" w:rsidR="00432E97" w:rsidRPr="00FE3924" w:rsidRDefault="00432E97" w:rsidP="00D60327">
            <w:pPr>
              <w:spacing w:line="480" w:lineRule="auto"/>
              <w:jc w:val="both"/>
              <w:rPr>
                <w:rFonts w:ascii="Times New Roman" w:hAnsi="Times New Roman" w:cs="Times New Roman"/>
              </w:rPr>
            </w:pPr>
            <w:r w:rsidRPr="00FE3924">
              <w:rPr>
                <w:rFonts w:ascii="Times New Roman" w:hAnsi="Times New Roman" w:cs="Times New Roman"/>
              </w:rPr>
              <w:t>31.0 ± 0.0ᵃ</w:t>
            </w:r>
          </w:p>
        </w:tc>
      </w:tr>
    </w:tbl>
    <w:p w14:paraId="29DD359B" w14:textId="624C8F5E" w:rsidR="007A0B3B" w:rsidRPr="00FE3924" w:rsidRDefault="007A0B3B" w:rsidP="00D60327">
      <w:pPr>
        <w:spacing w:after="0" w:line="480" w:lineRule="auto"/>
        <w:jc w:val="both"/>
        <w:rPr>
          <w:rFonts w:ascii="Times New Roman" w:hAnsi="Times New Roman" w:cs="Times New Roman"/>
        </w:rPr>
      </w:pPr>
      <w:r w:rsidRPr="00FE3924">
        <w:rPr>
          <w:rFonts w:ascii="Times New Roman" w:hAnsi="Times New Roman" w:cs="Times New Roman"/>
        </w:rPr>
        <w:t>Values are mean ± SD</w:t>
      </w:r>
      <w:r w:rsidR="00675E15" w:rsidRPr="00FE3924">
        <w:rPr>
          <w:rFonts w:ascii="Times New Roman" w:hAnsi="Times New Roman" w:cs="Times New Roman"/>
        </w:rPr>
        <w:t xml:space="preserve">. </w:t>
      </w:r>
      <w:r w:rsidRPr="00FE3924">
        <w:rPr>
          <w:rFonts w:ascii="Times New Roman" w:hAnsi="Times New Roman" w:cs="Times New Roman"/>
        </w:rPr>
        <w:t xml:space="preserve">Different superscripts (a–d) within the same column indicate </w:t>
      </w:r>
      <w:r w:rsidR="00E359A4" w:rsidRPr="00FE3924">
        <w:rPr>
          <w:rFonts w:ascii="Times New Roman" w:hAnsi="Times New Roman" w:cs="Times New Roman"/>
        </w:rPr>
        <w:t xml:space="preserve">a </w:t>
      </w:r>
      <w:r w:rsidRPr="00FE3924">
        <w:rPr>
          <w:rFonts w:ascii="Times New Roman" w:hAnsi="Times New Roman" w:cs="Times New Roman"/>
          <w:b/>
          <w:bCs/>
        </w:rPr>
        <w:t>significant difference (p &lt; 0.05)</w:t>
      </w:r>
      <w:r w:rsidRPr="00FE3924">
        <w:rPr>
          <w:rFonts w:ascii="Times New Roman" w:hAnsi="Times New Roman" w:cs="Times New Roman"/>
        </w:rPr>
        <w:t>.</w:t>
      </w:r>
      <w:r w:rsidR="00675E15" w:rsidRPr="00FE3924">
        <w:rPr>
          <w:rFonts w:ascii="Times New Roman" w:hAnsi="Times New Roman" w:cs="Times New Roman"/>
        </w:rPr>
        <w:t xml:space="preserve"> </w:t>
      </w:r>
      <w:r w:rsidRPr="00FE3924">
        <w:rPr>
          <w:rFonts w:ascii="Times New Roman" w:hAnsi="Times New Roman" w:cs="Times New Roman"/>
        </w:rPr>
        <w:t>TFTC = Too few to count; TNTC = Too numerous to count</w:t>
      </w:r>
    </w:p>
    <w:p w14:paraId="0E3BB96D" w14:textId="77777777" w:rsidR="00E359A4" w:rsidRPr="00FE3924" w:rsidRDefault="00E359A4" w:rsidP="00D60327">
      <w:pPr>
        <w:spacing w:after="0" w:line="480" w:lineRule="auto"/>
        <w:jc w:val="both"/>
        <w:rPr>
          <w:rFonts w:ascii="Times New Roman" w:hAnsi="Times New Roman" w:cs="Times New Roman"/>
        </w:rPr>
      </w:pPr>
    </w:p>
    <w:p w14:paraId="40176E19" w14:textId="77777777" w:rsidR="00C10538" w:rsidRPr="00FE3924" w:rsidRDefault="00C10538" w:rsidP="00D60327">
      <w:pPr>
        <w:spacing w:after="0" w:line="480" w:lineRule="auto"/>
        <w:jc w:val="both"/>
        <w:rPr>
          <w:rFonts w:ascii="Times New Roman" w:hAnsi="Times New Roman" w:cs="Times New Roman"/>
        </w:rPr>
      </w:pPr>
    </w:p>
    <w:p w14:paraId="6F0DB1E2" w14:textId="7190BD33" w:rsidR="00775E34" w:rsidRPr="00FE3924" w:rsidRDefault="00775E34" w:rsidP="00D60327">
      <w:pPr>
        <w:spacing w:after="0" w:line="480" w:lineRule="auto"/>
        <w:jc w:val="both"/>
        <w:rPr>
          <w:rFonts w:ascii="Times New Roman" w:hAnsi="Times New Roman" w:cs="Times New Roman"/>
          <w:b/>
          <w:bCs/>
        </w:rPr>
      </w:pPr>
      <w:r w:rsidRPr="00FE3924">
        <w:rPr>
          <w:rFonts w:ascii="Times New Roman" w:hAnsi="Times New Roman" w:cs="Times New Roman"/>
          <w:b/>
          <w:bCs/>
        </w:rPr>
        <w:t>Morphological and Biochemical Characteristics of Bacterial Isolates</w:t>
      </w:r>
    </w:p>
    <w:p w14:paraId="7B6E241C" w14:textId="77777777"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 morphological and biochemical characteristics of bacterial isolates are summarized in Table 2. Gram-positive cocci arranged in clusters were identified in Yoghurt on MRS medium and were characterized as </w:t>
      </w:r>
      <w:r w:rsidRPr="00FE3924">
        <w:rPr>
          <w:rFonts w:ascii="Times New Roman" w:hAnsi="Times New Roman" w:cs="Times New Roman"/>
          <w:i/>
          <w:iCs/>
        </w:rPr>
        <w:t>Streptococcus</w:t>
      </w:r>
      <w:r w:rsidRPr="00FE3924">
        <w:rPr>
          <w:rFonts w:ascii="Times New Roman" w:hAnsi="Times New Roman" w:cs="Times New Roman"/>
        </w:rPr>
        <w:t xml:space="preserve"> spp., while Gram-negative cocci arranged in chains on EMB medium were identified as </w:t>
      </w:r>
      <w:r w:rsidRPr="00FE3924">
        <w:rPr>
          <w:rFonts w:ascii="Times New Roman" w:hAnsi="Times New Roman" w:cs="Times New Roman"/>
          <w:i/>
          <w:iCs/>
        </w:rPr>
        <w:t>Enterobacter</w:t>
      </w:r>
      <w:r w:rsidRPr="00FE3924">
        <w:rPr>
          <w:rFonts w:ascii="Times New Roman" w:hAnsi="Times New Roman" w:cs="Times New Roman"/>
        </w:rPr>
        <w:t xml:space="preserve"> spp.</w:t>
      </w:r>
    </w:p>
    <w:p w14:paraId="4B6C2D7F" w14:textId="77777777"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In Nunu, Gram-positive cocci arranged in chains/clusters on MRS medium were identified as </w:t>
      </w:r>
      <w:r w:rsidRPr="00FE3924">
        <w:rPr>
          <w:rFonts w:ascii="Times New Roman" w:hAnsi="Times New Roman" w:cs="Times New Roman"/>
          <w:i/>
          <w:iCs/>
        </w:rPr>
        <w:t>Enterococcus</w:t>
      </w:r>
      <w:r w:rsidRPr="00FE3924">
        <w:rPr>
          <w:rFonts w:ascii="Times New Roman" w:hAnsi="Times New Roman" w:cs="Times New Roman"/>
        </w:rPr>
        <w:t xml:space="preserve"> spp., whereas Gram-positive rods on EMB medium corresponded to </w:t>
      </w:r>
      <w:r w:rsidRPr="00FE3924">
        <w:rPr>
          <w:rFonts w:ascii="Times New Roman" w:hAnsi="Times New Roman" w:cs="Times New Roman"/>
          <w:i/>
          <w:iCs/>
        </w:rPr>
        <w:t>Enterobacter</w:t>
      </w:r>
      <w:r w:rsidRPr="00FE3924">
        <w:rPr>
          <w:rFonts w:ascii="Times New Roman" w:hAnsi="Times New Roman" w:cs="Times New Roman"/>
        </w:rPr>
        <w:t xml:space="preserve"> spp.</w:t>
      </w:r>
    </w:p>
    <w:p w14:paraId="101A4D90" w14:textId="77777777" w:rsidR="00775E34" w:rsidRPr="00FE3924" w:rsidRDefault="00775E34" w:rsidP="00D60327">
      <w:pPr>
        <w:spacing w:after="0" w:line="480" w:lineRule="auto"/>
        <w:jc w:val="both"/>
        <w:rPr>
          <w:rFonts w:ascii="Times New Roman" w:hAnsi="Times New Roman" w:cs="Times New Roman"/>
        </w:rPr>
      </w:pP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samples showed the presence of Gram-positive rods on MRS medium identified as </w:t>
      </w:r>
      <w:r w:rsidRPr="00FE3924">
        <w:rPr>
          <w:rFonts w:ascii="Times New Roman" w:hAnsi="Times New Roman" w:cs="Times New Roman"/>
          <w:i/>
          <w:iCs/>
        </w:rPr>
        <w:t>Lactobacillus</w:t>
      </w:r>
      <w:r w:rsidRPr="00FE3924">
        <w:rPr>
          <w:rFonts w:ascii="Times New Roman" w:hAnsi="Times New Roman" w:cs="Times New Roman"/>
        </w:rPr>
        <w:t xml:space="preserve"> spp., and Gram-positive cocci on MSA medium identified as </w:t>
      </w:r>
      <w:r w:rsidRPr="00FE3924">
        <w:rPr>
          <w:rFonts w:ascii="Times New Roman" w:hAnsi="Times New Roman" w:cs="Times New Roman"/>
          <w:i/>
          <w:iCs/>
        </w:rPr>
        <w:t>Staphylococcus</w:t>
      </w:r>
      <w:r w:rsidRPr="00FE3924">
        <w:rPr>
          <w:rFonts w:ascii="Times New Roman" w:hAnsi="Times New Roman" w:cs="Times New Roman"/>
        </w:rPr>
        <w:t xml:space="preserve"> spp. Similarly,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samples contained Gram-positive rods identified as </w:t>
      </w:r>
      <w:r w:rsidRPr="00FE3924">
        <w:rPr>
          <w:rFonts w:ascii="Times New Roman" w:hAnsi="Times New Roman" w:cs="Times New Roman"/>
          <w:i/>
          <w:iCs/>
        </w:rPr>
        <w:t>Lactobacillus</w:t>
      </w:r>
      <w:r w:rsidRPr="00FE3924">
        <w:rPr>
          <w:rFonts w:ascii="Times New Roman" w:hAnsi="Times New Roman" w:cs="Times New Roman"/>
        </w:rPr>
        <w:t xml:space="preserve"> spp. on MRS medium and Gram-positive cocci identified as </w:t>
      </w:r>
      <w:r w:rsidRPr="00FE3924">
        <w:rPr>
          <w:rFonts w:ascii="Times New Roman" w:hAnsi="Times New Roman" w:cs="Times New Roman"/>
          <w:i/>
          <w:iCs/>
        </w:rPr>
        <w:t>Staphylococcus</w:t>
      </w:r>
      <w:r w:rsidRPr="00FE3924">
        <w:rPr>
          <w:rFonts w:ascii="Times New Roman" w:hAnsi="Times New Roman" w:cs="Times New Roman"/>
        </w:rPr>
        <w:t xml:space="preserve"> spp. on MSA medium.</w:t>
      </w:r>
    </w:p>
    <w:p w14:paraId="5C1E3A6B" w14:textId="77777777"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Biochemical tests revealed variability in catalase, oxidase, citrate utilization, and coagulase reactions across isolates, supporting their differentiation and identification into lactic acid bacteria and non-lactic acid bacterial groups.</w:t>
      </w:r>
    </w:p>
    <w:p w14:paraId="6C995B51" w14:textId="77777777" w:rsidR="00503B08" w:rsidRDefault="00503B08" w:rsidP="00D60327">
      <w:pPr>
        <w:spacing w:after="0" w:line="480" w:lineRule="auto"/>
        <w:jc w:val="both"/>
        <w:rPr>
          <w:rFonts w:ascii="Times New Roman" w:hAnsi="Times New Roman" w:cs="Times New Roman"/>
          <w:b/>
          <w:bCs/>
        </w:rPr>
      </w:pPr>
    </w:p>
    <w:p w14:paraId="60660AD7" w14:textId="3DAB383D"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Table 2: Morphological, Biochemical Characteristics and Identification of Bacterial Isolates</w:t>
      </w:r>
    </w:p>
    <w:tbl>
      <w:tblPr>
        <w:tblStyle w:val="TableGrid"/>
        <w:tblW w:w="104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939"/>
        <w:gridCol w:w="972"/>
        <w:gridCol w:w="903"/>
        <w:gridCol w:w="1372"/>
        <w:gridCol w:w="950"/>
        <w:gridCol w:w="929"/>
        <w:gridCol w:w="917"/>
        <w:gridCol w:w="1094"/>
        <w:gridCol w:w="1461"/>
      </w:tblGrid>
      <w:tr w:rsidR="00B555B1" w:rsidRPr="00FE3924" w14:paraId="48AE1717" w14:textId="77777777" w:rsidTr="00C10538">
        <w:tc>
          <w:tcPr>
            <w:tcW w:w="923" w:type="dxa"/>
            <w:tcBorders>
              <w:top w:val="single" w:sz="4" w:space="0" w:color="auto"/>
              <w:bottom w:val="single" w:sz="4" w:space="0" w:color="auto"/>
            </w:tcBorders>
            <w:vAlign w:val="center"/>
          </w:tcPr>
          <w:p w14:paraId="709AD562" w14:textId="44D8C9C2"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b/>
                <w:bCs/>
                <w:sz w:val="20"/>
                <w:szCs w:val="20"/>
              </w:rPr>
              <w:t>Sample</w:t>
            </w:r>
          </w:p>
        </w:tc>
        <w:tc>
          <w:tcPr>
            <w:tcW w:w="939" w:type="dxa"/>
            <w:tcBorders>
              <w:top w:val="single" w:sz="4" w:space="0" w:color="auto"/>
              <w:bottom w:val="single" w:sz="4" w:space="0" w:color="auto"/>
            </w:tcBorders>
            <w:vAlign w:val="center"/>
          </w:tcPr>
          <w:p w14:paraId="7EF90D5B" w14:textId="4BC0FD61"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b/>
                <w:bCs/>
                <w:sz w:val="20"/>
                <w:szCs w:val="20"/>
              </w:rPr>
              <w:t>Medium</w:t>
            </w:r>
          </w:p>
        </w:tc>
        <w:tc>
          <w:tcPr>
            <w:tcW w:w="972" w:type="dxa"/>
            <w:tcBorders>
              <w:top w:val="single" w:sz="4" w:space="0" w:color="auto"/>
              <w:bottom w:val="single" w:sz="4" w:space="0" w:color="auto"/>
            </w:tcBorders>
            <w:vAlign w:val="center"/>
          </w:tcPr>
          <w:p w14:paraId="33824688" w14:textId="45C54D47"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b/>
                <w:bCs/>
                <w:sz w:val="20"/>
                <w:szCs w:val="20"/>
              </w:rPr>
              <w:t>Gram Reaction</w:t>
            </w:r>
          </w:p>
        </w:tc>
        <w:tc>
          <w:tcPr>
            <w:tcW w:w="903" w:type="dxa"/>
            <w:tcBorders>
              <w:top w:val="single" w:sz="4" w:space="0" w:color="auto"/>
              <w:bottom w:val="single" w:sz="4" w:space="0" w:color="auto"/>
            </w:tcBorders>
            <w:vAlign w:val="center"/>
          </w:tcPr>
          <w:p w14:paraId="27D8AD98" w14:textId="3D326ADE"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b/>
                <w:bCs/>
                <w:sz w:val="20"/>
                <w:szCs w:val="20"/>
              </w:rPr>
              <w:t>Cell Shape</w:t>
            </w:r>
          </w:p>
        </w:tc>
        <w:tc>
          <w:tcPr>
            <w:tcW w:w="1372" w:type="dxa"/>
            <w:tcBorders>
              <w:top w:val="single" w:sz="4" w:space="0" w:color="auto"/>
              <w:bottom w:val="single" w:sz="4" w:space="0" w:color="auto"/>
            </w:tcBorders>
            <w:vAlign w:val="center"/>
          </w:tcPr>
          <w:p w14:paraId="3E88600F" w14:textId="523AAAD4"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b/>
                <w:bCs/>
                <w:sz w:val="20"/>
                <w:szCs w:val="20"/>
              </w:rPr>
              <w:t>Arrangement</w:t>
            </w:r>
          </w:p>
        </w:tc>
        <w:tc>
          <w:tcPr>
            <w:tcW w:w="950" w:type="dxa"/>
            <w:tcBorders>
              <w:top w:val="single" w:sz="4" w:space="0" w:color="auto"/>
              <w:bottom w:val="single" w:sz="4" w:space="0" w:color="auto"/>
            </w:tcBorders>
            <w:vAlign w:val="center"/>
          </w:tcPr>
          <w:p w14:paraId="10D9F000" w14:textId="2FB85B3D"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b/>
                <w:bCs/>
                <w:sz w:val="20"/>
                <w:szCs w:val="20"/>
              </w:rPr>
              <w:t>Catalase</w:t>
            </w:r>
          </w:p>
        </w:tc>
        <w:tc>
          <w:tcPr>
            <w:tcW w:w="929" w:type="dxa"/>
            <w:tcBorders>
              <w:top w:val="single" w:sz="4" w:space="0" w:color="auto"/>
              <w:bottom w:val="single" w:sz="4" w:space="0" w:color="auto"/>
            </w:tcBorders>
            <w:vAlign w:val="center"/>
          </w:tcPr>
          <w:p w14:paraId="13D8ED98" w14:textId="4E90ECEE"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b/>
                <w:bCs/>
                <w:sz w:val="20"/>
                <w:szCs w:val="20"/>
              </w:rPr>
              <w:t>Oxidase</w:t>
            </w:r>
          </w:p>
        </w:tc>
        <w:tc>
          <w:tcPr>
            <w:tcW w:w="917" w:type="dxa"/>
            <w:tcBorders>
              <w:top w:val="single" w:sz="4" w:space="0" w:color="auto"/>
              <w:bottom w:val="single" w:sz="4" w:space="0" w:color="auto"/>
            </w:tcBorders>
            <w:vAlign w:val="center"/>
          </w:tcPr>
          <w:p w14:paraId="041F9F8A" w14:textId="28DE4206"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b/>
                <w:bCs/>
                <w:sz w:val="20"/>
                <w:szCs w:val="20"/>
              </w:rPr>
              <w:t>Citrate</w:t>
            </w:r>
          </w:p>
        </w:tc>
        <w:tc>
          <w:tcPr>
            <w:tcW w:w="1094" w:type="dxa"/>
            <w:tcBorders>
              <w:top w:val="single" w:sz="4" w:space="0" w:color="auto"/>
              <w:bottom w:val="single" w:sz="4" w:space="0" w:color="auto"/>
            </w:tcBorders>
            <w:vAlign w:val="center"/>
          </w:tcPr>
          <w:p w14:paraId="4C3810E7" w14:textId="7197B8AB"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b/>
                <w:bCs/>
                <w:sz w:val="20"/>
                <w:szCs w:val="20"/>
              </w:rPr>
              <w:t>Coagulase</w:t>
            </w:r>
          </w:p>
        </w:tc>
        <w:tc>
          <w:tcPr>
            <w:tcW w:w="1461" w:type="dxa"/>
            <w:tcBorders>
              <w:top w:val="single" w:sz="4" w:space="0" w:color="auto"/>
              <w:bottom w:val="single" w:sz="4" w:space="0" w:color="auto"/>
            </w:tcBorders>
            <w:vAlign w:val="center"/>
          </w:tcPr>
          <w:p w14:paraId="1DED485C" w14:textId="649465D0"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b/>
                <w:bCs/>
                <w:sz w:val="20"/>
                <w:szCs w:val="20"/>
              </w:rPr>
              <w:t>Probable Organism</w:t>
            </w:r>
          </w:p>
        </w:tc>
      </w:tr>
      <w:tr w:rsidR="00B555B1" w:rsidRPr="00FE3924" w14:paraId="2C73721D" w14:textId="77777777" w:rsidTr="00C10538">
        <w:tc>
          <w:tcPr>
            <w:tcW w:w="923" w:type="dxa"/>
            <w:tcBorders>
              <w:top w:val="single" w:sz="4" w:space="0" w:color="auto"/>
            </w:tcBorders>
            <w:vAlign w:val="center"/>
          </w:tcPr>
          <w:p w14:paraId="490D6D52" w14:textId="2C12D9C5"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Yoghurt</w:t>
            </w:r>
          </w:p>
        </w:tc>
        <w:tc>
          <w:tcPr>
            <w:tcW w:w="939" w:type="dxa"/>
            <w:tcBorders>
              <w:top w:val="single" w:sz="4" w:space="0" w:color="auto"/>
            </w:tcBorders>
            <w:vAlign w:val="center"/>
          </w:tcPr>
          <w:p w14:paraId="2327B403" w14:textId="6A39220C"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MRS</w:t>
            </w:r>
          </w:p>
        </w:tc>
        <w:tc>
          <w:tcPr>
            <w:tcW w:w="972" w:type="dxa"/>
            <w:tcBorders>
              <w:top w:val="single" w:sz="4" w:space="0" w:color="auto"/>
            </w:tcBorders>
            <w:vAlign w:val="center"/>
          </w:tcPr>
          <w:p w14:paraId="4531AD08" w14:textId="2CDC0B24"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03" w:type="dxa"/>
            <w:tcBorders>
              <w:top w:val="single" w:sz="4" w:space="0" w:color="auto"/>
            </w:tcBorders>
            <w:vAlign w:val="center"/>
          </w:tcPr>
          <w:p w14:paraId="1DC7F2DC" w14:textId="10A42352"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Cocci</w:t>
            </w:r>
          </w:p>
        </w:tc>
        <w:tc>
          <w:tcPr>
            <w:tcW w:w="1372" w:type="dxa"/>
            <w:tcBorders>
              <w:top w:val="single" w:sz="4" w:space="0" w:color="auto"/>
            </w:tcBorders>
            <w:vAlign w:val="center"/>
          </w:tcPr>
          <w:p w14:paraId="1ABCAB6E" w14:textId="03EBBFF5"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Clusters</w:t>
            </w:r>
          </w:p>
        </w:tc>
        <w:tc>
          <w:tcPr>
            <w:tcW w:w="950" w:type="dxa"/>
            <w:tcBorders>
              <w:top w:val="single" w:sz="4" w:space="0" w:color="auto"/>
            </w:tcBorders>
            <w:vAlign w:val="center"/>
          </w:tcPr>
          <w:p w14:paraId="530955B4" w14:textId="062FD234"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29" w:type="dxa"/>
            <w:tcBorders>
              <w:top w:val="single" w:sz="4" w:space="0" w:color="auto"/>
            </w:tcBorders>
            <w:vAlign w:val="center"/>
          </w:tcPr>
          <w:p w14:paraId="2829C3D1" w14:textId="739FD135"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17" w:type="dxa"/>
            <w:tcBorders>
              <w:top w:val="single" w:sz="4" w:space="0" w:color="auto"/>
            </w:tcBorders>
            <w:vAlign w:val="center"/>
          </w:tcPr>
          <w:p w14:paraId="6549F234" w14:textId="5529C08F"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1094" w:type="dxa"/>
            <w:tcBorders>
              <w:top w:val="single" w:sz="4" w:space="0" w:color="auto"/>
            </w:tcBorders>
            <w:vAlign w:val="center"/>
          </w:tcPr>
          <w:p w14:paraId="60DDA774" w14:textId="3DCD13C7"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1461" w:type="dxa"/>
            <w:tcBorders>
              <w:top w:val="single" w:sz="4" w:space="0" w:color="auto"/>
            </w:tcBorders>
            <w:vAlign w:val="center"/>
          </w:tcPr>
          <w:p w14:paraId="326E02EE" w14:textId="7F7C8D5C"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i/>
                <w:iCs/>
                <w:sz w:val="20"/>
                <w:szCs w:val="20"/>
              </w:rPr>
              <w:t>Streptococcus</w:t>
            </w:r>
            <w:r w:rsidRPr="00FE3924">
              <w:rPr>
                <w:rFonts w:ascii="Times New Roman" w:hAnsi="Times New Roman" w:cs="Times New Roman"/>
                <w:sz w:val="20"/>
                <w:szCs w:val="20"/>
              </w:rPr>
              <w:t xml:space="preserve"> spp.</w:t>
            </w:r>
          </w:p>
        </w:tc>
      </w:tr>
      <w:tr w:rsidR="00B555B1" w:rsidRPr="00FE3924" w14:paraId="50ED7A33" w14:textId="77777777" w:rsidTr="00C10538">
        <w:tc>
          <w:tcPr>
            <w:tcW w:w="923" w:type="dxa"/>
            <w:vAlign w:val="center"/>
          </w:tcPr>
          <w:p w14:paraId="7A83802A" w14:textId="6847FAFB"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Yoghurt</w:t>
            </w:r>
          </w:p>
        </w:tc>
        <w:tc>
          <w:tcPr>
            <w:tcW w:w="939" w:type="dxa"/>
            <w:vAlign w:val="center"/>
          </w:tcPr>
          <w:p w14:paraId="21D8B223" w14:textId="2C745311"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EMB</w:t>
            </w:r>
          </w:p>
        </w:tc>
        <w:tc>
          <w:tcPr>
            <w:tcW w:w="972" w:type="dxa"/>
            <w:vAlign w:val="center"/>
          </w:tcPr>
          <w:p w14:paraId="1136AB54" w14:textId="05A36B87"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03" w:type="dxa"/>
            <w:vAlign w:val="center"/>
          </w:tcPr>
          <w:p w14:paraId="79577B58" w14:textId="6960BDEE"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Cocci</w:t>
            </w:r>
          </w:p>
        </w:tc>
        <w:tc>
          <w:tcPr>
            <w:tcW w:w="1372" w:type="dxa"/>
            <w:vAlign w:val="center"/>
          </w:tcPr>
          <w:p w14:paraId="2C23EA43" w14:textId="3F6353E3"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Chains</w:t>
            </w:r>
          </w:p>
        </w:tc>
        <w:tc>
          <w:tcPr>
            <w:tcW w:w="950" w:type="dxa"/>
            <w:vAlign w:val="center"/>
          </w:tcPr>
          <w:p w14:paraId="78DED996" w14:textId="6096120A"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29" w:type="dxa"/>
            <w:vAlign w:val="center"/>
          </w:tcPr>
          <w:p w14:paraId="184E5A1D" w14:textId="783EFD05"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17" w:type="dxa"/>
            <w:vAlign w:val="center"/>
          </w:tcPr>
          <w:p w14:paraId="10E3BF83" w14:textId="237D9E88"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1094" w:type="dxa"/>
            <w:vAlign w:val="center"/>
          </w:tcPr>
          <w:p w14:paraId="0C36C82E" w14:textId="253788AC"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1461" w:type="dxa"/>
            <w:vAlign w:val="center"/>
          </w:tcPr>
          <w:p w14:paraId="2CAA3A0B" w14:textId="5E82E9FA"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i/>
                <w:iCs/>
                <w:sz w:val="20"/>
                <w:szCs w:val="20"/>
              </w:rPr>
              <w:t>Enterobacter</w:t>
            </w:r>
            <w:r w:rsidRPr="00FE3924">
              <w:rPr>
                <w:rFonts w:ascii="Times New Roman" w:hAnsi="Times New Roman" w:cs="Times New Roman"/>
                <w:sz w:val="20"/>
                <w:szCs w:val="20"/>
              </w:rPr>
              <w:t xml:space="preserve"> spp.</w:t>
            </w:r>
          </w:p>
        </w:tc>
      </w:tr>
      <w:tr w:rsidR="00B555B1" w:rsidRPr="00FE3924" w14:paraId="06E48932" w14:textId="77777777" w:rsidTr="00C10538">
        <w:tc>
          <w:tcPr>
            <w:tcW w:w="923" w:type="dxa"/>
            <w:vAlign w:val="center"/>
          </w:tcPr>
          <w:p w14:paraId="1A267788" w14:textId="5F56FE33"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Nunu</w:t>
            </w:r>
          </w:p>
        </w:tc>
        <w:tc>
          <w:tcPr>
            <w:tcW w:w="939" w:type="dxa"/>
            <w:vAlign w:val="center"/>
          </w:tcPr>
          <w:p w14:paraId="50C44BE9" w14:textId="2762D753"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MRS</w:t>
            </w:r>
          </w:p>
        </w:tc>
        <w:tc>
          <w:tcPr>
            <w:tcW w:w="972" w:type="dxa"/>
            <w:vAlign w:val="center"/>
          </w:tcPr>
          <w:p w14:paraId="15A109A1" w14:textId="15EB5B1B"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03" w:type="dxa"/>
            <w:vAlign w:val="center"/>
          </w:tcPr>
          <w:p w14:paraId="5DFB331D" w14:textId="0112C705"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Cocci</w:t>
            </w:r>
          </w:p>
        </w:tc>
        <w:tc>
          <w:tcPr>
            <w:tcW w:w="1372" w:type="dxa"/>
            <w:vAlign w:val="center"/>
          </w:tcPr>
          <w:p w14:paraId="08E4C045" w14:textId="4869C4BC"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Chain/Cluster</w:t>
            </w:r>
          </w:p>
        </w:tc>
        <w:tc>
          <w:tcPr>
            <w:tcW w:w="950" w:type="dxa"/>
            <w:vAlign w:val="center"/>
          </w:tcPr>
          <w:p w14:paraId="4AB0DDA6" w14:textId="1CAD49CD"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29" w:type="dxa"/>
            <w:vAlign w:val="center"/>
          </w:tcPr>
          <w:p w14:paraId="7E340730" w14:textId="3EF4F2D2"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17" w:type="dxa"/>
            <w:vAlign w:val="center"/>
          </w:tcPr>
          <w:p w14:paraId="2D04AD22" w14:textId="561448B7"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1094" w:type="dxa"/>
            <w:vAlign w:val="center"/>
          </w:tcPr>
          <w:p w14:paraId="2772AC06" w14:textId="633679EE"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ND</w:t>
            </w:r>
          </w:p>
        </w:tc>
        <w:tc>
          <w:tcPr>
            <w:tcW w:w="1461" w:type="dxa"/>
            <w:vAlign w:val="center"/>
          </w:tcPr>
          <w:p w14:paraId="753E1E45" w14:textId="3BF09D6A"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i/>
                <w:iCs/>
                <w:sz w:val="20"/>
                <w:szCs w:val="20"/>
              </w:rPr>
              <w:t>Enterococcus</w:t>
            </w:r>
            <w:r w:rsidRPr="00FE3924">
              <w:rPr>
                <w:rFonts w:ascii="Times New Roman" w:hAnsi="Times New Roman" w:cs="Times New Roman"/>
                <w:sz w:val="20"/>
                <w:szCs w:val="20"/>
              </w:rPr>
              <w:t xml:space="preserve"> spp.</w:t>
            </w:r>
          </w:p>
        </w:tc>
      </w:tr>
      <w:tr w:rsidR="00B555B1" w:rsidRPr="00FE3924" w14:paraId="446295F1" w14:textId="77777777" w:rsidTr="00C10538">
        <w:tc>
          <w:tcPr>
            <w:tcW w:w="923" w:type="dxa"/>
            <w:vAlign w:val="center"/>
          </w:tcPr>
          <w:p w14:paraId="338A2748" w14:textId="18D3D250"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Nunu</w:t>
            </w:r>
          </w:p>
        </w:tc>
        <w:tc>
          <w:tcPr>
            <w:tcW w:w="939" w:type="dxa"/>
            <w:vAlign w:val="center"/>
          </w:tcPr>
          <w:p w14:paraId="5611CF25" w14:textId="113802A2"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EMB</w:t>
            </w:r>
          </w:p>
        </w:tc>
        <w:tc>
          <w:tcPr>
            <w:tcW w:w="972" w:type="dxa"/>
            <w:vAlign w:val="center"/>
          </w:tcPr>
          <w:p w14:paraId="04449E0E" w14:textId="2CC9C3D7"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03" w:type="dxa"/>
            <w:vAlign w:val="center"/>
          </w:tcPr>
          <w:p w14:paraId="577029DE" w14:textId="536AD16B"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Rods</w:t>
            </w:r>
          </w:p>
        </w:tc>
        <w:tc>
          <w:tcPr>
            <w:tcW w:w="1372" w:type="dxa"/>
            <w:vAlign w:val="center"/>
          </w:tcPr>
          <w:p w14:paraId="05031EFD" w14:textId="43F0C632"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Chains</w:t>
            </w:r>
          </w:p>
        </w:tc>
        <w:tc>
          <w:tcPr>
            <w:tcW w:w="950" w:type="dxa"/>
            <w:vAlign w:val="center"/>
          </w:tcPr>
          <w:p w14:paraId="63C8949E" w14:textId="06F03B38"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29" w:type="dxa"/>
            <w:vAlign w:val="center"/>
          </w:tcPr>
          <w:p w14:paraId="20FA60E5" w14:textId="491C78A8"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17" w:type="dxa"/>
            <w:vAlign w:val="center"/>
          </w:tcPr>
          <w:p w14:paraId="4063EF75" w14:textId="644DB067"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1094" w:type="dxa"/>
            <w:vAlign w:val="center"/>
          </w:tcPr>
          <w:p w14:paraId="54E6332B" w14:textId="1375446D"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1461" w:type="dxa"/>
            <w:vAlign w:val="center"/>
          </w:tcPr>
          <w:p w14:paraId="1E45E665" w14:textId="14CEB762"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i/>
                <w:iCs/>
                <w:sz w:val="20"/>
                <w:szCs w:val="20"/>
              </w:rPr>
              <w:t>Enterobacter</w:t>
            </w:r>
            <w:r w:rsidRPr="00FE3924">
              <w:rPr>
                <w:rFonts w:ascii="Times New Roman" w:hAnsi="Times New Roman" w:cs="Times New Roman"/>
                <w:sz w:val="20"/>
                <w:szCs w:val="20"/>
              </w:rPr>
              <w:t xml:space="preserve"> spp.</w:t>
            </w:r>
          </w:p>
        </w:tc>
      </w:tr>
      <w:tr w:rsidR="00B555B1" w:rsidRPr="00FE3924" w14:paraId="5054C9BC" w14:textId="77777777" w:rsidTr="00C10538">
        <w:tc>
          <w:tcPr>
            <w:tcW w:w="923" w:type="dxa"/>
            <w:vAlign w:val="center"/>
          </w:tcPr>
          <w:p w14:paraId="103BF071" w14:textId="595DDD67" w:rsidR="00B555B1" w:rsidRPr="00FE3924" w:rsidRDefault="00B555B1" w:rsidP="00D60327">
            <w:pPr>
              <w:spacing w:line="480" w:lineRule="auto"/>
              <w:jc w:val="both"/>
              <w:rPr>
                <w:rFonts w:ascii="Times New Roman" w:hAnsi="Times New Roman" w:cs="Times New Roman"/>
                <w:sz w:val="20"/>
                <w:szCs w:val="20"/>
              </w:rPr>
            </w:pPr>
            <w:proofErr w:type="spellStart"/>
            <w:r w:rsidRPr="00FE3924">
              <w:rPr>
                <w:rFonts w:ascii="Times New Roman" w:hAnsi="Times New Roman" w:cs="Times New Roman"/>
                <w:sz w:val="20"/>
                <w:szCs w:val="20"/>
              </w:rPr>
              <w:t>Ogiri</w:t>
            </w:r>
            <w:proofErr w:type="spellEnd"/>
          </w:p>
        </w:tc>
        <w:tc>
          <w:tcPr>
            <w:tcW w:w="939" w:type="dxa"/>
            <w:vAlign w:val="center"/>
          </w:tcPr>
          <w:p w14:paraId="6683DDEA" w14:textId="0103981B"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MRS</w:t>
            </w:r>
          </w:p>
        </w:tc>
        <w:tc>
          <w:tcPr>
            <w:tcW w:w="972" w:type="dxa"/>
            <w:vAlign w:val="center"/>
          </w:tcPr>
          <w:p w14:paraId="6BE5430E" w14:textId="01EEF591"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03" w:type="dxa"/>
            <w:vAlign w:val="center"/>
          </w:tcPr>
          <w:p w14:paraId="554A6340" w14:textId="474F602B"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Rods</w:t>
            </w:r>
          </w:p>
        </w:tc>
        <w:tc>
          <w:tcPr>
            <w:tcW w:w="1372" w:type="dxa"/>
            <w:vAlign w:val="center"/>
          </w:tcPr>
          <w:p w14:paraId="21CE6F22" w14:textId="4B292234"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Chains</w:t>
            </w:r>
          </w:p>
        </w:tc>
        <w:tc>
          <w:tcPr>
            <w:tcW w:w="950" w:type="dxa"/>
            <w:vAlign w:val="center"/>
          </w:tcPr>
          <w:p w14:paraId="078A3FE0" w14:textId="0412088D"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29" w:type="dxa"/>
            <w:vAlign w:val="center"/>
          </w:tcPr>
          <w:p w14:paraId="5DC123A7" w14:textId="42DEACAA"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17" w:type="dxa"/>
            <w:vAlign w:val="center"/>
          </w:tcPr>
          <w:p w14:paraId="5581AF1C" w14:textId="7392CC5F"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1094" w:type="dxa"/>
            <w:vAlign w:val="center"/>
          </w:tcPr>
          <w:p w14:paraId="6B279F29" w14:textId="61B757D0"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ND</w:t>
            </w:r>
          </w:p>
        </w:tc>
        <w:tc>
          <w:tcPr>
            <w:tcW w:w="1461" w:type="dxa"/>
            <w:vAlign w:val="center"/>
          </w:tcPr>
          <w:p w14:paraId="6A11C780" w14:textId="51B0B7C7"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i/>
                <w:iCs/>
                <w:sz w:val="20"/>
                <w:szCs w:val="20"/>
              </w:rPr>
              <w:t>Lactobacillus</w:t>
            </w:r>
            <w:r w:rsidRPr="00FE3924">
              <w:rPr>
                <w:rFonts w:ascii="Times New Roman" w:hAnsi="Times New Roman" w:cs="Times New Roman"/>
                <w:sz w:val="20"/>
                <w:szCs w:val="20"/>
              </w:rPr>
              <w:t xml:space="preserve"> spp.</w:t>
            </w:r>
          </w:p>
        </w:tc>
      </w:tr>
      <w:tr w:rsidR="00B555B1" w:rsidRPr="00FE3924" w14:paraId="4A2C43CE" w14:textId="77777777" w:rsidTr="00C10538">
        <w:tc>
          <w:tcPr>
            <w:tcW w:w="923" w:type="dxa"/>
            <w:vAlign w:val="center"/>
          </w:tcPr>
          <w:p w14:paraId="1C3F4F11" w14:textId="038738BF" w:rsidR="00B555B1" w:rsidRPr="00FE3924" w:rsidRDefault="00B555B1" w:rsidP="00D60327">
            <w:pPr>
              <w:spacing w:line="480" w:lineRule="auto"/>
              <w:jc w:val="both"/>
              <w:rPr>
                <w:rFonts w:ascii="Times New Roman" w:hAnsi="Times New Roman" w:cs="Times New Roman"/>
                <w:sz w:val="20"/>
                <w:szCs w:val="20"/>
              </w:rPr>
            </w:pPr>
            <w:proofErr w:type="spellStart"/>
            <w:r w:rsidRPr="00FE3924">
              <w:rPr>
                <w:rFonts w:ascii="Times New Roman" w:hAnsi="Times New Roman" w:cs="Times New Roman"/>
                <w:sz w:val="20"/>
                <w:szCs w:val="20"/>
              </w:rPr>
              <w:t>Ogiri</w:t>
            </w:r>
            <w:proofErr w:type="spellEnd"/>
          </w:p>
        </w:tc>
        <w:tc>
          <w:tcPr>
            <w:tcW w:w="939" w:type="dxa"/>
            <w:vAlign w:val="center"/>
          </w:tcPr>
          <w:p w14:paraId="43C903E3" w14:textId="759896A1"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MSA</w:t>
            </w:r>
          </w:p>
        </w:tc>
        <w:tc>
          <w:tcPr>
            <w:tcW w:w="972" w:type="dxa"/>
            <w:vAlign w:val="center"/>
          </w:tcPr>
          <w:p w14:paraId="11A6E499" w14:textId="79D794DF"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03" w:type="dxa"/>
            <w:vAlign w:val="center"/>
          </w:tcPr>
          <w:p w14:paraId="4A9C7FD9" w14:textId="5E772EEA"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Cocci</w:t>
            </w:r>
          </w:p>
        </w:tc>
        <w:tc>
          <w:tcPr>
            <w:tcW w:w="1372" w:type="dxa"/>
            <w:vAlign w:val="center"/>
          </w:tcPr>
          <w:p w14:paraId="70E17F7F" w14:textId="1D4FA33F"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Chains</w:t>
            </w:r>
          </w:p>
        </w:tc>
        <w:tc>
          <w:tcPr>
            <w:tcW w:w="950" w:type="dxa"/>
            <w:vAlign w:val="center"/>
          </w:tcPr>
          <w:p w14:paraId="15E518E9" w14:textId="1336725E"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29" w:type="dxa"/>
            <w:vAlign w:val="center"/>
          </w:tcPr>
          <w:p w14:paraId="10F95A2B" w14:textId="2ACE48C1"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17" w:type="dxa"/>
            <w:vAlign w:val="center"/>
          </w:tcPr>
          <w:p w14:paraId="4904EDF3" w14:textId="46C9EE54"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1094" w:type="dxa"/>
            <w:vAlign w:val="center"/>
          </w:tcPr>
          <w:p w14:paraId="5D29644F" w14:textId="4BC8DAAA"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1461" w:type="dxa"/>
            <w:vAlign w:val="center"/>
          </w:tcPr>
          <w:p w14:paraId="17FA0D28" w14:textId="737996E7"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i/>
                <w:iCs/>
                <w:sz w:val="20"/>
                <w:szCs w:val="20"/>
              </w:rPr>
              <w:t>Staphylococcus</w:t>
            </w:r>
            <w:r w:rsidRPr="00FE3924">
              <w:rPr>
                <w:rFonts w:ascii="Times New Roman" w:hAnsi="Times New Roman" w:cs="Times New Roman"/>
                <w:sz w:val="20"/>
                <w:szCs w:val="20"/>
              </w:rPr>
              <w:t xml:space="preserve"> spp.</w:t>
            </w:r>
          </w:p>
        </w:tc>
      </w:tr>
      <w:tr w:rsidR="00B555B1" w:rsidRPr="00FE3924" w14:paraId="4B4F39DE" w14:textId="77777777" w:rsidTr="00C10538">
        <w:tc>
          <w:tcPr>
            <w:tcW w:w="923" w:type="dxa"/>
            <w:vAlign w:val="center"/>
          </w:tcPr>
          <w:p w14:paraId="5D1390A6" w14:textId="1A9F1262" w:rsidR="00B555B1" w:rsidRPr="00FE3924" w:rsidRDefault="00B555B1" w:rsidP="00D60327">
            <w:pPr>
              <w:spacing w:line="480" w:lineRule="auto"/>
              <w:jc w:val="both"/>
              <w:rPr>
                <w:rFonts w:ascii="Times New Roman" w:hAnsi="Times New Roman" w:cs="Times New Roman"/>
                <w:sz w:val="20"/>
                <w:szCs w:val="20"/>
              </w:rPr>
            </w:pPr>
            <w:proofErr w:type="spellStart"/>
            <w:r w:rsidRPr="00FE3924">
              <w:rPr>
                <w:rFonts w:ascii="Times New Roman" w:hAnsi="Times New Roman" w:cs="Times New Roman"/>
                <w:sz w:val="20"/>
                <w:szCs w:val="20"/>
              </w:rPr>
              <w:t>Ugba</w:t>
            </w:r>
            <w:proofErr w:type="spellEnd"/>
          </w:p>
        </w:tc>
        <w:tc>
          <w:tcPr>
            <w:tcW w:w="939" w:type="dxa"/>
            <w:vAlign w:val="center"/>
          </w:tcPr>
          <w:p w14:paraId="52A1299D" w14:textId="6390F3D2"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MRS</w:t>
            </w:r>
          </w:p>
        </w:tc>
        <w:tc>
          <w:tcPr>
            <w:tcW w:w="972" w:type="dxa"/>
            <w:vAlign w:val="center"/>
          </w:tcPr>
          <w:p w14:paraId="0BC648CD" w14:textId="4AE69E4C"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03" w:type="dxa"/>
            <w:vAlign w:val="center"/>
          </w:tcPr>
          <w:p w14:paraId="50E38F01" w14:textId="0C53AFBD"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Rods</w:t>
            </w:r>
          </w:p>
        </w:tc>
        <w:tc>
          <w:tcPr>
            <w:tcW w:w="1372" w:type="dxa"/>
            <w:vAlign w:val="center"/>
          </w:tcPr>
          <w:p w14:paraId="44F1EB7C" w14:textId="0189AF3E"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Chains</w:t>
            </w:r>
          </w:p>
        </w:tc>
        <w:tc>
          <w:tcPr>
            <w:tcW w:w="950" w:type="dxa"/>
            <w:vAlign w:val="center"/>
          </w:tcPr>
          <w:p w14:paraId="0FE3D0E3" w14:textId="1A149F3D"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29" w:type="dxa"/>
            <w:vAlign w:val="center"/>
          </w:tcPr>
          <w:p w14:paraId="31D149F7" w14:textId="242DA61A"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17" w:type="dxa"/>
            <w:vAlign w:val="center"/>
          </w:tcPr>
          <w:p w14:paraId="450F56BB" w14:textId="064A089B"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1094" w:type="dxa"/>
            <w:vAlign w:val="center"/>
          </w:tcPr>
          <w:p w14:paraId="787F2124" w14:textId="6138D346"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ND</w:t>
            </w:r>
          </w:p>
        </w:tc>
        <w:tc>
          <w:tcPr>
            <w:tcW w:w="1461" w:type="dxa"/>
            <w:vAlign w:val="center"/>
          </w:tcPr>
          <w:p w14:paraId="402760C8" w14:textId="5C0E0606"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i/>
                <w:iCs/>
                <w:sz w:val="20"/>
                <w:szCs w:val="20"/>
              </w:rPr>
              <w:t>Lactobacillus</w:t>
            </w:r>
            <w:r w:rsidRPr="00FE3924">
              <w:rPr>
                <w:rFonts w:ascii="Times New Roman" w:hAnsi="Times New Roman" w:cs="Times New Roman"/>
                <w:sz w:val="20"/>
                <w:szCs w:val="20"/>
              </w:rPr>
              <w:t xml:space="preserve"> spp.</w:t>
            </w:r>
          </w:p>
        </w:tc>
      </w:tr>
      <w:tr w:rsidR="00B555B1" w:rsidRPr="00FE3924" w14:paraId="67E59C8E" w14:textId="77777777" w:rsidTr="00C10538">
        <w:tc>
          <w:tcPr>
            <w:tcW w:w="923" w:type="dxa"/>
            <w:vAlign w:val="center"/>
          </w:tcPr>
          <w:p w14:paraId="668A7976" w14:textId="2109F165" w:rsidR="00B555B1" w:rsidRPr="00FE3924" w:rsidRDefault="00B555B1" w:rsidP="00D60327">
            <w:pPr>
              <w:spacing w:line="480" w:lineRule="auto"/>
              <w:jc w:val="both"/>
              <w:rPr>
                <w:rFonts w:ascii="Times New Roman" w:hAnsi="Times New Roman" w:cs="Times New Roman"/>
                <w:sz w:val="20"/>
                <w:szCs w:val="20"/>
              </w:rPr>
            </w:pPr>
            <w:proofErr w:type="spellStart"/>
            <w:r w:rsidRPr="00FE3924">
              <w:rPr>
                <w:rFonts w:ascii="Times New Roman" w:hAnsi="Times New Roman" w:cs="Times New Roman"/>
                <w:sz w:val="20"/>
                <w:szCs w:val="20"/>
              </w:rPr>
              <w:t>Ugba</w:t>
            </w:r>
            <w:proofErr w:type="spellEnd"/>
          </w:p>
        </w:tc>
        <w:tc>
          <w:tcPr>
            <w:tcW w:w="939" w:type="dxa"/>
            <w:vAlign w:val="center"/>
          </w:tcPr>
          <w:p w14:paraId="69628CD7" w14:textId="157E61AC"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MSA</w:t>
            </w:r>
          </w:p>
        </w:tc>
        <w:tc>
          <w:tcPr>
            <w:tcW w:w="972" w:type="dxa"/>
            <w:vAlign w:val="center"/>
          </w:tcPr>
          <w:p w14:paraId="04C2004E" w14:textId="2C75BCE2"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03" w:type="dxa"/>
            <w:vAlign w:val="center"/>
          </w:tcPr>
          <w:p w14:paraId="21926EE7" w14:textId="3BDBE2D3"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Cocci</w:t>
            </w:r>
          </w:p>
        </w:tc>
        <w:tc>
          <w:tcPr>
            <w:tcW w:w="1372" w:type="dxa"/>
            <w:vAlign w:val="center"/>
          </w:tcPr>
          <w:p w14:paraId="09B56119" w14:textId="7D997F62"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Chains</w:t>
            </w:r>
          </w:p>
        </w:tc>
        <w:tc>
          <w:tcPr>
            <w:tcW w:w="950" w:type="dxa"/>
            <w:vAlign w:val="center"/>
          </w:tcPr>
          <w:p w14:paraId="0E5AB302" w14:textId="04B8BE6D"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29" w:type="dxa"/>
            <w:vAlign w:val="center"/>
          </w:tcPr>
          <w:p w14:paraId="48920CAC" w14:textId="3E6E1DC2"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917" w:type="dxa"/>
            <w:vAlign w:val="center"/>
          </w:tcPr>
          <w:p w14:paraId="25FCFE20" w14:textId="2178843A"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1094" w:type="dxa"/>
            <w:vAlign w:val="center"/>
          </w:tcPr>
          <w:p w14:paraId="75ADCAB8" w14:textId="27757C5D"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sz w:val="20"/>
                <w:szCs w:val="20"/>
              </w:rPr>
              <w:t>–</w:t>
            </w:r>
          </w:p>
        </w:tc>
        <w:tc>
          <w:tcPr>
            <w:tcW w:w="1461" w:type="dxa"/>
            <w:vAlign w:val="center"/>
          </w:tcPr>
          <w:p w14:paraId="2746DE6B" w14:textId="6130C6B6" w:rsidR="00B555B1" w:rsidRPr="00FE3924" w:rsidRDefault="00B555B1" w:rsidP="00D60327">
            <w:pPr>
              <w:spacing w:line="480" w:lineRule="auto"/>
              <w:jc w:val="both"/>
              <w:rPr>
                <w:rFonts w:ascii="Times New Roman" w:hAnsi="Times New Roman" w:cs="Times New Roman"/>
                <w:sz w:val="20"/>
                <w:szCs w:val="20"/>
              </w:rPr>
            </w:pPr>
            <w:r w:rsidRPr="00FE3924">
              <w:rPr>
                <w:rFonts w:ascii="Times New Roman" w:hAnsi="Times New Roman" w:cs="Times New Roman"/>
                <w:i/>
                <w:iCs/>
                <w:sz w:val="20"/>
                <w:szCs w:val="20"/>
              </w:rPr>
              <w:t>Staphylococcus</w:t>
            </w:r>
            <w:r w:rsidRPr="00FE3924">
              <w:rPr>
                <w:rFonts w:ascii="Times New Roman" w:hAnsi="Times New Roman" w:cs="Times New Roman"/>
                <w:sz w:val="20"/>
                <w:szCs w:val="20"/>
              </w:rPr>
              <w:t xml:space="preserve"> spp.</w:t>
            </w:r>
          </w:p>
        </w:tc>
      </w:tr>
    </w:tbl>
    <w:p w14:paraId="57ACBB27" w14:textId="77777777" w:rsidR="00B555B1" w:rsidRPr="00FE3924" w:rsidRDefault="00B555B1" w:rsidP="00D60327">
      <w:pPr>
        <w:spacing w:after="0" w:line="480" w:lineRule="auto"/>
        <w:jc w:val="both"/>
        <w:rPr>
          <w:rFonts w:ascii="Times New Roman" w:hAnsi="Times New Roman" w:cs="Times New Roman"/>
        </w:rPr>
      </w:pPr>
    </w:p>
    <w:p w14:paraId="2ABF64C5" w14:textId="205BB5F2" w:rsidR="00775E34" w:rsidRPr="00FE3924" w:rsidRDefault="00775E34" w:rsidP="00D60327">
      <w:pPr>
        <w:spacing w:after="0" w:line="480" w:lineRule="auto"/>
        <w:jc w:val="both"/>
        <w:rPr>
          <w:rFonts w:ascii="Times New Roman" w:hAnsi="Times New Roman" w:cs="Times New Roman"/>
          <w:b/>
          <w:bCs/>
        </w:rPr>
      </w:pPr>
      <w:r w:rsidRPr="00FE3924">
        <w:rPr>
          <w:rFonts w:ascii="Times New Roman" w:hAnsi="Times New Roman" w:cs="Times New Roman"/>
          <w:b/>
          <w:bCs/>
        </w:rPr>
        <w:t>Fungal Isolates</w:t>
      </w:r>
    </w:p>
    <w:p w14:paraId="0B89AE50" w14:textId="77777777"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 fungal isolates identified from the samples are presented in Table 3.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samples exhibited creamy, round colonies without visible mycelia and were identified as </w:t>
      </w:r>
      <w:r w:rsidRPr="00FE3924">
        <w:rPr>
          <w:rFonts w:ascii="Times New Roman" w:hAnsi="Times New Roman" w:cs="Times New Roman"/>
          <w:i/>
          <w:iCs/>
        </w:rPr>
        <w:t>Saccharomyces</w:t>
      </w:r>
      <w:r w:rsidRPr="00FE3924">
        <w:rPr>
          <w:rFonts w:ascii="Times New Roman" w:hAnsi="Times New Roman" w:cs="Times New Roman"/>
        </w:rPr>
        <w:t xml:space="preserve"> spp. In contrast,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samples showed dark brown colonies with profuse growth and visible mycelia, characterized microscopically by septate conidiospores, indicative of </w:t>
      </w:r>
      <w:r w:rsidRPr="00FE3924">
        <w:rPr>
          <w:rFonts w:ascii="Times New Roman" w:hAnsi="Times New Roman" w:cs="Times New Roman"/>
          <w:i/>
          <w:iCs/>
        </w:rPr>
        <w:t>Aspergillus</w:t>
      </w:r>
      <w:r w:rsidRPr="00FE3924">
        <w:rPr>
          <w:rFonts w:ascii="Times New Roman" w:hAnsi="Times New Roman" w:cs="Times New Roman"/>
        </w:rPr>
        <w:t xml:space="preserve"> spp.</w:t>
      </w:r>
    </w:p>
    <w:p w14:paraId="600D277F" w14:textId="77777777" w:rsidR="00775E34" w:rsidRPr="00FE3924" w:rsidRDefault="00775E34" w:rsidP="00D60327">
      <w:pPr>
        <w:spacing w:after="0" w:line="480" w:lineRule="auto"/>
        <w:jc w:val="both"/>
        <w:rPr>
          <w:rFonts w:ascii="Times New Roman" w:hAnsi="Times New Roman" w:cs="Times New Roman"/>
        </w:rPr>
      </w:pPr>
    </w:p>
    <w:p w14:paraId="68934C64" w14:textId="35E11FA0" w:rsidR="006914C2" w:rsidRPr="00FE3924" w:rsidRDefault="006914C2" w:rsidP="00D60327">
      <w:pPr>
        <w:spacing w:after="0" w:line="480" w:lineRule="auto"/>
        <w:jc w:val="both"/>
        <w:rPr>
          <w:rFonts w:ascii="Times New Roman" w:hAnsi="Times New Roman" w:cs="Times New Roman"/>
          <w:b/>
          <w:bCs/>
        </w:rPr>
      </w:pPr>
      <w:r w:rsidRPr="00FE3924">
        <w:rPr>
          <w:rFonts w:ascii="Times New Roman" w:hAnsi="Times New Roman" w:cs="Times New Roman"/>
          <w:b/>
          <w:bCs/>
        </w:rPr>
        <w:t xml:space="preserve">Table </w:t>
      </w:r>
      <w:r w:rsidR="00E359A4" w:rsidRPr="00FE3924">
        <w:rPr>
          <w:rFonts w:ascii="Times New Roman" w:hAnsi="Times New Roman" w:cs="Times New Roman"/>
          <w:b/>
          <w:bCs/>
        </w:rPr>
        <w:t>3</w:t>
      </w:r>
      <w:r w:rsidRPr="00FE3924">
        <w:rPr>
          <w:rFonts w:ascii="Times New Roman" w:hAnsi="Times New Roman" w:cs="Times New Roman"/>
          <w:b/>
          <w:bCs/>
        </w:rPr>
        <w:t>: Fungal Isolates and Their Characteristics</w:t>
      </w:r>
    </w:p>
    <w:p w14:paraId="44BA6514" w14:textId="3AF49199" w:rsidR="007A0B3B" w:rsidRPr="00FE3924" w:rsidRDefault="007A0B3B" w:rsidP="00D60327">
      <w:pPr>
        <w:spacing w:after="0" w:line="480" w:lineRule="auto"/>
        <w:jc w:val="both"/>
        <w:rPr>
          <w:rFonts w:ascii="Times New Roman" w:hAnsi="Times New Roman" w:cs="Times New Roman"/>
        </w:rPr>
      </w:pPr>
    </w:p>
    <w:tbl>
      <w:tblPr>
        <w:tblStyle w:val="TableGrid"/>
        <w:tblW w:w="934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B555B1" w:rsidRPr="00FE3924" w14:paraId="7DFCE431" w14:textId="77777777" w:rsidTr="00C10538">
        <w:tc>
          <w:tcPr>
            <w:tcW w:w="2337" w:type="dxa"/>
            <w:tcBorders>
              <w:top w:val="single" w:sz="4" w:space="0" w:color="auto"/>
              <w:bottom w:val="single" w:sz="4" w:space="0" w:color="auto"/>
            </w:tcBorders>
            <w:vAlign w:val="center"/>
          </w:tcPr>
          <w:p w14:paraId="3E8A919B" w14:textId="10D544D5" w:rsidR="00B555B1" w:rsidRPr="00FE3924" w:rsidRDefault="00B555B1" w:rsidP="00D60327">
            <w:pPr>
              <w:spacing w:line="480" w:lineRule="auto"/>
              <w:jc w:val="both"/>
              <w:rPr>
                <w:rFonts w:ascii="Times New Roman" w:hAnsi="Times New Roman" w:cs="Times New Roman"/>
              </w:rPr>
            </w:pPr>
            <w:r w:rsidRPr="00FE3924">
              <w:rPr>
                <w:rFonts w:ascii="Times New Roman" w:hAnsi="Times New Roman" w:cs="Times New Roman"/>
                <w:b/>
                <w:bCs/>
              </w:rPr>
              <w:t>Sample</w:t>
            </w:r>
          </w:p>
        </w:tc>
        <w:tc>
          <w:tcPr>
            <w:tcW w:w="2337" w:type="dxa"/>
            <w:tcBorders>
              <w:top w:val="single" w:sz="4" w:space="0" w:color="auto"/>
              <w:bottom w:val="single" w:sz="4" w:space="0" w:color="auto"/>
            </w:tcBorders>
            <w:vAlign w:val="center"/>
          </w:tcPr>
          <w:p w14:paraId="6500CDBC" w14:textId="60BE491D" w:rsidR="00B555B1" w:rsidRPr="00FE3924" w:rsidRDefault="00B555B1" w:rsidP="00D60327">
            <w:pPr>
              <w:spacing w:line="480" w:lineRule="auto"/>
              <w:jc w:val="both"/>
              <w:rPr>
                <w:rFonts w:ascii="Times New Roman" w:hAnsi="Times New Roman" w:cs="Times New Roman"/>
              </w:rPr>
            </w:pPr>
            <w:r w:rsidRPr="00FE3924">
              <w:rPr>
                <w:rFonts w:ascii="Times New Roman" w:hAnsi="Times New Roman" w:cs="Times New Roman"/>
                <w:b/>
                <w:bCs/>
              </w:rPr>
              <w:t>Colony Characteristics</w:t>
            </w:r>
          </w:p>
        </w:tc>
        <w:tc>
          <w:tcPr>
            <w:tcW w:w="2337" w:type="dxa"/>
            <w:tcBorders>
              <w:top w:val="single" w:sz="4" w:space="0" w:color="auto"/>
              <w:bottom w:val="single" w:sz="4" w:space="0" w:color="auto"/>
            </w:tcBorders>
            <w:vAlign w:val="center"/>
          </w:tcPr>
          <w:p w14:paraId="6AE18ABF" w14:textId="7F07BE0A" w:rsidR="00B555B1" w:rsidRPr="00FE3924" w:rsidRDefault="00B555B1" w:rsidP="00D60327">
            <w:pPr>
              <w:spacing w:line="480" w:lineRule="auto"/>
              <w:jc w:val="both"/>
              <w:rPr>
                <w:rFonts w:ascii="Times New Roman" w:hAnsi="Times New Roman" w:cs="Times New Roman"/>
              </w:rPr>
            </w:pPr>
            <w:r w:rsidRPr="00FE3924">
              <w:rPr>
                <w:rFonts w:ascii="Times New Roman" w:hAnsi="Times New Roman" w:cs="Times New Roman"/>
                <w:b/>
                <w:bCs/>
              </w:rPr>
              <w:t>Microscopic Features</w:t>
            </w:r>
          </w:p>
        </w:tc>
        <w:tc>
          <w:tcPr>
            <w:tcW w:w="2337" w:type="dxa"/>
            <w:tcBorders>
              <w:top w:val="single" w:sz="4" w:space="0" w:color="auto"/>
              <w:bottom w:val="single" w:sz="4" w:space="0" w:color="auto"/>
            </w:tcBorders>
            <w:vAlign w:val="center"/>
          </w:tcPr>
          <w:p w14:paraId="6994BF57" w14:textId="67128409" w:rsidR="00B555B1" w:rsidRPr="00FE3924" w:rsidRDefault="00B555B1" w:rsidP="00D60327">
            <w:pPr>
              <w:spacing w:line="480" w:lineRule="auto"/>
              <w:jc w:val="both"/>
              <w:rPr>
                <w:rFonts w:ascii="Times New Roman" w:hAnsi="Times New Roman" w:cs="Times New Roman"/>
              </w:rPr>
            </w:pPr>
            <w:r w:rsidRPr="00FE3924">
              <w:rPr>
                <w:rFonts w:ascii="Times New Roman" w:hAnsi="Times New Roman" w:cs="Times New Roman"/>
                <w:b/>
                <w:bCs/>
              </w:rPr>
              <w:t>Probable Identity</w:t>
            </w:r>
          </w:p>
        </w:tc>
      </w:tr>
      <w:tr w:rsidR="00B555B1" w:rsidRPr="00FE3924" w14:paraId="5C46E314" w14:textId="77777777" w:rsidTr="00C10538">
        <w:tc>
          <w:tcPr>
            <w:tcW w:w="2337" w:type="dxa"/>
            <w:tcBorders>
              <w:top w:val="single" w:sz="4" w:space="0" w:color="auto"/>
            </w:tcBorders>
            <w:vAlign w:val="center"/>
          </w:tcPr>
          <w:p w14:paraId="04F87E96" w14:textId="4C603798" w:rsidR="00B555B1" w:rsidRPr="00FE3924" w:rsidRDefault="00B555B1" w:rsidP="00D60327">
            <w:pPr>
              <w:spacing w:line="480" w:lineRule="auto"/>
              <w:jc w:val="both"/>
              <w:rPr>
                <w:rFonts w:ascii="Times New Roman" w:hAnsi="Times New Roman" w:cs="Times New Roman"/>
              </w:rPr>
            </w:pPr>
            <w:proofErr w:type="spellStart"/>
            <w:r w:rsidRPr="00FE3924">
              <w:rPr>
                <w:rFonts w:ascii="Times New Roman" w:hAnsi="Times New Roman" w:cs="Times New Roman"/>
              </w:rPr>
              <w:t>Ogiri</w:t>
            </w:r>
            <w:proofErr w:type="spellEnd"/>
          </w:p>
        </w:tc>
        <w:tc>
          <w:tcPr>
            <w:tcW w:w="2337" w:type="dxa"/>
            <w:tcBorders>
              <w:top w:val="single" w:sz="4" w:space="0" w:color="auto"/>
            </w:tcBorders>
            <w:vAlign w:val="center"/>
          </w:tcPr>
          <w:p w14:paraId="4C1CFF5B" w14:textId="22419265" w:rsidR="00B555B1" w:rsidRPr="00FE3924" w:rsidRDefault="00B555B1" w:rsidP="00D60327">
            <w:pPr>
              <w:spacing w:line="480" w:lineRule="auto"/>
              <w:rPr>
                <w:rFonts w:ascii="Times New Roman" w:hAnsi="Times New Roman" w:cs="Times New Roman"/>
              </w:rPr>
            </w:pPr>
            <w:r w:rsidRPr="00FE3924">
              <w:rPr>
                <w:rFonts w:ascii="Times New Roman" w:hAnsi="Times New Roman" w:cs="Times New Roman"/>
              </w:rPr>
              <w:t>Round, raised, creamy; no visible mycelia</w:t>
            </w:r>
          </w:p>
        </w:tc>
        <w:tc>
          <w:tcPr>
            <w:tcW w:w="2337" w:type="dxa"/>
            <w:tcBorders>
              <w:top w:val="single" w:sz="4" w:space="0" w:color="auto"/>
            </w:tcBorders>
            <w:vAlign w:val="center"/>
          </w:tcPr>
          <w:p w14:paraId="0F7D2F1D" w14:textId="4899EDCE" w:rsidR="00B555B1" w:rsidRPr="00FE3924" w:rsidRDefault="00B555B1" w:rsidP="00D60327">
            <w:pPr>
              <w:spacing w:line="480" w:lineRule="auto"/>
              <w:jc w:val="both"/>
              <w:rPr>
                <w:rFonts w:ascii="Times New Roman" w:hAnsi="Times New Roman" w:cs="Times New Roman"/>
              </w:rPr>
            </w:pPr>
            <w:r w:rsidRPr="00FE3924">
              <w:rPr>
                <w:rFonts w:ascii="Times New Roman" w:hAnsi="Times New Roman" w:cs="Times New Roman"/>
              </w:rPr>
              <w:t>NR</w:t>
            </w:r>
          </w:p>
        </w:tc>
        <w:tc>
          <w:tcPr>
            <w:tcW w:w="2337" w:type="dxa"/>
            <w:tcBorders>
              <w:top w:val="single" w:sz="4" w:space="0" w:color="auto"/>
            </w:tcBorders>
            <w:vAlign w:val="center"/>
          </w:tcPr>
          <w:p w14:paraId="508511F9" w14:textId="5444CBC1" w:rsidR="00B555B1" w:rsidRPr="00FE3924" w:rsidRDefault="00B555B1" w:rsidP="00D60327">
            <w:pPr>
              <w:spacing w:line="480" w:lineRule="auto"/>
              <w:jc w:val="both"/>
              <w:rPr>
                <w:rFonts w:ascii="Times New Roman" w:hAnsi="Times New Roman" w:cs="Times New Roman"/>
              </w:rPr>
            </w:pPr>
            <w:r w:rsidRPr="00FE3924">
              <w:rPr>
                <w:rFonts w:ascii="Times New Roman" w:hAnsi="Times New Roman" w:cs="Times New Roman"/>
                <w:i/>
                <w:iCs/>
              </w:rPr>
              <w:t>Saccharomyces spp.</w:t>
            </w:r>
          </w:p>
        </w:tc>
      </w:tr>
      <w:tr w:rsidR="00B555B1" w:rsidRPr="00FE3924" w14:paraId="7A846E5C" w14:textId="77777777" w:rsidTr="00C10538">
        <w:tc>
          <w:tcPr>
            <w:tcW w:w="2337" w:type="dxa"/>
            <w:vAlign w:val="center"/>
          </w:tcPr>
          <w:p w14:paraId="14A02442" w14:textId="6E4995BC" w:rsidR="00B555B1" w:rsidRPr="00FE3924" w:rsidRDefault="00B555B1" w:rsidP="00D60327">
            <w:pPr>
              <w:spacing w:line="480" w:lineRule="auto"/>
              <w:jc w:val="both"/>
              <w:rPr>
                <w:rFonts w:ascii="Times New Roman" w:hAnsi="Times New Roman" w:cs="Times New Roman"/>
              </w:rPr>
            </w:pPr>
            <w:proofErr w:type="spellStart"/>
            <w:r w:rsidRPr="00FE3924">
              <w:rPr>
                <w:rFonts w:ascii="Times New Roman" w:hAnsi="Times New Roman" w:cs="Times New Roman"/>
              </w:rPr>
              <w:t>Ugba</w:t>
            </w:r>
            <w:proofErr w:type="spellEnd"/>
          </w:p>
        </w:tc>
        <w:tc>
          <w:tcPr>
            <w:tcW w:w="2337" w:type="dxa"/>
            <w:vAlign w:val="center"/>
          </w:tcPr>
          <w:p w14:paraId="5E9BAB60" w14:textId="18023959" w:rsidR="00B555B1" w:rsidRPr="00FE3924" w:rsidRDefault="00B555B1" w:rsidP="00D60327">
            <w:pPr>
              <w:spacing w:line="480" w:lineRule="auto"/>
              <w:rPr>
                <w:rFonts w:ascii="Times New Roman" w:hAnsi="Times New Roman" w:cs="Times New Roman"/>
              </w:rPr>
            </w:pPr>
            <w:r w:rsidRPr="00FE3924">
              <w:rPr>
                <w:rFonts w:ascii="Times New Roman" w:hAnsi="Times New Roman" w:cs="Times New Roman"/>
              </w:rPr>
              <w:t>Dark brown, profuse growth with mycelia</w:t>
            </w:r>
          </w:p>
        </w:tc>
        <w:tc>
          <w:tcPr>
            <w:tcW w:w="2337" w:type="dxa"/>
            <w:vAlign w:val="center"/>
          </w:tcPr>
          <w:p w14:paraId="150A72F2" w14:textId="285EBC1D" w:rsidR="00B555B1" w:rsidRPr="00FE3924" w:rsidRDefault="00B555B1" w:rsidP="00D60327">
            <w:pPr>
              <w:spacing w:line="480" w:lineRule="auto"/>
              <w:jc w:val="both"/>
              <w:rPr>
                <w:rFonts w:ascii="Times New Roman" w:hAnsi="Times New Roman" w:cs="Times New Roman"/>
              </w:rPr>
            </w:pPr>
            <w:r w:rsidRPr="00FE3924">
              <w:rPr>
                <w:rFonts w:ascii="Times New Roman" w:hAnsi="Times New Roman" w:cs="Times New Roman"/>
              </w:rPr>
              <w:t>Septate conidiospores</w:t>
            </w:r>
          </w:p>
        </w:tc>
        <w:tc>
          <w:tcPr>
            <w:tcW w:w="2337" w:type="dxa"/>
            <w:vAlign w:val="center"/>
          </w:tcPr>
          <w:p w14:paraId="4CE86510" w14:textId="55636187" w:rsidR="00B555B1" w:rsidRPr="00FE3924" w:rsidRDefault="00B555B1" w:rsidP="00D60327">
            <w:pPr>
              <w:spacing w:line="480" w:lineRule="auto"/>
              <w:jc w:val="both"/>
              <w:rPr>
                <w:rFonts w:ascii="Times New Roman" w:hAnsi="Times New Roman" w:cs="Times New Roman"/>
              </w:rPr>
            </w:pPr>
            <w:r w:rsidRPr="00FE3924">
              <w:rPr>
                <w:rFonts w:ascii="Times New Roman" w:hAnsi="Times New Roman" w:cs="Times New Roman"/>
                <w:i/>
                <w:iCs/>
              </w:rPr>
              <w:t>Aspergillus spp.</w:t>
            </w:r>
          </w:p>
        </w:tc>
      </w:tr>
    </w:tbl>
    <w:p w14:paraId="6550625E" w14:textId="77777777" w:rsidR="00435618" w:rsidRPr="00FE3924" w:rsidRDefault="00435618" w:rsidP="00D60327">
      <w:pPr>
        <w:spacing w:after="0" w:line="480" w:lineRule="auto"/>
        <w:jc w:val="both"/>
        <w:rPr>
          <w:rFonts w:ascii="Times New Roman" w:hAnsi="Times New Roman" w:cs="Times New Roman"/>
        </w:rPr>
      </w:pPr>
    </w:p>
    <w:p w14:paraId="57DA9094" w14:textId="77777777" w:rsidR="00435618" w:rsidRPr="00FE3924" w:rsidRDefault="00435618" w:rsidP="00D60327">
      <w:pPr>
        <w:spacing w:after="0" w:line="480" w:lineRule="auto"/>
        <w:jc w:val="both"/>
        <w:rPr>
          <w:rFonts w:ascii="Times New Roman" w:hAnsi="Times New Roman" w:cs="Times New Roman"/>
          <w:b/>
          <w:bCs/>
        </w:rPr>
      </w:pPr>
      <w:r w:rsidRPr="00FE3924">
        <w:rPr>
          <w:rFonts w:ascii="Times New Roman" w:hAnsi="Times New Roman" w:cs="Times New Roman"/>
          <w:b/>
          <w:bCs/>
        </w:rPr>
        <w:t>Proximate Composition of Samples</w:t>
      </w:r>
    </w:p>
    <w:p w14:paraId="76E97533" w14:textId="7777777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The proximate composition of the samples is shown in Table 4. Significant differences (p &lt; 0.05) were observed across all parameters.</w:t>
      </w:r>
    </w:p>
    <w:p w14:paraId="754213E5" w14:textId="7777777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Moisture content was highest in Yoghurt (79.65%), followed by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(69.56%), while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(8.65%)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(6.85%) had significantly lower moisture levels.</w:t>
      </w:r>
    </w:p>
    <w:p w14:paraId="03022777" w14:textId="7777777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Protein content varied significantly, with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recording the highest value (26.34%), followed by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(19.20%),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(9.04%), and Yoghurt (3.88%). Similarly, carbohydrate content was highest in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(58.08%), followed by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(48.46%), while Yoghurt (11.47%) and Nunu (10.78%) had lower values.</w:t>
      </w:r>
    </w:p>
    <w:p w14:paraId="04B0A9AB" w14:textId="7777777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Fat content was highest in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(7.55%), followed by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(4.78%)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(3.99%), while Yoghurt had the lowest fat content (2.91%). </w:t>
      </w:r>
      <w:proofErr w:type="spellStart"/>
      <w:r w:rsidRPr="00FE3924">
        <w:rPr>
          <w:rFonts w:ascii="Times New Roman" w:hAnsi="Times New Roman" w:cs="Times New Roman"/>
        </w:rPr>
        <w:t>Fibre</w:t>
      </w:r>
      <w:proofErr w:type="spellEnd"/>
      <w:r w:rsidRPr="00FE3924">
        <w:rPr>
          <w:rFonts w:ascii="Times New Roman" w:hAnsi="Times New Roman" w:cs="Times New Roman"/>
        </w:rPr>
        <w:t xml:space="preserve"> content was highest in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(6.56%), followed by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(4.22%),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(2.81%), and Yoghurt (1.13%).</w:t>
      </w:r>
    </w:p>
    <w:p w14:paraId="0869C9C3" w14:textId="77777777" w:rsidR="00435618" w:rsidRPr="00FE3924" w:rsidRDefault="00435618" w:rsidP="00D60327">
      <w:pPr>
        <w:spacing w:after="0" w:line="480" w:lineRule="auto"/>
        <w:jc w:val="both"/>
        <w:rPr>
          <w:rFonts w:ascii="Times New Roman" w:hAnsi="Times New Roman" w:cs="Times New Roman"/>
        </w:rPr>
      </w:pPr>
      <w:r w:rsidRPr="00FE3924">
        <w:rPr>
          <w:rFonts w:ascii="Times New Roman" w:hAnsi="Times New Roman" w:cs="Times New Roman"/>
        </w:rPr>
        <w:lastRenderedPageBreak/>
        <w:t xml:space="preserve">Ash content also differed significantly, with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having the highest value (5.32%), followed by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(4.78%),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(3.03%), and Yoghurt (0.96%).</w:t>
      </w:r>
    </w:p>
    <w:p w14:paraId="1D8B6BBB" w14:textId="0FB0B1D5" w:rsidR="007A0B3B" w:rsidRPr="00FE3924" w:rsidRDefault="007A0B3B" w:rsidP="00D60327">
      <w:pPr>
        <w:spacing w:after="0" w:line="480" w:lineRule="auto"/>
        <w:jc w:val="both"/>
        <w:rPr>
          <w:rFonts w:ascii="Times New Roman" w:hAnsi="Times New Roman" w:cs="Times New Roman"/>
        </w:rPr>
      </w:pPr>
    </w:p>
    <w:p w14:paraId="04599112" w14:textId="05062EA1" w:rsidR="00A27D7E" w:rsidRPr="00FE3924" w:rsidRDefault="007A0B3B" w:rsidP="00D60327">
      <w:pPr>
        <w:spacing w:after="0" w:line="480" w:lineRule="auto"/>
        <w:jc w:val="both"/>
        <w:rPr>
          <w:rFonts w:ascii="Times New Roman" w:hAnsi="Times New Roman" w:cs="Times New Roman"/>
          <w:b/>
          <w:bCs/>
        </w:rPr>
      </w:pPr>
      <w:r w:rsidRPr="00FE3924">
        <w:rPr>
          <w:rFonts w:ascii="Times New Roman" w:hAnsi="Times New Roman" w:cs="Times New Roman"/>
          <w:b/>
          <w:bCs/>
        </w:rPr>
        <w:t xml:space="preserve">Table </w:t>
      </w:r>
      <w:r w:rsidR="00E359A4" w:rsidRPr="00FE3924">
        <w:rPr>
          <w:rFonts w:ascii="Times New Roman" w:hAnsi="Times New Roman" w:cs="Times New Roman"/>
          <w:b/>
          <w:bCs/>
        </w:rPr>
        <w:t>4</w:t>
      </w:r>
      <w:r w:rsidRPr="00FE3924">
        <w:rPr>
          <w:rFonts w:ascii="Times New Roman" w:hAnsi="Times New Roman" w:cs="Times New Roman"/>
          <w:b/>
          <w:bCs/>
        </w:rPr>
        <w:t>: Proximate Composition of Samples (%)</w:t>
      </w:r>
    </w:p>
    <w:tbl>
      <w:tblPr>
        <w:tblStyle w:val="TableGrid"/>
        <w:tblW w:w="102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1476"/>
        <w:gridCol w:w="1668"/>
        <w:gridCol w:w="1409"/>
        <w:gridCol w:w="1411"/>
        <w:gridCol w:w="1479"/>
        <w:gridCol w:w="1727"/>
      </w:tblGrid>
      <w:tr w:rsidR="00A27D7E" w:rsidRPr="00FE3924" w14:paraId="42DB7D7F" w14:textId="77777777" w:rsidTr="00C10538">
        <w:trPr>
          <w:trHeight w:val="300"/>
        </w:trPr>
        <w:tc>
          <w:tcPr>
            <w:tcW w:w="1107" w:type="dxa"/>
            <w:tcBorders>
              <w:top w:val="single" w:sz="4" w:space="0" w:color="auto"/>
              <w:bottom w:val="single" w:sz="4" w:space="0" w:color="auto"/>
            </w:tcBorders>
            <w:vAlign w:val="center"/>
          </w:tcPr>
          <w:p w14:paraId="659444DE" w14:textId="7DEB3850"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b/>
                <w:bCs/>
              </w:rPr>
              <w:t>Sample</w:t>
            </w:r>
          </w:p>
        </w:tc>
        <w:tc>
          <w:tcPr>
            <w:tcW w:w="1476" w:type="dxa"/>
            <w:tcBorders>
              <w:top w:val="single" w:sz="4" w:space="0" w:color="auto"/>
              <w:bottom w:val="single" w:sz="4" w:space="0" w:color="auto"/>
            </w:tcBorders>
            <w:vAlign w:val="center"/>
          </w:tcPr>
          <w:p w14:paraId="0422ED77" w14:textId="43DC43CE"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b/>
                <w:bCs/>
              </w:rPr>
              <w:t>Ash</w:t>
            </w:r>
          </w:p>
        </w:tc>
        <w:tc>
          <w:tcPr>
            <w:tcW w:w="1668" w:type="dxa"/>
            <w:tcBorders>
              <w:top w:val="single" w:sz="4" w:space="0" w:color="auto"/>
              <w:bottom w:val="single" w:sz="4" w:space="0" w:color="auto"/>
            </w:tcBorders>
            <w:vAlign w:val="center"/>
          </w:tcPr>
          <w:p w14:paraId="4AFCA886" w14:textId="742221A8"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b/>
                <w:bCs/>
              </w:rPr>
              <w:t>Moisture</w:t>
            </w:r>
          </w:p>
        </w:tc>
        <w:tc>
          <w:tcPr>
            <w:tcW w:w="1409" w:type="dxa"/>
            <w:tcBorders>
              <w:top w:val="single" w:sz="4" w:space="0" w:color="auto"/>
              <w:bottom w:val="single" w:sz="4" w:space="0" w:color="auto"/>
            </w:tcBorders>
            <w:vAlign w:val="center"/>
          </w:tcPr>
          <w:p w14:paraId="59DA02A8" w14:textId="5C72127B"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b/>
                <w:bCs/>
              </w:rPr>
              <w:t>Fat</w:t>
            </w:r>
          </w:p>
        </w:tc>
        <w:tc>
          <w:tcPr>
            <w:tcW w:w="1411" w:type="dxa"/>
            <w:tcBorders>
              <w:top w:val="single" w:sz="4" w:space="0" w:color="auto"/>
              <w:bottom w:val="single" w:sz="4" w:space="0" w:color="auto"/>
            </w:tcBorders>
            <w:vAlign w:val="center"/>
          </w:tcPr>
          <w:p w14:paraId="1BA4C90A" w14:textId="1F3BDA9E" w:rsidR="00A27D7E" w:rsidRPr="00FE3924" w:rsidRDefault="00A27D7E" w:rsidP="00D60327">
            <w:pPr>
              <w:spacing w:line="480" w:lineRule="auto"/>
              <w:jc w:val="both"/>
              <w:rPr>
                <w:rFonts w:ascii="Times New Roman" w:hAnsi="Times New Roman" w:cs="Times New Roman"/>
              </w:rPr>
            </w:pPr>
            <w:proofErr w:type="spellStart"/>
            <w:r w:rsidRPr="00FE3924">
              <w:rPr>
                <w:rFonts w:ascii="Times New Roman" w:hAnsi="Times New Roman" w:cs="Times New Roman"/>
                <w:b/>
                <w:bCs/>
              </w:rPr>
              <w:t>Fibre</w:t>
            </w:r>
            <w:proofErr w:type="spellEnd"/>
          </w:p>
        </w:tc>
        <w:tc>
          <w:tcPr>
            <w:tcW w:w="1479" w:type="dxa"/>
            <w:tcBorders>
              <w:top w:val="single" w:sz="4" w:space="0" w:color="auto"/>
              <w:bottom w:val="single" w:sz="4" w:space="0" w:color="auto"/>
            </w:tcBorders>
            <w:vAlign w:val="center"/>
          </w:tcPr>
          <w:p w14:paraId="1BC14E97" w14:textId="563EA262"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b/>
                <w:bCs/>
              </w:rPr>
              <w:t>Protein</w:t>
            </w:r>
          </w:p>
        </w:tc>
        <w:tc>
          <w:tcPr>
            <w:tcW w:w="1727" w:type="dxa"/>
            <w:tcBorders>
              <w:top w:val="single" w:sz="4" w:space="0" w:color="auto"/>
              <w:bottom w:val="single" w:sz="4" w:space="0" w:color="auto"/>
            </w:tcBorders>
            <w:vAlign w:val="center"/>
          </w:tcPr>
          <w:p w14:paraId="61F0B50B" w14:textId="3BE87247"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b/>
                <w:bCs/>
              </w:rPr>
              <w:t>Carbohydrate</w:t>
            </w:r>
          </w:p>
        </w:tc>
      </w:tr>
      <w:tr w:rsidR="00A27D7E" w:rsidRPr="00FE3924" w14:paraId="6D3B4FE2" w14:textId="77777777" w:rsidTr="00C10538">
        <w:trPr>
          <w:trHeight w:val="603"/>
        </w:trPr>
        <w:tc>
          <w:tcPr>
            <w:tcW w:w="1107" w:type="dxa"/>
            <w:tcBorders>
              <w:top w:val="single" w:sz="4" w:space="0" w:color="auto"/>
            </w:tcBorders>
            <w:vAlign w:val="center"/>
          </w:tcPr>
          <w:p w14:paraId="414B30FA" w14:textId="5F74DE1D"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Yoghurt</w:t>
            </w:r>
          </w:p>
        </w:tc>
        <w:tc>
          <w:tcPr>
            <w:tcW w:w="1476" w:type="dxa"/>
            <w:tcBorders>
              <w:top w:val="single" w:sz="4" w:space="0" w:color="auto"/>
            </w:tcBorders>
            <w:vAlign w:val="center"/>
          </w:tcPr>
          <w:p w14:paraId="7CA2C441" w14:textId="2179F3F3"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0.96 ± 0.01ᵈ</w:t>
            </w:r>
          </w:p>
        </w:tc>
        <w:tc>
          <w:tcPr>
            <w:tcW w:w="1668" w:type="dxa"/>
            <w:tcBorders>
              <w:top w:val="single" w:sz="4" w:space="0" w:color="auto"/>
            </w:tcBorders>
            <w:vAlign w:val="center"/>
          </w:tcPr>
          <w:p w14:paraId="0B4FDEDD" w14:textId="5E907CF4"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79.65 ± 0.50ᵃ</w:t>
            </w:r>
          </w:p>
        </w:tc>
        <w:tc>
          <w:tcPr>
            <w:tcW w:w="1409" w:type="dxa"/>
            <w:tcBorders>
              <w:top w:val="single" w:sz="4" w:space="0" w:color="auto"/>
            </w:tcBorders>
            <w:vAlign w:val="center"/>
          </w:tcPr>
          <w:p w14:paraId="12257178" w14:textId="68168803"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2.91 ± 0.05ᶜ</w:t>
            </w:r>
          </w:p>
        </w:tc>
        <w:tc>
          <w:tcPr>
            <w:tcW w:w="1411" w:type="dxa"/>
            <w:tcBorders>
              <w:top w:val="single" w:sz="4" w:space="0" w:color="auto"/>
            </w:tcBorders>
            <w:vAlign w:val="center"/>
          </w:tcPr>
          <w:p w14:paraId="417ED060" w14:textId="436CC018"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1.13 ± 0.02ᵈ</w:t>
            </w:r>
          </w:p>
        </w:tc>
        <w:tc>
          <w:tcPr>
            <w:tcW w:w="1479" w:type="dxa"/>
            <w:tcBorders>
              <w:top w:val="single" w:sz="4" w:space="0" w:color="auto"/>
            </w:tcBorders>
            <w:vAlign w:val="center"/>
          </w:tcPr>
          <w:p w14:paraId="390CCD2A" w14:textId="3E122CDD"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3.88 ± 0.04ᵈ</w:t>
            </w:r>
          </w:p>
        </w:tc>
        <w:tc>
          <w:tcPr>
            <w:tcW w:w="1727" w:type="dxa"/>
            <w:tcBorders>
              <w:top w:val="single" w:sz="4" w:space="0" w:color="auto"/>
            </w:tcBorders>
            <w:vAlign w:val="center"/>
          </w:tcPr>
          <w:p w14:paraId="3B279961" w14:textId="5A4FF373"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11.47 ± 0.30ᶜ</w:t>
            </w:r>
          </w:p>
        </w:tc>
      </w:tr>
      <w:tr w:rsidR="00A27D7E" w:rsidRPr="00FE3924" w14:paraId="038D8A77" w14:textId="77777777" w:rsidTr="00C10538">
        <w:trPr>
          <w:trHeight w:val="603"/>
        </w:trPr>
        <w:tc>
          <w:tcPr>
            <w:tcW w:w="1107" w:type="dxa"/>
            <w:vAlign w:val="center"/>
          </w:tcPr>
          <w:p w14:paraId="55FB1464" w14:textId="483B6276"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Nunu</w:t>
            </w:r>
          </w:p>
        </w:tc>
        <w:tc>
          <w:tcPr>
            <w:tcW w:w="1476" w:type="dxa"/>
            <w:vAlign w:val="center"/>
          </w:tcPr>
          <w:p w14:paraId="1C4A1D77" w14:textId="293D20FC"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3.03 ± 0.02ᶜ</w:t>
            </w:r>
          </w:p>
        </w:tc>
        <w:tc>
          <w:tcPr>
            <w:tcW w:w="1668" w:type="dxa"/>
            <w:vAlign w:val="center"/>
          </w:tcPr>
          <w:p w14:paraId="62592F9A" w14:textId="29272E67"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69.56 ± 0.40ᵇ</w:t>
            </w:r>
          </w:p>
        </w:tc>
        <w:tc>
          <w:tcPr>
            <w:tcW w:w="1409" w:type="dxa"/>
            <w:vAlign w:val="center"/>
          </w:tcPr>
          <w:p w14:paraId="12840AD4" w14:textId="5F2BEA80"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4.78 ± 0.06ᵇ</w:t>
            </w:r>
          </w:p>
        </w:tc>
        <w:tc>
          <w:tcPr>
            <w:tcW w:w="1411" w:type="dxa"/>
            <w:vAlign w:val="center"/>
          </w:tcPr>
          <w:p w14:paraId="6EA01F5C" w14:textId="32D01C79"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2.81 ± 0.03ᶜ</w:t>
            </w:r>
          </w:p>
        </w:tc>
        <w:tc>
          <w:tcPr>
            <w:tcW w:w="1479" w:type="dxa"/>
            <w:vAlign w:val="center"/>
          </w:tcPr>
          <w:p w14:paraId="0FDFFD0B" w14:textId="74E11DFA"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9.04 ± 0.05ᶜ</w:t>
            </w:r>
          </w:p>
        </w:tc>
        <w:tc>
          <w:tcPr>
            <w:tcW w:w="1727" w:type="dxa"/>
            <w:vAlign w:val="center"/>
          </w:tcPr>
          <w:p w14:paraId="1EFB42C6" w14:textId="7B47FFB8"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10.78 ± 0.25ᶜ</w:t>
            </w:r>
          </w:p>
        </w:tc>
      </w:tr>
      <w:tr w:rsidR="00A27D7E" w:rsidRPr="00FE3924" w14:paraId="30E15D7D" w14:textId="77777777" w:rsidTr="00C10538">
        <w:trPr>
          <w:trHeight w:val="595"/>
        </w:trPr>
        <w:tc>
          <w:tcPr>
            <w:tcW w:w="1107" w:type="dxa"/>
            <w:vAlign w:val="center"/>
          </w:tcPr>
          <w:p w14:paraId="578FBA70" w14:textId="142A3872" w:rsidR="00A27D7E" w:rsidRPr="00FE3924" w:rsidRDefault="00A27D7E" w:rsidP="00D60327">
            <w:pPr>
              <w:spacing w:line="480" w:lineRule="auto"/>
              <w:jc w:val="both"/>
              <w:rPr>
                <w:rFonts w:ascii="Times New Roman" w:hAnsi="Times New Roman" w:cs="Times New Roman"/>
              </w:rPr>
            </w:pPr>
            <w:proofErr w:type="spellStart"/>
            <w:r w:rsidRPr="00FE3924">
              <w:rPr>
                <w:rFonts w:ascii="Times New Roman" w:hAnsi="Times New Roman" w:cs="Times New Roman"/>
              </w:rPr>
              <w:t>Ogiri</w:t>
            </w:r>
            <w:proofErr w:type="spellEnd"/>
          </w:p>
        </w:tc>
        <w:tc>
          <w:tcPr>
            <w:tcW w:w="1476" w:type="dxa"/>
            <w:vAlign w:val="center"/>
          </w:tcPr>
          <w:p w14:paraId="3FF050C6" w14:textId="32C437F8"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4.78 ± 0.03ᵇ</w:t>
            </w:r>
          </w:p>
        </w:tc>
        <w:tc>
          <w:tcPr>
            <w:tcW w:w="1668" w:type="dxa"/>
            <w:vAlign w:val="center"/>
          </w:tcPr>
          <w:p w14:paraId="01579FF7" w14:textId="2CA3F4AB"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8.65 ± 0.20ᶜ</w:t>
            </w:r>
          </w:p>
        </w:tc>
        <w:tc>
          <w:tcPr>
            <w:tcW w:w="1409" w:type="dxa"/>
            <w:vAlign w:val="center"/>
          </w:tcPr>
          <w:p w14:paraId="19A066A7" w14:textId="28EE1A37"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7.55 ± 0.08ᵃ</w:t>
            </w:r>
          </w:p>
        </w:tc>
        <w:tc>
          <w:tcPr>
            <w:tcW w:w="1411" w:type="dxa"/>
            <w:vAlign w:val="center"/>
          </w:tcPr>
          <w:p w14:paraId="398ED6AF" w14:textId="51707E81"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4.22 ± 0.05ᵇ</w:t>
            </w:r>
          </w:p>
        </w:tc>
        <w:tc>
          <w:tcPr>
            <w:tcW w:w="1479" w:type="dxa"/>
            <w:vAlign w:val="center"/>
          </w:tcPr>
          <w:p w14:paraId="37CEB787" w14:textId="63B2027D"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26.34 ± 0.10ᵃ</w:t>
            </w:r>
          </w:p>
        </w:tc>
        <w:tc>
          <w:tcPr>
            <w:tcW w:w="1727" w:type="dxa"/>
            <w:vAlign w:val="center"/>
          </w:tcPr>
          <w:p w14:paraId="10637DD4" w14:textId="3F165744"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48.46 ± 0.50ᵇ</w:t>
            </w:r>
          </w:p>
        </w:tc>
      </w:tr>
      <w:tr w:rsidR="00A27D7E" w:rsidRPr="00FE3924" w14:paraId="2807927E" w14:textId="77777777" w:rsidTr="00C10538">
        <w:trPr>
          <w:trHeight w:val="609"/>
        </w:trPr>
        <w:tc>
          <w:tcPr>
            <w:tcW w:w="1107" w:type="dxa"/>
            <w:vAlign w:val="center"/>
          </w:tcPr>
          <w:p w14:paraId="288EAFAC" w14:textId="571EAE15" w:rsidR="00A27D7E" w:rsidRPr="00FE3924" w:rsidRDefault="00A27D7E" w:rsidP="00D60327">
            <w:pPr>
              <w:spacing w:line="480" w:lineRule="auto"/>
              <w:jc w:val="both"/>
              <w:rPr>
                <w:rFonts w:ascii="Times New Roman" w:hAnsi="Times New Roman" w:cs="Times New Roman"/>
              </w:rPr>
            </w:pPr>
            <w:proofErr w:type="spellStart"/>
            <w:r w:rsidRPr="00FE3924">
              <w:rPr>
                <w:rFonts w:ascii="Times New Roman" w:hAnsi="Times New Roman" w:cs="Times New Roman"/>
              </w:rPr>
              <w:t>Ugba</w:t>
            </w:r>
            <w:proofErr w:type="spellEnd"/>
          </w:p>
        </w:tc>
        <w:tc>
          <w:tcPr>
            <w:tcW w:w="1476" w:type="dxa"/>
            <w:vAlign w:val="center"/>
          </w:tcPr>
          <w:p w14:paraId="04F61A27" w14:textId="4F09486D"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5.32 ± 0.04ᵃ</w:t>
            </w:r>
          </w:p>
        </w:tc>
        <w:tc>
          <w:tcPr>
            <w:tcW w:w="1668" w:type="dxa"/>
            <w:vAlign w:val="center"/>
          </w:tcPr>
          <w:p w14:paraId="7055F446" w14:textId="322C4D8C"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6.85 ± 0.15ᵈ</w:t>
            </w:r>
          </w:p>
        </w:tc>
        <w:tc>
          <w:tcPr>
            <w:tcW w:w="1409" w:type="dxa"/>
            <w:vAlign w:val="center"/>
          </w:tcPr>
          <w:p w14:paraId="2C8924C8" w14:textId="68A7C66E"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3.99 ± 0.05ᵇ</w:t>
            </w:r>
          </w:p>
        </w:tc>
        <w:tc>
          <w:tcPr>
            <w:tcW w:w="1411" w:type="dxa"/>
            <w:vAlign w:val="center"/>
          </w:tcPr>
          <w:p w14:paraId="2454D02B" w14:textId="07744A3F"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6.56 ± 0.06ᵃ</w:t>
            </w:r>
          </w:p>
        </w:tc>
        <w:tc>
          <w:tcPr>
            <w:tcW w:w="1479" w:type="dxa"/>
            <w:vAlign w:val="center"/>
          </w:tcPr>
          <w:p w14:paraId="64C2CE59" w14:textId="13511607"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19.20 ± 0.08ᵇ</w:t>
            </w:r>
          </w:p>
        </w:tc>
        <w:tc>
          <w:tcPr>
            <w:tcW w:w="1727" w:type="dxa"/>
            <w:vAlign w:val="center"/>
          </w:tcPr>
          <w:p w14:paraId="2073062C" w14:textId="28C6B46E" w:rsidR="00A27D7E" w:rsidRPr="00FE3924" w:rsidRDefault="00A27D7E" w:rsidP="00D60327">
            <w:pPr>
              <w:spacing w:line="480" w:lineRule="auto"/>
              <w:jc w:val="both"/>
              <w:rPr>
                <w:rFonts w:ascii="Times New Roman" w:hAnsi="Times New Roman" w:cs="Times New Roman"/>
              </w:rPr>
            </w:pPr>
            <w:r w:rsidRPr="00FE3924">
              <w:rPr>
                <w:rFonts w:ascii="Times New Roman" w:hAnsi="Times New Roman" w:cs="Times New Roman"/>
              </w:rPr>
              <w:t>58.08 ± 0.60ᵃ</w:t>
            </w:r>
          </w:p>
        </w:tc>
      </w:tr>
    </w:tbl>
    <w:p w14:paraId="0D599EEE" w14:textId="3C758AC6" w:rsidR="00C960DF" w:rsidRPr="00FE3924" w:rsidRDefault="007A0B3B" w:rsidP="00D60327">
      <w:pPr>
        <w:spacing w:after="0" w:line="480" w:lineRule="auto"/>
        <w:jc w:val="both"/>
        <w:rPr>
          <w:rFonts w:ascii="Times New Roman" w:hAnsi="Times New Roman" w:cs="Times New Roman"/>
        </w:rPr>
      </w:pPr>
      <w:r w:rsidRPr="00FE3924">
        <w:rPr>
          <w:rFonts w:ascii="Times New Roman" w:hAnsi="Times New Roman" w:cs="Times New Roman"/>
        </w:rPr>
        <w:t>Values are mean ± SD</w:t>
      </w:r>
      <w:r w:rsidR="00076467" w:rsidRPr="00FE3924">
        <w:rPr>
          <w:rFonts w:ascii="Times New Roman" w:hAnsi="Times New Roman" w:cs="Times New Roman"/>
        </w:rPr>
        <w:t>;</w:t>
      </w:r>
      <w:r w:rsidR="001E7AE7" w:rsidRPr="00FE3924">
        <w:rPr>
          <w:rFonts w:ascii="Times New Roman" w:hAnsi="Times New Roman" w:cs="Times New Roman"/>
        </w:rPr>
        <w:t xml:space="preserve"> </w:t>
      </w:r>
      <w:r w:rsidRPr="00FE3924">
        <w:rPr>
          <w:rFonts w:ascii="Times New Roman" w:hAnsi="Times New Roman" w:cs="Times New Roman"/>
        </w:rPr>
        <w:t xml:space="preserve">Different superscripts (a–d) within the same column indicate </w:t>
      </w:r>
      <w:r w:rsidRPr="00FE3924">
        <w:rPr>
          <w:rFonts w:ascii="Times New Roman" w:hAnsi="Times New Roman" w:cs="Times New Roman"/>
          <w:b/>
          <w:bCs/>
        </w:rPr>
        <w:t>significant difference (p &lt; 0.05)</w:t>
      </w:r>
      <w:r w:rsidRPr="00FE3924">
        <w:rPr>
          <w:rFonts w:ascii="Times New Roman" w:hAnsi="Times New Roman" w:cs="Times New Roman"/>
        </w:rPr>
        <w:t>.</w:t>
      </w:r>
    </w:p>
    <w:p w14:paraId="7B3F0D1B" w14:textId="77777777" w:rsidR="00775E34" w:rsidRPr="00FE3924" w:rsidRDefault="00775E34" w:rsidP="00D60327">
      <w:pPr>
        <w:spacing w:after="0" w:line="480" w:lineRule="auto"/>
        <w:jc w:val="both"/>
        <w:rPr>
          <w:rFonts w:ascii="Times New Roman" w:hAnsi="Times New Roman" w:cs="Times New Roman"/>
        </w:rPr>
      </w:pPr>
    </w:p>
    <w:p w14:paraId="56B88C01" w14:textId="107FC4BB" w:rsidR="00775E34" w:rsidRPr="00FE3924" w:rsidRDefault="00775E34" w:rsidP="00D60327">
      <w:pPr>
        <w:spacing w:after="0" w:line="480" w:lineRule="auto"/>
        <w:jc w:val="both"/>
        <w:rPr>
          <w:rFonts w:ascii="Times New Roman" w:hAnsi="Times New Roman" w:cs="Times New Roman"/>
          <w:b/>
          <w:bCs/>
        </w:rPr>
      </w:pPr>
      <w:r w:rsidRPr="00FE3924">
        <w:rPr>
          <w:rFonts w:ascii="Times New Roman" w:hAnsi="Times New Roman" w:cs="Times New Roman"/>
          <w:b/>
          <w:bCs/>
        </w:rPr>
        <w:t xml:space="preserve"> Discussion</w:t>
      </w:r>
    </w:p>
    <w:p w14:paraId="00DFEB6B" w14:textId="77777777"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The present study provides an integrated evaluation of the microbial composition, safety status, and nutritional quality of selected Nigerian fermented foods, revealing significant variations across products and highlighting both their functional potential and safety concerns.</w:t>
      </w:r>
    </w:p>
    <w:p w14:paraId="29570E50" w14:textId="7AA58FC6" w:rsidR="00775E34" w:rsidRPr="00FE3924" w:rsidRDefault="00775E34" w:rsidP="00D60327">
      <w:pPr>
        <w:spacing w:after="0" w:line="480" w:lineRule="auto"/>
        <w:jc w:val="both"/>
        <w:rPr>
          <w:rFonts w:ascii="Times New Roman" w:hAnsi="Times New Roman" w:cs="Times New Roman"/>
          <w:b/>
          <w:bCs/>
        </w:rPr>
      </w:pPr>
      <w:r w:rsidRPr="00FE3924">
        <w:rPr>
          <w:rFonts w:ascii="Times New Roman" w:hAnsi="Times New Roman" w:cs="Times New Roman"/>
          <w:b/>
          <w:bCs/>
        </w:rPr>
        <w:t>Microbial Load and Fermentation Dynamics</w:t>
      </w:r>
    </w:p>
    <w:p w14:paraId="0BCCCD83" w14:textId="761BEBA3"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 significantly higher total viable counts (10⁸ </w:t>
      </w:r>
      <w:proofErr w:type="spellStart"/>
      <w:r w:rsidRPr="00FE3924">
        <w:rPr>
          <w:rFonts w:ascii="Times New Roman" w:hAnsi="Times New Roman" w:cs="Times New Roman"/>
        </w:rPr>
        <w:t>cfu</w:t>
      </w:r>
      <w:proofErr w:type="spellEnd"/>
      <w:r w:rsidRPr="00FE3924">
        <w:rPr>
          <w:rFonts w:ascii="Times New Roman" w:hAnsi="Times New Roman" w:cs="Times New Roman"/>
        </w:rPr>
        <w:t xml:space="preserve">/ml) observed in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compared to Yoghurt and </w:t>
      </w:r>
      <w:proofErr w:type="spellStart"/>
      <w:r w:rsidRPr="00FE3924">
        <w:rPr>
          <w:rFonts w:ascii="Times New Roman" w:hAnsi="Times New Roman" w:cs="Times New Roman"/>
        </w:rPr>
        <w:t>Nunu</w:t>
      </w:r>
      <w:proofErr w:type="spellEnd"/>
      <w:r w:rsidRPr="00FE3924">
        <w:rPr>
          <w:rFonts w:ascii="Times New Roman" w:hAnsi="Times New Roman" w:cs="Times New Roman"/>
        </w:rPr>
        <w:t xml:space="preserve"> (10⁶ </w:t>
      </w:r>
      <w:proofErr w:type="spellStart"/>
      <w:r w:rsidRPr="00FE3924">
        <w:rPr>
          <w:rFonts w:ascii="Times New Roman" w:hAnsi="Times New Roman" w:cs="Times New Roman"/>
        </w:rPr>
        <w:t>cfu</w:t>
      </w:r>
      <w:proofErr w:type="spellEnd"/>
      <w:r w:rsidRPr="00FE3924">
        <w:rPr>
          <w:rFonts w:ascii="Times New Roman" w:hAnsi="Times New Roman" w:cs="Times New Roman"/>
        </w:rPr>
        <w:t>/ml) indicate a more intense microbial activity in solid-state fermented foods. This is consistent with previous findings that traditional fermentation systems harbor dense and diverse microbial populations due to spontaneous fermentation processes and substrate complexity (</w:t>
      </w:r>
      <w:r w:rsidR="00A21AF5" w:rsidRPr="00FE3924">
        <w:rPr>
          <w:rFonts w:ascii="Times New Roman" w:hAnsi="Times New Roman" w:cs="Times New Roman"/>
        </w:rPr>
        <w:t>Park</w:t>
      </w:r>
      <w:r w:rsidRPr="00FE3924">
        <w:rPr>
          <w:rFonts w:ascii="Times New Roman" w:hAnsi="Times New Roman" w:cs="Times New Roman"/>
        </w:rPr>
        <w:t xml:space="preserve"> et al., 2025). The elevated LAB counts, particularly in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(10⁹ </w:t>
      </w:r>
      <w:proofErr w:type="spellStart"/>
      <w:r w:rsidRPr="00FE3924">
        <w:rPr>
          <w:rFonts w:ascii="Times New Roman" w:hAnsi="Times New Roman" w:cs="Times New Roman"/>
        </w:rPr>
        <w:t>cfu</w:t>
      </w:r>
      <w:proofErr w:type="spellEnd"/>
      <w:r w:rsidRPr="00FE3924">
        <w:rPr>
          <w:rFonts w:ascii="Times New Roman" w:hAnsi="Times New Roman" w:cs="Times New Roman"/>
        </w:rPr>
        <w:t xml:space="preserve">/ml), further </w:t>
      </w:r>
      <w:r w:rsidRPr="00FE3924">
        <w:rPr>
          <w:rFonts w:ascii="Times New Roman" w:hAnsi="Times New Roman" w:cs="Times New Roman"/>
        </w:rPr>
        <w:lastRenderedPageBreak/>
        <w:t>confirm the dominance of fermentative microbiota, which are central to biochemical transformations during fermentation.</w:t>
      </w:r>
    </w:p>
    <w:p w14:paraId="4AF4CD47" w14:textId="436FD377"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Lactic acid bacteria are known to produce organic acids, bacteriocins, and other antimicrobial metabolites that enhance food preservation and inhibit competing microorganisms (</w:t>
      </w:r>
      <w:r w:rsidR="00A21AF5" w:rsidRPr="00FE3924">
        <w:rPr>
          <w:rFonts w:ascii="Times New Roman" w:hAnsi="Times New Roman" w:cs="Times New Roman"/>
        </w:rPr>
        <w:t xml:space="preserve">Ibrahim </w:t>
      </w:r>
      <w:r w:rsidRPr="00FE3924">
        <w:rPr>
          <w:rFonts w:ascii="Times New Roman" w:hAnsi="Times New Roman" w:cs="Times New Roman"/>
        </w:rPr>
        <w:t>et al., 202</w:t>
      </w:r>
      <w:r w:rsidR="00A21AF5" w:rsidRPr="00FE3924">
        <w:rPr>
          <w:rFonts w:ascii="Times New Roman" w:hAnsi="Times New Roman" w:cs="Times New Roman"/>
        </w:rPr>
        <w:t>1</w:t>
      </w:r>
      <w:r w:rsidRPr="00FE3924">
        <w:rPr>
          <w:rFonts w:ascii="Times New Roman" w:hAnsi="Times New Roman" w:cs="Times New Roman"/>
        </w:rPr>
        <w:t>). The high LAB populations observed in this study</w:t>
      </w:r>
      <w:r w:rsidR="00324C74" w:rsidRPr="00FE3924">
        <w:rPr>
          <w:rFonts w:ascii="Times New Roman" w:hAnsi="Times New Roman" w:cs="Times New Roman"/>
        </w:rPr>
        <w:t>, therefore,</w:t>
      </w:r>
      <w:r w:rsidRPr="00FE3924">
        <w:rPr>
          <w:rFonts w:ascii="Times New Roman" w:hAnsi="Times New Roman" w:cs="Times New Roman"/>
        </w:rPr>
        <w:t xml:space="preserve"> suggest strong fermentative activity and potential probiotic functionality. Similarly, fermentation processes have been reported to improve food digestibility, enhance nutrient bioavailability, and generate bioactive compounds such as peptides and short-chain fatty acids (Fitsum et al., 2025).</w:t>
      </w:r>
    </w:p>
    <w:p w14:paraId="2C740535" w14:textId="77777777"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 variation in pH values across samples further reflects differences in fermentation pathways. The lower pH observed in Yoghurt (5.65) and Nunu (6.00) is typical of lactic acid fermentation, where acid production suppresses undesirable microorganisms. In contrast, the near-neutral pH of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suggests alkaline fermentation processes, commonly associated with protein-rich substrates and </w:t>
      </w:r>
      <w:r w:rsidRPr="00FE3924">
        <w:rPr>
          <w:rFonts w:ascii="Times New Roman" w:hAnsi="Times New Roman" w:cs="Times New Roman"/>
          <w:i/>
          <w:iCs/>
        </w:rPr>
        <w:t>Bacillus</w:t>
      </w:r>
      <w:r w:rsidRPr="00FE3924">
        <w:rPr>
          <w:rFonts w:ascii="Times New Roman" w:hAnsi="Times New Roman" w:cs="Times New Roman"/>
        </w:rPr>
        <w:t>/</w:t>
      </w:r>
      <w:r w:rsidRPr="00FE3924">
        <w:rPr>
          <w:rFonts w:ascii="Times New Roman" w:hAnsi="Times New Roman" w:cs="Times New Roman"/>
          <w:i/>
          <w:iCs/>
        </w:rPr>
        <w:t>Lactobacillus</w:t>
      </w:r>
      <w:r w:rsidRPr="00FE3924">
        <w:rPr>
          <w:rFonts w:ascii="Times New Roman" w:hAnsi="Times New Roman" w:cs="Times New Roman"/>
        </w:rPr>
        <w:t xml:space="preserve"> activity. Such pH variations play a critical role in shaping microbial ecology and product safety.</w:t>
      </w:r>
    </w:p>
    <w:p w14:paraId="79F88D54" w14:textId="4FC182EC" w:rsidR="00775E34" w:rsidRPr="00FE3924" w:rsidRDefault="00775E34" w:rsidP="00D60327">
      <w:pPr>
        <w:spacing w:after="0" w:line="480" w:lineRule="auto"/>
        <w:jc w:val="both"/>
        <w:rPr>
          <w:rFonts w:ascii="Times New Roman" w:hAnsi="Times New Roman" w:cs="Times New Roman"/>
        </w:rPr>
      </w:pPr>
    </w:p>
    <w:p w14:paraId="4F52CFDE" w14:textId="7CB7F995" w:rsidR="00775E34" w:rsidRPr="00FE3924" w:rsidRDefault="00775E34" w:rsidP="00D60327">
      <w:pPr>
        <w:spacing w:after="0" w:line="480" w:lineRule="auto"/>
        <w:jc w:val="both"/>
        <w:rPr>
          <w:rFonts w:ascii="Times New Roman" w:hAnsi="Times New Roman" w:cs="Times New Roman"/>
          <w:b/>
          <w:bCs/>
        </w:rPr>
      </w:pPr>
      <w:r w:rsidRPr="00FE3924">
        <w:rPr>
          <w:rFonts w:ascii="Times New Roman" w:hAnsi="Times New Roman" w:cs="Times New Roman"/>
          <w:b/>
          <w:bCs/>
        </w:rPr>
        <w:t>Microbial Diversity and Functional Implications</w:t>
      </w:r>
    </w:p>
    <w:p w14:paraId="36FD5755" w14:textId="1DED7048"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 identification of beneficial genera such as </w:t>
      </w:r>
      <w:r w:rsidRPr="00FE3924">
        <w:rPr>
          <w:rFonts w:ascii="Times New Roman" w:hAnsi="Times New Roman" w:cs="Times New Roman"/>
          <w:i/>
          <w:iCs/>
        </w:rPr>
        <w:t>Streptococcus</w:t>
      </w:r>
      <w:r w:rsidRPr="00FE3924">
        <w:rPr>
          <w:rFonts w:ascii="Times New Roman" w:hAnsi="Times New Roman" w:cs="Times New Roman"/>
        </w:rPr>
        <w:t xml:space="preserve">, </w:t>
      </w:r>
      <w:r w:rsidRPr="00FE3924">
        <w:rPr>
          <w:rFonts w:ascii="Times New Roman" w:hAnsi="Times New Roman" w:cs="Times New Roman"/>
          <w:i/>
          <w:iCs/>
        </w:rPr>
        <w:t>Enterococcus</w:t>
      </w:r>
      <w:r w:rsidRPr="00FE3924">
        <w:rPr>
          <w:rFonts w:ascii="Times New Roman" w:hAnsi="Times New Roman" w:cs="Times New Roman"/>
        </w:rPr>
        <w:t xml:space="preserve">, and </w:t>
      </w:r>
      <w:r w:rsidRPr="00FE3924">
        <w:rPr>
          <w:rFonts w:ascii="Times New Roman" w:hAnsi="Times New Roman" w:cs="Times New Roman"/>
          <w:i/>
          <w:iCs/>
        </w:rPr>
        <w:t>Lactobacillus</w:t>
      </w:r>
      <w:r w:rsidRPr="00FE3924">
        <w:rPr>
          <w:rFonts w:ascii="Times New Roman" w:hAnsi="Times New Roman" w:cs="Times New Roman"/>
        </w:rPr>
        <w:t xml:space="preserve"> confirms the probiotic potential of the fermented foods studied. These microorganisms are widely recognized for their ability to modulate gut microbiota, enhance immune response, and contribute to overall health (</w:t>
      </w:r>
      <w:proofErr w:type="spellStart"/>
      <w:r w:rsidR="00A21AF5" w:rsidRPr="00FE3924">
        <w:rPr>
          <w:rFonts w:ascii="Times New Roman" w:hAnsi="Times New Roman" w:cs="Times New Roman"/>
        </w:rPr>
        <w:t>Leeuwendaal</w:t>
      </w:r>
      <w:proofErr w:type="spellEnd"/>
      <w:r w:rsidR="00A21AF5" w:rsidRPr="00FE3924">
        <w:rPr>
          <w:rFonts w:ascii="Times New Roman" w:hAnsi="Times New Roman" w:cs="Times New Roman"/>
        </w:rPr>
        <w:t xml:space="preserve"> </w:t>
      </w:r>
      <w:r w:rsidRPr="00FE3924">
        <w:rPr>
          <w:rFonts w:ascii="Times New Roman" w:hAnsi="Times New Roman" w:cs="Times New Roman"/>
        </w:rPr>
        <w:t>et al., 202</w:t>
      </w:r>
      <w:r w:rsidR="00A21AF5" w:rsidRPr="00FE3924">
        <w:rPr>
          <w:rFonts w:ascii="Times New Roman" w:hAnsi="Times New Roman" w:cs="Times New Roman"/>
        </w:rPr>
        <w:t>2</w:t>
      </w:r>
      <w:r w:rsidRPr="00FE3924">
        <w:rPr>
          <w:rFonts w:ascii="Times New Roman" w:hAnsi="Times New Roman" w:cs="Times New Roman"/>
        </w:rPr>
        <w:t xml:space="preserve">). In particular, </w:t>
      </w:r>
      <w:r w:rsidRPr="00FE3924">
        <w:rPr>
          <w:rFonts w:ascii="Times New Roman" w:hAnsi="Times New Roman" w:cs="Times New Roman"/>
          <w:i/>
          <w:iCs/>
        </w:rPr>
        <w:t>Lactobacillus</w:t>
      </w:r>
      <w:r w:rsidRPr="00FE3924">
        <w:rPr>
          <w:rFonts w:ascii="Times New Roman" w:hAnsi="Times New Roman" w:cs="Times New Roman"/>
        </w:rPr>
        <w:t xml:space="preserve"> spp. identified in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are well-documented for their role in acidification, pathogen inhibition, and production of bioactive metabolites.</w:t>
      </w:r>
    </w:p>
    <w:p w14:paraId="300C2FFF" w14:textId="31A05019"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lastRenderedPageBreak/>
        <w:t xml:space="preserve">However, the detection of </w:t>
      </w:r>
      <w:r w:rsidRPr="00FE3924">
        <w:rPr>
          <w:rFonts w:ascii="Times New Roman" w:hAnsi="Times New Roman" w:cs="Times New Roman"/>
          <w:i/>
          <w:iCs/>
        </w:rPr>
        <w:t>Enterobacter</w:t>
      </w:r>
      <w:r w:rsidRPr="00FE3924">
        <w:rPr>
          <w:rFonts w:ascii="Times New Roman" w:hAnsi="Times New Roman" w:cs="Times New Roman"/>
        </w:rPr>
        <w:t xml:space="preserve"> spp. and </w:t>
      </w:r>
      <w:r w:rsidRPr="00FE3924">
        <w:rPr>
          <w:rFonts w:ascii="Times New Roman" w:hAnsi="Times New Roman" w:cs="Times New Roman"/>
          <w:i/>
          <w:iCs/>
        </w:rPr>
        <w:t>Staphylococcus</w:t>
      </w:r>
      <w:r w:rsidRPr="00FE3924">
        <w:rPr>
          <w:rFonts w:ascii="Times New Roman" w:hAnsi="Times New Roman" w:cs="Times New Roman"/>
        </w:rPr>
        <w:t xml:space="preserve"> spp. raises concerns regarding microbiological safety. These organisms are commonly associated with contamination </w:t>
      </w:r>
      <w:r w:rsidR="00324C74" w:rsidRPr="00FE3924">
        <w:rPr>
          <w:rFonts w:ascii="Times New Roman" w:hAnsi="Times New Roman" w:cs="Times New Roman"/>
        </w:rPr>
        <w:t xml:space="preserve">caused by poor hygiene, poor </w:t>
      </w:r>
      <w:r w:rsidRPr="00FE3924">
        <w:rPr>
          <w:rFonts w:ascii="Times New Roman" w:hAnsi="Times New Roman" w:cs="Times New Roman"/>
        </w:rPr>
        <w:t>raw material quality, or inadequate processing conditions. Previous studies have reported the occurrence of such opportunistic pathogens in traditionally fermented foods, particularly under uncontrolled fermentation environments (</w:t>
      </w:r>
      <w:r w:rsidR="00522E4A" w:rsidRPr="00FE3924">
        <w:rPr>
          <w:rFonts w:ascii="Times New Roman" w:hAnsi="Times New Roman" w:cs="Times New Roman"/>
        </w:rPr>
        <w:t xml:space="preserve">Rossi </w:t>
      </w:r>
      <w:r w:rsidRPr="00FE3924">
        <w:rPr>
          <w:rFonts w:ascii="Times New Roman" w:hAnsi="Times New Roman" w:cs="Times New Roman"/>
        </w:rPr>
        <w:t>et al., 202</w:t>
      </w:r>
      <w:r w:rsidR="00522E4A" w:rsidRPr="00FE3924">
        <w:rPr>
          <w:rFonts w:ascii="Times New Roman" w:hAnsi="Times New Roman" w:cs="Times New Roman"/>
        </w:rPr>
        <w:t>4</w:t>
      </w:r>
      <w:r w:rsidRPr="00FE3924">
        <w:rPr>
          <w:rFonts w:ascii="Times New Roman" w:hAnsi="Times New Roman" w:cs="Times New Roman"/>
        </w:rPr>
        <w:t>). The coexistence of beneficial and potentially harmful microorganisms reflects the complex microbial ecology of spontaneous fermentation systems.</w:t>
      </w:r>
    </w:p>
    <w:p w14:paraId="5E9A147D" w14:textId="594A3F6B" w:rsidR="0097563F"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This duality </w:t>
      </w:r>
      <w:r w:rsidR="00324C74" w:rsidRPr="00FE3924">
        <w:rPr>
          <w:rFonts w:ascii="Times New Roman" w:hAnsi="Times New Roman" w:cs="Times New Roman"/>
        </w:rPr>
        <w:t>highlights</w:t>
      </w:r>
      <w:r w:rsidRPr="00FE3924">
        <w:rPr>
          <w:rFonts w:ascii="Times New Roman" w:hAnsi="Times New Roman" w:cs="Times New Roman"/>
        </w:rPr>
        <w:t xml:space="preserve"> the need for improved process control and the possible application of defined starter cultures to enhance safety while preserving traditional characteristics. Controlled fermentation has been shown to reduce microbial variability and improve product consistency (Fitsum et al., 2025)</w:t>
      </w:r>
      <w:r w:rsidR="0097563F" w:rsidRPr="00FE3924">
        <w:rPr>
          <w:rFonts w:ascii="Times New Roman" w:hAnsi="Times New Roman" w:cs="Times New Roman"/>
        </w:rPr>
        <w:t>.</w:t>
      </w:r>
    </w:p>
    <w:p w14:paraId="5810EADB" w14:textId="7BB357F4" w:rsidR="00775E34" w:rsidRPr="00FE3924" w:rsidRDefault="00775E34" w:rsidP="00D60327">
      <w:pPr>
        <w:spacing w:after="0" w:line="480" w:lineRule="auto"/>
        <w:jc w:val="both"/>
        <w:rPr>
          <w:rFonts w:ascii="Times New Roman" w:hAnsi="Times New Roman" w:cs="Times New Roman"/>
        </w:rPr>
      </w:pPr>
    </w:p>
    <w:p w14:paraId="1C0EBF88" w14:textId="064B682F" w:rsidR="00775E34" w:rsidRPr="00FE3924" w:rsidRDefault="00775E34" w:rsidP="00D60327">
      <w:pPr>
        <w:spacing w:after="0" w:line="480" w:lineRule="auto"/>
        <w:jc w:val="both"/>
        <w:rPr>
          <w:rFonts w:ascii="Times New Roman" w:hAnsi="Times New Roman" w:cs="Times New Roman"/>
          <w:b/>
          <w:bCs/>
        </w:rPr>
      </w:pPr>
      <w:r w:rsidRPr="00FE3924">
        <w:rPr>
          <w:rFonts w:ascii="Times New Roman" w:hAnsi="Times New Roman" w:cs="Times New Roman"/>
          <w:b/>
          <w:bCs/>
        </w:rPr>
        <w:t>Fungal Diversity and Safety Considerations</w:t>
      </w:r>
    </w:p>
    <w:p w14:paraId="7CD6946D" w14:textId="77777777"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 presence of </w:t>
      </w:r>
      <w:r w:rsidRPr="00FE3924">
        <w:rPr>
          <w:rFonts w:ascii="Times New Roman" w:hAnsi="Times New Roman" w:cs="Times New Roman"/>
          <w:i/>
          <w:iCs/>
        </w:rPr>
        <w:t>Saccharomyces</w:t>
      </w:r>
      <w:r w:rsidRPr="00FE3924">
        <w:rPr>
          <w:rFonts w:ascii="Times New Roman" w:hAnsi="Times New Roman" w:cs="Times New Roman"/>
        </w:rPr>
        <w:t xml:space="preserve"> spp. in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aligns with its known role in fermentation, where yeasts contribute to flavor development and metabolic transformations. Yeasts are essential components of many fermented foods and are associated with desirable sensory and functional properties.</w:t>
      </w:r>
    </w:p>
    <w:p w14:paraId="4F091980" w14:textId="1E3FD20F"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In contrast, the detection of </w:t>
      </w:r>
      <w:r w:rsidRPr="00FE3924">
        <w:rPr>
          <w:rFonts w:ascii="Times New Roman" w:hAnsi="Times New Roman" w:cs="Times New Roman"/>
          <w:i/>
          <w:iCs/>
        </w:rPr>
        <w:t>Aspergillus</w:t>
      </w:r>
      <w:r w:rsidRPr="00FE3924">
        <w:rPr>
          <w:rFonts w:ascii="Times New Roman" w:hAnsi="Times New Roman" w:cs="Times New Roman"/>
        </w:rPr>
        <w:t xml:space="preserve"> spp. in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is of significant concern due to its potential to produce mycotoxins. The occurrence of filamentous fungi in fermented foods has been linked to environmental contamination and poor storage conditions. While fermentation generally enhances food safety, it does not eliminate all risks, particularly when hygiene practices are inadequate (</w:t>
      </w:r>
      <w:proofErr w:type="spellStart"/>
      <w:r w:rsidR="007976AD" w:rsidRPr="00FE3924">
        <w:rPr>
          <w:rFonts w:ascii="Times New Roman" w:hAnsi="Times New Roman" w:cs="Times New Roman"/>
        </w:rPr>
        <w:t>Ogwaro</w:t>
      </w:r>
      <w:proofErr w:type="spellEnd"/>
      <w:r w:rsidR="007976AD" w:rsidRPr="00FE3924">
        <w:rPr>
          <w:rFonts w:ascii="Times New Roman" w:hAnsi="Times New Roman" w:cs="Times New Roman"/>
        </w:rPr>
        <w:t xml:space="preserve"> </w:t>
      </w:r>
      <w:r w:rsidRPr="00FE3924">
        <w:rPr>
          <w:rFonts w:ascii="Times New Roman" w:hAnsi="Times New Roman" w:cs="Times New Roman"/>
        </w:rPr>
        <w:t>et al., 202</w:t>
      </w:r>
      <w:r w:rsidR="007976AD" w:rsidRPr="00FE3924">
        <w:rPr>
          <w:rFonts w:ascii="Times New Roman" w:hAnsi="Times New Roman" w:cs="Times New Roman"/>
        </w:rPr>
        <w:t>3</w:t>
      </w:r>
      <w:r w:rsidRPr="00FE3924">
        <w:rPr>
          <w:rFonts w:ascii="Times New Roman" w:hAnsi="Times New Roman" w:cs="Times New Roman"/>
        </w:rPr>
        <w:t>). This finding highlights the importance of proper handling, drying, and storage to minimize fungal contamination.</w:t>
      </w:r>
    </w:p>
    <w:p w14:paraId="2B241FBD" w14:textId="15AE7140" w:rsidR="00775E34" w:rsidRPr="00FE3924" w:rsidRDefault="00775E34" w:rsidP="00D60327">
      <w:pPr>
        <w:spacing w:after="0" w:line="480" w:lineRule="auto"/>
        <w:jc w:val="both"/>
        <w:rPr>
          <w:rFonts w:ascii="Times New Roman" w:hAnsi="Times New Roman" w:cs="Times New Roman"/>
        </w:rPr>
      </w:pPr>
    </w:p>
    <w:p w14:paraId="23E26024" w14:textId="3EF78423" w:rsidR="00775E34" w:rsidRPr="00FE3924" w:rsidRDefault="00775E34" w:rsidP="00D60327">
      <w:pPr>
        <w:spacing w:after="0" w:line="480" w:lineRule="auto"/>
        <w:jc w:val="both"/>
        <w:rPr>
          <w:rFonts w:ascii="Times New Roman" w:hAnsi="Times New Roman" w:cs="Times New Roman"/>
          <w:b/>
          <w:bCs/>
        </w:rPr>
      </w:pPr>
      <w:r w:rsidRPr="00FE3924">
        <w:rPr>
          <w:rFonts w:ascii="Times New Roman" w:hAnsi="Times New Roman" w:cs="Times New Roman"/>
          <w:b/>
          <w:bCs/>
        </w:rPr>
        <w:t>Nutritional Composition and Functional Value</w:t>
      </w:r>
    </w:p>
    <w:p w14:paraId="3E8F0DAF" w14:textId="77777777"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 proximate composition results demonstrate clear nutritional distinctions between liquid and solid fermented foods. The high moisture content of Yoghurt and Nunu is indicative of lower nutrient density and shorter shelf life, while the low moisture content of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enhances their storage stability.</w:t>
      </w:r>
    </w:p>
    <w:p w14:paraId="110CCCCB" w14:textId="6FC22ED7"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 significantly higher protein content observed in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(26.34%)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(19.20%) confirms the nutritional enrichment associated with legume-based fermentation. Fermentation is known to improve protein digestibility and amino acid availability through enzymatic hydrolysis (Sawant et al., 2025). Additionally, the high carbohydrate content of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(58.08%) suggests its potential as an energy-rich food source.</w:t>
      </w:r>
    </w:p>
    <w:p w14:paraId="33192F89" w14:textId="42F9DFF1"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The increase in </w:t>
      </w:r>
      <w:proofErr w:type="spellStart"/>
      <w:r w:rsidRPr="00FE3924">
        <w:rPr>
          <w:rFonts w:ascii="Times New Roman" w:hAnsi="Times New Roman" w:cs="Times New Roman"/>
        </w:rPr>
        <w:t>fibre</w:t>
      </w:r>
      <w:proofErr w:type="spellEnd"/>
      <w:r w:rsidRPr="00FE3924">
        <w:rPr>
          <w:rFonts w:ascii="Times New Roman" w:hAnsi="Times New Roman" w:cs="Times New Roman"/>
        </w:rPr>
        <w:t xml:space="preserve"> and ash content, particularly in </w:t>
      </w:r>
      <w:proofErr w:type="spellStart"/>
      <w:r w:rsidRPr="00FE3924">
        <w:rPr>
          <w:rFonts w:ascii="Times New Roman" w:hAnsi="Times New Roman" w:cs="Times New Roman"/>
        </w:rPr>
        <w:t>Ugba</w:t>
      </w:r>
      <w:proofErr w:type="spellEnd"/>
      <w:r w:rsidRPr="00FE3924">
        <w:rPr>
          <w:rFonts w:ascii="Times New Roman" w:hAnsi="Times New Roman" w:cs="Times New Roman"/>
        </w:rPr>
        <w:t>, reflects enhanced mineral availability and improved functional properties. Fermentation has been reported to reduce anti-nutritional factors and increase the bioavailability of micronutrients, thereby improving overall nutritional quality (</w:t>
      </w:r>
      <w:r w:rsidR="007976AD" w:rsidRPr="00FE3924">
        <w:rPr>
          <w:rFonts w:ascii="Times New Roman" w:hAnsi="Times New Roman" w:cs="Times New Roman"/>
        </w:rPr>
        <w:t xml:space="preserve">Latif </w:t>
      </w:r>
      <w:r w:rsidRPr="00FE3924">
        <w:rPr>
          <w:rFonts w:ascii="Times New Roman" w:hAnsi="Times New Roman" w:cs="Times New Roman"/>
        </w:rPr>
        <w:t>et al., 2024).</w:t>
      </w:r>
    </w:p>
    <w:p w14:paraId="68415F8D" w14:textId="7E2DAC1F" w:rsidR="00775E34" w:rsidRPr="00FE3924" w:rsidRDefault="00775E34" w:rsidP="00D60327">
      <w:pPr>
        <w:spacing w:after="0" w:line="480" w:lineRule="auto"/>
        <w:jc w:val="both"/>
        <w:rPr>
          <w:rFonts w:ascii="Times New Roman" w:hAnsi="Times New Roman" w:cs="Times New Roman"/>
        </w:rPr>
      </w:pPr>
    </w:p>
    <w:p w14:paraId="2EFB9AB0" w14:textId="2891C6BA" w:rsidR="00775E34" w:rsidRPr="00FE3924" w:rsidRDefault="00775E34" w:rsidP="00D60327">
      <w:pPr>
        <w:spacing w:after="0" w:line="480" w:lineRule="auto"/>
        <w:jc w:val="both"/>
        <w:rPr>
          <w:rFonts w:ascii="Times New Roman" w:hAnsi="Times New Roman" w:cs="Times New Roman"/>
          <w:b/>
          <w:bCs/>
        </w:rPr>
      </w:pPr>
      <w:r w:rsidRPr="00FE3924">
        <w:rPr>
          <w:rFonts w:ascii="Times New Roman" w:hAnsi="Times New Roman" w:cs="Times New Roman"/>
          <w:b/>
          <w:bCs/>
        </w:rPr>
        <w:t>Implications for Food Safety and Functional Food Development</w:t>
      </w:r>
    </w:p>
    <w:p w14:paraId="056A0C16" w14:textId="649EF08A" w:rsidR="00775E34" w:rsidRPr="00FE3924" w:rsidRDefault="00976258" w:rsidP="00D60327">
      <w:pPr>
        <w:spacing w:after="0" w:line="480" w:lineRule="auto"/>
        <w:jc w:val="both"/>
        <w:rPr>
          <w:rFonts w:ascii="Times New Roman" w:hAnsi="Times New Roman" w:cs="Times New Roman"/>
        </w:rPr>
      </w:pPr>
      <w:r w:rsidRPr="00FE3924">
        <w:rPr>
          <w:rFonts w:ascii="Times New Roman" w:hAnsi="Times New Roman" w:cs="Times New Roman"/>
        </w:rPr>
        <w:t>T</w:t>
      </w:r>
      <w:r w:rsidR="00775E34" w:rsidRPr="00FE3924">
        <w:rPr>
          <w:rFonts w:ascii="Times New Roman" w:hAnsi="Times New Roman" w:cs="Times New Roman"/>
        </w:rPr>
        <w:t>he findings of this study reinforce the dual nature of traditional fermented foods as both nutritionally beneficial and microbiologically complex systems. While the presence of LAB and other beneficial microorganisms supports their classification as functional foods, the detection of potential pathogens and spoilage organisms highlights the need for improved safety measures.</w:t>
      </w:r>
    </w:p>
    <w:p w14:paraId="505E59AB" w14:textId="2EA5735F" w:rsidR="00775E34" w:rsidRPr="00FE3924" w:rsidRDefault="00775E34" w:rsidP="00D60327">
      <w:pPr>
        <w:spacing w:after="0" w:line="480" w:lineRule="auto"/>
        <w:jc w:val="both"/>
        <w:rPr>
          <w:rFonts w:ascii="Times New Roman" w:hAnsi="Times New Roman" w:cs="Times New Roman"/>
        </w:rPr>
      </w:pPr>
      <w:r w:rsidRPr="00FE3924">
        <w:rPr>
          <w:rFonts w:ascii="Times New Roman" w:hAnsi="Times New Roman" w:cs="Times New Roman"/>
        </w:rPr>
        <w:t>Fermented foods are generally considered safe due to the inhibitory effects of LAB; however, their safety is not guaranteed in uncontrolled environments (</w:t>
      </w:r>
      <w:proofErr w:type="spellStart"/>
      <w:r w:rsidR="007976AD" w:rsidRPr="00FE3924">
        <w:rPr>
          <w:rFonts w:ascii="Times New Roman" w:hAnsi="Times New Roman" w:cs="Times New Roman"/>
        </w:rPr>
        <w:t>Anumudu</w:t>
      </w:r>
      <w:proofErr w:type="spellEnd"/>
      <w:r w:rsidR="007976AD" w:rsidRPr="00FE3924">
        <w:rPr>
          <w:rFonts w:ascii="Times New Roman" w:hAnsi="Times New Roman" w:cs="Times New Roman"/>
        </w:rPr>
        <w:t xml:space="preserve"> </w:t>
      </w:r>
      <w:r w:rsidRPr="00FE3924">
        <w:rPr>
          <w:rFonts w:ascii="Times New Roman" w:hAnsi="Times New Roman" w:cs="Times New Roman"/>
        </w:rPr>
        <w:t>et al., 202</w:t>
      </w:r>
      <w:r w:rsidR="007976AD" w:rsidRPr="00FE3924">
        <w:rPr>
          <w:rFonts w:ascii="Times New Roman" w:hAnsi="Times New Roman" w:cs="Times New Roman"/>
        </w:rPr>
        <w:t>4</w:t>
      </w:r>
      <w:r w:rsidRPr="00FE3924">
        <w:rPr>
          <w:rFonts w:ascii="Times New Roman" w:hAnsi="Times New Roman" w:cs="Times New Roman"/>
        </w:rPr>
        <w:t xml:space="preserve">). The adoption of </w:t>
      </w:r>
      <w:r w:rsidRPr="00FE3924">
        <w:rPr>
          <w:rFonts w:ascii="Times New Roman" w:hAnsi="Times New Roman" w:cs="Times New Roman"/>
        </w:rPr>
        <w:lastRenderedPageBreak/>
        <w:t>standardized processing techniques, good hygiene practices, and starter culture technology is therefore essential to maximize health benefits while minimizing risks.</w:t>
      </w:r>
    </w:p>
    <w:p w14:paraId="4C32AD79" w14:textId="77777777" w:rsidR="00C37813" w:rsidRPr="00FE3924" w:rsidRDefault="00C37813" w:rsidP="00D60327">
      <w:pPr>
        <w:spacing w:after="0" w:line="480" w:lineRule="auto"/>
        <w:jc w:val="both"/>
        <w:rPr>
          <w:rFonts w:ascii="Times New Roman" w:hAnsi="Times New Roman" w:cs="Times New Roman"/>
        </w:rPr>
      </w:pPr>
    </w:p>
    <w:p w14:paraId="60516100" w14:textId="77777777" w:rsidR="00C37813" w:rsidRPr="00FE3924" w:rsidRDefault="00C37813" w:rsidP="00D60327">
      <w:pPr>
        <w:spacing w:after="0" w:line="480" w:lineRule="auto"/>
        <w:jc w:val="both"/>
        <w:rPr>
          <w:rFonts w:ascii="Times New Roman" w:hAnsi="Times New Roman" w:cs="Times New Roman"/>
          <w:b/>
          <w:bCs/>
        </w:rPr>
      </w:pPr>
      <w:r w:rsidRPr="00FE3924">
        <w:rPr>
          <w:rFonts w:ascii="Times New Roman" w:hAnsi="Times New Roman" w:cs="Times New Roman"/>
          <w:b/>
          <w:bCs/>
        </w:rPr>
        <w:t>Conclusion</w:t>
      </w:r>
    </w:p>
    <w:p w14:paraId="2D032826" w14:textId="733285B5" w:rsidR="00C37813" w:rsidRPr="00FE3924" w:rsidRDefault="00C37813" w:rsidP="00D60327">
      <w:pPr>
        <w:spacing w:after="0" w:line="480" w:lineRule="auto"/>
        <w:jc w:val="both"/>
        <w:rPr>
          <w:rFonts w:ascii="Times New Roman" w:hAnsi="Times New Roman" w:cs="Times New Roman"/>
        </w:rPr>
      </w:pPr>
      <w:r w:rsidRPr="00FE3924">
        <w:rPr>
          <w:rFonts w:ascii="Times New Roman" w:hAnsi="Times New Roman" w:cs="Times New Roman"/>
        </w:rPr>
        <w:t xml:space="preserve">This study demonstrates that selected Nigerian fermented foods possess significant nutritional and functional value, particularly due to their high lactic acid bacteria populations and enhanced protein and carbohydrate content. </w:t>
      </w:r>
      <w:r w:rsidR="00B41356" w:rsidRPr="00FE3924">
        <w:rPr>
          <w:rFonts w:ascii="Times New Roman" w:hAnsi="Times New Roman" w:cs="Times New Roman"/>
        </w:rPr>
        <w:t xml:space="preserve">Yogurt and Nunu showed lower nutritional features when compared to </w:t>
      </w:r>
      <w:proofErr w:type="spellStart"/>
      <w:r w:rsidRPr="00FE3924">
        <w:rPr>
          <w:rFonts w:ascii="Times New Roman" w:hAnsi="Times New Roman" w:cs="Times New Roman"/>
        </w:rPr>
        <w:t>Ogiri</w:t>
      </w:r>
      <w:proofErr w:type="spellEnd"/>
      <w:r w:rsidRPr="00FE3924">
        <w:rPr>
          <w:rFonts w:ascii="Times New Roman" w:hAnsi="Times New Roman" w:cs="Times New Roman"/>
        </w:rPr>
        <w:t xml:space="preserve"> and </w:t>
      </w:r>
      <w:proofErr w:type="spellStart"/>
      <w:r w:rsidRPr="00FE3924">
        <w:rPr>
          <w:rFonts w:ascii="Times New Roman" w:hAnsi="Times New Roman" w:cs="Times New Roman"/>
        </w:rPr>
        <w:t>Ugba</w:t>
      </w:r>
      <w:proofErr w:type="spellEnd"/>
      <w:r w:rsidRPr="00FE3924">
        <w:rPr>
          <w:rFonts w:ascii="Times New Roman" w:hAnsi="Times New Roman" w:cs="Times New Roman"/>
        </w:rPr>
        <w:t xml:space="preserve">, </w:t>
      </w:r>
      <w:r w:rsidR="00B41356" w:rsidRPr="00FE3924">
        <w:rPr>
          <w:rFonts w:ascii="Times New Roman" w:hAnsi="Times New Roman" w:cs="Times New Roman"/>
        </w:rPr>
        <w:t>with</w:t>
      </w:r>
      <w:r w:rsidRPr="00FE3924">
        <w:rPr>
          <w:rFonts w:ascii="Times New Roman" w:hAnsi="Times New Roman" w:cs="Times New Roman"/>
        </w:rPr>
        <w:t xml:space="preserve"> </w:t>
      </w:r>
      <w:r w:rsidR="00976258" w:rsidRPr="00FE3924">
        <w:rPr>
          <w:rFonts w:ascii="Times New Roman" w:hAnsi="Times New Roman" w:cs="Times New Roman"/>
        </w:rPr>
        <w:t>significant</w:t>
      </w:r>
      <w:r w:rsidRPr="00FE3924">
        <w:rPr>
          <w:rFonts w:ascii="Times New Roman" w:hAnsi="Times New Roman" w:cs="Times New Roman"/>
        </w:rPr>
        <w:t xml:space="preserve"> nutrient density and microbial activity, highlighting their potential as functional foods. However, the detection of opportunistic microorganisms such as </w:t>
      </w:r>
      <w:r w:rsidRPr="00FE3924">
        <w:rPr>
          <w:rFonts w:ascii="Times New Roman" w:hAnsi="Times New Roman" w:cs="Times New Roman"/>
          <w:i/>
          <w:iCs/>
        </w:rPr>
        <w:t>Enterobacter</w:t>
      </w:r>
      <w:r w:rsidRPr="00FE3924">
        <w:rPr>
          <w:rFonts w:ascii="Times New Roman" w:hAnsi="Times New Roman" w:cs="Times New Roman"/>
        </w:rPr>
        <w:t xml:space="preserve"> and </w:t>
      </w:r>
      <w:r w:rsidRPr="00FE3924">
        <w:rPr>
          <w:rFonts w:ascii="Times New Roman" w:hAnsi="Times New Roman" w:cs="Times New Roman"/>
          <w:i/>
          <w:iCs/>
        </w:rPr>
        <w:t>Staphylococcus</w:t>
      </w:r>
      <w:r w:rsidRPr="00FE3924">
        <w:rPr>
          <w:rFonts w:ascii="Times New Roman" w:hAnsi="Times New Roman" w:cs="Times New Roman"/>
        </w:rPr>
        <w:t xml:space="preserve">, as well as fungal contaminants including </w:t>
      </w:r>
      <w:r w:rsidRPr="00FE3924">
        <w:rPr>
          <w:rFonts w:ascii="Times New Roman" w:hAnsi="Times New Roman" w:cs="Times New Roman"/>
          <w:i/>
          <w:iCs/>
        </w:rPr>
        <w:t>Aspergillus</w:t>
      </w:r>
      <w:r w:rsidRPr="00FE3924">
        <w:rPr>
          <w:rFonts w:ascii="Times New Roman" w:hAnsi="Times New Roman" w:cs="Times New Roman"/>
        </w:rPr>
        <w:t xml:space="preserve"> spp., indicates potential safety concerns associated with traditional fermentation practices. These findings emphasize the need for improved hygienic handling, standardization of fermentation processes, and possible application of starter cultures to enhance product safety and consistency. </w:t>
      </w:r>
      <w:r w:rsidR="00976258" w:rsidRPr="00FE3924">
        <w:rPr>
          <w:rFonts w:ascii="Times New Roman" w:hAnsi="Times New Roman" w:cs="Times New Roman"/>
        </w:rPr>
        <w:t>Therefore</w:t>
      </w:r>
      <w:r w:rsidRPr="00FE3924">
        <w:rPr>
          <w:rFonts w:ascii="Times New Roman" w:hAnsi="Times New Roman" w:cs="Times New Roman"/>
        </w:rPr>
        <w:t>, this study provides valuable insights into the microbial ecology, safety, and nutritional quality of locally fermented foods and supports their optimization for both public health and industrial applications.</w:t>
      </w:r>
    </w:p>
    <w:p w14:paraId="0422D97F" w14:textId="77777777" w:rsidR="00943375" w:rsidRPr="00FE3924" w:rsidRDefault="00943375" w:rsidP="00D60327">
      <w:pPr>
        <w:spacing w:after="0" w:line="480" w:lineRule="auto"/>
        <w:jc w:val="both"/>
        <w:rPr>
          <w:rFonts w:ascii="Times New Roman" w:hAnsi="Times New Roman" w:cs="Times New Roman"/>
        </w:rPr>
      </w:pPr>
    </w:p>
    <w:p w14:paraId="2B5DC941" w14:textId="77777777" w:rsidR="00943375" w:rsidRPr="00FE3924" w:rsidRDefault="00943375" w:rsidP="00943375">
      <w:pPr>
        <w:spacing w:after="0" w:line="480" w:lineRule="auto"/>
        <w:jc w:val="both"/>
        <w:rPr>
          <w:rFonts w:ascii="Times New Roman" w:hAnsi="Times New Roman" w:cs="Times New Roman"/>
          <w:iCs/>
        </w:rPr>
      </w:pPr>
      <w:bookmarkStart w:id="0" w:name="_GoBack"/>
      <w:bookmarkEnd w:id="0"/>
    </w:p>
    <w:p w14:paraId="37D3A5BD" w14:textId="77777777" w:rsidR="00943375" w:rsidRPr="00FE3924" w:rsidRDefault="00943375" w:rsidP="00943375">
      <w:pPr>
        <w:spacing w:after="0" w:line="480" w:lineRule="auto"/>
        <w:rPr>
          <w:rFonts w:ascii="Times New Roman" w:hAnsi="Times New Roman" w:cs="Times New Roman"/>
        </w:rPr>
      </w:pPr>
    </w:p>
    <w:p w14:paraId="4D8A096B" w14:textId="77777777" w:rsidR="00943375" w:rsidRPr="00FE3924" w:rsidRDefault="00943375" w:rsidP="00943375">
      <w:pPr>
        <w:spacing w:after="0" w:line="480" w:lineRule="auto"/>
        <w:rPr>
          <w:rFonts w:ascii="Times New Roman" w:hAnsi="Times New Roman" w:cs="Times New Roman"/>
          <w:b/>
          <w:bCs/>
        </w:rPr>
      </w:pPr>
      <w:r w:rsidRPr="00FE3924">
        <w:rPr>
          <w:rFonts w:ascii="Times New Roman" w:hAnsi="Times New Roman" w:cs="Times New Roman"/>
          <w:b/>
          <w:bCs/>
        </w:rPr>
        <w:t>Data availability statement</w:t>
      </w:r>
    </w:p>
    <w:p w14:paraId="43982BD5" w14:textId="77777777" w:rsidR="00943375" w:rsidRPr="00FE3924" w:rsidRDefault="00943375" w:rsidP="00943375">
      <w:pPr>
        <w:spacing w:after="0" w:line="480" w:lineRule="auto"/>
        <w:rPr>
          <w:rFonts w:ascii="Times New Roman" w:hAnsi="Times New Roman" w:cs="Times New Roman"/>
        </w:rPr>
      </w:pPr>
      <w:r w:rsidRPr="00FE3924">
        <w:rPr>
          <w:rFonts w:ascii="Times New Roman" w:hAnsi="Times New Roman" w:cs="Times New Roman"/>
        </w:rPr>
        <w:t>Data will be made available on request.</w:t>
      </w:r>
    </w:p>
    <w:p w14:paraId="6BC75D5C" w14:textId="77777777" w:rsidR="00775E34" w:rsidRPr="00FE3924" w:rsidRDefault="00775E34" w:rsidP="00D60327">
      <w:pPr>
        <w:spacing w:after="0" w:line="480" w:lineRule="auto"/>
        <w:jc w:val="both"/>
        <w:rPr>
          <w:rFonts w:ascii="Times New Roman" w:hAnsi="Times New Roman" w:cs="Times New Roman"/>
        </w:rPr>
      </w:pPr>
    </w:p>
    <w:p w14:paraId="4EA7A774" w14:textId="1FE2535F" w:rsidR="00552C54" w:rsidRPr="00FE3924" w:rsidRDefault="00552C54" w:rsidP="00D60327">
      <w:pPr>
        <w:spacing w:after="0" w:line="480" w:lineRule="auto"/>
        <w:jc w:val="both"/>
        <w:rPr>
          <w:rFonts w:ascii="Times New Roman" w:hAnsi="Times New Roman" w:cs="Times New Roman"/>
          <w:b/>
          <w:bCs/>
        </w:rPr>
      </w:pPr>
      <w:r w:rsidRPr="00FE3924">
        <w:rPr>
          <w:rFonts w:ascii="Times New Roman" w:hAnsi="Times New Roman" w:cs="Times New Roman"/>
          <w:b/>
          <w:bCs/>
        </w:rPr>
        <w:t>References</w:t>
      </w:r>
    </w:p>
    <w:p w14:paraId="3EA94769"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lastRenderedPageBreak/>
        <w:t xml:space="preserve">Amanullah, S. M., Kabir, M. A., Rahman, M. M., Halder, P., Hossain, S. M. J., &amp; Samad, M. A. (2020). Isolation, identification and biochemical </w:t>
      </w:r>
      <w:proofErr w:type="spellStart"/>
      <w:r w:rsidRPr="00DA3F7A">
        <w:rPr>
          <w:rFonts w:ascii="Times New Roman" w:hAnsi="Times New Roman" w:cs="Times New Roman"/>
        </w:rPr>
        <w:t>characterisation</w:t>
      </w:r>
      <w:proofErr w:type="spellEnd"/>
      <w:r w:rsidRPr="00DA3F7A">
        <w:rPr>
          <w:rFonts w:ascii="Times New Roman" w:hAnsi="Times New Roman" w:cs="Times New Roman"/>
        </w:rPr>
        <w:t xml:space="preserve"> of lactic acid bacteria from selected yogurt samples. </w:t>
      </w:r>
      <w:r w:rsidRPr="00DA3F7A">
        <w:rPr>
          <w:rFonts w:ascii="Times New Roman" w:hAnsi="Times New Roman" w:cs="Times New Roman"/>
          <w:i/>
          <w:iCs/>
        </w:rPr>
        <w:t>Bangladesh Journal of Livestock Research</w:t>
      </w:r>
      <w:r w:rsidRPr="00DA3F7A">
        <w:rPr>
          <w:rFonts w:ascii="Times New Roman" w:hAnsi="Times New Roman" w:cs="Times New Roman"/>
        </w:rPr>
        <w:t xml:space="preserve">, 27(1), 64–72. </w:t>
      </w:r>
      <w:hyperlink r:id="rId8" w:history="1">
        <w:r w:rsidRPr="00DA3F7A">
          <w:rPr>
            <w:rStyle w:val="Hyperlink"/>
            <w:rFonts w:ascii="Times New Roman" w:hAnsi="Times New Roman" w:cs="Times New Roman"/>
          </w:rPr>
          <w:t>https://doi.org/10.3329/bjlr.v27i1.55170</w:t>
        </w:r>
      </w:hyperlink>
    </w:p>
    <w:p w14:paraId="7F256207"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t xml:space="preserve">Anumudu, C. K., Miri, T., &amp; </w:t>
      </w:r>
      <w:proofErr w:type="spellStart"/>
      <w:r w:rsidRPr="00DA3F7A">
        <w:rPr>
          <w:rFonts w:ascii="Times New Roman" w:hAnsi="Times New Roman" w:cs="Times New Roman"/>
        </w:rPr>
        <w:t>Onyeaka</w:t>
      </w:r>
      <w:proofErr w:type="spellEnd"/>
      <w:r w:rsidRPr="00DA3F7A">
        <w:rPr>
          <w:rFonts w:ascii="Times New Roman" w:hAnsi="Times New Roman" w:cs="Times New Roman"/>
        </w:rPr>
        <w:t xml:space="preserve">, H. (2024). Multifunctional applications of lactic acid bacteria: Enhancing safety, quality, and nutritional value in foods and fermented beverages. </w:t>
      </w:r>
      <w:r w:rsidRPr="00DA3F7A">
        <w:rPr>
          <w:rFonts w:ascii="Times New Roman" w:hAnsi="Times New Roman" w:cs="Times New Roman"/>
          <w:i/>
          <w:iCs/>
        </w:rPr>
        <w:t>Foods</w:t>
      </w:r>
      <w:r w:rsidRPr="00DA3F7A">
        <w:rPr>
          <w:rFonts w:ascii="Times New Roman" w:hAnsi="Times New Roman" w:cs="Times New Roman"/>
        </w:rPr>
        <w:t xml:space="preserve">, 13(23), 3714. </w:t>
      </w:r>
      <w:hyperlink r:id="rId9" w:history="1">
        <w:r w:rsidRPr="00DA3F7A">
          <w:rPr>
            <w:rStyle w:val="Hyperlink"/>
            <w:rFonts w:ascii="Times New Roman" w:hAnsi="Times New Roman" w:cs="Times New Roman"/>
          </w:rPr>
          <w:t>https://doi.org/10.3390/foods13233714</w:t>
        </w:r>
      </w:hyperlink>
    </w:p>
    <w:p w14:paraId="582EB368"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t xml:space="preserve">AOAC. (2010). </w:t>
      </w:r>
      <w:r w:rsidRPr="00DA3F7A">
        <w:rPr>
          <w:rFonts w:ascii="Times New Roman" w:hAnsi="Times New Roman" w:cs="Times New Roman"/>
          <w:i/>
          <w:iCs/>
        </w:rPr>
        <w:t>Official methods of analysis</w:t>
      </w:r>
      <w:r w:rsidRPr="00DA3F7A">
        <w:rPr>
          <w:rFonts w:ascii="Times New Roman" w:hAnsi="Times New Roman" w:cs="Times New Roman"/>
        </w:rPr>
        <w:t xml:space="preserve"> (18th ed.). Association of Official Analytical Chemists.</w:t>
      </w:r>
    </w:p>
    <w:p w14:paraId="12A58935"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t>Cortés-Sánchez, A. D. J., Diaz-Ramírez, M., Rayas-Amor, A. A., Espinosa-</w:t>
      </w:r>
      <w:proofErr w:type="spellStart"/>
      <w:r w:rsidRPr="00DA3F7A">
        <w:rPr>
          <w:rFonts w:ascii="Times New Roman" w:hAnsi="Times New Roman" w:cs="Times New Roman"/>
        </w:rPr>
        <w:t>Chaurand</w:t>
      </w:r>
      <w:proofErr w:type="spellEnd"/>
      <w:r w:rsidRPr="00DA3F7A">
        <w:rPr>
          <w:rFonts w:ascii="Times New Roman" w:hAnsi="Times New Roman" w:cs="Times New Roman"/>
        </w:rPr>
        <w:t xml:space="preserve">, L. D., Torres-Ochoa, E., &amp; Salgado-Cruz, M. D. L. P. (2025). Microbiological hazards in the food chain of fish and products: A focus on </w:t>
      </w:r>
      <w:r w:rsidRPr="00DA3F7A">
        <w:rPr>
          <w:rFonts w:ascii="Times New Roman" w:hAnsi="Times New Roman" w:cs="Times New Roman"/>
          <w:i/>
          <w:iCs/>
        </w:rPr>
        <w:t>Klebsiella</w:t>
      </w:r>
      <w:r w:rsidRPr="00DA3F7A">
        <w:rPr>
          <w:rFonts w:ascii="Times New Roman" w:hAnsi="Times New Roman" w:cs="Times New Roman"/>
        </w:rPr>
        <w:t xml:space="preserve"> spp. </w:t>
      </w:r>
      <w:r w:rsidRPr="00DA3F7A">
        <w:rPr>
          <w:rFonts w:ascii="Times New Roman" w:hAnsi="Times New Roman" w:cs="Times New Roman"/>
          <w:i/>
          <w:iCs/>
        </w:rPr>
        <w:t>Veterinary Sciences</w:t>
      </w:r>
      <w:r w:rsidRPr="00DA3F7A">
        <w:rPr>
          <w:rFonts w:ascii="Times New Roman" w:hAnsi="Times New Roman" w:cs="Times New Roman"/>
        </w:rPr>
        <w:t xml:space="preserve">, 12(2), 133. </w:t>
      </w:r>
      <w:hyperlink r:id="rId10" w:history="1">
        <w:r w:rsidRPr="00DA3F7A">
          <w:rPr>
            <w:rStyle w:val="Hyperlink"/>
            <w:rFonts w:ascii="Times New Roman" w:hAnsi="Times New Roman" w:cs="Times New Roman"/>
          </w:rPr>
          <w:t>https://doi.org/10.3390/vetsci12020133</w:t>
        </w:r>
      </w:hyperlink>
    </w:p>
    <w:p w14:paraId="738D635C" w14:textId="77777777" w:rsidR="00A90270" w:rsidRPr="00DA3F7A" w:rsidRDefault="00A90270" w:rsidP="00DA3F7A">
      <w:pPr>
        <w:spacing w:after="0" w:line="480" w:lineRule="auto"/>
        <w:jc w:val="both"/>
        <w:rPr>
          <w:rFonts w:ascii="Times New Roman" w:hAnsi="Times New Roman" w:cs="Times New Roman"/>
        </w:rPr>
      </w:pPr>
      <w:proofErr w:type="spellStart"/>
      <w:r w:rsidRPr="00DA3F7A">
        <w:rPr>
          <w:rFonts w:ascii="Times New Roman" w:hAnsi="Times New Roman" w:cs="Times New Roman"/>
        </w:rPr>
        <w:t>Fowoyo</w:t>
      </w:r>
      <w:proofErr w:type="spellEnd"/>
      <w:r w:rsidRPr="00DA3F7A">
        <w:rPr>
          <w:rFonts w:ascii="Times New Roman" w:hAnsi="Times New Roman" w:cs="Times New Roman"/>
        </w:rPr>
        <w:t xml:space="preserve">, P., &amp; Baba-Ali, R. (2015). Microbiological assessment of fast foods sold in Lokoja metropolis, Nigeria. </w:t>
      </w:r>
      <w:r w:rsidRPr="00DA3F7A">
        <w:rPr>
          <w:rFonts w:ascii="Times New Roman" w:hAnsi="Times New Roman" w:cs="Times New Roman"/>
          <w:i/>
          <w:iCs/>
        </w:rPr>
        <w:t>Open Access Library Journal</w:t>
      </w:r>
      <w:r w:rsidRPr="00DA3F7A">
        <w:rPr>
          <w:rFonts w:ascii="Times New Roman" w:hAnsi="Times New Roman" w:cs="Times New Roman"/>
        </w:rPr>
        <w:t xml:space="preserve">, 2, 1–7. </w:t>
      </w:r>
      <w:hyperlink r:id="rId11" w:history="1">
        <w:r w:rsidRPr="00DA3F7A">
          <w:rPr>
            <w:rStyle w:val="Hyperlink"/>
            <w:rFonts w:ascii="Times New Roman" w:hAnsi="Times New Roman" w:cs="Times New Roman"/>
          </w:rPr>
          <w:t>https://doi.org/10.4236/oalib.1101541</w:t>
        </w:r>
      </w:hyperlink>
    </w:p>
    <w:p w14:paraId="1229A79A"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t xml:space="preserve">Ibrahim, S. A., </w:t>
      </w:r>
      <w:proofErr w:type="spellStart"/>
      <w:r w:rsidRPr="00DA3F7A">
        <w:rPr>
          <w:rFonts w:ascii="Times New Roman" w:hAnsi="Times New Roman" w:cs="Times New Roman"/>
        </w:rPr>
        <w:t>Ayivi</w:t>
      </w:r>
      <w:proofErr w:type="spellEnd"/>
      <w:r w:rsidRPr="00DA3F7A">
        <w:rPr>
          <w:rFonts w:ascii="Times New Roman" w:hAnsi="Times New Roman" w:cs="Times New Roman"/>
        </w:rPr>
        <w:t xml:space="preserve">, R. D., Zimmerman, T., Siddiqui, S. A., </w:t>
      </w:r>
      <w:proofErr w:type="spellStart"/>
      <w:r w:rsidRPr="00DA3F7A">
        <w:rPr>
          <w:rFonts w:ascii="Times New Roman" w:hAnsi="Times New Roman" w:cs="Times New Roman"/>
        </w:rPr>
        <w:t>Altemimi</w:t>
      </w:r>
      <w:proofErr w:type="spellEnd"/>
      <w:r w:rsidRPr="00DA3F7A">
        <w:rPr>
          <w:rFonts w:ascii="Times New Roman" w:hAnsi="Times New Roman" w:cs="Times New Roman"/>
        </w:rPr>
        <w:t xml:space="preserve">, A. B., Fidan, H., </w:t>
      </w:r>
      <w:proofErr w:type="spellStart"/>
      <w:r w:rsidRPr="00DA3F7A">
        <w:rPr>
          <w:rFonts w:ascii="Times New Roman" w:hAnsi="Times New Roman" w:cs="Times New Roman"/>
        </w:rPr>
        <w:t>Esatbeyoglu</w:t>
      </w:r>
      <w:proofErr w:type="spellEnd"/>
      <w:r w:rsidRPr="00DA3F7A">
        <w:rPr>
          <w:rFonts w:ascii="Times New Roman" w:hAnsi="Times New Roman" w:cs="Times New Roman"/>
        </w:rPr>
        <w:t xml:space="preserve">, T., &amp; </w:t>
      </w:r>
      <w:proofErr w:type="spellStart"/>
      <w:r w:rsidRPr="00DA3F7A">
        <w:rPr>
          <w:rFonts w:ascii="Times New Roman" w:hAnsi="Times New Roman" w:cs="Times New Roman"/>
        </w:rPr>
        <w:t>Bakhshayesh</w:t>
      </w:r>
      <w:proofErr w:type="spellEnd"/>
      <w:r w:rsidRPr="00DA3F7A">
        <w:rPr>
          <w:rFonts w:ascii="Times New Roman" w:hAnsi="Times New Roman" w:cs="Times New Roman"/>
        </w:rPr>
        <w:t xml:space="preserve">, R. V. (2021). Lactic acid bacteria as antimicrobial agents: Food safety and microbial food spoilage prevention. </w:t>
      </w:r>
      <w:r w:rsidRPr="00DA3F7A">
        <w:rPr>
          <w:rFonts w:ascii="Times New Roman" w:hAnsi="Times New Roman" w:cs="Times New Roman"/>
          <w:i/>
          <w:iCs/>
        </w:rPr>
        <w:t>Foods</w:t>
      </w:r>
      <w:r w:rsidRPr="00DA3F7A">
        <w:rPr>
          <w:rFonts w:ascii="Times New Roman" w:hAnsi="Times New Roman" w:cs="Times New Roman"/>
        </w:rPr>
        <w:t xml:space="preserve">, 10(12), 3131. </w:t>
      </w:r>
      <w:hyperlink r:id="rId12" w:history="1">
        <w:r w:rsidRPr="00DA3F7A">
          <w:rPr>
            <w:rStyle w:val="Hyperlink"/>
            <w:rFonts w:ascii="Times New Roman" w:hAnsi="Times New Roman" w:cs="Times New Roman"/>
          </w:rPr>
          <w:t>https://doi.org/10.3390/foods10123131</w:t>
        </w:r>
      </w:hyperlink>
    </w:p>
    <w:p w14:paraId="630F7711"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t xml:space="preserve">Latif, A., Shehzad, A., Niazi, S., Zahid, A., Ashraf, W., Iqbal, M. W., Rehman, A., Riaz, T., Aadil, R. M., Khan, I. M., Özogul, F., Rocha, J. M., </w:t>
      </w:r>
      <w:proofErr w:type="spellStart"/>
      <w:r w:rsidRPr="00DA3F7A">
        <w:rPr>
          <w:rFonts w:ascii="Times New Roman" w:hAnsi="Times New Roman" w:cs="Times New Roman"/>
        </w:rPr>
        <w:t>Esatbeyoglu</w:t>
      </w:r>
      <w:proofErr w:type="spellEnd"/>
      <w:r w:rsidRPr="00DA3F7A">
        <w:rPr>
          <w:rFonts w:ascii="Times New Roman" w:hAnsi="Times New Roman" w:cs="Times New Roman"/>
        </w:rPr>
        <w:t xml:space="preserve">, T., &amp; Korma, S. A. (2023). Probiotics: Mechanism of action, health benefits and their application in food industries. </w:t>
      </w:r>
      <w:r w:rsidRPr="00DA3F7A">
        <w:rPr>
          <w:rFonts w:ascii="Times New Roman" w:hAnsi="Times New Roman" w:cs="Times New Roman"/>
          <w:i/>
          <w:iCs/>
        </w:rPr>
        <w:t>Frontiers in Microbiology</w:t>
      </w:r>
      <w:r w:rsidRPr="00DA3F7A">
        <w:rPr>
          <w:rFonts w:ascii="Times New Roman" w:hAnsi="Times New Roman" w:cs="Times New Roman"/>
        </w:rPr>
        <w:t xml:space="preserve">, 14, 1216674. </w:t>
      </w:r>
      <w:hyperlink r:id="rId13" w:history="1">
        <w:r w:rsidRPr="00DA3F7A">
          <w:rPr>
            <w:rStyle w:val="Hyperlink"/>
            <w:rFonts w:ascii="Times New Roman" w:hAnsi="Times New Roman" w:cs="Times New Roman"/>
          </w:rPr>
          <w:t>https://doi.org/10.3389/fmicb.2023.1216674</w:t>
        </w:r>
      </w:hyperlink>
    </w:p>
    <w:p w14:paraId="6357A2E3" w14:textId="77777777" w:rsidR="00A90270" w:rsidRPr="00DA3F7A" w:rsidRDefault="00A90270" w:rsidP="00DA3F7A">
      <w:pPr>
        <w:spacing w:after="0" w:line="480" w:lineRule="auto"/>
        <w:jc w:val="both"/>
        <w:rPr>
          <w:rFonts w:ascii="Times New Roman" w:hAnsi="Times New Roman" w:cs="Times New Roman"/>
        </w:rPr>
      </w:pPr>
      <w:proofErr w:type="spellStart"/>
      <w:r w:rsidRPr="00DA3F7A">
        <w:rPr>
          <w:rFonts w:ascii="Times New Roman" w:hAnsi="Times New Roman" w:cs="Times New Roman"/>
        </w:rPr>
        <w:lastRenderedPageBreak/>
        <w:t>Leeuwendaal</w:t>
      </w:r>
      <w:proofErr w:type="spellEnd"/>
      <w:r w:rsidRPr="00DA3F7A">
        <w:rPr>
          <w:rFonts w:ascii="Times New Roman" w:hAnsi="Times New Roman" w:cs="Times New Roman"/>
        </w:rPr>
        <w:t xml:space="preserve">, N. K., Stanton, C., O’Toole, P. W., &amp; Beresford, T. P. (2022). Fermented foods, health and the gut microbiome. </w:t>
      </w:r>
      <w:r w:rsidRPr="00DA3F7A">
        <w:rPr>
          <w:rFonts w:ascii="Times New Roman" w:hAnsi="Times New Roman" w:cs="Times New Roman"/>
          <w:i/>
          <w:iCs/>
        </w:rPr>
        <w:t>Nutrients</w:t>
      </w:r>
      <w:r w:rsidRPr="00DA3F7A">
        <w:rPr>
          <w:rFonts w:ascii="Times New Roman" w:hAnsi="Times New Roman" w:cs="Times New Roman"/>
        </w:rPr>
        <w:t xml:space="preserve">, 14(7), 1527. </w:t>
      </w:r>
      <w:hyperlink r:id="rId14" w:history="1">
        <w:r w:rsidRPr="00DA3F7A">
          <w:rPr>
            <w:rStyle w:val="Hyperlink"/>
            <w:rFonts w:ascii="Times New Roman" w:hAnsi="Times New Roman" w:cs="Times New Roman"/>
          </w:rPr>
          <w:t>https://doi.org/10.3390/nu14071527</w:t>
        </w:r>
      </w:hyperlink>
    </w:p>
    <w:p w14:paraId="3410C4E5"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t xml:space="preserve">Liu, W., Tang, Y., Zhang, J., Bai, J., Zhu, Y., Zhu, L., Zhao, Y., </w:t>
      </w:r>
      <w:proofErr w:type="spellStart"/>
      <w:r w:rsidRPr="00DA3F7A">
        <w:rPr>
          <w:rFonts w:ascii="Times New Roman" w:hAnsi="Times New Roman" w:cs="Times New Roman"/>
        </w:rPr>
        <w:t>Daglia</w:t>
      </w:r>
      <w:proofErr w:type="spellEnd"/>
      <w:r w:rsidRPr="00DA3F7A">
        <w:rPr>
          <w:rFonts w:ascii="Times New Roman" w:hAnsi="Times New Roman" w:cs="Times New Roman"/>
        </w:rPr>
        <w:t xml:space="preserve">, M., Xiao, X., &amp; He, Y. (2025). Microbial interactions in food fermentation: Interactions, analysis strategies, and quality enhancement. </w:t>
      </w:r>
      <w:r w:rsidRPr="00DA3F7A">
        <w:rPr>
          <w:rFonts w:ascii="Times New Roman" w:hAnsi="Times New Roman" w:cs="Times New Roman"/>
          <w:i/>
          <w:iCs/>
        </w:rPr>
        <w:t>Foods</w:t>
      </w:r>
      <w:r w:rsidRPr="00DA3F7A">
        <w:rPr>
          <w:rFonts w:ascii="Times New Roman" w:hAnsi="Times New Roman" w:cs="Times New Roman"/>
        </w:rPr>
        <w:t xml:space="preserve">, 14(14), 2515. </w:t>
      </w:r>
      <w:hyperlink r:id="rId15" w:history="1">
        <w:r w:rsidRPr="00DA3F7A">
          <w:rPr>
            <w:rStyle w:val="Hyperlink"/>
            <w:rFonts w:ascii="Times New Roman" w:hAnsi="Times New Roman" w:cs="Times New Roman"/>
          </w:rPr>
          <w:t>https://doi.org/10.3390/foods14142515</w:t>
        </w:r>
      </w:hyperlink>
    </w:p>
    <w:p w14:paraId="025E4449" w14:textId="77777777" w:rsidR="00A90270" w:rsidRPr="00DA3F7A" w:rsidRDefault="00A90270" w:rsidP="00DA3F7A">
      <w:pPr>
        <w:spacing w:after="0" w:line="480" w:lineRule="auto"/>
        <w:jc w:val="both"/>
        <w:rPr>
          <w:rFonts w:ascii="Times New Roman" w:hAnsi="Times New Roman" w:cs="Times New Roman"/>
        </w:rPr>
      </w:pPr>
      <w:proofErr w:type="spellStart"/>
      <w:r w:rsidRPr="00DA3F7A">
        <w:rPr>
          <w:rFonts w:ascii="Times New Roman" w:hAnsi="Times New Roman" w:cs="Times New Roman"/>
        </w:rPr>
        <w:t>Mannaa</w:t>
      </w:r>
      <w:proofErr w:type="spellEnd"/>
      <w:r w:rsidRPr="00DA3F7A">
        <w:rPr>
          <w:rFonts w:ascii="Times New Roman" w:hAnsi="Times New Roman" w:cs="Times New Roman"/>
        </w:rPr>
        <w:t xml:space="preserve">, M., Han, G., Seo, Y. S., &amp; Park, I. (2021). Evolution of food fermentation processes and the use of multi-omics in deciphering the roles of the microbiota. </w:t>
      </w:r>
      <w:r w:rsidRPr="00DA3F7A">
        <w:rPr>
          <w:rFonts w:ascii="Times New Roman" w:hAnsi="Times New Roman" w:cs="Times New Roman"/>
          <w:i/>
          <w:iCs/>
        </w:rPr>
        <w:t>Foods</w:t>
      </w:r>
      <w:r w:rsidRPr="00DA3F7A">
        <w:rPr>
          <w:rFonts w:ascii="Times New Roman" w:hAnsi="Times New Roman" w:cs="Times New Roman"/>
        </w:rPr>
        <w:t xml:space="preserve">, 10(11), 2861. </w:t>
      </w:r>
      <w:hyperlink r:id="rId16" w:history="1">
        <w:r w:rsidRPr="00DA3F7A">
          <w:rPr>
            <w:rStyle w:val="Hyperlink"/>
            <w:rFonts w:ascii="Times New Roman" w:hAnsi="Times New Roman" w:cs="Times New Roman"/>
          </w:rPr>
          <w:t>https://doi.org/10.3390/foods10112861</w:t>
        </w:r>
      </w:hyperlink>
    </w:p>
    <w:p w14:paraId="756E55BF"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t xml:space="preserve">Ogwaro, B. A., Gibson, H., Hill, D. J., &amp; O’Gara, E. A. (2023). Microbiological quality of typical traditional fermented milk from Northern Uganda and Western Kenya. </w:t>
      </w:r>
      <w:r w:rsidRPr="00DA3F7A">
        <w:rPr>
          <w:rFonts w:ascii="Times New Roman" w:hAnsi="Times New Roman" w:cs="Times New Roman"/>
          <w:i/>
          <w:iCs/>
        </w:rPr>
        <w:t>Dairy</w:t>
      </w:r>
      <w:r w:rsidRPr="00DA3F7A">
        <w:rPr>
          <w:rFonts w:ascii="Times New Roman" w:hAnsi="Times New Roman" w:cs="Times New Roman"/>
        </w:rPr>
        <w:t xml:space="preserve">, 4(3), 445–461. </w:t>
      </w:r>
      <w:hyperlink r:id="rId17" w:history="1">
        <w:r w:rsidRPr="00DA3F7A">
          <w:rPr>
            <w:rStyle w:val="Hyperlink"/>
            <w:rFonts w:ascii="Times New Roman" w:hAnsi="Times New Roman" w:cs="Times New Roman"/>
          </w:rPr>
          <w:t>https://doi.org/10.3390/dairy4030030</w:t>
        </w:r>
      </w:hyperlink>
    </w:p>
    <w:p w14:paraId="24DC6731" w14:textId="77777777" w:rsidR="00A90270" w:rsidRPr="00DA3F7A" w:rsidRDefault="00A90270" w:rsidP="00DA3F7A">
      <w:pPr>
        <w:spacing w:after="0" w:line="480" w:lineRule="auto"/>
        <w:jc w:val="both"/>
        <w:rPr>
          <w:rFonts w:ascii="Times New Roman" w:hAnsi="Times New Roman" w:cs="Times New Roman"/>
        </w:rPr>
      </w:pPr>
      <w:proofErr w:type="spellStart"/>
      <w:r w:rsidRPr="00DA3F7A">
        <w:rPr>
          <w:rFonts w:ascii="Times New Roman" w:hAnsi="Times New Roman" w:cs="Times New Roman"/>
        </w:rPr>
        <w:t>Ohaegbu</w:t>
      </w:r>
      <w:proofErr w:type="spellEnd"/>
      <w:r w:rsidRPr="00DA3F7A">
        <w:rPr>
          <w:rFonts w:ascii="Times New Roman" w:hAnsi="Times New Roman" w:cs="Times New Roman"/>
        </w:rPr>
        <w:t xml:space="preserve">, C. G., </w:t>
      </w:r>
      <w:proofErr w:type="spellStart"/>
      <w:r w:rsidRPr="00DA3F7A">
        <w:rPr>
          <w:rFonts w:ascii="Times New Roman" w:hAnsi="Times New Roman" w:cs="Times New Roman"/>
        </w:rPr>
        <w:t>Ngene</w:t>
      </w:r>
      <w:proofErr w:type="spellEnd"/>
      <w:r w:rsidRPr="00DA3F7A">
        <w:rPr>
          <w:rFonts w:ascii="Times New Roman" w:hAnsi="Times New Roman" w:cs="Times New Roman"/>
        </w:rPr>
        <w:t xml:space="preserve">, A. C., Asuquo, U. I., Coulthard, O. D., &amp; Nwachukwu, E. (2022). Characterization and antimicrobial activities of lactic acid bacteria. </w:t>
      </w:r>
      <w:r w:rsidRPr="00DA3F7A">
        <w:rPr>
          <w:rFonts w:ascii="Times New Roman" w:hAnsi="Times New Roman" w:cs="Times New Roman"/>
          <w:i/>
          <w:iCs/>
        </w:rPr>
        <w:t>African Journal of Biotechnology</w:t>
      </w:r>
      <w:r w:rsidRPr="00DA3F7A">
        <w:rPr>
          <w:rFonts w:ascii="Times New Roman" w:hAnsi="Times New Roman" w:cs="Times New Roman"/>
        </w:rPr>
        <w:t>, 21(5), 218–236.</w:t>
      </w:r>
    </w:p>
    <w:p w14:paraId="366F9573"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t xml:space="preserve">Olumuyiwa, E. O., Ajetunmobi, M. T., Adeniji, O. F., &amp; Ogunyemi, A. K. (2025). Morphological and molecular identification of fungi isolated from spoilt apples in Ota metropolis. </w:t>
      </w:r>
      <w:r w:rsidRPr="00DA3F7A">
        <w:rPr>
          <w:rFonts w:ascii="Times New Roman" w:hAnsi="Times New Roman" w:cs="Times New Roman"/>
          <w:i/>
          <w:iCs/>
        </w:rPr>
        <w:t>BMC Microbiology</w:t>
      </w:r>
      <w:r w:rsidRPr="00DA3F7A">
        <w:rPr>
          <w:rFonts w:ascii="Times New Roman" w:hAnsi="Times New Roman" w:cs="Times New Roman"/>
        </w:rPr>
        <w:t xml:space="preserve">, 25(1), 360. </w:t>
      </w:r>
      <w:hyperlink r:id="rId18" w:history="1">
        <w:r w:rsidRPr="00DA3F7A">
          <w:rPr>
            <w:rStyle w:val="Hyperlink"/>
            <w:rFonts w:ascii="Times New Roman" w:hAnsi="Times New Roman" w:cs="Times New Roman"/>
          </w:rPr>
          <w:t>https://doi.org/10.1186/s12866-025-04079-0</w:t>
        </w:r>
      </w:hyperlink>
    </w:p>
    <w:p w14:paraId="71C51DAA"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t xml:space="preserve">Park, I., &amp; </w:t>
      </w:r>
      <w:proofErr w:type="spellStart"/>
      <w:r w:rsidRPr="00DA3F7A">
        <w:rPr>
          <w:rFonts w:ascii="Times New Roman" w:hAnsi="Times New Roman" w:cs="Times New Roman"/>
        </w:rPr>
        <w:t>Mannaa</w:t>
      </w:r>
      <w:proofErr w:type="spellEnd"/>
      <w:r w:rsidRPr="00DA3F7A">
        <w:rPr>
          <w:rFonts w:ascii="Times New Roman" w:hAnsi="Times New Roman" w:cs="Times New Roman"/>
        </w:rPr>
        <w:t xml:space="preserve">, M. (2025). Fermented foods as functional systems: Microbial communities and metabolites influencing gut health and systemic outcomes. </w:t>
      </w:r>
      <w:r w:rsidRPr="00DA3F7A">
        <w:rPr>
          <w:rFonts w:ascii="Times New Roman" w:hAnsi="Times New Roman" w:cs="Times New Roman"/>
          <w:i/>
          <w:iCs/>
        </w:rPr>
        <w:t>Foods</w:t>
      </w:r>
      <w:r w:rsidRPr="00DA3F7A">
        <w:rPr>
          <w:rFonts w:ascii="Times New Roman" w:hAnsi="Times New Roman" w:cs="Times New Roman"/>
        </w:rPr>
        <w:t xml:space="preserve">, 14(13), 2292. </w:t>
      </w:r>
      <w:hyperlink r:id="rId19" w:history="1">
        <w:r w:rsidRPr="00DA3F7A">
          <w:rPr>
            <w:rStyle w:val="Hyperlink"/>
            <w:rFonts w:ascii="Times New Roman" w:hAnsi="Times New Roman" w:cs="Times New Roman"/>
          </w:rPr>
          <w:t>https://doi.org/10.3390/foods14132292</w:t>
        </w:r>
      </w:hyperlink>
    </w:p>
    <w:p w14:paraId="320FE823"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t xml:space="preserve">Rossi, F., </w:t>
      </w:r>
      <w:proofErr w:type="spellStart"/>
      <w:r w:rsidRPr="00DA3F7A">
        <w:rPr>
          <w:rFonts w:ascii="Times New Roman" w:hAnsi="Times New Roman" w:cs="Times New Roman"/>
        </w:rPr>
        <w:t>Santonicola</w:t>
      </w:r>
      <w:proofErr w:type="spellEnd"/>
      <w:r w:rsidRPr="00DA3F7A">
        <w:rPr>
          <w:rFonts w:ascii="Times New Roman" w:hAnsi="Times New Roman" w:cs="Times New Roman"/>
        </w:rPr>
        <w:t xml:space="preserve">, S., </w:t>
      </w:r>
      <w:proofErr w:type="spellStart"/>
      <w:r w:rsidRPr="00DA3F7A">
        <w:rPr>
          <w:rFonts w:ascii="Times New Roman" w:hAnsi="Times New Roman" w:cs="Times New Roman"/>
        </w:rPr>
        <w:t>Amadoro</w:t>
      </w:r>
      <w:proofErr w:type="spellEnd"/>
      <w:r w:rsidRPr="00DA3F7A">
        <w:rPr>
          <w:rFonts w:ascii="Times New Roman" w:hAnsi="Times New Roman" w:cs="Times New Roman"/>
        </w:rPr>
        <w:t xml:space="preserve">, C., Marino, L., &amp; Colavita, G. (2024). Recent records on bacterial opportunistic infections via the dietary route. </w:t>
      </w:r>
      <w:r w:rsidRPr="00DA3F7A">
        <w:rPr>
          <w:rFonts w:ascii="Times New Roman" w:hAnsi="Times New Roman" w:cs="Times New Roman"/>
          <w:i/>
          <w:iCs/>
        </w:rPr>
        <w:t>Microorganisms</w:t>
      </w:r>
      <w:r w:rsidRPr="00DA3F7A">
        <w:rPr>
          <w:rFonts w:ascii="Times New Roman" w:hAnsi="Times New Roman" w:cs="Times New Roman"/>
        </w:rPr>
        <w:t xml:space="preserve">, 12(1), 69. </w:t>
      </w:r>
      <w:hyperlink r:id="rId20" w:history="1">
        <w:r w:rsidRPr="00DA3F7A">
          <w:rPr>
            <w:rStyle w:val="Hyperlink"/>
            <w:rFonts w:ascii="Times New Roman" w:hAnsi="Times New Roman" w:cs="Times New Roman"/>
          </w:rPr>
          <w:t>https://doi.org/10.3390/microorganisms12010069</w:t>
        </w:r>
      </w:hyperlink>
    </w:p>
    <w:p w14:paraId="2749576A"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lastRenderedPageBreak/>
        <w:t xml:space="preserve">Sawant, S. S., Park, H.-Y., Sim, E.-Y., Kim, H.-S., &amp; Choi, H.-S. (2025). Microbial fermentation in food: Impact on functional properties and nutritional enhancement—A review of recent developments. </w:t>
      </w:r>
      <w:r w:rsidRPr="00DA3F7A">
        <w:rPr>
          <w:rFonts w:ascii="Times New Roman" w:hAnsi="Times New Roman" w:cs="Times New Roman"/>
          <w:i/>
          <w:iCs/>
        </w:rPr>
        <w:t>Fermentation</w:t>
      </w:r>
      <w:r w:rsidRPr="00DA3F7A">
        <w:rPr>
          <w:rFonts w:ascii="Times New Roman" w:hAnsi="Times New Roman" w:cs="Times New Roman"/>
        </w:rPr>
        <w:t xml:space="preserve">, 11(1), 15. </w:t>
      </w:r>
      <w:hyperlink r:id="rId21" w:history="1">
        <w:r w:rsidRPr="00DA3F7A">
          <w:rPr>
            <w:rStyle w:val="Hyperlink"/>
            <w:rFonts w:ascii="Times New Roman" w:hAnsi="Times New Roman" w:cs="Times New Roman"/>
          </w:rPr>
          <w:t>https://doi.org/10.3390/fermentation11010015</w:t>
        </w:r>
      </w:hyperlink>
    </w:p>
    <w:p w14:paraId="43AB4909"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t xml:space="preserve">Solomon, F., </w:t>
      </w:r>
      <w:proofErr w:type="spellStart"/>
      <w:r w:rsidRPr="00DA3F7A">
        <w:rPr>
          <w:rFonts w:ascii="Times New Roman" w:hAnsi="Times New Roman" w:cs="Times New Roman"/>
        </w:rPr>
        <w:t>Gebreyohannes</w:t>
      </w:r>
      <w:proofErr w:type="spellEnd"/>
      <w:r w:rsidRPr="00DA3F7A">
        <w:rPr>
          <w:rFonts w:ascii="Times New Roman" w:hAnsi="Times New Roman" w:cs="Times New Roman"/>
        </w:rPr>
        <w:t xml:space="preserve">, G., &amp; </w:t>
      </w:r>
      <w:proofErr w:type="spellStart"/>
      <w:r w:rsidRPr="00DA3F7A">
        <w:rPr>
          <w:rFonts w:ascii="Times New Roman" w:hAnsi="Times New Roman" w:cs="Times New Roman"/>
        </w:rPr>
        <w:t>Sbhatu</w:t>
      </w:r>
      <w:proofErr w:type="spellEnd"/>
      <w:r w:rsidRPr="00DA3F7A">
        <w:rPr>
          <w:rFonts w:ascii="Times New Roman" w:hAnsi="Times New Roman" w:cs="Times New Roman"/>
        </w:rPr>
        <w:t xml:space="preserve">, D. B. (2025). Bioactive compounds in fermented foods: Health benefits, safety, and future perspectives. </w:t>
      </w:r>
      <w:r w:rsidRPr="00DA3F7A">
        <w:rPr>
          <w:rFonts w:ascii="Times New Roman" w:hAnsi="Times New Roman" w:cs="Times New Roman"/>
          <w:i/>
          <w:iCs/>
        </w:rPr>
        <w:t>Applied Food Research</w:t>
      </w:r>
      <w:r w:rsidRPr="00DA3F7A">
        <w:rPr>
          <w:rFonts w:ascii="Times New Roman" w:hAnsi="Times New Roman" w:cs="Times New Roman"/>
        </w:rPr>
        <w:t xml:space="preserve">, 5(2), 101097. </w:t>
      </w:r>
      <w:hyperlink r:id="rId22" w:history="1">
        <w:r w:rsidRPr="00DA3F7A">
          <w:rPr>
            <w:rStyle w:val="Hyperlink"/>
            <w:rFonts w:ascii="Times New Roman" w:hAnsi="Times New Roman" w:cs="Times New Roman"/>
          </w:rPr>
          <w:t>https://doi.org/10.1016/j.afres.2025.101097</w:t>
        </w:r>
      </w:hyperlink>
    </w:p>
    <w:p w14:paraId="1D1DBBB5"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t xml:space="preserve">Taiwo, O. S., Afolabi, R. O., </w:t>
      </w:r>
      <w:proofErr w:type="spellStart"/>
      <w:r w:rsidRPr="00DA3F7A">
        <w:rPr>
          <w:rFonts w:ascii="Times New Roman" w:hAnsi="Times New Roman" w:cs="Times New Roman"/>
        </w:rPr>
        <w:t>Oranusi</w:t>
      </w:r>
      <w:proofErr w:type="spellEnd"/>
      <w:r w:rsidRPr="00DA3F7A">
        <w:rPr>
          <w:rFonts w:ascii="Times New Roman" w:hAnsi="Times New Roman" w:cs="Times New Roman"/>
        </w:rPr>
        <w:t xml:space="preserve">, S. U., Owolabi, J. B., Oloyede, A. R., &amp; Isibor, P. O. (2018). Microbiological assessment of yogurt sold in Nigeria. </w:t>
      </w:r>
      <w:r w:rsidRPr="00DA3F7A">
        <w:rPr>
          <w:rFonts w:ascii="Times New Roman" w:hAnsi="Times New Roman" w:cs="Times New Roman"/>
          <w:i/>
          <w:iCs/>
        </w:rPr>
        <w:t>IOP Conference Series: Earth and Environmental Science</w:t>
      </w:r>
      <w:r w:rsidRPr="00DA3F7A">
        <w:rPr>
          <w:rFonts w:ascii="Times New Roman" w:hAnsi="Times New Roman" w:cs="Times New Roman"/>
        </w:rPr>
        <w:t xml:space="preserve">, 210, 012019. </w:t>
      </w:r>
      <w:hyperlink r:id="rId23" w:history="1">
        <w:r w:rsidRPr="00DA3F7A">
          <w:rPr>
            <w:rStyle w:val="Hyperlink"/>
            <w:rFonts w:ascii="Times New Roman" w:hAnsi="Times New Roman" w:cs="Times New Roman"/>
          </w:rPr>
          <w:t>https://doi.org/10.1088/1755-1315/210/1/012019</w:t>
        </w:r>
      </w:hyperlink>
    </w:p>
    <w:p w14:paraId="0A531BB4" w14:textId="27CCC48B" w:rsidR="00A27D7E" w:rsidRPr="00DA3F7A" w:rsidRDefault="00A27D7E" w:rsidP="00DA3F7A">
      <w:pPr>
        <w:spacing w:after="0" w:line="480" w:lineRule="auto"/>
        <w:jc w:val="both"/>
        <w:rPr>
          <w:rFonts w:ascii="Times New Roman" w:hAnsi="Times New Roman" w:cs="Times New Roman"/>
        </w:rPr>
      </w:pPr>
      <w:r w:rsidRPr="00DA3F7A">
        <w:rPr>
          <w:rFonts w:ascii="Times New Roman" w:hAnsi="Times New Roman" w:cs="Times New Roman"/>
        </w:rPr>
        <w:t xml:space="preserve">Tamang, J. P., Cotter, P. D., Endo, A., Han, N. S., Kort, R., Liu, S. Q., Mayo, B., </w:t>
      </w:r>
      <w:proofErr w:type="spellStart"/>
      <w:r w:rsidRPr="00DA3F7A">
        <w:rPr>
          <w:rFonts w:ascii="Times New Roman" w:hAnsi="Times New Roman" w:cs="Times New Roman"/>
        </w:rPr>
        <w:t>Westerik</w:t>
      </w:r>
      <w:proofErr w:type="spellEnd"/>
      <w:r w:rsidRPr="00DA3F7A">
        <w:rPr>
          <w:rFonts w:ascii="Times New Roman" w:hAnsi="Times New Roman" w:cs="Times New Roman"/>
        </w:rPr>
        <w:t xml:space="preserve">, N. and </w:t>
      </w:r>
      <w:proofErr w:type="spellStart"/>
      <w:r w:rsidRPr="00DA3F7A">
        <w:rPr>
          <w:rFonts w:ascii="Times New Roman" w:hAnsi="Times New Roman" w:cs="Times New Roman"/>
        </w:rPr>
        <w:t>Hutkins</w:t>
      </w:r>
      <w:proofErr w:type="spellEnd"/>
      <w:r w:rsidRPr="00DA3F7A">
        <w:rPr>
          <w:rFonts w:ascii="Times New Roman" w:hAnsi="Times New Roman" w:cs="Times New Roman"/>
        </w:rPr>
        <w:t xml:space="preserve">, R. (2020). Fermented foods in a global age. </w:t>
      </w:r>
      <w:r w:rsidRPr="00DA3F7A">
        <w:rPr>
          <w:rFonts w:ascii="Times New Roman" w:hAnsi="Times New Roman" w:cs="Times New Roman"/>
          <w:i/>
          <w:iCs/>
        </w:rPr>
        <w:t>Comprehensive Reviews in Food Science and Food Safety</w:t>
      </w:r>
      <w:r w:rsidRPr="00DA3F7A">
        <w:rPr>
          <w:rFonts w:ascii="Times New Roman" w:hAnsi="Times New Roman" w:cs="Times New Roman"/>
          <w:b/>
          <w:bCs/>
          <w:i/>
          <w:iCs/>
        </w:rPr>
        <w:t xml:space="preserve"> </w:t>
      </w:r>
      <w:r w:rsidRPr="00DA3F7A">
        <w:rPr>
          <w:rFonts w:ascii="Times New Roman" w:hAnsi="Times New Roman" w:cs="Times New Roman"/>
        </w:rPr>
        <w:t>19(1):184–217. doi:10.1111/1541-4337.12520</w:t>
      </w:r>
    </w:p>
    <w:p w14:paraId="18B6D5A4" w14:textId="77777777" w:rsidR="00A90270" w:rsidRPr="00DA3F7A" w:rsidRDefault="00A90270" w:rsidP="00DA3F7A">
      <w:pPr>
        <w:spacing w:after="0" w:line="480" w:lineRule="auto"/>
        <w:jc w:val="both"/>
        <w:rPr>
          <w:rFonts w:ascii="Times New Roman" w:hAnsi="Times New Roman" w:cs="Times New Roman"/>
        </w:rPr>
      </w:pPr>
      <w:r w:rsidRPr="00DA3F7A">
        <w:rPr>
          <w:rFonts w:ascii="Times New Roman" w:hAnsi="Times New Roman" w:cs="Times New Roman"/>
        </w:rPr>
        <w:t xml:space="preserve">Yee, C. S., Zahia-Azizan, N. A., Abd Rahim, M. H., Mohd Zaini, N. A., Raja-Razali, R. B., </w:t>
      </w:r>
      <w:proofErr w:type="spellStart"/>
      <w:r w:rsidRPr="00DA3F7A">
        <w:rPr>
          <w:rFonts w:ascii="Times New Roman" w:hAnsi="Times New Roman" w:cs="Times New Roman"/>
        </w:rPr>
        <w:t>Ushidee-Radzi</w:t>
      </w:r>
      <w:proofErr w:type="spellEnd"/>
      <w:r w:rsidRPr="00DA3F7A">
        <w:rPr>
          <w:rFonts w:ascii="Times New Roman" w:hAnsi="Times New Roman" w:cs="Times New Roman"/>
        </w:rPr>
        <w:t>, M. A., Ilham, Z., &amp; Wan-</w:t>
      </w:r>
      <w:proofErr w:type="spellStart"/>
      <w:r w:rsidRPr="00DA3F7A">
        <w:rPr>
          <w:rFonts w:ascii="Times New Roman" w:hAnsi="Times New Roman" w:cs="Times New Roman"/>
        </w:rPr>
        <w:t>Mohtar</w:t>
      </w:r>
      <w:proofErr w:type="spellEnd"/>
      <w:r w:rsidRPr="00DA3F7A">
        <w:rPr>
          <w:rFonts w:ascii="Times New Roman" w:hAnsi="Times New Roman" w:cs="Times New Roman"/>
        </w:rPr>
        <w:t xml:space="preserve">, W. A. A. Q. I. (2025). Smart fermentation technologies: Microbial process control in traditional fermented foods. </w:t>
      </w:r>
      <w:r w:rsidRPr="00DA3F7A">
        <w:rPr>
          <w:rFonts w:ascii="Times New Roman" w:hAnsi="Times New Roman" w:cs="Times New Roman"/>
          <w:i/>
          <w:iCs/>
        </w:rPr>
        <w:t>Fermentation</w:t>
      </w:r>
      <w:r w:rsidRPr="00DA3F7A">
        <w:rPr>
          <w:rFonts w:ascii="Times New Roman" w:hAnsi="Times New Roman" w:cs="Times New Roman"/>
        </w:rPr>
        <w:t xml:space="preserve">, 11(6), 323. </w:t>
      </w:r>
      <w:hyperlink r:id="rId24" w:history="1">
        <w:r w:rsidRPr="00DA3F7A">
          <w:rPr>
            <w:rStyle w:val="Hyperlink"/>
            <w:rFonts w:ascii="Times New Roman" w:hAnsi="Times New Roman" w:cs="Times New Roman"/>
          </w:rPr>
          <w:t>https://doi.org/10.3390/fermentation11060323</w:t>
        </w:r>
      </w:hyperlink>
    </w:p>
    <w:p w14:paraId="6BE8D3EC" w14:textId="3E42B08D" w:rsidR="00552C54" w:rsidRPr="00D60327" w:rsidRDefault="00552C54" w:rsidP="00D60327">
      <w:pPr>
        <w:spacing w:after="0" w:line="480" w:lineRule="auto"/>
        <w:jc w:val="both"/>
        <w:rPr>
          <w:rFonts w:ascii="Times New Roman" w:hAnsi="Times New Roman" w:cs="Times New Roman"/>
        </w:rPr>
      </w:pPr>
    </w:p>
    <w:sectPr w:rsidR="00552C54" w:rsidRPr="00D60327">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7E56B" w14:textId="77777777" w:rsidR="000D6A95" w:rsidRDefault="000D6A95" w:rsidP="00AD6CF2">
      <w:pPr>
        <w:spacing w:after="0" w:line="240" w:lineRule="auto"/>
      </w:pPr>
      <w:r>
        <w:separator/>
      </w:r>
    </w:p>
  </w:endnote>
  <w:endnote w:type="continuationSeparator" w:id="0">
    <w:p w14:paraId="27B63ADB" w14:textId="77777777" w:rsidR="000D6A95" w:rsidRDefault="000D6A95" w:rsidP="00AD6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5B8B1" w14:textId="77777777" w:rsidR="006816FA" w:rsidRDefault="006816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861101"/>
      <w:docPartObj>
        <w:docPartGallery w:val="Page Numbers (Bottom of Page)"/>
        <w:docPartUnique/>
      </w:docPartObj>
    </w:sdtPr>
    <w:sdtEndPr>
      <w:rPr>
        <w:noProof/>
      </w:rPr>
    </w:sdtEndPr>
    <w:sdtContent>
      <w:p w14:paraId="1B0C2924" w14:textId="16545911" w:rsidR="00AD6CF2" w:rsidRDefault="00AD6CF2">
        <w:pPr>
          <w:pStyle w:val="Footer"/>
          <w:jc w:val="center"/>
        </w:pPr>
        <w:r w:rsidRPr="00AD6CF2">
          <w:rPr>
            <w:rFonts w:ascii="Times New Roman" w:hAnsi="Times New Roman" w:cs="Times New Roman"/>
          </w:rPr>
          <w:fldChar w:fldCharType="begin"/>
        </w:r>
        <w:r w:rsidRPr="00AD6CF2">
          <w:rPr>
            <w:rFonts w:ascii="Times New Roman" w:hAnsi="Times New Roman" w:cs="Times New Roman"/>
          </w:rPr>
          <w:instrText xml:space="preserve"> PAGE   \* MERGEFORMAT </w:instrText>
        </w:r>
        <w:r w:rsidRPr="00AD6CF2">
          <w:rPr>
            <w:rFonts w:ascii="Times New Roman" w:hAnsi="Times New Roman" w:cs="Times New Roman"/>
          </w:rPr>
          <w:fldChar w:fldCharType="separate"/>
        </w:r>
        <w:r w:rsidRPr="00AD6CF2">
          <w:rPr>
            <w:rFonts w:ascii="Times New Roman" w:hAnsi="Times New Roman" w:cs="Times New Roman"/>
            <w:noProof/>
          </w:rPr>
          <w:t>2</w:t>
        </w:r>
        <w:r w:rsidRPr="00AD6CF2">
          <w:rPr>
            <w:rFonts w:ascii="Times New Roman" w:hAnsi="Times New Roman" w:cs="Times New Roman"/>
            <w:noProof/>
          </w:rPr>
          <w:fldChar w:fldCharType="end"/>
        </w:r>
      </w:p>
    </w:sdtContent>
  </w:sdt>
  <w:p w14:paraId="628F9AEE" w14:textId="77777777" w:rsidR="00AD6CF2" w:rsidRDefault="00AD6C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6D712" w14:textId="77777777" w:rsidR="006816FA" w:rsidRDefault="00681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9BB43" w14:textId="77777777" w:rsidR="000D6A95" w:rsidRDefault="000D6A95" w:rsidP="00AD6CF2">
      <w:pPr>
        <w:spacing w:after="0" w:line="240" w:lineRule="auto"/>
      </w:pPr>
      <w:r>
        <w:separator/>
      </w:r>
    </w:p>
  </w:footnote>
  <w:footnote w:type="continuationSeparator" w:id="0">
    <w:p w14:paraId="6F6CCA21" w14:textId="77777777" w:rsidR="000D6A95" w:rsidRDefault="000D6A95" w:rsidP="00AD6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B358E" w14:textId="13639C3C" w:rsidR="006816FA" w:rsidRDefault="006816FA">
    <w:pPr>
      <w:pStyle w:val="Header"/>
    </w:pPr>
    <w:r>
      <w:rPr>
        <w:noProof/>
      </w:rPr>
      <w:pict w14:anchorId="21389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89846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4A87E" w14:textId="2D564B84" w:rsidR="006816FA" w:rsidRDefault="006816FA">
    <w:pPr>
      <w:pStyle w:val="Header"/>
    </w:pPr>
    <w:r>
      <w:rPr>
        <w:noProof/>
      </w:rPr>
      <w:pict w14:anchorId="0AA31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89847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75CE" w14:textId="7828EED0" w:rsidR="006816FA" w:rsidRDefault="006816FA">
    <w:pPr>
      <w:pStyle w:val="Header"/>
    </w:pPr>
    <w:r>
      <w:rPr>
        <w:noProof/>
      </w:rPr>
      <w:pict w14:anchorId="47147D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89846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A2837"/>
    <w:multiLevelType w:val="multilevel"/>
    <w:tmpl w:val="23AAA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23817"/>
    <w:multiLevelType w:val="multilevel"/>
    <w:tmpl w:val="F356E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B3E0E"/>
    <w:multiLevelType w:val="multilevel"/>
    <w:tmpl w:val="A3BC1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92677"/>
    <w:multiLevelType w:val="multilevel"/>
    <w:tmpl w:val="A5D8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84253"/>
    <w:multiLevelType w:val="hybridMultilevel"/>
    <w:tmpl w:val="4C84C4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C269D0"/>
    <w:multiLevelType w:val="multilevel"/>
    <w:tmpl w:val="400C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E57A5"/>
    <w:multiLevelType w:val="multilevel"/>
    <w:tmpl w:val="5244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7198D"/>
    <w:multiLevelType w:val="multilevel"/>
    <w:tmpl w:val="CC06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4E48D6"/>
    <w:multiLevelType w:val="multilevel"/>
    <w:tmpl w:val="1A9C25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110125"/>
    <w:multiLevelType w:val="multilevel"/>
    <w:tmpl w:val="3B14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71F79"/>
    <w:multiLevelType w:val="multilevel"/>
    <w:tmpl w:val="38600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4F29DC"/>
    <w:multiLevelType w:val="multilevel"/>
    <w:tmpl w:val="2C3C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87FB6"/>
    <w:multiLevelType w:val="multilevel"/>
    <w:tmpl w:val="85DE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821770"/>
    <w:multiLevelType w:val="multilevel"/>
    <w:tmpl w:val="C1D6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64B69"/>
    <w:multiLevelType w:val="multilevel"/>
    <w:tmpl w:val="8D9E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041A09"/>
    <w:multiLevelType w:val="hybridMultilevel"/>
    <w:tmpl w:val="08E6D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4"/>
  </w:num>
  <w:num w:numId="4">
    <w:abstractNumId w:val="7"/>
  </w:num>
  <w:num w:numId="5">
    <w:abstractNumId w:val="1"/>
  </w:num>
  <w:num w:numId="6">
    <w:abstractNumId w:val="10"/>
  </w:num>
  <w:num w:numId="7">
    <w:abstractNumId w:val="9"/>
  </w:num>
  <w:num w:numId="8">
    <w:abstractNumId w:val="13"/>
  </w:num>
  <w:num w:numId="9">
    <w:abstractNumId w:val="11"/>
  </w:num>
  <w:num w:numId="10">
    <w:abstractNumId w:val="5"/>
  </w:num>
  <w:num w:numId="11">
    <w:abstractNumId w:val="12"/>
  </w:num>
  <w:num w:numId="12">
    <w:abstractNumId w:val="6"/>
  </w:num>
  <w:num w:numId="13">
    <w:abstractNumId w:val="2"/>
  </w:num>
  <w:num w:numId="14">
    <w:abstractNumId w:val="0"/>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C2"/>
    <w:rsid w:val="00027138"/>
    <w:rsid w:val="00076467"/>
    <w:rsid w:val="000C2E28"/>
    <w:rsid w:val="000D6A95"/>
    <w:rsid w:val="000D7B92"/>
    <w:rsid w:val="000F3B16"/>
    <w:rsid w:val="001E7AE7"/>
    <w:rsid w:val="002A215B"/>
    <w:rsid w:val="00324C74"/>
    <w:rsid w:val="003602A7"/>
    <w:rsid w:val="00385984"/>
    <w:rsid w:val="00432E97"/>
    <w:rsid w:val="00435618"/>
    <w:rsid w:val="004C20D5"/>
    <w:rsid w:val="00501DA3"/>
    <w:rsid w:val="00503B08"/>
    <w:rsid w:val="00522E4A"/>
    <w:rsid w:val="00527F52"/>
    <w:rsid w:val="00552C54"/>
    <w:rsid w:val="00574FC3"/>
    <w:rsid w:val="005B1A5C"/>
    <w:rsid w:val="0066624A"/>
    <w:rsid w:val="00675E15"/>
    <w:rsid w:val="006816FA"/>
    <w:rsid w:val="006914C2"/>
    <w:rsid w:val="00704C42"/>
    <w:rsid w:val="00775E34"/>
    <w:rsid w:val="007976AD"/>
    <w:rsid w:val="007A0B3B"/>
    <w:rsid w:val="007A5EA3"/>
    <w:rsid w:val="00801E0B"/>
    <w:rsid w:val="00841C5B"/>
    <w:rsid w:val="00867C7E"/>
    <w:rsid w:val="008A550A"/>
    <w:rsid w:val="008E20BA"/>
    <w:rsid w:val="008E5BD0"/>
    <w:rsid w:val="00920A9C"/>
    <w:rsid w:val="00943375"/>
    <w:rsid w:val="00947300"/>
    <w:rsid w:val="0097563F"/>
    <w:rsid w:val="00976258"/>
    <w:rsid w:val="009A011F"/>
    <w:rsid w:val="009F606C"/>
    <w:rsid w:val="00A21AF5"/>
    <w:rsid w:val="00A27D7E"/>
    <w:rsid w:val="00A53C0F"/>
    <w:rsid w:val="00A90270"/>
    <w:rsid w:val="00AB2271"/>
    <w:rsid w:val="00AC2191"/>
    <w:rsid w:val="00AD6CF2"/>
    <w:rsid w:val="00AF4645"/>
    <w:rsid w:val="00B26723"/>
    <w:rsid w:val="00B41356"/>
    <w:rsid w:val="00B555B1"/>
    <w:rsid w:val="00B973AF"/>
    <w:rsid w:val="00BB38E1"/>
    <w:rsid w:val="00BC68C7"/>
    <w:rsid w:val="00BE4743"/>
    <w:rsid w:val="00C10538"/>
    <w:rsid w:val="00C37813"/>
    <w:rsid w:val="00C378AC"/>
    <w:rsid w:val="00C960DF"/>
    <w:rsid w:val="00CD50A0"/>
    <w:rsid w:val="00CE71F9"/>
    <w:rsid w:val="00D60327"/>
    <w:rsid w:val="00D634C8"/>
    <w:rsid w:val="00D7268A"/>
    <w:rsid w:val="00DA058F"/>
    <w:rsid w:val="00DA3F7A"/>
    <w:rsid w:val="00E359A4"/>
    <w:rsid w:val="00EE5243"/>
    <w:rsid w:val="00F2609B"/>
    <w:rsid w:val="00F70CA7"/>
    <w:rsid w:val="00FA3C71"/>
    <w:rsid w:val="00FE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3D1691"/>
  <w15:chartTrackingRefBased/>
  <w15:docId w15:val="{C3CDBE92-C0D3-4BF6-A903-CF1EC4CD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4C2"/>
    <w:rPr>
      <w:rFonts w:eastAsiaTheme="majorEastAsia" w:cstheme="majorBidi"/>
      <w:color w:val="272727" w:themeColor="text1" w:themeTint="D8"/>
    </w:rPr>
  </w:style>
  <w:style w:type="paragraph" w:styleId="Title">
    <w:name w:val="Title"/>
    <w:basedOn w:val="Normal"/>
    <w:next w:val="Normal"/>
    <w:link w:val="TitleChar"/>
    <w:uiPriority w:val="10"/>
    <w:qFormat/>
    <w:rsid w:val="00691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4C2"/>
    <w:pPr>
      <w:spacing w:before="160"/>
      <w:jc w:val="center"/>
    </w:pPr>
    <w:rPr>
      <w:i/>
      <w:iCs/>
      <w:color w:val="404040" w:themeColor="text1" w:themeTint="BF"/>
    </w:rPr>
  </w:style>
  <w:style w:type="character" w:customStyle="1" w:styleId="QuoteChar">
    <w:name w:val="Quote Char"/>
    <w:basedOn w:val="DefaultParagraphFont"/>
    <w:link w:val="Quote"/>
    <w:uiPriority w:val="29"/>
    <w:rsid w:val="006914C2"/>
    <w:rPr>
      <w:i/>
      <w:iCs/>
      <w:color w:val="404040" w:themeColor="text1" w:themeTint="BF"/>
    </w:rPr>
  </w:style>
  <w:style w:type="paragraph" w:styleId="ListParagraph">
    <w:name w:val="List Paragraph"/>
    <w:basedOn w:val="Normal"/>
    <w:uiPriority w:val="34"/>
    <w:qFormat/>
    <w:rsid w:val="006914C2"/>
    <w:pPr>
      <w:ind w:left="720"/>
      <w:contextualSpacing/>
    </w:pPr>
  </w:style>
  <w:style w:type="character" w:styleId="IntenseEmphasis">
    <w:name w:val="Intense Emphasis"/>
    <w:basedOn w:val="DefaultParagraphFont"/>
    <w:uiPriority w:val="21"/>
    <w:qFormat/>
    <w:rsid w:val="006914C2"/>
    <w:rPr>
      <w:i/>
      <w:iCs/>
      <w:color w:val="0F4761" w:themeColor="accent1" w:themeShade="BF"/>
    </w:rPr>
  </w:style>
  <w:style w:type="paragraph" w:styleId="IntenseQuote">
    <w:name w:val="Intense Quote"/>
    <w:basedOn w:val="Normal"/>
    <w:next w:val="Normal"/>
    <w:link w:val="IntenseQuoteChar"/>
    <w:uiPriority w:val="30"/>
    <w:qFormat/>
    <w:rsid w:val="00691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4C2"/>
    <w:rPr>
      <w:i/>
      <w:iCs/>
      <w:color w:val="0F4761" w:themeColor="accent1" w:themeShade="BF"/>
    </w:rPr>
  </w:style>
  <w:style w:type="character" w:styleId="IntenseReference">
    <w:name w:val="Intense Reference"/>
    <w:basedOn w:val="DefaultParagraphFont"/>
    <w:uiPriority w:val="32"/>
    <w:qFormat/>
    <w:rsid w:val="006914C2"/>
    <w:rPr>
      <w:b/>
      <w:bCs/>
      <w:smallCaps/>
      <w:color w:val="0F4761" w:themeColor="accent1" w:themeShade="BF"/>
      <w:spacing w:val="5"/>
    </w:rPr>
  </w:style>
  <w:style w:type="character" w:styleId="Hyperlink">
    <w:name w:val="Hyperlink"/>
    <w:basedOn w:val="DefaultParagraphFont"/>
    <w:uiPriority w:val="99"/>
    <w:unhideWhenUsed/>
    <w:rsid w:val="00775E34"/>
    <w:rPr>
      <w:color w:val="467886" w:themeColor="hyperlink"/>
      <w:u w:val="single"/>
    </w:rPr>
  </w:style>
  <w:style w:type="character" w:styleId="UnresolvedMention">
    <w:name w:val="Unresolved Mention"/>
    <w:basedOn w:val="DefaultParagraphFont"/>
    <w:uiPriority w:val="99"/>
    <w:semiHidden/>
    <w:unhideWhenUsed/>
    <w:rsid w:val="00775E34"/>
    <w:rPr>
      <w:color w:val="605E5C"/>
      <w:shd w:val="clear" w:color="auto" w:fill="E1DFDD"/>
    </w:rPr>
  </w:style>
  <w:style w:type="paragraph" w:styleId="Header">
    <w:name w:val="header"/>
    <w:basedOn w:val="Normal"/>
    <w:link w:val="HeaderChar"/>
    <w:uiPriority w:val="99"/>
    <w:unhideWhenUsed/>
    <w:rsid w:val="00AD6C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6CF2"/>
  </w:style>
  <w:style w:type="paragraph" w:styleId="Footer">
    <w:name w:val="footer"/>
    <w:basedOn w:val="Normal"/>
    <w:link w:val="FooterChar"/>
    <w:uiPriority w:val="99"/>
    <w:unhideWhenUsed/>
    <w:rsid w:val="00AD6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6CF2"/>
  </w:style>
  <w:style w:type="table" w:styleId="TableGrid">
    <w:name w:val="Table Grid"/>
    <w:basedOn w:val="TableNormal"/>
    <w:uiPriority w:val="39"/>
    <w:rsid w:val="00A27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05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29/bjlr.v27i1.55170" TargetMode="External"/><Relationship Id="rId13" Type="http://schemas.openxmlformats.org/officeDocument/2006/relationships/hyperlink" Target="https://doi.org/10.3389/fmicb.2023.1216674" TargetMode="External"/><Relationship Id="rId18" Type="http://schemas.openxmlformats.org/officeDocument/2006/relationships/hyperlink" Target="https://doi.org/10.1186/s12866-025-04079-0"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390/fermentation11010015" TargetMode="External"/><Relationship Id="rId7" Type="http://schemas.openxmlformats.org/officeDocument/2006/relationships/image" Target="media/image1.png"/><Relationship Id="rId12" Type="http://schemas.openxmlformats.org/officeDocument/2006/relationships/hyperlink" Target="https://doi.org/10.3390/foods10123131" TargetMode="External"/><Relationship Id="rId17" Type="http://schemas.openxmlformats.org/officeDocument/2006/relationships/hyperlink" Target="https://doi.org/10.3390/dairy403003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390/foods10112861" TargetMode="External"/><Relationship Id="rId20" Type="http://schemas.openxmlformats.org/officeDocument/2006/relationships/hyperlink" Target="https://doi.org/10.3390/microorganisms12010069"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236/oalib.1101541" TargetMode="External"/><Relationship Id="rId24" Type="http://schemas.openxmlformats.org/officeDocument/2006/relationships/hyperlink" Target="https://doi.org/10.3390/fermentation11060323"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foods14142515" TargetMode="External"/><Relationship Id="rId23" Type="http://schemas.openxmlformats.org/officeDocument/2006/relationships/hyperlink" Target="https://doi.org/10.1088/1755-1315/210/1/012019" TargetMode="External"/><Relationship Id="rId28" Type="http://schemas.openxmlformats.org/officeDocument/2006/relationships/footer" Target="footer2.xml"/><Relationship Id="rId10" Type="http://schemas.openxmlformats.org/officeDocument/2006/relationships/hyperlink" Target="https://doi.org/10.3390/vetsci12020133" TargetMode="External"/><Relationship Id="rId19" Type="http://schemas.openxmlformats.org/officeDocument/2006/relationships/hyperlink" Target="https://doi.org/10.3390/foods14132292"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foods13233714" TargetMode="External"/><Relationship Id="rId14" Type="http://schemas.openxmlformats.org/officeDocument/2006/relationships/hyperlink" Target="https://doi.org/10.3390/nu14071527" TargetMode="External"/><Relationship Id="rId22" Type="http://schemas.openxmlformats.org/officeDocument/2006/relationships/hyperlink" Target="https://doi.org/10.1016/j.afres.2025.101097"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1511</TotalTime>
  <Pages>20</Pages>
  <Words>4597</Words>
  <Characters>26204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Chidinma Okafor</dc:creator>
  <cp:keywords/>
  <dc:description/>
  <cp:lastModifiedBy>SDI 1084</cp:lastModifiedBy>
  <cp:revision>62</cp:revision>
  <dcterms:created xsi:type="dcterms:W3CDTF">2026-04-06T17:10:00Z</dcterms:created>
  <dcterms:modified xsi:type="dcterms:W3CDTF">2026-04-08T13:41:00Z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f3294399-ed3a-4a18-9894-1f486f73eb9c</vt:lpwstr>
  </property>
</Properties>
</file>