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A8C" w:rsidRPr="007D2A8C" w:rsidRDefault="009029FB" w:rsidP="0058189C">
      <w:pPr>
        <w:shd w:val="clear" w:color="auto" w:fill="FFFFFF"/>
        <w:spacing w:before="100" w:beforeAutospacing="1" w:after="240" w:line="360" w:lineRule="auto"/>
        <w:jc w:val="right"/>
        <w:outlineLvl w:val="0"/>
        <w:rPr>
          <w:rFonts w:ascii="Times New Roman" w:eastAsia="Times New Roman" w:hAnsi="Times New Roman" w:cs="Times New Roman"/>
          <w:b/>
          <w:bCs/>
          <w:kern w:val="36"/>
          <w:sz w:val="28"/>
          <w:szCs w:val="24"/>
        </w:rPr>
      </w:pPr>
      <w:r w:rsidRPr="007D2A8C">
        <w:rPr>
          <w:rFonts w:ascii="Times New Roman" w:eastAsia="Times New Roman" w:hAnsi="Times New Roman" w:cs="Times New Roman"/>
          <w:b/>
          <w:bCs/>
          <w:kern w:val="36"/>
          <w:sz w:val="28"/>
          <w:szCs w:val="24"/>
        </w:rPr>
        <w:t xml:space="preserve">Assessment </w:t>
      </w:r>
      <w:proofErr w:type="gramStart"/>
      <w:r w:rsidRPr="007D2A8C">
        <w:rPr>
          <w:rFonts w:ascii="Times New Roman" w:eastAsia="Times New Roman" w:hAnsi="Times New Roman" w:cs="Times New Roman"/>
          <w:b/>
          <w:bCs/>
          <w:kern w:val="36"/>
          <w:sz w:val="28"/>
          <w:szCs w:val="24"/>
        </w:rPr>
        <w:t>Of</w:t>
      </w:r>
      <w:proofErr w:type="gramEnd"/>
      <w:r w:rsidRPr="007D2A8C">
        <w:rPr>
          <w:rFonts w:ascii="Times New Roman" w:eastAsia="Times New Roman" w:hAnsi="Times New Roman" w:cs="Times New Roman"/>
          <w:b/>
          <w:bCs/>
          <w:kern w:val="36"/>
          <w:sz w:val="28"/>
          <w:szCs w:val="24"/>
        </w:rPr>
        <w:t xml:space="preserve"> Mothers' Knowledge, Attitudes And Practices On Infant Feeding To Improve Their Nutritional Status: Case Of Musema Health Center (</w:t>
      </w:r>
      <w:r w:rsidR="00E84ED6" w:rsidRPr="007D2A8C">
        <w:rPr>
          <w:rFonts w:ascii="Times New Roman" w:eastAsia="Times New Roman" w:hAnsi="Times New Roman" w:cs="Times New Roman"/>
          <w:b/>
          <w:bCs/>
          <w:kern w:val="36"/>
          <w:sz w:val="28"/>
          <w:szCs w:val="24"/>
        </w:rPr>
        <w:t>CDS</w:t>
      </w:r>
      <w:r w:rsidRPr="007D2A8C">
        <w:rPr>
          <w:rFonts w:ascii="Times New Roman" w:eastAsia="Times New Roman" w:hAnsi="Times New Roman" w:cs="Times New Roman"/>
          <w:b/>
          <w:bCs/>
          <w:kern w:val="36"/>
          <w:sz w:val="28"/>
          <w:szCs w:val="24"/>
        </w:rPr>
        <w:t xml:space="preserve">) In </w:t>
      </w:r>
      <w:proofErr w:type="spellStart"/>
      <w:r w:rsidRPr="007D2A8C">
        <w:rPr>
          <w:rFonts w:ascii="Times New Roman" w:eastAsia="Times New Roman" w:hAnsi="Times New Roman" w:cs="Times New Roman"/>
          <w:b/>
          <w:bCs/>
          <w:kern w:val="36"/>
          <w:sz w:val="28"/>
          <w:szCs w:val="24"/>
        </w:rPr>
        <w:t>Kayanza</w:t>
      </w:r>
      <w:proofErr w:type="spellEnd"/>
      <w:r w:rsidRPr="007D2A8C">
        <w:rPr>
          <w:rFonts w:ascii="Times New Roman" w:eastAsia="Times New Roman" w:hAnsi="Times New Roman" w:cs="Times New Roman"/>
          <w:b/>
          <w:bCs/>
          <w:kern w:val="36"/>
          <w:sz w:val="28"/>
          <w:szCs w:val="24"/>
        </w:rPr>
        <w:t xml:space="preserve"> Health Province</w:t>
      </w:r>
    </w:p>
    <w:p w:rsidR="001F15E4" w:rsidRDefault="001F15E4"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ABSTRACT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Infant feeding is essential to support nutritional status, growth, development, health and survival. Failure to breastfeed exclusively during the first six months of life is a major risk factor for morbidity and mortality, which inadequate complementary feeding only exacerbates, leading irreparably to poor school performance, reduced productivity and impaired intellectual and social development.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This was an analytical cross-sectional study conducted from July 2 to September 2, 2024, involving 98 mothers of children aged 6-23 months attending the vaccination service at MUSEMA Health Center. Data were collected using a structured questionnaire configured with </w:t>
      </w:r>
      <w:proofErr w:type="spellStart"/>
      <w:r w:rsidRPr="007D2A8C">
        <w:rPr>
          <w:rFonts w:ascii="Times New Roman" w:eastAsia="Times New Roman" w:hAnsi="Times New Roman" w:cs="Times New Roman"/>
          <w:sz w:val="24"/>
          <w:szCs w:val="24"/>
        </w:rPr>
        <w:t>Kobocollect</w:t>
      </w:r>
      <w:proofErr w:type="spellEnd"/>
      <w:r w:rsidRPr="007D2A8C">
        <w:rPr>
          <w:rFonts w:ascii="Times New Roman" w:eastAsia="Times New Roman" w:hAnsi="Times New Roman" w:cs="Times New Roman"/>
          <w:sz w:val="24"/>
          <w:szCs w:val="24"/>
        </w:rPr>
        <w:t xml:space="preserve"> software. Data processing and analysis were performed using SPSS version 20. The Chi-square test and Fisher's exact test were used for bivariate analysis with a significance threshold of p &lt; 0.05.</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The results showed that 57.1% of surveyed mothers had insufficient knowledge about infant feeding, 59.2% had unfavorable attitudes, and 60.2% had poor practices. Variables significantly associated with maternal knowledge included mother's age (p=0.002), education level (p&lt;0.001), child under 2 years (p=0.040), child's nutritional status (p=0.006), age of complementary feeding introduction (p=0.01), cause of malnutrition (p=0.002), timing of first breastfeeding (p=0.0002), drinking water treatment (p=0.006), and drinking water sources (p=0.006). Attitudes were significantly associated with mother's age (p=0.01), education level (p=0.02), child's sex (p=0.011), nutritional status (p=0.003), possession of a vegetable garden (p=0.013), advantages of exclusive breastfeeding (p&lt;0.001), age of complementary feeding introduction (p=0.019), cause of malnutrition (p=0.002), timing of first breastfeeding (p=0.001), and handwashing equipment (p&lt;0.001). Practices were significantly associated with mother's age (p=0.006), number of children under 2 years (p=0.003), child's weight (p=0.017), nutritional status (p=0.001), animal husbandry (p=0.020), sufficient agricultural </w:t>
      </w:r>
      <w:r w:rsidRPr="007D2A8C">
        <w:rPr>
          <w:rFonts w:ascii="Times New Roman" w:eastAsia="Times New Roman" w:hAnsi="Times New Roman" w:cs="Times New Roman"/>
          <w:sz w:val="24"/>
          <w:szCs w:val="24"/>
        </w:rPr>
        <w:lastRenderedPageBreak/>
        <w:t>fields (p=0.014), cultivable area (p=0.014), advantages of exclusive breastfeeding (p&lt;0.001), and drinking water treatment (p&lt;0.001).</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study revealed significant gaps in maternal knowledge, attitudes, and practices regarding infant feeding. These findings underscore the urgent need for targeted nutritional education interventions, strengthening of counseling services at health facilities, and community-based support programs to improve infant feeding practices and reduce malnutrition.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Keywords:</w:t>
      </w:r>
      <w:r w:rsidRPr="007D2A8C">
        <w:rPr>
          <w:rFonts w:ascii="Times New Roman" w:eastAsia="Times New Roman" w:hAnsi="Times New Roman" w:cs="Times New Roman"/>
          <w:sz w:val="24"/>
          <w:szCs w:val="24"/>
        </w:rPr>
        <w:t xml:space="preserve"> Infant feeding; Knowledge, attitudes and practices; Mothers; MUSEMA Health Center; </w:t>
      </w:r>
      <w:proofErr w:type="spellStart"/>
      <w:r w:rsidRPr="007D2A8C">
        <w:rPr>
          <w:rFonts w:ascii="Times New Roman" w:eastAsia="Times New Roman" w:hAnsi="Times New Roman" w:cs="Times New Roman"/>
          <w:sz w:val="24"/>
          <w:szCs w:val="24"/>
        </w:rPr>
        <w:t>Kayanza</w:t>
      </w:r>
      <w:proofErr w:type="spellEnd"/>
      <w:r w:rsidRPr="007D2A8C">
        <w:rPr>
          <w:rFonts w:ascii="Times New Roman" w:eastAsia="Times New Roman" w:hAnsi="Times New Roman" w:cs="Times New Roman"/>
          <w:sz w:val="24"/>
          <w:szCs w:val="24"/>
        </w:rPr>
        <w:t>; Burundi.</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 INTRODUCTION</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1.1 Background and Justification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Infant and young child feeding is a crucial area for improving child survival and promoting healthy growth and development (UNICEF, 2018). The first months and years of life are essential for the child's physical and mental development. During this period, marked by rapid growth, the child is particularly vulnerable metabolically and in terms of defense systems. Feeding plays a central role in this phase, promoting not only growth but also motor and cognitive development. It also constitutes a key factor for the child's health and overall development, with lasting repercussions on health until adolescence (UNICEF, 2014).</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first two years of a child's life are particularly important because optimal nutrition during this period will reduce morbidity and mortality rates, as well as the risk of chronic diseases, and contribute to better overall development (WHO, 2023). Optimal breastfeeding could save the lives of 820,000 children under five years each year (Victora et al., 2016). This includes early breastfeeding within the first hour after birth, exclusive breastfeeding for the first six months, and introduction of healthy complementary foods from six months while continuing breastfeeding until two years and beyond (Tomlinson &amp; Haiek, 2023). However, many infants do not receive this ideal feeding; between 2007 and 2014, only about 36% of infants aged 0-6 months worldwide were exclusively breastfed (Latham, 2014).</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Adequate nutrition during early childhood is essential to enable each child to reach their full potential. The period from birth to two years is considered crucial for promoting optimal </w:t>
      </w:r>
      <w:r w:rsidRPr="007D2A8C">
        <w:rPr>
          <w:rFonts w:ascii="Times New Roman" w:eastAsia="Times New Roman" w:hAnsi="Times New Roman" w:cs="Times New Roman"/>
          <w:sz w:val="24"/>
          <w:szCs w:val="24"/>
        </w:rPr>
        <w:lastRenderedPageBreak/>
        <w:t>growth, health, and development. Longitudinal studies have consistently shown that it is at this age that growth stunting, micronutrient deficiencies, and common childhood illnesses such as diarrhea are frequently observed. Once this age is passed, it becomes very difficult to compensate for growth retardation that occurred earlier (UNICEF, 2018).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 Burundi, the results of the 2010 knowledge, attitudes and practices survey conducted by UNICEF reveal that feeding of children over six months is often inadequate both in quality and quantity. Indeed, only 32.9% of children under two years receive three meals per day (UNICEF, 2023). Furthermore, dietary diversity is alarming: only 27.8% of children aged 6-11 months living in rural areas consume daily meals comprising three different food groups, compared to 72.2% of children living in urban areas (ENSNMB, 2018).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immediate consequences of insufficient nutrition during these developmental years include increased morbidity and mortality, as well as delayed psychomotor development. In the long term, early nutritional deficits lead to decreased intellectual performance and work capacity and have consequences on reproduction and general health both during adolescence and adulthood. Thus, the malnutrition cycle continues, with a malnourished girl having a higher chance of reaching adulthood and giving birth to a low birth weight or malnourished infant (WHO, 2006).</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During the first two years of life, the main direct causes of malnutrition are poor child feeding practices and a high rate of infectious diseases.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1.2 Problem Statement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Breastfeeding and infant and young child nutrition represent major global public health issues. Although exclusive breastfeeding for the first six months of life is recognized as one of the most effective means of ensuring optimal growth and development, many obstacles compromise its implementation, including cultural practices, insufficient maternal knowledge, lack of community and institutional support, and socio-economic constraints.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According to UNICEF (2023), less than 50% of infants worldwide benefit from exclusive breastfeeding up to six months. This figure is even lower in some regions of sub-Saharan Africa, where cultural practices and beliefs negatively influence this practice. Working mothers in the informal sector or without social protection often have constraints that limit the possibility of exclusive breastfeeding. Traditional practices, such as early introduction of </w:t>
      </w:r>
      <w:r w:rsidRPr="007D2A8C">
        <w:rPr>
          <w:rFonts w:ascii="Times New Roman" w:eastAsia="Times New Roman" w:hAnsi="Times New Roman" w:cs="Times New Roman"/>
          <w:sz w:val="24"/>
          <w:szCs w:val="24"/>
        </w:rPr>
        <w:lastRenderedPageBreak/>
        <w:t>water or other foods, contribute to the decrease in exclusive breastfeeding (WHO, 2021). In many countries, breastfeeding support policies, such as paid maternity leave or breastfeeding spaces in the workplace, are non-existent or poorly implemented (WHO, 2020).</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Undernutrition remains a major cause of infant mortality. Approximately 45% of deaths in children under five are related to malnutrition problems (UNICEF, 2022). This includes underweight, stunting, and wasting. Children often do not receive diversified foods adapted to their nutritional needs after six months. For example, only 20% of children aged 6-23 months consume a diet meeting minimum dietary diversity (WHO, 2021). Deficiency in iron, vitamin A, zinc, and other essential micronutrients is widespread, compromising children's cognitive and physical development (Black et al., 2013). Conflict and food insecurity situations exacerbate child malnutrition. For example, in conflict-affected regions of the Sahel, acute malnutrition reaches critical levels (FAO, 2023).</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Non-compliance with optimal breastfeeding and nutrition practices has serious health consequences, including infections, increased infant mortality, and developmental disorders. In the long term, this results in economic losses for families and health systems, estimated at several billion dollars per year (World Bank, 2021).</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Malnutrition is responsible for 60% of the 10.9 million annual deaths in children under five, with more than two-thirds occurring in the first year of life (WHO, 2022). Only 35% of infants benefit from exclusive breastfeeding during the first four months. Complementary feeding often starts too early or too late, with inappropriate and unsafe foods (Faubert, 2011). The increase in overweight and obesity in children is concerning as it threatens socio-economic development. Inappropriate feeding practices represent a major obstacle to children's health, preventing them from achieving and maintaining good health (Lipman &amp; Boyle, 2003).</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 sub-Saharan Africa, malnutrition has long been a persistent problem affecting young children. In the Democratic Republic of Congo (DRC), despite efforts made, more than 66% of children under two years receive complementary feeding insufficient in quality and quantity. According to the MICS-Palu 2017-2018 survey, only 54% of women practice exclusive breastfeeding, while minimum dietary diversity is achieved by only 15% of children aged 6-23 months (INS, 2018).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In Burundi, 69% of infants under six months benefit from exclusive breastfeeding, an increase from 44.7% in 2005 (EDS, 2016-2017). The rate of introduction of complementary feeding at 6 months reaches 70%, and 76% of children receive continued breastfeeding up to 24 months. Furthermore, 74% of mothers start breastfeeding within the first hour after birth (2009 Survey). Despite progress, child feeding in Burundi after six months remains often insufficient in quantity and quality. According to the UNICEF CAP survey (2010), only 32.9% of children under two years receive three meals per day, and dietary diversity is low, especially in rural areas. Consumption of animal proteins is limited, with only 7% of children receiving meat, 4.8% eggs, and 6% dairy products. Meals are mainly composed of grains, roots, tubers, fruits, and vegetables (UNICEF, 2010). Maternal knowledge and practices regarding infant feeding are essential for improving children's nutritional health in the country. A national nutrition situation survey in Burundi revealed that breastfeeding is widely practiced, with 98.6% of children having been breastfed. However, only 83.6% of children under six months benefit from exclusive breastfeeding, indicating that many also consume other foods or drinks (EDS, 2016-2017).</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Based on</w:t>
      </w:r>
      <w:r w:rsidR="0056146B">
        <w:rPr>
          <w:rFonts w:ascii="Times New Roman" w:eastAsia="MS Gothic" w:hAnsi="Times New Roman" w:cs="Times New Roman"/>
          <w:sz w:val="24"/>
          <w:szCs w:val="24"/>
        </w:rPr>
        <w:t xml:space="preserve"> knowledge</w:t>
      </w:r>
      <w:r w:rsidRPr="007D2A8C">
        <w:rPr>
          <w:rFonts w:ascii="Times New Roman" w:eastAsia="Times New Roman" w:hAnsi="Times New Roman" w:cs="Times New Roman"/>
          <w:sz w:val="24"/>
          <w:szCs w:val="24"/>
        </w:rPr>
        <w:t xml:space="preserve"> gaps, we wanted to conduct a study on maternal KAP on infant feeding to address the immediate problems of malnutrition and establish a solid foundation useful for children's future development.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1.3 Research Questions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What are the levels of knowledge, attitudes and practices of mothers attending MUSEMA Health Center regarding infant feeding?</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1.4 Hypotheses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increase in malnutrition cases among infants living in the responsibility area of MUSEMA Health Center would be due to low knowledge, attitudes and practices of mothers regarding infant feeding.</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1.5 Study Objectives</w:t>
      </w:r>
    </w:p>
    <w:p w:rsidR="007D2A8C" w:rsidRPr="007D2A8C" w:rsidRDefault="007D2A8C" w:rsidP="007D2A8C">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1.5.1 General Objective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To assess the knowledge, attitudes and practices of mothers of children aged 6-23 months attending the vaccination service at MUSEMA Health Center regarding infant feeding to improve children's nutritional status.</w:t>
      </w:r>
    </w:p>
    <w:p w:rsidR="007D2A8C" w:rsidRPr="007D2A8C" w:rsidRDefault="007D2A8C" w:rsidP="007D2A8C">
      <w:pPr>
        <w:shd w:val="clear" w:color="auto" w:fill="FFFFFF"/>
        <w:spacing w:before="240" w:after="120" w:line="360" w:lineRule="auto"/>
        <w:jc w:val="both"/>
        <w:outlineLvl w:val="3"/>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1.5.2 Specific Objectives</w:t>
      </w:r>
    </w:p>
    <w:p w:rsidR="007D2A8C" w:rsidRPr="007D2A8C" w:rsidRDefault="007D2A8C" w:rsidP="007D2A8C">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Determine the demographic and economic characteristics of mothers attending MUSEMA Health Center;</w:t>
      </w:r>
    </w:p>
    <w:p w:rsidR="007D2A8C" w:rsidRPr="007D2A8C" w:rsidRDefault="007D2A8C" w:rsidP="007D2A8C">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Determine the level of knowledge of mothers attending MUSEMA Health Center regarding infant feeding;</w:t>
      </w:r>
    </w:p>
    <w:p w:rsidR="007D2A8C" w:rsidRPr="007D2A8C" w:rsidRDefault="007D2A8C" w:rsidP="007D2A8C">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Analyze the attitudes and practices of mothers attending MUSEMA Health Center regarding infant feeding.</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 MATERIALS AND METHODS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2.1 Study Location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Our work was conducted at MUSEMA Health Center, MUSEMA Health District, KAYANZA Health Province. It is located precisely in </w:t>
      </w:r>
      <w:proofErr w:type="spellStart"/>
      <w:r w:rsidRPr="007D2A8C">
        <w:rPr>
          <w:rFonts w:ascii="Times New Roman" w:eastAsia="Times New Roman" w:hAnsi="Times New Roman" w:cs="Times New Roman"/>
          <w:sz w:val="24"/>
          <w:szCs w:val="24"/>
        </w:rPr>
        <w:t>Butaganzwa</w:t>
      </w:r>
      <w:proofErr w:type="spellEnd"/>
      <w:r w:rsidRPr="007D2A8C">
        <w:rPr>
          <w:rFonts w:ascii="Times New Roman" w:eastAsia="Times New Roman" w:hAnsi="Times New Roman" w:cs="Times New Roman"/>
          <w:sz w:val="24"/>
          <w:szCs w:val="24"/>
        </w:rPr>
        <w:t xml:space="preserve"> Commune, 35 km from the urban center of </w:t>
      </w:r>
      <w:proofErr w:type="spellStart"/>
      <w:r w:rsidRPr="007D2A8C">
        <w:rPr>
          <w:rFonts w:ascii="Times New Roman" w:eastAsia="Times New Roman" w:hAnsi="Times New Roman" w:cs="Times New Roman"/>
          <w:sz w:val="24"/>
          <w:szCs w:val="24"/>
        </w:rPr>
        <w:t>Kayanza</w:t>
      </w:r>
      <w:proofErr w:type="spellEnd"/>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2.2 Study Type, Location and Period</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This was an analytical cross-sectional study conducted on mothers of children aged 6 to 23 months attending the vaccination service at MUSEMA Health Center from July 2 to September 2, 2024.</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2.3 Target Population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target population consisted of all women attending MUSEMA Health Center in the vaccination services during the study period.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2.4 Inclusion Criteria</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All mothers of children aged 6-23 months attending the vaccination service who agreed to answer our questionnaire were included.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2.5 Non-inclusion Criteria</w:t>
      </w:r>
    </w:p>
    <w:p w:rsidR="007D2A8C" w:rsidRPr="007D2A8C" w:rsidRDefault="007D2A8C" w:rsidP="007D2A8C">
      <w:pPr>
        <w:pStyle w:val="ListParagraph"/>
        <w:numPr>
          <w:ilvl w:val="0"/>
          <w:numId w:val="7"/>
        </w:numPr>
        <w:shd w:val="clear" w:color="auto" w:fill="FFFFFF"/>
        <w:spacing w:before="100" w:beforeAutospacing="1" w:after="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Any mother of a child aged 6-23 months who attended services other than vaccination;</w:t>
      </w:r>
    </w:p>
    <w:p w:rsidR="007D2A8C" w:rsidRPr="007D2A8C" w:rsidRDefault="007D2A8C" w:rsidP="007D2A8C">
      <w:pPr>
        <w:pStyle w:val="ListParagraph"/>
        <w:numPr>
          <w:ilvl w:val="0"/>
          <w:numId w:val="7"/>
        </w:numPr>
        <w:shd w:val="clear" w:color="auto" w:fill="FFFFFF"/>
        <w:spacing w:before="100" w:beforeAutospacing="1" w:after="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Any woman who refused to answer our questions.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2.6 Sample Size Determination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The sampling frame consisted of all mothers with children aged 6-23 months who attended the vaccination service at MUSEMA Health Center during the study period. A total of 157 mothers were found, of which 132 met the inclusion criteria. The sample size was calculated using the </w:t>
      </w:r>
      <w:proofErr w:type="spellStart"/>
      <w:r w:rsidRPr="007D2A8C">
        <w:rPr>
          <w:rFonts w:ascii="Times New Roman" w:eastAsia="Times New Roman" w:hAnsi="Times New Roman" w:cs="Times New Roman"/>
          <w:sz w:val="24"/>
          <w:szCs w:val="24"/>
        </w:rPr>
        <w:t>Krejcie</w:t>
      </w:r>
      <w:proofErr w:type="spellEnd"/>
      <w:r w:rsidRPr="007D2A8C">
        <w:rPr>
          <w:rFonts w:ascii="Times New Roman" w:eastAsia="Times New Roman" w:hAnsi="Times New Roman" w:cs="Times New Roman"/>
          <w:sz w:val="24"/>
          <w:szCs w:val="24"/>
        </w:rPr>
        <w:t xml:space="preserve"> and Morgan formula (1970), yielding a sample size of 98 mothers.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2.7 Sampling Technique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Simple random sampling was used to select mothers at the vaccination service.</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2.8 Data Collection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Data were collected using a structured questionnaire configured with </w:t>
      </w:r>
      <w:proofErr w:type="spellStart"/>
      <w:r w:rsidRPr="007D2A8C">
        <w:rPr>
          <w:rFonts w:ascii="Times New Roman" w:eastAsia="Times New Roman" w:hAnsi="Times New Roman" w:cs="Times New Roman"/>
          <w:sz w:val="24"/>
          <w:szCs w:val="24"/>
        </w:rPr>
        <w:t>Kobocollect</w:t>
      </w:r>
      <w:proofErr w:type="spellEnd"/>
      <w:r w:rsidRPr="007D2A8C">
        <w:rPr>
          <w:rFonts w:ascii="Times New Roman" w:eastAsia="Times New Roman" w:hAnsi="Times New Roman" w:cs="Times New Roman"/>
          <w:sz w:val="24"/>
          <w:szCs w:val="24"/>
        </w:rPr>
        <w:t xml:space="preserve"> software and downloaded to a smartphone. A pre-test was conducted with 10 women at NINGA Health Center to correct errors and make the questionnaire understandable. The questionnaire was developed in French and translated into the local language.</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2.9 Data Processing and Analysis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Data were encoded and analyzed using SPSS version 20. Descriptive analysis generated frequencies for qualitative variables. The Chi-square test was used for bivariate analysis of qualitative variables with a significance threshold of p &lt; 0.05. Fisher's exact test was used for variables with fewer than 5 observations.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2.10 Ethical Considerations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Administrative authorities of MUSEMA Health Center were informed of the study's merits and interest. All mothers were informed of the nature and objectives of the study. Ethical principles regarding free and informed consent, anonymity, and confidentiality were respected.</w:t>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3. RESULTS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3.1 Socio-demographic Characteristics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1. Socio-demographic characteristics of surveyed mothers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1996"/>
        <w:gridCol w:w="1663"/>
        <w:gridCol w:w="1809"/>
      </w:tblGrid>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Characteristic</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Frequency (n)</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Percentage (%)</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Age</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Less than 30 years</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44</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44.9</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30 years and older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55.1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Occupation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Farmer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81.6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Trader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Civil servant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Education level</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Primary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70.4</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Secondary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University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Marital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Married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84.7</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Single</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15.3</w:t>
            </w: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results show that 55.1% of respondents were under 30 years old. The mean age was 31.06 years (range: 21-42 years); 81.6% were farmers; 70.4% had primary education; 84.7% were married.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3.2 Child Characteristics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2. Characteristics of children aged 6-23 months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1943"/>
        <w:gridCol w:w="1663"/>
        <w:gridCol w:w="1809"/>
      </w:tblGrid>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Characteristic</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Frequency (n)</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Percentage (%)</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Number of children under 2 years</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66</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67.3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32.7</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6-12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48.0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13-23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52.0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sex</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Female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39.8</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weight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6-9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65.3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10-13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34.7</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31.6</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67</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68.4</w:t>
            </w: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results show that 67.3% have only one child under two years. Regarding child age, 52% of children were between 13-23 months, and the male sex was dominant with 60.2%. Furthermore, 65.3% of children weighed 6-9 kg, and 31.6% of children were malnourished.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3.3 Maternal Knowledge, Attitudes and Practices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3. Maternal KAP levels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1416"/>
        <w:gridCol w:w="1569"/>
        <w:gridCol w:w="1689"/>
      </w:tblGrid>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KAP 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Level</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Frequency (n)</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Percentage (%)</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Knowledge</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Sufficient</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42</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42.9</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Insufficient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57.1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Attitudes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Favorable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40.8</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Unfavorable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59.2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Practices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Good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39.8</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Poor</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59</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60.2</w:t>
            </w: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results show that 57.1% of surveyed mothers had insufficient knowledge about infant feeding, 59.2% had unfavorable attitudes, and 60.2% had poor practices.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3.4 Factors Associated with Maternal Knowledge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4. Factors associated with maternal knowledge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2058"/>
        <w:gridCol w:w="1684"/>
        <w:gridCol w:w="1314"/>
        <w:gridCol w:w="892"/>
      </w:tblGrid>
      <w:tr w:rsidR="007D2A8C" w:rsidRPr="007D2A8C" w:rsidTr="007D2A8C">
        <w:trPr>
          <w:gridAfter w:val="1"/>
        </w:trPr>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Characteristic</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Knowledge Level</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p-value</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Insufficient</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Sufficient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Mother's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(75.0%)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(25.0%)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(42.6%)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31 (57.4%)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Education level</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Primary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46 (66.7%)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(33.3%)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Secondary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 (0.0%)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(100.0%)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University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(66.7%)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 (33.3%)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Children under 2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0.040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(71.9%)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(28.1%)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(77.4%)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(22.6%)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32 (47.8%)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35 (52.2%)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Age of complementary feeding introduction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4-5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(62.5%)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(37.5%)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36 (65.5%)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19 (34.5%)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 (26.3%)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(73.7%)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Cause of malnutrition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Food insufficiency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52 (70.3%)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22 (29.7%)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Diseases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 (28.6%)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(73.4%)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Time to start first breastfeeding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Within 1 hour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(35.7%)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27 (64.3%)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Immediately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41 (73.2%)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(26.7%)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Drinking water treatment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50 (64.1%)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28 (35.9%)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(30.0%)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(70.0%)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Drinking water source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Improved spring water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53 (60.2%)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35 (39.8%)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Tap water</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 (30.0%)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(70.0%)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After statistical analysis using Fisher's exact test and Pearson's Chi-square test, the following variables were significantly associated with maternal knowledge on infant feeding: mother's age, education level, number of children under 2 years, child's nutritional status, age of complementary feeding introduction, cause of malnutrition, time to start first breastfeeding, drinking water treatment, and drinking water sources.</w:t>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3.5 Factors Associated with Maternal Attitudes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5. Factors associated with maternal attitudes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gridCol w:w="1895"/>
        <w:gridCol w:w="1416"/>
        <w:gridCol w:w="1176"/>
        <w:gridCol w:w="1098"/>
      </w:tblGrid>
      <w:tr w:rsidR="007D2A8C" w:rsidRPr="007D2A8C" w:rsidTr="007D2A8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Characteristic</w:t>
            </w:r>
          </w:p>
        </w:t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Category</w:t>
            </w:r>
          </w:p>
        </w:tc>
        <w:tc>
          <w:tcPr>
            <w:tcW w:w="2510" w:type="dxa"/>
            <w:gridSpan w:val="2"/>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Attitudes</w:t>
            </w:r>
          </w:p>
        </w:tc>
        <w:tc>
          <w:tcPr>
            <w:tcW w:w="1098" w:type="dxa"/>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p-value</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Unfavorable</w:t>
            </w:r>
          </w:p>
        </w:tc>
        <w:tc>
          <w:tcPr>
            <w:tcW w:w="1094" w:type="dxa"/>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Favorable</w:t>
            </w:r>
          </w:p>
        </w:tc>
        <w:tc>
          <w:tcPr>
            <w:tcW w:w="1098" w:type="dxa"/>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Mother's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(45.5%)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(54.5%)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38 (70.4%)</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(29.6%)</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Education level</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Primary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46 (66.7%)</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(33.3%)</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0.020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Secondary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 (28.6%)</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(71.4%)</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University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 (53.3%)</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(46.7%)</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sex</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Female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17 (43.6%)</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22 (56.4%)</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41 (69.5%)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18 (30.5%)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25 (80.7%)</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(19.3%)</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(49.3%)</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 (50.7%)</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Possession of vegetable garden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(45.5%)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(54.5%)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38 (70.4%)</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(29.6%)</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Advantages of EBF</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45 (73.8%)</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(26.2%)</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(35.1%)</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(64.9%)</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Age of complementary feeding introduction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4-5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 (50.0%)</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 (50.0%)</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0.019</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 (70.9%)</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(29.1%)</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(36.8%)</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 (63.2%)</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Cause of malnutrition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Food insufficiency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55 (65.5%)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29 (34.5%)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Diseases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 (21.4%)</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(78.6%)</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Time to start first breastfeeding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Within 1 hour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17 (40.5%)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25 (59.5%)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Immediately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41 (73.2%)</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(26.7%)</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Handwashing equipment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None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 (17.6%)</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(82.4%)</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Soap</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55 (67.9%)</w:t>
            </w:r>
          </w:p>
        </w:tc>
        <w:tc>
          <w:tcPr>
            <w:tcW w:w="1094" w:type="dxa"/>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(32.1%)</w:t>
            </w:r>
          </w:p>
        </w:tc>
        <w:tc>
          <w:tcPr>
            <w:tcW w:w="1098" w:type="dxa"/>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attitudes included: mother's age, education level, child's sex, child's nutritional status, possession of a vegetable garden, knowledge of exclusive breastfeeding advantages, age of complementary feeding introduction, cause of malnutrition, timing of first breastfeeding, and handwashing equipment.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3.6 Factors Associated with Maternal Practices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6. Factors associated with maternal practices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1943"/>
        <w:gridCol w:w="1296"/>
        <w:gridCol w:w="1296"/>
        <w:gridCol w:w="977"/>
      </w:tblGrid>
      <w:tr w:rsidR="007D2A8C" w:rsidRPr="007D2A8C" w:rsidTr="007D2A8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Characteristic</w:t>
            </w:r>
          </w:p>
        </w:t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Category</w:t>
            </w:r>
          </w:p>
        </w:t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Practices</w:t>
            </w:r>
          </w:p>
        </w:tc>
        <w:tc>
          <w:tcPr>
            <w:tcW w:w="0" w:type="auto"/>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sz w:val="24"/>
                <w:szCs w:val="24"/>
              </w:rPr>
              <w:t>p-value</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Poor</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Good</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Mother's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(75.0%)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(25.0%)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(48.2%)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28 (51.8%)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Children under 2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(81.3%)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(18.7%)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weight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6-9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44 (68.7%)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(31.3%)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0.017</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10-13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(44.1%)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19 (55.9%)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(83.9%)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 (16.1%)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(49.3%)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 (50.7%)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Animal husbandry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 (38.1%)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(61.9%)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0.020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51 (66.2%)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(33.8%)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Sufficient agricultural fields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(46.5%)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(53.5%)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0.014</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 (70.9%)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Cultivable area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0.5 ha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(37.9%)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18 (62.1%)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0.014</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0.5-1 ha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(70.0%)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(30.0%)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1 ha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 (69.4%)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(30.6%)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Advantages of EBF</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48 (78.7%)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(21.3%)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(27.0%)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27 (73.0%)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Drinking water treatment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57 (73.1%)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21 (26.9%)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 (10.0%)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18 (90.0%)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practices included: mother's age, number of children under 2 years, child's weight, child's nutritional status, animal husbandry, sufficient agricultural fields, cultivable area, knowledge of exclusive breastfeeding advantages, and drinking water treatment.</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 DISCUSSION</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4.1 Child Sex</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In our series, the male sex was the most represented with 60.2%. Our results are similar to those of Diarra (2020) where the male sex was most represented with 60% of cases with a sex ratio of 1.5. Our results are also comparable to those of </w:t>
      </w:r>
      <w:proofErr w:type="spellStart"/>
      <w:r w:rsidRPr="007D2A8C">
        <w:rPr>
          <w:rFonts w:ascii="Times New Roman" w:eastAsia="Times New Roman" w:hAnsi="Times New Roman" w:cs="Times New Roman"/>
          <w:sz w:val="24"/>
          <w:szCs w:val="24"/>
        </w:rPr>
        <w:t>Biétéké</w:t>
      </w:r>
      <w:proofErr w:type="spellEnd"/>
      <w:r w:rsidRPr="007D2A8C">
        <w:rPr>
          <w:rFonts w:ascii="Times New Roman" w:eastAsia="Times New Roman" w:hAnsi="Times New Roman" w:cs="Times New Roman"/>
          <w:sz w:val="24"/>
          <w:szCs w:val="24"/>
        </w:rPr>
        <w:t xml:space="preserve"> (2014) and </w:t>
      </w:r>
      <w:proofErr w:type="spellStart"/>
      <w:r w:rsidRPr="007D2A8C">
        <w:rPr>
          <w:rFonts w:ascii="Times New Roman" w:eastAsia="Times New Roman" w:hAnsi="Times New Roman" w:cs="Times New Roman"/>
          <w:sz w:val="24"/>
          <w:szCs w:val="24"/>
        </w:rPr>
        <w:t>Fosto</w:t>
      </w:r>
      <w:proofErr w:type="spellEnd"/>
      <w:r w:rsidRPr="007D2A8C">
        <w:rPr>
          <w:rFonts w:ascii="Times New Roman" w:eastAsia="Times New Roman" w:hAnsi="Times New Roman" w:cs="Times New Roman"/>
          <w:sz w:val="24"/>
          <w:szCs w:val="24"/>
        </w:rPr>
        <w:t xml:space="preserve"> </w:t>
      </w:r>
      <w:proofErr w:type="spellStart"/>
      <w:r w:rsidRPr="007D2A8C">
        <w:rPr>
          <w:rFonts w:ascii="Times New Roman" w:eastAsia="Times New Roman" w:hAnsi="Times New Roman" w:cs="Times New Roman"/>
          <w:sz w:val="24"/>
          <w:szCs w:val="24"/>
        </w:rPr>
        <w:t>Mefo</w:t>
      </w:r>
      <w:proofErr w:type="spellEnd"/>
      <w:r w:rsidRPr="007D2A8C">
        <w:rPr>
          <w:rFonts w:ascii="Times New Roman" w:eastAsia="Times New Roman" w:hAnsi="Times New Roman" w:cs="Times New Roman"/>
          <w:sz w:val="24"/>
          <w:szCs w:val="24"/>
        </w:rPr>
        <w:t xml:space="preserve"> (2010) who found male predominance of 59.4% and 51.5% respectively.</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4.2 Child Age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Regarding child age, 52% of children were between 13 and 23 months. Children aged 12-23 months were the most represented at 46% of cases. The mean age was 26.7±12.6 months (range: 6-59 months). These results differ from those of Dembélé (2019) who found a female predominance (53.2%) with children aged 12-23 months also being the most represented (45.9%).</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4.3 Characteristics of Surveyed Mothers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Our series shows that 55.1% of respondents were under 30 years old. The mean age was 31.06 years (range: 21-42 years). These results are similar to those of Diarra (2020), where the 21-30 age group was most represented (55.65%). Regarding occupation, 81.6% of mothers were farmers and 70.4% had primary education. Regarding marital status, 84.7% were married and 67.3% had only one child under two years. Our results are higher than those of Diarra (2010) where primary education level represented 40% of cases. The large majority of mothers were married (80.6%) and 63% were educated. The difference in education level can be explained by the rural setting of our study.</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4.4 Maternal Knowledge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We found that 57.1% of surveyed mothers had insufficient knowledge about infant feeding. More than half of mothers have significant gaps in their knowledge about infant feeding. This situation is concerning because insufficient understanding of infants' nutritional needs often contributes to inappropriate practices, such as early or late introduction of complementary foods, or non-adoption of exclusive breastfeeding (WHO, 2021; Black et al., 2013).</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Our results are close to those found in Niger by </w:t>
      </w:r>
      <w:proofErr w:type="spellStart"/>
      <w:r w:rsidRPr="007D2A8C">
        <w:rPr>
          <w:rFonts w:ascii="Times New Roman" w:eastAsia="Times New Roman" w:hAnsi="Times New Roman" w:cs="Times New Roman"/>
          <w:sz w:val="24"/>
          <w:szCs w:val="24"/>
        </w:rPr>
        <w:t>Elh</w:t>
      </w:r>
      <w:proofErr w:type="spellEnd"/>
      <w:r w:rsidRPr="007D2A8C">
        <w:rPr>
          <w:rFonts w:ascii="Times New Roman" w:eastAsia="Times New Roman" w:hAnsi="Times New Roman" w:cs="Times New Roman"/>
          <w:sz w:val="24"/>
          <w:szCs w:val="24"/>
        </w:rPr>
        <w:t xml:space="preserve"> Ousmane (2017) and Ibrahim (2016) where up to 57.6% of breastfeeding women and 60.5% of women knew the ideal age for introducing complementary foods. Our results are lower than those of </w:t>
      </w:r>
      <w:proofErr w:type="spellStart"/>
      <w:r w:rsidRPr="007D2A8C">
        <w:rPr>
          <w:rFonts w:ascii="Times New Roman" w:eastAsia="Times New Roman" w:hAnsi="Times New Roman" w:cs="Times New Roman"/>
          <w:sz w:val="24"/>
          <w:szCs w:val="24"/>
        </w:rPr>
        <w:t>Mounkaïla</w:t>
      </w:r>
      <w:proofErr w:type="spellEnd"/>
      <w:r w:rsidRPr="007D2A8C">
        <w:rPr>
          <w:rFonts w:ascii="Times New Roman" w:eastAsia="Times New Roman" w:hAnsi="Times New Roman" w:cs="Times New Roman"/>
          <w:sz w:val="24"/>
          <w:szCs w:val="24"/>
        </w:rPr>
        <w:t xml:space="preserve"> et al. (2022), where 64.2% of mothers had knowledge about the age at which babies should receive foods other than breast milk. Regarding knowledge of the age of introduction of complementary foods, we found 56.1%. Although this proportion is relatively high, it does not guarantee that these mothers actually apply this knowledge.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knowledge included: mother's age, education level, number of children under 2 years, child's nutritional status, age of complementary feeding introduction, cause of malnutrition, timing of first breastfeeding, drinking water treatment, and drinking water sources.</w:t>
      </w:r>
    </w:p>
    <w:p w:rsid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br w:type="page"/>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4.5 Maternal Attitudes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high proportion of mothers (59.2%) with unfavorable attitudes regarding infant feeding is a worrying indicator, as this can negatively affect children's growth, health, and development. Unfavorable attitudes may include early introduction of solid foods or inappropriate liquids, non-respect of exclusive breastfeeding, or limited understanding of infants' nutritional needs.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Our results are higher than those of </w:t>
      </w:r>
      <w:proofErr w:type="spellStart"/>
      <w:r w:rsidRPr="007D2A8C">
        <w:rPr>
          <w:rFonts w:ascii="Times New Roman" w:eastAsia="Times New Roman" w:hAnsi="Times New Roman" w:cs="Times New Roman"/>
          <w:sz w:val="24"/>
          <w:szCs w:val="24"/>
        </w:rPr>
        <w:t>Mounkaïla</w:t>
      </w:r>
      <w:proofErr w:type="spellEnd"/>
      <w:r w:rsidRPr="007D2A8C">
        <w:rPr>
          <w:rFonts w:ascii="Times New Roman" w:eastAsia="Times New Roman" w:hAnsi="Times New Roman" w:cs="Times New Roman"/>
          <w:sz w:val="24"/>
          <w:szCs w:val="24"/>
        </w:rPr>
        <w:t xml:space="preserve"> et al. (2022) where 47.8% of mothers had the habit of feeding their children during fixed meal times. This could be explained by non-compliance with given advice or insufficient sensitization. Poverty and lack of access to quality food often contribute to inadequate feeding practices. The low level of maternal knowledge about the importance of appropriate feeding is often linked to insufficient access to educational and health promotion programs.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attitudes included: mother's age, education level, child's sex, child's nutritional status, possession of a vegetable garden, knowledge of exclusive breastfeeding advantages, age of complementary feeding introduction, cause of malnutrition, timing of first breastfeeding, and handwashing equipment.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4.6 Maternal Practices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Regarding practices, 60.2% had poor practices related to infant feeding. Survey results showed that 100% of children were breastfed before 6 months. However, only 11.7% were exclusively breastfed. These results are significantly lower than those obtained by Molo in Mali and Ibrahim in Niger who found 42.4% and 22.5% of exclusively breastfed children respectively.</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Exclusive breastfeeding is recommended during the first six months of the child's life. This means that the infant should receive only breast milk, which contains all the nutrients necessary for development, even in cases of extreme heat. Breast milk is also the safest source of hydration and reduces the risk of diarrhea and other infections (WHO, 2023). The fact that 100% of children were breastfed before six months is encouraging, but this rate does not necessarily reflect the quality of breastfeeding practices, as a high proportion of mothers (60.2%) adopt practices considered inadequate (WHO, 2021).</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Variables significantly associated with maternal practices included: mother's age, number of children under 2 years, child's weight, child's nutritional status, animal husbandry, sufficient agricultural fields, cultivable area, knowledge of exclusive breastfeeding advantages, and drinking water treatment.</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5. CONCLUSION AND RECOMMENDATIONS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5.1 Conclusion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This study aimed to assess the knowledge, attitudes and practices of mothers attending the vaccination service at MUSEMA Health Center regarding infant feeding. This was an analytical cross-sectional study conducted on 98 mothers of children aged 6-23 months from July 2 to September 2, 2024.</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research results show that 57.1% of surveyed mothers had insufficient knowledge about infant feeding, 59.2% had unfavorable attitudes, and 60.2% had poor practices.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knowledge included mother's age, education level, number of children under 2 years, child's nutritional status, age of complementary feeding introduction, cause of malnutrition, timing of first breastfeeding, drinking water treatment, and drinking water sources.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attitudes included mother's age, education level, child's sex, child's nutritional status, possession of a vegetable garden, advantages of exclusive breastfeeding, age of complementary feeding introduction, cause of malnutrition, timing of first breastfeeding, and handwashing equipment.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practices included mother's age, number of children under 2 years, child's weight, child's nutritional status, animal husbandry, sufficient agricultural fields, cultivable area, advantages of exclusive breastfeeding, and drinking water treatment.</w:t>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5.2 Recommendations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To improve mothers' knowledge, attitudes and practices regarding infant feeding, the following recommendations are formulated:</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the Ministry of Public Health and AIDS Control (MSPLS):</w:t>
      </w:r>
    </w:p>
    <w:p w:rsidR="007D2A8C" w:rsidRPr="007D2A8C" w:rsidRDefault="007D2A8C" w:rsidP="007D2A8C">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Employ at least one nutritionist in each vaccination service;</w:t>
      </w:r>
    </w:p>
    <w:p w:rsidR="007D2A8C" w:rsidRPr="007D2A8C" w:rsidRDefault="007D2A8C" w:rsidP="007D2A8C">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Continue to fund sensitization activities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Vaccination Service Providers:</w:t>
      </w:r>
    </w:p>
    <w:p w:rsidR="007D2A8C" w:rsidRPr="007D2A8C" w:rsidRDefault="007D2A8C" w:rsidP="007D2A8C">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Regularly provide health education on infant feeding;</w:t>
      </w:r>
    </w:p>
    <w:p w:rsidR="007D2A8C" w:rsidRPr="007D2A8C" w:rsidRDefault="007D2A8C" w:rsidP="007D2A8C">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Regularly take anthropometric measurements of infants;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Community Health Workers:</w:t>
      </w:r>
    </w:p>
    <w:p w:rsidR="007D2A8C" w:rsidRPr="007D2A8C" w:rsidRDefault="007D2A8C" w:rsidP="007D2A8C">
      <w:pPr>
        <w:numPr>
          <w:ilvl w:val="0"/>
          <w:numId w:val="5"/>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Conduct regular culinary demonstrations;</w:t>
      </w:r>
    </w:p>
    <w:p w:rsidR="007D2A8C" w:rsidRPr="007D2A8C" w:rsidRDefault="007D2A8C" w:rsidP="007D2A8C">
      <w:pPr>
        <w:numPr>
          <w:ilvl w:val="0"/>
          <w:numId w:val="5"/>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Ensure proper follow-up of FAN and FARN (Nutritional Learning Centers);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Mothers:</w:t>
      </w:r>
    </w:p>
    <w:p w:rsidR="007D2A8C" w:rsidRPr="007D2A8C" w:rsidRDefault="007D2A8C" w:rsidP="007D2A8C">
      <w:pPr>
        <w:numPr>
          <w:ilvl w:val="0"/>
          <w:numId w:val="6"/>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Breastfeed the baby within the first minutes after delivery;</w:t>
      </w:r>
    </w:p>
    <w:p w:rsidR="007D2A8C" w:rsidRPr="007D2A8C" w:rsidRDefault="007D2A8C" w:rsidP="007D2A8C">
      <w:pPr>
        <w:numPr>
          <w:ilvl w:val="0"/>
          <w:numId w:val="6"/>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Exclusively breastfeed for the first 6 months of life;</w:t>
      </w:r>
    </w:p>
    <w:p w:rsidR="007D2A8C" w:rsidRPr="007D2A8C" w:rsidRDefault="007D2A8C" w:rsidP="007D2A8C">
      <w:pPr>
        <w:numPr>
          <w:ilvl w:val="0"/>
          <w:numId w:val="6"/>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Introduce complementary foods from the 6th month of life;</w:t>
      </w:r>
    </w:p>
    <w:p w:rsidR="007D2A8C" w:rsidRPr="007D2A8C" w:rsidRDefault="007D2A8C" w:rsidP="007D2A8C">
      <w:pPr>
        <w:numPr>
          <w:ilvl w:val="0"/>
          <w:numId w:val="6"/>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Establish a vegetable garden.</w:t>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bookmarkStart w:id="0" w:name="_GoBack"/>
      <w:bookmarkEnd w:id="0"/>
      <w:r w:rsidRPr="007D2A8C">
        <w:rPr>
          <w:rFonts w:ascii="Times New Roman" w:eastAsia="Times New Roman" w:hAnsi="Times New Roman" w:cs="Times New Roman"/>
          <w:b/>
          <w:bCs/>
          <w:sz w:val="24"/>
          <w:szCs w:val="24"/>
        </w:rPr>
        <w:lastRenderedPageBreak/>
        <w:t>REFERENCES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Black, R. E., Victora, C. G., Walker, S. P., Bhutta, Z. A., Christian, P., de Onis, M., ... &amp; </w:t>
      </w:r>
      <w:proofErr w:type="spellStart"/>
      <w:r w:rsidRPr="007D2A8C">
        <w:rPr>
          <w:rFonts w:ascii="Times New Roman" w:eastAsia="Times New Roman" w:hAnsi="Times New Roman" w:cs="Times New Roman"/>
          <w:sz w:val="24"/>
          <w:szCs w:val="24"/>
        </w:rPr>
        <w:t>Uauy</w:t>
      </w:r>
      <w:proofErr w:type="spellEnd"/>
      <w:r w:rsidRPr="007D2A8C">
        <w:rPr>
          <w:rFonts w:ascii="Times New Roman" w:eastAsia="Times New Roman" w:hAnsi="Times New Roman" w:cs="Times New Roman"/>
          <w:sz w:val="24"/>
          <w:szCs w:val="24"/>
        </w:rPr>
        <w:t>, R. (2013). Maternal and child undernutrition and overweight in low-income and middle-income countries. </w:t>
      </w:r>
      <w:r w:rsidRPr="007D2A8C">
        <w:rPr>
          <w:rFonts w:ascii="Times New Roman" w:eastAsia="Times New Roman" w:hAnsi="Times New Roman" w:cs="Times New Roman"/>
          <w:i/>
          <w:iCs/>
          <w:sz w:val="24"/>
          <w:szCs w:val="24"/>
        </w:rPr>
        <w:t>The Lancet</w:t>
      </w:r>
      <w:r w:rsidRPr="007D2A8C">
        <w:rPr>
          <w:rFonts w:ascii="Times New Roman" w:eastAsia="Times New Roman" w:hAnsi="Times New Roman" w:cs="Times New Roman"/>
          <w:sz w:val="24"/>
          <w:szCs w:val="24"/>
        </w:rPr>
        <w:t>, 382(9890), 427-451. </w:t>
      </w:r>
      <w:hyperlink r:id="rId7" w:tgtFrame="_blank" w:history="1">
        <w:r w:rsidRPr="007D2A8C">
          <w:rPr>
            <w:rFonts w:ascii="Times New Roman" w:eastAsia="Times New Roman" w:hAnsi="Times New Roman" w:cs="Times New Roman"/>
            <w:sz w:val="24"/>
            <w:szCs w:val="24"/>
            <w:bdr w:val="single" w:sz="12" w:space="0" w:color="auto" w:frame="1"/>
          </w:rPr>
          <w:t>https://doi.org/10.1016/S0140-6736(13)60937-X</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rPr>
        <w:t>Dembélé, M. H. (2020). </w:t>
      </w:r>
      <w:r w:rsidRPr="007D2A8C">
        <w:rPr>
          <w:rFonts w:ascii="Times New Roman" w:eastAsia="Times New Roman" w:hAnsi="Times New Roman" w:cs="Times New Roman"/>
          <w:i/>
          <w:iCs/>
          <w:sz w:val="24"/>
          <w:szCs w:val="24"/>
          <w:lang w:val="fr-FR"/>
        </w:rPr>
        <w:t xml:space="preserve">Connaissance des mères sur les pratiques alimentaires des enfants de moins de 05 ans après la mise en œuvre du projet Prevention Of Malnutrition </w:t>
      </w:r>
      <w:proofErr w:type="spellStart"/>
      <w:r w:rsidRPr="007D2A8C">
        <w:rPr>
          <w:rFonts w:ascii="Times New Roman" w:eastAsia="Times New Roman" w:hAnsi="Times New Roman" w:cs="Times New Roman"/>
          <w:i/>
          <w:iCs/>
          <w:sz w:val="24"/>
          <w:szCs w:val="24"/>
          <w:lang w:val="fr-FR"/>
        </w:rPr>
        <w:t>Through</w:t>
      </w:r>
      <w:proofErr w:type="spellEnd"/>
      <w:r w:rsidRPr="007D2A8C">
        <w:rPr>
          <w:rFonts w:ascii="Times New Roman" w:eastAsia="Times New Roman" w:hAnsi="Times New Roman" w:cs="Times New Roman"/>
          <w:i/>
          <w:iCs/>
          <w:sz w:val="24"/>
          <w:szCs w:val="24"/>
          <w:lang w:val="fr-FR"/>
        </w:rPr>
        <w:t xml:space="preserve"> Integrated Services (PROMIS) dans le District Sanitaire de San</w:t>
      </w:r>
      <w:r w:rsidRPr="007D2A8C">
        <w:rPr>
          <w:rFonts w:ascii="Times New Roman" w:eastAsia="Times New Roman" w:hAnsi="Times New Roman" w:cs="Times New Roman"/>
          <w:sz w:val="24"/>
          <w:szCs w:val="24"/>
          <w:lang w:val="fr-FR"/>
        </w:rPr>
        <w:t>. Doctoral dissertation, USTTB.</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Diarra, K. H. (2020). </w:t>
      </w:r>
      <w:r w:rsidRPr="007D2A8C">
        <w:rPr>
          <w:rFonts w:ascii="Times New Roman" w:eastAsia="Times New Roman" w:hAnsi="Times New Roman" w:cs="Times New Roman"/>
          <w:i/>
          <w:iCs/>
          <w:sz w:val="24"/>
          <w:szCs w:val="24"/>
          <w:lang w:val="fr-FR"/>
        </w:rPr>
        <w:t xml:space="preserve">Connaissance des mères sur les pratiques alimentaires des enfants de moins de 05 ans après la mise en œuvre du projet Prevention Of Malnutrition </w:t>
      </w:r>
      <w:proofErr w:type="spellStart"/>
      <w:r w:rsidRPr="007D2A8C">
        <w:rPr>
          <w:rFonts w:ascii="Times New Roman" w:eastAsia="Times New Roman" w:hAnsi="Times New Roman" w:cs="Times New Roman"/>
          <w:i/>
          <w:iCs/>
          <w:sz w:val="24"/>
          <w:szCs w:val="24"/>
          <w:lang w:val="fr-FR"/>
        </w:rPr>
        <w:t>Through</w:t>
      </w:r>
      <w:proofErr w:type="spellEnd"/>
      <w:r w:rsidRPr="007D2A8C">
        <w:rPr>
          <w:rFonts w:ascii="Times New Roman" w:eastAsia="Times New Roman" w:hAnsi="Times New Roman" w:cs="Times New Roman"/>
          <w:i/>
          <w:iCs/>
          <w:sz w:val="24"/>
          <w:szCs w:val="24"/>
          <w:lang w:val="fr-FR"/>
        </w:rPr>
        <w:t xml:space="preserve"> Integrated Services (PROMIS) dans le District Sanitaire de Bla</w:t>
      </w:r>
      <w:r w:rsidRPr="007D2A8C">
        <w:rPr>
          <w:rFonts w:ascii="Times New Roman" w:eastAsia="Times New Roman" w:hAnsi="Times New Roman" w:cs="Times New Roman"/>
          <w:sz w:val="24"/>
          <w:szCs w:val="24"/>
          <w:lang w:val="fr-FR"/>
        </w:rPr>
        <w:t>. Doctoral dissertation, USTTB.</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7D2A8C">
        <w:rPr>
          <w:rFonts w:ascii="Times New Roman" w:eastAsia="Times New Roman" w:hAnsi="Times New Roman" w:cs="Times New Roman"/>
          <w:sz w:val="24"/>
          <w:szCs w:val="24"/>
          <w:lang w:val="fr-FR"/>
        </w:rPr>
        <w:t>Elh</w:t>
      </w:r>
      <w:proofErr w:type="spellEnd"/>
      <w:r w:rsidRPr="007D2A8C">
        <w:rPr>
          <w:rFonts w:ascii="Times New Roman" w:eastAsia="Times New Roman" w:hAnsi="Times New Roman" w:cs="Times New Roman"/>
          <w:sz w:val="24"/>
          <w:szCs w:val="24"/>
          <w:lang w:val="fr-FR"/>
        </w:rPr>
        <w:t xml:space="preserve"> Ousmane, B. (2017). *Connaissances, attitudes et pratiques des mères des enfants âgés de 0-24 mois en matière d'alimentation du nourrisson et du jeune enfant au district de Diffa et Maine*. Option nutrition humaine, ISP-Niger.</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Faubert, É. (2011). 28. La malnutrition dans les pays africains ou les limites structurelles des politiques de santé. In </w:t>
      </w:r>
      <w:r w:rsidRPr="007D2A8C">
        <w:rPr>
          <w:rFonts w:ascii="Times New Roman" w:eastAsia="Times New Roman" w:hAnsi="Times New Roman" w:cs="Times New Roman"/>
          <w:i/>
          <w:iCs/>
          <w:sz w:val="24"/>
          <w:szCs w:val="24"/>
          <w:lang w:val="fr-FR"/>
        </w:rPr>
        <w:t>Santé internationale</w:t>
      </w:r>
      <w:r w:rsidRPr="007D2A8C">
        <w:rPr>
          <w:rFonts w:ascii="Times New Roman" w:eastAsia="Times New Roman" w:hAnsi="Times New Roman" w:cs="Times New Roman"/>
          <w:sz w:val="24"/>
          <w:szCs w:val="24"/>
          <w:lang w:val="fr-FR"/>
        </w:rPr>
        <w:t> (pp. 377-385). Presses de Sciences Po.</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7D2A8C">
        <w:rPr>
          <w:rFonts w:ascii="Times New Roman" w:eastAsia="Times New Roman" w:hAnsi="Times New Roman" w:cs="Times New Roman"/>
          <w:sz w:val="24"/>
          <w:szCs w:val="24"/>
          <w:lang w:val="fr-FR"/>
        </w:rPr>
        <w:t>Fosto</w:t>
      </w:r>
      <w:proofErr w:type="spellEnd"/>
      <w:r w:rsidRPr="007D2A8C">
        <w:rPr>
          <w:rFonts w:ascii="Times New Roman" w:eastAsia="Times New Roman" w:hAnsi="Times New Roman" w:cs="Times New Roman"/>
          <w:sz w:val="24"/>
          <w:szCs w:val="24"/>
          <w:lang w:val="fr-FR"/>
        </w:rPr>
        <w:t xml:space="preserve"> </w:t>
      </w:r>
      <w:proofErr w:type="spellStart"/>
      <w:r w:rsidRPr="007D2A8C">
        <w:rPr>
          <w:rFonts w:ascii="Times New Roman" w:eastAsia="Times New Roman" w:hAnsi="Times New Roman" w:cs="Times New Roman"/>
          <w:sz w:val="24"/>
          <w:szCs w:val="24"/>
          <w:lang w:val="fr-FR"/>
        </w:rPr>
        <w:t>Mefo</w:t>
      </w:r>
      <w:proofErr w:type="spellEnd"/>
      <w:r w:rsidRPr="007D2A8C">
        <w:rPr>
          <w:rFonts w:ascii="Times New Roman" w:eastAsia="Times New Roman" w:hAnsi="Times New Roman" w:cs="Times New Roman"/>
          <w:sz w:val="24"/>
          <w:szCs w:val="24"/>
          <w:lang w:val="fr-FR"/>
        </w:rPr>
        <w:t>, L. P. (2010). </w:t>
      </w:r>
      <w:r w:rsidRPr="007D2A8C">
        <w:rPr>
          <w:rFonts w:ascii="Times New Roman" w:eastAsia="Times New Roman" w:hAnsi="Times New Roman" w:cs="Times New Roman"/>
          <w:i/>
          <w:iCs/>
          <w:sz w:val="24"/>
          <w:szCs w:val="24"/>
          <w:lang w:val="fr-FR"/>
        </w:rPr>
        <w:t>Connaissances et pratiques des mères en matière de nutrition et de santé chez les enfants de 6 à 59 mois dans le cercle de Bougouni</w:t>
      </w:r>
      <w:r w:rsidRPr="007D2A8C">
        <w:rPr>
          <w:rFonts w:ascii="Times New Roman" w:eastAsia="Times New Roman" w:hAnsi="Times New Roman" w:cs="Times New Roman"/>
          <w:sz w:val="24"/>
          <w:szCs w:val="24"/>
          <w:lang w:val="fr-FR"/>
        </w:rPr>
        <w:t>. Thèse de médecine, Université de Bamako.</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Ibrahim (2016). </w:t>
      </w:r>
      <w:r w:rsidRPr="007D2A8C">
        <w:rPr>
          <w:rFonts w:ascii="Times New Roman" w:eastAsia="Times New Roman" w:hAnsi="Times New Roman" w:cs="Times New Roman"/>
          <w:i/>
          <w:iCs/>
          <w:sz w:val="24"/>
          <w:szCs w:val="24"/>
          <w:lang w:val="fr-FR"/>
        </w:rPr>
        <w:t>Connaissances, attitudes et pratiques des mères ou accompagnantes des enfants en matière de l'alimentation infantile à l'HNN</w:t>
      </w:r>
      <w:r w:rsidRPr="007D2A8C">
        <w:rPr>
          <w:rFonts w:ascii="Times New Roman" w:eastAsia="Times New Roman" w:hAnsi="Times New Roman" w:cs="Times New Roman"/>
          <w:sz w:val="24"/>
          <w:szCs w:val="24"/>
          <w:lang w:val="fr-FR"/>
        </w:rPr>
        <w:t>. Option nutrition humaine, Université Abdou Moumouni-Niamey-Niger.</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Institut National de la Statistique (INS), RDC. (2018). *Enquête par grappes à indicateurs multiples, 2017-2018, rapport de résultats de l'enquête*. Kinshasa.</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Latham, M. C. (2014). </w:t>
      </w:r>
      <w:r w:rsidRPr="007D2A8C">
        <w:rPr>
          <w:rFonts w:ascii="Times New Roman" w:eastAsia="Times New Roman" w:hAnsi="Times New Roman" w:cs="Times New Roman"/>
          <w:i/>
          <w:iCs/>
          <w:sz w:val="24"/>
          <w:szCs w:val="24"/>
          <w:lang w:val="fr-FR"/>
        </w:rPr>
        <w:t>La nutrition dans les pays en développement</w:t>
      </w:r>
      <w:r w:rsidRPr="007D2A8C">
        <w:rPr>
          <w:rFonts w:ascii="Times New Roman" w:eastAsia="Times New Roman" w:hAnsi="Times New Roman" w:cs="Times New Roman"/>
          <w:sz w:val="24"/>
          <w:szCs w:val="24"/>
          <w:lang w:val="fr-FR"/>
        </w:rPr>
        <w:t>. Université de Cornell.</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lastRenderedPageBreak/>
        <w:t>Lipman, E. L., &amp; Boyle, M. H. (2003). Les obstacles aux services favorisant la santé émotive, comportementale et sociale des enfants. </w:t>
      </w:r>
      <w:r w:rsidRPr="007D2A8C">
        <w:rPr>
          <w:rFonts w:ascii="Times New Roman" w:eastAsia="Times New Roman" w:hAnsi="Times New Roman" w:cs="Times New Roman"/>
          <w:i/>
          <w:iCs/>
          <w:sz w:val="24"/>
          <w:szCs w:val="24"/>
          <w:lang w:val="fr-FR"/>
        </w:rPr>
        <w:t>Encyclopédie sur le développement des jeunes enfants</w:t>
      </w:r>
      <w:r w:rsidRPr="007D2A8C">
        <w:rPr>
          <w:rFonts w:ascii="Times New Roman" w:eastAsia="Times New Roman" w:hAnsi="Times New Roman" w:cs="Times New Roman"/>
          <w:sz w:val="24"/>
          <w:szCs w:val="24"/>
          <w:lang w:val="fr-FR"/>
        </w:rPr>
        <w:t>, 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Ministère de la Santé Publique et de la Lutte contre le Sida (MSPLS), Burundi. (2018). </w:t>
      </w:r>
      <w:r w:rsidRPr="007D2A8C">
        <w:rPr>
          <w:rFonts w:ascii="Times New Roman" w:eastAsia="Times New Roman" w:hAnsi="Times New Roman" w:cs="Times New Roman"/>
          <w:i/>
          <w:iCs/>
          <w:sz w:val="24"/>
          <w:szCs w:val="24"/>
          <w:lang w:val="fr-FR"/>
        </w:rPr>
        <w:t>Module du Formateur « Foyers d'Apprentissage Nutritionnel (FAN) basé sur les 1000 premiers jours de vie »</w:t>
      </w:r>
      <w:r w:rsidRPr="007D2A8C">
        <w:rPr>
          <w:rFonts w:ascii="Times New Roman" w:eastAsia="Times New Roman" w:hAnsi="Times New Roman" w:cs="Times New Roman"/>
          <w:sz w:val="24"/>
          <w:szCs w:val="24"/>
          <w:lang w:val="fr-FR"/>
        </w:rPr>
        <w:t>. Bujumbura.</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7D2A8C">
        <w:rPr>
          <w:rFonts w:ascii="Times New Roman" w:eastAsia="Times New Roman" w:hAnsi="Times New Roman" w:cs="Times New Roman"/>
          <w:sz w:val="24"/>
          <w:szCs w:val="24"/>
          <w:lang w:val="fr-FR"/>
        </w:rPr>
        <w:t>Mounkaïla</w:t>
      </w:r>
      <w:proofErr w:type="spellEnd"/>
      <w:r w:rsidRPr="007D2A8C">
        <w:rPr>
          <w:rFonts w:ascii="Times New Roman" w:eastAsia="Times New Roman" w:hAnsi="Times New Roman" w:cs="Times New Roman"/>
          <w:sz w:val="24"/>
          <w:szCs w:val="24"/>
          <w:lang w:val="fr-FR"/>
        </w:rPr>
        <w:t xml:space="preserve">, A. A. I., Ibrahim, A. S., </w:t>
      </w:r>
      <w:proofErr w:type="spellStart"/>
      <w:r w:rsidRPr="007D2A8C">
        <w:rPr>
          <w:rFonts w:ascii="Times New Roman" w:eastAsia="Times New Roman" w:hAnsi="Times New Roman" w:cs="Times New Roman"/>
          <w:sz w:val="24"/>
          <w:szCs w:val="24"/>
          <w:lang w:val="fr-FR"/>
        </w:rPr>
        <w:t>Toudou</w:t>
      </w:r>
      <w:proofErr w:type="spellEnd"/>
      <w:r w:rsidRPr="007D2A8C">
        <w:rPr>
          <w:rFonts w:ascii="Times New Roman" w:eastAsia="Times New Roman" w:hAnsi="Times New Roman" w:cs="Times New Roman"/>
          <w:sz w:val="24"/>
          <w:szCs w:val="24"/>
          <w:lang w:val="fr-FR"/>
        </w:rPr>
        <w:t xml:space="preserve">, A. D. A. M., Seini, H. S., &amp; Idi, A. M. (2022). Connaissances, attitudes et pratiques des mères d'enfants âgés de 6 à 24 mois en matière d'alimentation de complément dans la commune de </w:t>
      </w:r>
      <w:proofErr w:type="spellStart"/>
      <w:r w:rsidRPr="007D2A8C">
        <w:rPr>
          <w:rFonts w:ascii="Times New Roman" w:eastAsia="Times New Roman" w:hAnsi="Times New Roman" w:cs="Times New Roman"/>
          <w:sz w:val="24"/>
          <w:szCs w:val="24"/>
          <w:lang w:val="fr-FR"/>
        </w:rPr>
        <w:t>Liboré</w:t>
      </w:r>
      <w:proofErr w:type="spellEnd"/>
      <w:r w:rsidRPr="007D2A8C">
        <w:rPr>
          <w:rFonts w:ascii="Times New Roman" w:eastAsia="Times New Roman" w:hAnsi="Times New Roman" w:cs="Times New Roman"/>
          <w:sz w:val="24"/>
          <w:szCs w:val="24"/>
          <w:lang w:val="fr-FR"/>
        </w:rPr>
        <w:t xml:space="preserve"> au Niger. </w:t>
      </w:r>
      <w:r w:rsidRPr="007D2A8C">
        <w:rPr>
          <w:rFonts w:ascii="Times New Roman" w:eastAsia="Times New Roman" w:hAnsi="Times New Roman" w:cs="Times New Roman"/>
          <w:i/>
          <w:iCs/>
          <w:sz w:val="24"/>
          <w:szCs w:val="24"/>
        </w:rPr>
        <w:t>Environmental and Water Sciences, Public Health and Territorial Intelligence Journal</w:t>
      </w:r>
      <w:r w:rsidRPr="007D2A8C">
        <w:rPr>
          <w:rFonts w:ascii="Times New Roman" w:eastAsia="Times New Roman" w:hAnsi="Times New Roman" w:cs="Times New Roman"/>
          <w:sz w:val="24"/>
          <w:szCs w:val="24"/>
        </w:rPr>
        <w:t>, 6(2), 817-826.</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République du Burundi. (2018). </w:t>
      </w:r>
      <w:r w:rsidRPr="007D2A8C">
        <w:rPr>
          <w:rFonts w:ascii="Times New Roman" w:eastAsia="Times New Roman" w:hAnsi="Times New Roman" w:cs="Times New Roman"/>
          <w:i/>
          <w:iCs/>
          <w:sz w:val="24"/>
          <w:szCs w:val="24"/>
          <w:lang w:val="fr-FR"/>
        </w:rPr>
        <w:t>Enquête Nationale sur la Situation Nutritionnelle et la Mortalité (ENSNMB)</w:t>
      </w:r>
      <w:r w:rsidRPr="007D2A8C">
        <w:rPr>
          <w:rFonts w:ascii="Times New Roman" w:eastAsia="Times New Roman" w:hAnsi="Times New Roman" w:cs="Times New Roman"/>
          <w:sz w:val="24"/>
          <w:szCs w:val="24"/>
          <w:lang w:val="fr-FR"/>
        </w:rPr>
        <w:t>. Bujumbura: Ministère de la Santé Publique et de la Lutte contre le Sida (MSPLS).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 xml:space="preserve">Tomlinson, C., &amp; </w:t>
      </w:r>
      <w:proofErr w:type="spellStart"/>
      <w:r w:rsidRPr="007D2A8C">
        <w:rPr>
          <w:rFonts w:ascii="Times New Roman" w:eastAsia="Times New Roman" w:hAnsi="Times New Roman" w:cs="Times New Roman"/>
          <w:sz w:val="24"/>
          <w:szCs w:val="24"/>
          <w:lang w:val="fr-FR"/>
        </w:rPr>
        <w:t>Haiek</w:t>
      </w:r>
      <w:proofErr w:type="spellEnd"/>
      <w:r w:rsidRPr="007D2A8C">
        <w:rPr>
          <w:rFonts w:ascii="Times New Roman" w:eastAsia="Times New Roman" w:hAnsi="Times New Roman" w:cs="Times New Roman"/>
          <w:sz w:val="24"/>
          <w:szCs w:val="24"/>
          <w:lang w:val="fr-FR"/>
        </w:rPr>
        <w:t>, L. N. (2023). L'allaitement et le lait humain en soins intensifs néonatals: de la naissance jusqu'au congé. </w:t>
      </w:r>
      <w:proofErr w:type="spellStart"/>
      <w:r w:rsidRPr="007D2A8C">
        <w:rPr>
          <w:rFonts w:ascii="Times New Roman" w:eastAsia="Times New Roman" w:hAnsi="Times New Roman" w:cs="Times New Roman"/>
          <w:i/>
          <w:iCs/>
          <w:sz w:val="24"/>
          <w:szCs w:val="24"/>
          <w:lang w:val="fr-FR"/>
        </w:rPr>
        <w:t>Paediatrics</w:t>
      </w:r>
      <w:proofErr w:type="spellEnd"/>
      <w:r w:rsidRPr="007D2A8C">
        <w:rPr>
          <w:rFonts w:ascii="Times New Roman" w:eastAsia="Times New Roman" w:hAnsi="Times New Roman" w:cs="Times New Roman"/>
          <w:i/>
          <w:iCs/>
          <w:sz w:val="24"/>
          <w:szCs w:val="24"/>
          <w:lang w:val="fr-FR"/>
        </w:rPr>
        <w:t xml:space="preserve"> &amp; Child </w:t>
      </w:r>
      <w:proofErr w:type="spellStart"/>
      <w:r w:rsidRPr="007D2A8C">
        <w:rPr>
          <w:rFonts w:ascii="Times New Roman" w:eastAsia="Times New Roman" w:hAnsi="Times New Roman" w:cs="Times New Roman"/>
          <w:i/>
          <w:iCs/>
          <w:sz w:val="24"/>
          <w:szCs w:val="24"/>
          <w:lang w:val="fr-FR"/>
        </w:rPr>
        <w:t>Health</w:t>
      </w:r>
      <w:proofErr w:type="spellEnd"/>
      <w:r w:rsidRPr="007D2A8C">
        <w:rPr>
          <w:rFonts w:ascii="Times New Roman" w:eastAsia="Times New Roman" w:hAnsi="Times New Roman" w:cs="Times New Roman"/>
          <w:sz w:val="24"/>
          <w:szCs w:val="24"/>
          <w:lang w:val="fr-FR"/>
        </w:rPr>
        <w:t>, 28(8), 518-526. </w:t>
      </w:r>
      <w:hyperlink r:id="rId8" w:tgtFrame="_blank" w:history="1">
        <w:r w:rsidRPr="007D2A8C">
          <w:rPr>
            <w:rFonts w:ascii="Times New Roman" w:eastAsia="Times New Roman" w:hAnsi="Times New Roman" w:cs="Times New Roman"/>
            <w:sz w:val="24"/>
            <w:szCs w:val="24"/>
            <w:bdr w:val="single" w:sz="12" w:space="0" w:color="auto" w:frame="1"/>
            <w:lang w:val="fr-FR"/>
          </w:rPr>
          <w:t>https://doi.org/10.1093/pch/pxad045</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UNICEF. (2014). </w:t>
      </w:r>
      <w:r w:rsidRPr="007D2A8C">
        <w:rPr>
          <w:rFonts w:ascii="Times New Roman" w:eastAsia="Times New Roman" w:hAnsi="Times New Roman" w:cs="Times New Roman"/>
          <w:i/>
          <w:iCs/>
          <w:sz w:val="24"/>
          <w:szCs w:val="24"/>
          <w:lang w:val="fr-FR"/>
        </w:rPr>
        <w:t>Ensemble pour améliorer l'état nutritionnel des enfants, Madagascar</w:t>
      </w:r>
      <w:r w:rsidRPr="007D2A8C">
        <w:rPr>
          <w:rFonts w:ascii="Times New Roman" w:eastAsia="Times New Roman" w:hAnsi="Times New Roman" w:cs="Times New Roman"/>
          <w:sz w:val="24"/>
          <w:szCs w:val="24"/>
          <w:lang w:val="fr-FR"/>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UNICEF. (2018). </w:t>
      </w:r>
      <w:r w:rsidRPr="007D2A8C">
        <w:rPr>
          <w:rFonts w:ascii="Times New Roman" w:eastAsia="Times New Roman" w:hAnsi="Times New Roman" w:cs="Times New Roman"/>
          <w:i/>
          <w:iCs/>
          <w:sz w:val="24"/>
          <w:szCs w:val="24"/>
          <w:lang w:val="fr-FR"/>
        </w:rPr>
        <w:t>Nutrition - Alimentation du nourrisson et du jeune enfant</w:t>
      </w:r>
      <w:r w:rsidRPr="007D2A8C">
        <w:rPr>
          <w:rFonts w:ascii="Times New Roman" w:eastAsia="Times New Roman" w:hAnsi="Times New Roman" w:cs="Times New Roman"/>
          <w:sz w:val="24"/>
          <w:szCs w:val="24"/>
          <w:lang w:val="fr-FR"/>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UNICEF. (2020). </w:t>
      </w:r>
      <w:r w:rsidRPr="007D2A8C">
        <w:rPr>
          <w:rFonts w:ascii="Times New Roman" w:eastAsia="Times New Roman" w:hAnsi="Times New Roman" w:cs="Times New Roman"/>
          <w:i/>
          <w:iCs/>
          <w:sz w:val="24"/>
          <w:szCs w:val="24"/>
        </w:rPr>
        <w:t>Improving young child feeding: lessons from global progress</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UNICEF. (2022). </w:t>
      </w:r>
      <w:r w:rsidRPr="007D2A8C">
        <w:rPr>
          <w:rFonts w:ascii="Times New Roman" w:eastAsia="Times New Roman" w:hAnsi="Times New Roman" w:cs="Times New Roman"/>
          <w:i/>
          <w:iCs/>
          <w:sz w:val="24"/>
          <w:szCs w:val="24"/>
        </w:rPr>
        <w:t>The State of the World's Children: Nutrition</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UNICEF. (2023). </w:t>
      </w:r>
      <w:r w:rsidRPr="007D2A8C">
        <w:rPr>
          <w:rFonts w:ascii="Times New Roman" w:eastAsia="Times New Roman" w:hAnsi="Times New Roman" w:cs="Times New Roman"/>
          <w:i/>
          <w:iCs/>
          <w:sz w:val="24"/>
          <w:szCs w:val="24"/>
        </w:rPr>
        <w:t>State of the World's Children 2023: For Every Child, Nutrition</w:t>
      </w:r>
      <w:r w:rsidRPr="007D2A8C">
        <w:rPr>
          <w:rFonts w:ascii="Times New Roman" w:eastAsia="Times New Roman" w:hAnsi="Times New Roman" w:cs="Times New Roman"/>
          <w:sz w:val="24"/>
          <w:szCs w:val="24"/>
        </w:rPr>
        <w:t>. New York: UNICEF.</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rPr>
        <w:t xml:space="preserve">Victora, C. G., Bahl, R., Barros, A. J. D., França, G. V. A., Horton, S., </w:t>
      </w:r>
      <w:proofErr w:type="spellStart"/>
      <w:r w:rsidRPr="007D2A8C">
        <w:rPr>
          <w:rFonts w:ascii="Times New Roman" w:eastAsia="Times New Roman" w:hAnsi="Times New Roman" w:cs="Times New Roman"/>
          <w:sz w:val="24"/>
          <w:szCs w:val="24"/>
        </w:rPr>
        <w:t>Krasevec</w:t>
      </w:r>
      <w:proofErr w:type="spellEnd"/>
      <w:r w:rsidRPr="007D2A8C">
        <w:rPr>
          <w:rFonts w:ascii="Times New Roman" w:eastAsia="Times New Roman" w:hAnsi="Times New Roman" w:cs="Times New Roman"/>
          <w:sz w:val="24"/>
          <w:szCs w:val="24"/>
        </w:rPr>
        <w:t>, J., ... &amp; Rollins, N. C. (2016). Breastfeeding in the 21st century: epidemiology, mechanisms, and lifelong effect. </w:t>
      </w:r>
      <w:r w:rsidRPr="007D2A8C">
        <w:rPr>
          <w:rFonts w:ascii="Times New Roman" w:eastAsia="Times New Roman" w:hAnsi="Times New Roman" w:cs="Times New Roman"/>
          <w:i/>
          <w:iCs/>
          <w:sz w:val="24"/>
          <w:szCs w:val="24"/>
          <w:lang w:val="fr-FR"/>
        </w:rPr>
        <w:t>The Lancet</w:t>
      </w:r>
      <w:r w:rsidRPr="007D2A8C">
        <w:rPr>
          <w:rFonts w:ascii="Times New Roman" w:eastAsia="Times New Roman" w:hAnsi="Times New Roman" w:cs="Times New Roman"/>
          <w:sz w:val="24"/>
          <w:szCs w:val="24"/>
          <w:lang w:val="fr-FR"/>
        </w:rPr>
        <w:t>, 387(10017), 475-490. </w:t>
      </w:r>
      <w:hyperlink r:id="rId9" w:tgtFrame="_blank" w:history="1">
        <w:r w:rsidRPr="007D2A8C">
          <w:rPr>
            <w:rFonts w:ascii="Times New Roman" w:eastAsia="Times New Roman" w:hAnsi="Times New Roman" w:cs="Times New Roman"/>
            <w:sz w:val="24"/>
            <w:szCs w:val="24"/>
            <w:bdr w:val="single" w:sz="12" w:space="0" w:color="auto" w:frame="1"/>
            <w:lang w:val="fr-FR"/>
          </w:rPr>
          <w:t>https://doi.org/10.1016/S0140-6736(15)01024-7</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lang w:val="fr-FR"/>
        </w:rPr>
        <w:lastRenderedPageBreak/>
        <w:t xml:space="preserve">World </w:t>
      </w:r>
      <w:proofErr w:type="spellStart"/>
      <w:r w:rsidRPr="007D2A8C">
        <w:rPr>
          <w:rFonts w:ascii="Times New Roman" w:eastAsia="Times New Roman" w:hAnsi="Times New Roman" w:cs="Times New Roman"/>
          <w:sz w:val="24"/>
          <w:szCs w:val="24"/>
          <w:lang w:val="fr-FR"/>
        </w:rPr>
        <w:t>Health</w:t>
      </w:r>
      <w:proofErr w:type="spellEnd"/>
      <w:r w:rsidRPr="007D2A8C">
        <w:rPr>
          <w:rFonts w:ascii="Times New Roman" w:eastAsia="Times New Roman" w:hAnsi="Times New Roman" w:cs="Times New Roman"/>
          <w:sz w:val="24"/>
          <w:szCs w:val="24"/>
          <w:lang w:val="fr-FR"/>
        </w:rPr>
        <w:t xml:space="preserve"> </w:t>
      </w:r>
      <w:proofErr w:type="spellStart"/>
      <w:r w:rsidRPr="007D2A8C">
        <w:rPr>
          <w:rFonts w:ascii="Times New Roman" w:eastAsia="Times New Roman" w:hAnsi="Times New Roman" w:cs="Times New Roman"/>
          <w:sz w:val="24"/>
          <w:szCs w:val="24"/>
          <w:lang w:val="fr-FR"/>
        </w:rPr>
        <w:t>Organization</w:t>
      </w:r>
      <w:proofErr w:type="spellEnd"/>
      <w:r w:rsidRPr="007D2A8C">
        <w:rPr>
          <w:rFonts w:ascii="Times New Roman" w:eastAsia="Times New Roman" w:hAnsi="Times New Roman" w:cs="Times New Roman"/>
          <w:sz w:val="24"/>
          <w:szCs w:val="24"/>
          <w:lang w:val="fr-FR"/>
        </w:rPr>
        <w:t>. (2006). </w:t>
      </w:r>
      <w:r w:rsidRPr="007D2A8C">
        <w:rPr>
          <w:rFonts w:ascii="Times New Roman" w:eastAsia="Times New Roman" w:hAnsi="Times New Roman" w:cs="Times New Roman"/>
          <w:i/>
          <w:iCs/>
          <w:sz w:val="24"/>
          <w:szCs w:val="24"/>
          <w:lang w:val="fr-FR"/>
        </w:rPr>
        <w:t>Principes directeurs pour l'alimentation des enfants âgés de 6 à 24 mois qui ne sont pas allaités au sein</w:t>
      </w:r>
      <w:r w:rsidRPr="007D2A8C">
        <w:rPr>
          <w:rFonts w:ascii="Times New Roman" w:eastAsia="Times New Roman" w:hAnsi="Times New Roman" w:cs="Times New Roman"/>
          <w:sz w:val="24"/>
          <w:szCs w:val="24"/>
          <w:lang w:val="fr-FR"/>
        </w:rPr>
        <w:t xml:space="preserve">. </w:t>
      </w:r>
      <w:r w:rsidRPr="007D2A8C">
        <w:rPr>
          <w:rFonts w:ascii="Times New Roman" w:eastAsia="Times New Roman" w:hAnsi="Times New Roman" w:cs="Times New Roman"/>
          <w:sz w:val="24"/>
          <w:szCs w:val="24"/>
        </w:rPr>
        <w:t>New York.</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(2020). </w:t>
      </w:r>
      <w:r w:rsidRPr="007D2A8C">
        <w:rPr>
          <w:rFonts w:ascii="Times New Roman" w:eastAsia="Times New Roman" w:hAnsi="Times New Roman" w:cs="Times New Roman"/>
          <w:i/>
          <w:iCs/>
          <w:sz w:val="24"/>
          <w:szCs w:val="24"/>
        </w:rPr>
        <w:t>Guidelines on breastfeeding support policies</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(2021). </w:t>
      </w:r>
      <w:r w:rsidRPr="007D2A8C">
        <w:rPr>
          <w:rFonts w:ascii="Times New Roman" w:eastAsia="Times New Roman" w:hAnsi="Times New Roman" w:cs="Times New Roman"/>
          <w:i/>
          <w:iCs/>
          <w:sz w:val="24"/>
          <w:szCs w:val="24"/>
        </w:rPr>
        <w:t>Infant and young child feeding</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(2022). </w:t>
      </w:r>
      <w:r w:rsidRPr="007D2A8C">
        <w:rPr>
          <w:rFonts w:ascii="Times New Roman" w:eastAsia="Times New Roman" w:hAnsi="Times New Roman" w:cs="Times New Roman"/>
          <w:i/>
          <w:iCs/>
          <w:sz w:val="24"/>
          <w:szCs w:val="24"/>
        </w:rPr>
        <w:t>Global Nutrition Report 2022</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lang w:val="fr-FR"/>
        </w:rPr>
        <w:t xml:space="preserve">World </w:t>
      </w:r>
      <w:proofErr w:type="spellStart"/>
      <w:r w:rsidRPr="007D2A8C">
        <w:rPr>
          <w:rFonts w:ascii="Times New Roman" w:eastAsia="Times New Roman" w:hAnsi="Times New Roman" w:cs="Times New Roman"/>
          <w:sz w:val="24"/>
          <w:szCs w:val="24"/>
          <w:lang w:val="fr-FR"/>
        </w:rPr>
        <w:t>Health</w:t>
      </w:r>
      <w:proofErr w:type="spellEnd"/>
      <w:r w:rsidRPr="007D2A8C">
        <w:rPr>
          <w:rFonts w:ascii="Times New Roman" w:eastAsia="Times New Roman" w:hAnsi="Times New Roman" w:cs="Times New Roman"/>
          <w:sz w:val="24"/>
          <w:szCs w:val="24"/>
          <w:lang w:val="fr-FR"/>
        </w:rPr>
        <w:t xml:space="preserve"> </w:t>
      </w:r>
      <w:proofErr w:type="spellStart"/>
      <w:r w:rsidRPr="007D2A8C">
        <w:rPr>
          <w:rFonts w:ascii="Times New Roman" w:eastAsia="Times New Roman" w:hAnsi="Times New Roman" w:cs="Times New Roman"/>
          <w:sz w:val="24"/>
          <w:szCs w:val="24"/>
          <w:lang w:val="fr-FR"/>
        </w:rPr>
        <w:t>Organization</w:t>
      </w:r>
      <w:proofErr w:type="spellEnd"/>
      <w:r w:rsidRPr="007D2A8C">
        <w:rPr>
          <w:rFonts w:ascii="Times New Roman" w:eastAsia="Times New Roman" w:hAnsi="Times New Roman" w:cs="Times New Roman"/>
          <w:sz w:val="24"/>
          <w:szCs w:val="24"/>
          <w:lang w:val="fr-FR"/>
        </w:rPr>
        <w:t>. (2023). </w:t>
      </w:r>
      <w:r w:rsidRPr="007D2A8C">
        <w:rPr>
          <w:rFonts w:ascii="Times New Roman" w:eastAsia="Times New Roman" w:hAnsi="Times New Roman" w:cs="Times New Roman"/>
          <w:i/>
          <w:iCs/>
          <w:sz w:val="24"/>
          <w:szCs w:val="24"/>
          <w:lang w:val="fr-FR"/>
        </w:rPr>
        <w:t>Alimentation du nourrisson et du jeune enfant</w:t>
      </w:r>
      <w:r w:rsidRPr="007D2A8C">
        <w:rPr>
          <w:rFonts w:ascii="Times New Roman" w:eastAsia="Times New Roman" w:hAnsi="Times New Roman" w:cs="Times New Roman"/>
          <w:sz w:val="24"/>
          <w:szCs w:val="24"/>
          <w:lang w:val="fr-FR"/>
        </w:rPr>
        <w:t>. </w:t>
      </w:r>
      <w:hyperlink r:id="rId10" w:tgtFrame="_blank" w:history="1">
        <w:r w:rsidRPr="007D2A8C">
          <w:rPr>
            <w:rFonts w:ascii="Times New Roman" w:eastAsia="Times New Roman" w:hAnsi="Times New Roman" w:cs="Times New Roman"/>
            <w:sz w:val="24"/>
            <w:szCs w:val="24"/>
            <w:bdr w:val="single" w:sz="12" w:space="0" w:color="auto" w:frame="1"/>
          </w:rPr>
          <w:t>https://www.who.int/fr/news-room/fact-sheets/detail/infant-and-young-child-feeding</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(2024). </w:t>
      </w:r>
      <w:r w:rsidRPr="007D2A8C">
        <w:rPr>
          <w:rFonts w:ascii="Times New Roman" w:eastAsia="Times New Roman" w:hAnsi="Times New Roman" w:cs="Times New Roman"/>
          <w:i/>
          <w:iCs/>
          <w:sz w:val="24"/>
          <w:szCs w:val="24"/>
        </w:rPr>
        <w:t>Malnutrition</w:t>
      </w:r>
      <w:r w:rsidRPr="007D2A8C">
        <w:rPr>
          <w:rFonts w:ascii="Times New Roman" w:eastAsia="Times New Roman" w:hAnsi="Times New Roman" w:cs="Times New Roman"/>
          <w:sz w:val="24"/>
          <w:szCs w:val="24"/>
        </w:rPr>
        <w:t>.</w:t>
      </w:r>
    </w:p>
    <w:p w:rsidR="0058189C" w:rsidRPr="007D2A8C" w:rsidRDefault="0058189C" w:rsidP="007D2A8C">
      <w:pPr>
        <w:spacing w:line="360" w:lineRule="auto"/>
        <w:jc w:val="both"/>
        <w:rPr>
          <w:rFonts w:ascii="Times New Roman" w:hAnsi="Times New Roman" w:cs="Times New Roman"/>
          <w:sz w:val="24"/>
          <w:szCs w:val="24"/>
        </w:rPr>
      </w:pPr>
    </w:p>
    <w:sectPr w:rsidR="0058189C" w:rsidRPr="007D2A8C" w:rsidSect="00C74E4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B9A" w:rsidRDefault="004E1B9A" w:rsidP="001F15E4">
      <w:pPr>
        <w:spacing w:after="0" w:line="240" w:lineRule="auto"/>
      </w:pPr>
      <w:r>
        <w:separator/>
      </w:r>
    </w:p>
  </w:endnote>
  <w:endnote w:type="continuationSeparator" w:id="0">
    <w:p w:rsidR="004E1B9A" w:rsidRDefault="004E1B9A" w:rsidP="001F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B9A" w:rsidRDefault="004E1B9A" w:rsidP="001F15E4">
      <w:pPr>
        <w:spacing w:after="0" w:line="240" w:lineRule="auto"/>
      </w:pPr>
      <w:r>
        <w:separator/>
      </w:r>
    </w:p>
  </w:footnote>
  <w:footnote w:type="continuationSeparator" w:id="0">
    <w:p w:rsidR="004E1B9A" w:rsidRDefault="004E1B9A" w:rsidP="001F1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4797"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4798"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4796"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8AD"/>
    <w:multiLevelType w:val="multilevel"/>
    <w:tmpl w:val="1832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B6AC7"/>
    <w:multiLevelType w:val="multilevel"/>
    <w:tmpl w:val="47F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346F"/>
    <w:multiLevelType w:val="hybridMultilevel"/>
    <w:tmpl w:val="8D72E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0F6DCE"/>
    <w:multiLevelType w:val="multilevel"/>
    <w:tmpl w:val="A6E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04B06"/>
    <w:multiLevelType w:val="multilevel"/>
    <w:tmpl w:val="E05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F5938"/>
    <w:multiLevelType w:val="multilevel"/>
    <w:tmpl w:val="133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7913E0"/>
    <w:multiLevelType w:val="multilevel"/>
    <w:tmpl w:val="573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EAB"/>
    <w:rsid w:val="001F15E4"/>
    <w:rsid w:val="003F5A67"/>
    <w:rsid w:val="004248BD"/>
    <w:rsid w:val="004E1B9A"/>
    <w:rsid w:val="0056146B"/>
    <w:rsid w:val="0058189C"/>
    <w:rsid w:val="006E6ACA"/>
    <w:rsid w:val="0076011A"/>
    <w:rsid w:val="00776EAB"/>
    <w:rsid w:val="007D2A8C"/>
    <w:rsid w:val="007E086E"/>
    <w:rsid w:val="009029FB"/>
    <w:rsid w:val="0094686E"/>
    <w:rsid w:val="00965F4B"/>
    <w:rsid w:val="00AD27CC"/>
    <w:rsid w:val="00C74E49"/>
    <w:rsid w:val="00E84ED6"/>
    <w:rsid w:val="00EF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B0B16"/>
  <w15:docId w15:val="{9817CCB6-420B-4C89-B6D2-D9CC714A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D2A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2A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2A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D2A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2A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2A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D2A8C"/>
    <w:rPr>
      <w:rFonts w:ascii="Times New Roman" w:eastAsia="Times New Roman" w:hAnsi="Times New Roman" w:cs="Times New Roman"/>
      <w:b/>
      <w:bCs/>
      <w:sz w:val="24"/>
      <w:szCs w:val="24"/>
    </w:rPr>
  </w:style>
  <w:style w:type="paragraph" w:customStyle="1" w:styleId="ds-markdown-paragraph">
    <w:name w:val="ds-markdown-paragraph"/>
    <w:basedOn w:val="Normal"/>
    <w:rsid w:val="007D2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A8C"/>
    <w:rPr>
      <w:b/>
      <w:bCs/>
    </w:rPr>
  </w:style>
  <w:style w:type="character" w:styleId="Emphasis">
    <w:name w:val="Emphasis"/>
    <w:basedOn w:val="DefaultParagraphFont"/>
    <w:uiPriority w:val="20"/>
    <w:qFormat/>
    <w:rsid w:val="007D2A8C"/>
    <w:rPr>
      <w:i/>
      <w:iCs/>
    </w:rPr>
  </w:style>
  <w:style w:type="character" w:styleId="Hyperlink">
    <w:name w:val="Hyperlink"/>
    <w:basedOn w:val="DefaultParagraphFont"/>
    <w:uiPriority w:val="99"/>
    <w:unhideWhenUsed/>
    <w:rsid w:val="007D2A8C"/>
    <w:rPr>
      <w:color w:val="0000FF"/>
      <w:u w:val="single"/>
    </w:rPr>
  </w:style>
  <w:style w:type="paragraph" w:styleId="ListParagraph">
    <w:name w:val="List Paragraph"/>
    <w:basedOn w:val="Normal"/>
    <w:uiPriority w:val="34"/>
    <w:qFormat/>
    <w:rsid w:val="007D2A8C"/>
    <w:pPr>
      <w:ind w:left="720"/>
      <w:contextualSpacing/>
    </w:pPr>
  </w:style>
  <w:style w:type="table" w:styleId="TableGrid">
    <w:name w:val="Table Grid"/>
    <w:basedOn w:val="TableNormal"/>
    <w:uiPriority w:val="59"/>
    <w:rsid w:val="007D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011A"/>
    <w:rPr>
      <w:color w:val="605E5C"/>
      <w:shd w:val="clear" w:color="auto" w:fill="E1DFDD"/>
    </w:rPr>
  </w:style>
  <w:style w:type="paragraph" w:styleId="Header">
    <w:name w:val="header"/>
    <w:basedOn w:val="Normal"/>
    <w:link w:val="HeaderChar"/>
    <w:uiPriority w:val="99"/>
    <w:unhideWhenUsed/>
    <w:rsid w:val="001F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E4"/>
  </w:style>
  <w:style w:type="paragraph" w:styleId="Footer">
    <w:name w:val="footer"/>
    <w:basedOn w:val="Normal"/>
    <w:link w:val="FooterChar"/>
    <w:uiPriority w:val="99"/>
    <w:unhideWhenUsed/>
    <w:rsid w:val="001F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990">
      <w:bodyDiv w:val="1"/>
      <w:marLeft w:val="0"/>
      <w:marRight w:val="0"/>
      <w:marTop w:val="0"/>
      <w:marBottom w:val="0"/>
      <w:divBdr>
        <w:top w:val="none" w:sz="0" w:space="0" w:color="auto"/>
        <w:left w:val="none" w:sz="0" w:space="0" w:color="auto"/>
        <w:bottom w:val="none" w:sz="0" w:space="0" w:color="auto"/>
        <w:right w:val="none" w:sz="0" w:space="0" w:color="auto"/>
      </w:divBdr>
      <w:divsChild>
        <w:div w:id="996106772">
          <w:marLeft w:val="0"/>
          <w:marRight w:val="0"/>
          <w:marTop w:val="0"/>
          <w:marBottom w:val="0"/>
          <w:divBdr>
            <w:top w:val="none" w:sz="0" w:space="0" w:color="auto"/>
            <w:left w:val="none" w:sz="0" w:space="0" w:color="auto"/>
            <w:bottom w:val="none" w:sz="0" w:space="0" w:color="auto"/>
            <w:right w:val="none" w:sz="0" w:space="0" w:color="auto"/>
          </w:divBdr>
        </w:div>
        <w:div w:id="367531836">
          <w:marLeft w:val="0"/>
          <w:marRight w:val="0"/>
          <w:marTop w:val="0"/>
          <w:marBottom w:val="0"/>
          <w:divBdr>
            <w:top w:val="none" w:sz="0" w:space="0" w:color="auto"/>
            <w:left w:val="none" w:sz="0" w:space="0" w:color="auto"/>
            <w:bottom w:val="none" w:sz="0" w:space="0" w:color="auto"/>
            <w:right w:val="none" w:sz="0" w:space="0" w:color="auto"/>
          </w:divBdr>
        </w:div>
        <w:div w:id="1726373117">
          <w:marLeft w:val="0"/>
          <w:marRight w:val="0"/>
          <w:marTop w:val="0"/>
          <w:marBottom w:val="0"/>
          <w:divBdr>
            <w:top w:val="none" w:sz="0" w:space="0" w:color="auto"/>
            <w:left w:val="none" w:sz="0" w:space="0" w:color="auto"/>
            <w:bottom w:val="none" w:sz="0" w:space="0" w:color="auto"/>
            <w:right w:val="none" w:sz="0" w:space="0" w:color="auto"/>
          </w:divBdr>
        </w:div>
        <w:div w:id="1384449177">
          <w:marLeft w:val="0"/>
          <w:marRight w:val="0"/>
          <w:marTop w:val="0"/>
          <w:marBottom w:val="0"/>
          <w:divBdr>
            <w:top w:val="none" w:sz="0" w:space="0" w:color="auto"/>
            <w:left w:val="none" w:sz="0" w:space="0" w:color="auto"/>
            <w:bottom w:val="none" w:sz="0" w:space="0" w:color="auto"/>
            <w:right w:val="none" w:sz="0" w:space="0" w:color="auto"/>
          </w:divBdr>
        </w:div>
        <w:div w:id="858085499">
          <w:marLeft w:val="0"/>
          <w:marRight w:val="0"/>
          <w:marTop w:val="0"/>
          <w:marBottom w:val="0"/>
          <w:divBdr>
            <w:top w:val="none" w:sz="0" w:space="0" w:color="auto"/>
            <w:left w:val="none" w:sz="0" w:space="0" w:color="auto"/>
            <w:bottom w:val="none" w:sz="0" w:space="0" w:color="auto"/>
            <w:right w:val="none" w:sz="0" w:space="0" w:color="auto"/>
          </w:divBdr>
        </w:div>
        <w:div w:id="733502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pch/pxad0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S0140-6736(13)60937-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fr/news-room/fact-sheets/detail/infant-and-young-child-feeding" TargetMode="External"/><Relationship Id="rId4" Type="http://schemas.openxmlformats.org/officeDocument/2006/relationships/webSettings" Target="webSettings.xml"/><Relationship Id="rId9" Type="http://schemas.openxmlformats.org/officeDocument/2006/relationships/hyperlink" Target="https://doi.org/10.1016/S0140-6736(15)01024-7"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4920</Words>
  <Characters>28045</Characters>
  <Application>Microsoft Office Word</Application>
  <DocSecurity>0</DocSecurity>
  <Lines>233</Lines>
  <Paragraphs>65</Paragraphs>
  <ScaleCrop>false</ScaleCrop>
  <HeadingPairs>
    <vt:vector size="4" baseType="variant">
      <vt:variant>
        <vt:lpstr>Titre</vt:lpstr>
      </vt:variant>
      <vt:variant>
        <vt:i4>1</vt:i4>
      </vt:variant>
      <vt:variant>
        <vt:lpstr>Titres</vt:lpstr>
      </vt:variant>
      <vt:variant>
        <vt:i4>38</vt:i4>
      </vt:variant>
    </vt:vector>
  </HeadingPairs>
  <TitlesOfParts>
    <vt:vector size="39" baseType="lpstr">
      <vt:lpstr/>
      <vt:lpstr>ASSESSMENT OF MOTHERS' KNOWLEDGE, ATTITUDES AND PRACTICES ON INFANT FEEDING TO I</vt:lpstr>
      <vt:lpstr>    ABSTRACT</vt:lpstr>
      <vt:lpstr>    1. INTRODUCTION</vt:lpstr>
      <vt:lpstr>        1.1 Background and Justification</vt:lpstr>
      <vt:lpstr>        1.2 Problem Statement</vt:lpstr>
      <vt:lpstr>        1.3 Research Questions</vt:lpstr>
      <vt:lpstr>        1.4 Hypotheses</vt:lpstr>
      <vt:lpstr>        1.5 Study Objectives</vt:lpstr>
      <vt:lpstr>    2. MATERIALS AND METHODS</vt:lpstr>
      <vt:lpstr>        2.1 Study Location</vt:lpstr>
      <vt:lpstr>        2.2 Study Type, Location and Period</vt:lpstr>
      <vt:lpstr>        2.3 Target Population</vt:lpstr>
      <vt:lpstr>        2.4 Inclusion Criteria</vt:lpstr>
      <vt:lpstr>        2.5 Non-inclusion Criteria</vt:lpstr>
      <vt:lpstr>        2.6 Sample Size Determination</vt:lpstr>
      <vt:lpstr>        2.7 Sampling Technique</vt:lpstr>
      <vt:lpstr>        2.8 Data Collection</vt:lpstr>
      <vt:lpstr>        2.9 Data Processing and Analysis</vt:lpstr>
      <vt:lpstr>        2.10 Ethical Considerations</vt:lpstr>
      <vt:lpstr>    3. RESULTS</vt:lpstr>
      <vt:lpstr>        3.1 Socio-demographic Characteristics</vt:lpstr>
      <vt:lpstr>        3.2 Child Characteristics</vt:lpstr>
      <vt:lpstr>        3.3 Maternal Knowledge, Attitudes and Practices on Infant Feeding</vt:lpstr>
      <vt:lpstr>        3.4 Factors Associated with Maternal Knowledge on Infant Feeding</vt:lpstr>
      <vt:lpstr>        3.5 Factors Associated with Maternal Attitudes on Infant Feeding</vt:lpstr>
      <vt:lpstr>        3.6 Factors Associated with Maternal Practices on Infant Feeding</vt:lpstr>
      <vt:lpstr>    4. DISCUSSION</vt:lpstr>
      <vt:lpstr>        4.1 Child Sex</vt:lpstr>
      <vt:lpstr>        4.2 Child Age</vt:lpstr>
      <vt:lpstr>        4.3 Characteristics of Surveyed Mothers</vt:lpstr>
      <vt:lpstr>        4.4 Maternal Knowledge on Infant Feeding</vt:lpstr>
      <vt:lpstr>        </vt:lpstr>
      <vt:lpstr>        4.5 Maternal Attitudes on Infant Feeding</vt:lpstr>
      <vt:lpstr>        4.6 Maternal Practices on Infant Feeding</vt:lpstr>
      <vt:lpstr>    5. CONCLUSION AND RECOMMENDATIONS</vt:lpstr>
      <vt:lpstr>        5.1 Conclusion</vt:lpstr>
      <vt:lpstr>        5.2 Recommendations</vt:lpstr>
      <vt:lpstr>    REFERENCES</vt:lpstr>
    </vt:vector>
  </TitlesOfParts>
  <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dc:creator>
  <cp:keywords/>
  <dc:description/>
  <cp:lastModifiedBy>SDI 1084</cp:lastModifiedBy>
  <cp:revision>9</cp:revision>
  <dcterms:created xsi:type="dcterms:W3CDTF">2026-04-02T06:27:00Z</dcterms:created>
  <dcterms:modified xsi:type="dcterms:W3CDTF">2026-04-02T11:18:00Z</dcterms:modified>
</cp:coreProperties>
</file>