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050D0" w14:textId="77777777" w:rsidR="00830AE3" w:rsidRDefault="00B37602" w:rsidP="00485625">
      <w:pPr>
        <w:pStyle w:val="A"/>
        <w:spacing w:after="600"/>
        <w:jc w:val="center"/>
        <w:rPr>
          <w:rFonts w:ascii="Times New Roman" w:hAnsi="Times New Roman" w:cs="Times New Roman"/>
          <w:i/>
          <w:iCs/>
          <w:color w:val="auto"/>
          <w:sz w:val="28"/>
          <w:szCs w:val="28"/>
        </w:rPr>
      </w:pPr>
      <w:r w:rsidRPr="00830AE3">
        <w:rPr>
          <w:rFonts w:ascii="Times New Roman" w:hAnsi="Times New Roman" w:cs="Times New Roman"/>
          <w:color w:val="auto"/>
          <w:sz w:val="28"/>
          <w:szCs w:val="28"/>
        </w:rPr>
        <w:t xml:space="preserve">Effects of Mushroom and Turmeric Supplemented-Diet on the </w:t>
      </w:r>
      <w:proofErr w:type="spellStart"/>
      <w:r w:rsidRPr="00830AE3">
        <w:rPr>
          <w:rFonts w:ascii="Times New Roman" w:hAnsi="Times New Roman" w:cs="Times New Roman"/>
          <w:color w:val="auto"/>
          <w:sz w:val="28"/>
          <w:szCs w:val="28"/>
        </w:rPr>
        <w:t>Haematology</w:t>
      </w:r>
      <w:proofErr w:type="spellEnd"/>
      <w:r w:rsidRPr="00830AE3">
        <w:rPr>
          <w:rFonts w:ascii="Times New Roman" w:hAnsi="Times New Roman" w:cs="Times New Roman"/>
          <w:color w:val="auto"/>
          <w:sz w:val="28"/>
          <w:szCs w:val="28"/>
        </w:rPr>
        <w:t xml:space="preserve">, Nephrology and Hepatology of </w:t>
      </w:r>
      <w:proofErr w:type="spellStart"/>
      <w:r w:rsidRPr="00830AE3">
        <w:rPr>
          <w:rFonts w:ascii="Times New Roman" w:hAnsi="Times New Roman" w:cs="Times New Roman"/>
          <w:i/>
          <w:iCs/>
          <w:color w:val="auto"/>
          <w:sz w:val="28"/>
          <w:szCs w:val="28"/>
        </w:rPr>
        <w:t>Clarias</w:t>
      </w:r>
      <w:proofErr w:type="spellEnd"/>
      <w:r w:rsidRPr="00830AE3">
        <w:rPr>
          <w:rFonts w:ascii="Times New Roman" w:hAnsi="Times New Roman" w:cs="Times New Roman"/>
          <w:i/>
          <w:iCs/>
          <w:color w:val="auto"/>
          <w:sz w:val="28"/>
          <w:szCs w:val="28"/>
        </w:rPr>
        <w:t xml:space="preserve"> </w:t>
      </w:r>
      <w:proofErr w:type="spellStart"/>
      <w:r w:rsidRPr="00830AE3">
        <w:rPr>
          <w:rFonts w:ascii="Times New Roman" w:hAnsi="Times New Roman" w:cs="Times New Roman"/>
          <w:i/>
          <w:iCs/>
          <w:color w:val="auto"/>
          <w:sz w:val="28"/>
          <w:szCs w:val="28"/>
        </w:rPr>
        <w:t>gariepinus</w:t>
      </w:r>
      <w:proofErr w:type="spellEnd"/>
    </w:p>
    <w:p w14:paraId="53F6CD71" w14:textId="77777777" w:rsidR="00466B25" w:rsidRDefault="00466B25" w:rsidP="00485625">
      <w:pPr>
        <w:pStyle w:val="AA"/>
        <w:overflowPunct w:val="0"/>
        <w:spacing w:after="120"/>
        <w:rPr>
          <w:rFonts w:ascii="Times New Roman" w:hAnsi="Times New Roman" w:cs="Times New Roman"/>
          <w:color w:val="auto"/>
        </w:rPr>
      </w:pPr>
    </w:p>
    <w:p w14:paraId="1DE09FDE" w14:textId="4A2A4DC8" w:rsidR="00B37602" w:rsidRPr="00D93F39" w:rsidRDefault="00B37602" w:rsidP="00485625">
      <w:pPr>
        <w:pStyle w:val="AA"/>
        <w:overflowPunct w:val="0"/>
        <w:spacing w:after="120"/>
        <w:rPr>
          <w:rFonts w:ascii="Times New Roman" w:hAnsi="Times New Roman" w:cs="Times New Roman"/>
          <w:color w:val="auto"/>
        </w:rPr>
      </w:pPr>
      <w:bookmarkStart w:id="0" w:name="_GoBack"/>
      <w:bookmarkEnd w:id="0"/>
      <w:r w:rsidRPr="00D93F39">
        <w:rPr>
          <w:rFonts w:ascii="Times New Roman" w:hAnsi="Times New Roman" w:cs="Times New Roman"/>
          <w:color w:val="auto"/>
        </w:rPr>
        <w:t>Abstract</w:t>
      </w:r>
    </w:p>
    <w:p w14:paraId="4D61CFCE" w14:textId="77777777" w:rsidR="00B37602" w:rsidRPr="00820DD5" w:rsidRDefault="00B37602" w:rsidP="00B37602">
      <w:pPr>
        <w:overflowPunct w:val="0"/>
        <w:autoSpaceDE w:val="0"/>
        <w:autoSpaceDN w:val="0"/>
        <w:adjustRightInd w:val="0"/>
        <w:snapToGrid w:val="0"/>
        <w:ind w:rightChars="100" w:right="200"/>
        <w:rPr>
          <w:sz w:val="16"/>
          <w:szCs w:val="16"/>
          <w:lang w:eastAsia="zh-CN"/>
        </w:rPr>
      </w:pPr>
      <w:r w:rsidRPr="00820DD5">
        <w:rPr>
          <w:sz w:val="22"/>
          <w:szCs w:val="22"/>
        </w:rPr>
        <w:t xml:space="preserve">The African catfish contains significant amount of omega-6, which has been reported to cause cardiovascular problems in man, therefore, this study aimed to evaluate the anti-hypercholesterolemic effect of mushroom, and turmeric supplemented diet in </w:t>
      </w:r>
      <w:proofErr w:type="spellStart"/>
      <w:r w:rsidRPr="00127F8F">
        <w:rPr>
          <w:i/>
          <w:iCs/>
          <w:sz w:val="22"/>
          <w:szCs w:val="22"/>
        </w:rPr>
        <w:t>Clarias</w:t>
      </w:r>
      <w:proofErr w:type="spellEnd"/>
      <w:r w:rsidRPr="00127F8F">
        <w:rPr>
          <w:i/>
          <w:iCs/>
          <w:sz w:val="22"/>
          <w:szCs w:val="22"/>
        </w:rPr>
        <w:t xml:space="preserve"> </w:t>
      </w:r>
      <w:proofErr w:type="spellStart"/>
      <w:r w:rsidRPr="00127F8F">
        <w:rPr>
          <w:i/>
          <w:iCs/>
          <w:sz w:val="22"/>
          <w:szCs w:val="22"/>
        </w:rPr>
        <w:t>gariepinus</w:t>
      </w:r>
      <w:proofErr w:type="spellEnd"/>
      <w:r w:rsidRPr="00820DD5">
        <w:rPr>
          <w:i/>
          <w:iCs/>
          <w:sz w:val="22"/>
          <w:szCs w:val="22"/>
        </w:rPr>
        <w:t>.</w:t>
      </w:r>
      <w:r w:rsidRPr="00820DD5">
        <w:rPr>
          <w:sz w:val="22"/>
          <w:szCs w:val="22"/>
        </w:rPr>
        <w:t xml:space="preserve"> 200 juvenile African catfish were procured from a reputable fish farm and were acclimatized to laboratory condition for 14 days. The test organisms were divided into four groups with a replicate for each set up. Group 1 were fed with basal diet, group 2 with mushroom-supplemented diet, group three with turmeric-supplemented diet, and the fourth group were fed with the combined-supplemented diets. After 48 days of the experiment, the test organisms were sacrificed and blood was collected via caudal vein for haematological analysis including red blood cells (RBC), white blood cells (WBC), haemoglobin and platelet count. Liver and kidney were excised for biochemical enzymes investigations for alanine transferase (ALT), aminotransferase (ALT) levels, alkaline phosphatase (ALP) levels, Creatinine levels and urea levels. The haematological and biochemical data were analyzed and presented as mean ± SEM using IBM SPSS version 20.0. The mean was further subjected to multiple comparisons using Duncan Multiple Range Test at 5% level of significance. The results showed a significantly improved WBC, RBC, haemoglobin, and haematocrit levels with turmeric-diet. Mushroom-diet increased MCV values, while the combined supplemented-diet increased platelet counts but reduced RBC, haemoglobin, and MCHC. Liver enzyme ALT remained stable across all groups, while turmeric lowered AST and ALP, indicating liver protection. The combination group showed increased total protein and globulin, suggesting enhanced immunity, while the liver enzymes creatinine levels remained stable across all groups, suggesting that renal function was not compromised, but elevated urea levels in the combination group warrant further investigation. In conclusion, findings highlight the supplements’ potential to improve fish health and aquaculture productivity.</w:t>
      </w:r>
    </w:p>
    <w:p w14:paraId="3C6DE89A" w14:textId="77777777" w:rsidR="00B37602" w:rsidRDefault="00B37602" w:rsidP="00B37602">
      <w:pPr>
        <w:overflowPunct w:val="0"/>
        <w:autoSpaceDE w:val="0"/>
        <w:autoSpaceDN w:val="0"/>
        <w:adjustRightInd w:val="0"/>
        <w:snapToGrid w:val="0"/>
        <w:ind w:rightChars="100" w:right="200"/>
        <w:rPr>
          <w:sz w:val="16"/>
          <w:szCs w:val="16"/>
          <w:lang w:eastAsia="zh-CN"/>
        </w:rPr>
      </w:pPr>
    </w:p>
    <w:p w14:paraId="5F8142D2" w14:textId="77777777" w:rsidR="00B37602" w:rsidRDefault="00B37602" w:rsidP="00B37602">
      <w:pPr>
        <w:pStyle w:val="AA"/>
        <w:overflowPunct w:val="0"/>
        <w:spacing w:after="120"/>
        <w:rPr>
          <w:rFonts w:ascii="Times New Roman" w:hAnsi="Times New Roman" w:cs="Times New Roman"/>
          <w:b w:val="0"/>
          <w:color w:val="auto"/>
        </w:rPr>
      </w:pPr>
      <w:r w:rsidRPr="00820DD5">
        <w:rPr>
          <w:rFonts w:ascii="Times New Roman" w:hAnsi="Times New Roman" w:cs="Times New Roman"/>
          <w:color w:val="auto"/>
        </w:rPr>
        <w:t>Keywords</w:t>
      </w:r>
      <w:r>
        <w:rPr>
          <w:rFonts w:ascii="Times New Roman" w:hAnsi="Times New Roman" w:cs="Times New Roman"/>
          <w:color w:val="auto"/>
        </w:rPr>
        <w:t xml:space="preserve">: </w:t>
      </w:r>
      <w:r w:rsidRPr="00B37602">
        <w:rPr>
          <w:rFonts w:ascii="Times New Roman" w:hAnsi="Times New Roman" w:cs="Times New Roman"/>
          <w:b w:val="0"/>
          <w:color w:val="auto"/>
        </w:rPr>
        <w:t>Anti-hypercholesterolemic, Mushroom, Turmeric, Supplemented fed diet, Effect.</w:t>
      </w:r>
    </w:p>
    <w:p w14:paraId="7CED5B2F" w14:textId="77777777" w:rsidR="00B37602" w:rsidRPr="00820DD5" w:rsidRDefault="00B37602" w:rsidP="00B37602">
      <w:pPr>
        <w:pStyle w:val="AA"/>
        <w:numPr>
          <w:ilvl w:val="0"/>
          <w:numId w:val="3"/>
        </w:numPr>
        <w:overflowPunct w:val="0"/>
        <w:spacing w:after="120"/>
        <w:rPr>
          <w:rFonts w:ascii="Times New Roman" w:hAnsi="Times New Roman" w:cs="Times New Roman"/>
          <w:color w:val="auto"/>
        </w:rPr>
      </w:pPr>
      <w:r w:rsidRPr="00820DD5">
        <w:rPr>
          <w:rFonts w:ascii="Times New Roman" w:hAnsi="Times New Roman" w:cs="Times New Roman"/>
          <w:color w:val="auto"/>
        </w:rPr>
        <w:t xml:space="preserve">Introduction </w:t>
      </w:r>
    </w:p>
    <w:p w14:paraId="38D025AB" w14:textId="77777777" w:rsidR="00B37602"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t xml:space="preserve">Fish is one of the most important sources of animal protein and has been widely accepted as a good source of other essential nutrients necessary for the maintenance of the body (Olaoye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2018; Adeyemi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It is regarded as the healthiest meat option due to its long-chain polyunsaturated fatty acids content, which prevent diseases (</w:t>
      </w:r>
      <w:proofErr w:type="spellStart"/>
      <w:r w:rsidRPr="00820DD5">
        <w:rPr>
          <w:rFonts w:ascii="Times New Roman" w:hAnsi="Times New Roman" w:cs="Times New Roman"/>
          <w:b w:val="0"/>
          <w:bCs/>
          <w:color w:val="auto"/>
        </w:rPr>
        <w:t>Ndife</w:t>
      </w:r>
      <w:proofErr w:type="spellEnd"/>
      <w:r w:rsidRPr="00820DD5">
        <w:rPr>
          <w:rFonts w:ascii="Times New Roman" w:hAnsi="Times New Roman" w:cs="Times New Roman"/>
          <w:b w:val="0"/>
          <w:bCs/>
          <w:color w:val="auto"/>
        </w:rPr>
        <w:t>, 2016). In Nigeria, fish is highly valued for its availability, affordability, and sensory quality (Omoruyi, 2018; Okpala and Ekpenyong, 2020). The African catfish (</w:t>
      </w:r>
      <w:proofErr w:type="spellStart"/>
      <w:r w:rsidRPr="00127F8F">
        <w:rPr>
          <w:rFonts w:ascii="Times New Roman" w:hAnsi="Times New Roman" w:cs="Times New Roman"/>
          <w:b w:val="0"/>
          <w:bCs/>
          <w:i/>
          <w:iCs/>
          <w:color w:val="auto"/>
        </w:rPr>
        <w:t>Clarias</w:t>
      </w:r>
      <w:proofErr w:type="spellEnd"/>
      <w:r w:rsidRPr="00127F8F">
        <w:rPr>
          <w:rFonts w:ascii="Times New Roman" w:hAnsi="Times New Roman" w:cs="Times New Roman"/>
          <w:b w:val="0"/>
          <w:bCs/>
          <w:i/>
          <w:iCs/>
          <w:color w:val="auto"/>
        </w:rPr>
        <w:t xml:space="preserve"> </w:t>
      </w:r>
      <w:proofErr w:type="spellStart"/>
      <w:r w:rsidRPr="00127F8F">
        <w:rPr>
          <w:rFonts w:ascii="Times New Roman" w:hAnsi="Times New Roman" w:cs="Times New Roman"/>
          <w:b w:val="0"/>
          <w:bCs/>
          <w:i/>
          <w:iCs/>
          <w:color w:val="auto"/>
        </w:rPr>
        <w:t>gariepinus</w:t>
      </w:r>
      <w:proofErr w:type="spellEnd"/>
      <w:r w:rsidRPr="00820DD5">
        <w:rPr>
          <w:rFonts w:ascii="Times New Roman" w:hAnsi="Times New Roman" w:cs="Times New Roman"/>
          <w:b w:val="0"/>
          <w:bCs/>
          <w:color w:val="auto"/>
        </w:rPr>
        <w:t xml:space="preserve">) is a significant freshwater fish in Nigeria, widely accepted due to its ease of cultivation, taste, and texture (Alfa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w:t>
      </w:r>
    </w:p>
    <w:p w14:paraId="2441D3E2" w14:textId="77777777" w:rsidR="00B37602"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t xml:space="preserve">Hypercholesterolemia is characterized by elevated cholesterol levels in the bloodstream (Tan, 2019) and poses a significant health risk across various species, including aquaculture fish like </w:t>
      </w:r>
      <w:proofErr w:type="spellStart"/>
      <w:r w:rsidRPr="00127F8F">
        <w:rPr>
          <w:rFonts w:ascii="Times New Roman" w:hAnsi="Times New Roman" w:cs="Times New Roman"/>
          <w:b w:val="0"/>
          <w:bCs/>
          <w:i/>
          <w:iCs/>
          <w:color w:val="auto"/>
        </w:rPr>
        <w:t>Clarias</w:t>
      </w:r>
      <w:proofErr w:type="spellEnd"/>
      <w:r w:rsidRPr="00127F8F">
        <w:rPr>
          <w:rFonts w:ascii="Times New Roman" w:hAnsi="Times New Roman" w:cs="Times New Roman"/>
          <w:b w:val="0"/>
          <w:bCs/>
          <w:i/>
          <w:iCs/>
          <w:color w:val="auto"/>
        </w:rPr>
        <w:t xml:space="preserve"> </w:t>
      </w:r>
      <w:proofErr w:type="spellStart"/>
      <w:r w:rsidRPr="00127F8F">
        <w:rPr>
          <w:rFonts w:ascii="Times New Roman" w:hAnsi="Times New Roman" w:cs="Times New Roman"/>
          <w:b w:val="0"/>
          <w:bCs/>
          <w:i/>
          <w:iCs/>
          <w:color w:val="auto"/>
        </w:rPr>
        <w:t>gariepinus</w:t>
      </w:r>
      <w:proofErr w:type="spellEnd"/>
      <w:r w:rsidRPr="00820DD5">
        <w:rPr>
          <w:rFonts w:ascii="Times New Roman" w:hAnsi="Times New Roman" w:cs="Times New Roman"/>
          <w:b w:val="0"/>
          <w:bCs/>
          <w:color w:val="auto"/>
        </w:rPr>
        <w:t xml:space="preserve"> (</w:t>
      </w:r>
      <w:proofErr w:type="spellStart"/>
      <w:r w:rsidRPr="00820DD5">
        <w:rPr>
          <w:rFonts w:ascii="Times New Roman" w:hAnsi="Times New Roman" w:cs="Times New Roman"/>
          <w:b w:val="0"/>
          <w:bCs/>
          <w:color w:val="auto"/>
        </w:rPr>
        <w:t>Fakunmoju</w:t>
      </w:r>
      <w:proofErr w:type="spellEnd"/>
      <w:r w:rsidRPr="00820DD5">
        <w:rPr>
          <w:rFonts w:ascii="Times New Roman" w:hAnsi="Times New Roman" w:cs="Times New Roman"/>
          <w:b w:val="0"/>
          <w:bCs/>
          <w:color w:val="auto"/>
        </w:rPr>
        <w:t xml:space="preserv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This freshwater catfish is not only a vital protein source in many developing countries but also serves as a model organism for studying metabolic diseases. Recent research highlights the detrimental effects of high cholesterol on fish health, including impaired growth, reproductive issues, and increased susceptibility to diseases (Hussain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Miao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w:t>
      </w:r>
      <w:r>
        <w:rPr>
          <w:rFonts w:ascii="Times New Roman" w:hAnsi="Times New Roman" w:cs="Times New Roman"/>
          <w:b w:val="0"/>
          <w:bCs/>
          <w:color w:val="auto"/>
        </w:rPr>
        <w:t xml:space="preserve"> </w:t>
      </w:r>
    </w:p>
    <w:p w14:paraId="0C6A58E0" w14:textId="77777777" w:rsidR="00B37602" w:rsidRPr="00820DD5" w:rsidRDefault="00B37602" w:rsidP="00B37602">
      <w:pPr>
        <w:pStyle w:val="1"/>
        <w:spacing w:before="240" w:after="120"/>
        <w:ind w:leftChars="0" w:left="0"/>
        <w:rPr>
          <w:rFonts w:ascii="Times New Roman" w:hAnsi="Times New Roman" w:cs="Times New Roman"/>
          <w:b w:val="0"/>
          <w:bCs/>
          <w:color w:val="auto"/>
        </w:rPr>
      </w:pPr>
      <w:r w:rsidRPr="00820DD5">
        <w:rPr>
          <w:rFonts w:ascii="Times New Roman" w:hAnsi="Times New Roman" w:cs="Times New Roman"/>
          <w:b w:val="0"/>
          <w:bCs/>
          <w:color w:val="auto"/>
        </w:rPr>
        <w:lastRenderedPageBreak/>
        <w:t>Natural dietary interventions have garnered attention as sustainable alternatives to synthetic hypocholesterolemia agents. Turmeric (</w:t>
      </w:r>
      <w:r w:rsidRPr="00820DD5">
        <w:rPr>
          <w:rFonts w:ascii="Times New Roman" w:hAnsi="Times New Roman" w:cs="Times New Roman"/>
          <w:b w:val="0"/>
          <w:bCs/>
          <w:i/>
          <w:iCs/>
          <w:color w:val="auto"/>
        </w:rPr>
        <w:t xml:space="preserve">Curcuma longa) </w:t>
      </w:r>
      <w:r w:rsidRPr="00820DD5">
        <w:rPr>
          <w:rFonts w:ascii="Times New Roman" w:hAnsi="Times New Roman" w:cs="Times New Roman"/>
          <w:b w:val="0"/>
          <w:bCs/>
          <w:color w:val="auto"/>
        </w:rPr>
        <w:t xml:space="preserve">has gained prominence due to its bioactive compound, curcumin, which possesses antioxidant, anti-inflammatory, and cholesterol-lowering properties, curcumin can enhance the activity of liver enzymes involved in lipid metabolism and increase the excretion of bile acids, thereby reducing cholesterol absorption and synthesis (Soares </w:t>
      </w:r>
      <w:r w:rsidRPr="00820DD5">
        <w:rPr>
          <w:rFonts w:ascii="Times New Roman" w:hAnsi="Times New Roman" w:cs="Times New Roman"/>
          <w:b w:val="0"/>
          <w:bCs/>
          <w:i/>
          <w:iCs/>
          <w:color w:val="auto"/>
        </w:rPr>
        <w:t xml:space="preserve">et al., </w:t>
      </w:r>
      <w:r w:rsidRPr="00820DD5">
        <w:rPr>
          <w:rFonts w:ascii="Times New Roman" w:hAnsi="Times New Roman" w:cs="Times New Roman"/>
          <w:b w:val="0"/>
          <w:bCs/>
          <w:color w:val="auto"/>
        </w:rPr>
        <w:t xml:space="preserve">2020). Similarly, mushrooms such as Pleurotus ostreatus have demonstrated significant anti hypercholesterolemic effects due to their high fiber content, polysaccharides, and sterols, which can bind to cholesterol and promote its excretion (Lee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2019; Azad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These mushrooms also contain bioactive compounds that enhance gut health and improve nutrient absorption, further supporting overall metabolic health in fish (</w:t>
      </w:r>
      <w:proofErr w:type="spellStart"/>
      <w:r w:rsidRPr="00820DD5">
        <w:rPr>
          <w:rFonts w:ascii="Times New Roman" w:hAnsi="Times New Roman" w:cs="Times New Roman"/>
          <w:b w:val="0"/>
          <w:bCs/>
          <w:color w:val="auto"/>
        </w:rPr>
        <w:t>Okeowo</w:t>
      </w:r>
      <w:proofErr w:type="spellEnd"/>
      <w:r w:rsidRPr="00820DD5">
        <w:rPr>
          <w:rFonts w:ascii="Times New Roman" w:hAnsi="Times New Roman" w:cs="Times New Roman"/>
          <w:b w:val="0"/>
          <w:bCs/>
          <w:color w:val="auto"/>
        </w:rPr>
        <w:t xml:space="preserv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Focusing on the combined effects of turmeric and mushrooms in the diets of </w:t>
      </w:r>
      <w:r w:rsidRPr="00820DD5">
        <w:rPr>
          <w:rFonts w:ascii="Times New Roman" w:hAnsi="Times New Roman" w:cs="Times New Roman"/>
          <w:b w:val="0"/>
          <w:bCs/>
          <w:i/>
          <w:iCs/>
          <w:color w:val="auto"/>
        </w:rPr>
        <w:t xml:space="preserve">C. </w:t>
      </w:r>
      <w:proofErr w:type="spellStart"/>
      <w:r w:rsidRPr="00820DD5">
        <w:rPr>
          <w:rFonts w:ascii="Times New Roman" w:hAnsi="Times New Roman" w:cs="Times New Roman"/>
          <w:b w:val="0"/>
          <w:bCs/>
          <w:i/>
          <w:iCs/>
          <w:color w:val="auto"/>
        </w:rPr>
        <w:t>gariepinus</w:t>
      </w:r>
      <w:proofErr w:type="spellEnd"/>
      <w:r w:rsidRPr="00820DD5">
        <w:rPr>
          <w:rFonts w:ascii="Times New Roman" w:hAnsi="Times New Roman" w:cs="Times New Roman"/>
          <w:b w:val="0"/>
          <w:bCs/>
          <w:color w:val="auto"/>
        </w:rPr>
        <w:t xml:space="preserve"> have yielded promising results, showing improvements in lipid profiles and overall growth performance (</w:t>
      </w:r>
      <w:proofErr w:type="spellStart"/>
      <w:r w:rsidRPr="00820DD5">
        <w:rPr>
          <w:rFonts w:ascii="Times New Roman" w:hAnsi="Times New Roman" w:cs="Times New Roman"/>
          <w:b w:val="0"/>
          <w:bCs/>
          <w:color w:val="auto"/>
        </w:rPr>
        <w:t>Ogunbanwo</w:t>
      </w:r>
      <w:proofErr w:type="spellEnd"/>
      <w:r w:rsidRPr="00820DD5">
        <w:rPr>
          <w:rFonts w:ascii="Times New Roman" w:hAnsi="Times New Roman" w:cs="Times New Roman"/>
          <w:b w:val="0"/>
          <w:bCs/>
          <w:color w:val="auto"/>
        </w:rPr>
        <w:t xml:space="preserve">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Nwachukwu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2023).</w:t>
      </w:r>
    </w:p>
    <w:p w14:paraId="66E03FB2" w14:textId="77777777" w:rsidR="00B37602" w:rsidRPr="00820DD5" w:rsidRDefault="00B37602" w:rsidP="00B37602">
      <w:pPr>
        <w:pStyle w:val="1"/>
        <w:spacing w:before="240" w:after="120"/>
        <w:ind w:leftChars="0" w:left="0"/>
        <w:rPr>
          <w:rFonts w:ascii="Times New Roman" w:hAnsi="Times New Roman" w:cs="Times New Roman"/>
          <w:b w:val="0"/>
          <w:bCs/>
          <w:i/>
          <w:iCs/>
          <w:color w:val="auto"/>
        </w:rPr>
      </w:pPr>
      <w:r w:rsidRPr="00820DD5">
        <w:rPr>
          <w:rFonts w:ascii="Times New Roman" w:hAnsi="Times New Roman" w:cs="Times New Roman"/>
          <w:b w:val="0"/>
          <w:bCs/>
          <w:color w:val="auto"/>
        </w:rPr>
        <w:t xml:space="preserve">Hypercholesterolemia in farmed fish including catfish species like C. </w:t>
      </w:r>
      <w:proofErr w:type="spellStart"/>
      <w:r w:rsidRPr="00820DD5">
        <w:rPr>
          <w:rFonts w:ascii="Times New Roman" w:hAnsi="Times New Roman" w:cs="Times New Roman"/>
          <w:b w:val="0"/>
          <w:bCs/>
          <w:i/>
          <w:iCs/>
          <w:color w:val="auto"/>
        </w:rPr>
        <w:t>gariepinus</w:t>
      </w:r>
      <w:proofErr w:type="spellEnd"/>
      <w:r w:rsidRPr="00820DD5">
        <w:rPr>
          <w:rFonts w:ascii="Times New Roman" w:hAnsi="Times New Roman" w:cs="Times New Roman"/>
          <w:b w:val="0"/>
          <w:bCs/>
          <w:i/>
          <w:iCs/>
          <w:color w:val="auto"/>
        </w:rPr>
        <w:t xml:space="preserve"> </w:t>
      </w:r>
      <w:r w:rsidRPr="00820DD5">
        <w:rPr>
          <w:rFonts w:ascii="Times New Roman" w:hAnsi="Times New Roman" w:cs="Times New Roman"/>
          <w:b w:val="0"/>
          <w:bCs/>
          <w:color w:val="auto"/>
        </w:rPr>
        <w:t xml:space="preserve">has become a growing concern elevated cholesterol levels can adversely affect their overall health, growth rates, and market quality (Hussain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2021; Miao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2022). Although traditional cholesterol-lowering drugs exist, their use in aquaculture is neither feasible nor sustainable, prompting a need for natural alternatives. C</w:t>
      </w:r>
      <w:r w:rsidRPr="00820DD5">
        <w:rPr>
          <w:rFonts w:ascii="Times New Roman" w:hAnsi="Times New Roman" w:cs="Times New Roman"/>
          <w:b w:val="0"/>
          <w:bCs/>
          <w:i/>
          <w:iCs/>
          <w:color w:val="auto"/>
        </w:rPr>
        <w:t>. longa</w:t>
      </w:r>
      <w:r w:rsidRPr="00820DD5">
        <w:rPr>
          <w:rFonts w:ascii="Times New Roman" w:hAnsi="Times New Roman" w:cs="Times New Roman"/>
          <w:b w:val="0"/>
          <w:bCs/>
          <w:color w:val="auto"/>
        </w:rPr>
        <w:t xml:space="preserve"> known for its curcumin content, and various mushrooms, rich in cholesterol-lowering fibers and bioactive compounds offer promising solutions to manage cholesterol in fish diets (Soares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Gbadamosi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2020). However, there is limited scientific data on the efficacy and mechanisms of these natural supplements in regulating cholesterol levels in catfish, necessitating further research to explore their potential benefits and applications in sustainable aquaculture practices (Nwachukwu </w:t>
      </w:r>
      <w:r w:rsidRPr="00820DD5">
        <w:rPr>
          <w:rFonts w:ascii="Times New Roman" w:hAnsi="Times New Roman" w:cs="Times New Roman"/>
          <w:b w:val="0"/>
          <w:bCs/>
          <w:i/>
          <w:iCs/>
          <w:color w:val="auto"/>
        </w:rPr>
        <w:t>et al.,</w:t>
      </w:r>
      <w:r w:rsidRPr="00820DD5">
        <w:rPr>
          <w:rFonts w:ascii="Times New Roman" w:hAnsi="Times New Roman" w:cs="Times New Roman"/>
          <w:b w:val="0"/>
          <w:bCs/>
          <w:color w:val="auto"/>
        </w:rPr>
        <w:t xml:space="preserve"> 2023). Therefore, this study aimed at evaluating the effects of dietary mushroom, turmeric, and their combination on the blood, kidney and liver health of </w:t>
      </w:r>
      <w:proofErr w:type="spellStart"/>
      <w:r w:rsidRPr="00820DD5">
        <w:rPr>
          <w:rFonts w:ascii="Times New Roman" w:hAnsi="Times New Roman" w:cs="Times New Roman"/>
          <w:b w:val="0"/>
          <w:bCs/>
          <w:i/>
          <w:iCs/>
          <w:color w:val="auto"/>
        </w:rPr>
        <w:t>Clarias</w:t>
      </w:r>
      <w:proofErr w:type="spellEnd"/>
      <w:r w:rsidRPr="00820DD5">
        <w:rPr>
          <w:rFonts w:ascii="Times New Roman" w:hAnsi="Times New Roman" w:cs="Times New Roman"/>
          <w:b w:val="0"/>
          <w:bCs/>
          <w:i/>
          <w:iCs/>
          <w:color w:val="auto"/>
        </w:rPr>
        <w:t xml:space="preserve"> </w:t>
      </w:r>
      <w:proofErr w:type="spellStart"/>
      <w:r w:rsidRPr="00820DD5">
        <w:rPr>
          <w:rFonts w:ascii="Times New Roman" w:hAnsi="Times New Roman" w:cs="Times New Roman"/>
          <w:b w:val="0"/>
          <w:bCs/>
          <w:i/>
          <w:iCs/>
          <w:color w:val="auto"/>
        </w:rPr>
        <w:t>gariepinus</w:t>
      </w:r>
      <w:proofErr w:type="spellEnd"/>
      <w:r w:rsidRPr="00820DD5">
        <w:rPr>
          <w:rFonts w:ascii="Times New Roman" w:hAnsi="Times New Roman" w:cs="Times New Roman"/>
          <w:b w:val="0"/>
          <w:bCs/>
          <w:i/>
          <w:iCs/>
          <w:color w:val="auto"/>
        </w:rPr>
        <w:t>.</w:t>
      </w:r>
    </w:p>
    <w:p w14:paraId="43F883F4" w14:textId="77777777" w:rsidR="00B37602" w:rsidRPr="00820DD5" w:rsidRDefault="00B37602" w:rsidP="00B37602">
      <w:pPr>
        <w:pStyle w:val="1"/>
        <w:spacing w:before="240" w:after="120"/>
        <w:ind w:leftChars="0" w:left="0"/>
        <w:rPr>
          <w:rFonts w:ascii="Times New Roman" w:hAnsi="Times New Roman" w:cs="Times New Roman"/>
          <w:color w:val="auto"/>
        </w:rPr>
      </w:pPr>
      <w:r w:rsidRPr="00820DD5">
        <w:rPr>
          <w:rFonts w:ascii="Times New Roman" w:hAnsi="Times New Roman" w:cs="Times New Roman"/>
          <w:color w:val="auto"/>
        </w:rPr>
        <w:t>2. MATERIALS AND METHODS</w:t>
      </w:r>
    </w:p>
    <w:p w14:paraId="2FEAFDE2" w14:textId="77777777" w:rsidR="00B37602" w:rsidRPr="00820DD5" w:rsidRDefault="00B37602" w:rsidP="00B37602">
      <w:pPr>
        <w:pStyle w:val="2"/>
        <w:spacing w:beforeLines="50" w:before="120" w:after="120"/>
        <w:ind w:leftChars="0" w:left="0"/>
        <w:rPr>
          <w:rFonts w:ascii="Times New Roman" w:hAnsi="Times New Roman"/>
          <w:color w:val="auto"/>
        </w:rPr>
      </w:pPr>
      <w:r w:rsidRPr="00820DD5">
        <w:rPr>
          <w:rFonts w:ascii="Times New Roman" w:hAnsi="Times New Roman"/>
          <w:color w:val="auto"/>
        </w:rPr>
        <w:t>2.1. Collection of the Experimental Animals and Acclimatization</w:t>
      </w:r>
    </w:p>
    <w:p w14:paraId="651AA390" w14:textId="77777777" w:rsidR="00B37602" w:rsidRPr="00820DD5" w:rsidRDefault="00B37602" w:rsidP="00B37602">
      <w:pPr>
        <w:widowControl w:val="0"/>
        <w:adjustRightInd w:val="0"/>
        <w:snapToGrid w:val="0"/>
        <w:spacing w:line="300" w:lineRule="exact"/>
        <w:rPr>
          <w:sz w:val="22"/>
          <w:szCs w:val="22"/>
          <w:lang w:eastAsia="zh-CN"/>
        </w:rPr>
      </w:pPr>
      <w:r w:rsidRPr="00820DD5">
        <w:rPr>
          <w:sz w:val="22"/>
          <w:szCs w:val="22"/>
        </w:rPr>
        <w:t xml:space="preserve">Two hundred juveniles </w:t>
      </w:r>
      <w:proofErr w:type="spellStart"/>
      <w:r w:rsidRPr="00127F8F">
        <w:rPr>
          <w:i/>
          <w:iCs/>
          <w:sz w:val="22"/>
          <w:szCs w:val="22"/>
        </w:rPr>
        <w:t>Clarias</w:t>
      </w:r>
      <w:proofErr w:type="spellEnd"/>
      <w:r w:rsidRPr="00127F8F">
        <w:rPr>
          <w:i/>
          <w:iCs/>
          <w:sz w:val="22"/>
          <w:szCs w:val="22"/>
        </w:rPr>
        <w:t xml:space="preserve"> </w:t>
      </w:r>
      <w:proofErr w:type="spellStart"/>
      <w:r w:rsidRPr="00127F8F">
        <w:rPr>
          <w:i/>
          <w:iCs/>
          <w:sz w:val="22"/>
          <w:szCs w:val="22"/>
        </w:rPr>
        <w:t>gariepinus</w:t>
      </w:r>
      <w:proofErr w:type="spellEnd"/>
      <w:r w:rsidRPr="00820DD5">
        <w:rPr>
          <w:sz w:val="22"/>
          <w:szCs w:val="22"/>
        </w:rPr>
        <w:t xml:space="preserve"> of the same breed were used in this study. The fish were procured from a reliable fish farm in Ibadan, Nigeria and moved to the fisheries laboratory of the Department of Pure and Applied Biology, Ladoke Akintola University of Technology, </w:t>
      </w:r>
      <w:proofErr w:type="spellStart"/>
      <w:r w:rsidRPr="00820DD5">
        <w:rPr>
          <w:sz w:val="22"/>
          <w:szCs w:val="22"/>
        </w:rPr>
        <w:t>Ogbomoso</w:t>
      </w:r>
      <w:proofErr w:type="spellEnd"/>
      <w:r w:rsidRPr="00820DD5">
        <w:rPr>
          <w:sz w:val="22"/>
          <w:szCs w:val="22"/>
        </w:rPr>
        <w:t>. The mean total length and body weight were 25.2 cm and 26.21 g respectively. The fish was kept in plastic containers of 60 liters capacity half-filled with water.  They were acclimatized to laboratory conditions for 14 days.</w:t>
      </w:r>
    </w:p>
    <w:p w14:paraId="4A01AAB2" w14:textId="77777777" w:rsidR="00B37602" w:rsidRPr="00820DD5" w:rsidRDefault="00B37602" w:rsidP="00B37602">
      <w:pPr>
        <w:pStyle w:val="2"/>
        <w:spacing w:before="240" w:after="120"/>
        <w:ind w:leftChars="0" w:left="0"/>
        <w:rPr>
          <w:rFonts w:ascii="Times New Roman" w:hAnsi="Times New Roman"/>
          <w:color w:val="auto"/>
        </w:rPr>
      </w:pPr>
      <w:r w:rsidRPr="00820DD5">
        <w:rPr>
          <w:rFonts w:ascii="Times New Roman" w:hAnsi="Times New Roman"/>
          <w:color w:val="auto"/>
        </w:rPr>
        <w:t>2.2. Collection of Turmeric Plant and Mushroom Preparation</w:t>
      </w:r>
    </w:p>
    <w:p w14:paraId="3CFE5145" w14:textId="77777777" w:rsidR="00B37602" w:rsidRPr="00820DD5" w:rsidRDefault="00B37602" w:rsidP="00B37602">
      <w:pPr>
        <w:widowControl w:val="0"/>
        <w:adjustRightInd w:val="0"/>
        <w:snapToGrid w:val="0"/>
        <w:spacing w:line="300" w:lineRule="exact"/>
        <w:rPr>
          <w:spacing w:val="-1"/>
          <w:sz w:val="24"/>
          <w:szCs w:val="24"/>
        </w:rPr>
      </w:pPr>
      <w:r w:rsidRPr="00820DD5">
        <w:rPr>
          <w:spacing w:val="-1"/>
          <w:sz w:val="22"/>
          <w:szCs w:val="22"/>
        </w:rPr>
        <w:t>Fresh rhizomes of turmeric plant (</w:t>
      </w:r>
      <w:r w:rsidRPr="00820DD5">
        <w:rPr>
          <w:i/>
          <w:iCs/>
          <w:spacing w:val="-1"/>
          <w:sz w:val="22"/>
          <w:szCs w:val="22"/>
        </w:rPr>
        <w:t>Curcuma longa</w:t>
      </w:r>
      <w:r w:rsidRPr="00820DD5">
        <w:rPr>
          <w:spacing w:val="-1"/>
          <w:sz w:val="22"/>
          <w:szCs w:val="22"/>
        </w:rPr>
        <w:t>) were procured from Oja-Igbo market Ogbomosho Area, Oyo State Nigeria. While mushrooms (</w:t>
      </w:r>
      <w:r w:rsidRPr="00B37602">
        <w:rPr>
          <w:i/>
          <w:spacing w:val="-1"/>
          <w:sz w:val="22"/>
          <w:szCs w:val="22"/>
        </w:rPr>
        <w:t>Pleurotus ostreatus</w:t>
      </w:r>
      <w:r w:rsidRPr="00820DD5">
        <w:rPr>
          <w:spacing w:val="-1"/>
          <w:sz w:val="22"/>
          <w:szCs w:val="22"/>
        </w:rPr>
        <w:t>) were obtained from the Microbiology and Biotechnology Laboratory at Ladoke Akintola University of Technology. They were washed, threshed and oven dried at 40oC in the laboratory. The dried rhizomes and mushrooms were grounded into fine powder using blending machine and the powder were then sieved using powder mesh, and packed in tight desiccator and kept at room temperature</w:t>
      </w:r>
      <w:r w:rsidRPr="00820DD5">
        <w:rPr>
          <w:spacing w:val="-1"/>
          <w:sz w:val="24"/>
          <w:szCs w:val="24"/>
        </w:rPr>
        <w:t>.</w:t>
      </w:r>
    </w:p>
    <w:p w14:paraId="03809F68" w14:textId="77777777" w:rsidR="00B37602" w:rsidRPr="00820DD5" w:rsidRDefault="00B37602" w:rsidP="00B37602">
      <w:pPr>
        <w:widowControl w:val="0"/>
        <w:adjustRightInd w:val="0"/>
        <w:snapToGrid w:val="0"/>
        <w:spacing w:line="300" w:lineRule="exact"/>
        <w:ind w:leftChars="1500" w:left="3000"/>
        <w:rPr>
          <w:spacing w:val="-1"/>
          <w:sz w:val="24"/>
          <w:szCs w:val="24"/>
        </w:rPr>
      </w:pPr>
    </w:p>
    <w:p w14:paraId="78701C5D" w14:textId="77777777"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2.3 Experimental Design</w:t>
      </w:r>
    </w:p>
    <w:p w14:paraId="7FFD15D7"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After the acclimatization period, the fish were grouped into four experimental groups (T1, T2, T3, T4), 15 fish per tank of 60L capacity in replicate for each treatment. The fish will be fed 5% body weight twice daily with the compounded feed.</w:t>
      </w:r>
    </w:p>
    <w:p w14:paraId="2B3BD543"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lastRenderedPageBreak/>
        <w:t>T1: Basal diet</w:t>
      </w:r>
    </w:p>
    <w:p w14:paraId="3171446E"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T2: Basal diet + 5% Mushroom</w:t>
      </w:r>
    </w:p>
    <w:p w14:paraId="615B08AD"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T3: Basal diet + 5% Turmeric</w:t>
      </w:r>
    </w:p>
    <w:p w14:paraId="7C68B115"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T4: Basal diet + 5% Mushroom + 5% Turmeric</w:t>
      </w:r>
    </w:p>
    <w:p w14:paraId="575E6378" w14:textId="77777777" w:rsidR="00B37602" w:rsidRPr="00820DD5" w:rsidRDefault="00B37602" w:rsidP="00B37602">
      <w:pPr>
        <w:widowControl w:val="0"/>
        <w:adjustRightInd w:val="0"/>
        <w:snapToGrid w:val="0"/>
        <w:spacing w:line="300" w:lineRule="exact"/>
        <w:ind w:leftChars="1500" w:left="3000"/>
        <w:rPr>
          <w:spacing w:val="-1"/>
          <w:sz w:val="22"/>
          <w:szCs w:val="22"/>
        </w:rPr>
      </w:pPr>
    </w:p>
    <w:p w14:paraId="5B1AE1B6" w14:textId="77777777"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 xml:space="preserve">2.4. Experimental Diet </w:t>
      </w:r>
    </w:p>
    <w:p w14:paraId="3151EB45" w14:textId="77777777" w:rsidR="00B37602" w:rsidRPr="00820DD5" w:rsidRDefault="00B37602" w:rsidP="00B37602">
      <w:pPr>
        <w:widowControl w:val="0"/>
        <w:adjustRightInd w:val="0"/>
        <w:snapToGrid w:val="0"/>
        <w:spacing w:line="300" w:lineRule="exact"/>
        <w:rPr>
          <w:spacing w:val="-1"/>
          <w:sz w:val="22"/>
          <w:szCs w:val="22"/>
        </w:rPr>
      </w:pPr>
      <w:r w:rsidRPr="00820DD5">
        <w:rPr>
          <w:spacing w:val="-1"/>
          <w:sz w:val="22"/>
          <w:szCs w:val="22"/>
        </w:rPr>
        <w:t>Four experimental diets were formulated as T1 ((Basal diet), T2 (basal diet + 5% Mushroom), T3 (basal diet + 5% Turmeric Plant (TP)), T4 (basal diet + 5 % TP and 5% Mushroom) as shown in table 1.</w:t>
      </w:r>
    </w:p>
    <w:p w14:paraId="2EBB7BFA" w14:textId="77777777" w:rsidR="00B37602" w:rsidRPr="00820DD5" w:rsidRDefault="00B37602" w:rsidP="00B37602">
      <w:pPr>
        <w:widowControl w:val="0"/>
        <w:adjustRightInd w:val="0"/>
        <w:snapToGrid w:val="0"/>
        <w:spacing w:line="300" w:lineRule="exact"/>
        <w:rPr>
          <w:b/>
          <w:bCs/>
          <w:spacing w:val="-1"/>
          <w:sz w:val="22"/>
          <w:szCs w:val="22"/>
        </w:rPr>
      </w:pPr>
      <w:r w:rsidRPr="00820DD5">
        <w:rPr>
          <w:b/>
          <w:bCs/>
          <w:spacing w:val="-1"/>
          <w:sz w:val="22"/>
          <w:szCs w:val="22"/>
        </w:rPr>
        <w:t>TABLE 1</w:t>
      </w:r>
      <w:r>
        <w:rPr>
          <w:b/>
          <w:bCs/>
          <w:spacing w:val="-1"/>
          <w:sz w:val="22"/>
          <w:szCs w:val="22"/>
        </w:rPr>
        <w:t>:</w:t>
      </w:r>
      <w:r w:rsidRPr="00820DD5">
        <w:rPr>
          <w:b/>
          <w:bCs/>
          <w:spacing w:val="-1"/>
          <w:sz w:val="22"/>
          <w:szCs w:val="22"/>
        </w:rPr>
        <w:t xml:space="preserve"> FORMULATION OF EXPERIMENTAL DIET.</w:t>
      </w:r>
    </w:p>
    <w:p w14:paraId="698FEB5A" w14:textId="77777777" w:rsidR="00B37602" w:rsidRPr="00820DD5" w:rsidRDefault="00B37602" w:rsidP="00B37602">
      <w:pPr>
        <w:autoSpaceDE w:val="0"/>
        <w:autoSpaceDN w:val="0"/>
        <w:adjustRightInd w:val="0"/>
        <w:ind w:left="2520" w:hanging="2520"/>
        <w:rPr>
          <w:rFonts w:eastAsia="Calibri"/>
          <w:kern w:val="2"/>
          <w:sz w:val="24"/>
          <w:szCs w:val="24"/>
        </w:rPr>
      </w:pPr>
    </w:p>
    <w:tbl>
      <w:tblPr>
        <w:tblStyle w:val="PlainTable21"/>
        <w:tblpPr w:leftFromText="180" w:rightFromText="180" w:vertAnchor="text" w:horzAnchor="margin" w:tblpY="38"/>
        <w:tblW w:w="8736" w:type="dxa"/>
        <w:tblLook w:val="04A0" w:firstRow="1" w:lastRow="0" w:firstColumn="1" w:lastColumn="0" w:noHBand="0" w:noVBand="1"/>
      </w:tblPr>
      <w:tblGrid>
        <w:gridCol w:w="2285"/>
        <w:gridCol w:w="1612"/>
        <w:gridCol w:w="1612"/>
        <w:gridCol w:w="1612"/>
        <w:gridCol w:w="1615"/>
      </w:tblGrid>
      <w:tr w:rsidR="00B37602" w:rsidRPr="00820DD5" w14:paraId="0C3B5AF4" w14:textId="77777777" w:rsidTr="00B3760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85" w:type="dxa"/>
            <w:tcBorders>
              <w:bottom w:val="nil"/>
            </w:tcBorders>
            <w:noWrap/>
          </w:tcPr>
          <w:p w14:paraId="5144CB1D" w14:textId="77777777" w:rsidR="00B37602" w:rsidRPr="00820DD5" w:rsidRDefault="00B37602" w:rsidP="00B37602">
            <w:pPr>
              <w:spacing w:line="360" w:lineRule="auto"/>
              <w:ind w:left="2520" w:hanging="2520"/>
              <w:rPr>
                <w:rFonts w:eastAsia="Times New Roman"/>
                <w:kern w:val="2"/>
              </w:rPr>
            </w:pPr>
          </w:p>
        </w:tc>
        <w:tc>
          <w:tcPr>
            <w:tcW w:w="6451" w:type="dxa"/>
            <w:gridSpan w:val="4"/>
            <w:tcBorders>
              <w:bottom w:val="nil"/>
            </w:tcBorders>
            <w:noWrap/>
          </w:tcPr>
          <w:p w14:paraId="5730F532" w14:textId="77777777" w:rsidR="00B37602" w:rsidRPr="00820DD5" w:rsidRDefault="00B37602" w:rsidP="00B37602">
            <w:pPr>
              <w:spacing w:line="360" w:lineRule="auto"/>
              <w:ind w:left="2520" w:hanging="2520"/>
              <w:jc w:val="center"/>
              <w:cnfStyle w:val="100000000000" w:firstRow="1"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Treatment %</w:t>
            </w:r>
          </w:p>
        </w:tc>
      </w:tr>
      <w:tr w:rsidR="00B37602" w:rsidRPr="00820DD5" w14:paraId="1F900D5D"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tcBorders>
              <w:top w:val="nil"/>
              <w:bottom w:val="single" w:sz="4" w:space="0" w:color="auto"/>
            </w:tcBorders>
            <w:noWrap/>
          </w:tcPr>
          <w:p w14:paraId="5C1D09AC"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 xml:space="preserve">Ingredients </w:t>
            </w:r>
          </w:p>
        </w:tc>
        <w:tc>
          <w:tcPr>
            <w:tcW w:w="1612" w:type="dxa"/>
            <w:tcBorders>
              <w:top w:val="nil"/>
              <w:bottom w:val="single" w:sz="4" w:space="0" w:color="auto"/>
            </w:tcBorders>
            <w:noWrap/>
          </w:tcPr>
          <w:p w14:paraId="6108ECD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T1</w:t>
            </w:r>
          </w:p>
        </w:tc>
        <w:tc>
          <w:tcPr>
            <w:tcW w:w="1612" w:type="dxa"/>
            <w:tcBorders>
              <w:top w:val="nil"/>
              <w:bottom w:val="single" w:sz="4" w:space="0" w:color="auto"/>
            </w:tcBorders>
            <w:noWrap/>
          </w:tcPr>
          <w:p w14:paraId="2E71E5E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T2</w:t>
            </w:r>
          </w:p>
        </w:tc>
        <w:tc>
          <w:tcPr>
            <w:tcW w:w="1612" w:type="dxa"/>
            <w:tcBorders>
              <w:top w:val="nil"/>
              <w:bottom w:val="single" w:sz="4" w:space="0" w:color="auto"/>
            </w:tcBorders>
            <w:noWrap/>
          </w:tcPr>
          <w:p w14:paraId="628D3F1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T3</w:t>
            </w:r>
          </w:p>
        </w:tc>
        <w:tc>
          <w:tcPr>
            <w:tcW w:w="1615" w:type="dxa"/>
            <w:tcBorders>
              <w:top w:val="nil"/>
              <w:bottom w:val="single" w:sz="4" w:space="0" w:color="auto"/>
            </w:tcBorders>
            <w:noWrap/>
          </w:tcPr>
          <w:p w14:paraId="5FBAE27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b/>
                <w:bCs/>
                <w:kern w:val="2"/>
              </w:rPr>
            </w:pPr>
            <w:r w:rsidRPr="00820DD5">
              <w:rPr>
                <w:rFonts w:eastAsia="Times New Roman"/>
                <w:b/>
                <w:bCs/>
                <w:kern w:val="2"/>
              </w:rPr>
              <w:t>T4</w:t>
            </w:r>
          </w:p>
        </w:tc>
      </w:tr>
      <w:tr w:rsidR="00B37602" w:rsidRPr="00820DD5" w14:paraId="6C9A37B2"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tcBorders>
              <w:top w:val="single" w:sz="4" w:space="0" w:color="auto"/>
            </w:tcBorders>
            <w:noWrap/>
          </w:tcPr>
          <w:p w14:paraId="745D597C"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Maize</w:t>
            </w:r>
          </w:p>
        </w:tc>
        <w:tc>
          <w:tcPr>
            <w:tcW w:w="1612" w:type="dxa"/>
            <w:tcBorders>
              <w:top w:val="single" w:sz="4" w:space="0" w:color="auto"/>
            </w:tcBorders>
            <w:noWrap/>
          </w:tcPr>
          <w:p w14:paraId="3C3EECC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2" w:type="dxa"/>
            <w:tcBorders>
              <w:top w:val="single" w:sz="4" w:space="0" w:color="auto"/>
            </w:tcBorders>
            <w:noWrap/>
          </w:tcPr>
          <w:p w14:paraId="550F269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2" w:type="dxa"/>
            <w:tcBorders>
              <w:top w:val="single" w:sz="4" w:space="0" w:color="auto"/>
            </w:tcBorders>
            <w:noWrap/>
          </w:tcPr>
          <w:p w14:paraId="4148A94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c>
          <w:tcPr>
            <w:tcW w:w="1615" w:type="dxa"/>
            <w:tcBorders>
              <w:top w:val="single" w:sz="4" w:space="0" w:color="auto"/>
            </w:tcBorders>
            <w:noWrap/>
          </w:tcPr>
          <w:p w14:paraId="1B92DFA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30.00</w:t>
            </w:r>
          </w:p>
        </w:tc>
      </w:tr>
      <w:tr w:rsidR="00B37602" w:rsidRPr="00820DD5" w14:paraId="0520217F"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73578C71"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Soybean</w:t>
            </w:r>
          </w:p>
        </w:tc>
        <w:tc>
          <w:tcPr>
            <w:tcW w:w="1612" w:type="dxa"/>
            <w:noWrap/>
          </w:tcPr>
          <w:p w14:paraId="00B3B0B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2" w:type="dxa"/>
            <w:noWrap/>
          </w:tcPr>
          <w:p w14:paraId="088FBC2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2" w:type="dxa"/>
            <w:noWrap/>
          </w:tcPr>
          <w:p w14:paraId="0D31927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c>
          <w:tcPr>
            <w:tcW w:w="1615" w:type="dxa"/>
            <w:noWrap/>
          </w:tcPr>
          <w:p w14:paraId="41CD89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20.80</w:t>
            </w:r>
          </w:p>
        </w:tc>
      </w:tr>
      <w:tr w:rsidR="00B37602" w:rsidRPr="00820DD5" w14:paraId="0276220C"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3CB1ACD9"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Wheat Offal</w:t>
            </w:r>
          </w:p>
        </w:tc>
        <w:tc>
          <w:tcPr>
            <w:tcW w:w="1612" w:type="dxa"/>
            <w:noWrap/>
          </w:tcPr>
          <w:p w14:paraId="0740E504"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2" w:type="dxa"/>
            <w:noWrap/>
          </w:tcPr>
          <w:p w14:paraId="5F9E784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2" w:type="dxa"/>
            <w:noWrap/>
          </w:tcPr>
          <w:p w14:paraId="5D7A4ED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c>
          <w:tcPr>
            <w:tcW w:w="1615" w:type="dxa"/>
            <w:noWrap/>
          </w:tcPr>
          <w:p w14:paraId="382F1CF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10.00</w:t>
            </w:r>
          </w:p>
        </w:tc>
      </w:tr>
      <w:tr w:rsidR="00B37602" w:rsidRPr="00820DD5" w14:paraId="03811BA1"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904C755"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Corn Bran</w:t>
            </w:r>
          </w:p>
        </w:tc>
        <w:tc>
          <w:tcPr>
            <w:tcW w:w="1612" w:type="dxa"/>
            <w:noWrap/>
          </w:tcPr>
          <w:p w14:paraId="175FB85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2" w:type="dxa"/>
            <w:noWrap/>
          </w:tcPr>
          <w:p w14:paraId="4E307FE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2" w:type="dxa"/>
            <w:noWrap/>
          </w:tcPr>
          <w:p w14:paraId="35A76705"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c>
          <w:tcPr>
            <w:tcW w:w="1615" w:type="dxa"/>
            <w:noWrap/>
          </w:tcPr>
          <w:p w14:paraId="7227FF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8.19</w:t>
            </w:r>
          </w:p>
        </w:tc>
      </w:tr>
      <w:tr w:rsidR="00B37602" w:rsidRPr="00820DD5" w14:paraId="59D50E66"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B0DB267"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Palm Kernel Cake</w:t>
            </w:r>
          </w:p>
        </w:tc>
        <w:tc>
          <w:tcPr>
            <w:tcW w:w="1612" w:type="dxa"/>
            <w:noWrap/>
          </w:tcPr>
          <w:p w14:paraId="2781D4C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2" w:type="dxa"/>
            <w:noWrap/>
          </w:tcPr>
          <w:p w14:paraId="3ACC114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2" w:type="dxa"/>
            <w:noWrap/>
          </w:tcPr>
          <w:p w14:paraId="41BFEC3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c>
          <w:tcPr>
            <w:tcW w:w="1615" w:type="dxa"/>
            <w:noWrap/>
          </w:tcPr>
          <w:p w14:paraId="7AD5095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15.10</w:t>
            </w:r>
          </w:p>
        </w:tc>
      </w:tr>
      <w:tr w:rsidR="00B37602" w:rsidRPr="00820DD5" w14:paraId="35653568"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5D96422F"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Fish Meal (72%)</w:t>
            </w:r>
          </w:p>
        </w:tc>
        <w:tc>
          <w:tcPr>
            <w:tcW w:w="1612" w:type="dxa"/>
            <w:noWrap/>
          </w:tcPr>
          <w:p w14:paraId="6875EAD3"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2" w:type="dxa"/>
            <w:noWrap/>
          </w:tcPr>
          <w:p w14:paraId="0EBE941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2" w:type="dxa"/>
            <w:noWrap/>
          </w:tcPr>
          <w:p w14:paraId="4045193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c>
          <w:tcPr>
            <w:tcW w:w="1615" w:type="dxa"/>
            <w:noWrap/>
          </w:tcPr>
          <w:p w14:paraId="35E53669"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4.58</w:t>
            </w:r>
          </w:p>
        </w:tc>
      </w:tr>
      <w:tr w:rsidR="00B37602" w:rsidRPr="00820DD5" w14:paraId="11681ECB"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06BEB9C4"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Bone meal</w:t>
            </w:r>
          </w:p>
        </w:tc>
        <w:tc>
          <w:tcPr>
            <w:tcW w:w="1612" w:type="dxa"/>
            <w:noWrap/>
          </w:tcPr>
          <w:p w14:paraId="5DE945A8"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2" w:type="dxa"/>
            <w:noWrap/>
          </w:tcPr>
          <w:p w14:paraId="5922136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2" w:type="dxa"/>
            <w:noWrap/>
          </w:tcPr>
          <w:p w14:paraId="0B4E1F7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c>
          <w:tcPr>
            <w:tcW w:w="1615" w:type="dxa"/>
            <w:noWrap/>
          </w:tcPr>
          <w:p w14:paraId="4F191C8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0.83</w:t>
            </w:r>
          </w:p>
        </w:tc>
      </w:tr>
      <w:tr w:rsidR="00B37602" w:rsidRPr="00820DD5" w14:paraId="1F41780A"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62720A9D"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Vitamin Premix</w:t>
            </w:r>
          </w:p>
        </w:tc>
        <w:tc>
          <w:tcPr>
            <w:tcW w:w="1612" w:type="dxa"/>
            <w:noWrap/>
          </w:tcPr>
          <w:p w14:paraId="4C0E24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558A83C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3DED6C5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5" w:type="dxa"/>
            <w:noWrap/>
          </w:tcPr>
          <w:p w14:paraId="586113CD"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r>
      <w:tr w:rsidR="00B37602" w:rsidRPr="00820DD5" w14:paraId="743E8852"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2DA6E5EF"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Methionine</w:t>
            </w:r>
          </w:p>
        </w:tc>
        <w:tc>
          <w:tcPr>
            <w:tcW w:w="1612" w:type="dxa"/>
            <w:noWrap/>
          </w:tcPr>
          <w:p w14:paraId="76CFD48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2" w:type="dxa"/>
            <w:noWrap/>
          </w:tcPr>
          <w:p w14:paraId="1E19C6B8"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2" w:type="dxa"/>
            <w:noWrap/>
          </w:tcPr>
          <w:p w14:paraId="5DE93BD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c>
          <w:tcPr>
            <w:tcW w:w="1615" w:type="dxa"/>
            <w:noWrap/>
          </w:tcPr>
          <w:p w14:paraId="57A87287"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0.10</w:t>
            </w:r>
          </w:p>
        </w:tc>
      </w:tr>
      <w:tr w:rsidR="00B37602" w:rsidRPr="00820DD5" w14:paraId="64A59FC7"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E00A57B"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Salt</w:t>
            </w:r>
          </w:p>
        </w:tc>
        <w:tc>
          <w:tcPr>
            <w:tcW w:w="1612" w:type="dxa"/>
            <w:noWrap/>
          </w:tcPr>
          <w:p w14:paraId="19D9248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3A5BBF90"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2" w:type="dxa"/>
            <w:noWrap/>
          </w:tcPr>
          <w:p w14:paraId="6CD0D3B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c>
          <w:tcPr>
            <w:tcW w:w="1615" w:type="dxa"/>
            <w:noWrap/>
          </w:tcPr>
          <w:p w14:paraId="22565272"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0.25</w:t>
            </w:r>
          </w:p>
        </w:tc>
      </w:tr>
      <w:tr w:rsidR="00B37602" w:rsidRPr="00820DD5" w14:paraId="39BCBB14"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40EF7042"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Groundnut Cake</w:t>
            </w:r>
          </w:p>
        </w:tc>
        <w:tc>
          <w:tcPr>
            <w:tcW w:w="1612" w:type="dxa"/>
            <w:noWrap/>
          </w:tcPr>
          <w:p w14:paraId="3CB25B16"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2" w:type="dxa"/>
            <w:noWrap/>
          </w:tcPr>
          <w:p w14:paraId="215D1CEE"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2" w:type="dxa"/>
            <w:noWrap/>
          </w:tcPr>
          <w:p w14:paraId="0C2BAA4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c>
          <w:tcPr>
            <w:tcW w:w="1615" w:type="dxa"/>
            <w:noWrap/>
          </w:tcPr>
          <w:p w14:paraId="023155FF"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12.50</w:t>
            </w:r>
          </w:p>
        </w:tc>
      </w:tr>
      <w:tr w:rsidR="00B37602" w:rsidRPr="00820DD5" w14:paraId="542E5D11"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861C4E3"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Mushroom (g/kg)</w:t>
            </w:r>
          </w:p>
        </w:tc>
        <w:tc>
          <w:tcPr>
            <w:tcW w:w="1612" w:type="dxa"/>
            <w:noWrap/>
          </w:tcPr>
          <w:p w14:paraId="79CB020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7C1A48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5.00</w:t>
            </w:r>
          </w:p>
        </w:tc>
        <w:tc>
          <w:tcPr>
            <w:tcW w:w="1612" w:type="dxa"/>
            <w:noWrap/>
          </w:tcPr>
          <w:p w14:paraId="174BBFE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5" w:type="dxa"/>
            <w:noWrap/>
          </w:tcPr>
          <w:p w14:paraId="500E6B11"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2.50</w:t>
            </w:r>
          </w:p>
        </w:tc>
      </w:tr>
      <w:tr w:rsidR="00B37602" w:rsidRPr="00820DD5" w14:paraId="4ACA611B" w14:textId="77777777" w:rsidTr="00B37602">
        <w:trPr>
          <w:trHeight w:val="340"/>
        </w:trPr>
        <w:tc>
          <w:tcPr>
            <w:cnfStyle w:val="001000000000" w:firstRow="0" w:lastRow="0" w:firstColumn="1" w:lastColumn="0" w:oddVBand="0" w:evenVBand="0" w:oddHBand="0" w:evenHBand="0" w:firstRowFirstColumn="0" w:firstRowLastColumn="0" w:lastRowFirstColumn="0" w:lastRowLastColumn="0"/>
            <w:tcW w:w="2285" w:type="dxa"/>
            <w:noWrap/>
          </w:tcPr>
          <w:p w14:paraId="11B5329D" w14:textId="77777777" w:rsidR="00B37602" w:rsidRPr="00820DD5" w:rsidRDefault="00B37602" w:rsidP="00B37602">
            <w:pPr>
              <w:spacing w:line="360" w:lineRule="auto"/>
              <w:ind w:left="2520" w:hanging="2520"/>
              <w:rPr>
                <w:rFonts w:eastAsia="Times New Roman"/>
                <w:kern w:val="2"/>
              </w:rPr>
            </w:pPr>
            <w:r w:rsidRPr="00820DD5">
              <w:rPr>
                <w:rFonts w:eastAsia="Times New Roman"/>
                <w:kern w:val="2"/>
              </w:rPr>
              <w:t>Turmeric (g/kg)</w:t>
            </w:r>
          </w:p>
        </w:tc>
        <w:tc>
          <w:tcPr>
            <w:tcW w:w="1612" w:type="dxa"/>
            <w:noWrap/>
          </w:tcPr>
          <w:p w14:paraId="6F6377EA"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55FC45C4"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w:t>
            </w:r>
          </w:p>
        </w:tc>
        <w:tc>
          <w:tcPr>
            <w:tcW w:w="1612" w:type="dxa"/>
            <w:noWrap/>
          </w:tcPr>
          <w:p w14:paraId="4A0D507C"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5.00</w:t>
            </w:r>
          </w:p>
        </w:tc>
        <w:tc>
          <w:tcPr>
            <w:tcW w:w="1615" w:type="dxa"/>
            <w:noWrap/>
          </w:tcPr>
          <w:p w14:paraId="7BD58E8B" w14:textId="77777777" w:rsidR="00B37602" w:rsidRPr="00820DD5" w:rsidRDefault="00B37602" w:rsidP="00B37602">
            <w:pPr>
              <w:spacing w:line="360" w:lineRule="auto"/>
              <w:ind w:left="2520" w:hanging="2520"/>
              <w:cnfStyle w:val="000000000000" w:firstRow="0" w:lastRow="0" w:firstColumn="0" w:lastColumn="0" w:oddVBand="0" w:evenVBand="0" w:oddHBand="0" w:evenHBand="0" w:firstRowFirstColumn="0" w:firstRowLastColumn="0" w:lastRowFirstColumn="0" w:lastRowLastColumn="0"/>
              <w:rPr>
                <w:rFonts w:eastAsia="Times New Roman"/>
                <w:kern w:val="2"/>
              </w:rPr>
            </w:pPr>
            <w:r w:rsidRPr="00820DD5">
              <w:rPr>
                <w:rFonts w:eastAsia="Times New Roman"/>
                <w:kern w:val="2"/>
              </w:rPr>
              <w:t>2.50</w:t>
            </w:r>
          </w:p>
        </w:tc>
      </w:tr>
    </w:tbl>
    <w:p w14:paraId="50FC3754" w14:textId="77777777" w:rsidR="00B37602" w:rsidRDefault="00B37602" w:rsidP="00B37602">
      <w:pPr>
        <w:autoSpaceDE w:val="0"/>
        <w:autoSpaceDN w:val="0"/>
        <w:adjustRightInd w:val="0"/>
        <w:ind w:left="2520" w:hanging="2520"/>
        <w:rPr>
          <w:rFonts w:eastAsia="Calibri"/>
          <w:kern w:val="2"/>
          <w:sz w:val="24"/>
          <w:szCs w:val="24"/>
        </w:rPr>
      </w:pPr>
      <w:r w:rsidRPr="00820DD5">
        <w:rPr>
          <w:rFonts w:eastAsia="Calibri"/>
          <w:kern w:val="2"/>
          <w:sz w:val="24"/>
          <w:szCs w:val="24"/>
        </w:rPr>
        <w:t xml:space="preserve">                       </w:t>
      </w:r>
    </w:p>
    <w:p w14:paraId="76E36848" w14:textId="77777777" w:rsidR="00B37602" w:rsidRDefault="00B37602" w:rsidP="00B37602">
      <w:pPr>
        <w:autoSpaceDE w:val="0"/>
        <w:autoSpaceDN w:val="0"/>
        <w:adjustRightInd w:val="0"/>
        <w:ind w:left="2520" w:hanging="2520"/>
        <w:rPr>
          <w:rFonts w:eastAsia="Calibri"/>
          <w:kern w:val="2"/>
          <w:sz w:val="24"/>
          <w:szCs w:val="24"/>
        </w:rPr>
      </w:pPr>
    </w:p>
    <w:p w14:paraId="0D247909" w14:textId="77777777" w:rsidR="00B37602" w:rsidRDefault="00B37602" w:rsidP="00B37602">
      <w:pPr>
        <w:autoSpaceDE w:val="0"/>
        <w:autoSpaceDN w:val="0"/>
        <w:adjustRightInd w:val="0"/>
        <w:ind w:left="2520" w:hanging="2520"/>
        <w:rPr>
          <w:rFonts w:eastAsia="Calibri"/>
          <w:kern w:val="2"/>
          <w:sz w:val="24"/>
          <w:szCs w:val="24"/>
        </w:rPr>
      </w:pPr>
    </w:p>
    <w:p w14:paraId="4B4410E1" w14:textId="77777777" w:rsidR="00B37602" w:rsidRDefault="00B37602" w:rsidP="00B37602">
      <w:pPr>
        <w:autoSpaceDE w:val="0"/>
        <w:autoSpaceDN w:val="0"/>
        <w:adjustRightInd w:val="0"/>
        <w:ind w:left="2520" w:hanging="2520"/>
        <w:rPr>
          <w:rFonts w:eastAsia="Calibri"/>
          <w:kern w:val="2"/>
          <w:sz w:val="24"/>
          <w:szCs w:val="24"/>
        </w:rPr>
      </w:pPr>
    </w:p>
    <w:p w14:paraId="0D4873F0" w14:textId="77777777" w:rsidR="00B37602" w:rsidRDefault="00B37602" w:rsidP="00B37602">
      <w:pPr>
        <w:autoSpaceDE w:val="0"/>
        <w:autoSpaceDN w:val="0"/>
        <w:adjustRightInd w:val="0"/>
        <w:ind w:left="2520" w:hanging="2520"/>
        <w:rPr>
          <w:rFonts w:eastAsia="Calibri"/>
          <w:kern w:val="2"/>
          <w:sz w:val="24"/>
          <w:szCs w:val="24"/>
        </w:rPr>
      </w:pPr>
    </w:p>
    <w:p w14:paraId="2F947CC1" w14:textId="77777777" w:rsidR="00B37602" w:rsidRDefault="00B37602" w:rsidP="00B37602">
      <w:pPr>
        <w:autoSpaceDE w:val="0"/>
        <w:autoSpaceDN w:val="0"/>
        <w:adjustRightInd w:val="0"/>
        <w:ind w:left="2520" w:hanging="2520"/>
        <w:rPr>
          <w:rFonts w:eastAsia="Calibri"/>
          <w:kern w:val="2"/>
          <w:sz w:val="24"/>
          <w:szCs w:val="24"/>
        </w:rPr>
      </w:pPr>
    </w:p>
    <w:p w14:paraId="6E82C549" w14:textId="77777777" w:rsidR="00B37602" w:rsidRDefault="00B37602" w:rsidP="00B37602">
      <w:pPr>
        <w:autoSpaceDE w:val="0"/>
        <w:autoSpaceDN w:val="0"/>
        <w:adjustRightInd w:val="0"/>
        <w:ind w:left="2520" w:hanging="2520"/>
        <w:rPr>
          <w:rFonts w:eastAsia="Calibri"/>
          <w:kern w:val="2"/>
          <w:sz w:val="24"/>
          <w:szCs w:val="24"/>
        </w:rPr>
      </w:pPr>
    </w:p>
    <w:p w14:paraId="29D7852C" w14:textId="77777777" w:rsidR="00B37602" w:rsidRDefault="00B37602" w:rsidP="00B37602">
      <w:pPr>
        <w:autoSpaceDE w:val="0"/>
        <w:autoSpaceDN w:val="0"/>
        <w:adjustRightInd w:val="0"/>
        <w:ind w:left="2520" w:hanging="2520"/>
        <w:rPr>
          <w:rFonts w:eastAsia="Calibri"/>
          <w:kern w:val="2"/>
          <w:sz w:val="24"/>
          <w:szCs w:val="24"/>
        </w:rPr>
      </w:pPr>
    </w:p>
    <w:p w14:paraId="4C1CA201" w14:textId="77777777" w:rsidR="00B37602" w:rsidRDefault="00B37602" w:rsidP="00B37602">
      <w:pPr>
        <w:autoSpaceDE w:val="0"/>
        <w:autoSpaceDN w:val="0"/>
        <w:adjustRightInd w:val="0"/>
        <w:ind w:left="2520" w:hanging="2520"/>
        <w:rPr>
          <w:rFonts w:eastAsia="Calibri"/>
          <w:kern w:val="2"/>
          <w:sz w:val="24"/>
          <w:szCs w:val="24"/>
        </w:rPr>
      </w:pPr>
    </w:p>
    <w:p w14:paraId="017FE2F9" w14:textId="77777777" w:rsidR="00B37602" w:rsidRDefault="00B37602" w:rsidP="00B37602">
      <w:pPr>
        <w:autoSpaceDE w:val="0"/>
        <w:autoSpaceDN w:val="0"/>
        <w:adjustRightInd w:val="0"/>
        <w:ind w:left="2520" w:hanging="2520"/>
        <w:rPr>
          <w:rFonts w:eastAsia="Calibri"/>
          <w:kern w:val="2"/>
          <w:sz w:val="24"/>
          <w:szCs w:val="24"/>
        </w:rPr>
      </w:pPr>
    </w:p>
    <w:p w14:paraId="22331F6F" w14:textId="77777777" w:rsidR="00B37602" w:rsidRDefault="00B37602" w:rsidP="00B37602">
      <w:pPr>
        <w:autoSpaceDE w:val="0"/>
        <w:autoSpaceDN w:val="0"/>
        <w:adjustRightInd w:val="0"/>
        <w:ind w:left="2520" w:hanging="2520"/>
        <w:rPr>
          <w:rFonts w:eastAsia="Calibri"/>
          <w:kern w:val="2"/>
          <w:sz w:val="24"/>
          <w:szCs w:val="24"/>
        </w:rPr>
      </w:pPr>
    </w:p>
    <w:p w14:paraId="1E49A8EA" w14:textId="77777777" w:rsidR="00B37602" w:rsidRDefault="00B37602" w:rsidP="00B37602">
      <w:pPr>
        <w:autoSpaceDE w:val="0"/>
        <w:autoSpaceDN w:val="0"/>
        <w:adjustRightInd w:val="0"/>
        <w:ind w:left="2520" w:hanging="2520"/>
        <w:rPr>
          <w:rFonts w:eastAsia="Calibri"/>
          <w:kern w:val="2"/>
          <w:sz w:val="24"/>
          <w:szCs w:val="24"/>
        </w:rPr>
      </w:pPr>
    </w:p>
    <w:p w14:paraId="0AE1D1D8" w14:textId="77777777" w:rsidR="00B37602" w:rsidRDefault="00B37602" w:rsidP="00B37602">
      <w:pPr>
        <w:autoSpaceDE w:val="0"/>
        <w:autoSpaceDN w:val="0"/>
        <w:adjustRightInd w:val="0"/>
        <w:ind w:left="2520" w:hanging="2520"/>
        <w:rPr>
          <w:rFonts w:eastAsia="Calibri"/>
          <w:kern w:val="2"/>
          <w:sz w:val="24"/>
          <w:szCs w:val="24"/>
        </w:rPr>
      </w:pPr>
    </w:p>
    <w:p w14:paraId="143C097A" w14:textId="77777777" w:rsidR="00B37602" w:rsidRDefault="00B37602" w:rsidP="00B37602">
      <w:pPr>
        <w:autoSpaceDE w:val="0"/>
        <w:autoSpaceDN w:val="0"/>
        <w:adjustRightInd w:val="0"/>
        <w:ind w:left="2520" w:hanging="2520"/>
        <w:rPr>
          <w:rFonts w:eastAsia="Calibri"/>
          <w:kern w:val="2"/>
          <w:sz w:val="24"/>
          <w:szCs w:val="24"/>
        </w:rPr>
      </w:pPr>
    </w:p>
    <w:p w14:paraId="5E44396A" w14:textId="77777777" w:rsidR="00B37602" w:rsidRDefault="00B37602" w:rsidP="00B37602">
      <w:pPr>
        <w:autoSpaceDE w:val="0"/>
        <w:autoSpaceDN w:val="0"/>
        <w:adjustRightInd w:val="0"/>
        <w:ind w:left="2520" w:hanging="2520"/>
        <w:rPr>
          <w:rFonts w:eastAsia="Calibri"/>
          <w:kern w:val="2"/>
          <w:sz w:val="24"/>
          <w:szCs w:val="24"/>
        </w:rPr>
      </w:pPr>
    </w:p>
    <w:p w14:paraId="7A5B8084" w14:textId="77777777" w:rsidR="00B37602" w:rsidRDefault="00B37602" w:rsidP="00B37602">
      <w:pPr>
        <w:autoSpaceDE w:val="0"/>
        <w:autoSpaceDN w:val="0"/>
        <w:adjustRightInd w:val="0"/>
        <w:ind w:left="2520" w:hanging="2520"/>
        <w:rPr>
          <w:rFonts w:eastAsia="Calibri"/>
          <w:kern w:val="2"/>
          <w:sz w:val="24"/>
          <w:szCs w:val="24"/>
        </w:rPr>
      </w:pPr>
    </w:p>
    <w:p w14:paraId="235E4AC8" w14:textId="77777777" w:rsidR="00B37602" w:rsidRDefault="00B37602" w:rsidP="00B37602">
      <w:pPr>
        <w:autoSpaceDE w:val="0"/>
        <w:autoSpaceDN w:val="0"/>
        <w:adjustRightInd w:val="0"/>
        <w:ind w:left="2520" w:hanging="2520"/>
        <w:rPr>
          <w:rFonts w:eastAsia="Calibri"/>
          <w:kern w:val="2"/>
          <w:sz w:val="24"/>
          <w:szCs w:val="24"/>
        </w:rPr>
      </w:pPr>
    </w:p>
    <w:p w14:paraId="736793D3" w14:textId="77777777" w:rsidR="00B37602" w:rsidRDefault="00B37602" w:rsidP="00B37602">
      <w:pPr>
        <w:autoSpaceDE w:val="0"/>
        <w:autoSpaceDN w:val="0"/>
        <w:adjustRightInd w:val="0"/>
        <w:ind w:left="2520" w:hanging="2520"/>
        <w:rPr>
          <w:rFonts w:eastAsia="Calibri"/>
          <w:kern w:val="2"/>
          <w:sz w:val="24"/>
          <w:szCs w:val="24"/>
        </w:rPr>
      </w:pPr>
    </w:p>
    <w:p w14:paraId="679EF631" w14:textId="77777777" w:rsidR="00B37602" w:rsidRDefault="00B37602" w:rsidP="00B37602">
      <w:pPr>
        <w:autoSpaceDE w:val="0"/>
        <w:autoSpaceDN w:val="0"/>
        <w:adjustRightInd w:val="0"/>
        <w:ind w:left="2520" w:hanging="2520"/>
        <w:rPr>
          <w:rFonts w:eastAsia="Calibri"/>
          <w:kern w:val="2"/>
          <w:sz w:val="24"/>
          <w:szCs w:val="24"/>
        </w:rPr>
      </w:pPr>
    </w:p>
    <w:p w14:paraId="5857AF69" w14:textId="77777777" w:rsidR="00B37602" w:rsidRPr="00820DD5" w:rsidRDefault="00B37602" w:rsidP="00B37602">
      <w:pPr>
        <w:autoSpaceDE w:val="0"/>
        <w:autoSpaceDN w:val="0"/>
        <w:adjustRightInd w:val="0"/>
        <w:rPr>
          <w:rFonts w:eastAsia="Calibri"/>
          <w:kern w:val="2"/>
          <w:sz w:val="24"/>
          <w:szCs w:val="24"/>
        </w:rPr>
      </w:pPr>
      <w:r w:rsidRPr="00820DD5">
        <w:rPr>
          <w:rFonts w:eastAsia="Calibri"/>
          <w:kern w:val="2"/>
          <w:sz w:val="24"/>
          <w:szCs w:val="24"/>
        </w:rPr>
        <w:t>Keys: T1 = Basal diet, T2 = basal diet + 5g/kg Mushroom, T3 = basal di</w:t>
      </w:r>
      <w:r>
        <w:rPr>
          <w:rFonts w:eastAsia="Calibri"/>
          <w:kern w:val="2"/>
          <w:sz w:val="24"/>
          <w:szCs w:val="24"/>
        </w:rPr>
        <w:t xml:space="preserve">et + 5g/kg Turmeric Plant (TP), </w:t>
      </w:r>
      <w:r w:rsidRPr="00820DD5">
        <w:rPr>
          <w:rFonts w:eastAsia="Calibri"/>
          <w:kern w:val="2"/>
          <w:sz w:val="24"/>
          <w:szCs w:val="24"/>
        </w:rPr>
        <w:t xml:space="preserve">T4 = basal diet + 2.5g/kg TP and 2.5 g/kg Mushroom. </w:t>
      </w:r>
    </w:p>
    <w:p w14:paraId="36F1216B" w14:textId="77777777" w:rsidR="00B37602" w:rsidRPr="00820DD5" w:rsidRDefault="00B37602" w:rsidP="00B37602">
      <w:pPr>
        <w:autoSpaceDE w:val="0"/>
        <w:autoSpaceDN w:val="0"/>
        <w:adjustRightInd w:val="0"/>
        <w:ind w:left="2520" w:hanging="2520"/>
        <w:rPr>
          <w:rFonts w:eastAsia="Calibri"/>
          <w:kern w:val="2"/>
          <w:sz w:val="24"/>
          <w:szCs w:val="24"/>
        </w:rPr>
      </w:pPr>
    </w:p>
    <w:p w14:paraId="5B9BCA47" w14:textId="77777777" w:rsidR="00B37602" w:rsidRPr="00820DD5" w:rsidRDefault="00B37602" w:rsidP="00B37602">
      <w:pPr>
        <w:tabs>
          <w:tab w:val="left" w:pos="2440"/>
        </w:tabs>
        <w:autoSpaceDE w:val="0"/>
        <w:autoSpaceDN w:val="0"/>
        <w:adjustRightInd w:val="0"/>
        <w:rPr>
          <w:rFonts w:eastAsia="Calibri"/>
          <w:b/>
          <w:bCs/>
          <w:kern w:val="2"/>
          <w:sz w:val="24"/>
          <w:szCs w:val="24"/>
        </w:rPr>
      </w:pPr>
      <w:r w:rsidRPr="00820DD5">
        <w:rPr>
          <w:rFonts w:eastAsia="Calibri"/>
          <w:kern w:val="2"/>
          <w:sz w:val="24"/>
          <w:szCs w:val="24"/>
        </w:rPr>
        <w:t xml:space="preserve"> </w:t>
      </w:r>
      <w:r w:rsidRPr="00820DD5">
        <w:rPr>
          <w:rFonts w:eastAsia="Calibri"/>
          <w:b/>
          <w:bCs/>
          <w:kern w:val="2"/>
          <w:sz w:val="24"/>
          <w:szCs w:val="24"/>
        </w:rPr>
        <w:t>2.5 Sample Collection</w:t>
      </w:r>
    </w:p>
    <w:p w14:paraId="02ABFFC8" w14:textId="77777777" w:rsidR="00B37602" w:rsidRPr="00090507" w:rsidRDefault="00B37602" w:rsidP="00B37602">
      <w:pPr>
        <w:tabs>
          <w:tab w:val="left" w:pos="2440"/>
        </w:tabs>
        <w:autoSpaceDE w:val="0"/>
        <w:autoSpaceDN w:val="0"/>
        <w:adjustRightInd w:val="0"/>
        <w:spacing w:line="360" w:lineRule="auto"/>
        <w:rPr>
          <w:rFonts w:eastAsia="Calibri"/>
          <w:kern w:val="2"/>
          <w:sz w:val="22"/>
          <w:szCs w:val="22"/>
        </w:rPr>
      </w:pPr>
      <w:r w:rsidRPr="00090507">
        <w:rPr>
          <w:rFonts w:eastAsia="Calibri"/>
          <w:kern w:val="2"/>
          <w:sz w:val="22"/>
          <w:szCs w:val="22"/>
        </w:rPr>
        <w:t>After 48 days of feed administration, five (5) fish were selected from each treatment group and also from their respective replicates. The blood samples were collected from the caudal vein puncture of the test organisms using hypodermic needle and syringe, kept in EDTA bottle, and transported to the laboratory for haematological analysis. Similarly, the fish were carefully dissected, with liver and kidney collected for biochemical procedures.</w:t>
      </w:r>
    </w:p>
    <w:p w14:paraId="1B80440C" w14:textId="77777777" w:rsidR="00B37602" w:rsidRPr="00090507" w:rsidRDefault="00B37602" w:rsidP="00B37602">
      <w:pPr>
        <w:tabs>
          <w:tab w:val="left" w:pos="2440"/>
        </w:tabs>
        <w:autoSpaceDE w:val="0"/>
        <w:autoSpaceDN w:val="0"/>
        <w:adjustRightInd w:val="0"/>
        <w:ind w:left="2610"/>
        <w:rPr>
          <w:rFonts w:eastAsia="Calibri"/>
          <w:kern w:val="2"/>
          <w:sz w:val="22"/>
          <w:szCs w:val="22"/>
        </w:rPr>
      </w:pPr>
    </w:p>
    <w:p w14:paraId="22BF302B" w14:textId="77777777" w:rsidR="00D93F39" w:rsidRDefault="00B37602" w:rsidP="00D93F39">
      <w:pPr>
        <w:rPr>
          <w:rFonts w:eastAsia="Calibri"/>
          <w:b/>
          <w:bCs/>
          <w:kern w:val="2"/>
          <w:sz w:val="22"/>
          <w:szCs w:val="22"/>
        </w:rPr>
      </w:pPr>
      <w:r w:rsidRPr="00090507">
        <w:rPr>
          <w:spacing w:val="-1"/>
          <w:sz w:val="22"/>
          <w:szCs w:val="22"/>
        </w:rPr>
        <w:t xml:space="preserve"> </w:t>
      </w:r>
      <w:r w:rsidRPr="00090507">
        <w:rPr>
          <w:b/>
          <w:bCs/>
          <w:spacing w:val="-1"/>
          <w:sz w:val="22"/>
          <w:szCs w:val="22"/>
        </w:rPr>
        <w:t>2.6.</w:t>
      </w:r>
      <w:r w:rsidRPr="00090507">
        <w:rPr>
          <w:rFonts w:eastAsia="Calibri"/>
          <w:b/>
          <w:bCs/>
          <w:kern w:val="2"/>
          <w:sz w:val="22"/>
          <w:szCs w:val="22"/>
          <w14:ligatures w14:val="standardContextual"/>
        </w:rPr>
        <w:t xml:space="preserve"> </w:t>
      </w:r>
      <w:r w:rsidRPr="00090507">
        <w:rPr>
          <w:rFonts w:eastAsia="Calibri"/>
          <w:b/>
          <w:bCs/>
          <w:kern w:val="2"/>
          <w:sz w:val="22"/>
          <w:szCs w:val="22"/>
        </w:rPr>
        <w:t>Haematological Analysis</w:t>
      </w:r>
    </w:p>
    <w:p w14:paraId="1BA7A7C2" w14:textId="77777777" w:rsidR="00D93F39" w:rsidRDefault="00B37602" w:rsidP="00D93F39">
      <w:pPr>
        <w:rPr>
          <w:rFonts w:eastAsia="Calibri"/>
          <w:b/>
          <w:bCs/>
          <w:kern w:val="2"/>
          <w:sz w:val="22"/>
          <w:szCs w:val="22"/>
        </w:rPr>
      </w:pPr>
      <w:r w:rsidRPr="00090507">
        <w:rPr>
          <w:rFonts w:eastAsia="Calibri"/>
          <w:kern w:val="2"/>
          <w:sz w:val="22"/>
          <w:szCs w:val="22"/>
        </w:rPr>
        <w:t>All haematological parameters such as total red blood cell counts, white blood cell count, mean corpuscular volume (MCV), mean corpuscular haemoglobin (MCH), mean corpuscular haemoglobin concentration (MCHC), haemoglobin concentration, and packed cell volume (haematocrit) were measured using hematological auto-analyzer (BS 10.10 model).</w:t>
      </w:r>
    </w:p>
    <w:p w14:paraId="09DB718E" w14:textId="77777777" w:rsidR="00D93F39" w:rsidRDefault="00D93F39" w:rsidP="00D93F39">
      <w:pPr>
        <w:rPr>
          <w:rFonts w:eastAsia="Calibri"/>
          <w:b/>
          <w:bCs/>
          <w:kern w:val="2"/>
          <w:sz w:val="22"/>
          <w:szCs w:val="22"/>
        </w:rPr>
      </w:pPr>
    </w:p>
    <w:p w14:paraId="42A01147" w14:textId="77777777" w:rsidR="00D93F39" w:rsidRDefault="00B37602" w:rsidP="00D93F39">
      <w:pPr>
        <w:rPr>
          <w:rFonts w:eastAsia="Calibri"/>
          <w:b/>
          <w:bCs/>
          <w:kern w:val="2"/>
          <w:sz w:val="22"/>
          <w:szCs w:val="22"/>
        </w:rPr>
      </w:pPr>
      <w:r w:rsidRPr="00090507">
        <w:rPr>
          <w:rFonts w:eastAsia="Calibri"/>
          <w:b/>
          <w:bCs/>
          <w:kern w:val="2"/>
          <w:sz w:val="22"/>
          <w:szCs w:val="22"/>
        </w:rPr>
        <w:lastRenderedPageBreak/>
        <w:t>2.7 Biochemical Analysis</w:t>
      </w:r>
    </w:p>
    <w:p w14:paraId="11C3AF95" w14:textId="77777777" w:rsidR="00D93F39" w:rsidRDefault="00B37602" w:rsidP="00D93F39">
      <w:pPr>
        <w:rPr>
          <w:rFonts w:eastAsia="Calibri"/>
          <w:b/>
          <w:bCs/>
          <w:kern w:val="2"/>
          <w:sz w:val="22"/>
          <w:szCs w:val="22"/>
        </w:rPr>
      </w:pPr>
      <w:r w:rsidRPr="00090507">
        <w:rPr>
          <w:rFonts w:eastAsia="Calibri"/>
          <w:kern w:val="2"/>
          <w:sz w:val="22"/>
          <w:szCs w:val="22"/>
        </w:rPr>
        <w:t>The collected tissues (liver and kidney) were homogenized with phosphate buffer of concentration 0.1M at pH 7.0. This was then followed by centrifugation at 4000 rpm to separate out the supernatant.  The alanine amino transferase (ALT) activity, aspartate amino transferase (AST) activity, and alkaline phosphatase (ALP) activity were determined using Randox Assay kits. Total Protein was determined using the biuret method [18], serum albumin was determined using AGGAPPE Kit, while globulin level was calculated by subtracting albumin from total protein. The creatinine activity was analyzed using High performance liquid chromatography (HPLC) to measure it creatinine level and the urea activity was analyzed using Urease/</w:t>
      </w:r>
      <w:proofErr w:type="spellStart"/>
      <w:r w:rsidRPr="00090507">
        <w:rPr>
          <w:rFonts w:eastAsia="Calibri"/>
          <w:kern w:val="2"/>
          <w:sz w:val="22"/>
          <w:szCs w:val="22"/>
        </w:rPr>
        <w:t>Salycilate</w:t>
      </w:r>
      <w:proofErr w:type="spellEnd"/>
      <w:r w:rsidRPr="00090507">
        <w:rPr>
          <w:rFonts w:eastAsia="Calibri"/>
          <w:kern w:val="2"/>
          <w:sz w:val="22"/>
          <w:szCs w:val="22"/>
        </w:rPr>
        <w:t xml:space="preserve"> Enzymatic colorimetric method.  </w:t>
      </w:r>
    </w:p>
    <w:p w14:paraId="1B3391FE" w14:textId="77777777" w:rsidR="00D93F39" w:rsidRDefault="00904797" w:rsidP="00D93F39">
      <w:pPr>
        <w:rPr>
          <w:rFonts w:eastAsia="Calibri"/>
          <w:b/>
          <w:bCs/>
          <w:kern w:val="2"/>
          <w:sz w:val="22"/>
          <w:szCs w:val="22"/>
        </w:rPr>
      </w:pPr>
      <w:r>
        <w:rPr>
          <w:rFonts w:eastAsia="Calibri"/>
          <w:b/>
          <w:bCs/>
          <w:kern w:val="2"/>
          <w:sz w:val="22"/>
          <w:szCs w:val="22"/>
        </w:rPr>
        <w:t xml:space="preserve">2.8 </w:t>
      </w:r>
      <w:r w:rsidR="00B37602" w:rsidRPr="00090507">
        <w:rPr>
          <w:rFonts w:eastAsia="Calibri"/>
          <w:b/>
          <w:bCs/>
          <w:kern w:val="2"/>
          <w:sz w:val="22"/>
          <w:szCs w:val="22"/>
        </w:rPr>
        <w:t xml:space="preserve">Statistical Analysis </w:t>
      </w:r>
    </w:p>
    <w:p w14:paraId="24746CDB" w14:textId="77777777" w:rsidR="00D93F39" w:rsidRDefault="00B37602" w:rsidP="00D93F39">
      <w:pPr>
        <w:rPr>
          <w:rFonts w:eastAsia="Calibri"/>
          <w:kern w:val="2"/>
          <w:sz w:val="22"/>
          <w:szCs w:val="22"/>
        </w:rPr>
      </w:pPr>
      <w:r w:rsidRPr="00090507">
        <w:rPr>
          <w:rFonts w:eastAsia="Calibri"/>
          <w:kern w:val="2"/>
          <w:sz w:val="22"/>
          <w:szCs w:val="22"/>
        </w:rPr>
        <w:t>Data are presented as mean ± standard error. Statistical package SPSS 20.0 computer program was used to evaluate the data. One-way analysis of variance was used to determine the variation among treatments and the reference, followed by Post hoc test using Duncan multiple tests at 5% level of significance.</w:t>
      </w:r>
    </w:p>
    <w:p w14:paraId="2180CE26" w14:textId="77777777" w:rsidR="00D93F39" w:rsidRDefault="00D93F39" w:rsidP="00D93F39">
      <w:pPr>
        <w:rPr>
          <w:sz w:val="22"/>
          <w:szCs w:val="22"/>
        </w:rPr>
      </w:pPr>
    </w:p>
    <w:p w14:paraId="6571514F" w14:textId="77777777" w:rsidR="00D93F39" w:rsidRDefault="00090507" w:rsidP="00D93F39">
      <w:pPr>
        <w:rPr>
          <w:sz w:val="22"/>
          <w:szCs w:val="22"/>
        </w:rPr>
      </w:pPr>
      <w:r>
        <w:rPr>
          <w:sz w:val="22"/>
          <w:szCs w:val="22"/>
        </w:rPr>
        <w:t xml:space="preserve">3.0 </w:t>
      </w:r>
      <w:r w:rsidR="00B37602" w:rsidRPr="00090507">
        <w:rPr>
          <w:sz w:val="22"/>
          <w:szCs w:val="22"/>
        </w:rPr>
        <w:t>RESULTS</w:t>
      </w:r>
    </w:p>
    <w:p w14:paraId="474924CE" w14:textId="77777777" w:rsidR="00D93F39" w:rsidRDefault="00B37602" w:rsidP="00D93F39">
      <w:pPr>
        <w:rPr>
          <w:sz w:val="22"/>
          <w:szCs w:val="22"/>
        </w:rPr>
      </w:pPr>
      <w:r w:rsidRPr="00090507">
        <w:rPr>
          <w:sz w:val="22"/>
          <w:szCs w:val="22"/>
        </w:rPr>
        <w:t>3.1 Haematological Analysis</w:t>
      </w:r>
    </w:p>
    <w:p w14:paraId="5C15DC42" w14:textId="77777777" w:rsidR="00D93F39" w:rsidRDefault="00B37602" w:rsidP="00D93F39">
      <w:pPr>
        <w:rPr>
          <w:bCs/>
          <w:sz w:val="22"/>
          <w:szCs w:val="22"/>
        </w:rPr>
      </w:pPr>
      <w:r w:rsidRPr="00090507">
        <w:rPr>
          <w:bCs/>
          <w:sz w:val="22"/>
          <w:szCs w:val="22"/>
        </w:rPr>
        <w:t>Figure</w:t>
      </w:r>
      <w:r w:rsidR="00090507">
        <w:rPr>
          <w:b/>
          <w:bCs/>
          <w:sz w:val="22"/>
          <w:szCs w:val="22"/>
        </w:rPr>
        <w:t>s</w:t>
      </w:r>
      <w:r w:rsidRPr="00090507">
        <w:rPr>
          <w:bCs/>
          <w:sz w:val="22"/>
          <w:szCs w:val="22"/>
        </w:rPr>
        <w:t xml:space="preserve"> 1 to 8 presents the effects of different dietary treatments on various haematological parameters of </w:t>
      </w:r>
      <w:proofErr w:type="spellStart"/>
      <w:r w:rsidRPr="00090507">
        <w:rPr>
          <w:bCs/>
          <w:sz w:val="22"/>
          <w:szCs w:val="22"/>
        </w:rPr>
        <w:t>Clarias</w:t>
      </w:r>
      <w:proofErr w:type="spellEnd"/>
      <w:r w:rsidRPr="00090507">
        <w:rPr>
          <w:bCs/>
          <w:sz w:val="22"/>
          <w:szCs w:val="22"/>
        </w:rPr>
        <w:t xml:space="preserve"> </w:t>
      </w:r>
      <w:proofErr w:type="spellStart"/>
      <w:r w:rsidRPr="00090507">
        <w:rPr>
          <w:bCs/>
          <w:i/>
          <w:iCs/>
          <w:sz w:val="22"/>
          <w:szCs w:val="22"/>
        </w:rPr>
        <w:t>gariepinus</w:t>
      </w:r>
      <w:proofErr w:type="spellEnd"/>
      <w:r w:rsidRPr="00090507">
        <w:rPr>
          <w:bCs/>
          <w:sz w:val="22"/>
          <w:szCs w:val="22"/>
        </w:rPr>
        <w:t>, specifically comparing groups fed with a standard diet, mushroom-supplemented diet, turmeric-supplemented diet, and a combination of mushroom and turmeric. The results are presented as mean values with their standard errors (± SEM).</w:t>
      </w:r>
    </w:p>
    <w:p w14:paraId="4DAFBF9F" w14:textId="77777777" w:rsidR="00D93F39" w:rsidRDefault="00B37602" w:rsidP="00D93F39">
      <w:pPr>
        <w:rPr>
          <w:bCs/>
          <w:sz w:val="22"/>
          <w:szCs w:val="22"/>
        </w:rPr>
      </w:pPr>
      <w:r w:rsidRPr="00090507">
        <w:rPr>
          <w:bCs/>
          <w:sz w:val="22"/>
          <w:szCs w:val="22"/>
        </w:rPr>
        <w:t>The highest WBC count was observed in the group fed with turmeric alone (51.60 ± 1.10) as shown in figure 1. The combination of mushroom and turmeric also resulted in a relatively high WBC count (49.55 ± 0.05), suggesting a potential synergistic effect. However, mushroom supplementation alone showed a reduction in WBC count compared to the control (42.10 ± 2.50). The turmeric-supplemented group showed the highest RBC count (3.10 ± 0.19). In contrast, the group receiving both mushroom and turmeric had the lowest RBC count (1.83 ± 0.39), mushroom alone also decreased RBC levels compared to the control (figure 2).</w:t>
      </w:r>
    </w:p>
    <w:p w14:paraId="6A5702F6" w14:textId="77777777" w:rsidR="00D93F39" w:rsidRDefault="00B37602" w:rsidP="00D93F39">
      <w:pPr>
        <w:rPr>
          <w:bCs/>
          <w:sz w:val="22"/>
          <w:szCs w:val="22"/>
        </w:rPr>
      </w:pPr>
      <w:r w:rsidRPr="00090507">
        <w:rPr>
          <w:bCs/>
          <w:sz w:val="22"/>
          <w:szCs w:val="22"/>
        </w:rPr>
        <w:t>Haemoglobin levels were significantly higher in the turmeric group (9.45 ± 0.85) as shown in figure 3, which aligns with its higher RBC count and suggests improved oxygen-carrying capacity. The lowest haemoglobin levels were found in the combination group (4.35 ± 2.25), indicating that the combined supplementation may adversely affect haemoglobin synthesis or stability. The haematocrit (HCT) value, which indicates the proportion of red blood cells in the blood, was highest in the turmeric group (45.35 ± 3.35). The groups fed with mushroom alone or in combination with turmeric showed reduced haematocrit levels (figure 4), suggesting a lesser or even negative impact on blood cell volume.</w:t>
      </w:r>
    </w:p>
    <w:p w14:paraId="27198D28" w14:textId="77777777" w:rsidR="00D93F39" w:rsidRDefault="00B37602" w:rsidP="00D93F39">
      <w:pPr>
        <w:rPr>
          <w:bCs/>
          <w:sz w:val="22"/>
          <w:szCs w:val="22"/>
        </w:rPr>
      </w:pPr>
      <w:r w:rsidRPr="00090507">
        <w:rPr>
          <w:bCs/>
          <w:sz w:val="22"/>
          <w:szCs w:val="22"/>
        </w:rPr>
        <w:t>The Mean Corpuscular Volume (MCV), which measures the average size of red blood cells, was highest in the group given both mushroom and turmeric (164.80 ± 3.70), indicating larger red blood cells. Mushroom supplementation alone also resulted in a high MCV, which might suggest a specific effect of mushrooms on red blood cell morphology (figure 5).</w:t>
      </w:r>
    </w:p>
    <w:p w14:paraId="1A48FFB1" w14:textId="77777777" w:rsidR="00D93F39" w:rsidRDefault="00B37602" w:rsidP="00D93F39">
      <w:pPr>
        <w:rPr>
          <w:bCs/>
          <w:sz w:val="22"/>
          <w:szCs w:val="22"/>
        </w:rPr>
      </w:pPr>
      <w:r w:rsidRPr="00090507">
        <w:rPr>
          <w:bCs/>
          <w:sz w:val="22"/>
          <w:szCs w:val="22"/>
        </w:rPr>
        <w:t xml:space="preserve">Mean Corpuscular Hemoglobin (MCH), which measures the amount of haemoglobin per red blood cell, was highest in the turmeric group (30.45 ± 0.85). The combination group showed a notably lower MCH (22.15 ± 7.55), suggesting a potential dilution effect or interference in haemoglobin synthesis when both mushroom and turmeric are used together (figure 6). The Mean Corpuscular Haemoglobin Concentration (MCHC), which indicates the concentration of haemoglobin in red blood cells, was significantly reduced in the combination group (13.35 ± 4.25). The turmeric group maintained a stable MCHC similar to the control group, showing no adverse effects on haemoglobin concentration (figure 7). </w:t>
      </w:r>
    </w:p>
    <w:p w14:paraId="7D85D9B3" w14:textId="77777777" w:rsidR="00D93F39" w:rsidRDefault="00B37602" w:rsidP="00D93F39">
      <w:pPr>
        <w:rPr>
          <w:bCs/>
          <w:sz w:val="22"/>
          <w:szCs w:val="22"/>
        </w:rPr>
      </w:pPr>
      <w:r w:rsidRPr="00090507">
        <w:rPr>
          <w:bCs/>
          <w:sz w:val="22"/>
          <w:szCs w:val="22"/>
        </w:rPr>
        <w:t>Platelet count was markedly increased in the combination group (89.50 ± 29.50), suggesting that the combination of mushroom and turmeric may have a synergistic effect on platelet production or release. Both mushroom and turmeric alone resulted in lower platelet counts compared to the control (figure 8).</w:t>
      </w:r>
    </w:p>
    <w:p w14:paraId="12FDB545" w14:textId="77777777" w:rsidR="00B37602" w:rsidRPr="00D93F39" w:rsidRDefault="00B37602" w:rsidP="00D93F39">
      <w:pPr>
        <w:rPr>
          <w:rFonts w:eastAsia="Calibri"/>
          <w:b/>
          <w:bCs/>
          <w:kern w:val="2"/>
          <w:sz w:val="22"/>
          <w:szCs w:val="22"/>
        </w:rPr>
      </w:pPr>
      <w:r w:rsidRPr="00090507">
        <w:rPr>
          <w:bCs/>
          <w:sz w:val="22"/>
          <w:szCs w:val="22"/>
        </w:rPr>
        <w:t xml:space="preserve">Turmeric supplementation alone appears to enhance immune function and red blood cell parameters, as evidenced by higher WBC, RBC, HGB, and HCT values. Mushroom supplementation alone shows a moderate impact on blood parameters, with a notable increase in MCV, which may suggest larger but fewer red blood cells. The </w:t>
      </w:r>
      <w:r w:rsidRPr="00090507">
        <w:rPr>
          <w:bCs/>
          <w:sz w:val="22"/>
          <w:szCs w:val="22"/>
        </w:rPr>
        <w:lastRenderedPageBreak/>
        <w:t>combination of mushroom and turmeric shows mixed results: it significantly increases MCV and platelet count but decreases RBC, HGB, MCH, and MCHC</w:t>
      </w:r>
      <w:r w:rsidRPr="00820DD5">
        <w:rPr>
          <w:bCs/>
          <w:sz w:val="22"/>
          <w:szCs w:val="22"/>
        </w:rPr>
        <w:t xml:space="preserve">. </w:t>
      </w:r>
    </w:p>
    <w:p w14:paraId="2A1FDAAE" w14:textId="77777777" w:rsidR="00D93F39" w:rsidRDefault="00230069" w:rsidP="00B37602">
      <w:pPr>
        <w:pStyle w:val="1"/>
        <w:spacing w:before="240" w:after="120"/>
        <w:ind w:leftChars="1020" w:left="2040" w:firstLine="30"/>
        <w:rPr>
          <w:rFonts w:ascii="Times New Roman" w:eastAsiaTheme="minorEastAsia" w:hAnsi="Times New Roman" w:cs="Times New Roman"/>
          <w:b w:val="0"/>
          <w:color w:val="auto"/>
          <w:kern w:val="2"/>
          <w:lang w:eastAsia="en-GB"/>
        </w:rPr>
      </w:pPr>
      <w:r w:rsidRPr="00820DD5">
        <w:rPr>
          <w:rFonts w:ascii="Times New Roman" w:hAnsi="Times New Roman" w:cs="Times New Roman"/>
          <w:color w:val="auto"/>
          <w:sz w:val="22"/>
          <w:szCs w:val="22"/>
        </w:rPr>
        <w:object w:dxaOrig="9014" w:dyaOrig="4205" w14:anchorId="540F0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85pt;height:185.35pt" o:ole="">
            <v:imagedata r:id="rId7" o:title=""/>
          </v:shape>
          <o:OLEObject Type="Embed" ProgID="Prism5.Document" ShapeID="_x0000_i1025" DrawAspect="Content" ObjectID="_1832333820" r:id="rId8"/>
        </w:object>
      </w:r>
      <w:r w:rsidR="00B37602" w:rsidRPr="00820DD5">
        <w:rPr>
          <w:rFonts w:ascii="Times New Roman" w:eastAsiaTheme="minorEastAsia" w:hAnsi="Times New Roman" w:cs="Times New Roman"/>
          <w:b w:val="0"/>
          <w:color w:val="auto"/>
          <w:kern w:val="2"/>
          <w:lang w:eastAsia="en-GB"/>
        </w:rPr>
        <w:t xml:space="preserve"> </w:t>
      </w:r>
    </w:p>
    <w:p w14:paraId="23150B0C" w14:textId="77777777" w:rsidR="00B37602" w:rsidRPr="00904797" w:rsidRDefault="00B37602" w:rsidP="00D93F39">
      <w:pPr>
        <w:rPr>
          <w:b/>
        </w:rPr>
      </w:pPr>
      <w:r w:rsidRPr="00904797">
        <w:rPr>
          <w:b/>
        </w:rPr>
        <w:t>Figure 1: White Blood Cells (WBC) level in the Serum of Various Experimental Groups</w:t>
      </w:r>
    </w:p>
    <w:p w14:paraId="795589EC" w14:textId="77777777" w:rsidR="00B37602" w:rsidRPr="00904797" w:rsidRDefault="00B37602" w:rsidP="00D93F39">
      <w:pPr>
        <w:rPr>
          <w:b/>
        </w:rPr>
      </w:pPr>
      <w:r w:rsidRPr="00904797">
        <w:rPr>
          <w:b/>
        </w:rPr>
        <w:t xml:space="preserve">a, b, c represents significance differences (P&lt;0.05) across the groups. </w:t>
      </w:r>
    </w:p>
    <w:p w14:paraId="61991646" w14:textId="77777777" w:rsidR="00B37602" w:rsidRPr="00904797" w:rsidRDefault="00B37602" w:rsidP="00D93F39">
      <w:pPr>
        <w:rPr>
          <w:b/>
        </w:rPr>
      </w:pPr>
      <w:r w:rsidRPr="00904797">
        <w:rPr>
          <w:b/>
        </w:rPr>
        <w:t>Similar alphabets indicate no statistical significance.</w:t>
      </w:r>
    </w:p>
    <w:p w14:paraId="48F858DD" w14:textId="77777777" w:rsidR="00B37602" w:rsidRPr="00820DD5" w:rsidRDefault="00230069"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957" w:dyaOrig="4032" w14:anchorId="5F4D9527">
          <v:shape id="_x0000_i1026" type="#_x0000_t75" style="width:214.55pt;height:169.65pt" o:ole="">
            <v:imagedata r:id="rId9" o:title=""/>
          </v:shape>
          <o:OLEObject Type="Embed" ProgID="Prism5.Document" ShapeID="_x0000_i1026" DrawAspect="Content" ObjectID="_1832333821" r:id="rId10"/>
        </w:object>
      </w:r>
      <w:r w:rsidR="00B37602" w:rsidRPr="00820DD5">
        <w:rPr>
          <w:rFonts w:ascii="Times New Roman" w:eastAsiaTheme="minorEastAsia" w:hAnsi="Times New Roman" w:cs="Times New Roman"/>
          <w:b w:val="0"/>
          <w:color w:val="auto"/>
          <w:kern w:val="2"/>
          <w:lang w:eastAsia="en-GB"/>
        </w:rPr>
        <w:t xml:space="preserve"> </w:t>
      </w:r>
    </w:p>
    <w:p w14:paraId="7A760387" w14:textId="77777777" w:rsidR="00B37602" w:rsidRPr="00904797" w:rsidRDefault="00B37602" w:rsidP="00230069">
      <w:pPr>
        <w:rPr>
          <w:b/>
        </w:rPr>
      </w:pPr>
      <w:r w:rsidRPr="00904797">
        <w:rPr>
          <w:b/>
        </w:rPr>
        <w:t>Figure 2: Red Blood Cells (RBC) levels in the Serum of the Experimental Groups</w:t>
      </w:r>
    </w:p>
    <w:p w14:paraId="1C724BCE" w14:textId="77777777" w:rsidR="00B37602" w:rsidRPr="00904797" w:rsidRDefault="00B37602" w:rsidP="00230069">
      <w:pPr>
        <w:rPr>
          <w:b/>
        </w:rPr>
      </w:pPr>
      <w:r w:rsidRPr="00904797">
        <w:rPr>
          <w:b/>
        </w:rPr>
        <w:t xml:space="preserve">a, b, c represents significance differences (P&lt;0.05) across the groups. </w:t>
      </w:r>
    </w:p>
    <w:p w14:paraId="67D2D7C1" w14:textId="77777777" w:rsidR="00B37602" w:rsidRPr="00904797" w:rsidRDefault="00B37602" w:rsidP="00230069">
      <w:r w:rsidRPr="00904797">
        <w:rPr>
          <w:b/>
        </w:rPr>
        <w:t>Similar alphabets indicate no statistical significance.</w:t>
      </w:r>
    </w:p>
    <w:p w14:paraId="1EABF09D"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755" w:dyaOrig="4262" w14:anchorId="3E5FE73D">
          <v:shape id="_x0000_i1027" type="#_x0000_t75" style="width:223.85pt;height:168.95pt" o:ole="">
            <v:imagedata r:id="rId11" o:title=""/>
          </v:shape>
          <o:OLEObject Type="Embed" ProgID="Prism5.Document" ShapeID="_x0000_i1027" DrawAspect="Content" ObjectID="_1832333822" r:id="rId12"/>
        </w:object>
      </w:r>
    </w:p>
    <w:p w14:paraId="453A8749" w14:textId="77777777" w:rsidR="00B37602" w:rsidRPr="00C20E78" w:rsidRDefault="00B37602" w:rsidP="00230069">
      <w:pPr>
        <w:rPr>
          <w:b/>
        </w:rPr>
      </w:pPr>
      <w:r w:rsidRPr="00C20E78">
        <w:rPr>
          <w:b/>
        </w:rPr>
        <w:t>Figure 3: Haemoglobin (HB) level in the serum of the Experimental Groups</w:t>
      </w:r>
    </w:p>
    <w:p w14:paraId="7164C399" w14:textId="77777777" w:rsidR="00B37602" w:rsidRPr="00C20E78" w:rsidRDefault="00B37602" w:rsidP="00230069">
      <w:pPr>
        <w:rPr>
          <w:b/>
        </w:rPr>
      </w:pPr>
      <w:r w:rsidRPr="00C20E78">
        <w:rPr>
          <w:b/>
        </w:rPr>
        <w:t xml:space="preserve">a, b, c represents significance differences (P&lt;0.05) across the groups. </w:t>
      </w:r>
    </w:p>
    <w:p w14:paraId="41B0BABF" w14:textId="77777777" w:rsidR="00B37602" w:rsidRPr="00820DD5" w:rsidRDefault="00B37602" w:rsidP="00230069">
      <w:pPr>
        <w:rPr>
          <w:sz w:val="22"/>
          <w:szCs w:val="22"/>
        </w:rPr>
      </w:pPr>
      <w:r w:rsidRPr="00C20E78">
        <w:rPr>
          <w:b/>
        </w:rPr>
        <w:t>Similar alphabets indicate no statistical significance.</w:t>
      </w:r>
    </w:p>
    <w:p w14:paraId="33F8F619"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957" w:dyaOrig="4810" w14:anchorId="0036E27C">
          <v:shape id="_x0000_i1028" type="#_x0000_t75" style="width:231.7pt;height:174.65pt" o:ole="">
            <v:imagedata r:id="rId13" o:title=""/>
          </v:shape>
          <o:OLEObject Type="Embed" ProgID="Prism5.Document" ShapeID="_x0000_i1028" DrawAspect="Content" ObjectID="_1832333823" r:id="rId14"/>
        </w:object>
      </w:r>
    </w:p>
    <w:p w14:paraId="7105E636" w14:textId="77777777" w:rsidR="00B37602" w:rsidRPr="00C20E78" w:rsidRDefault="00B37602" w:rsidP="00230069">
      <w:pPr>
        <w:rPr>
          <w:b/>
        </w:rPr>
      </w:pPr>
      <w:r w:rsidRPr="00C20E78">
        <w:rPr>
          <w:b/>
        </w:rPr>
        <w:t>Figure 4: Haematocrit Level in the Serum of the Experimental Groups</w:t>
      </w:r>
    </w:p>
    <w:p w14:paraId="0A5D8A40" w14:textId="77777777" w:rsidR="00B37602" w:rsidRPr="00C20E78" w:rsidRDefault="00B37602" w:rsidP="00230069">
      <w:pPr>
        <w:rPr>
          <w:b/>
        </w:rPr>
      </w:pPr>
      <w:r w:rsidRPr="00C20E78">
        <w:rPr>
          <w:b/>
        </w:rPr>
        <w:t xml:space="preserve">a, b, c represents significance differences (P&lt;0.05) across the groups. </w:t>
      </w:r>
    </w:p>
    <w:p w14:paraId="418D6AA1" w14:textId="77777777" w:rsidR="00C20E78" w:rsidRDefault="00C20E78" w:rsidP="00230069">
      <w:pPr>
        <w:rPr>
          <w:b/>
          <w:sz w:val="22"/>
        </w:rPr>
      </w:pPr>
      <w:r w:rsidRPr="00C20E78">
        <w:rPr>
          <w:b/>
        </w:rPr>
        <w:t>Similar alphabets indicate no statistical significance</w:t>
      </w:r>
    </w:p>
    <w:p w14:paraId="694070DC" w14:textId="77777777" w:rsidR="00C20E78" w:rsidRPr="00C20E78" w:rsidRDefault="00C20E78" w:rsidP="00230069">
      <w:pPr>
        <w:rPr>
          <w:b/>
          <w:sz w:val="22"/>
        </w:rPr>
      </w:pPr>
    </w:p>
    <w:p w14:paraId="6836A7F9" w14:textId="77777777" w:rsidR="00B37602" w:rsidRPr="00820DD5" w:rsidRDefault="00C20E78" w:rsidP="00C20E78">
      <w:pPr>
        <w:rPr>
          <w:sz w:val="22"/>
          <w:szCs w:val="22"/>
        </w:rPr>
      </w:pPr>
      <w:r w:rsidRPr="00820DD5">
        <w:rPr>
          <w:sz w:val="22"/>
          <w:szCs w:val="22"/>
        </w:rPr>
        <w:object w:dxaOrig="8957" w:dyaOrig="4752" w14:anchorId="549B61EC">
          <v:shape id="_x0000_i1029" type="#_x0000_t75" style="width:203.9pt;height:146.15pt" o:ole="">
            <v:imagedata r:id="rId15" o:title=""/>
          </v:shape>
          <o:OLEObject Type="Embed" ProgID="Prism5.Document" ShapeID="_x0000_i1029" DrawAspect="Content" ObjectID="_1832333824" r:id="rId16"/>
        </w:object>
      </w:r>
    </w:p>
    <w:p w14:paraId="13D6E58F" w14:textId="77777777" w:rsidR="00B37602" w:rsidRPr="00C20E78" w:rsidRDefault="00B37602" w:rsidP="00230069">
      <w:pPr>
        <w:rPr>
          <w:b/>
        </w:rPr>
      </w:pPr>
      <w:r w:rsidRPr="00C20E78">
        <w:rPr>
          <w:b/>
        </w:rPr>
        <w:t>Figure 5: Mean Corpuscular Volume (MCV) Level in the Serum of the Experimental Groups</w:t>
      </w:r>
    </w:p>
    <w:p w14:paraId="36315A38" w14:textId="77777777" w:rsidR="00B37602" w:rsidRPr="00C20E78" w:rsidRDefault="00B37602" w:rsidP="00230069">
      <w:pPr>
        <w:rPr>
          <w:b/>
        </w:rPr>
      </w:pPr>
      <w:r w:rsidRPr="00C20E78">
        <w:rPr>
          <w:b/>
        </w:rPr>
        <w:t xml:space="preserve">a, b, c represents significance differences (P&lt;0.05) across the groups. </w:t>
      </w:r>
    </w:p>
    <w:p w14:paraId="1E5EE3D2" w14:textId="77777777" w:rsidR="00B37602" w:rsidRPr="00C20E78" w:rsidRDefault="00B37602" w:rsidP="00230069">
      <w:pPr>
        <w:rPr>
          <w:b/>
          <w:sz w:val="22"/>
        </w:rPr>
      </w:pPr>
      <w:r w:rsidRPr="00C20E78">
        <w:rPr>
          <w:b/>
        </w:rPr>
        <w:t>Similar alphabets indicate no statistical significance.</w:t>
      </w:r>
    </w:p>
    <w:p w14:paraId="3956C216"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8899" w:dyaOrig="5098" w14:anchorId="68088163">
          <v:shape id="_x0000_i1030" type="#_x0000_t75" style="width:197.45pt;height:158.95pt" o:ole="">
            <v:imagedata r:id="rId17" o:title=""/>
          </v:shape>
          <o:OLEObject Type="Embed" ProgID="Prism5.Document" ShapeID="_x0000_i1030" DrawAspect="Content" ObjectID="_1832333825" r:id="rId18"/>
        </w:object>
      </w:r>
    </w:p>
    <w:p w14:paraId="506094D1" w14:textId="77777777" w:rsidR="00B37602" w:rsidRPr="00904797" w:rsidRDefault="00B37602" w:rsidP="00230069">
      <w:pPr>
        <w:rPr>
          <w:b/>
        </w:rPr>
      </w:pPr>
      <w:r w:rsidRPr="00904797">
        <w:rPr>
          <w:b/>
        </w:rPr>
        <w:t>Figure 6: Mean Corpuscular Haemoglobin (MCH) Level in the Serum of the Experimental Groups</w:t>
      </w:r>
    </w:p>
    <w:p w14:paraId="2439F310" w14:textId="77777777" w:rsidR="00B37602" w:rsidRPr="00904797" w:rsidRDefault="00B37602" w:rsidP="00230069">
      <w:pPr>
        <w:rPr>
          <w:b/>
        </w:rPr>
      </w:pPr>
      <w:r w:rsidRPr="00904797">
        <w:rPr>
          <w:b/>
        </w:rPr>
        <w:t xml:space="preserve">a, b, c represents significance differences (P&lt;0.05) </w:t>
      </w:r>
      <w:r w:rsidR="00C20E78" w:rsidRPr="00904797">
        <w:rPr>
          <w:b/>
        </w:rPr>
        <w:t>across the groups.</w:t>
      </w:r>
    </w:p>
    <w:p w14:paraId="5E2E7E2F" w14:textId="77777777" w:rsidR="00C20E78" w:rsidRPr="00C20E78" w:rsidRDefault="00C20E78" w:rsidP="00230069">
      <w:pPr>
        <w:rPr>
          <w:sz w:val="16"/>
        </w:rPr>
      </w:pPr>
      <w:r w:rsidRPr="00904797">
        <w:rPr>
          <w:b/>
        </w:rPr>
        <w:t>Similar alphabets indicate no statistical significance.</w:t>
      </w:r>
    </w:p>
    <w:p w14:paraId="38ABB4F4" w14:textId="77777777" w:rsidR="00B37602" w:rsidRPr="00820DD5" w:rsidRDefault="00230069" w:rsidP="00230069">
      <w:pPr>
        <w:rPr>
          <w:sz w:val="22"/>
          <w:szCs w:val="22"/>
        </w:rPr>
      </w:pPr>
      <w:r w:rsidRPr="00820DD5">
        <w:rPr>
          <w:sz w:val="22"/>
          <w:szCs w:val="22"/>
        </w:rPr>
        <w:object w:dxaOrig="8899" w:dyaOrig="4637" w14:anchorId="29589559">
          <v:shape id="_x0000_i1031" type="#_x0000_t75" style="width:235.25pt;height:188.2pt" o:ole="">
            <v:imagedata r:id="rId19" o:title=""/>
          </v:shape>
          <o:OLEObject Type="Embed" ProgID="Prism5.Document" ShapeID="_x0000_i1031" DrawAspect="Content" ObjectID="_1832333826" r:id="rId20"/>
        </w:object>
      </w:r>
    </w:p>
    <w:p w14:paraId="2E49D35A" w14:textId="77777777" w:rsidR="00B37602" w:rsidRPr="00904797" w:rsidRDefault="00B37602" w:rsidP="00230069">
      <w:pPr>
        <w:rPr>
          <w:b/>
        </w:rPr>
      </w:pPr>
      <w:r w:rsidRPr="00904797">
        <w:rPr>
          <w:b/>
        </w:rPr>
        <w:t>Figure 7: Mean Corpuscular Hemoglobin Concentration (MCHC) Level in the Serum of the Experimental Groups</w:t>
      </w:r>
    </w:p>
    <w:p w14:paraId="613DEDF3" w14:textId="77777777" w:rsidR="00B37602" w:rsidRPr="00904797" w:rsidRDefault="00B37602" w:rsidP="00230069">
      <w:pPr>
        <w:rPr>
          <w:b/>
        </w:rPr>
      </w:pPr>
      <w:r w:rsidRPr="00904797">
        <w:rPr>
          <w:b/>
        </w:rPr>
        <w:t xml:space="preserve">a, b, c represents significance differences (P&lt;0.05) across the groups. </w:t>
      </w:r>
    </w:p>
    <w:p w14:paraId="1FDE5D58" w14:textId="77777777" w:rsidR="00B37602" w:rsidRPr="00904797" w:rsidRDefault="00B37602" w:rsidP="00C20E78">
      <w:pPr>
        <w:rPr>
          <w:b/>
        </w:rPr>
      </w:pPr>
      <w:r w:rsidRPr="00904797">
        <w:rPr>
          <w:b/>
        </w:rPr>
        <w:t>Similar alphabets indicate no statistical significance.</w:t>
      </w:r>
    </w:p>
    <w:p w14:paraId="30AFB92F" w14:textId="77777777" w:rsidR="00B37602" w:rsidRPr="00820DD5" w:rsidRDefault="00C20E78" w:rsidP="00B37602">
      <w:pPr>
        <w:pStyle w:val="1"/>
        <w:spacing w:before="240" w:after="120"/>
        <w:ind w:leftChars="1080" w:left="2160"/>
        <w:rPr>
          <w:rFonts w:ascii="Times New Roman" w:hAnsi="Times New Roman" w:cs="Times New Roman"/>
          <w:color w:val="auto"/>
          <w:sz w:val="22"/>
          <w:szCs w:val="22"/>
        </w:rPr>
      </w:pPr>
      <w:r w:rsidRPr="00820DD5">
        <w:rPr>
          <w:rFonts w:ascii="Times New Roman" w:hAnsi="Times New Roman" w:cs="Times New Roman"/>
          <w:color w:val="auto"/>
          <w:sz w:val="22"/>
          <w:szCs w:val="22"/>
        </w:rPr>
        <w:object w:dxaOrig="9274" w:dyaOrig="4147" w14:anchorId="46663DC4">
          <v:shape id="_x0000_i1032" type="#_x0000_t75" style="width:214.55pt;height:149pt" o:ole="">
            <v:imagedata r:id="rId21" o:title=""/>
          </v:shape>
          <o:OLEObject Type="Embed" ProgID="Prism5.Document" ShapeID="_x0000_i1032" DrawAspect="Content" ObjectID="_1832333827" r:id="rId22"/>
        </w:object>
      </w:r>
    </w:p>
    <w:p w14:paraId="60600D19" w14:textId="77777777" w:rsidR="00B37602" w:rsidRPr="00C20E78" w:rsidRDefault="00B37602" w:rsidP="00C20E78">
      <w:pPr>
        <w:rPr>
          <w:b/>
        </w:rPr>
      </w:pPr>
      <w:r w:rsidRPr="00C20E78">
        <w:rPr>
          <w:b/>
        </w:rPr>
        <w:t>Figure 8: Platelets Level in the Serum of the Experimental Groups</w:t>
      </w:r>
    </w:p>
    <w:p w14:paraId="5FE36DCB" w14:textId="77777777" w:rsidR="00B37602" w:rsidRPr="00C20E78" w:rsidRDefault="00B37602" w:rsidP="00C20E78">
      <w:pPr>
        <w:rPr>
          <w:b/>
        </w:rPr>
      </w:pPr>
      <w:r w:rsidRPr="00C20E78">
        <w:rPr>
          <w:b/>
        </w:rPr>
        <w:t xml:space="preserve">a, b, c represents significance differences (P&lt;0.05) across the groups. </w:t>
      </w:r>
    </w:p>
    <w:p w14:paraId="32F7EC4C" w14:textId="77777777" w:rsidR="00B37602" w:rsidRPr="00C20E78" w:rsidRDefault="00B37602" w:rsidP="00C20E78">
      <w:pPr>
        <w:rPr>
          <w:b/>
        </w:rPr>
      </w:pPr>
      <w:r w:rsidRPr="00C20E78">
        <w:rPr>
          <w:b/>
        </w:rPr>
        <w:t>Similar alphabets indicate no statistical significance.</w:t>
      </w:r>
    </w:p>
    <w:p w14:paraId="6C30FA7F" w14:textId="77777777" w:rsidR="00786854" w:rsidRDefault="00786854" w:rsidP="00786854">
      <w:pPr>
        <w:rPr>
          <w:sz w:val="22"/>
          <w:szCs w:val="22"/>
        </w:rPr>
      </w:pPr>
    </w:p>
    <w:p w14:paraId="2E06C0A4" w14:textId="77777777" w:rsidR="00B37602" w:rsidRPr="00786854" w:rsidRDefault="00904797" w:rsidP="00786854">
      <w:pPr>
        <w:rPr>
          <w:b/>
          <w:sz w:val="22"/>
          <w:szCs w:val="22"/>
        </w:rPr>
      </w:pPr>
      <w:r>
        <w:rPr>
          <w:b/>
          <w:sz w:val="22"/>
          <w:szCs w:val="22"/>
        </w:rPr>
        <w:lastRenderedPageBreak/>
        <w:t>3.2</w:t>
      </w:r>
      <w:r>
        <w:rPr>
          <w:b/>
          <w:sz w:val="22"/>
          <w:szCs w:val="22"/>
        </w:rPr>
        <w:tab/>
      </w:r>
      <w:r w:rsidR="00B37602" w:rsidRPr="00786854">
        <w:rPr>
          <w:b/>
          <w:sz w:val="22"/>
          <w:szCs w:val="22"/>
        </w:rPr>
        <w:t>Nephrological Analysis</w:t>
      </w:r>
    </w:p>
    <w:p w14:paraId="541919A3" w14:textId="77777777" w:rsidR="00B37602" w:rsidRPr="00786854" w:rsidRDefault="00B37602" w:rsidP="00786854">
      <w:pPr>
        <w:rPr>
          <w:sz w:val="22"/>
          <w:szCs w:val="22"/>
        </w:rPr>
      </w:pPr>
      <w:r w:rsidRPr="00786854">
        <w:rPr>
          <w:sz w:val="22"/>
          <w:szCs w:val="22"/>
        </w:rPr>
        <w:t xml:space="preserve">Figures 9 -10 presents the effects of different dietary treatments on various biochemical parameters of the liver of </w:t>
      </w:r>
      <w:proofErr w:type="spellStart"/>
      <w:r w:rsidRPr="00786854">
        <w:rPr>
          <w:i/>
          <w:sz w:val="22"/>
          <w:szCs w:val="22"/>
        </w:rPr>
        <w:t>Clarias</w:t>
      </w:r>
      <w:proofErr w:type="spellEnd"/>
      <w:r w:rsidRPr="00786854">
        <w:rPr>
          <w:sz w:val="22"/>
          <w:szCs w:val="22"/>
        </w:rPr>
        <w:t xml:space="preserve"> </w:t>
      </w:r>
      <w:proofErr w:type="spellStart"/>
      <w:r w:rsidRPr="00786854">
        <w:rPr>
          <w:i/>
          <w:sz w:val="22"/>
          <w:szCs w:val="22"/>
        </w:rPr>
        <w:t>gariepinus</w:t>
      </w:r>
      <w:proofErr w:type="spellEnd"/>
      <w:r w:rsidRPr="00786854">
        <w:rPr>
          <w:sz w:val="22"/>
          <w:szCs w:val="22"/>
        </w:rPr>
        <w:t xml:space="preserve">, specifically comparing groups fed with standard feed, feed supplemented with mushroom, turmeric, and a combination of both. The results are expressed as mean values ± standard error, with different letters indicating significant differences between groups based on Duncan's post hoc test. </w:t>
      </w:r>
    </w:p>
    <w:p w14:paraId="61F955AF" w14:textId="77777777" w:rsidR="00B37602" w:rsidRPr="00786854" w:rsidRDefault="00B37602" w:rsidP="00786854">
      <w:pPr>
        <w:rPr>
          <w:sz w:val="22"/>
          <w:szCs w:val="22"/>
        </w:rPr>
      </w:pPr>
      <w:r w:rsidRPr="00786854">
        <w:rPr>
          <w:sz w:val="22"/>
          <w:szCs w:val="22"/>
        </w:rPr>
        <w:t>There are no significant differences in creatinine levels among the groups as all are marked with "a" (Figure 9), suggesting that renal function remains stable across all dietary treatments. Normal creatinine levels indicate that none of the supplements are causing kidney stress or damage. The combination group (Feed + Mushroom + Turmeric) shows significantly higher urea levels (9.62 ± 0.60) compared to the other groups (figure 10), which could suggest increased protein catabolism or altered kidney function. The turmeric group also has relatively high urea levels (9.06 ± 0.71) but not significantly different from the control and mushroom groups (marked as "ab").</w:t>
      </w:r>
    </w:p>
    <w:p w14:paraId="355901C0" w14:textId="77777777" w:rsidR="00B37602" w:rsidRPr="00820DD5" w:rsidRDefault="00B37602" w:rsidP="00786854">
      <w:pPr>
        <w:rPr>
          <w:bCs/>
        </w:rPr>
      </w:pPr>
      <w:r w:rsidRPr="00786854">
        <w:rPr>
          <w:sz w:val="22"/>
          <w:szCs w:val="22"/>
        </w:rPr>
        <w:t>No significant differences in creatinine levels indicate that none of the dietary treatments adversely affects renal function. However, the combination group shows slightly higher urea levels, which may require further investigation.</w:t>
      </w:r>
    </w:p>
    <w:p w14:paraId="32A50129" w14:textId="77777777" w:rsidR="00C20E78" w:rsidRDefault="00786854" w:rsidP="00B37602">
      <w:pPr>
        <w:pStyle w:val="1"/>
        <w:spacing w:before="240" w:after="120"/>
        <w:ind w:leftChars="1035" w:left="2070"/>
        <w:rPr>
          <w:rFonts w:ascii="Times New Roman" w:hAnsi="Times New Roman" w:cs="Times New Roman"/>
          <w:color w:val="auto"/>
        </w:rPr>
      </w:pPr>
      <w:r w:rsidRPr="00820DD5">
        <w:rPr>
          <w:rFonts w:ascii="Times New Roman" w:hAnsi="Times New Roman" w:cs="Times New Roman"/>
          <w:bCs/>
          <w:color w:val="auto"/>
          <w:sz w:val="22"/>
          <w:szCs w:val="22"/>
        </w:rPr>
        <w:object w:dxaOrig="8899" w:dyaOrig="4637" w14:anchorId="5B5C5826">
          <v:shape id="_x0000_i1033" type="#_x0000_t75" style="width:210.3pt;height:146.85pt" o:ole="">
            <v:imagedata r:id="rId23" o:title=""/>
          </v:shape>
          <o:OLEObject Type="Embed" ProgID="Prism5.Document" ShapeID="_x0000_i1033" DrawAspect="Content" ObjectID="_1832333828" r:id="rId24"/>
        </w:object>
      </w:r>
      <w:r w:rsidR="00B37602" w:rsidRPr="00820DD5">
        <w:rPr>
          <w:rFonts w:ascii="Times New Roman" w:hAnsi="Times New Roman" w:cs="Times New Roman"/>
          <w:color w:val="auto"/>
        </w:rPr>
        <w:t xml:space="preserve"> </w:t>
      </w:r>
    </w:p>
    <w:p w14:paraId="7F2A56A3" w14:textId="77777777" w:rsidR="00B37602" w:rsidRPr="00C20E78" w:rsidRDefault="00B37602" w:rsidP="00C20E78">
      <w:pPr>
        <w:rPr>
          <w:b/>
        </w:rPr>
      </w:pPr>
      <w:r w:rsidRPr="00C20E78">
        <w:rPr>
          <w:b/>
        </w:rPr>
        <w:t>Figure 9: Creatinine Levels in the Kidney of the Experimental Groups</w:t>
      </w:r>
    </w:p>
    <w:p w14:paraId="164A95C4" w14:textId="77777777" w:rsidR="00B37602" w:rsidRPr="00C20E78" w:rsidRDefault="00B37602" w:rsidP="00C20E78">
      <w:pPr>
        <w:rPr>
          <w:b/>
        </w:rPr>
      </w:pPr>
      <w:r w:rsidRPr="00C20E78">
        <w:rPr>
          <w:b/>
        </w:rPr>
        <w:t xml:space="preserve">a, b, c represents significance differences (P&lt;0.05) across the groups. </w:t>
      </w:r>
    </w:p>
    <w:p w14:paraId="46603F11" w14:textId="77777777" w:rsidR="00B37602" w:rsidRPr="00820DD5" w:rsidRDefault="00B37602" w:rsidP="00C20E78">
      <w:pPr>
        <w:rPr>
          <w:bCs/>
          <w:sz w:val="22"/>
          <w:szCs w:val="22"/>
        </w:rPr>
      </w:pPr>
      <w:r w:rsidRPr="00C20E78">
        <w:rPr>
          <w:b/>
        </w:rPr>
        <w:t>Similar alphabets indicate no statistical significance.</w:t>
      </w:r>
    </w:p>
    <w:p w14:paraId="75605839" w14:textId="77777777" w:rsidR="00B37602" w:rsidRPr="00820DD5" w:rsidRDefault="00786854" w:rsidP="00B37602">
      <w:pPr>
        <w:pStyle w:val="1"/>
        <w:spacing w:before="240" w:after="120"/>
        <w:ind w:leftChars="1035" w:left="207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object w:dxaOrig="8899" w:dyaOrig="4954" w14:anchorId="00AEA2BE">
          <v:shape id="_x0000_i1034" type="#_x0000_t75" style="width:188.9pt;height:161.1pt" o:ole="">
            <v:imagedata r:id="rId25" o:title=""/>
          </v:shape>
          <o:OLEObject Type="Embed" ProgID="Prism5.Document" ShapeID="_x0000_i1034" DrawAspect="Content" ObjectID="_1832333829" r:id="rId26"/>
        </w:object>
      </w:r>
    </w:p>
    <w:p w14:paraId="0C2575E0" w14:textId="77777777" w:rsidR="00B37602" w:rsidRPr="00904797" w:rsidRDefault="00B37602" w:rsidP="00786854">
      <w:pPr>
        <w:rPr>
          <w:b/>
        </w:rPr>
      </w:pPr>
      <w:r w:rsidRPr="00904797">
        <w:rPr>
          <w:b/>
        </w:rPr>
        <w:t>Figure 10: Urea Levels in the Kidney of the Experimental Groups</w:t>
      </w:r>
    </w:p>
    <w:p w14:paraId="1427CCE6" w14:textId="77777777" w:rsidR="00B37602" w:rsidRPr="00904797" w:rsidRDefault="00B37602" w:rsidP="00786854">
      <w:pPr>
        <w:rPr>
          <w:b/>
        </w:rPr>
      </w:pPr>
      <w:r w:rsidRPr="00904797">
        <w:rPr>
          <w:b/>
        </w:rPr>
        <w:t xml:space="preserve">a, b, c represents significance differences (P&lt;0.05) across the groups. </w:t>
      </w:r>
    </w:p>
    <w:p w14:paraId="55EC41B6" w14:textId="77777777" w:rsidR="00B37602" w:rsidRPr="00904797" w:rsidRDefault="00B37602" w:rsidP="00786854">
      <w:pPr>
        <w:rPr>
          <w:b/>
        </w:rPr>
      </w:pPr>
      <w:r w:rsidRPr="00904797">
        <w:rPr>
          <w:b/>
        </w:rPr>
        <w:t>Similar alphabets indicate no statistical significance.</w:t>
      </w:r>
    </w:p>
    <w:p w14:paraId="63A1B8C2" w14:textId="77777777" w:rsidR="00B37602" w:rsidRPr="00904797" w:rsidRDefault="00B37602" w:rsidP="00B37602">
      <w:pPr>
        <w:pStyle w:val="1"/>
        <w:spacing w:before="240" w:after="120"/>
        <w:ind w:leftChars="1035" w:left="2070"/>
        <w:rPr>
          <w:rFonts w:ascii="Times New Roman" w:hAnsi="Times New Roman" w:cs="Times New Roman"/>
          <w:bCs/>
          <w:color w:val="auto"/>
          <w:sz w:val="22"/>
          <w:szCs w:val="22"/>
        </w:rPr>
      </w:pPr>
    </w:p>
    <w:p w14:paraId="4E39DBEB" w14:textId="77777777" w:rsidR="00B37602" w:rsidRPr="00820DD5" w:rsidRDefault="00B37602" w:rsidP="00904797">
      <w:pPr>
        <w:pStyle w:val="1"/>
        <w:numPr>
          <w:ilvl w:val="1"/>
          <w:numId w:val="7"/>
        </w:numPr>
        <w:spacing w:before="240" w:after="120"/>
        <w:ind w:leftChars="0"/>
        <w:rPr>
          <w:rFonts w:ascii="Times New Roman" w:hAnsi="Times New Roman" w:cs="Times New Roman"/>
          <w:color w:val="auto"/>
        </w:rPr>
      </w:pPr>
      <w:r w:rsidRPr="00820DD5">
        <w:rPr>
          <w:rFonts w:ascii="Times New Roman" w:hAnsi="Times New Roman" w:cs="Times New Roman"/>
          <w:color w:val="auto"/>
        </w:rPr>
        <w:lastRenderedPageBreak/>
        <w:t>Hepatological Analysis</w:t>
      </w:r>
    </w:p>
    <w:p w14:paraId="1CB6A05D"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Figures 11-16 presents the effects of different dietary treatments on various biochemical parameters of the liver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i/>
          <w:iCs/>
          <w:color w:val="auto"/>
          <w:sz w:val="22"/>
          <w:szCs w:val="22"/>
        </w:rPr>
        <w:t>gariepinus</w:t>
      </w:r>
      <w:proofErr w:type="spellEnd"/>
      <w:r w:rsidRPr="00820DD5">
        <w:rPr>
          <w:rFonts w:ascii="Times New Roman" w:hAnsi="Times New Roman" w:cs="Times New Roman"/>
          <w:b w:val="0"/>
          <w:color w:val="auto"/>
          <w:sz w:val="22"/>
          <w:szCs w:val="22"/>
        </w:rPr>
        <w:t xml:space="preserve">, specifically comparing groups fed with standard feed, feed supplemented with mushroom, turmeric, and a combination of both. The results are expressed as mean values ± standard error, with different letters indicating significant differences between groups based on Duncan's post hoc test. </w:t>
      </w:r>
    </w:p>
    <w:p w14:paraId="2532C908"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are no significant differences in the levels of Alanine Amino Transferase (ALT) among the groups (all groups are marked with "a"). This indicates that supplementation with mushroom, turmeric, or a combination does not significantly affect ALT levels compared to the control group (figure 11). </w:t>
      </w:r>
    </w:p>
    <w:p w14:paraId="2857090E"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turmeric group (15.92 ± 2.27) has significantly lower Aspartate Amino Transferase (AST) levels compared to the other groups, suggesting a potential hepatoprotective effect of turmeric. The other groups (control, mushroom, and combination) are not significantly different from each other (marked with "ab"), indicating no strong impact on AST levels (figure 12).</w:t>
      </w:r>
    </w:p>
    <w:p w14:paraId="2E032D10"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turmeric-supplemented group has significantly lower Alkaline Phosphatase (ALP) levels (marked as "b") compared to the other groups. ALP is another marker of liver and bone health, so reduced levels in the turmeric group could indicate reduced liver stress or bone turnover. The combination group (Feed + Mushroom + Turmeric) has higher ALP levels (23.48 ± 3.74), but they are still within a healthy range, indicating a moderate effect (figure 13). The combination of mushroom and turmeric resulted in significantly higher total protein levels (5.97 ± 0.46) compared to other groups. Higher protein levels could indicate better protein synthesis or reduced protein catabolism, which might suggest an improvement in overall nutritional status. Other groups show no significant difference among themselves as indicated with "ab" (figure 14).</w:t>
      </w:r>
    </w:p>
    <w:p w14:paraId="4AE48385"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There are no significant differences in albumin levels among the groups as all marked with letter "a" (Figure 15), indicating that neither supplementation with mushroom, turmeric, nor their combination has a significant effect on albumin synthesis. Albumin is a marker of liver function and nutritional status, so these results suggest that liver function is not impaired by these dietary treatments7</w:t>
      </w:r>
    </w:p>
    <w:p w14:paraId="3B9674CF" w14:textId="77777777" w:rsidR="00B37602" w:rsidRPr="00820DD5" w:rsidRDefault="00B37602" w:rsidP="00090507">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 group fed with both mushroom and turmeric has higher globulin levels (3.88 ± 0.49) and it is statistically significant (marked as "c") when compared with other groups, which may indicate improved immune function, as globulins are essential for immune responses. The control group (Feed Only) also shows relatively high globulin levels (3.37 ± 0.15), while the mushroom and turmeric groups have lower levels 2.21 ± 0.93 and 1.97 ± 0.65 respectively (Figure 16), suggesting that individual supplements may not boost globulin synthesis as effectively as their combination.</w:t>
      </w:r>
    </w:p>
    <w:p w14:paraId="160C0DD5" w14:textId="77777777" w:rsidR="00B37602" w:rsidRPr="00820DD5" w:rsidRDefault="00B37602" w:rsidP="00090507">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Turmeric supplementation shows a hepatoprotective effect, as indicated by significantly lower AST and ALP levels. However, no significant impact is observed on ALT levels. The combination of mushroom and turmeric significantly enhances total protein and globulin levels, suggesting a positive effect on overall protein metabolism and immune function. Increased globulin levels in the combination group may indicate enhanced immune function.</w:t>
      </w:r>
    </w:p>
    <w:p w14:paraId="677B55AE"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0192E1FC"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7AF437FE"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0614F501"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p>
    <w:p w14:paraId="6D07CB67" w14:textId="77777777" w:rsidR="00786854" w:rsidRDefault="00786854" w:rsidP="00B37602">
      <w:pPr>
        <w:pStyle w:val="1"/>
        <w:spacing w:before="240" w:after="120"/>
        <w:ind w:left="3000"/>
        <w:rPr>
          <w:rFonts w:ascii="Times New Roman" w:eastAsia="Calibri" w:hAnsi="Times New Roman" w:cs="Times New Roman"/>
          <w:b w:val="0"/>
          <w:color w:val="auto"/>
          <w:lang w:eastAsia="en-US"/>
        </w:rPr>
      </w:pPr>
      <w:r w:rsidRPr="00820DD5">
        <w:rPr>
          <w:rFonts w:ascii="Times New Roman" w:eastAsia="Calibri" w:hAnsi="Times New Roman" w:cs="Times New Roman"/>
          <w:b w:val="0"/>
          <w:color w:val="auto"/>
          <w:lang w:eastAsia="en-US"/>
        </w:rPr>
        <w:object w:dxaOrig="8895" w:dyaOrig="4695" w14:anchorId="46A60CF1">
          <v:shape id="_x0000_i1035" type="#_x0000_t75" style="width:242.4pt;height:120.5pt" o:ole="">
            <v:imagedata r:id="rId27" o:title=""/>
          </v:shape>
          <o:OLEObject Type="Embed" ProgID="Prism5.Document" ShapeID="_x0000_i1035" DrawAspect="Content" ObjectID="_1832333830" r:id="rId28"/>
        </w:object>
      </w:r>
    </w:p>
    <w:p w14:paraId="5F13166B"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11: Alanine Amino Transferase Levels in the Liver of the Experimental Groups</w:t>
      </w:r>
    </w:p>
    <w:p w14:paraId="7A4FE534"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6618F007" w14:textId="77777777" w:rsidR="00B37602" w:rsidRPr="00786854" w:rsidRDefault="00B37602" w:rsidP="00540060">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65BD2B5C" w14:textId="77777777" w:rsidR="00B37602" w:rsidRPr="00820DD5" w:rsidRDefault="00B37602" w:rsidP="00B37602">
      <w:pPr>
        <w:pStyle w:val="1"/>
        <w:spacing w:before="240" w:after="120"/>
        <w:ind w:left="3000"/>
        <w:rPr>
          <w:rFonts w:ascii="Times New Roman" w:hAnsi="Times New Roman" w:cs="Times New Roman"/>
          <w:color w:val="auto"/>
        </w:rPr>
      </w:pPr>
    </w:p>
    <w:p w14:paraId="25355B10" w14:textId="77777777" w:rsidR="00B37602" w:rsidRPr="00820DD5" w:rsidRDefault="00786854" w:rsidP="00786854">
      <w:pPr>
        <w:pStyle w:val="1"/>
        <w:spacing w:before="240" w:after="120"/>
        <w:ind w:left="3000"/>
        <w:jc w:val="left"/>
        <w:rPr>
          <w:rFonts w:ascii="Times New Roman" w:hAnsi="Times New Roman" w:cs="Times New Roman"/>
          <w:color w:val="auto"/>
        </w:rPr>
      </w:pPr>
      <w:r w:rsidRPr="00820DD5">
        <w:rPr>
          <w:rFonts w:ascii="Times New Roman" w:hAnsi="Times New Roman" w:cs="Times New Roman"/>
          <w:color w:val="auto"/>
        </w:rPr>
        <w:object w:dxaOrig="8895" w:dyaOrig="4815" w14:anchorId="6B4B630C">
          <v:shape id="_x0000_i1036" type="#_x0000_t75" style="width:208.85pt;height:154pt" o:ole="">
            <v:imagedata r:id="rId29" o:title=""/>
          </v:shape>
          <o:OLEObject Type="Embed" ProgID="Prism5.Document" ShapeID="_x0000_i1036" DrawAspect="Content" ObjectID="_1832333831" r:id="rId30"/>
        </w:object>
      </w:r>
    </w:p>
    <w:p w14:paraId="0AF34B35"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12: Aspartate Amino Transferase Levels in the Liver of the Experimental Groups</w:t>
      </w:r>
    </w:p>
    <w:p w14:paraId="3298F44A"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 xml:space="preserve">a, b, c represents significance differences (P&lt;0.05) across the groups. </w:t>
      </w:r>
    </w:p>
    <w:p w14:paraId="30E09207"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324ED389" w14:textId="77777777" w:rsidR="00B37602" w:rsidRPr="00820DD5" w:rsidRDefault="00B37602" w:rsidP="00786854">
      <w:pPr>
        <w:pStyle w:val="1"/>
        <w:spacing w:before="240" w:after="120"/>
        <w:ind w:left="3000"/>
        <w:rPr>
          <w:rFonts w:ascii="Times New Roman" w:hAnsi="Times New Roman" w:cs="Times New Roman"/>
          <w:color w:val="auto"/>
        </w:rPr>
      </w:pPr>
    </w:p>
    <w:p w14:paraId="15160311" w14:textId="77777777" w:rsidR="00B37602" w:rsidRPr="00820DD5" w:rsidRDefault="00B37602" w:rsidP="00B37602">
      <w:pPr>
        <w:pStyle w:val="1"/>
        <w:spacing w:before="240" w:after="120"/>
        <w:ind w:left="3000"/>
        <w:rPr>
          <w:rFonts w:ascii="Times New Roman" w:hAnsi="Times New Roman" w:cs="Times New Roman"/>
          <w:color w:val="auto"/>
        </w:rPr>
      </w:pPr>
    </w:p>
    <w:p w14:paraId="088063EB" w14:textId="77777777" w:rsidR="00B37602" w:rsidRPr="00820DD5" w:rsidRDefault="00786854" w:rsidP="00B37602">
      <w:pPr>
        <w:pStyle w:val="1"/>
        <w:spacing w:before="240" w:after="120"/>
        <w:ind w:left="3000"/>
        <w:rPr>
          <w:rFonts w:ascii="Times New Roman" w:hAnsi="Times New Roman" w:cs="Times New Roman"/>
          <w:color w:val="auto"/>
        </w:rPr>
      </w:pPr>
      <w:r w:rsidRPr="00820DD5">
        <w:rPr>
          <w:rFonts w:ascii="Times New Roman" w:hAnsi="Times New Roman" w:cs="Times New Roman"/>
          <w:color w:val="auto"/>
        </w:rPr>
        <w:object w:dxaOrig="8895" w:dyaOrig="3975" w14:anchorId="4623C56F">
          <v:shape id="_x0000_i1037" type="#_x0000_t75" style="width:256.65pt;height:147.55pt" o:ole="">
            <v:imagedata r:id="rId31" o:title=""/>
          </v:shape>
          <o:OLEObject Type="Embed" ProgID="Prism5.Document" ShapeID="_x0000_i1037" DrawAspect="Content" ObjectID="_1832333832" r:id="rId32"/>
        </w:object>
      </w:r>
    </w:p>
    <w:p w14:paraId="4085DF73"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eastAsiaTheme="minorHAnsi" w:hAnsi="Times New Roman" w:cs="Times New Roman"/>
          <w:b w:val="0"/>
          <w:color w:val="auto"/>
          <w:sz w:val="20"/>
          <w:szCs w:val="20"/>
        </w:rPr>
        <w:t xml:space="preserve"> </w:t>
      </w:r>
      <w:r w:rsidRPr="00786854">
        <w:rPr>
          <w:rFonts w:ascii="Times New Roman" w:hAnsi="Times New Roman" w:cs="Times New Roman"/>
          <w:b w:val="0"/>
          <w:color w:val="auto"/>
          <w:sz w:val="20"/>
          <w:szCs w:val="20"/>
        </w:rPr>
        <w:t>Figure 13: Alkaline Phosphate Levels in the Liver of the Experimental Groups</w:t>
      </w:r>
    </w:p>
    <w:p w14:paraId="6ADA17A4"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4BC9D8C0"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198D266D" w14:textId="77777777" w:rsidR="00B37602" w:rsidRPr="00820DD5" w:rsidRDefault="00786854" w:rsidP="00B37602">
      <w:pPr>
        <w:pStyle w:val="1"/>
        <w:spacing w:before="240" w:after="120"/>
        <w:ind w:left="3000"/>
        <w:rPr>
          <w:rFonts w:ascii="Times New Roman" w:eastAsiaTheme="minorHAnsi" w:hAnsi="Times New Roman" w:cs="Times New Roman"/>
          <w:b w:val="0"/>
          <w:color w:val="auto"/>
        </w:rPr>
      </w:pPr>
      <w:r w:rsidRPr="00820DD5">
        <w:rPr>
          <w:rFonts w:ascii="Times New Roman" w:hAnsi="Times New Roman" w:cs="Times New Roman"/>
          <w:color w:val="auto"/>
        </w:rPr>
        <w:object w:dxaOrig="8895" w:dyaOrig="4995" w14:anchorId="655A19C0">
          <v:shape id="_x0000_i1038" type="#_x0000_t75" style="width:232.4pt;height:121.9pt" o:ole="">
            <v:imagedata r:id="rId33" o:title=""/>
          </v:shape>
          <o:OLEObject Type="Embed" ProgID="Prism5.Document" ShapeID="_x0000_i1038" DrawAspect="Content" ObjectID="_1832333833" r:id="rId34"/>
        </w:object>
      </w:r>
      <w:r w:rsidR="00B37602" w:rsidRPr="00820DD5">
        <w:rPr>
          <w:rFonts w:ascii="Times New Roman" w:eastAsiaTheme="minorHAnsi" w:hAnsi="Times New Roman" w:cs="Times New Roman"/>
          <w:b w:val="0"/>
          <w:color w:val="auto"/>
        </w:rPr>
        <w:t xml:space="preserve"> </w:t>
      </w:r>
    </w:p>
    <w:p w14:paraId="5707F3EB"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14: Albumin Levels in the Liver of the Experimental Groups</w:t>
      </w:r>
    </w:p>
    <w:p w14:paraId="672573C8"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22D7B1B3" w14:textId="77777777" w:rsidR="00B37602"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47C8E509" w14:textId="77777777" w:rsidR="00786854" w:rsidRDefault="00786854" w:rsidP="00786854">
      <w:pPr>
        <w:pStyle w:val="1"/>
        <w:spacing w:before="240" w:after="120"/>
        <w:ind w:leftChars="0" w:left="0"/>
        <w:rPr>
          <w:rFonts w:ascii="Times New Roman" w:hAnsi="Times New Roman" w:cs="Times New Roman"/>
          <w:b w:val="0"/>
          <w:color w:val="auto"/>
          <w:sz w:val="20"/>
          <w:szCs w:val="20"/>
        </w:rPr>
      </w:pPr>
    </w:p>
    <w:p w14:paraId="01076F47" w14:textId="77777777" w:rsidR="00786854" w:rsidRDefault="00786854" w:rsidP="00786854">
      <w:pPr>
        <w:pStyle w:val="1"/>
        <w:spacing w:before="240" w:after="120"/>
        <w:ind w:leftChars="0" w:left="0"/>
        <w:rPr>
          <w:rFonts w:ascii="Times New Roman" w:hAnsi="Times New Roman" w:cs="Times New Roman"/>
          <w:b w:val="0"/>
          <w:color w:val="auto"/>
          <w:sz w:val="20"/>
          <w:szCs w:val="20"/>
        </w:rPr>
      </w:pPr>
    </w:p>
    <w:p w14:paraId="1544A494" w14:textId="77777777" w:rsidR="00786854" w:rsidRPr="00786854" w:rsidRDefault="00786854" w:rsidP="00786854">
      <w:pPr>
        <w:pStyle w:val="1"/>
        <w:spacing w:before="240" w:after="120"/>
        <w:ind w:leftChars="0" w:left="0"/>
        <w:rPr>
          <w:rFonts w:ascii="Times New Roman" w:hAnsi="Times New Roman" w:cs="Times New Roman"/>
          <w:b w:val="0"/>
          <w:color w:val="auto"/>
          <w:sz w:val="20"/>
          <w:szCs w:val="20"/>
        </w:rPr>
      </w:pPr>
    </w:p>
    <w:p w14:paraId="056A7492" w14:textId="77777777" w:rsidR="00B37602" w:rsidRPr="00820DD5" w:rsidRDefault="00786854" w:rsidP="00B37602">
      <w:pPr>
        <w:pStyle w:val="1"/>
        <w:spacing w:before="240" w:after="120"/>
        <w:ind w:left="3000"/>
        <w:rPr>
          <w:rFonts w:ascii="Times New Roman" w:hAnsi="Times New Roman" w:cs="Times New Roman"/>
          <w:color w:val="auto"/>
        </w:rPr>
      </w:pPr>
      <w:r w:rsidRPr="00820DD5">
        <w:rPr>
          <w:rFonts w:ascii="Times New Roman" w:hAnsi="Times New Roman" w:cs="Times New Roman"/>
          <w:color w:val="auto"/>
        </w:rPr>
        <w:object w:dxaOrig="8895" w:dyaOrig="4725" w14:anchorId="4C9AC034">
          <v:shape id="_x0000_i1039" type="#_x0000_t75" style="width:230.25pt;height:134pt" o:ole="">
            <v:imagedata r:id="rId35" o:title=""/>
          </v:shape>
          <o:OLEObject Type="Embed" ProgID="Prism5.Document" ShapeID="_x0000_i1039" DrawAspect="Content" ObjectID="_1832333834" r:id="rId36"/>
        </w:object>
      </w:r>
      <w:r w:rsidR="00B37602" w:rsidRPr="00820DD5">
        <w:rPr>
          <w:rFonts w:ascii="Times New Roman" w:hAnsi="Times New Roman" w:cs="Times New Roman"/>
          <w:color w:val="auto"/>
        </w:rPr>
        <w:t xml:space="preserve"> </w:t>
      </w:r>
    </w:p>
    <w:p w14:paraId="6006C9DC"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Figure 15: Total Protein Levels in the Liver of the Experimental Groups</w:t>
      </w:r>
    </w:p>
    <w:p w14:paraId="7F7AE3AF" w14:textId="77777777" w:rsidR="00B37602" w:rsidRPr="00786854" w:rsidRDefault="00B37602" w:rsidP="00786854">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bCs/>
          <w:color w:val="auto"/>
          <w:sz w:val="20"/>
          <w:szCs w:val="20"/>
          <w:vertAlign w:val="superscript"/>
        </w:rPr>
        <w:t>a, b, c</w:t>
      </w:r>
      <w:r w:rsidRPr="00786854">
        <w:rPr>
          <w:rFonts w:ascii="Times New Roman" w:hAnsi="Times New Roman" w:cs="Times New Roman"/>
          <w:b w:val="0"/>
          <w:color w:val="auto"/>
          <w:sz w:val="20"/>
          <w:szCs w:val="20"/>
        </w:rPr>
        <w:t xml:space="preserve"> represents significance differences (P&lt;0.05) across the groups. </w:t>
      </w:r>
    </w:p>
    <w:p w14:paraId="287DA22B" w14:textId="77777777" w:rsidR="00B37602" w:rsidRPr="004A74F1" w:rsidRDefault="00B37602" w:rsidP="004A74F1">
      <w:pPr>
        <w:pStyle w:val="1"/>
        <w:spacing w:before="240" w:after="120"/>
        <w:ind w:leftChars="0" w:left="0"/>
        <w:rPr>
          <w:rFonts w:ascii="Times New Roman" w:hAnsi="Times New Roman" w:cs="Times New Roman"/>
          <w:b w:val="0"/>
          <w:color w:val="auto"/>
          <w:sz w:val="20"/>
          <w:szCs w:val="20"/>
        </w:rPr>
      </w:pPr>
      <w:r w:rsidRPr="00786854">
        <w:rPr>
          <w:rFonts w:ascii="Times New Roman" w:hAnsi="Times New Roman" w:cs="Times New Roman"/>
          <w:b w:val="0"/>
          <w:color w:val="auto"/>
          <w:sz w:val="20"/>
          <w:szCs w:val="20"/>
        </w:rPr>
        <w:t>Similar alphabets indicate no statistical significance.</w:t>
      </w:r>
    </w:p>
    <w:p w14:paraId="76C30D2E" w14:textId="77777777" w:rsidR="00B37602" w:rsidRPr="00820DD5" w:rsidRDefault="004A74F1" w:rsidP="00B37602">
      <w:pPr>
        <w:pStyle w:val="1"/>
        <w:spacing w:before="240" w:after="120"/>
        <w:ind w:leftChars="1035" w:left="2070"/>
        <w:rPr>
          <w:rFonts w:ascii="Times New Roman" w:eastAsiaTheme="minorHAnsi" w:hAnsi="Times New Roman" w:cs="Times New Roman"/>
          <w:b w:val="0"/>
          <w:color w:val="auto"/>
        </w:rPr>
      </w:pPr>
      <w:r w:rsidRPr="00820DD5">
        <w:rPr>
          <w:rFonts w:ascii="Times New Roman" w:hAnsi="Times New Roman" w:cs="Times New Roman"/>
          <w:bCs/>
          <w:color w:val="auto"/>
          <w:sz w:val="22"/>
          <w:szCs w:val="22"/>
        </w:rPr>
        <w:object w:dxaOrig="9270" w:dyaOrig="4140" w14:anchorId="67CC627B">
          <v:shape id="_x0000_i1040" type="#_x0000_t75" style="width:230.95pt;height:186.75pt" o:ole="">
            <v:imagedata r:id="rId21" o:title=""/>
          </v:shape>
          <o:OLEObject Type="Embed" ProgID="Prism5.Document" ShapeID="_x0000_i1040" DrawAspect="Content" ObjectID="_1832333835" r:id="rId37"/>
        </w:object>
      </w:r>
      <w:r w:rsidR="00B37602" w:rsidRPr="00820DD5">
        <w:rPr>
          <w:rFonts w:ascii="Times New Roman" w:eastAsiaTheme="minorHAnsi" w:hAnsi="Times New Roman" w:cs="Times New Roman"/>
          <w:b w:val="0"/>
          <w:color w:val="auto"/>
        </w:rPr>
        <w:t xml:space="preserve"> </w:t>
      </w:r>
    </w:p>
    <w:p w14:paraId="33DD9B71" w14:textId="77777777" w:rsidR="00B37602" w:rsidRPr="004A74F1"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rPr>
        <w:t>Figure 16: Platelets Level in the Serum of the Experimental Groups</w:t>
      </w:r>
    </w:p>
    <w:p w14:paraId="57A11019" w14:textId="77777777" w:rsidR="00B37602" w:rsidRPr="004A74F1"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vertAlign w:val="superscript"/>
        </w:rPr>
        <w:t>a, b, c</w:t>
      </w:r>
      <w:r w:rsidRPr="004A74F1">
        <w:rPr>
          <w:rFonts w:ascii="Times New Roman" w:hAnsi="Times New Roman" w:cs="Times New Roman"/>
          <w:b w:val="0"/>
          <w:bCs/>
          <w:color w:val="auto"/>
          <w:sz w:val="20"/>
          <w:szCs w:val="20"/>
        </w:rPr>
        <w:t xml:space="preserve"> represents significance differences (P&lt;0.05) across the groups. </w:t>
      </w:r>
    </w:p>
    <w:p w14:paraId="58F364F3" w14:textId="77777777" w:rsidR="00B37602" w:rsidRDefault="00B37602" w:rsidP="004A74F1">
      <w:pPr>
        <w:pStyle w:val="1"/>
        <w:spacing w:before="240" w:after="120"/>
        <w:ind w:leftChars="0" w:left="0"/>
        <w:rPr>
          <w:rFonts w:ascii="Times New Roman" w:hAnsi="Times New Roman" w:cs="Times New Roman"/>
          <w:b w:val="0"/>
          <w:bCs/>
          <w:color w:val="auto"/>
          <w:sz w:val="20"/>
          <w:szCs w:val="20"/>
        </w:rPr>
      </w:pPr>
      <w:r w:rsidRPr="004A74F1">
        <w:rPr>
          <w:rFonts w:ascii="Times New Roman" w:hAnsi="Times New Roman" w:cs="Times New Roman"/>
          <w:b w:val="0"/>
          <w:bCs/>
          <w:color w:val="auto"/>
          <w:sz w:val="20"/>
          <w:szCs w:val="20"/>
        </w:rPr>
        <w:t>Similar alphabets indicate no statistical significance.</w:t>
      </w:r>
    </w:p>
    <w:p w14:paraId="0C749E44"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 DISCUSSION</w:t>
      </w:r>
    </w:p>
    <w:p w14:paraId="70E83DF7"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4.1 Haematological Studies</w:t>
      </w:r>
    </w:p>
    <w:p w14:paraId="189E0D77"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highest WBC count was observed in the turmeric-supplemented group and this was closely followed by the group fed with the combined diet. In contrast, the mushroom-only group exhibited a reduced WBC count. This suggests that turmeric enhances immune function, and this finding was consistent with previous studies highlighting the immunomodulatory effects of curcumin, the active compound in turmeric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Soliman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Elevated WBC counts are associated with improved disease resistance, which is crucial for aquaculture management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w:t>
      </w:r>
    </w:p>
    <w:p w14:paraId="027754E4"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lastRenderedPageBreak/>
        <w:t xml:space="preserve">Fish supplemented with turmeric also exhibited the highest RBC count and hemoglobin concentration. These results align with research indicating that curcumin enhances erythropoiesis and improves blood oxygen-carrying capacity (Soliman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Conversely, the group receiving both mushroom and turmeric showed the lowest RBC count and haemoglobin levels, suggesting a possible antagonistic interaction when these two supplements are combined. This reduction may be attributed to interference from mushroom components with turmeric's erythropoietic effects, warranting further investigation into their interactions at a biochemical level (Adebayo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2020).</w:t>
      </w:r>
    </w:p>
    <w:p w14:paraId="37006D52"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Haematocrit values were highest in the turmeric group, indicating an increased proportion of red blood cells relative to plasma volume, which enhances oxygen transport capacity. In contrast, both mushroom supplementations alone and the combination resulted in lower HCT values, suggesting potential negative impacts on red blood cell volume (Musa and Omoregie, 1999).</w:t>
      </w:r>
    </w:p>
    <w:p w14:paraId="266EA900"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Interestingly, MCV was highest in the combination group, indicating larger red blood cells despite a reduction in overall RBC count. This finding implies that while there is a decrease in RBCs when mushrooms and turmeric are combined, those present may be larger, potentially affecting overall blood viscosity and oxygen transport efficiency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2021). MCH was highest in the turmeric group, reflecting a greater amount of haemoglobin per red blood cell, which is beneficial for oxygen transport. However, the combination group exhibited a significantly lower MCH, reinforcing the notion that combining these supplements may interfere with haemoglobin synthesis.</w:t>
      </w:r>
    </w:p>
    <w:p w14:paraId="7E56370B"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MCHC remained stable in the turmeric group but was significantly reduced in the combination group. This reduction suggests that while turmeric effectively maintains haemoglobin concentration, combining it with mushrooms may dilute this concentration or hinder its synthesis (Adebayo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Notably, platelet counts were markedly increased in the combination group, indicating a potential synergistic effect on platelet production or release when both supplements are used together, despite their adverse effects on other haematological parameters like RBC and haemoglobin counts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2021).</w:t>
      </w:r>
    </w:p>
    <w:p w14:paraId="4C8A9D3A"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4.2 Nephrological Studies</w:t>
      </w:r>
    </w:p>
    <w:p w14:paraId="7CBE9A33"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There are no significant differences in creatinine levels among the groups as all are marked with "a", suggesting that renal function remains stable across all dietary treatments, These results align with findings from Zhang et al. (2021), who reported stable creatinine levels in common carp (</w:t>
      </w:r>
      <w:r w:rsidRPr="00BF7A9A">
        <w:rPr>
          <w:rFonts w:ascii="Times New Roman" w:hAnsi="Times New Roman" w:cs="Times New Roman"/>
          <w:b w:val="0"/>
          <w:i/>
          <w:color w:val="auto"/>
          <w:sz w:val="22"/>
          <w:szCs w:val="22"/>
        </w:rPr>
        <w:t>Cyprinus carpio</w:t>
      </w:r>
      <w:r w:rsidRPr="00820DD5">
        <w:rPr>
          <w:rFonts w:ascii="Times New Roman" w:hAnsi="Times New Roman" w:cs="Times New Roman"/>
          <w:b w:val="0"/>
          <w:color w:val="auto"/>
          <w:sz w:val="22"/>
          <w:szCs w:val="22"/>
        </w:rPr>
        <w:t>) fed with diets containing medicinal plant extracts, indicating their safety for renal function.</w:t>
      </w:r>
    </w:p>
    <w:p w14:paraId="372E9874"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 xml:space="preserve">On the other hand, the combination group (Feed + Mushroom + Turmeric) showed significantly elevated urea levels compared to other groups, while the turmeric group also had relatively high urea levels, though not significantly different from the control and mushroom-only groups. Elevated urea levels often suggest increased protein catabolism or reduced kidney efficiency in excreting nitrogenous wastes (Soltanian </w:t>
      </w:r>
      <w:r w:rsidRPr="00BF7A9A">
        <w:rPr>
          <w:rFonts w:ascii="Times New Roman" w:hAnsi="Times New Roman" w:cs="Times New Roman"/>
          <w:b w:val="0"/>
          <w:i/>
          <w:color w:val="auto"/>
          <w:sz w:val="22"/>
          <w:szCs w:val="22"/>
        </w:rPr>
        <w:t>et al.,</w:t>
      </w:r>
      <w:r w:rsidRPr="00820DD5">
        <w:rPr>
          <w:rFonts w:ascii="Times New Roman" w:hAnsi="Times New Roman" w:cs="Times New Roman"/>
          <w:b w:val="0"/>
          <w:color w:val="auto"/>
          <w:sz w:val="22"/>
          <w:szCs w:val="22"/>
        </w:rPr>
        <w:t xml:space="preserve"> 2017). The findings for the combination group could indicate an enhancement in protein breakdown or an impact on nitrogen metabolism, possibly due to interactions between the bioactive compounds in mushrooms and turmeric.</w:t>
      </w:r>
    </w:p>
    <w:p w14:paraId="119B72C9"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4.3 Hepatological Studies</w:t>
      </w:r>
    </w:p>
    <w:p w14:paraId="138F37ED"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current study evaluated the effects of dietary supplementation with mushroom, turmeric, and their combination on various liver biochemical parameters in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i/>
          <w:color w:val="auto"/>
          <w:sz w:val="22"/>
          <w:szCs w:val="22"/>
        </w:rPr>
        <w:t>gariepinus</w:t>
      </w:r>
      <w:proofErr w:type="spellEnd"/>
      <w:r w:rsidRPr="00820DD5">
        <w:rPr>
          <w:rFonts w:ascii="Times New Roman" w:hAnsi="Times New Roman" w:cs="Times New Roman"/>
          <w:b w:val="0"/>
          <w:color w:val="auto"/>
          <w:sz w:val="22"/>
          <w:szCs w:val="22"/>
        </w:rPr>
        <w:t>.</w:t>
      </w:r>
    </w:p>
    <w:p w14:paraId="78614DB2"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are no significant differences in the levels of Alanine Amino Transferase (ALT) among the groups (all groups are marked with "a"). This indicates that supplementation with mushroom, turmeric, or a combination does not significantly affect ALT levels compared to the control group, the stability of ALT levels across the different treatment groups aligns with the findings of </w:t>
      </w:r>
      <w:proofErr w:type="spellStart"/>
      <w:r w:rsidRPr="00820DD5">
        <w:rPr>
          <w:rFonts w:ascii="Times New Roman" w:hAnsi="Times New Roman" w:cs="Times New Roman"/>
          <w:b w:val="0"/>
          <w:color w:val="auto"/>
          <w:sz w:val="22"/>
          <w:szCs w:val="22"/>
        </w:rPr>
        <w:t>Oloruntuyi</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(2022), who reported that dietary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did not </w:t>
      </w:r>
      <w:r w:rsidRPr="00820DD5">
        <w:rPr>
          <w:rFonts w:ascii="Times New Roman" w:hAnsi="Times New Roman" w:cs="Times New Roman"/>
          <w:b w:val="0"/>
          <w:color w:val="auto"/>
          <w:sz w:val="22"/>
          <w:szCs w:val="22"/>
        </w:rPr>
        <w:lastRenderedPageBreak/>
        <w:t>alter ALT levels in tilapia (</w:t>
      </w:r>
      <w:r w:rsidRPr="00BF7A9A">
        <w:rPr>
          <w:rFonts w:ascii="Times New Roman" w:hAnsi="Times New Roman" w:cs="Times New Roman"/>
          <w:b w:val="0"/>
          <w:i/>
          <w:color w:val="auto"/>
          <w:sz w:val="22"/>
          <w:szCs w:val="22"/>
        </w:rPr>
        <w:t>Oreochromis niloticus</w:t>
      </w:r>
      <w:r w:rsidRPr="00820DD5">
        <w:rPr>
          <w:rFonts w:ascii="Times New Roman" w:hAnsi="Times New Roman" w:cs="Times New Roman"/>
          <w:b w:val="0"/>
          <w:color w:val="auto"/>
          <w:sz w:val="22"/>
          <w:szCs w:val="22"/>
        </w:rPr>
        <w:t>). Similarly, Zhang</w:t>
      </w:r>
      <w:r w:rsidRPr="00820DD5">
        <w:rPr>
          <w:rFonts w:ascii="Times New Roman" w:hAnsi="Times New Roman" w:cs="Times New Roman"/>
          <w:b w:val="0"/>
          <w:i/>
          <w:iCs/>
          <w:color w:val="auto"/>
          <w:sz w:val="22"/>
          <w:szCs w:val="22"/>
        </w:rPr>
        <w:t xml:space="preserve"> et al.</w:t>
      </w:r>
      <w:r w:rsidRPr="00820DD5">
        <w:rPr>
          <w:rFonts w:ascii="Times New Roman" w:hAnsi="Times New Roman" w:cs="Times New Roman"/>
          <w:b w:val="0"/>
          <w:color w:val="auto"/>
          <w:sz w:val="22"/>
          <w:szCs w:val="22"/>
        </w:rPr>
        <w:t xml:space="preserve"> (2021) found that mushroom supplementation in carp did not increase ALT levels, indicating that these supplements are non-toxic to liver function.</w:t>
      </w:r>
    </w:p>
    <w:p w14:paraId="47EE9442"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turmeric group (15.92 ± 2.27) has significantly lower Aspartate Amino Transferase (AST) levels compared to the other groups, suggesting a potential hepatoprotective effect of turmeric. The other groups (control, mushroom, and combination) are not significantly different from each other (marked with "ab"), indicating no strong impact on AST levels. This reduction in AST is consistent with studies by Abdel-Warith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(2019), who demonstrated that dietary curcumin significantly reduced AST levels in Nile tilapia, suggesting a protective effect against liver damage induced by oxidative stress.</w:t>
      </w:r>
      <w:r w:rsidR="00BF7A9A">
        <w:rPr>
          <w:rFonts w:ascii="Times New Roman" w:hAnsi="Times New Roman" w:cs="Times New Roman"/>
          <w:b w:val="0"/>
          <w:color w:val="auto"/>
          <w:sz w:val="22"/>
          <w:szCs w:val="22"/>
        </w:rPr>
        <w:t xml:space="preserve"> </w:t>
      </w:r>
      <w:r w:rsidRPr="00820DD5">
        <w:rPr>
          <w:rFonts w:ascii="Times New Roman" w:hAnsi="Times New Roman" w:cs="Times New Roman"/>
          <w:b w:val="0"/>
          <w:color w:val="auto"/>
          <w:sz w:val="22"/>
          <w:szCs w:val="22"/>
        </w:rPr>
        <w:t>other (marked with "ab"), indicating no strong impact on AST levels.</w:t>
      </w:r>
    </w:p>
    <w:p w14:paraId="26BA85B7"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turmeric-supplemented group has significantly lower Alkaline Phosphatase (ALP) levels (marked as "b") compared to the other groups. The combination group (Feed + Mushroom + Turmeric) has higher ALP levels (23.48 ± 3.74), but they are still within a healthy range, indicating a moderate effect. The combination of mushroom and turmeric resulted in significantly higher total protein levels (5.97 ± 0.46) compared to other groups. These findings are in line with studies by Soltanian </w:t>
      </w:r>
      <w:r w:rsidRPr="00820DD5">
        <w:rPr>
          <w:rFonts w:ascii="Times New Roman" w:hAnsi="Times New Roman" w:cs="Times New Roman"/>
          <w:b w:val="0"/>
          <w:i/>
          <w:iCs/>
          <w:color w:val="auto"/>
          <w:sz w:val="22"/>
          <w:szCs w:val="22"/>
        </w:rPr>
        <w:t xml:space="preserve">et al. </w:t>
      </w:r>
      <w:r w:rsidRPr="00820DD5">
        <w:rPr>
          <w:rFonts w:ascii="Times New Roman" w:hAnsi="Times New Roman" w:cs="Times New Roman"/>
          <w:b w:val="0"/>
          <w:color w:val="auto"/>
          <w:sz w:val="22"/>
          <w:szCs w:val="22"/>
        </w:rPr>
        <w:t>(2017), who found that curcumin reduced ALP levels in rainbow trout, indicating its potential to maintain liver health. Conversely, the combination group (mushroom + turmeric) exhibited higher ALP levels but still within normal ranges, suggesting a moderate impact that may be related to the complex interactions between the bioactive compounds of mushroom and turmeric</w:t>
      </w:r>
    </w:p>
    <w:p w14:paraId="5CA879DF"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 significantly higher total protein levels in the combination group indicate improved protein synthesis and possibly enhanced overall nutritional status. This enhancement in protein levels may be due to the synergistic effects of bioactive compounds in mushroom and turmeric, which can promote anabolic activities in fish. This result supports the findings of Khosravi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who observed increased total protein levels in fish diets supplemented with medicinal plants. Additionally, the increase in protein levels is consistent with the results of Sahu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(2021), who showed that fish fed with dietary herbal additives exhibited improved protein utilization and growth performance.</w:t>
      </w:r>
    </w:p>
    <w:p w14:paraId="46584949"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There were no significant differences in albumin levels among all groups. Albumin is an important plasma protein synthesized by the liver, reflecting the liver's ability to maintain protein synthesis. The stability of albumin levels suggests that neither mushroom nor turmeric, alone or in combination, impairs liver protein synthesis. This is consistent with the findings of Ismail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(2015), who observed stable albumin levels in hypercholesterolemic rats fed with mushroom and </w:t>
      </w:r>
      <w:r w:rsidRPr="00BF7A9A">
        <w:rPr>
          <w:rFonts w:ascii="Times New Roman" w:hAnsi="Times New Roman" w:cs="Times New Roman"/>
          <w:b w:val="0"/>
          <w:i/>
          <w:color w:val="auto"/>
          <w:sz w:val="22"/>
          <w:szCs w:val="22"/>
        </w:rPr>
        <w:t>curcumin s</w:t>
      </w:r>
      <w:r w:rsidRPr="00820DD5">
        <w:rPr>
          <w:rFonts w:ascii="Times New Roman" w:hAnsi="Times New Roman" w:cs="Times New Roman"/>
          <w:b w:val="0"/>
          <w:color w:val="auto"/>
          <w:sz w:val="22"/>
          <w:szCs w:val="22"/>
        </w:rPr>
        <w:t>upplements, indicating their non-toxic nature on liver function.</w:t>
      </w:r>
    </w:p>
    <w:p w14:paraId="4400573A"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A significant increase in globulin levels was observed in the group fed with the combination of mushroom and turmeric. Globulins are essential components of the immune system, and elevated levels can indicate enhanced immune function (O'Connell</w:t>
      </w:r>
      <w:r w:rsidRPr="00820DD5">
        <w:rPr>
          <w:rFonts w:ascii="Times New Roman" w:hAnsi="Times New Roman" w:cs="Times New Roman"/>
          <w:b w:val="0"/>
          <w:i/>
          <w:iCs/>
          <w:color w:val="auto"/>
          <w:sz w:val="22"/>
          <w:szCs w:val="22"/>
        </w:rPr>
        <w:t xml:space="preserve"> et al.,</w:t>
      </w:r>
      <w:r w:rsidRPr="00820DD5">
        <w:rPr>
          <w:rFonts w:ascii="Times New Roman" w:hAnsi="Times New Roman" w:cs="Times New Roman"/>
          <w:b w:val="0"/>
          <w:color w:val="auto"/>
          <w:sz w:val="22"/>
          <w:szCs w:val="22"/>
        </w:rPr>
        <w:t xml:space="preserve"> 2014). The combination of mushroom and turmeric may provide a synergistic boost to the immune system by promoting the production of </w:t>
      </w:r>
      <w:r w:rsidR="00BF7A9A" w:rsidRPr="00820DD5">
        <w:rPr>
          <w:rFonts w:ascii="Times New Roman" w:hAnsi="Times New Roman" w:cs="Times New Roman"/>
          <w:b w:val="0"/>
          <w:color w:val="auto"/>
          <w:sz w:val="22"/>
          <w:szCs w:val="22"/>
        </w:rPr>
        <w:t>immunoglobulin</w:t>
      </w:r>
      <w:r w:rsidRPr="00820DD5">
        <w:rPr>
          <w:rFonts w:ascii="Times New Roman" w:hAnsi="Times New Roman" w:cs="Times New Roman"/>
          <w:b w:val="0"/>
          <w:color w:val="auto"/>
          <w:sz w:val="22"/>
          <w:szCs w:val="22"/>
        </w:rPr>
        <w:t xml:space="preserve">. These results align with the studies of Musa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(2020), who found that dietary supplements enhanced immune parameters in fish, thereby improving disease resistance.</w:t>
      </w:r>
    </w:p>
    <w:p w14:paraId="5C1F2083"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 xml:space="preserve">The individual mushroom and turmeric groups had relatively lower globulin levels, indicating that while each supplement offers certain benefits, their combined use may result in more pronounced immunostimulatory effects. This aligns with reports by Farag </w:t>
      </w:r>
      <w:r w:rsidRPr="00820DD5">
        <w:rPr>
          <w:rFonts w:ascii="Times New Roman" w:hAnsi="Times New Roman" w:cs="Times New Roman"/>
          <w:b w:val="0"/>
          <w:i/>
          <w:iCs/>
          <w:color w:val="auto"/>
          <w:sz w:val="22"/>
          <w:szCs w:val="22"/>
        </w:rPr>
        <w:t>et al.</w:t>
      </w:r>
      <w:r w:rsidRPr="00820DD5">
        <w:rPr>
          <w:rFonts w:ascii="Times New Roman" w:hAnsi="Times New Roman" w:cs="Times New Roman"/>
          <w:b w:val="0"/>
          <w:color w:val="auto"/>
          <w:sz w:val="22"/>
          <w:szCs w:val="22"/>
        </w:rPr>
        <w:t xml:space="preserve"> (2019), who demonstrated that combining different dietary supplements can enhance immune responses in aquaculture species better than single supplements.</w:t>
      </w:r>
    </w:p>
    <w:p w14:paraId="312F36A1" w14:textId="77777777" w:rsidR="00B37602" w:rsidRPr="00820DD5"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5. CONCLUSION</w:t>
      </w:r>
    </w:p>
    <w:p w14:paraId="7B4F8DAF" w14:textId="77777777" w:rsidR="00B37602" w:rsidRPr="00820DD5" w:rsidRDefault="00B37602" w:rsidP="00456790">
      <w:pPr>
        <w:pStyle w:val="1"/>
        <w:spacing w:before="240" w:after="120"/>
        <w:ind w:leftChars="0" w:left="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This study highlights the significant effects of dietary supplementation with mushroom, turmeric, and their combination on the </w:t>
      </w:r>
      <w:r w:rsidR="00847F4C" w:rsidRPr="00820DD5">
        <w:rPr>
          <w:rFonts w:ascii="Times New Roman" w:hAnsi="Times New Roman" w:cs="Times New Roman"/>
          <w:b w:val="0"/>
          <w:color w:val="auto"/>
          <w:sz w:val="22"/>
          <w:szCs w:val="22"/>
        </w:rPr>
        <w:t>haematological liver</w:t>
      </w:r>
      <w:r w:rsidRPr="00820DD5">
        <w:rPr>
          <w:rFonts w:ascii="Times New Roman" w:hAnsi="Times New Roman" w:cs="Times New Roman"/>
          <w:b w:val="0"/>
          <w:color w:val="auto"/>
          <w:sz w:val="22"/>
          <w:szCs w:val="22"/>
        </w:rPr>
        <w:t xml:space="preserve"> biochemical and kidney biochemical parameters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gariepinus</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color w:val="auto"/>
          <w:sz w:val="22"/>
          <w:szCs w:val="22"/>
        </w:rPr>
        <w:lastRenderedPageBreak/>
        <w:t>(African catfish). The findings reveal promising potential for these supplements to enhance fish health, particularly in boosting immune responses and liver function, which are critical for improving aquaculture productivity and it suggest that while turmeric alone supports immune function and blood health, its combination with mushroom may lead to increased protein breakdown, necessitating careful management in aquaculture diets to optimize fish health.</w:t>
      </w:r>
    </w:p>
    <w:p w14:paraId="46973D73" w14:textId="77777777" w:rsidR="00127F8F" w:rsidRDefault="00B37602" w:rsidP="00456790">
      <w:pPr>
        <w:pStyle w:val="1"/>
        <w:spacing w:before="240" w:after="120"/>
        <w:ind w:leftChars="0" w:left="0"/>
        <w:rPr>
          <w:rFonts w:ascii="Times New Roman" w:hAnsi="Times New Roman" w:cs="Times New Roman"/>
          <w:bCs/>
          <w:color w:val="auto"/>
          <w:sz w:val="22"/>
          <w:szCs w:val="22"/>
        </w:rPr>
      </w:pPr>
      <w:r w:rsidRPr="00820DD5">
        <w:rPr>
          <w:rFonts w:ascii="Times New Roman" w:hAnsi="Times New Roman" w:cs="Times New Roman"/>
          <w:bCs/>
          <w:color w:val="auto"/>
          <w:sz w:val="22"/>
          <w:szCs w:val="22"/>
        </w:rPr>
        <w:t>REFERENCES</w:t>
      </w:r>
    </w:p>
    <w:p w14:paraId="36EDDB82"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Abdel-Warith, A. W. A., Younis, E. S. M., and Al-</w:t>
      </w:r>
      <w:proofErr w:type="spellStart"/>
      <w:r w:rsidRPr="00820DD5">
        <w:rPr>
          <w:rFonts w:ascii="Times New Roman" w:hAnsi="Times New Roman" w:cs="Times New Roman"/>
          <w:b w:val="0"/>
          <w:color w:val="auto"/>
          <w:sz w:val="22"/>
          <w:szCs w:val="22"/>
        </w:rPr>
        <w:t>Asgah</w:t>
      </w:r>
      <w:proofErr w:type="spellEnd"/>
      <w:r w:rsidRPr="00820DD5">
        <w:rPr>
          <w:rFonts w:ascii="Times New Roman" w:hAnsi="Times New Roman" w:cs="Times New Roman"/>
          <w:b w:val="0"/>
          <w:color w:val="auto"/>
          <w:sz w:val="22"/>
          <w:szCs w:val="22"/>
        </w:rPr>
        <w:t>, N. A. (2019). Effect of dietary curcumin on growth performance, oxidative stress, and liver enzymes in Nile tilapia (</w:t>
      </w:r>
      <w:r w:rsidRPr="00BF7A9A">
        <w:rPr>
          <w:rFonts w:ascii="Times New Roman" w:hAnsi="Times New Roman" w:cs="Times New Roman"/>
          <w:b w:val="0"/>
          <w:i/>
          <w:color w:val="auto"/>
          <w:sz w:val="22"/>
          <w:szCs w:val="22"/>
        </w:rPr>
        <w:t>Oreochromis niloticus</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Aquaculture International</w:t>
      </w:r>
      <w:r w:rsidRPr="00820DD5">
        <w:rPr>
          <w:rFonts w:ascii="Times New Roman" w:hAnsi="Times New Roman" w:cs="Times New Roman"/>
          <w:b w:val="0"/>
          <w:color w:val="auto"/>
          <w:sz w:val="22"/>
          <w:szCs w:val="22"/>
        </w:rPr>
        <w:t>, 27(4), 965-976.</w:t>
      </w:r>
    </w:p>
    <w:p w14:paraId="55FD7360"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Adebayo, A. V., Kolade, O. O., and Samuel, O. S. (2020). The effects of dietary supplementation on fish health parameters: A review. </w:t>
      </w:r>
      <w:r w:rsidRPr="00820DD5">
        <w:rPr>
          <w:rFonts w:ascii="Times New Roman" w:hAnsi="Times New Roman" w:cs="Times New Roman"/>
          <w:b w:val="0"/>
          <w:i/>
          <w:iCs/>
          <w:color w:val="auto"/>
          <w:sz w:val="22"/>
          <w:szCs w:val="22"/>
        </w:rPr>
        <w:t>Veterinary and Animal Science</w:t>
      </w:r>
      <w:r w:rsidRPr="00820DD5">
        <w:rPr>
          <w:rFonts w:ascii="Times New Roman" w:hAnsi="Times New Roman" w:cs="Times New Roman"/>
          <w:b w:val="0"/>
          <w:color w:val="auto"/>
          <w:sz w:val="22"/>
          <w:szCs w:val="22"/>
        </w:rPr>
        <w:t>.</w:t>
      </w:r>
    </w:p>
    <w:p w14:paraId="024DA661"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Adeyemi, M. A., and Ajani, A. O. (2019). Fish as an essential source of protein in Nigeria: Prospects and challenges. </w:t>
      </w:r>
      <w:r w:rsidRPr="00820DD5">
        <w:rPr>
          <w:rFonts w:ascii="Times New Roman" w:hAnsi="Times New Roman" w:cs="Times New Roman"/>
          <w:b w:val="0"/>
          <w:i/>
          <w:color w:val="auto"/>
          <w:sz w:val="22"/>
          <w:szCs w:val="22"/>
        </w:rPr>
        <w:t>International Journal of Food Science and Nutrition</w:t>
      </w:r>
      <w:r w:rsidRPr="00820DD5">
        <w:rPr>
          <w:rFonts w:ascii="Times New Roman" w:hAnsi="Times New Roman" w:cs="Times New Roman"/>
          <w:b w:val="0"/>
          <w:color w:val="auto"/>
          <w:sz w:val="22"/>
          <w:szCs w:val="22"/>
        </w:rPr>
        <w:t>, 4(2), 124-130.</w:t>
      </w:r>
    </w:p>
    <w:p w14:paraId="70043FF8"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 Alfa, M. I., Sule, B. Y., and Umar, T. A. (2019). Nutritional quality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i/>
          <w:color w:val="auto"/>
          <w:sz w:val="22"/>
          <w:szCs w:val="22"/>
        </w:rPr>
        <w:t xml:space="preserve"> </w:t>
      </w:r>
      <w:proofErr w:type="spellStart"/>
      <w:r w:rsidRPr="00820DD5">
        <w:rPr>
          <w:rFonts w:ascii="Times New Roman" w:hAnsi="Times New Roman" w:cs="Times New Roman"/>
          <w:b w:val="0"/>
          <w:i/>
          <w:color w:val="auto"/>
          <w:sz w:val="22"/>
          <w:szCs w:val="22"/>
        </w:rPr>
        <w:t>gariepinus</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color w:val="auto"/>
          <w:sz w:val="22"/>
          <w:szCs w:val="22"/>
        </w:rPr>
        <w:t>Journal of Fisheries Research</w:t>
      </w:r>
      <w:r w:rsidRPr="00820DD5">
        <w:rPr>
          <w:rFonts w:ascii="Times New Roman" w:hAnsi="Times New Roman" w:cs="Times New Roman"/>
          <w:b w:val="0"/>
          <w:color w:val="auto"/>
          <w:sz w:val="22"/>
          <w:szCs w:val="22"/>
        </w:rPr>
        <w:t>, 12(1), 39-45.</w:t>
      </w:r>
    </w:p>
    <w:p w14:paraId="723D3619" w14:textId="77777777" w:rsidR="00127F8F" w:rsidRDefault="00B37602" w:rsidP="00127F8F">
      <w:pPr>
        <w:pStyle w:val="1"/>
        <w:spacing w:before="240" w:after="120"/>
        <w:ind w:leftChars="0" w:left="720" w:hanging="660"/>
      </w:pPr>
      <w:r w:rsidRPr="00820DD5">
        <w:rPr>
          <w:rFonts w:ascii="Times New Roman" w:hAnsi="Times New Roman" w:cs="Times New Roman"/>
          <w:b w:val="0"/>
          <w:color w:val="auto"/>
          <w:sz w:val="22"/>
          <w:szCs w:val="22"/>
        </w:rPr>
        <w:t xml:space="preserve">Azad, S. A., Rahman, M. M., and Mollah, M. F. A. (2021). Health benefits of mushrooms: Implications for aquaculture.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xml:space="preserve"> 52(2), 691-706. </w:t>
      </w:r>
      <w:hyperlink r:id="rId38" w:history="1">
        <w:r w:rsidRPr="00820DD5">
          <w:rPr>
            <w:rStyle w:val="Hyperlink"/>
            <w:rFonts w:ascii="Times New Roman" w:hAnsi="Times New Roman" w:cs="Times New Roman"/>
            <w:b w:val="0"/>
            <w:color w:val="auto"/>
            <w:sz w:val="22"/>
            <w:szCs w:val="22"/>
          </w:rPr>
          <w:t>https://doi.org/10.1111/are.14909</w:t>
        </w:r>
      </w:hyperlink>
    </w:p>
    <w:p w14:paraId="34CC4631"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Fakunmoju, F. A., Babalola, A. O., and Emrys, M. E. (2021). Cholesterol level and proximate composition of African catfish (</w:t>
      </w:r>
      <w:proofErr w:type="spellStart"/>
      <w:r w:rsidRPr="00BF7A9A">
        <w:rPr>
          <w:rFonts w:ascii="Times New Roman" w:hAnsi="Times New Roman" w:cs="Times New Roman"/>
          <w:b w:val="0"/>
          <w:i/>
          <w:color w:val="auto"/>
          <w:sz w:val="22"/>
          <w:szCs w:val="22"/>
        </w:rPr>
        <w:t>Clarias</w:t>
      </w:r>
      <w:proofErr w:type="spellEnd"/>
      <w:r w:rsidRPr="00BF7A9A">
        <w:rPr>
          <w:rFonts w:ascii="Times New Roman" w:hAnsi="Times New Roman" w:cs="Times New Roman"/>
          <w:b w:val="0"/>
          <w:i/>
          <w:color w:val="auto"/>
          <w:sz w:val="22"/>
          <w:szCs w:val="22"/>
        </w:rPr>
        <w:t xml:space="preserve"> </w:t>
      </w:r>
      <w:proofErr w:type="spellStart"/>
      <w:r w:rsidRPr="00BF7A9A">
        <w:rPr>
          <w:rFonts w:ascii="Times New Roman" w:hAnsi="Times New Roman" w:cs="Times New Roman"/>
          <w:b w:val="0"/>
          <w:i/>
          <w:color w:val="auto"/>
          <w:sz w:val="22"/>
          <w:szCs w:val="22"/>
        </w:rPr>
        <w:t>gariepinus</w:t>
      </w:r>
      <w:proofErr w:type="spellEnd"/>
      <w:r w:rsidRPr="00820DD5">
        <w:rPr>
          <w:rFonts w:ascii="Times New Roman" w:hAnsi="Times New Roman" w:cs="Times New Roman"/>
          <w:b w:val="0"/>
          <w:color w:val="auto"/>
          <w:sz w:val="22"/>
          <w:szCs w:val="22"/>
        </w:rPr>
        <w:t>) fed six commercial floating fish feeds. International Journal of Fisheries and Aquatic Studies, 9(3), 260–264.</w:t>
      </w:r>
    </w:p>
    <w:p w14:paraId="6005FF9C"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Farag, M. R., </w:t>
      </w:r>
      <w:proofErr w:type="spellStart"/>
      <w:r w:rsidRPr="00820DD5">
        <w:rPr>
          <w:rFonts w:ascii="Times New Roman" w:hAnsi="Times New Roman" w:cs="Times New Roman"/>
          <w:b w:val="0"/>
          <w:color w:val="auto"/>
          <w:sz w:val="22"/>
          <w:szCs w:val="22"/>
        </w:rPr>
        <w:t>Alagawany</w:t>
      </w:r>
      <w:proofErr w:type="spellEnd"/>
      <w:r w:rsidRPr="00820DD5">
        <w:rPr>
          <w:rFonts w:ascii="Times New Roman" w:hAnsi="Times New Roman" w:cs="Times New Roman"/>
          <w:b w:val="0"/>
          <w:color w:val="auto"/>
          <w:sz w:val="22"/>
          <w:szCs w:val="22"/>
        </w:rPr>
        <w:t xml:space="preserve">, M., and Dawood, M. A. O. (2019). Dietary supplementation of fish oil and/or probiotic affects immune-related gene expression in common carp.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50(2), 585-592.</w:t>
      </w:r>
    </w:p>
    <w:p w14:paraId="14739F6C"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Gbadamosi, I. T., Adebayo, O. T., Adewole, A. M., and Olaniyi, C. O. (2020). “The effects of dietary mushrooms on lipid metabolism in fish.” </w:t>
      </w:r>
      <w:r w:rsidRPr="00820DD5">
        <w:rPr>
          <w:rFonts w:ascii="Times New Roman" w:hAnsi="Times New Roman" w:cs="Times New Roman"/>
          <w:b w:val="0"/>
          <w:i/>
          <w:iCs/>
          <w:color w:val="auto"/>
          <w:sz w:val="22"/>
          <w:szCs w:val="22"/>
        </w:rPr>
        <w:t>Journal of Aquaculture Research and Development</w:t>
      </w:r>
      <w:r w:rsidRPr="00820DD5">
        <w:rPr>
          <w:rFonts w:ascii="Times New Roman" w:hAnsi="Times New Roman" w:cs="Times New Roman"/>
          <w:b w:val="0"/>
          <w:color w:val="auto"/>
          <w:sz w:val="22"/>
          <w:szCs w:val="22"/>
        </w:rPr>
        <w:t>, 11(6), Article 597.</w:t>
      </w:r>
    </w:p>
    <w:p w14:paraId="48508210"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Gornall, A.G., </w:t>
      </w:r>
      <w:proofErr w:type="spellStart"/>
      <w:r w:rsidRPr="00820DD5">
        <w:rPr>
          <w:rFonts w:ascii="Times New Roman" w:hAnsi="Times New Roman" w:cs="Times New Roman"/>
          <w:b w:val="0"/>
          <w:color w:val="auto"/>
          <w:sz w:val="22"/>
          <w:szCs w:val="22"/>
        </w:rPr>
        <w:t>Bardawill</w:t>
      </w:r>
      <w:proofErr w:type="spellEnd"/>
      <w:r w:rsidRPr="00820DD5">
        <w:rPr>
          <w:rFonts w:ascii="Times New Roman" w:hAnsi="Times New Roman" w:cs="Times New Roman"/>
          <w:b w:val="0"/>
          <w:color w:val="auto"/>
          <w:sz w:val="22"/>
          <w:szCs w:val="22"/>
        </w:rPr>
        <w:t xml:space="preserve">, C.J. and David, M.N. (1949) Determination of serum proteins by means of the </w:t>
      </w:r>
      <w:proofErr w:type="spellStart"/>
      <w:r w:rsidRPr="00820DD5">
        <w:rPr>
          <w:rFonts w:ascii="Times New Roman" w:hAnsi="Times New Roman" w:cs="Times New Roman"/>
          <w:b w:val="0"/>
          <w:color w:val="auto"/>
          <w:sz w:val="22"/>
          <w:szCs w:val="22"/>
        </w:rPr>
        <w:t>Biüret</w:t>
      </w:r>
      <w:proofErr w:type="spellEnd"/>
      <w:r w:rsidRPr="00820DD5">
        <w:rPr>
          <w:rFonts w:ascii="Times New Roman" w:hAnsi="Times New Roman" w:cs="Times New Roman"/>
          <w:b w:val="0"/>
          <w:color w:val="auto"/>
          <w:sz w:val="22"/>
          <w:szCs w:val="22"/>
        </w:rPr>
        <w:t xml:space="preserve"> reaction</w:t>
      </w:r>
      <w:r w:rsidRPr="00820DD5">
        <w:rPr>
          <w:rFonts w:ascii="Times New Roman" w:hAnsi="Times New Roman" w:cs="Times New Roman"/>
          <w:b w:val="0"/>
          <w:i/>
          <w:iCs/>
          <w:color w:val="auto"/>
          <w:sz w:val="22"/>
          <w:szCs w:val="22"/>
        </w:rPr>
        <w:t>. The Journal of Biological Chemistry,</w:t>
      </w:r>
      <w:r w:rsidRPr="00820DD5">
        <w:rPr>
          <w:rFonts w:ascii="Times New Roman" w:hAnsi="Times New Roman" w:cs="Times New Roman"/>
          <w:b w:val="0"/>
          <w:color w:val="auto"/>
          <w:sz w:val="22"/>
          <w:szCs w:val="22"/>
        </w:rPr>
        <w:t xml:space="preserve"> 177, 751-766.</w:t>
      </w:r>
    </w:p>
    <w:p w14:paraId="710D175A" w14:textId="77777777" w:rsidR="00127F8F" w:rsidRDefault="00B37602" w:rsidP="00127F8F">
      <w:pPr>
        <w:pStyle w:val="1"/>
        <w:spacing w:before="240" w:after="120"/>
        <w:ind w:leftChars="0" w:left="720" w:hanging="660"/>
      </w:pPr>
      <w:r w:rsidRPr="00820DD5">
        <w:rPr>
          <w:rFonts w:ascii="Times New Roman" w:hAnsi="Times New Roman" w:cs="Times New Roman"/>
          <w:b w:val="0"/>
          <w:color w:val="auto"/>
          <w:sz w:val="22"/>
          <w:szCs w:val="22"/>
        </w:rPr>
        <w:t xml:space="preserve">Hussain, M. A., Ali, M., Ahmad, S., and Rahman, M. M. (2020). Effects of dietary cholesterol on growth and metabolism in </w:t>
      </w:r>
      <w:proofErr w:type="spellStart"/>
      <w:r w:rsidRPr="00BF7A9A">
        <w:rPr>
          <w:rFonts w:ascii="Times New Roman" w:hAnsi="Times New Roman" w:cs="Times New Roman"/>
          <w:b w:val="0"/>
          <w:i/>
          <w:iCs/>
          <w:color w:val="auto"/>
          <w:sz w:val="22"/>
          <w:szCs w:val="22"/>
        </w:rPr>
        <w:t>Clarias</w:t>
      </w:r>
      <w:proofErr w:type="spellEnd"/>
      <w:r w:rsidRPr="00BF7A9A">
        <w:rPr>
          <w:rFonts w:ascii="Times New Roman" w:hAnsi="Times New Roman" w:cs="Times New Roman"/>
          <w:b w:val="0"/>
          <w:i/>
          <w:color w:val="auto"/>
          <w:sz w:val="22"/>
          <w:szCs w:val="22"/>
        </w:rPr>
        <w:t xml:space="preserve"> </w:t>
      </w:r>
      <w:proofErr w:type="spellStart"/>
      <w:r w:rsidRPr="00BF7A9A">
        <w:rPr>
          <w:rFonts w:ascii="Times New Roman" w:hAnsi="Times New Roman" w:cs="Times New Roman"/>
          <w:b w:val="0"/>
          <w:i/>
          <w:color w:val="auto"/>
          <w:sz w:val="22"/>
          <w:szCs w:val="22"/>
        </w:rPr>
        <w:t>gariepinus</w:t>
      </w:r>
      <w:proofErr w:type="spellEnd"/>
      <w:r w:rsidRPr="00820DD5">
        <w:rPr>
          <w:rFonts w:ascii="Times New Roman" w:hAnsi="Times New Roman" w:cs="Times New Roman"/>
          <w:b w:val="0"/>
          <w:color w:val="auto"/>
          <w:sz w:val="22"/>
          <w:szCs w:val="22"/>
        </w:rPr>
        <w:t xml:space="preserve">. </w:t>
      </w:r>
      <w:r w:rsidRPr="00BF7A9A">
        <w:rPr>
          <w:rFonts w:ascii="Times New Roman" w:hAnsi="Times New Roman" w:cs="Times New Roman"/>
          <w:b w:val="0"/>
          <w:i/>
          <w:color w:val="auto"/>
          <w:sz w:val="22"/>
          <w:szCs w:val="22"/>
        </w:rPr>
        <w:t>Aquaculture Research</w:t>
      </w:r>
      <w:r w:rsidRPr="00820DD5">
        <w:rPr>
          <w:rFonts w:ascii="Times New Roman" w:hAnsi="Times New Roman" w:cs="Times New Roman"/>
          <w:b w:val="0"/>
          <w:color w:val="auto"/>
          <w:sz w:val="22"/>
          <w:szCs w:val="22"/>
        </w:rPr>
        <w:t xml:space="preserve">, 51(3), 981-992. </w:t>
      </w:r>
      <w:hyperlink r:id="rId39" w:history="1">
        <w:r w:rsidRPr="00820DD5">
          <w:rPr>
            <w:rStyle w:val="Hyperlink"/>
            <w:rFonts w:ascii="Times New Roman" w:hAnsi="Times New Roman" w:cs="Times New Roman"/>
            <w:b w:val="0"/>
            <w:color w:val="auto"/>
            <w:sz w:val="22"/>
            <w:szCs w:val="22"/>
          </w:rPr>
          <w:t>https://doi.org/10.1111/are.14675</w:t>
        </w:r>
      </w:hyperlink>
    </w:p>
    <w:p w14:paraId="6FA74A10" w14:textId="5349A55C"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Hussain, F., Rahman, M. M., Javed, M. T., and Baloch, S. H. (2021). The impact of turmeric on fish health and production: A review</w:t>
      </w:r>
      <w:r w:rsidRPr="00820DD5">
        <w:rPr>
          <w:rFonts w:ascii="Times New Roman" w:hAnsi="Times New Roman" w:cs="Times New Roman"/>
          <w:b w:val="0"/>
          <w:i/>
          <w:iCs/>
          <w:color w:val="auto"/>
          <w:sz w:val="22"/>
          <w:szCs w:val="22"/>
        </w:rPr>
        <w:t>. Aquaculture International</w:t>
      </w:r>
      <w:r w:rsidRPr="00820DD5">
        <w:rPr>
          <w:rFonts w:ascii="Times New Roman" w:hAnsi="Times New Roman" w:cs="Times New Roman"/>
          <w:b w:val="0"/>
          <w:color w:val="auto"/>
          <w:sz w:val="22"/>
          <w:szCs w:val="22"/>
        </w:rPr>
        <w:t xml:space="preserve">, 29(3), 717-738. </w:t>
      </w:r>
      <w:hyperlink r:id="rId40" w:history="1">
        <w:r w:rsidR="00127F8F" w:rsidRPr="000B6DBA">
          <w:rPr>
            <w:rStyle w:val="Hyperlink"/>
            <w:rFonts w:ascii="Times New Roman" w:hAnsi="Times New Roman" w:cs="Times New Roman"/>
            <w:b w:val="0"/>
            <w:sz w:val="22"/>
            <w:szCs w:val="22"/>
          </w:rPr>
          <w:t>https://doi.org/10.1007/s10499-020-00549-0</w:t>
        </w:r>
      </w:hyperlink>
    </w:p>
    <w:p w14:paraId="10F949DE"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Ismail, T. A., Ahmed, M. I., and Mohamed, M. M. (2015). </w:t>
      </w:r>
      <w:proofErr w:type="spellStart"/>
      <w:r w:rsidRPr="00820DD5">
        <w:rPr>
          <w:rFonts w:ascii="Times New Roman" w:hAnsi="Times New Roman" w:cs="Times New Roman"/>
          <w:b w:val="0"/>
          <w:color w:val="auto"/>
          <w:sz w:val="22"/>
          <w:szCs w:val="22"/>
        </w:rPr>
        <w:t>Antihypercholesterolemic</w:t>
      </w:r>
      <w:proofErr w:type="spellEnd"/>
      <w:r w:rsidRPr="00820DD5">
        <w:rPr>
          <w:rFonts w:ascii="Times New Roman" w:hAnsi="Times New Roman" w:cs="Times New Roman"/>
          <w:b w:val="0"/>
          <w:color w:val="auto"/>
          <w:sz w:val="22"/>
          <w:szCs w:val="22"/>
        </w:rPr>
        <w:t xml:space="preserve"> effects of mushroom and curcumin in experimental hypercholesterolemic rats. </w:t>
      </w:r>
      <w:r w:rsidRPr="00820DD5">
        <w:rPr>
          <w:rFonts w:ascii="Times New Roman" w:hAnsi="Times New Roman" w:cs="Times New Roman"/>
          <w:b w:val="0"/>
          <w:i/>
          <w:iCs/>
          <w:color w:val="auto"/>
          <w:sz w:val="22"/>
          <w:szCs w:val="22"/>
        </w:rPr>
        <w:t>Journal of Food and Nutrition Research, 3</w:t>
      </w:r>
      <w:r w:rsidRPr="00820DD5">
        <w:rPr>
          <w:rFonts w:ascii="Times New Roman" w:hAnsi="Times New Roman" w:cs="Times New Roman"/>
          <w:b w:val="0"/>
          <w:color w:val="auto"/>
          <w:sz w:val="22"/>
          <w:szCs w:val="22"/>
        </w:rPr>
        <w:t>(2), 7787.</w:t>
      </w:r>
    </w:p>
    <w:p w14:paraId="470A4369" w14:textId="77777777"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Khosravi, S., </w:t>
      </w:r>
      <w:proofErr w:type="spellStart"/>
      <w:r w:rsidRPr="00820DD5">
        <w:rPr>
          <w:rFonts w:ascii="Times New Roman" w:hAnsi="Times New Roman" w:cs="Times New Roman"/>
          <w:b w:val="0"/>
          <w:color w:val="auto"/>
          <w:sz w:val="22"/>
          <w:szCs w:val="22"/>
        </w:rPr>
        <w:t>Banaee</w:t>
      </w:r>
      <w:proofErr w:type="spellEnd"/>
      <w:r w:rsidRPr="00820DD5">
        <w:rPr>
          <w:rFonts w:ascii="Times New Roman" w:hAnsi="Times New Roman" w:cs="Times New Roman"/>
          <w:b w:val="0"/>
          <w:color w:val="auto"/>
          <w:sz w:val="22"/>
          <w:szCs w:val="22"/>
        </w:rPr>
        <w:t xml:space="preserve">, M., </w:t>
      </w:r>
      <w:proofErr w:type="spellStart"/>
      <w:r w:rsidRPr="00820DD5">
        <w:rPr>
          <w:rFonts w:ascii="Times New Roman" w:hAnsi="Times New Roman" w:cs="Times New Roman"/>
          <w:b w:val="0"/>
          <w:color w:val="auto"/>
          <w:sz w:val="22"/>
          <w:szCs w:val="22"/>
        </w:rPr>
        <w:t>SaeiDehkordi</w:t>
      </w:r>
      <w:proofErr w:type="spellEnd"/>
      <w:r w:rsidRPr="00820DD5">
        <w:rPr>
          <w:rFonts w:ascii="Times New Roman" w:hAnsi="Times New Roman" w:cs="Times New Roman"/>
          <w:b w:val="0"/>
          <w:color w:val="auto"/>
          <w:sz w:val="22"/>
          <w:szCs w:val="22"/>
        </w:rPr>
        <w:t xml:space="preserve">, S. S., and Soltani, M. (2020). Effects of dietary supplements on hematological parameters in fish: A review of current research trends. </w:t>
      </w:r>
      <w:r w:rsidRPr="00820DD5">
        <w:rPr>
          <w:rFonts w:ascii="Times New Roman" w:hAnsi="Times New Roman" w:cs="Times New Roman"/>
          <w:b w:val="0"/>
          <w:i/>
          <w:iCs/>
          <w:color w:val="auto"/>
          <w:sz w:val="22"/>
          <w:szCs w:val="22"/>
        </w:rPr>
        <w:t>Aquaculture Reports, 18</w:t>
      </w:r>
      <w:r w:rsidRPr="00820DD5">
        <w:rPr>
          <w:rFonts w:ascii="Times New Roman" w:hAnsi="Times New Roman" w:cs="Times New Roman"/>
          <w:b w:val="0"/>
          <w:color w:val="auto"/>
          <w:sz w:val="22"/>
          <w:szCs w:val="22"/>
        </w:rPr>
        <w:t>.</w:t>
      </w:r>
    </w:p>
    <w:p w14:paraId="29E1FFCA" w14:textId="332F9EFE"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lastRenderedPageBreak/>
        <w:t xml:space="preserve">Lee, J. H., Kim, J. D., and Kim, S. K. (2019). Functional properties of mushrooms in aquaculture diets: A review. </w:t>
      </w:r>
      <w:r w:rsidRPr="00820DD5">
        <w:rPr>
          <w:rFonts w:ascii="Times New Roman" w:hAnsi="Times New Roman" w:cs="Times New Roman"/>
          <w:b w:val="0"/>
          <w:i/>
          <w:iCs/>
          <w:color w:val="auto"/>
          <w:sz w:val="22"/>
          <w:szCs w:val="22"/>
        </w:rPr>
        <w:t>Aquaculture Nutrition</w:t>
      </w:r>
      <w:r w:rsidRPr="00820DD5">
        <w:rPr>
          <w:rFonts w:ascii="Times New Roman" w:hAnsi="Times New Roman" w:cs="Times New Roman"/>
          <w:b w:val="0"/>
          <w:color w:val="auto"/>
          <w:sz w:val="22"/>
          <w:szCs w:val="22"/>
        </w:rPr>
        <w:t xml:space="preserve">, 25(3), 563-576. </w:t>
      </w:r>
      <w:hyperlink r:id="rId41" w:history="1">
        <w:r w:rsidR="00127F8F" w:rsidRPr="000B6DBA">
          <w:rPr>
            <w:rStyle w:val="Hyperlink"/>
            <w:rFonts w:ascii="Times New Roman" w:hAnsi="Times New Roman" w:cs="Times New Roman"/>
            <w:b w:val="0"/>
            <w:sz w:val="22"/>
            <w:szCs w:val="22"/>
          </w:rPr>
          <w:t>https://doi.org/10.1111/anu.12885</w:t>
        </w:r>
      </w:hyperlink>
    </w:p>
    <w:p w14:paraId="739A9EB2" w14:textId="7801AF3B" w:rsidR="00127F8F" w:rsidRDefault="00B37602" w:rsidP="00127F8F">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Miao, Y., Wang, L., Zhang, Q., Zhang, Y., and Xu, H. (2022). Lipid metabolism in fish: Implications for aquaculture. </w:t>
      </w:r>
      <w:r w:rsidRPr="00BF7A9A">
        <w:rPr>
          <w:rFonts w:ascii="Times New Roman" w:hAnsi="Times New Roman" w:cs="Times New Roman"/>
          <w:b w:val="0"/>
          <w:i/>
          <w:color w:val="auto"/>
          <w:sz w:val="22"/>
          <w:szCs w:val="22"/>
        </w:rPr>
        <w:t>Aquaculture Reports,</w:t>
      </w:r>
      <w:r w:rsidRPr="00820DD5">
        <w:rPr>
          <w:rFonts w:ascii="Times New Roman" w:hAnsi="Times New Roman" w:cs="Times New Roman"/>
          <w:b w:val="0"/>
          <w:color w:val="auto"/>
          <w:sz w:val="22"/>
          <w:szCs w:val="22"/>
        </w:rPr>
        <w:t xml:space="preserve"> 20, 100777. </w:t>
      </w:r>
      <w:hyperlink r:id="rId42" w:history="1">
        <w:r w:rsidR="00127F8F" w:rsidRPr="000B6DBA">
          <w:rPr>
            <w:rStyle w:val="Hyperlink"/>
            <w:rFonts w:ascii="Times New Roman" w:hAnsi="Times New Roman" w:cs="Times New Roman"/>
            <w:b w:val="0"/>
            <w:sz w:val="22"/>
            <w:szCs w:val="22"/>
          </w:rPr>
          <w:t>https://doi.org/10.1016/j.aqrep.2022.100777</w:t>
        </w:r>
      </w:hyperlink>
    </w:p>
    <w:p w14:paraId="67116B39"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Musa, I. A., and Omoregie, E. (1999). The haematological indices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i/>
          <w:iCs/>
          <w:color w:val="auto"/>
          <w:sz w:val="22"/>
          <w:szCs w:val="22"/>
        </w:rPr>
        <w:t xml:space="preserve"> </w:t>
      </w:r>
      <w:proofErr w:type="spellStart"/>
      <w:r w:rsidRPr="00820DD5">
        <w:rPr>
          <w:rFonts w:ascii="Times New Roman" w:hAnsi="Times New Roman" w:cs="Times New Roman"/>
          <w:b w:val="0"/>
          <w:i/>
          <w:iCs/>
          <w:color w:val="auto"/>
          <w:sz w:val="22"/>
          <w:szCs w:val="22"/>
        </w:rPr>
        <w:t>gariepinus</w:t>
      </w:r>
      <w:proofErr w:type="spellEnd"/>
      <w:r w:rsidRPr="00820DD5">
        <w:rPr>
          <w:rFonts w:ascii="Times New Roman" w:hAnsi="Times New Roman" w:cs="Times New Roman"/>
          <w:b w:val="0"/>
          <w:color w:val="auto"/>
          <w:sz w:val="22"/>
          <w:szCs w:val="22"/>
        </w:rPr>
        <w:t xml:space="preserve">: A review of factors affecting fish health parameters.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w:t>
      </w:r>
    </w:p>
    <w:p w14:paraId="432548F4"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Ndife</w:t>
      </w:r>
      <w:proofErr w:type="spellEnd"/>
      <w:r w:rsidRPr="00820DD5">
        <w:rPr>
          <w:rFonts w:ascii="Times New Roman" w:hAnsi="Times New Roman" w:cs="Times New Roman"/>
          <w:b w:val="0"/>
          <w:color w:val="auto"/>
          <w:sz w:val="22"/>
          <w:szCs w:val="22"/>
        </w:rPr>
        <w:t xml:space="preserve">, J. (2016). Polyunsaturated fatty acids in fish and their health benefits. </w:t>
      </w:r>
      <w:r w:rsidRPr="00820DD5">
        <w:rPr>
          <w:rFonts w:ascii="Times New Roman" w:hAnsi="Times New Roman" w:cs="Times New Roman"/>
          <w:b w:val="0"/>
          <w:i/>
          <w:color w:val="auto"/>
          <w:sz w:val="22"/>
          <w:szCs w:val="22"/>
        </w:rPr>
        <w:t>Journal of</w:t>
      </w:r>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color w:val="auto"/>
          <w:sz w:val="22"/>
          <w:szCs w:val="22"/>
        </w:rPr>
        <w:t>Nutritional Sciences</w:t>
      </w:r>
      <w:r w:rsidRPr="00820DD5">
        <w:rPr>
          <w:rFonts w:ascii="Times New Roman" w:hAnsi="Times New Roman" w:cs="Times New Roman"/>
          <w:b w:val="0"/>
          <w:color w:val="auto"/>
          <w:sz w:val="22"/>
          <w:szCs w:val="22"/>
        </w:rPr>
        <w:t>, 14(1), 65-71.</w:t>
      </w:r>
    </w:p>
    <w:p w14:paraId="598BD51C" w14:textId="34CE7EC8"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Nwachukwu, N. I., Okoro, V. O., and Ugwu, D. C. (2023). Nutritional strategies for managing cholesterol levels in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gariepinus</w:t>
      </w:r>
      <w:proofErr w:type="spellEnd"/>
      <w:r w:rsidRPr="00820DD5">
        <w:rPr>
          <w:rFonts w:ascii="Times New Roman" w:hAnsi="Times New Roman" w:cs="Times New Roman"/>
          <w:b w:val="0"/>
          <w:color w:val="auto"/>
          <w:sz w:val="22"/>
          <w:szCs w:val="22"/>
        </w:rPr>
        <w:t xml:space="preserve">. </w:t>
      </w:r>
      <w:r w:rsidRPr="00BF7A9A">
        <w:rPr>
          <w:rFonts w:ascii="Times New Roman" w:hAnsi="Times New Roman" w:cs="Times New Roman"/>
          <w:b w:val="0"/>
          <w:color w:val="auto"/>
          <w:sz w:val="22"/>
          <w:szCs w:val="22"/>
        </w:rPr>
        <w:t>Aquaculture</w:t>
      </w:r>
      <w:r w:rsidRPr="00820DD5">
        <w:rPr>
          <w:rFonts w:ascii="Times New Roman" w:hAnsi="Times New Roman" w:cs="Times New Roman"/>
          <w:b w:val="0"/>
          <w:color w:val="auto"/>
          <w:sz w:val="22"/>
          <w:szCs w:val="22"/>
        </w:rPr>
        <w:t xml:space="preserve">, 536, 736-745. </w:t>
      </w:r>
      <w:hyperlink r:id="rId43" w:history="1">
        <w:r w:rsidR="00BF2EF8" w:rsidRPr="000B6DBA">
          <w:rPr>
            <w:rStyle w:val="Hyperlink"/>
            <w:rFonts w:ascii="Times New Roman" w:hAnsi="Times New Roman" w:cs="Times New Roman"/>
            <w:b w:val="0"/>
            <w:sz w:val="22"/>
            <w:szCs w:val="22"/>
          </w:rPr>
          <w:t>https://doi.org/10.1016/j.aquaculture.2023.737506</w:t>
        </w:r>
      </w:hyperlink>
    </w:p>
    <w:p w14:paraId="4260916B"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O'Connell, M. A., Nathan, C., and Cooke, R. F. (2014). Immunoglobulins and immune response. </w:t>
      </w:r>
      <w:r w:rsidRPr="00820DD5">
        <w:rPr>
          <w:rFonts w:ascii="Times New Roman" w:hAnsi="Times New Roman" w:cs="Times New Roman"/>
          <w:b w:val="0"/>
          <w:i/>
          <w:iCs/>
          <w:color w:val="auto"/>
          <w:sz w:val="22"/>
          <w:szCs w:val="22"/>
        </w:rPr>
        <w:t>Veterinary Immunology and Immunopathology</w:t>
      </w:r>
      <w:r w:rsidRPr="00820DD5">
        <w:rPr>
          <w:rFonts w:ascii="Times New Roman" w:hAnsi="Times New Roman" w:cs="Times New Roman"/>
          <w:b w:val="0"/>
          <w:color w:val="auto"/>
          <w:sz w:val="22"/>
          <w:szCs w:val="22"/>
        </w:rPr>
        <w:t>, 159(12), 8794.</w:t>
      </w:r>
    </w:p>
    <w:p w14:paraId="2A0F6E31" w14:textId="3C741A50" w:rsidR="00BF2EF8" w:rsidRDefault="00B37602" w:rsidP="00BF2EF8">
      <w:pPr>
        <w:pStyle w:val="1"/>
        <w:spacing w:before="240" w:after="120"/>
        <w:ind w:leftChars="0" w:left="720" w:hanging="660"/>
        <w:rPr>
          <w:rFonts w:ascii="Times New Roman" w:hAnsi="Times New Roman" w:cs="Times New Roman"/>
          <w:b w:val="0"/>
          <w:color w:val="auto"/>
          <w:sz w:val="22"/>
          <w:szCs w:val="22"/>
        </w:rPr>
      </w:pPr>
      <w:proofErr w:type="spellStart"/>
      <w:r w:rsidRPr="00820DD5">
        <w:rPr>
          <w:rFonts w:ascii="Times New Roman" w:hAnsi="Times New Roman" w:cs="Times New Roman"/>
          <w:b w:val="0"/>
          <w:color w:val="auto"/>
          <w:sz w:val="22"/>
          <w:szCs w:val="22"/>
        </w:rPr>
        <w:t>Ogunbanwo</w:t>
      </w:r>
      <w:proofErr w:type="spellEnd"/>
      <w:r w:rsidRPr="00820DD5">
        <w:rPr>
          <w:rFonts w:ascii="Times New Roman" w:hAnsi="Times New Roman" w:cs="Times New Roman"/>
          <w:b w:val="0"/>
          <w:color w:val="auto"/>
          <w:sz w:val="22"/>
          <w:szCs w:val="22"/>
        </w:rPr>
        <w:t xml:space="preserve">, S. T., Adebayo, O. O., </w:t>
      </w:r>
      <w:proofErr w:type="spellStart"/>
      <w:r w:rsidRPr="00820DD5">
        <w:rPr>
          <w:rFonts w:ascii="Times New Roman" w:hAnsi="Times New Roman" w:cs="Times New Roman"/>
          <w:b w:val="0"/>
          <w:color w:val="auto"/>
          <w:sz w:val="22"/>
          <w:szCs w:val="22"/>
        </w:rPr>
        <w:t>Okeowo</w:t>
      </w:r>
      <w:proofErr w:type="spellEnd"/>
      <w:r w:rsidRPr="00820DD5">
        <w:rPr>
          <w:rFonts w:ascii="Times New Roman" w:hAnsi="Times New Roman" w:cs="Times New Roman"/>
          <w:b w:val="0"/>
          <w:color w:val="auto"/>
          <w:sz w:val="22"/>
          <w:szCs w:val="22"/>
        </w:rPr>
        <w:t xml:space="preserve">, A. E., and Alabi, O. M. (2022). Combined effects of turmeric and mushrooms on the growth performance of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gariepinus</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Aquaculture Research,</w:t>
      </w:r>
      <w:r w:rsidRPr="00820DD5">
        <w:rPr>
          <w:rFonts w:ascii="Times New Roman" w:hAnsi="Times New Roman" w:cs="Times New Roman"/>
          <w:b w:val="0"/>
          <w:color w:val="auto"/>
          <w:sz w:val="22"/>
          <w:szCs w:val="22"/>
        </w:rPr>
        <w:t xml:space="preserve"> 53(5), 2101-2112. </w:t>
      </w:r>
      <w:hyperlink r:id="rId44" w:history="1">
        <w:r w:rsidR="00BF2EF8" w:rsidRPr="000B6DBA">
          <w:rPr>
            <w:rStyle w:val="Hyperlink"/>
            <w:rFonts w:ascii="Times New Roman" w:hAnsi="Times New Roman" w:cs="Times New Roman"/>
            <w:b w:val="0"/>
            <w:sz w:val="22"/>
            <w:szCs w:val="22"/>
          </w:rPr>
          <w:t>https://doi.org/10.1111/are.16032</w:t>
        </w:r>
      </w:hyperlink>
    </w:p>
    <w:p w14:paraId="07FD2354"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Okpala, C. A., and Ekpenyong, E. M. (2020). The sensory qualities and affordability of fish in Nigeria. </w:t>
      </w:r>
      <w:r w:rsidRPr="00820DD5">
        <w:rPr>
          <w:rFonts w:ascii="Times New Roman" w:hAnsi="Times New Roman" w:cs="Times New Roman"/>
          <w:b w:val="0"/>
          <w:i/>
          <w:color w:val="auto"/>
          <w:sz w:val="22"/>
          <w:szCs w:val="22"/>
        </w:rPr>
        <w:t>Journal of Agricultural Economics</w:t>
      </w:r>
      <w:r w:rsidRPr="00820DD5">
        <w:rPr>
          <w:rFonts w:ascii="Times New Roman" w:hAnsi="Times New Roman" w:cs="Times New Roman"/>
          <w:b w:val="0"/>
          <w:color w:val="auto"/>
          <w:sz w:val="22"/>
          <w:szCs w:val="22"/>
        </w:rPr>
        <w:t>, 34(3), 90-97.</w:t>
      </w:r>
    </w:p>
    <w:p w14:paraId="0B90A968" w14:textId="47DB92A4" w:rsidR="00BF2EF8" w:rsidRDefault="00B37602" w:rsidP="00BF2EF8">
      <w:pPr>
        <w:pStyle w:val="1"/>
        <w:spacing w:before="240" w:after="120"/>
        <w:ind w:leftChars="0" w:left="720" w:hanging="660"/>
        <w:rPr>
          <w:rFonts w:ascii="Times New Roman" w:hAnsi="Times New Roman" w:cs="Times New Roman"/>
          <w:b w:val="0"/>
          <w:color w:val="auto"/>
          <w:sz w:val="22"/>
          <w:szCs w:val="22"/>
        </w:rPr>
      </w:pPr>
      <w:proofErr w:type="spellStart"/>
      <w:r w:rsidRPr="00820DD5">
        <w:rPr>
          <w:rFonts w:ascii="Times New Roman" w:hAnsi="Times New Roman" w:cs="Times New Roman"/>
          <w:b w:val="0"/>
          <w:color w:val="auto"/>
          <w:sz w:val="22"/>
          <w:szCs w:val="22"/>
        </w:rPr>
        <w:t>Okeowo</w:t>
      </w:r>
      <w:proofErr w:type="spellEnd"/>
      <w:r w:rsidRPr="00820DD5">
        <w:rPr>
          <w:rFonts w:ascii="Times New Roman" w:hAnsi="Times New Roman" w:cs="Times New Roman"/>
          <w:b w:val="0"/>
          <w:color w:val="auto"/>
          <w:sz w:val="22"/>
          <w:szCs w:val="22"/>
        </w:rPr>
        <w:t xml:space="preserve">, A. E., Alabi, O. M., and Adebayo, O. O. (2022). Dietary mushrooms enhance gut health in </w:t>
      </w:r>
      <w:proofErr w:type="spellStart"/>
      <w:r w:rsidRPr="00820DD5">
        <w:rPr>
          <w:rFonts w:ascii="Times New Roman" w:hAnsi="Times New Roman" w:cs="Times New Roman"/>
          <w:b w:val="0"/>
          <w:i/>
          <w:iCs/>
          <w:color w:val="auto"/>
          <w:sz w:val="22"/>
          <w:szCs w:val="22"/>
        </w:rPr>
        <w:t>Clarias</w:t>
      </w:r>
      <w:proofErr w:type="spellEnd"/>
      <w:r w:rsidRPr="00820DD5">
        <w:rPr>
          <w:rFonts w:ascii="Times New Roman" w:hAnsi="Times New Roman" w:cs="Times New Roman"/>
          <w:b w:val="0"/>
          <w:color w:val="auto"/>
          <w:sz w:val="22"/>
          <w:szCs w:val="22"/>
        </w:rPr>
        <w:t xml:space="preserve"> </w:t>
      </w:r>
      <w:proofErr w:type="spellStart"/>
      <w:r w:rsidRPr="00820DD5">
        <w:rPr>
          <w:rFonts w:ascii="Times New Roman" w:hAnsi="Times New Roman" w:cs="Times New Roman"/>
          <w:b w:val="0"/>
          <w:color w:val="auto"/>
          <w:sz w:val="22"/>
          <w:szCs w:val="22"/>
        </w:rPr>
        <w:t>gariepinus</w:t>
      </w:r>
      <w:proofErr w:type="spellEnd"/>
      <w:r w:rsidRPr="00820DD5">
        <w:rPr>
          <w:rFonts w:ascii="Times New Roman" w:hAnsi="Times New Roman" w:cs="Times New Roman"/>
          <w:b w:val="0"/>
          <w:color w:val="auto"/>
          <w:sz w:val="22"/>
          <w:szCs w:val="22"/>
        </w:rPr>
        <w:t xml:space="preserve">, </w:t>
      </w:r>
      <w:r w:rsidRPr="00820DD5">
        <w:rPr>
          <w:rFonts w:ascii="Times New Roman" w:hAnsi="Times New Roman" w:cs="Times New Roman"/>
          <w:b w:val="0"/>
          <w:i/>
          <w:iCs/>
          <w:color w:val="auto"/>
          <w:sz w:val="22"/>
          <w:szCs w:val="22"/>
        </w:rPr>
        <w:t>Implications for growth and metabolism. Fish Physiology and Biochemistry,</w:t>
      </w:r>
      <w:r w:rsidRPr="00820DD5">
        <w:rPr>
          <w:rFonts w:ascii="Times New Roman" w:hAnsi="Times New Roman" w:cs="Times New Roman"/>
          <w:b w:val="0"/>
          <w:color w:val="auto"/>
          <w:sz w:val="22"/>
          <w:szCs w:val="22"/>
        </w:rPr>
        <w:t xml:space="preserve"> 48(2), 429-442. </w:t>
      </w:r>
      <w:hyperlink r:id="rId45" w:history="1">
        <w:r w:rsidR="00BF2EF8" w:rsidRPr="000B6DBA">
          <w:rPr>
            <w:rStyle w:val="Hyperlink"/>
            <w:rFonts w:ascii="Times New Roman" w:hAnsi="Times New Roman" w:cs="Times New Roman"/>
            <w:b w:val="0"/>
            <w:sz w:val="22"/>
            <w:szCs w:val="22"/>
          </w:rPr>
          <w:t>https://doi.org/10.1007/s10695-021-01056-9</w:t>
        </w:r>
      </w:hyperlink>
    </w:p>
    <w:p w14:paraId="6A06986F"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Olaoye, O., Adeyemi, I. T., and Salami, K. T. (2018). Importance of fish protein in nutrition. </w:t>
      </w:r>
      <w:r w:rsidRPr="00820DD5">
        <w:rPr>
          <w:rFonts w:ascii="Times New Roman" w:hAnsi="Times New Roman" w:cs="Times New Roman"/>
          <w:b w:val="0"/>
          <w:i/>
          <w:color w:val="auto"/>
          <w:sz w:val="22"/>
          <w:szCs w:val="22"/>
        </w:rPr>
        <w:t>Nigerian Journal of Food Science and Nutrition</w:t>
      </w:r>
      <w:r w:rsidRPr="00820DD5">
        <w:rPr>
          <w:rFonts w:ascii="Times New Roman" w:hAnsi="Times New Roman" w:cs="Times New Roman"/>
          <w:b w:val="0"/>
          <w:color w:val="auto"/>
          <w:sz w:val="22"/>
          <w:szCs w:val="22"/>
        </w:rPr>
        <w:t>, 3(1), 56-62.</w:t>
      </w:r>
    </w:p>
    <w:p w14:paraId="0FAC6EDC"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proofErr w:type="spellStart"/>
      <w:r w:rsidRPr="00820DD5">
        <w:rPr>
          <w:rFonts w:ascii="Times New Roman" w:hAnsi="Times New Roman" w:cs="Times New Roman"/>
          <w:b w:val="0"/>
          <w:color w:val="auto"/>
          <w:sz w:val="22"/>
          <w:szCs w:val="22"/>
        </w:rPr>
        <w:t>Oloruntuyi</w:t>
      </w:r>
      <w:proofErr w:type="spellEnd"/>
      <w:r w:rsidRPr="00820DD5">
        <w:rPr>
          <w:rFonts w:ascii="Times New Roman" w:hAnsi="Times New Roman" w:cs="Times New Roman"/>
          <w:b w:val="0"/>
          <w:color w:val="auto"/>
          <w:sz w:val="22"/>
          <w:szCs w:val="22"/>
        </w:rPr>
        <w:t xml:space="preserve">, O., Ojo, D., and Aribisala, J. (2022). Influence of dietary curcumin on liver enzyme activities in tilapia (Oreochromis niloticus). </w:t>
      </w:r>
      <w:r w:rsidRPr="00820DD5">
        <w:rPr>
          <w:rFonts w:ascii="Times New Roman" w:hAnsi="Times New Roman" w:cs="Times New Roman"/>
          <w:b w:val="0"/>
          <w:i/>
          <w:iCs/>
          <w:color w:val="auto"/>
          <w:sz w:val="22"/>
          <w:szCs w:val="22"/>
        </w:rPr>
        <w:t>Fisheries Science,</w:t>
      </w:r>
      <w:r w:rsidRPr="00820DD5">
        <w:rPr>
          <w:rFonts w:ascii="Times New Roman" w:hAnsi="Times New Roman" w:cs="Times New Roman"/>
          <w:b w:val="0"/>
          <w:color w:val="auto"/>
          <w:sz w:val="22"/>
          <w:szCs w:val="22"/>
        </w:rPr>
        <w:t xml:space="preserve"> 88(3), 315324.</w:t>
      </w:r>
    </w:p>
    <w:p w14:paraId="2839C5ED"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Omoruyi, E. A. (2018). The availability and popularity of fish as a protein source in Nigeria. </w:t>
      </w:r>
      <w:r w:rsidRPr="00820DD5">
        <w:rPr>
          <w:rFonts w:ascii="Times New Roman" w:hAnsi="Times New Roman" w:cs="Times New Roman"/>
          <w:b w:val="0"/>
          <w:i/>
          <w:color w:val="auto"/>
          <w:sz w:val="22"/>
          <w:szCs w:val="22"/>
        </w:rPr>
        <w:t>International Journal of Agriculture and Food Research</w:t>
      </w:r>
      <w:r w:rsidRPr="00820DD5">
        <w:rPr>
          <w:rFonts w:ascii="Times New Roman" w:hAnsi="Times New Roman" w:cs="Times New Roman"/>
          <w:b w:val="0"/>
          <w:color w:val="auto"/>
          <w:sz w:val="22"/>
          <w:szCs w:val="22"/>
        </w:rPr>
        <w:t>, 6(2), 142-148.</w:t>
      </w:r>
    </w:p>
    <w:p w14:paraId="76A4AFCD" w14:textId="77777777" w:rsidR="00BF2EF8" w:rsidRDefault="00B37602" w:rsidP="00BF2EF8">
      <w:pPr>
        <w:pStyle w:val="1"/>
        <w:spacing w:before="240" w:after="120"/>
        <w:ind w:leftChars="0" w:left="720" w:hanging="660"/>
      </w:pPr>
      <w:r w:rsidRPr="00820DD5">
        <w:rPr>
          <w:rFonts w:ascii="Times New Roman" w:hAnsi="Times New Roman" w:cs="Times New Roman"/>
          <w:b w:val="0"/>
          <w:color w:val="auto"/>
          <w:sz w:val="22"/>
          <w:szCs w:val="22"/>
        </w:rPr>
        <w:t xml:space="preserve">Sahu, N. P., Kumar, S., Choudhury, D., and Ranjan, A. (2021). Nutritional strategies for enhancing fish health: A review on dietary supplements impacting hematological parameters in aquaculture species. </w:t>
      </w:r>
      <w:r w:rsidRPr="00820DD5">
        <w:rPr>
          <w:rFonts w:ascii="Times New Roman" w:hAnsi="Times New Roman" w:cs="Times New Roman"/>
          <w:b w:val="0"/>
          <w:i/>
          <w:iCs/>
          <w:color w:val="auto"/>
          <w:sz w:val="22"/>
          <w:szCs w:val="22"/>
        </w:rPr>
        <w:t>Fish Physiology and Biochemistry</w:t>
      </w:r>
      <w:r w:rsidRPr="00820DD5">
        <w:rPr>
          <w:rFonts w:ascii="Times New Roman" w:hAnsi="Times New Roman" w:cs="Times New Roman"/>
          <w:b w:val="0"/>
          <w:color w:val="auto"/>
          <w:sz w:val="22"/>
          <w:szCs w:val="22"/>
        </w:rPr>
        <w:t xml:space="preserve">. </w:t>
      </w:r>
      <w:hyperlink r:id="rId46" w:history="1">
        <w:r w:rsidRPr="00820DD5">
          <w:rPr>
            <w:rStyle w:val="Hyperlink"/>
            <w:rFonts w:ascii="Times New Roman" w:hAnsi="Times New Roman" w:cs="Times New Roman"/>
            <w:b w:val="0"/>
            <w:color w:val="auto"/>
            <w:sz w:val="22"/>
            <w:szCs w:val="22"/>
          </w:rPr>
          <w:t>https://doi.org/10.1007/s10695021009118</w:t>
        </w:r>
      </w:hyperlink>
    </w:p>
    <w:p w14:paraId="3478DE27"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Soares, M. C., Nunes, D. D., Almeida, A. A., and Rodrigues, E. (2020).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A potential dietary supplement for aquaculture. </w:t>
      </w:r>
      <w:r w:rsidRPr="00820DD5">
        <w:rPr>
          <w:rFonts w:ascii="Times New Roman" w:hAnsi="Times New Roman" w:cs="Times New Roman"/>
          <w:b w:val="0"/>
          <w:i/>
          <w:iCs/>
          <w:color w:val="auto"/>
          <w:sz w:val="22"/>
          <w:szCs w:val="22"/>
        </w:rPr>
        <w:t>Journal of Applied Aquaculture</w:t>
      </w:r>
      <w:r w:rsidRPr="00820DD5">
        <w:rPr>
          <w:rFonts w:ascii="Times New Roman" w:hAnsi="Times New Roman" w:cs="Times New Roman"/>
          <w:b w:val="0"/>
          <w:color w:val="auto"/>
          <w:sz w:val="22"/>
          <w:szCs w:val="22"/>
        </w:rPr>
        <w:t xml:space="preserve">, 32(1), 22-34. </w:t>
      </w:r>
      <w:hyperlink r:id="rId47" w:history="1">
        <w:r w:rsidR="00127F8F" w:rsidRPr="000B6DBA">
          <w:rPr>
            <w:rStyle w:val="Hyperlink"/>
            <w:rFonts w:ascii="Times New Roman" w:hAnsi="Times New Roman" w:cs="Times New Roman"/>
            <w:b w:val="0"/>
            <w:sz w:val="22"/>
            <w:szCs w:val="22"/>
          </w:rPr>
          <w:t>https://doi.org/10.1080/10454438.2019.1704461</w:t>
        </w:r>
      </w:hyperlink>
    </w:p>
    <w:p w14:paraId="660C76A5"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 Soliman, M. M., Khalil, W. K. B., and </w:t>
      </w:r>
      <w:proofErr w:type="spellStart"/>
      <w:r w:rsidRPr="00820DD5">
        <w:rPr>
          <w:rFonts w:ascii="Times New Roman" w:hAnsi="Times New Roman" w:cs="Times New Roman"/>
          <w:b w:val="0"/>
          <w:color w:val="auto"/>
          <w:sz w:val="22"/>
          <w:szCs w:val="22"/>
        </w:rPr>
        <w:t>AbdelDaim</w:t>
      </w:r>
      <w:proofErr w:type="spellEnd"/>
      <w:r w:rsidRPr="00820DD5">
        <w:rPr>
          <w:rFonts w:ascii="Times New Roman" w:hAnsi="Times New Roman" w:cs="Times New Roman"/>
          <w:b w:val="0"/>
          <w:color w:val="auto"/>
          <w:sz w:val="22"/>
          <w:szCs w:val="22"/>
        </w:rPr>
        <w:t xml:space="preserve">, M. M. (2015). Effects of dietary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on blood parameters in fish: A review of current research trends. </w:t>
      </w:r>
      <w:r w:rsidRPr="00820DD5">
        <w:rPr>
          <w:rFonts w:ascii="Times New Roman" w:hAnsi="Times New Roman" w:cs="Times New Roman"/>
          <w:b w:val="0"/>
          <w:i/>
          <w:iCs/>
          <w:color w:val="auto"/>
          <w:sz w:val="22"/>
          <w:szCs w:val="22"/>
        </w:rPr>
        <w:t xml:space="preserve">Applied Tropical </w:t>
      </w:r>
      <w:r w:rsidR="00BF7A9A" w:rsidRPr="00820DD5">
        <w:rPr>
          <w:rFonts w:ascii="Times New Roman" w:hAnsi="Times New Roman" w:cs="Times New Roman"/>
          <w:b w:val="0"/>
          <w:i/>
          <w:iCs/>
          <w:color w:val="auto"/>
          <w:sz w:val="22"/>
          <w:szCs w:val="22"/>
        </w:rPr>
        <w:t>Agriculture</w:t>
      </w:r>
      <w:r w:rsidR="00BF7A9A" w:rsidRPr="00820DD5">
        <w:rPr>
          <w:rFonts w:ascii="Times New Roman" w:hAnsi="Times New Roman" w:cs="Times New Roman"/>
          <w:b w:val="0"/>
          <w:color w:val="auto"/>
          <w:sz w:val="22"/>
          <w:szCs w:val="22"/>
        </w:rPr>
        <w:t>.45 (</w:t>
      </w:r>
      <w:r w:rsidRPr="00820DD5">
        <w:rPr>
          <w:rFonts w:ascii="Times New Roman" w:hAnsi="Times New Roman" w:cs="Times New Roman"/>
          <w:b w:val="0"/>
          <w:color w:val="auto"/>
          <w:sz w:val="22"/>
          <w:szCs w:val="22"/>
        </w:rPr>
        <w:t>6),334</w:t>
      </w:r>
    </w:p>
    <w:p w14:paraId="27BD04F9" w14:textId="77777777"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t xml:space="preserve">Soltanian, S., </w:t>
      </w:r>
      <w:proofErr w:type="spellStart"/>
      <w:r w:rsidRPr="00820DD5">
        <w:rPr>
          <w:rFonts w:ascii="Times New Roman" w:hAnsi="Times New Roman" w:cs="Times New Roman"/>
          <w:b w:val="0"/>
          <w:color w:val="auto"/>
          <w:sz w:val="22"/>
          <w:szCs w:val="22"/>
        </w:rPr>
        <w:t>Fereidouni</w:t>
      </w:r>
      <w:proofErr w:type="spellEnd"/>
      <w:r w:rsidRPr="00820DD5">
        <w:rPr>
          <w:rFonts w:ascii="Times New Roman" w:hAnsi="Times New Roman" w:cs="Times New Roman"/>
          <w:b w:val="0"/>
          <w:color w:val="auto"/>
          <w:sz w:val="22"/>
          <w:szCs w:val="22"/>
        </w:rPr>
        <w:t xml:space="preserve">, A. E., and Shafiee, G. (2017). The effect of </w:t>
      </w:r>
      <w:r w:rsidRPr="00BF7A9A">
        <w:rPr>
          <w:rFonts w:ascii="Times New Roman" w:hAnsi="Times New Roman" w:cs="Times New Roman"/>
          <w:b w:val="0"/>
          <w:i/>
          <w:color w:val="auto"/>
          <w:sz w:val="22"/>
          <w:szCs w:val="22"/>
        </w:rPr>
        <w:t>curcumin</w:t>
      </w:r>
      <w:r w:rsidRPr="00820DD5">
        <w:rPr>
          <w:rFonts w:ascii="Times New Roman" w:hAnsi="Times New Roman" w:cs="Times New Roman"/>
          <w:b w:val="0"/>
          <w:color w:val="auto"/>
          <w:sz w:val="22"/>
          <w:szCs w:val="22"/>
        </w:rPr>
        <w:t xml:space="preserve"> on serum alkaline phosphatase and bone turnover in rainbow trout. </w:t>
      </w:r>
      <w:r w:rsidRPr="00BF7A9A">
        <w:rPr>
          <w:rFonts w:ascii="Times New Roman" w:hAnsi="Times New Roman" w:cs="Times New Roman"/>
          <w:b w:val="0"/>
          <w:i/>
          <w:color w:val="auto"/>
          <w:sz w:val="22"/>
          <w:szCs w:val="22"/>
        </w:rPr>
        <w:t>Aquaculture Research</w:t>
      </w:r>
      <w:r w:rsidRPr="00820DD5">
        <w:rPr>
          <w:rFonts w:ascii="Times New Roman" w:hAnsi="Times New Roman" w:cs="Times New Roman"/>
          <w:b w:val="0"/>
          <w:color w:val="auto"/>
          <w:sz w:val="22"/>
          <w:szCs w:val="22"/>
        </w:rPr>
        <w:t>, 48(7), 35073515</w:t>
      </w:r>
    </w:p>
    <w:p w14:paraId="0C724FB9" w14:textId="23BCDCE2" w:rsidR="00BF2EF8" w:rsidRDefault="00B37602" w:rsidP="00BF2EF8">
      <w:pPr>
        <w:pStyle w:val="1"/>
        <w:spacing w:before="240" w:after="120"/>
        <w:ind w:leftChars="0" w:left="720" w:hanging="660"/>
        <w:rPr>
          <w:rFonts w:ascii="Times New Roman" w:hAnsi="Times New Roman" w:cs="Times New Roman"/>
          <w:b w:val="0"/>
          <w:color w:val="auto"/>
          <w:sz w:val="22"/>
          <w:szCs w:val="22"/>
        </w:rPr>
      </w:pPr>
      <w:r w:rsidRPr="00820DD5">
        <w:rPr>
          <w:rFonts w:ascii="Times New Roman" w:hAnsi="Times New Roman" w:cs="Times New Roman"/>
          <w:b w:val="0"/>
          <w:color w:val="auto"/>
          <w:sz w:val="22"/>
          <w:szCs w:val="22"/>
        </w:rPr>
        <w:lastRenderedPageBreak/>
        <w:t xml:space="preserve">Tan, C. X. (2019). Virgin avocado oil: An emerging source of functional fruit oil. Journal of Functional Foods, 54, 381–392. </w:t>
      </w:r>
      <w:hyperlink r:id="rId48" w:history="1">
        <w:r w:rsidR="00BF2EF8" w:rsidRPr="000B6DBA">
          <w:rPr>
            <w:rStyle w:val="Hyperlink"/>
            <w:rFonts w:ascii="Times New Roman" w:hAnsi="Times New Roman" w:cs="Times New Roman"/>
            <w:b w:val="0"/>
            <w:sz w:val="22"/>
            <w:szCs w:val="22"/>
          </w:rPr>
          <w:t>https://doi.org/10.1016/j.jff.2018.12</w:t>
        </w:r>
      </w:hyperlink>
      <w:r w:rsidRPr="00820DD5">
        <w:rPr>
          <w:rFonts w:ascii="Times New Roman" w:hAnsi="Times New Roman" w:cs="Times New Roman"/>
          <w:b w:val="0"/>
          <w:color w:val="auto"/>
          <w:sz w:val="22"/>
          <w:szCs w:val="22"/>
        </w:rPr>
        <w:t>.</w:t>
      </w:r>
    </w:p>
    <w:p w14:paraId="36108F24" w14:textId="26184741" w:rsidR="00B37602" w:rsidRPr="00820DD5" w:rsidRDefault="00B37602" w:rsidP="00BF2EF8">
      <w:pPr>
        <w:pStyle w:val="1"/>
        <w:spacing w:before="240" w:after="120"/>
        <w:ind w:leftChars="0" w:left="720" w:hanging="660"/>
        <w:rPr>
          <w:rFonts w:ascii="Times New Roman" w:hAnsi="Times New Roman" w:cs="Times New Roman"/>
          <w:bCs/>
          <w:color w:val="auto"/>
          <w:sz w:val="22"/>
          <w:szCs w:val="22"/>
        </w:rPr>
      </w:pPr>
      <w:r w:rsidRPr="00820DD5">
        <w:rPr>
          <w:rFonts w:ascii="Times New Roman" w:hAnsi="Times New Roman" w:cs="Times New Roman"/>
          <w:b w:val="0"/>
          <w:color w:val="auto"/>
          <w:sz w:val="22"/>
          <w:szCs w:val="22"/>
        </w:rPr>
        <w:t xml:space="preserve">Zhang, Z., Sun, Y., and Wu, H. (2021). Mushroom polysaccharides as potential dietary supplements for aquatic species: Effects on growth, immune function, and liver enzymes. </w:t>
      </w:r>
      <w:r w:rsidRPr="00820DD5">
        <w:rPr>
          <w:rFonts w:ascii="Times New Roman" w:hAnsi="Times New Roman" w:cs="Times New Roman"/>
          <w:b w:val="0"/>
          <w:i/>
          <w:iCs/>
          <w:color w:val="auto"/>
          <w:sz w:val="22"/>
          <w:szCs w:val="22"/>
        </w:rPr>
        <w:t>Fish Physiology and Biochemistry,</w:t>
      </w:r>
      <w:r w:rsidRPr="00820DD5">
        <w:rPr>
          <w:rFonts w:ascii="Times New Roman" w:hAnsi="Times New Roman" w:cs="Times New Roman"/>
          <w:b w:val="0"/>
          <w:color w:val="auto"/>
          <w:sz w:val="22"/>
          <w:szCs w:val="22"/>
        </w:rPr>
        <w:t xml:space="preserve"> 47(2), 341353.</w:t>
      </w:r>
    </w:p>
    <w:p w14:paraId="345023A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175AE9E"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1AB8A62A"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38CB46AB"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962CFF2"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ED05387"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92128F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382EBF5D"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74702EDF"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0EC303EC" w14:textId="77777777" w:rsidR="00B37602" w:rsidRPr="00820DD5" w:rsidRDefault="00B37602" w:rsidP="00127F8F">
      <w:pPr>
        <w:pStyle w:val="1"/>
        <w:spacing w:before="240" w:after="120"/>
        <w:ind w:leftChars="1035" w:left="2790" w:hanging="720"/>
        <w:rPr>
          <w:rFonts w:ascii="Times New Roman" w:hAnsi="Times New Roman" w:cs="Times New Roman"/>
          <w:bCs/>
          <w:color w:val="auto"/>
          <w:sz w:val="22"/>
          <w:szCs w:val="22"/>
        </w:rPr>
      </w:pPr>
    </w:p>
    <w:p w14:paraId="6A7A1F37" w14:textId="77777777" w:rsidR="00B37602" w:rsidRPr="00820DD5" w:rsidRDefault="00B37602" w:rsidP="00B37602">
      <w:pPr>
        <w:pStyle w:val="1"/>
        <w:spacing w:before="240" w:after="120"/>
        <w:ind w:leftChars="1035" w:left="2070"/>
        <w:rPr>
          <w:rFonts w:ascii="Times New Roman" w:hAnsi="Times New Roman" w:cs="Times New Roman"/>
          <w:bCs/>
          <w:color w:val="auto"/>
          <w:sz w:val="22"/>
          <w:szCs w:val="22"/>
        </w:rPr>
      </w:pPr>
    </w:p>
    <w:p w14:paraId="6A0C80CE"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7CB65A64"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7AB69C52"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4A97E881" w14:textId="77777777" w:rsidR="00B37602" w:rsidRPr="00820DD5" w:rsidRDefault="00B37602" w:rsidP="00B37602">
      <w:pPr>
        <w:pStyle w:val="1"/>
        <w:spacing w:before="240" w:after="120"/>
        <w:ind w:left="3000"/>
        <w:rPr>
          <w:rFonts w:ascii="Times New Roman" w:hAnsi="Times New Roman" w:cs="Times New Roman"/>
          <w:bCs/>
          <w:color w:val="auto"/>
          <w:sz w:val="22"/>
          <w:szCs w:val="22"/>
        </w:rPr>
      </w:pPr>
    </w:p>
    <w:p w14:paraId="40BF7A4D" w14:textId="77777777" w:rsidR="00B37602" w:rsidRPr="00820DD5" w:rsidRDefault="00B37602" w:rsidP="00B37602">
      <w:pPr>
        <w:spacing w:line="480" w:lineRule="auto"/>
        <w:rPr>
          <w:bCs/>
          <w:sz w:val="22"/>
          <w:szCs w:val="22"/>
        </w:rPr>
      </w:pPr>
      <w:r w:rsidRPr="00820DD5">
        <w:rPr>
          <w:bCs/>
          <w:sz w:val="22"/>
          <w:szCs w:val="22"/>
        </w:rPr>
        <w:t xml:space="preserve">  </w:t>
      </w:r>
    </w:p>
    <w:p w14:paraId="0CC3A2DC" w14:textId="77777777" w:rsidR="00B37602" w:rsidRPr="00820DD5" w:rsidRDefault="00B37602" w:rsidP="00B37602">
      <w:pPr>
        <w:spacing w:line="480" w:lineRule="auto"/>
        <w:rPr>
          <w:rFonts w:eastAsia="DengXian"/>
          <w:kern w:val="2"/>
          <w:sz w:val="24"/>
          <w:szCs w:val="24"/>
          <w:lang w:eastAsia="en-GB"/>
        </w:rPr>
      </w:pPr>
    </w:p>
    <w:p w14:paraId="484B7EF4" w14:textId="77777777" w:rsidR="00B37602" w:rsidRPr="00820DD5" w:rsidRDefault="00B37602" w:rsidP="00B37602">
      <w:pPr>
        <w:pStyle w:val="1"/>
        <w:spacing w:before="240" w:after="120"/>
        <w:ind w:leftChars="1080" w:left="2160"/>
        <w:rPr>
          <w:rFonts w:ascii="Times New Roman" w:hAnsi="Times New Roman" w:cs="Times New Roman"/>
          <w:color w:val="auto"/>
          <w:sz w:val="22"/>
          <w:szCs w:val="22"/>
        </w:rPr>
      </w:pPr>
    </w:p>
    <w:p w14:paraId="135236DA" w14:textId="77777777" w:rsidR="009A33C7" w:rsidRDefault="009A33C7"/>
    <w:sectPr w:rsidR="009A33C7" w:rsidSect="00044944">
      <w:headerReference w:type="even" r:id="rId49"/>
      <w:headerReference w:type="default" r:id="rId50"/>
      <w:footerReference w:type="even" r:id="rId51"/>
      <w:footerReference w:type="default" r:id="rId52"/>
      <w:headerReference w:type="first" r:id="rId53"/>
      <w:footerReference w:type="first" r:id="rId54"/>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3C39B" w14:textId="77777777" w:rsidR="009B5754" w:rsidRDefault="009B5754" w:rsidP="00B37602">
      <w:r>
        <w:separator/>
      </w:r>
    </w:p>
  </w:endnote>
  <w:endnote w:type="continuationSeparator" w:id="0">
    <w:p w14:paraId="45CB58A6" w14:textId="77777777" w:rsidR="009B5754" w:rsidRDefault="009B5754" w:rsidP="00B3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63323" w14:textId="77777777" w:rsidR="00A149BB" w:rsidRDefault="00A149BB" w:rsidP="00FB0067">
    <w:pPr>
      <w:pStyle w:val="Footer"/>
      <w:rPr>
        <w:rFonts w:asciiTheme="minorHAnsi" w:hAnsiTheme="minorHAnsi" w:cstheme="minorHAnsi"/>
        <w:noProof/>
        <w:color w:val="000000" w:themeColor="text1"/>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FB0067" w:rsidRPr="001D5E8F" w14:paraId="116A12DA" w14:textId="77777777" w:rsidTr="004523F5">
      <w:trPr>
        <w:trHeight w:val="340"/>
        <w:jc w:val="center"/>
      </w:trPr>
      <w:tc>
        <w:tcPr>
          <w:tcW w:w="4508" w:type="dxa"/>
          <w:vAlign w:val="center"/>
        </w:tcPr>
        <w:p w14:paraId="77A4A326" w14:textId="77777777" w:rsidR="00A149BB" w:rsidRPr="00DB4692" w:rsidRDefault="007433BF" w:rsidP="00FB0067">
          <w:pPr>
            <w:pStyle w:val="Footer"/>
            <w:rPr>
              <w:rFonts w:asciiTheme="minorHAnsi" w:hAnsiTheme="minorHAnsi"/>
              <w:color w:val="943634" w:themeColor="accent2" w:themeShade="BF"/>
            </w:rPr>
          </w:pPr>
          <w:r w:rsidRPr="00666AC7">
            <w:rPr>
              <w:rFonts w:asciiTheme="minorHAnsi" w:hAnsiTheme="minorHAnsi" w:cstheme="minorHAnsi"/>
              <w:noProof/>
              <w:color w:val="943634" w:themeColor="accent2" w:themeShade="BF"/>
            </w:rPr>
            <w:t xml:space="preserve">DOI: </w:t>
          </w:r>
          <w:hyperlink r:id="rId1" w:history="1">
            <w:r>
              <w:rPr>
                <w:rStyle w:val="Hyperlink"/>
                <w:rFonts w:asciiTheme="minorHAnsi" w:hAnsiTheme="minorHAnsi"/>
                <w:color w:val="943634" w:themeColor="accent2" w:themeShade="BF"/>
              </w:rPr>
              <w:t>10.4236/***.</w:t>
            </w:r>
            <w:proofErr w:type="gramStart"/>
            <w:r>
              <w:rPr>
                <w:rStyle w:val="Hyperlink"/>
                <w:rFonts w:asciiTheme="minorHAnsi" w:hAnsiTheme="minorHAnsi"/>
                <w:color w:val="943634" w:themeColor="accent2" w:themeShade="BF"/>
              </w:rPr>
              <w:t>2025.*</w:t>
            </w:r>
            <w:proofErr w:type="gramEnd"/>
            <w:r>
              <w:rPr>
                <w:rStyle w:val="Hyperlink"/>
                <w:rFonts w:asciiTheme="minorHAnsi" w:hAnsiTheme="minorHAnsi"/>
                <w:color w:val="943634" w:themeColor="accent2" w:themeShade="BF"/>
              </w:rPr>
              <w:t>****</w:t>
            </w:r>
          </w:hyperlink>
        </w:p>
      </w:tc>
      <w:tc>
        <w:tcPr>
          <w:tcW w:w="630" w:type="dxa"/>
          <w:vAlign w:val="center"/>
        </w:tcPr>
        <w:p w14:paraId="0213D60E" w14:textId="77777777" w:rsidR="00A149BB" w:rsidRPr="001D5E8F" w:rsidRDefault="007433BF" w:rsidP="004523F5">
          <w:pPr>
            <w:pStyle w:val="Footer"/>
            <w:jc w:val="center"/>
            <w:rPr>
              <w:rFonts w:asciiTheme="minorHAnsi" w:hAnsiTheme="minorHAnsi"/>
            </w:rPr>
          </w:pPr>
          <w:r w:rsidRPr="001D5E8F">
            <w:rPr>
              <w:rFonts w:asciiTheme="minorHAnsi" w:hAnsiTheme="minorHAnsi" w:cs="Cambria"/>
              <w:color w:val="000000" w:themeColor="text1"/>
            </w:rPr>
            <w:fldChar w:fldCharType="begin"/>
          </w:r>
          <w:r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Pr="00FC1D76">
            <w:rPr>
              <w:rFonts w:asciiTheme="minorHAnsi" w:hAnsiTheme="minorHAnsi" w:cs="Cambria"/>
              <w:noProof/>
              <w:color w:val="000000" w:themeColor="text1"/>
              <w:lang w:val="zh-CN"/>
            </w:rPr>
            <w:t>30</w:t>
          </w:r>
          <w:r w:rsidRPr="001D5E8F">
            <w:rPr>
              <w:rFonts w:asciiTheme="minorHAnsi" w:hAnsiTheme="minorHAnsi" w:cs="Cambria"/>
              <w:color w:val="000000" w:themeColor="text1"/>
            </w:rPr>
            <w:fldChar w:fldCharType="end"/>
          </w:r>
        </w:p>
      </w:tc>
      <w:tc>
        <w:tcPr>
          <w:tcW w:w="4508" w:type="dxa"/>
          <w:vAlign w:val="center"/>
        </w:tcPr>
        <w:p w14:paraId="4E078444" w14:textId="77777777" w:rsidR="00A149BB" w:rsidRPr="00DB4692" w:rsidRDefault="007433BF" w:rsidP="004523F5">
          <w:pPr>
            <w:pStyle w:val="Footer"/>
            <w:adjustRightInd w:val="0"/>
            <w:jc w:val="right"/>
            <w:rPr>
              <w:rFonts w:asciiTheme="minorHAnsi" w:hAnsiTheme="minorHAnsi" w:cstheme="minorHAnsi"/>
              <w:noProof/>
              <w:color w:val="943634" w:themeColor="accent2" w:themeShade="BF"/>
            </w:rPr>
          </w:pPr>
          <w:r w:rsidRPr="008F70F4">
            <w:rPr>
              <w:rFonts w:asciiTheme="minorHAnsi" w:hAnsiTheme="minorHAnsi" w:cstheme="minorHAnsi"/>
              <w:noProof/>
              <w:color w:val="943634" w:themeColor="accent2" w:themeShade="BF"/>
            </w:rPr>
            <w:t>Journal of Geoscience and Environment Protection</w:t>
          </w:r>
        </w:p>
      </w:tc>
    </w:tr>
  </w:tbl>
  <w:p w14:paraId="2D620020" w14:textId="77777777" w:rsidR="00A149BB" w:rsidRPr="00FB0067" w:rsidRDefault="00A149BB" w:rsidP="00FB0067">
    <w:pPr>
      <w:pStyle w:val="Footer"/>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ED7BE" w14:textId="77777777" w:rsidR="00466B25" w:rsidRDefault="00466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7C99E" w14:textId="77777777" w:rsidR="00A149BB" w:rsidRDefault="00A149BB" w:rsidP="00FB0067">
    <w:pPr>
      <w:pStyle w:val="Footer"/>
      <w:rPr>
        <w:rFonts w:asciiTheme="minorHAnsi" w:hAnsiTheme="minorHAnsi" w:cstheme="minorHAnsi"/>
        <w:noProof/>
        <w:color w:val="000000" w:themeColor="text1"/>
        <w:lang w:eastAsia="zh-CN"/>
      </w:rPr>
    </w:pPr>
  </w:p>
  <w:p w14:paraId="1DCE79F5" w14:textId="77777777" w:rsidR="00A149BB" w:rsidRPr="00FB0067" w:rsidRDefault="00A149BB" w:rsidP="00FB0067">
    <w:pPr>
      <w:pStyle w:val="Footer"/>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C5482" w14:textId="77777777" w:rsidR="009B5754" w:rsidRDefault="009B5754" w:rsidP="00B37602">
      <w:r>
        <w:separator/>
      </w:r>
    </w:p>
  </w:footnote>
  <w:footnote w:type="continuationSeparator" w:id="0">
    <w:p w14:paraId="2A77E814" w14:textId="77777777" w:rsidR="009B5754" w:rsidRDefault="009B5754" w:rsidP="00B3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F156" w14:textId="40274CCD" w:rsidR="00A149BB" w:rsidRPr="00FA4E18" w:rsidRDefault="00466B25" w:rsidP="009709E0">
    <w:pPr>
      <w:jc w:val="left"/>
      <w:rPr>
        <w:rFonts w:asciiTheme="minorHAnsi" w:hAnsiTheme="minorHAnsi"/>
        <w:caps/>
        <w:color w:val="31849B" w:themeColor="accent5" w:themeShade="BF"/>
        <w:sz w:val="18"/>
        <w:szCs w:val="18"/>
        <w:lang w:eastAsia="zh-CN"/>
      </w:rPr>
    </w:pPr>
    <w:r>
      <w:rPr>
        <w:noProof/>
      </w:rPr>
      <w:pict w14:anchorId="33222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6.45pt;height:72.9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7433BF" w:rsidRPr="00FA4E18">
      <w:rPr>
        <w:rFonts w:asciiTheme="minorHAnsi" w:hAnsiTheme="minorHAnsi" w:cs="Cambria"/>
        <w:bCs/>
        <w:noProof/>
        <w:color w:val="000000" w:themeColor="text1"/>
        <w:sz w:val="18"/>
        <w:szCs w:val="18"/>
        <w:lang w:eastAsia="zh-CN"/>
      </w:rPr>
      <w:t>Author</w:t>
    </w:r>
    <w:r w:rsidR="007433BF" w:rsidRPr="00FA4E18">
      <w:rPr>
        <w:rFonts w:asciiTheme="minorHAnsi" w:hAnsiTheme="minorHAnsi" w:cs="Cambria"/>
        <w:bCs/>
        <w:iCs/>
        <w:noProof/>
        <w:color w:val="000000" w:themeColor="text1"/>
        <w:sz w:val="18"/>
        <w:szCs w:val="18"/>
        <w:lang w:eastAsia="zh-CN"/>
      </w:rPr>
      <w:t>, Author</w:t>
    </w:r>
  </w:p>
  <w:p w14:paraId="0A5A2BE4" w14:textId="77777777" w:rsidR="00A149BB" w:rsidRPr="00BE24C3" w:rsidRDefault="00B37602" w:rsidP="008637B4">
    <w:pPr>
      <w:adjustRightInd w:val="0"/>
      <w:snapToGrid w:val="0"/>
      <w:spacing w:afterLines="50" w:after="120"/>
      <w:jc w:val="right"/>
      <w:rPr>
        <w:lang w:eastAsia="zh-CN"/>
      </w:rPr>
    </w:pPr>
    <w:bookmarkStart w:id="1" w:name="OLE_LINK7"/>
    <w:bookmarkStart w:id="2" w:name="OLE_LINK8"/>
    <w:bookmarkStart w:id="3" w:name="_Hlk454796744"/>
    <w:bookmarkEnd w:id="1"/>
    <w:bookmarkEnd w:id="2"/>
    <w:bookmarkEnd w:id="3"/>
    <w:r>
      <w:rPr>
        <w:rFonts w:ascii="Palatino Linotype" w:hAnsi="Palatino Linotype" w:cs="Cambria"/>
        <w:bCs/>
        <w:noProof/>
        <w:color w:val="000000" w:themeColor="text1"/>
        <w:sz w:val="18"/>
        <w:szCs w:val="18"/>
        <w:lang w:val="en-GB" w:eastAsia="en-GB"/>
      </w:rPr>
      <mc:AlternateContent>
        <mc:Choice Requires="wps">
          <w:drawing>
            <wp:anchor distT="0" distB="0" distL="114300" distR="114300" simplePos="0" relativeHeight="251660288" behindDoc="0" locked="0" layoutInCell="1" allowOverlap="1" wp14:anchorId="16502F52" wp14:editId="1D341177">
              <wp:simplePos x="0" y="0"/>
              <wp:positionH relativeFrom="column">
                <wp:posOffset>-1905</wp:posOffset>
              </wp:positionH>
              <wp:positionV relativeFrom="paragraph">
                <wp:posOffset>48895</wp:posOffset>
              </wp:positionV>
              <wp:extent cx="6480175" cy="0"/>
              <wp:effectExtent l="7620" t="10795" r="825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76F1B" id="_x0000_t32" coordsize="21600,21600" o:spt="32" o:oned="t" path="m,l21600,21600e" filled="f">
              <v:path arrowok="t" fillok="f" o:connecttype="none"/>
              <o:lock v:ext="edit" shapetype="t"/>
            </v:shapetype>
            <v:shape id="Straight Arrow Connector 3" o:spid="_x0000_s1026" type="#_x0000_t32" style="position:absolute;margin-left:-.15pt;margin-top:3.85pt;width:5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" strokecolor="#7f7f7f [1612]"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866D" w14:textId="0A51A334" w:rsidR="00A149BB" w:rsidRPr="00E93439" w:rsidRDefault="00466B25" w:rsidP="008637B4">
    <w:pPr>
      <w:spacing w:afterLines="50" w:after="120"/>
      <w:jc w:val="right"/>
      <w:rPr>
        <w:caps/>
        <w:color w:val="31849B" w:themeColor="accent5" w:themeShade="BF"/>
        <w:sz w:val="18"/>
        <w:szCs w:val="18"/>
        <w:lang w:eastAsia="zh-CN"/>
      </w:rPr>
    </w:pPr>
    <w:r>
      <w:rPr>
        <w:noProof/>
      </w:rPr>
      <w:pict w14:anchorId="6FF44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46.45pt;height:72.9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AFB4" w14:textId="1DCED966" w:rsidR="00A149BB" w:rsidRPr="00FA4E18" w:rsidRDefault="00466B25" w:rsidP="009C7CCB">
    <w:pPr>
      <w:adjustRightInd w:val="0"/>
      <w:snapToGrid w:val="0"/>
      <w:spacing w:line="240" w:lineRule="exact"/>
      <w:jc w:val="right"/>
      <w:rPr>
        <w:rFonts w:asciiTheme="minorHAnsi" w:hAnsiTheme="minorHAnsi" w:cstheme="minorHAnsi"/>
        <w:noProof/>
        <w:sz w:val="18"/>
        <w:szCs w:val="18"/>
        <w:lang w:eastAsia="zh-CN"/>
      </w:rPr>
    </w:pPr>
    <w:r>
      <w:rPr>
        <w:noProof/>
      </w:rPr>
      <w:pict w14:anchorId="10476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46.45pt;height:72.9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D4459"/>
    <w:multiLevelType w:val="hybridMultilevel"/>
    <w:tmpl w:val="9D94A00E"/>
    <w:lvl w:ilvl="0" w:tplc="D5B2A580">
      <w:start w:val="1"/>
      <w:numFmt w:val="decimal"/>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1" w15:restartNumberingAfterBreak="0">
    <w:nsid w:val="39AA6222"/>
    <w:multiLevelType w:val="hybridMultilevel"/>
    <w:tmpl w:val="3822CAB0"/>
    <w:lvl w:ilvl="0" w:tplc="B0FEB1AA">
      <w:start w:val="3"/>
      <w:numFmt w:val="decimal"/>
      <w:lvlText w:val="%1."/>
      <w:lvlJc w:val="left"/>
      <w:pPr>
        <w:ind w:left="3720" w:hanging="360"/>
      </w:pPr>
      <w:rPr>
        <w:rFonts w:hint="default"/>
      </w:rPr>
    </w:lvl>
    <w:lvl w:ilvl="1" w:tplc="08090019" w:tentative="1">
      <w:start w:val="1"/>
      <w:numFmt w:val="lowerLetter"/>
      <w:lvlText w:val="%2."/>
      <w:lvlJc w:val="left"/>
      <w:pPr>
        <w:ind w:left="4440" w:hanging="360"/>
      </w:pPr>
    </w:lvl>
    <w:lvl w:ilvl="2" w:tplc="0809001B" w:tentative="1">
      <w:start w:val="1"/>
      <w:numFmt w:val="lowerRoman"/>
      <w:lvlText w:val="%3."/>
      <w:lvlJc w:val="right"/>
      <w:pPr>
        <w:ind w:left="5160" w:hanging="180"/>
      </w:pPr>
    </w:lvl>
    <w:lvl w:ilvl="3" w:tplc="0809000F" w:tentative="1">
      <w:start w:val="1"/>
      <w:numFmt w:val="decimal"/>
      <w:lvlText w:val="%4."/>
      <w:lvlJc w:val="left"/>
      <w:pPr>
        <w:ind w:left="5880" w:hanging="360"/>
      </w:pPr>
    </w:lvl>
    <w:lvl w:ilvl="4" w:tplc="08090019" w:tentative="1">
      <w:start w:val="1"/>
      <w:numFmt w:val="lowerLetter"/>
      <w:lvlText w:val="%5."/>
      <w:lvlJc w:val="left"/>
      <w:pPr>
        <w:ind w:left="6600" w:hanging="360"/>
      </w:pPr>
    </w:lvl>
    <w:lvl w:ilvl="5" w:tplc="0809001B" w:tentative="1">
      <w:start w:val="1"/>
      <w:numFmt w:val="lowerRoman"/>
      <w:lvlText w:val="%6."/>
      <w:lvlJc w:val="right"/>
      <w:pPr>
        <w:ind w:left="7320" w:hanging="180"/>
      </w:pPr>
    </w:lvl>
    <w:lvl w:ilvl="6" w:tplc="0809000F" w:tentative="1">
      <w:start w:val="1"/>
      <w:numFmt w:val="decimal"/>
      <w:lvlText w:val="%7."/>
      <w:lvlJc w:val="left"/>
      <w:pPr>
        <w:ind w:left="8040" w:hanging="360"/>
      </w:pPr>
    </w:lvl>
    <w:lvl w:ilvl="7" w:tplc="08090019" w:tentative="1">
      <w:start w:val="1"/>
      <w:numFmt w:val="lowerLetter"/>
      <w:lvlText w:val="%8."/>
      <w:lvlJc w:val="left"/>
      <w:pPr>
        <w:ind w:left="8760" w:hanging="360"/>
      </w:pPr>
    </w:lvl>
    <w:lvl w:ilvl="8" w:tplc="0809001B" w:tentative="1">
      <w:start w:val="1"/>
      <w:numFmt w:val="lowerRoman"/>
      <w:lvlText w:val="%9."/>
      <w:lvlJc w:val="right"/>
      <w:pPr>
        <w:ind w:left="9480" w:hanging="180"/>
      </w:pPr>
    </w:lvl>
  </w:abstractNum>
  <w:abstractNum w:abstractNumId="2" w15:restartNumberingAfterBreak="0">
    <w:nsid w:val="48412CD5"/>
    <w:multiLevelType w:val="multilevel"/>
    <w:tmpl w:val="3EB660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C8B050D"/>
    <w:multiLevelType w:val="multilevel"/>
    <w:tmpl w:val="A766727C"/>
    <w:lvl w:ilvl="0">
      <w:start w:val="3"/>
      <w:numFmt w:val="decimal"/>
      <w:lvlText w:val="%1"/>
      <w:lvlJc w:val="left"/>
      <w:pPr>
        <w:ind w:left="3360" w:hanging="360"/>
      </w:pPr>
      <w:rPr>
        <w:rFonts w:hint="default"/>
      </w:rPr>
    </w:lvl>
    <w:lvl w:ilvl="1">
      <w:start w:val="1"/>
      <w:numFmt w:val="decimal"/>
      <w:isLgl/>
      <w:lvlText w:val="%1.%2"/>
      <w:lvlJc w:val="left"/>
      <w:pPr>
        <w:ind w:left="3405" w:hanging="405"/>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08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4800" w:hanging="1800"/>
      </w:pPr>
      <w:rPr>
        <w:rFonts w:hint="default"/>
      </w:rPr>
    </w:lvl>
  </w:abstractNum>
  <w:abstractNum w:abstractNumId="4" w15:restartNumberingAfterBreak="0">
    <w:nsid w:val="5DE73124"/>
    <w:multiLevelType w:val="hybridMultilevel"/>
    <w:tmpl w:val="0FCC69D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1F7658A"/>
    <w:multiLevelType w:val="multilevel"/>
    <w:tmpl w:val="7F623AEA"/>
    <w:lvl w:ilvl="0">
      <w:start w:val="3"/>
      <w:numFmt w:val="decimal"/>
      <w:lvlText w:val="%1"/>
      <w:lvlJc w:val="left"/>
      <w:pPr>
        <w:ind w:left="1860" w:hanging="360"/>
      </w:pPr>
      <w:rPr>
        <w:rFonts w:hint="default"/>
      </w:rPr>
    </w:lvl>
    <w:lvl w:ilvl="1">
      <w:start w:val="2"/>
      <w:numFmt w:val="decimal"/>
      <w:isLgl/>
      <w:lvlText w:val="%1.%2"/>
      <w:lvlJc w:val="left"/>
      <w:pPr>
        <w:ind w:left="186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580" w:hanging="1080"/>
      </w:pPr>
      <w:rPr>
        <w:rFonts w:hint="default"/>
      </w:rPr>
    </w:lvl>
    <w:lvl w:ilvl="6">
      <w:start w:val="1"/>
      <w:numFmt w:val="decimal"/>
      <w:isLgl/>
      <w:lvlText w:val="%1.%2.%3.%4.%5.%6.%7"/>
      <w:lvlJc w:val="left"/>
      <w:pPr>
        <w:ind w:left="2940" w:hanging="144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2940" w:hanging="1440"/>
      </w:pPr>
      <w:rPr>
        <w:rFonts w:hint="default"/>
      </w:rPr>
    </w:lvl>
  </w:abstractNum>
  <w:abstractNum w:abstractNumId="6" w15:restartNumberingAfterBreak="0">
    <w:nsid w:val="730B3FA3"/>
    <w:multiLevelType w:val="multilevel"/>
    <w:tmpl w:val="303480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602"/>
    <w:rsid w:val="00090507"/>
    <w:rsid w:val="00127F8F"/>
    <w:rsid w:val="001D5C6F"/>
    <w:rsid w:val="00230069"/>
    <w:rsid w:val="002B27C2"/>
    <w:rsid w:val="002D1BB4"/>
    <w:rsid w:val="00432204"/>
    <w:rsid w:val="00456790"/>
    <w:rsid w:val="00466B25"/>
    <w:rsid w:val="00485625"/>
    <w:rsid w:val="004A74F1"/>
    <w:rsid w:val="00517CC4"/>
    <w:rsid w:val="00540060"/>
    <w:rsid w:val="005F5146"/>
    <w:rsid w:val="007433BF"/>
    <w:rsid w:val="00786854"/>
    <w:rsid w:val="00830AE3"/>
    <w:rsid w:val="00847F4C"/>
    <w:rsid w:val="00904797"/>
    <w:rsid w:val="009A33C7"/>
    <w:rsid w:val="009B5754"/>
    <w:rsid w:val="00A149BB"/>
    <w:rsid w:val="00A85A3D"/>
    <w:rsid w:val="00B152CC"/>
    <w:rsid w:val="00B37602"/>
    <w:rsid w:val="00BA1927"/>
    <w:rsid w:val="00BF2EF8"/>
    <w:rsid w:val="00BF7A9A"/>
    <w:rsid w:val="00C114F5"/>
    <w:rsid w:val="00C20E78"/>
    <w:rsid w:val="00CC24FC"/>
    <w:rsid w:val="00CD690E"/>
    <w:rsid w:val="00D02113"/>
    <w:rsid w:val="00D0301E"/>
    <w:rsid w:val="00D93F39"/>
    <w:rsid w:val="00F2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DA2485"/>
  <w15:docId w15:val="{5A970C77-3755-4C56-8731-6EB556F1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602"/>
    <w:pPr>
      <w:spacing w:after="0" w:line="240" w:lineRule="auto"/>
      <w:jc w:val="both"/>
    </w:pPr>
    <w:rPr>
      <w:rFonts w:eastAsia="SimSu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D021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B37602"/>
    <w:rPr>
      <w:color w:val="0000FF"/>
      <w:u w:val="single"/>
    </w:rPr>
  </w:style>
  <w:style w:type="paragraph" w:styleId="Footer">
    <w:name w:val="footer"/>
    <w:basedOn w:val="Normal"/>
    <w:link w:val="FooterChar"/>
    <w:uiPriority w:val="99"/>
    <w:rsid w:val="00B376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37602"/>
    <w:rPr>
      <w:rFonts w:eastAsia="SimSun" w:cs="Times New Roman"/>
      <w:sz w:val="18"/>
      <w:szCs w:val="18"/>
      <w:lang w:val="en-US"/>
    </w:rPr>
  </w:style>
  <w:style w:type="paragraph" w:customStyle="1" w:styleId="sponsors">
    <w:name w:val="sponsors"/>
    <w:rsid w:val="00B37602"/>
    <w:pPr>
      <w:framePr w:wrap="auto" w:hAnchor="text" w:x="615" w:y="2239"/>
      <w:pBdr>
        <w:top w:val="single" w:sz="4" w:space="2" w:color="auto"/>
      </w:pBdr>
      <w:spacing w:after="0" w:line="240" w:lineRule="auto"/>
      <w:ind w:firstLine="288"/>
    </w:pPr>
    <w:rPr>
      <w:rFonts w:eastAsia="SimSun" w:cs="Times New Roman"/>
      <w:sz w:val="16"/>
      <w:szCs w:val="16"/>
      <w:lang w:val="en-US"/>
    </w:rPr>
  </w:style>
  <w:style w:type="table" w:styleId="TableGrid">
    <w:name w:val="Table Grid"/>
    <w:basedOn w:val="TableNormal"/>
    <w:uiPriority w:val="99"/>
    <w:rsid w:val="00B37602"/>
    <w:pPr>
      <w:widowControl w:val="0"/>
      <w:spacing w:after="0" w:line="240" w:lineRule="auto"/>
      <w:jc w:val="both"/>
    </w:pPr>
    <w:rPr>
      <w:rFonts w:eastAsia="SimSu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B37602"/>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
    <w:name w:val="AA"/>
    <w:basedOn w:val="Normal"/>
    <w:qFormat/>
    <w:rsid w:val="00B37602"/>
    <w:pPr>
      <w:widowControl w:val="0"/>
      <w:autoSpaceDE w:val="0"/>
      <w:autoSpaceDN w:val="0"/>
      <w:adjustRightInd w:val="0"/>
      <w:snapToGrid w:val="0"/>
      <w:spacing w:afterLines="50" w:after="200"/>
      <w:jc w:val="left"/>
    </w:pPr>
    <w:rPr>
      <w:rFonts w:ascii="Cambria" w:hAnsi="Cambria" w:cs="Cambria"/>
      <w:b/>
      <w:bCs/>
      <w:color w:val="943634" w:themeColor="accent2" w:themeShade="BF"/>
      <w:sz w:val="24"/>
      <w:szCs w:val="24"/>
      <w:lang w:val="tr-TR"/>
    </w:rPr>
  </w:style>
  <w:style w:type="paragraph" w:customStyle="1" w:styleId="1">
    <w:name w:val="1"/>
    <w:basedOn w:val="Normal"/>
    <w:qFormat/>
    <w:rsid w:val="00B37602"/>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
    <w:name w:val="2"/>
    <w:basedOn w:val="Normal"/>
    <w:qFormat/>
    <w:rsid w:val="00B37602"/>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table" w:customStyle="1" w:styleId="PlainTable21">
    <w:name w:val="Plain Table 21"/>
    <w:basedOn w:val="TableNormal"/>
    <w:uiPriority w:val="42"/>
    <w:qFormat/>
    <w:rsid w:val="00B37602"/>
    <w:pPr>
      <w:spacing w:after="0" w:line="240" w:lineRule="auto"/>
    </w:pPr>
    <w:rPr>
      <w:rFonts w:eastAsia="Calibri" w:cs="Segoe UI"/>
      <w:sz w:val="20"/>
      <w:szCs w:val="20"/>
      <w:lang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B37602"/>
    <w:rPr>
      <w:rFonts w:ascii="Tahoma" w:hAnsi="Tahoma" w:cs="Tahoma"/>
      <w:sz w:val="16"/>
      <w:szCs w:val="16"/>
    </w:rPr>
  </w:style>
  <w:style w:type="character" w:customStyle="1" w:styleId="BalloonTextChar">
    <w:name w:val="Balloon Text Char"/>
    <w:basedOn w:val="DefaultParagraphFont"/>
    <w:link w:val="BalloonText"/>
    <w:uiPriority w:val="99"/>
    <w:semiHidden/>
    <w:rsid w:val="00B37602"/>
    <w:rPr>
      <w:rFonts w:ascii="Tahoma" w:eastAsia="SimSun" w:hAnsi="Tahoma" w:cs="Tahoma"/>
      <w:sz w:val="16"/>
      <w:szCs w:val="16"/>
      <w:lang w:val="en-US"/>
    </w:rPr>
  </w:style>
  <w:style w:type="character" w:styleId="UnresolvedMention">
    <w:name w:val="Unresolved Mention"/>
    <w:basedOn w:val="DefaultParagraphFont"/>
    <w:uiPriority w:val="99"/>
    <w:semiHidden/>
    <w:unhideWhenUsed/>
    <w:rsid w:val="00127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hyperlink" Target="https://doi.org/10.1111/are.14675" TargetMode="External"/><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hyperlink" Target="https://doi.org/10.1016/j.aqrep.2022.100777" TargetMode="External"/><Relationship Id="rId47" Type="http://schemas.openxmlformats.org/officeDocument/2006/relationships/hyperlink" Target="https://doi.org/10.1080/10454438.2019.170446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hyperlink" Target="https://doi.org/10.1007/s10499-020-00549-0" TargetMode="External"/><Relationship Id="rId45" Type="http://schemas.openxmlformats.org/officeDocument/2006/relationships/hyperlink" Target="https://doi.org/10.1007/s10695-021-01056-9" TargetMode="External"/><Relationship Id="rId53"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hyperlink" Target="https://doi.org/10.1111/are.16032" TargetMode="Externa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hyperlink" Target="https://doi.org/10.1016/j.aquaculture.2023.737506" TargetMode="External"/><Relationship Id="rId48" Type="http://schemas.openxmlformats.org/officeDocument/2006/relationships/hyperlink" Target="https://doi.org/10.1016/j.jff.2018.12" TargetMode="External"/><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hyperlink" Target="https://doi.org/10.1111/are.14909" TargetMode="External"/><Relationship Id="rId46" Type="http://schemas.openxmlformats.org/officeDocument/2006/relationships/hyperlink" Target="https://doi.org/10.1007/s10695021009118" TargetMode="External"/><Relationship Id="rId20" Type="http://schemas.openxmlformats.org/officeDocument/2006/relationships/oleObject" Target="embeddings/oleObject7.bin"/><Relationship Id="rId41" Type="http://schemas.openxmlformats.org/officeDocument/2006/relationships/hyperlink" Target="https://doi.org/10.1111/anu.12885"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5756</Words>
  <Characters>32813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ayandiran tolulope</dc:creator>
  <cp:lastModifiedBy>SDI 1084</cp:lastModifiedBy>
  <cp:revision>12</cp:revision>
  <dcterms:created xsi:type="dcterms:W3CDTF">2025-10-03T14:17:00Z</dcterms:created>
  <dcterms:modified xsi:type="dcterms:W3CDTF">2026-02-11T11:20:00Z</dcterms:modified>
</cp:coreProperties>
</file>