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70A7" w14:textId="056A7F0D" w:rsidR="00754C9A" w:rsidRPr="00CA3B0A" w:rsidRDefault="00CA3B0A" w:rsidP="00441B6F">
      <w:pPr>
        <w:pStyle w:val="Title"/>
        <w:spacing w:after="0"/>
        <w:jc w:val="both"/>
        <w:rPr>
          <w:rFonts w:ascii="Arial" w:hAnsi="Arial" w:cs="Arial"/>
          <w:u w:val="single"/>
        </w:rPr>
      </w:pPr>
      <w:r w:rsidRPr="00CA3B0A">
        <w:rPr>
          <w:rFonts w:ascii="Arial" w:hAnsi="Arial" w:cs="Arial"/>
          <w:u w:val="single"/>
        </w:rPr>
        <w:t>Original Research Article</w:t>
      </w:r>
    </w:p>
    <w:p w14:paraId="669863D3" w14:textId="242304D4" w:rsidR="00A258C3" w:rsidRDefault="00563D8B" w:rsidP="00563D8B">
      <w:pPr>
        <w:pStyle w:val="Author"/>
        <w:spacing w:line="240" w:lineRule="auto"/>
        <w:rPr>
          <w:rFonts w:ascii="Arial" w:hAnsi="Arial" w:cs="Arial"/>
          <w:bCs/>
          <w:iCs/>
          <w:kern w:val="28"/>
          <w:sz w:val="36"/>
        </w:rPr>
      </w:pPr>
      <w:r w:rsidRPr="00563D8B">
        <w:rPr>
          <w:rFonts w:ascii="Arial" w:hAnsi="Arial" w:cs="Arial"/>
          <w:bCs/>
          <w:iCs/>
          <w:kern w:val="28"/>
          <w:sz w:val="36"/>
        </w:rPr>
        <w:t>Navigating Complexity: A Phenomenological Study of Science Teachers’ TPACK Challenges and Instructional Strategies</w:t>
      </w:r>
    </w:p>
    <w:p w14:paraId="276759B5" w14:textId="77777777" w:rsidR="00F47981" w:rsidRPr="00790ADA" w:rsidRDefault="00F47981" w:rsidP="00563D8B">
      <w:pPr>
        <w:pStyle w:val="Author"/>
        <w:spacing w:line="240" w:lineRule="auto"/>
        <w:rPr>
          <w:rFonts w:ascii="Arial" w:hAnsi="Arial" w:cs="Arial"/>
          <w:sz w:val="36"/>
        </w:rPr>
      </w:pPr>
    </w:p>
    <w:p w14:paraId="668255BE" w14:textId="04C1C89B" w:rsidR="00B01FCD" w:rsidRDefault="00B01FCD" w:rsidP="00563D8B">
      <w:pPr>
        <w:pStyle w:val="Copyright"/>
        <w:spacing w:after="0" w:line="240" w:lineRule="auto"/>
        <w:jc w:val="both"/>
        <w:rPr>
          <w:rFonts w:ascii="Arial" w:hAnsi="Arial" w:cs="Arial"/>
        </w:rPr>
      </w:pPr>
    </w:p>
    <w:p w14:paraId="3120544F" w14:textId="5E757283" w:rsidR="00790ADA" w:rsidRPr="00FB3A86" w:rsidRDefault="00F47981"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0CC8DE" w14:textId="77777777" w:rsidTr="001E44FE">
        <w:tc>
          <w:tcPr>
            <w:tcW w:w="9576" w:type="dxa"/>
            <w:shd w:val="clear" w:color="auto" w:fill="F2F2F2"/>
          </w:tcPr>
          <w:p w14:paraId="506F6F17" w14:textId="77777777" w:rsidR="00E3114E" w:rsidRDefault="00E3114E" w:rsidP="00441B6F">
            <w:pPr>
              <w:pStyle w:val="Body"/>
              <w:spacing w:after="0"/>
              <w:rPr>
                <w:rFonts w:ascii="Arial" w:eastAsia="Calibri" w:hAnsi="Arial" w:cs="Arial"/>
                <w:b/>
                <w:szCs w:val="22"/>
              </w:rPr>
            </w:pPr>
          </w:p>
          <w:p w14:paraId="4A7D5D29" w14:textId="77777777" w:rsidR="00563D8B"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63D8B" w:rsidRPr="00563D8B">
              <w:rPr>
                <w:rFonts w:ascii="Arial" w:eastAsia="Calibri" w:hAnsi="Arial" w:cs="Arial"/>
                <w:szCs w:val="22"/>
              </w:rPr>
              <w:t xml:space="preserve">The Technological Pedagogical Content Knowledge (TPACK) framework provides a comprehensive lens for examining teachers’ readiness to deliver technology-enhanced instruction by emphasizing the dynamic interplay among content, pedagogy, and technology.  This study was therefore conducted and identify the challenges they encounter in implementing TPACK components and document the strategies they employ to address these challenges. </w:t>
            </w:r>
          </w:p>
          <w:p w14:paraId="7F0EFFE0" w14:textId="77777777" w:rsidR="00563D8B"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63D8B" w:rsidRPr="00563D8B">
              <w:rPr>
                <w:rFonts w:ascii="Arial" w:eastAsia="Calibri" w:hAnsi="Arial" w:cs="Arial"/>
                <w:szCs w:val="22"/>
              </w:rPr>
              <w:t>The study employed descriptive qualitative research design.</w:t>
            </w:r>
          </w:p>
          <w:p w14:paraId="7F0388DE" w14:textId="41E8B0E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63D8B" w:rsidRPr="00563D8B">
              <w:rPr>
                <w:rFonts w:ascii="Arial" w:eastAsia="Calibri" w:hAnsi="Arial" w:cs="Arial"/>
                <w:szCs w:val="22"/>
              </w:rPr>
              <w:t xml:space="preserve">The qualitative phase utilized semi-structured interviews and was administered to sixty-three (63) junior high school science teachers from fourteen (14) public secondary schools in the municipality of </w:t>
            </w:r>
            <w:proofErr w:type="spellStart"/>
            <w:r w:rsidR="00563D8B" w:rsidRPr="00563D8B">
              <w:rPr>
                <w:rFonts w:ascii="Arial" w:eastAsia="Calibri" w:hAnsi="Arial" w:cs="Arial"/>
                <w:szCs w:val="22"/>
              </w:rPr>
              <w:t>Sipocot</w:t>
            </w:r>
            <w:proofErr w:type="spellEnd"/>
            <w:r w:rsidR="00563D8B" w:rsidRPr="00563D8B">
              <w:rPr>
                <w:rFonts w:ascii="Arial" w:eastAsia="Calibri" w:hAnsi="Arial" w:cs="Arial"/>
                <w:szCs w:val="22"/>
              </w:rPr>
              <w:t>, comprising both implementing units (IUs) and non-implementing units (Non-IUs)</w:t>
            </w:r>
            <w:r w:rsidRPr="00BA1B01">
              <w:rPr>
                <w:rFonts w:ascii="Arial" w:eastAsia="Calibri" w:hAnsi="Arial" w:cs="Arial"/>
                <w:szCs w:val="22"/>
              </w:rPr>
              <w:t>.</w:t>
            </w:r>
          </w:p>
          <w:p w14:paraId="45A6B970" w14:textId="247280C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3D8B" w:rsidRPr="00563D8B">
              <w:rPr>
                <w:rFonts w:ascii="Arial" w:eastAsia="Calibri" w:hAnsi="Arial" w:cs="Arial"/>
                <w:szCs w:val="22"/>
              </w:rPr>
              <w:t>To ensure data credibility, triangulation was conducted through document analysis of lesson exemplars, classroom observation tools, and Results-Based Performance Management System (RPMS) records. Interview data were analyzed using Braun and Clarke’s six-phase thematic analysis framework.</w:t>
            </w:r>
          </w:p>
          <w:p w14:paraId="2824E338" w14:textId="72213BE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63D8B" w:rsidRPr="00563D8B">
              <w:rPr>
                <w:rFonts w:ascii="Arial" w:eastAsia="Calibri" w:hAnsi="Arial" w:cs="Arial"/>
                <w:szCs w:val="22"/>
              </w:rPr>
              <w:t>Key challenges identified included limited access to technological resources, insufficient training in educational technologies, heavy teaching workloads, inadequate laboratory and digital infrastructure, and difficulties in aligning technology with specific science content and pedagogical strategies. Teachers employed adaptive strategies such as peer collaboration, self-directed learning, use of readily available digital tools, and participation in informal mentoring to cope with these challenges.</w:t>
            </w:r>
          </w:p>
          <w:p w14:paraId="3181F7D1" w14:textId="6CA0B434"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63D8B" w:rsidRPr="00563D8B">
              <w:rPr>
                <w:rFonts w:ascii="Arial" w:eastAsia="Calibri" w:hAnsi="Arial" w:cs="Arial"/>
                <w:szCs w:val="22"/>
              </w:rPr>
              <w:t>The disparity between implementing and non-implementing schools highlighted the influence of institutional support and funding mechanisms on teachers’ TPACK development.</w:t>
            </w:r>
          </w:p>
        </w:tc>
      </w:tr>
    </w:tbl>
    <w:p w14:paraId="1F82D27A" w14:textId="77777777" w:rsidR="00636EB2" w:rsidRDefault="00636EB2" w:rsidP="00441B6F">
      <w:pPr>
        <w:pStyle w:val="Body"/>
        <w:spacing w:after="0"/>
        <w:rPr>
          <w:rFonts w:ascii="Arial" w:hAnsi="Arial" w:cs="Arial"/>
          <w:i/>
        </w:rPr>
      </w:pPr>
    </w:p>
    <w:p w14:paraId="78D16663" w14:textId="4ABA36BD" w:rsidR="00A24E7E" w:rsidRDefault="00A24E7E" w:rsidP="00441B6F">
      <w:pPr>
        <w:pStyle w:val="Body"/>
        <w:spacing w:after="0"/>
        <w:rPr>
          <w:rFonts w:ascii="Arial" w:hAnsi="Arial" w:cs="Arial"/>
          <w:i/>
        </w:rPr>
      </w:pPr>
      <w:r>
        <w:rPr>
          <w:rFonts w:ascii="Arial" w:hAnsi="Arial" w:cs="Arial"/>
          <w:i/>
        </w:rPr>
        <w:t xml:space="preserve">Keywords: </w:t>
      </w:r>
      <w:r w:rsidR="00563D8B">
        <w:rPr>
          <w:rFonts w:ascii="Arial" w:hAnsi="Arial" w:cs="Arial"/>
          <w:i/>
        </w:rPr>
        <w:t>phenomenological, TPACK framework, in-service science teachers, challenges, strategies</w:t>
      </w:r>
    </w:p>
    <w:p w14:paraId="1451DC87" w14:textId="77777777" w:rsidR="00790ADA" w:rsidRDefault="00790ADA" w:rsidP="00441B6F">
      <w:pPr>
        <w:pStyle w:val="Body"/>
        <w:spacing w:after="0"/>
        <w:rPr>
          <w:rFonts w:ascii="Arial" w:hAnsi="Arial" w:cs="Arial"/>
          <w:i/>
        </w:rPr>
      </w:pPr>
    </w:p>
    <w:p w14:paraId="2C13635F" w14:textId="77777777" w:rsidR="0024282C" w:rsidRDefault="0024282C" w:rsidP="00441B6F">
      <w:pPr>
        <w:pStyle w:val="Body"/>
        <w:spacing w:after="0"/>
        <w:rPr>
          <w:rFonts w:ascii="Arial" w:hAnsi="Arial" w:cs="Arial"/>
          <w:i/>
          <w:sz w:val="18"/>
        </w:rPr>
      </w:pPr>
    </w:p>
    <w:p w14:paraId="3DADF399" w14:textId="2139D6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56703EE" w14:textId="77777777" w:rsidR="00790ADA" w:rsidRPr="00FB3A86" w:rsidRDefault="00790ADA" w:rsidP="00441B6F">
      <w:pPr>
        <w:pStyle w:val="AbstHead"/>
        <w:spacing w:after="0"/>
        <w:jc w:val="both"/>
        <w:rPr>
          <w:rFonts w:ascii="Arial" w:hAnsi="Arial" w:cs="Arial"/>
        </w:rPr>
      </w:pPr>
    </w:p>
    <w:p w14:paraId="72800081" w14:textId="08197247" w:rsidR="00563D8B" w:rsidRDefault="00563D8B" w:rsidP="00F91FA1">
      <w:pPr>
        <w:pStyle w:val="AbstHead"/>
        <w:ind w:firstLine="720"/>
        <w:jc w:val="both"/>
        <w:rPr>
          <w:rFonts w:ascii="Arial" w:hAnsi="Arial" w:cs="Arial"/>
          <w:b w:val="0"/>
          <w:caps w:val="0"/>
          <w:sz w:val="20"/>
        </w:rPr>
      </w:pPr>
      <w:r w:rsidRPr="00563D8B">
        <w:rPr>
          <w:rFonts w:ascii="Arial" w:hAnsi="Arial" w:cs="Arial"/>
          <w:b w:val="0"/>
          <w:caps w:val="0"/>
          <w:sz w:val="20"/>
        </w:rPr>
        <w:t xml:space="preserve">The Continuing Professional Development Act of 2016 was established in the Philippines under the Republic Act No. 10912 (Juris, 2016). The law mandates and reinforces the Continuing Professional Development (CPD) program for all regulated professions, and establishes the Continuing Professional Development Council to oversee its implementation. The act is aimed on enhancing an upgrading the qualifications of professional along with their competencies aligned with the ASEAN Qualifications Reference Framework (AQRF), ASEAN Mutual Recognition Arrangements (MRAs), and Philippine Qualification Framework (PQF) thus, ensuring the fitness of the professionals to their chosen professions. Professional development includes growth and development along content areas, technology adoption, and pedagogical and career advancement. Teachers need to </w:t>
      </w:r>
      <w:r w:rsidRPr="00563D8B">
        <w:rPr>
          <w:rFonts w:ascii="Arial" w:hAnsi="Arial" w:cs="Arial"/>
          <w:b w:val="0"/>
          <w:caps w:val="0"/>
          <w:sz w:val="20"/>
        </w:rPr>
        <w:lastRenderedPageBreak/>
        <w:t xml:space="preserve">assess their skill and focus on training and programs with the goal of improving their Technological Pedagogical Content Knowledge (TPACK) components. TPACK is defined by three primary domains of knowledge such as content, pedagogy, and technology, along with the dynamic interactions of these domains (Zou et al., 2022; Hew et al., 2019; Davies and West, 2014). With TPACK frameworks, teachers are guided with the types of knowledge needed in the delivery of teaching utilizing various technologies and the complexity of integrating it with the bodies of knowledge. According to Shulman (2015) as cited in the recent study of </w:t>
      </w:r>
      <w:proofErr w:type="spellStart"/>
      <w:r w:rsidRPr="00563D8B">
        <w:rPr>
          <w:rFonts w:ascii="Arial" w:hAnsi="Arial" w:cs="Arial"/>
          <w:b w:val="0"/>
          <w:caps w:val="0"/>
          <w:sz w:val="20"/>
        </w:rPr>
        <w:t>Shambare</w:t>
      </w:r>
      <w:proofErr w:type="spellEnd"/>
      <w:r w:rsidRPr="00563D8B">
        <w:rPr>
          <w:rFonts w:ascii="Arial" w:hAnsi="Arial" w:cs="Arial"/>
          <w:b w:val="0"/>
          <w:caps w:val="0"/>
          <w:sz w:val="20"/>
        </w:rPr>
        <w:t xml:space="preserve"> and </w:t>
      </w:r>
      <w:proofErr w:type="spellStart"/>
      <w:r w:rsidRPr="00563D8B">
        <w:rPr>
          <w:rFonts w:ascii="Arial" w:hAnsi="Arial" w:cs="Arial"/>
          <w:b w:val="0"/>
          <w:caps w:val="0"/>
          <w:sz w:val="20"/>
        </w:rPr>
        <w:t>Jita</w:t>
      </w:r>
      <w:proofErr w:type="spellEnd"/>
      <w:r w:rsidRPr="00563D8B">
        <w:rPr>
          <w:rFonts w:ascii="Arial" w:hAnsi="Arial" w:cs="Arial"/>
          <w:b w:val="0"/>
          <w:caps w:val="0"/>
          <w:sz w:val="20"/>
        </w:rPr>
        <w:t xml:space="preserve"> (2024) teachers need to master the interconnection between pedagogy, lesson delivery, and lesson content to develop an integrated form of knowledge that transcends each domain individually. Effective technology integration in teaching demands a flexible and adaptive framework; one that accommodates the evolving nature of digital tools while aligning them with diverse instructional strategies and subject matter. Hunter (2016), Koehler et al. (2013) and Valtonen et al. (2021) suggested that teachers need to constantly improve themselves by following new developments and be able to transfer the changes to their educational programs. The use of theoretical and practical knowledge in a functional way while performing task is much more effective when technology is integrated with it particularly in the context of teaching science. (Jin &amp; Schmidt-Crawford, 2022). This standardization would also mean consistency and depth in the seminars and forums of teachers to appropriately utilize technology in the delivery and attainment of the lesson outcomes in the future. This only implies that teachers must not only know what to teach and how to teach but must also focus on the how-to and what-to teach using the available technology and application that is existing in the present times.</w:t>
      </w:r>
      <w:r w:rsidR="00F91FA1">
        <w:rPr>
          <w:rFonts w:ascii="Arial" w:hAnsi="Arial" w:cs="Arial"/>
          <w:b w:val="0"/>
          <w:caps w:val="0"/>
          <w:sz w:val="20"/>
        </w:rPr>
        <w:t xml:space="preserve"> </w:t>
      </w:r>
      <w:r w:rsidRPr="00563D8B">
        <w:rPr>
          <w:rFonts w:ascii="Arial" w:hAnsi="Arial" w:cs="Arial"/>
          <w:b w:val="0"/>
          <w:caps w:val="0"/>
          <w:sz w:val="20"/>
        </w:rPr>
        <w:t>In a data released by the FPJ Web Desk (2022), even though rapid digitalization was established two years ago, around 30.58 percent of teachers are not proficient with digital technology. This poses a problem with how complex lessons in science will be delivered through the traditional manner. Furthermore, the availability of the online resources makes no sense when teachers are not using them to improve the classroom discussion and using it as a supplemental material to engage and encourage students to participate in the process of teaching and learning.</w:t>
      </w:r>
      <w:r w:rsidR="00F91FA1">
        <w:rPr>
          <w:rFonts w:ascii="Arial" w:hAnsi="Arial" w:cs="Arial"/>
          <w:b w:val="0"/>
          <w:caps w:val="0"/>
          <w:sz w:val="20"/>
        </w:rPr>
        <w:t xml:space="preserve"> </w:t>
      </w:r>
      <w:r w:rsidRPr="00563D8B">
        <w:rPr>
          <w:rFonts w:ascii="Arial" w:hAnsi="Arial" w:cs="Arial"/>
          <w:b w:val="0"/>
          <w:caps w:val="0"/>
          <w:sz w:val="20"/>
        </w:rPr>
        <w:t xml:space="preserve">In a 2024 article published by </w:t>
      </w:r>
      <w:proofErr w:type="spellStart"/>
      <w:r w:rsidRPr="00563D8B">
        <w:rPr>
          <w:rFonts w:ascii="Arial" w:hAnsi="Arial" w:cs="Arial"/>
          <w:b w:val="0"/>
          <w:caps w:val="0"/>
          <w:sz w:val="20"/>
        </w:rPr>
        <w:t>Magsambol</w:t>
      </w:r>
      <w:proofErr w:type="spellEnd"/>
      <w:r w:rsidRPr="00563D8B">
        <w:rPr>
          <w:rFonts w:ascii="Arial" w:hAnsi="Arial" w:cs="Arial"/>
          <w:b w:val="0"/>
          <w:caps w:val="0"/>
          <w:sz w:val="20"/>
        </w:rPr>
        <w:t xml:space="preserve"> in </w:t>
      </w:r>
      <w:proofErr w:type="spellStart"/>
      <w:r w:rsidRPr="00563D8B">
        <w:rPr>
          <w:rFonts w:ascii="Arial" w:hAnsi="Arial" w:cs="Arial"/>
          <w:b w:val="0"/>
          <w:caps w:val="0"/>
          <w:sz w:val="20"/>
        </w:rPr>
        <w:t>Rappler</w:t>
      </w:r>
      <w:proofErr w:type="spellEnd"/>
      <w:r w:rsidRPr="00563D8B">
        <w:rPr>
          <w:rFonts w:ascii="Arial" w:hAnsi="Arial" w:cs="Arial"/>
          <w:b w:val="0"/>
          <w:caps w:val="0"/>
          <w:sz w:val="20"/>
        </w:rPr>
        <w:t>, it was reported that 62% of teachers are assigned to teach subjects outside their college specializations, particularly in core areas such as English, Filipino, Mathematics, and Science. These assignments account for approximately 10% of the total teaching force in these high-demand subject areas, often referred to as “difficult to fill.” Alarmingly, nearly 65% or equivalent to 4,765 non-major teachers, have not received any specialized training to equip them for these roles. This issue is especially problematic in science education, where sub-disciplines like Physics, Chemistry, and the Life Sciences require deep content knowledge and specialized pedagogical strategies. Beyond subject-matter mismatch, a number of these teachers also demonstrate limited proficiency in essential cognitive skills such as analysis, synthesis, and evaluation; skills that are central to higher-order thinking and are foundational to 21st-century competencies. These competencies are particularly relevant to the Philippines' transition toward a high-value, knowledge-driven, export-oriented manufacturing and service economy. Compounding this issue is the lack of a coherent and systemic professional development framework. Current approaches rely heavily on a cascade model, where only a few teachers attend training sessions and are expected to disseminate the content to their peers, which is an approach that often leads to uneven implementation and knowledge gaps in practice.</w:t>
      </w:r>
      <w:r w:rsidR="00F91FA1">
        <w:rPr>
          <w:rFonts w:ascii="Arial" w:hAnsi="Arial" w:cs="Arial"/>
          <w:b w:val="0"/>
          <w:caps w:val="0"/>
          <w:sz w:val="20"/>
        </w:rPr>
        <w:t xml:space="preserve"> </w:t>
      </w:r>
      <w:r w:rsidRPr="00563D8B">
        <w:rPr>
          <w:rFonts w:ascii="Arial" w:hAnsi="Arial" w:cs="Arial"/>
          <w:b w:val="0"/>
          <w:caps w:val="0"/>
          <w:sz w:val="20"/>
        </w:rPr>
        <w:t xml:space="preserve">In the municipality of </w:t>
      </w:r>
      <w:proofErr w:type="spellStart"/>
      <w:r w:rsidRPr="00563D8B">
        <w:rPr>
          <w:rFonts w:ascii="Arial" w:hAnsi="Arial" w:cs="Arial"/>
          <w:b w:val="0"/>
          <w:caps w:val="0"/>
          <w:sz w:val="20"/>
        </w:rPr>
        <w:t>Sipocot</w:t>
      </w:r>
      <w:proofErr w:type="spellEnd"/>
      <w:r w:rsidRPr="00563D8B">
        <w:rPr>
          <w:rFonts w:ascii="Arial" w:hAnsi="Arial" w:cs="Arial"/>
          <w:b w:val="0"/>
          <w:caps w:val="0"/>
          <w:sz w:val="20"/>
        </w:rPr>
        <w:t xml:space="preserve">, there are a total of 14 secondary schools located in different barangays. Among the 14 schools, only nine (9) are classified as Implementing Units (IUs). As IUs, these schools receive direct budget allocations from the government for infrastructure projects and Maintenance and Other Operating Expenses (MOOE). This direct funding enables them to adequately support professional development activities such as attendance to external seminars and training programs as well as the conduct of Learning Action Cell. Additionally, according to Department of Education Memorandum No. 009, series of 2019, IUs possess the administrative capacity to manage their own funds. This is </w:t>
      </w:r>
      <w:r w:rsidRPr="00563D8B">
        <w:rPr>
          <w:rFonts w:ascii="Arial" w:hAnsi="Arial" w:cs="Arial"/>
          <w:b w:val="0"/>
          <w:caps w:val="0"/>
          <w:sz w:val="20"/>
        </w:rPr>
        <w:lastRenderedPageBreak/>
        <w:t xml:space="preserve">made possible through the presence of </w:t>
      </w:r>
      <w:proofErr w:type="spellStart"/>
      <w:r w:rsidRPr="00563D8B">
        <w:rPr>
          <w:rFonts w:ascii="Arial" w:hAnsi="Arial" w:cs="Arial"/>
          <w:b w:val="0"/>
          <w:caps w:val="0"/>
          <w:sz w:val="20"/>
        </w:rPr>
        <w:t>plantilla</w:t>
      </w:r>
      <w:proofErr w:type="spellEnd"/>
      <w:r w:rsidRPr="00563D8B">
        <w:rPr>
          <w:rFonts w:ascii="Arial" w:hAnsi="Arial" w:cs="Arial"/>
          <w:b w:val="0"/>
          <w:caps w:val="0"/>
          <w:sz w:val="20"/>
        </w:rPr>
        <w:t xml:space="preserve"> positions for Bookkeepers and Disbursing Officers, who are responsible for overseeing accounting and financial transactions, thereby ensuring proper and efficient fund utilization. On the other hand, there are five (5) non-implementing units (non-IUs) in the municipality. These schools are located in far-flung areas of the municipality and received funding through cash advances from the school division offices and corresponding Local Government Units (LGUS). Non-Implementing Units (Non-IUs) lack dedicated financial personnel and do not manage their own funds directly. Instead, their Maintenance and Other Operating Expenses (MOOE) are allocated through their respective Schools Division Offices (SDOs) via cash advances. As a result, the Modified Disbursement System (MDS) Sub-Accounts of the SDOs are used to process both the SDO’s own transactions and those of the Non-IU schools. For Non-IU schools receiving a monthly MOOE of twenty thousand pesos or less, the SDO provides a cash advance equivalent to three months’ worth of operational requirements. This disbursement is typically released during the first week of each month or quarter, depending on the availability of cash allocations. While it may sound like a huge sum of money, it cannot accommodate the purchase of new materials and equipment to be used in laboratories and even not enough budget for the conduct of LAC sessions and attendance to training related to content knowledge improvement, technology adoption, and pedagogical approaches.</w:t>
      </w:r>
      <w:r w:rsidR="00F91FA1">
        <w:rPr>
          <w:rFonts w:ascii="Arial" w:hAnsi="Arial" w:cs="Arial"/>
          <w:b w:val="0"/>
          <w:caps w:val="0"/>
          <w:sz w:val="20"/>
        </w:rPr>
        <w:t xml:space="preserve"> </w:t>
      </w:r>
      <w:r w:rsidRPr="00563D8B">
        <w:rPr>
          <w:rFonts w:ascii="Arial" w:hAnsi="Arial" w:cs="Arial"/>
          <w:b w:val="0"/>
          <w:caps w:val="0"/>
          <w:sz w:val="20"/>
        </w:rPr>
        <w:t>Moreover, schools are also classified as small school, medium school, big school, and mega school depending on the number of faculty members based on the Department of Education Memorandum No. 43, series of 2017. Small schools have a total number of faculty ranging from nine and below. Medium schools have ten to twenty-five teachers in total, large schools have twenty-six to one hundred teachers in total.</w:t>
      </w:r>
      <w:r w:rsidR="00F91FA1">
        <w:rPr>
          <w:rFonts w:ascii="Arial" w:hAnsi="Arial" w:cs="Arial"/>
          <w:b w:val="0"/>
          <w:caps w:val="0"/>
          <w:sz w:val="20"/>
        </w:rPr>
        <w:t xml:space="preserve"> </w:t>
      </w:r>
      <w:r w:rsidRPr="00563D8B">
        <w:rPr>
          <w:rFonts w:ascii="Arial" w:hAnsi="Arial" w:cs="Arial"/>
          <w:b w:val="0"/>
          <w:caps w:val="0"/>
          <w:sz w:val="20"/>
        </w:rPr>
        <w:t xml:space="preserve">The study was conducted to determine the challenges faced by teachers during implementation of TPACK components, and suggest possible training program that can be proposed based on the TPACK framework. </w:t>
      </w:r>
    </w:p>
    <w:p w14:paraId="25C5233D" w14:textId="77777777" w:rsidR="00563D8B" w:rsidRDefault="00563D8B" w:rsidP="00563D8B">
      <w:pPr>
        <w:pStyle w:val="AbstHead"/>
        <w:spacing w:after="0"/>
        <w:jc w:val="both"/>
        <w:rPr>
          <w:rFonts w:ascii="Arial" w:hAnsi="Arial" w:cs="Arial"/>
          <w:b w:val="0"/>
          <w:caps w:val="0"/>
          <w:sz w:val="20"/>
        </w:rPr>
      </w:pPr>
    </w:p>
    <w:p w14:paraId="2C1D71FB" w14:textId="6C04A350" w:rsidR="007F7B32" w:rsidRDefault="00902823" w:rsidP="00563D8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0AA6B60" w14:textId="77777777" w:rsidR="00790ADA" w:rsidRPr="00FB3A86" w:rsidRDefault="00790ADA" w:rsidP="00441B6F">
      <w:pPr>
        <w:pStyle w:val="AbstHead"/>
        <w:spacing w:after="0"/>
        <w:jc w:val="both"/>
        <w:rPr>
          <w:rFonts w:ascii="Arial" w:hAnsi="Arial" w:cs="Arial"/>
        </w:rPr>
      </w:pPr>
    </w:p>
    <w:p w14:paraId="63080239" w14:textId="58F41905" w:rsidR="00F91FA1" w:rsidRDefault="00F91FA1" w:rsidP="00F91FA1">
      <w:pPr>
        <w:pStyle w:val="Body"/>
        <w:spacing w:after="0"/>
        <w:rPr>
          <w:rFonts w:ascii="Arial" w:hAnsi="Arial" w:cs="Arial"/>
        </w:rPr>
      </w:pPr>
      <w:r>
        <w:rPr>
          <w:rFonts w:ascii="Arial" w:hAnsi="Arial" w:cs="Arial"/>
        </w:rPr>
        <w:t>Descriptive phenomenological</w:t>
      </w:r>
      <w:r w:rsidRPr="00F91FA1">
        <w:rPr>
          <w:rFonts w:ascii="Arial" w:hAnsi="Arial" w:cs="Arial"/>
        </w:rPr>
        <w:t xml:space="preserve"> </w:t>
      </w:r>
      <w:r>
        <w:rPr>
          <w:rFonts w:ascii="Arial" w:hAnsi="Arial" w:cs="Arial"/>
        </w:rPr>
        <w:t>design</w:t>
      </w:r>
      <w:r w:rsidRPr="00F91FA1">
        <w:rPr>
          <w:rFonts w:ascii="Arial" w:hAnsi="Arial" w:cs="Arial"/>
        </w:rPr>
        <w:t xml:space="preserve"> w</w:t>
      </w:r>
      <w:r>
        <w:rPr>
          <w:rFonts w:ascii="Arial" w:hAnsi="Arial" w:cs="Arial"/>
        </w:rPr>
        <w:t>as</w:t>
      </w:r>
      <w:r w:rsidRPr="00F91FA1">
        <w:rPr>
          <w:rFonts w:ascii="Arial" w:hAnsi="Arial" w:cs="Arial"/>
        </w:rPr>
        <w:t xml:space="preserve"> used to determine the challenges experienced by the science teachers and the strategies used by teachers to address the challenges. Subsequently, the transcripts were analyzed using the Braun and Clarke’s (2006) six phase thematic analysis framework. Both deductive and inductive categories were devised to identify relevant themes.</w:t>
      </w:r>
      <w:r>
        <w:rPr>
          <w:rFonts w:ascii="Arial" w:hAnsi="Arial" w:cs="Arial"/>
        </w:rPr>
        <w:t xml:space="preserve"> </w:t>
      </w:r>
    </w:p>
    <w:p w14:paraId="02E52F24" w14:textId="39B1D7D2" w:rsidR="00F91FA1" w:rsidRDefault="00F91FA1" w:rsidP="00F91FA1">
      <w:pPr>
        <w:pStyle w:val="Body"/>
        <w:rPr>
          <w:rFonts w:ascii="Arial" w:hAnsi="Arial" w:cs="Arial"/>
        </w:rPr>
      </w:pPr>
      <w:r w:rsidRPr="00F91FA1">
        <w:rPr>
          <w:rFonts w:ascii="Arial" w:hAnsi="Arial" w:cs="Arial"/>
        </w:rPr>
        <w:t xml:space="preserve">The respondents of this study were sixty-three (63) Junior High School science teachers from the municipality of </w:t>
      </w:r>
      <w:proofErr w:type="spellStart"/>
      <w:r w:rsidRPr="00F91FA1">
        <w:rPr>
          <w:rFonts w:ascii="Arial" w:hAnsi="Arial" w:cs="Arial"/>
        </w:rPr>
        <w:t>Sipocot</w:t>
      </w:r>
      <w:proofErr w:type="spellEnd"/>
      <w:r w:rsidRPr="00F91FA1">
        <w:rPr>
          <w:rFonts w:ascii="Arial" w:hAnsi="Arial" w:cs="Arial"/>
        </w:rPr>
        <w:t xml:space="preserve"> particularly from public high schools located within the municipality and respondents were from five (5) schools considered as non-implementing units and is located in far-flung areas representing both coastal and upland places and nine (9) implementing units.</w:t>
      </w:r>
      <w:r>
        <w:rPr>
          <w:rFonts w:ascii="Arial" w:hAnsi="Arial" w:cs="Arial"/>
        </w:rPr>
        <w:t xml:space="preserve"> </w:t>
      </w:r>
      <w:r w:rsidRPr="00F91FA1">
        <w:rPr>
          <w:rFonts w:ascii="Arial" w:hAnsi="Arial" w:cs="Arial"/>
        </w:rPr>
        <w:t xml:space="preserve">Secondary schools from the municipality of </w:t>
      </w:r>
      <w:proofErr w:type="spellStart"/>
      <w:r w:rsidRPr="00F91FA1">
        <w:rPr>
          <w:rFonts w:ascii="Arial" w:hAnsi="Arial" w:cs="Arial"/>
        </w:rPr>
        <w:t>Sipocot</w:t>
      </w:r>
      <w:proofErr w:type="spellEnd"/>
      <w:r w:rsidRPr="00F91FA1">
        <w:rPr>
          <w:rFonts w:ascii="Arial" w:hAnsi="Arial" w:cs="Arial"/>
        </w:rPr>
        <w:t xml:space="preserve"> are divided into three, having schools belonging to </w:t>
      </w:r>
      <w:proofErr w:type="spellStart"/>
      <w:r w:rsidRPr="00F91FA1">
        <w:rPr>
          <w:rFonts w:ascii="Arial" w:hAnsi="Arial" w:cs="Arial"/>
        </w:rPr>
        <w:t>Sipocot</w:t>
      </w:r>
      <w:proofErr w:type="spellEnd"/>
      <w:r w:rsidRPr="00F91FA1">
        <w:rPr>
          <w:rFonts w:ascii="Arial" w:hAnsi="Arial" w:cs="Arial"/>
        </w:rPr>
        <w:t xml:space="preserve"> 1, </w:t>
      </w:r>
      <w:proofErr w:type="spellStart"/>
      <w:r w:rsidRPr="00F91FA1">
        <w:rPr>
          <w:rFonts w:ascii="Arial" w:hAnsi="Arial" w:cs="Arial"/>
        </w:rPr>
        <w:t>Sipocot</w:t>
      </w:r>
      <w:proofErr w:type="spellEnd"/>
      <w:r w:rsidRPr="00F91FA1">
        <w:rPr>
          <w:rFonts w:ascii="Arial" w:hAnsi="Arial" w:cs="Arial"/>
        </w:rPr>
        <w:t xml:space="preserve"> North, and </w:t>
      </w:r>
      <w:proofErr w:type="spellStart"/>
      <w:r w:rsidRPr="00F91FA1">
        <w:rPr>
          <w:rFonts w:ascii="Arial" w:hAnsi="Arial" w:cs="Arial"/>
        </w:rPr>
        <w:t>Sipocot</w:t>
      </w:r>
      <w:proofErr w:type="spellEnd"/>
      <w:r w:rsidRPr="00F91FA1">
        <w:rPr>
          <w:rFonts w:ascii="Arial" w:hAnsi="Arial" w:cs="Arial"/>
        </w:rPr>
        <w:t xml:space="preserve"> South. </w:t>
      </w:r>
      <w:proofErr w:type="spellStart"/>
      <w:r w:rsidRPr="00F91FA1">
        <w:rPr>
          <w:rFonts w:ascii="Arial" w:hAnsi="Arial" w:cs="Arial"/>
        </w:rPr>
        <w:t>Sipocot</w:t>
      </w:r>
      <w:proofErr w:type="spellEnd"/>
      <w:r w:rsidRPr="00F91FA1">
        <w:rPr>
          <w:rFonts w:ascii="Arial" w:hAnsi="Arial" w:cs="Arial"/>
        </w:rPr>
        <w:t xml:space="preserve"> 1 and </w:t>
      </w:r>
      <w:proofErr w:type="spellStart"/>
      <w:r w:rsidRPr="00F91FA1">
        <w:rPr>
          <w:rFonts w:ascii="Arial" w:hAnsi="Arial" w:cs="Arial"/>
        </w:rPr>
        <w:t>Sipocot</w:t>
      </w:r>
      <w:proofErr w:type="spellEnd"/>
      <w:r w:rsidRPr="00F91FA1">
        <w:rPr>
          <w:rFonts w:ascii="Arial" w:hAnsi="Arial" w:cs="Arial"/>
        </w:rPr>
        <w:t xml:space="preserve"> North have a total of five schools each and are considered as small, medium, and big schools based on the </w:t>
      </w:r>
      <w:proofErr w:type="spellStart"/>
      <w:r w:rsidRPr="00F91FA1">
        <w:rPr>
          <w:rFonts w:ascii="Arial" w:hAnsi="Arial" w:cs="Arial"/>
        </w:rPr>
        <w:t>Deped</w:t>
      </w:r>
      <w:proofErr w:type="spellEnd"/>
      <w:r w:rsidRPr="00F91FA1">
        <w:rPr>
          <w:rFonts w:ascii="Arial" w:hAnsi="Arial" w:cs="Arial"/>
        </w:rPr>
        <w:t xml:space="preserve"> Memorandum Number 42, series of 2017. On the other hand, </w:t>
      </w:r>
      <w:proofErr w:type="spellStart"/>
      <w:r w:rsidRPr="00F91FA1">
        <w:rPr>
          <w:rFonts w:ascii="Arial" w:hAnsi="Arial" w:cs="Arial"/>
        </w:rPr>
        <w:t>Sipocot</w:t>
      </w:r>
      <w:proofErr w:type="spellEnd"/>
      <w:r w:rsidRPr="00F91FA1">
        <w:rPr>
          <w:rFonts w:ascii="Arial" w:hAnsi="Arial" w:cs="Arial"/>
        </w:rPr>
        <w:t xml:space="preserve"> 2 has four (4) schools but is also composed of small, medium, and big schools.</w:t>
      </w:r>
    </w:p>
    <w:p w14:paraId="5521CE07" w14:textId="10F416FC" w:rsidR="00F91FA1" w:rsidRDefault="00F91FA1" w:rsidP="00F91FA1">
      <w:pPr>
        <w:pStyle w:val="Body"/>
        <w:rPr>
          <w:rFonts w:ascii="Arial" w:hAnsi="Arial" w:cs="Arial"/>
        </w:rPr>
      </w:pPr>
      <w:r>
        <w:rPr>
          <w:rFonts w:ascii="Arial" w:hAnsi="Arial" w:cs="Arial"/>
        </w:rPr>
        <w:t>As for the instrumentation used in the study, f</w:t>
      </w:r>
      <w:r w:rsidRPr="00F91FA1">
        <w:rPr>
          <w:rFonts w:ascii="Arial" w:hAnsi="Arial" w:cs="Arial"/>
        </w:rPr>
        <w:t>or the challenges met by the teachers on the TPACK implementation and the strategies used to address the challenges, a set of questions to be used on the interview was crafted by the researchers. Then, it was asked to the participants. After getting information, a survey questionnaire containing the challenges and the strategies was crafted and was distributed to the respondents. Themes were crafted for the challenges and strategies based on the saturation of responses of the participants during the conduct of the interview.</w:t>
      </w:r>
    </w:p>
    <w:p w14:paraId="6CA5372C" w14:textId="6BF2CD1D" w:rsidR="00F91FA1" w:rsidRDefault="00F91FA1" w:rsidP="00F91FA1">
      <w:pPr>
        <w:pStyle w:val="Body"/>
        <w:rPr>
          <w:rFonts w:ascii="Arial" w:hAnsi="Arial" w:cs="Arial"/>
        </w:rPr>
      </w:pPr>
      <w:r>
        <w:rPr>
          <w:rFonts w:ascii="Arial" w:hAnsi="Arial" w:cs="Arial"/>
        </w:rPr>
        <w:lastRenderedPageBreak/>
        <w:t xml:space="preserve">Before the conduct of the interview, </w:t>
      </w:r>
      <w:r w:rsidRPr="00F91FA1">
        <w:rPr>
          <w:rFonts w:ascii="Arial" w:hAnsi="Arial" w:cs="Arial"/>
        </w:rPr>
        <w:t xml:space="preserve">ethical consideration of the study and informed consent among the respondents </w:t>
      </w:r>
      <w:r>
        <w:rPr>
          <w:rFonts w:ascii="Arial" w:hAnsi="Arial" w:cs="Arial"/>
        </w:rPr>
        <w:t xml:space="preserve">was processed </w:t>
      </w:r>
      <w:r w:rsidRPr="00F91FA1">
        <w:rPr>
          <w:rFonts w:ascii="Arial" w:hAnsi="Arial" w:cs="Arial"/>
        </w:rPr>
        <w:t>to the Bicol University Ethical Review Committee. This ensures voluntary and informed participation; the researcher conducted a thorough assessment of each participant's understanding of the study’s procedures and risks.</w:t>
      </w:r>
    </w:p>
    <w:p w14:paraId="7BFB963A" w14:textId="77777777" w:rsidR="00790ADA" w:rsidRPr="00FB3A86" w:rsidRDefault="00790ADA" w:rsidP="00441B6F">
      <w:pPr>
        <w:pStyle w:val="Body"/>
        <w:spacing w:after="0"/>
        <w:rPr>
          <w:rFonts w:ascii="Arial" w:hAnsi="Arial" w:cs="Arial"/>
        </w:rPr>
      </w:pPr>
    </w:p>
    <w:p w14:paraId="7DBF33D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34BA37" w14:textId="77777777" w:rsidR="00790ADA" w:rsidRPr="00FB3A86" w:rsidRDefault="00790ADA" w:rsidP="00441B6F">
      <w:pPr>
        <w:pStyle w:val="Head1"/>
        <w:spacing w:after="0"/>
        <w:jc w:val="both"/>
        <w:rPr>
          <w:rFonts w:ascii="Arial" w:hAnsi="Arial" w:cs="Arial"/>
        </w:rPr>
      </w:pPr>
    </w:p>
    <w:p w14:paraId="2FDBB7BC" w14:textId="7022031D" w:rsidR="00F91FA1" w:rsidRPr="006F29A5" w:rsidRDefault="006F29A5" w:rsidP="00F91FA1">
      <w:pPr>
        <w:pStyle w:val="Body"/>
        <w:rPr>
          <w:rFonts w:ascii="Arial" w:hAnsi="Arial" w:cs="Arial"/>
          <w:b/>
          <w:bCs/>
        </w:rPr>
      </w:pPr>
      <w:r w:rsidRPr="006F29A5">
        <w:rPr>
          <w:rFonts w:ascii="Arial" w:hAnsi="Arial" w:cs="Arial"/>
          <w:b/>
          <w:bCs/>
        </w:rPr>
        <w:t>CHALLENGES MET BY THE TEACHERS ALONG THE IDENTIFIED TPACK COMPONENTS</w:t>
      </w:r>
    </w:p>
    <w:p w14:paraId="1B247B12" w14:textId="77777777" w:rsidR="00F91FA1" w:rsidRDefault="00F91FA1" w:rsidP="00F91FA1">
      <w:pPr>
        <w:pStyle w:val="Body"/>
        <w:rPr>
          <w:rFonts w:ascii="Arial" w:hAnsi="Arial" w:cs="Arial"/>
        </w:rPr>
      </w:pPr>
      <w:r w:rsidRPr="00F91FA1">
        <w:rPr>
          <w:rFonts w:ascii="Arial" w:hAnsi="Arial" w:cs="Arial"/>
        </w:rPr>
        <w:t xml:space="preserve">Various challenges were faced by the teachers in delivering science concepts into the classroom. This study delves on identifying the major challenges met by the in-service science teachers in the integration of TPACK in their classes. Lifted from the qualitative inquiry - an interview – which was conducted until the saturation of data was attained, the researcher was able to identify major themes of the challenges they encountered including infrastructure and connectivity limitations, resource and device inequality, digital distractions and classroom management, insufficient training and support, and teacher workload and technical confidence. The domains were then evaluated for significant difference along the age, educational attainment, and gender of the respondents and along with the school size, type of unit the school belongs to, and the location where the school is located across the TPACK domains namely TK, CK, PK, TCK, PCK, TPK, and the TPACK. </w:t>
      </w:r>
    </w:p>
    <w:p w14:paraId="7CEA4715" w14:textId="35958A1E" w:rsidR="00F91FA1" w:rsidRPr="00F77EB7" w:rsidRDefault="00F91FA1" w:rsidP="00F91FA1">
      <w:pPr>
        <w:jc w:val="both"/>
        <w:rPr>
          <w:rFonts w:ascii="Arial" w:eastAsia="Arial" w:hAnsi="Arial" w:cs="Arial"/>
          <w:color w:val="000000"/>
        </w:rPr>
      </w:pPr>
      <w:r w:rsidRPr="00F77EB7">
        <w:rPr>
          <w:rFonts w:ascii="Arial" w:eastAsia="Arial" w:hAnsi="Arial" w:cs="Arial"/>
          <w:b/>
          <w:bCs/>
          <w:color w:val="000000"/>
        </w:rPr>
        <w:t xml:space="preserve">Table </w:t>
      </w:r>
      <w:r>
        <w:rPr>
          <w:rFonts w:ascii="Arial" w:eastAsia="Arial" w:hAnsi="Arial" w:cs="Arial"/>
          <w:b/>
          <w:bCs/>
          <w:color w:val="000000"/>
        </w:rPr>
        <w:t>1</w:t>
      </w:r>
      <w:r w:rsidRPr="00F77EB7">
        <w:rPr>
          <w:rFonts w:ascii="Arial" w:eastAsia="Arial" w:hAnsi="Arial" w:cs="Arial"/>
          <w:b/>
          <w:bCs/>
          <w:color w:val="000000"/>
        </w:rPr>
        <w:t xml:space="preserve">. </w:t>
      </w:r>
      <w:r w:rsidRPr="00F77EB7">
        <w:rPr>
          <w:rFonts w:ascii="Arial" w:eastAsia="Arial" w:hAnsi="Arial" w:cs="Arial"/>
          <w:color w:val="000000"/>
        </w:rPr>
        <w:t xml:space="preserve">Themes developed and sample responses recorded during the conduct of </w:t>
      </w:r>
    </w:p>
    <w:p w14:paraId="42B5F361" w14:textId="77777777" w:rsidR="00F91FA1" w:rsidRPr="00F77EB7" w:rsidRDefault="00F91FA1" w:rsidP="00F91FA1">
      <w:pPr>
        <w:jc w:val="both"/>
        <w:rPr>
          <w:rFonts w:ascii="Arial" w:eastAsia="Arial" w:hAnsi="Arial" w:cs="Arial"/>
          <w:color w:val="000000"/>
        </w:rPr>
      </w:pPr>
      <w:r w:rsidRPr="00F77EB7">
        <w:rPr>
          <w:rFonts w:ascii="Arial" w:eastAsia="Arial" w:hAnsi="Arial" w:cs="Arial"/>
        </w:rPr>
        <w:t xml:space="preserve">              </w:t>
      </w:r>
      <w:r w:rsidRPr="00F77EB7">
        <w:rPr>
          <w:rFonts w:ascii="Arial" w:eastAsia="Arial" w:hAnsi="Arial" w:cs="Arial"/>
          <w:color w:val="000000"/>
        </w:rPr>
        <w:t xml:space="preserve">interview among the in-service science teachers </w:t>
      </w:r>
    </w:p>
    <w:p w14:paraId="5946A8BA" w14:textId="77777777" w:rsidR="00F91FA1" w:rsidRPr="00F77EB7" w:rsidRDefault="00F91FA1" w:rsidP="00F91FA1">
      <w:pPr>
        <w:jc w:val="both"/>
        <w:rPr>
          <w:rFonts w:ascii="Arial" w:eastAsia="Arial" w:hAnsi="Arial" w:cs="Arial"/>
        </w:rPr>
      </w:pPr>
    </w:p>
    <w:tbl>
      <w:tblPr>
        <w:tblW w:w="8640" w:type="dxa"/>
        <w:tblLayout w:type="fixed"/>
        <w:tblLook w:val="0400" w:firstRow="0" w:lastRow="0" w:firstColumn="0" w:lastColumn="0" w:noHBand="0" w:noVBand="1"/>
      </w:tblPr>
      <w:tblGrid>
        <w:gridCol w:w="2196"/>
        <w:gridCol w:w="2057"/>
        <w:gridCol w:w="4387"/>
      </w:tblGrid>
      <w:tr w:rsidR="00F91FA1" w:rsidRPr="00F77EB7" w14:paraId="26A41063" w14:textId="77777777" w:rsidTr="00E20A61">
        <w:trPr>
          <w:tblHeader/>
        </w:trPr>
        <w:tc>
          <w:tcPr>
            <w:tcW w:w="2196" w:type="dxa"/>
            <w:tcBorders>
              <w:top w:val="single" w:sz="4" w:space="0" w:color="000000"/>
            </w:tcBorders>
            <w:vAlign w:val="center"/>
          </w:tcPr>
          <w:p w14:paraId="06C3D545" w14:textId="77777777" w:rsidR="00F91FA1" w:rsidRPr="00F77EB7" w:rsidRDefault="00F91FA1" w:rsidP="00E20A61">
            <w:pPr>
              <w:jc w:val="center"/>
              <w:rPr>
                <w:rFonts w:ascii="Arial" w:eastAsia="Arial" w:hAnsi="Arial" w:cs="Arial"/>
                <w:b/>
                <w:bCs/>
              </w:rPr>
            </w:pPr>
            <w:r w:rsidRPr="00F77EB7">
              <w:rPr>
                <w:rFonts w:ascii="Arial" w:eastAsia="Arial" w:hAnsi="Arial" w:cs="Arial"/>
                <w:b/>
                <w:bCs/>
              </w:rPr>
              <w:t>Theme/Challenges Met</w:t>
            </w:r>
          </w:p>
        </w:tc>
        <w:tc>
          <w:tcPr>
            <w:tcW w:w="2057" w:type="dxa"/>
            <w:tcBorders>
              <w:top w:val="single" w:sz="4" w:space="0" w:color="000000"/>
            </w:tcBorders>
            <w:vAlign w:val="center"/>
          </w:tcPr>
          <w:p w14:paraId="21D9688C" w14:textId="77777777" w:rsidR="00F91FA1" w:rsidRPr="00F77EB7" w:rsidRDefault="00F91FA1" w:rsidP="00E20A61">
            <w:pPr>
              <w:jc w:val="center"/>
              <w:rPr>
                <w:rFonts w:ascii="Arial" w:eastAsia="Arial" w:hAnsi="Arial" w:cs="Arial"/>
                <w:b/>
                <w:bCs/>
              </w:rPr>
            </w:pPr>
            <w:r w:rsidRPr="00F77EB7">
              <w:rPr>
                <w:rFonts w:ascii="Arial" w:eastAsia="Arial" w:hAnsi="Arial" w:cs="Arial"/>
                <w:b/>
                <w:bCs/>
              </w:rPr>
              <w:t>Codes</w:t>
            </w:r>
          </w:p>
        </w:tc>
        <w:tc>
          <w:tcPr>
            <w:tcW w:w="4387" w:type="dxa"/>
            <w:tcBorders>
              <w:top w:val="single" w:sz="4" w:space="0" w:color="000000"/>
            </w:tcBorders>
            <w:vAlign w:val="center"/>
          </w:tcPr>
          <w:p w14:paraId="2C8C8A58" w14:textId="77777777" w:rsidR="00F91FA1" w:rsidRPr="00F77EB7" w:rsidRDefault="00F91FA1" w:rsidP="00E20A61">
            <w:pPr>
              <w:jc w:val="center"/>
              <w:rPr>
                <w:rFonts w:ascii="Arial" w:eastAsia="Arial" w:hAnsi="Arial" w:cs="Arial"/>
                <w:b/>
                <w:bCs/>
              </w:rPr>
            </w:pPr>
            <w:r w:rsidRPr="00F77EB7">
              <w:rPr>
                <w:rFonts w:ascii="Arial" w:eastAsia="Arial" w:hAnsi="Arial" w:cs="Arial"/>
                <w:b/>
                <w:bCs/>
              </w:rPr>
              <w:t>Sample Responses</w:t>
            </w:r>
          </w:p>
        </w:tc>
      </w:tr>
      <w:tr w:rsidR="00F91FA1" w:rsidRPr="00F77EB7" w14:paraId="096B5297" w14:textId="77777777" w:rsidTr="00E20A61">
        <w:trPr>
          <w:trHeight w:val="2034"/>
        </w:trPr>
        <w:tc>
          <w:tcPr>
            <w:tcW w:w="2196" w:type="dxa"/>
            <w:tcBorders>
              <w:top w:val="single" w:sz="4" w:space="0" w:color="000000"/>
            </w:tcBorders>
            <w:vAlign w:val="center"/>
          </w:tcPr>
          <w:p w14:paraId="7F156533"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Infrastructure and Connectivity Limitations</w:t>
            </w:r>
          </w:p>
        </w:tc>
        <w:tc>
          <w:tcPr>
            <w:tcW w:w="2057" w:type="dxa"/>
            <w:tcBorders>
              <w:top w:val="single" w:sz="4" w:space="0" w:color="000000"/>
            </w:tcBorders>
            <w:vAlign w:val="center"/>
          </w:tcPr>
          <w:p w14:paraId="72D8616A"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Unstable Internet, Power Interruption, Technical Failure</w:t>
            </w:r>
          </w:p>
        </w:tc>
        <w:tc>
          <w:tcPr>
            <w:tcW w:w="4387" w:type="dxa"/>
            <w:tcBorders>
              <w:top w:val="single" w:sz="4" w:space="0" w:color="000000"/>
            </w:tcBorders>
            <w:vAlign w:val="center"/>
          </w:tcPr>
          <w:p w14:paraId="721E2481"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sz w:val="18"/>
                <w:szCs w:val="18"/>
              </w:rPr>
              <w:t xml:space="preserve">“The main issue is internet connectivity. Sometimes the connection is weak, and this affects both teachers and students.” (T1) “Ang </w:t>
            </w:r>
            <w:proofErr w:type="spellStart"/>
            <w:r w:rsidRPr="00F77EB7">
              <w:rPr>
                <w:rFonts w:ascii="Arial" w:eastAsia="Arial" w:hAnsi="Arial" w:cs="Arial"/>
                <w:sz w:val="18"/>
                <w:szCs w:val="18"/>
              </w:rPr>
              <w:t>problema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hindi</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laging</w:t>
            </w:r>
            <w:proofErr w:type="spellEnd"/>
            <w:r w:rsidRPr="00F77EB7">
              <w:rPr>
                <w:rFonts w:ascii="Arial" w:eastAsia="Arial" w:hAnsi="Arial" w:cs="Arial"/>
                <w:sz w:val="18"/>
                <w:szCs w:val="18"/>
              </w:rPr>
              <w:t xml:space="preserve"> stable ang </w:t>
            </w:r>
            <w:proofErr w:type="spellStart"/>
            <w:r w:rsidRPr="00F77EB7">
              <w:rPr>
                <w:rFonts w:ascii="Arial" w:eastAsia="Arial" w:hAnsi="Arial" w:cs="Arial"/>
                <w:sz w:val="18"/>
                <w:szCs w:val="18"/>
              </w:rPr>
              <w:t>kuryente</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lalo</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na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kapag</w:t>
            </w:r>
            <w:proofErr w:type="spellEnd"/>
            <w:r w:rsidRPr="00F77EB7">
              <w:rPr>
                <w:rFonts w:ascii="Arial" w:eastAsia="Arial" w:hAnsi="Arial" w:cs="Arial"/>
                <w:sz w:val="18"/>
                <w:szCs w:val="18"/>
              </w:rPr>
              <w:t xml:space="preserve"> may </w:t>
            </w:r>
            <w:proofErr w:type="spellStart"/>
            <w:r w:rsidRPr="00F77EB7">
              <w:rPr>
                <w:rFonts w:ascii="Arial" w:eastAsia="Arial" w:hAnsi="Arial" w:cs="Arial"/>
                <w:sz w:val="18"/>
                <w:szCs w:val="18"/>
              </w:rPr>
              <w:t>bagyo</w:t>
            </w:r>
            <w:proofErr w:type="spellEnd"/>
            <w:r w:rsidRPr="00F77EB7">
              <w:rPr>
                <w:rFonts w:ascii="Arial" w:eastAsia="Arial" w:hAnsi="Arial" w:cs="Arial"/>
                <w:sz w:val="18"/>
                <w:szCs w:val="18"/>
              </w:rPr>
              <w:t>.” (T18) “</w:t>
            </w:r>
            <w:proofErr w:type="spellStart"/>
            <w:r w:rsidRPr="00F77EB7">
              <w:rPr>
                <w:rFonts w:ascii="Arial" w:eastAsia="Arial" w:hAnsi="Arial" w:cs="Arial"/>
                <w:sz w:val="18"/>
                <w:szCs w:val="18"/>
              </w:rPr>
              <w:t>Minsan</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wala</w:t>
            </w:r>
            <w:proofErr w:type="spellEnd"/>
            <w:r w:rsidRPr="00F77EB7">
              <w:rPr>
                <w:rFonts w:ascii="Arial" w:eastAsia="Arial" w:hAnsi="Arial" w:cs="Arial"/>
                <w:sz w:val="18"/>
                <w:szCs w:val="18"/>
              </w:rPr>
              <w:t xml:space="preserve"> ring </w:t>
            </w:r>
            <w:proofErr w:type="spellStart"/>
            <w:r w:rsidRPr="00F77EB7">
              <w:rPr>
                <w:rFonts w:ascii="Arial" w:eastAsia="Arial" w:hAnsi="Arial" w:cs="Arial"/>
                <w:sz w:val="18"/>
                <w:szCs w:val="18"/>
              </w:rPr>
              <w:t>kuryente</w:t>
            </w:r>
            <w:proofErr w:type="spellEnd"/>
            <w:r w:rsidRPr="00F77EB7">
              <w:rPr>
                <w:rFonts w:ascii="Arial" w:eastAsia="Arial" w:hAnsi="Arial" w:cs="Arial"/>
                <w:sz w:val="18"/>
                <w:szCs w:val="18"/>
              </w:rPr>
              <w:t xml:space="preserve">, so </w:t>
            </w:r>
            <w:proofErr w:type="spellStart"/>
            <w:r w:rsidRPr="00F77EB7">
              <w:rPr>
                <w:rFonts w:ascii="Arial" w:eastAsia="Arial" w:hAnsi="Arial" w:cs="Arial"/>
                <w:sz w:val="18"/>
                <w:szCs w:val="18"/>
              </w:rPr>
              <w:t>kailangan</w:t>
            </w:r>
            <w:proofErr w:type="spellEnd"/>
            <w:r w:rsidRPr="00F77EB7">
              <w:rPr>
                <w:rFonts w:ascii="Arial" w:eastAsia="Arial" w:hAnsi="Arial" w:cs="Arial"/>
                <w:sz w:val="18"/>
                <w:szCs w:val="18"/>
              </w:rPr>
              <w:t xml:space="preserve"> ko mag-adjust at </w:t>
            </w:r>
            <w:proofErr w:type="spellStart"/>
            <w:r w:rsidRPr="00F77EB7">
              <w:rPr>
                <w:rFonts w:ascii="Arial" w:eastAsia="Arial" w:hAnsi="Arial" w:cs="Arial"/>
                <w:sz w:val="18"/>
                <w:szCs w:val="18"/>
              </w:rPr>
              <w:t>bumalik</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sa</w:t>
            </w:r>
            <w:proofErr w:type="spellEnd"/>
            <w:r w:rsidRPr="00F77EB7">
              <w:rPr>
                <w:rFonts w:ascii="Arial" w:eastAsia="Arial" w:hAnsi="Arial" w:cs="Arial"/>
                <w:sz w:val="18"/>
                <w:szCs w:val="18"/>
              </w:rPr>
              <w:t xml:space="preserve"> chalk and board.” (T15)</w:t>
            </w:r>
          </w:p>
        </w:tc>
      </w:tr>
      <w:tr w:rsidR="00F91FA1" w:rsidRPr="00F77EB7" w14:paraId="09C099D3" w14:textId="77777777" w:rsidTr="00E20A61">
        <w:trPr>
          <w:trHeight w:val="2573"/>
        </w:trPr>
        <w:tc>
          <w:tcPr>
            <w:tcW w:w="2196" w:type="dxa"/>
            <w:vAlign w:val="center"/>
          </w:tcPr>
          <w:p w14:paraId="754C29B8"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Resource and Device Inequality</w:t>
            </w:r>
          </w:p>
        </w:tc>
        <w:tc>
          <w:tcPr>
            <w:tcW w:w="2057" w:type="dxa"/>
            <w:vAlign w:val="center"/>
          </w:tcPr>
          <w:p w14:paraId="05E960E6"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Device Shortage, Unequal Access, Sharing of Gadgets</w:t>
            </w:r>
          </w:p>
        </w:tc>
        <w:tc>
          <w:tcPr>
            <w:tcW w:w="4387" w:type="dxa"/>
            <w:vAlign w:val="center"/>
          </w:tcPr>
          <w:p w14:paraId="6536FE24"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sz w:val="18"/>
                <w:szCs w:val="18"/>
              </w:rPr>
              <w:t>“Not all students had smartphones to run the motion app. I solved this by grouping them so they could share devices.” (T4) “</w:t>
            </w:r>
            <w:proofErr w:type="spellStart"/>
            <w:r w:rsidRPr="00F77EB7">
              <w:rPr>
                <w:rFonts w:ascii="Arial" w:eastAsia="Arial" w:hAnsi="Arial" w:cs="Arial"/>
                <w:sz w:val="18"/>
                <w:szCs w:val="18"/>
              </w:rPr>
              <w:t>Minsan</w:t>
            </w:r>
            <w:proofErr w:type="spellEnd"/>
            <w:r w:rsidRPr="00F77EB7">
              <w:rPr>
                <w:rFonts w:ascii="Arial" w:eastAsia="Arial" w:hAnsi="Arial" w:cs="Arial"/>
                <w:sz w:val="18"/>
                <w:szCs w:val="18"/>
              </w:rPr>
              <w:t xml:space="preserve">, may </w:t>
            </w:r>
            <w:proofErr w:type="spellStart"/>
            <w:r w:rsidRPr="00F77EB7">
              <w:rPr>
                <w:rFonts w:ascii="Arial" w:eastAsia="Arial" w:hAnsi="Arial" w:cs="Arial"/>
                <w:sz w:val="18"/>
                <w:szCs w:val="18"/>
              </w:rPr>
              <w:t>ilan</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na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walang</w:t>
            </w:r>
            <w:proofErr w:type="spellEnd"/>
            <w:r w:rsidRPr="00F77EB7">
              <w:rPr>
                <w:rFonts w:ascii="Arial" w:eastAsia="Arial" w:hAnsi="Arial" w:cs="Arial"/>
                <w:sz w:val="18"/>
                <w:szCs w:val="18"/>
              </w:rPr>
              <w:t xml:space="preserve"> gadget, so </w:t>
            </w:r>
            <w:proofErr w:type="spellStart"/>
            <w:r w:rsidRPr="00F77EB7">
              <w:rPr>
                <w:rFonts w:ascii="Arial" w:eastAsia="Arial" w:hAnsi="Arial" w:cs="Arial"/>
                <w:sz w:val="18"/>
                <w:szCs w:val="18"/>
              </w:rPr>
              <w:t>kailangan</w:t>
            </w:r>
            <w:proofErr w:type="spellEnd"/>
            <w:r w:rsidRPr="00F77EB7">
              <w:rPr>
                <w:rFonts w:ascii="Arial" w:eastAsia="Arial" w:hAnsi="Arial" w:cs="Arial"/>
                <w:sz w:val="18"/>
                <w:szCs w:val="18"/>
              </w:rPr>
              <w:t xml:space="preserve"> ko mag-adjust.” (T8) “Device disparity—some students have their own smartphones or laptops, while others don’t.” (T11)</w:t>
            </w:r>
          </w:p>
        </w:tc>
      </w:tr>
      <w:tr w:rsidR="00F91FA1" w:rsidRPr="00F77EB7" w14:paraId="60261780" w14:textId="77777777" w:rsidTr="00E20A61">
        <w:trPr>
          <w:trHeight w:val="2010"/>
        </w:trPr>
        <w:tc>
          <w:tcPr>
            <w:tcW w:w="2196" w:type="dxa"/>
            <w:vAlign w:val="center"/>
          </w:tcPr>
          <w:p w14:paraId="3CD9F8F6"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lastRenderedPageBreak/>
              <w:t>Digital Distractions and Classroom Management</w:t>
            </w:r>
          </w:p>
        </w:tc>
        <w:tc>
          <w:tcPr>
            <w:tcW w:w="2057" w:type="dxa"/>
            <w:vAlign w:val="center"/>
          </w:tcPr>
          <w:p w14:paraId="1130CFE2"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Off-Task Behavior, Overreliance on Visuals, Loss of Focus</w:t>
            </w:r>
          </w:p>
        </w:tc>
        <w:tc>
          <w:tcPr>
            <w:tcW w:w="4387" w:type="dxa"/>
            <w:vAlign w:val="center"/>
          </w:tcPr>
          <w:p w14:paraId="18A3D4C4"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sz w:val="18"/>
                <w:szCs w:val="18"/>
              </w:rPr>
              <w:t>“My biggest challenge is ensuring that students use the technology for learning and not just for entertainment.” (T2) “Some students rely too much on visuals without analyzing the deeper concepts.” (T2) “Sometimes, students are too focused on the gadget and not the science concept.” (T7)</w:t>
            </w:r>
          </w:p>
        </w:tc>
      </w:tr>
      <w:tr w:rsidR="00F91FA1" w:rsidRPr="00F77EB7" w14:paraId="383615D0" w14:textId="77777777" w:rsidTr="00E20A61">
        <w:trPr>
          <w:trHeight w:val="2495"/>
        </w:trPr>
        <w:tc>
          <w:tcPr>
            <w:tcW w:w="2196" w:type="dxa"/>
            <w:vAlign w:val="center"/>
          </w:tcPr>
          <w:p w14:paraId="30608176"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Insufficient Training and Support</w:t>
            </w:r>
          </w:p>
        </w:tc>
        <w:tc>
          <w:tcPr>
            <w:tcW w:w="2057" w:type="dxa"/>
            <w:vAlign w:val="center"/>
          </w:tcPr>
          <w:p w14:paraId="01535E4B"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Limited Training, Lack of Mentoring, Generic Seminars</w:t>
            </w:r>
          </w:p>
        </w:tc>
        <w:tc>
          <w:tcPr>
            <w:tcW w:w="4387" w:type="dxa"/>
            <w:vAlign w:val="center"/>
          </w:tcPr>
          <w:p w14:paraId="76550F3A"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rPr>
              <w:t>“</w:t>
            </w:r>
            <w:r w:rsidRPr="00F77EB7">
              <w:rPr>
                <w:rFonts w:ascii="Arial" w:eastAsia="Arial" w:hAnsi="Arial" w:cs="Arial"/>
                <w:sz w:val="18"/>
                <w:szCs w:val="18"/>
              </w:rPr>
              <w:t xml:space="preserve">Most of my learning comes from experimenting, </w:t>
            </w:r>
            <w:proofErr w:type="spellStart"/>
            <w:r w:rsidRPr="00F77EB7">
              <w:rPr>
                <w:rFonts w:ascii="Arial" w:eastAsia="Arial" w:hAnsi="Arial" w:cs="Arial"/>
                <w:sz w:val="18"/>
                <w:szCs w:val="18"/>
              </w:rPr>
              <w:t>kasi</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hindi</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masyado</w:t>
            </w:r>
            <w:proofErr w:type="spellEnd"/>
            <w:r w:rsidRPr="00F77EB7">
              <w:rPr>
                <w:rFonts w:ascii="Arial" w:eastAsia="Arial" w:hAnsi="Arial" w:cs="Arial"/>
                <w:sz w:val="18"/>
                <w:szCs w:val="18"/>
              </w:rPr>
              <w:t xml:space="preserve"> in-depth ang training.” (T7) “</w:t>
            </w:r>
            <w:proofErr w:type="spellStart"/>
            <w:r w:rsidRPr="00F77EB7">
              <w:rPr>
                <w:rFonts w:ascii="Arial" w:eastAsia="Arial" w:hAnsi="Arial" w:cs="Arial"/>
                <w:sz w:val="18"/>
                <w:szCs w:val="18"/>
              </w:rPr>
              <w:t>Nakapag</w:t>
            </w:r>
            <w:proofErr w:type="spellEnd"/>
            <w:r w:rsidRPr="00F77EB7">
              <w:rPr>
                <w:rFonts w:ascii="Arial" w:eastAsia="Arial" w:hAnsi="Arial" w:cs="Arial"/>
                <w:sz w:val="18"/>
                <w:szCs w:val="18"/>
              </w:rPr>
              <w:t xml:space="preserve">-NEAP at division trainings </w:t>
            </w:r>
            <w:proofErr w:type="spellStart"/>
            <w:r w:rsidRPr="00F77EB7">
              <w:rPr>
                <w:rFonts w:ascii="Arial" w:eastAsia="Arial" w:hAnsi="Arial" w:cs="Arial"/>
                <w:sz w:val="18"/>
                <w:szCs w:val="18"/>
              </w:rPr>
              <w:t>ako</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pero</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kulang</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minsan</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sa</w:t>
            </w:r>
            <w:proofErr w:type="spellEnd"/>
            <w:r w:rsidRPr="00F77EB7">
              <w:rPr>
                <w:rFonts w:ascii="Arial" w:eastAsia="Arial" w:hAnsi="Arial" w:cs="Arial"/>
                <w:sz w:val="18"/>
                <w:szCs w:val="18"/>
              </w:rPr>
              <w:t xml:space="preserve"> contextualized classroom application.” (T9) “Formal trainings were useful, but peer mentoring has been more practical.” (T13)</w:t>
            </w:r>
          </w:p>
        </w:tc>
      </w:tr>
      <w:tr w:rsidR="00F91FA1" w:rsidRPr="00F77EB7" w14:paraId="0585F6DC" w14:textId="77777777" w:rsidTr="00E20A61">
        <w:tc>
          <w:tcPr>
            <w:tcW w:w="2196" w:type="dxa"/>
            <w:tcBorders>
              <w:bottom w:val="single" w:sz="4" w:space="0" w:color="000000"/>
            </w:tcBorders>
            <w:vAlign w:val="center"/>
          </w:tcPr>
          <w:p w14:paraId="0DEFA79B"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b/>
                <w:bCs/>
                <w:sz w:val="18"/>
                <w:szCs w:val="18"/>
              </w:rPr>
              <w:t>Teacher Workload and Technical Confidence</w:t>
            </w:r>
          </w:p>
        </w:tc>
        <w:tc>
          <w:tcPr>
            <w:tcW w:w="2057" w:type="dxa"/>
            <w:tcBorders>
              <w:bottom w:val="single" w:sz="4" w:space="0" w:color="000000"/>
            </w:tcBorders>
            <w:vAlign w:val="center"/>
          </w:tcPr>
          <w:p w14:paraId="3DFD8D05" w14:textId="77777777" w:rsidR="00F91FA1" w:rsidRPr="00F77EB7" w:rsidRDefault="00F91FA1" w:rsidP="00E20A61">
            <w:pPr>
              <w:jc w:val="center"/>
              <w:rPr>
                <w:rFonts w:ascii="Arial" w:eastAsia="Arial" w:hAnsi="Arial" w:cs="Arial"/>
                <w:sz w:val="18"/>
                <w:szCs w:val="18"/>
              </w:rPr>
            </w:pPr>
            <w:r w:rsidRPr="00F77EB7">
              <w:rPr>
                <w:rFonts w:ascii="Arial" w:eastAsia="Arial" w:hAnsi="Arial" w:cs="Arial"/>
                <w:i/>
                <w:iCs/>
                <w:sz w:val="18"/>
                <w:szCs w:val="18"/>
              </w:rPr>
              <w:t>Time Pressure, Overload, Low Confidence</w:t>
            </w:r>
          </w:p>
        </w:tc>
        <w:tc>
          <w:tcPr>
            <w:tcW w:w="4387" w:type="dxa"/>
            <w:tcBorders>
              <w:bottom w:val="single" w:sz="4" w:space="0" w:color="000000"/>
            </w:tcBorders>
            <w:vAlign w:val="center"/>
          </w:tcPr>
          <w:p w14:paraId="4317DCFF" w14:textId="77777777" w:rsidR="00F91FA1" w:rsidRPr="00F77EB7" w:rsidRDefault="00F91FA1" w:rsidP="00E20A61">
            <w:pPr>
              <w:jc w:val="both"/>
              <w:rPr>
                <w:rFonts w:ascii="Arial" w:eastAsia="Arial" w:hAnsi="Arial" w:cs="Arial"/>
                <w:sz w:val="18"/>
                <w:szCs w:val="18"/>
              </w:rPr>
            </w:pPr>
            <w:r w:rsidRPr="00F77EB7">
              <w:rPr>
                <w:rFonts w:ascii="Arial" w:eastAsia="Arial" w:hAnsi="Arial" w:cs="Arial"/>
              </w:rPr>
              <w:t>“</w:t>
            </w:r>
            <w:r w:rsidRPr="00F77EB7">
              <w:rPr>
                <w:rFonts w:ascii="Arial" w:eastAsia="Arial" w:hAnsi="Arial" w:cs="Arial"/>
                <w:sz w:val="18"/>
                <w:szCs w:val="18"/>
              </w:rPr>
              <w:t>Preparing tech-based lessons often takes me double the time.” (T6) “</w:t>
            </w:r>
            <w:proofErr w:type="spellStart"/>
            <w:r w:rsidRPr="00F77EB7">
              <w:rPr>
                <w:rFonts w:ascii="Arial" w:eastAsia="Arial" w:hAnsi="Arial" w:cs="Arial"/>
                <w:sz w:val="18"/>
                <w:szCs w:val="18"/>
              </w:rPr>
              <w:t>Medyo</w:t>
            </w:r>
            <w:proofErr w:type="spellEnd"/>
            <w:r w:rsidRPr="00F77EB7">
              <w:rPr>
                <w:rFonts w:ascii="Arial" w:eastAsia="Arial" w:hAnsi="Arial" w:cs="Arial"/>
                <w:sz w:val="18"/>
                <w:szCs w:val="18"/>
              </w:rPr>
              <w:t xml:space="preserve"> overwhelming ang </w:t>
            </w:r>
            <w:proofErr w:type="spellStart"/>
            <w:r w:rsidRPr="00F77EB7">
              <w:rPr>
                <w:rFonts w:ascii="Arial" w:eastAsia="Arial" w:hAnsi="Arial" w:cs="Arial"/>
                <w:sz w:val="18"/>
                <w:szCs w:val="18"/>
              </w:rPr>
              <w:t>dami</w:t>
            </w:r>
            <w:proofErr w:type="spellEnd"/>
            <w:r w:rsidRPr="00F77EB7">
              <w:rPr>
                <w:rFonts w:ascii="Arial" w:eastAsia="Arial" w:hAnsi="Arial" w:cs="Arial"/>
                <w:sz w:val="18"/>
                <w:szCs w:val="18"/>
              </w:rPr>
              <w:t xml:space="preserve"> ng tech tools </w:t>
            </w:r>
            <w:proofErr w:type="spellStart"/>
            <w:r w:rsidRPr="00F77EB7">
              <w:rPr>
                <w:rFonts w:ascii="Arial" w:eastAsia="Arial" w:hAnsi="Arial" w:cs="Arial"/>
                <w:sz w:val="18"/>
                <w:szCs w:val="18"/>
              </w:rPr>
              <w:t>na</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puwedeng</w:t>
            </w:r>
            <w:proofErr w:type="spellEnd"/>
            <w:r w:rsidRPr="00F77EB7">
              <w:rPr>
                <w:rFonts w:ascii="Arial" w:eastAsia="Arial" w:hAnsi="Arial" w:cs="Arial"/>
                <w:sz w:val="18"/>
                <w:szCs w:val="18"/>
              </w:rPr>
              <w:t xml:space="preserve"> </w:t>
            </w:r>
            <w:proofErr w:type="spellStart"/>
            <w:r w:rsidRPr="00F77EB7">
              <w:rPr>
                <w:rFonts w:ascii="Arial" w:eastAsia="Arial" w:hAnsi="Arial" w:cs="Arial"/>
                <w:sz w:val="18"/>
                <w:szCs w:val="18"/>
              </w:rPr>
              <w:t>gamitin</w:t>
            </w:r>
            <w:proofErr w:type="spellEnd"/>
            <w:r w:rsidRPr="00F77EB7">
              <w:rPr>
                <w:rFonts w:ascii="Arial" w:eastAsia="Arial" w:hAnsi="Arial" w:cs="Arial"/>
                <w:sz w:val="18"/>
                <w:szCs w:val="18"/>
              </w:rPr>
              <w:t>.” (T12) “Sometimes, I worry that I don’t know the apps well enough.” (T13b)</w:t>
            </w:r>
          </w:p>
        </w:tc>
      </w:tr>
    </w:tbl>
    <w:p w14:paraId="3176B1A3" w14:textId="77777777" w:rsidR="00F91FA1" w:rsidRPr="00F91FA1" w:rsidRDefault="00F91FA1" w:rsidP="00F91FA1">
      <w:pPr>
        <w:pStyle w:val="Body"/>
        <w:rPr>
          <w:rFonts w:ascii="Arial" w:hAnsi="Arial" w:cs="Arial"/>
        </w:rPr>
      </w:pPr>
    </w:p>
    <w:p w14:paraId="619217DC" w14:textId="77777777" w:rsidR="00F91FA1" w:rsidRPr="00F91FA1" w:rsidRDefault="00F91FA1" w:rsidP="00F91FA1">
      <w:pPr>
        <w:pStyle w:val="Body"/>
        <w:rPr>
          <w:rFonts w:ascii="Arial" w:hAnsi="Arial" w:cs="Arial"/>
        </w:rPr>
      </w:pPr>
      <w:r w:rsidRPr="00F91FA1">
        <w:rPr>
          <w:rFonts w:ascii="Arial" w:hAnsi="Arial" w:cs="Arial"/>
        </w:rPr>
        <w:t>Based on the interview conducted, it was revealed that the integration of digital technology in classroom instruction remains mediated by enduring infrastructural, pedagogical, and psychosocial challenges. Foremost among these is the persistent infrastructure and connectivity limitation (C1). Teachers’ experiences of unreliable internet access, fluctuating electricity, and malfunctioning devices underscore the fragility of digital learning environments, especially in public schools and rural settings. Statements such as “the main issue is internet connectivity” (T1) and “</w:t>
      </w:r>
      <w:proofErr w:type="spellStart"/>
      <w:r w:rsidRPr="00F91FA1">
        <w:rPr>
          <w:rFonts w:ascii="Arial" w:hAnsi="Arial" w:cs="Arial"/>
        </w:rPr>
        <w:t>hindi</w:t>
      </w:r>
      <w:proofErr w:type="spellEnd"/>
      <w:r w:rsidRPr="00F91FA1">
        <w:rPr>
          <w:rFonts w:ascii="Arial" w:hAnsi="Arial" w:cs="Arial"/>
        </w:rPr>
        <w:t xml:space="preserve"> </w:t>
      </w:r>
      <w:proofErr w:type="spellStart"/>
      <w:r w:rsidRPr="00F91FA1">
        <w:rPr>
          <w:rFonts w:ascii="Arial" w:hAnsi="Arial" w:cs="Arial"/>
        </w:rPr>
        <w:t>laging</w:t>
      </w:r>
      <w:proofErr w:type="spellEnd"/>
      <w:r w:rsidRPr="00F91FA1">
        <w:rPr>
          <w:rFonts w:ascii="Arial" w:hAnsi="Arial" w:cs="Arial"/>
        </w:rPr>
        <w:t xml:space="preserve"> stable ang </w:t>
      </w:r>
      <w:proofErr w:type="spellStart"/>
      <w:r w:rsidRPr="00F91FA1">
        <w:rPr>
          <w:rFonts w:ascii="Arial" w:hAnsi="Arial" w:cs="Arial"/>
        </w:rPr>
        <w:t>kuryente</w:t>
      </w:r>
      <w:proofErr w:type="spellEnd"/>
      <w:r w:rsidRPr="00F91FA1">
        <w:rPr>
          <w:rFonts w:ascii="Arial" w:hAnsi="Arial" w:cs="Arial"/>
        </w:rPr>
        <w:t>” (T18) reflect systemic barriers that inhibit the seamless conduct of digitally mediated instruction. Similar observations have been documented in prior studies (</w:t>
      </w:r>
      <w:proofErr w:type="spellStart"/>
      <w:r w:rsidRPr="00F91FA1">
        <w:rPr>
          <w:rFonts w:ascii="Arial" w:hAnsi="Arial" w:cs="Arial"/>
        </w:rPr>
        <w:t>Basilaia</w:t>
      </w:r>
      <w:proofErr w:type="spellEnd"/>
      <w:r w:rsidRPr="00F91FA1">
        <w:rPr>
          <w:rFonts w:ascii="Arial" w:hAnsi="Arial" w:cs="Arial"/>
        </w:rPr>
        <w:t xml:space="preserve"> and </w:t>
      </w:r>
      <w:proofErr w:type="spellStart"/>
      <w:r w:rsidRPr="00F91FA1">
        <w:rPr>
          <w:rFonts w:ascii="Arial" w:hAnsi="Arial" w:cs="Arial"/>
        </w:rPr>
        <w:t>Kvavadze</w:t>
      </w:r>
      <w:proofErr w:type="spellEnd"/>
      <w:r w:rsidRPr="00F91FA1">
        <w:rPr>
          <w:rFonts w:ascii="Arial" w:hAnsi="Arial" w:cs="Arial"/>
        </w:rPr>
        <w:t>, 2020; UNESCO, 2023), emphasizing that technological equity remains contingent upon robust infrastructural support.</w:t>
      </w:r>
    </w:p>
    <w:p w14:paraId="33C698B6" w14:textId="5530D324" w:rsidR="00F91FA1" w:rsidRPr="00F91FA1" w:rsidRDefault="00F91FA1" w:rsidP="00F91FA1">
      <w:pPr>
        <w:pStyle w:val="Body"/>
        <w:rPr>
          <w:rFonts w:ascii="Arial" w:hAnsi="Arial" w:cs="Arial"/>
        </w:rPr>
      </w:pPr>
      <w:r w:rsidRPr="00F91FA1">
        <w:rPr>
          <w:rFonts w:ascii="Arial" w:hAnsi="Arial" w:cs="Arial"/>
        </w:rPr>
        <w:t xml:space="preserve">Another structural impediment identified was resource and device inequality (C2), which highlighted the uneven access to ICT tools among students and teachers. Teachers reported having to group learners to compensate for the lack of devices (“Not all students had smartphones... I solved this by grouping them,” T4), revealing how technological deprivation perpetuates digital divides within the classroom. Such inequalities </w:t>
      </w:r>
      <w:proofErr w:type="gramStart"/>
      <w:r w:rsidRPr="00F91FA1">
        <w:rPr>
          <w:rFonts w:ascii="Arial" w:hAnsi="Arial" w:cs="Arial"/>
        </w:rPr>
        <w:t>resonates</w:t>
      </w:r>
      <w:proofErr w:type="gramEnd"/>
      <w:r>
        <w:rPr>
          <w:rFonts w:ascii="Arial" w:hAnsi="Arial" w:cs="Arial"/>
        </w:rPr>
        <w:t xml:space="preserve"> </w:t>
      </w:r>
      <w:r w:rsidRPr="00F91FA1">
        <w:rPr>
          <w:rFonts w:ascii="Arial" w:hAnsi="Arial" w:cs="Arial"/>
        </w:rPr>
        <w:t>with Warschauer’s (2020) view that the digital divide has evolved beyond mere access; it now encompasses disparities in digital literacy and the capacity to use technology for meaningful learning outcomes.</w:t>
      </w:r>
    </w:p>
    <w:p w14:paraId="64DD5CC0" w14:textId="77777777" w:rsidR="00F91FA1" w:rsidRPr="00F91FA1" w:rsidRDefault="00F91FA1" w:rsidP="00F91FA1">
      <w:pPr>
        <w:pStyle w:val="Body"/>
        <w:rPr>
          <w:rFonts w:ascii="Arial" w:hAnsi="Arial" w:cs="Arial"/>
        </w:rPr>
      </w:pPr>
      <w:r w:rsidRPr="00F91FA1">
        <w:rPr>
          <w:rFonts w:ascii="Arial" w:hAnsi="Arial" w:cs="Arial"/>
        </w:rPr>
        <w:t xml:space="preserve">Warschauer describes the digital divide as a continuum of stratification in access, adaptation and creation of knowledge via ICT, not just a binary ‘haves vs. have-nots’.  This aligns closely with this theme that unequal ICT device access among students and teachers </w:t>
      </w:r>
      <w:r w:rsidRPr="00F91FA1">
        <w:rPr>
          <w:rFonts w:ascii="Arial" w:hAnsi="Arial" w:cs="Arial"/>
        </w:rPr>
        <w:lastRenderedPageBreak/>
        <w:t>(grouping students to compensate) perpetuates a deeper divide, not just physical devices but capacity, literacy, and meaningful use.</w:t>
      </w:r>
    </w:p>
    <w:p w14:paraId="1B3C1B67" w14:textId="77777777" w:rsidR="00F91FA1" w:rsidRPr="00F91FA1" w:rsidRDefault="00F91FA1" w:rsidP="00F91FA1">
      <w:pPr>
        <w:pStyle w:val="Body"/>
        <w:rPr>
          <w:rFonts w:ascii="Arial" w:hAnsi="Arial" w:cs="Arial"/>
        </w:rPr>
      </w:pPr>
      <w:r w:rsidRPr="00F91FA1">
        <w:rPr>
          <w:rFonts w:ascii="Arial" w:hAnsi="Arial" w:cs="Arial"/>
        </w:rPr>
        <w:t>Beyond technical and material constraints, teachers also confronted behavioral and cognitive issues, captured under the theme digital distractions and classroom management (C3). Participants observed that students were often “too focused on the gadget and not the science concept” (T7) or “use the technology for entertainment” (T2), leading to surface-level engagement. This observation aligns with Kirschner and De Bruyckere’s (2017) argument that unstructured exposure to technology may reduce cognitive depth and analytical thinking. Teachers thus faced the dual burden of leveraging technology to stimulate motivation while mitigating its distractive tendencies.</w:t>
      </w:r>
    </w:p>
    <w:p w14:paraId="6BF3F63D" w14:textId="77777777" w:rsidR="00F91FA1" w:rsidRPr="00F91FA1" w:rsidRDefault="00F91FA1" w:rsidP="00F91FA1">
      <w:pPr>
        <w:pStyle w:val="Body"/>
        <w:rPr>
          <w:rFonts w:ascii="Arial" w:hAnsi="Arial" w:cs="Arial"/>
        </w:rPr>
      </w:pPr>
      <w:r w:rsidRPr="00F91FA1">
        <w:rPr>
          <w:rFonts w:ascii="Arial" w:hAnsi="Arial" w:cs="Arial"/>
        </w:rPr>
        <w:t>A systemic but equally profound issue was insufficient training and support (C4). Teachers repeatedly expressed that professional development programs were “too generic” or “not contextualized to classroom realities,” with one participant stating, “most of my learning comes from experimenting” (T7). This underscores a recurring challenge in ICT integration literature that short-term, compliance-oriented workshops often fail to cultivate pedagogical mastery (Koehler, Mishra, and Cain, 2019). The lack of ongoing mentoring further isolates teachers in their pursuit of technological competence.</w:t>
      </w:r>
    </w:p>
    <w:p w14:paraId="093A685E" w14:textId="77777777" w:rsidR="00F91FA1" w:rsidRPr="00F91FA1" w:rsidRDefault="00F91FA1" w:rsidP="00F91FA1">
      <w:pPr>
        <w:pStyle w:val="Body"/>
        <w:rPr>
          <w:rFonts w:ascii="Arial" w:hAnsi="Arial" w:cs="Arial"/>
        </w:rPr>
      </w:pPr>
      <w:r w:rsidRPr="00F91FA1">
        <w:rPr>
          <w:rFonts w:ascii="Arial" w:hAnsi="Arial" w:cs="Arial"/>
        </w:rPr>
        <w:t xml:space="preserve">The theme of teacher workload and technical confidence (C5) encapsulates the emotional and cognitive toll of technological adaptation. Preparing technology-integrated lessons “takes double the time” (T6), while navigating multiple unfamiliar applications increases stress and uncertainty. This finding mirrors the growing recognition that digital transformation in education demands not only skills but also psychological readiness and institutional support (Trust and Whalen, 2020). </w:t>
      </w:r>
    </w:p>
    <w:p w14:paraId="5C57D02E" w14:textId="20C28856" w:rsidR="00E053D0" w:rsidRDefault="00F91FA1" w:rsidP="00F91FA1">
      <w:pPr>
        <w:pStyle w:val="Body"/>
        <w:spacing w:after="0"/>
        <w:rPr>
          <w:rFonts w:ascii="Arial" w:hAnsi="Arial" w:cs="Arial"/>
        </w:rPr>
      </w:pPr>
      <w:r w:rsidRPr="00F91FA1">
        <w:rPr>
          <w:rFonts w:ascii="Arial" w:hAnsi="Arial" w:cs="Arial"/>
        </w:rPr>
        <w:t>Collectively, these challenges highlight the layered nature of digital integration where structural limitations intersect with individual capacities and pedagogical realities.</w:t>
      </w:r>
    </w:p>
    <w:p w14:paraId="070A92DF" w14:textId="77777777" w:rsidR="00F91FA1" w:rsidRDefault="00F91FA1" w:rsidP="00F91FA1">
      <w:pPr>
        <w:pStyle w:val="Body"/>
        <w:spacing w:after="0"/>
        <w:rPr>
          <w:rFonts w:ascii="Arial" w:hAnsi="Arial" w:cs="Arial"/>
        </w:rPr>
      </w:pPr>
    </w:p>
    <w:p w14:paraId="0B04493F" w14:textId="4BBDA573" w:rsidR="00F91FA1" w:rsidRPr="00F77EB7" w:rsidRDefault="006F29A5" w:rsidP="00F91FA1">
      <w:pPr>
        <w:spacing w:line="480" w:lineRule="auto"/>
        <w:rPr>
          <w:rFonts w:ascii="Arial" w:eastAsia="Arial" w:hAnsi="Arial" w:cs="Arial"/>
          <w:b/>
          <w:bCs/>
        </w:rPr>
      </w:pPr>
      <w:r w:rsidRPr="00F77EB7">
        <w:rPr>
          <w:rFonts w:ascii="Arial" w:eastAsia="Arial" w:hAnsi="Arial" w:cs="Arial"/>
          <w:b/>
          <w:bCs/>
        </w:rPr>
        <w:t>STRATEGIES EMPLOYED BY THE TEACHERS TO ADDRESS THE CHALLENGES</w:t>
      </w:r>
    </w:p>
    <w:p w14:paraId="3E7AB14E" w14:textId="77777777" w:rsidR="00F91FA1" w:rsidRPr="00F77EB7" w:rsidRDefault="00F91FA1" w:rsidP="00F91FA1">
      <w:pPr>
        <w:spacing w:after="240"/>
        <w:jc w:val="both"/>
        <w:rPr>
          <w:rFonts w:ascii="Arial" w:eastAsia="Arial" w:hAnsi="Arial" w:cs="Arial"/>
          <w:color w:val="000000"/>
        </w:rPr>
      </w:pPr>
      <w:r w:rsidRPr="00F77EB7">
        <w:rPr>
          <w:rFonts w:ascii="Arial" w:eastAsia="Arial" w:hAnsi="Arial" w:cs="Arial"/>
          <w:color w:val="000000"/>
        </w:rPr>
        <w:t xml:space="preserve">Teachers employed various strategies in order to address the challenges often faced in the classroom. Based on the qualitative inquiry there are five major strategies used by the teachers to address the </w:t>
      </w:r>
      <w:r w:rsidRPr="00F77EB7">
        <w:rPr>
          <w:rFonts w:ascii="Arial" w:eastAsia="Arial" w:hAnsi="Arial" w:cs="Arial"/>
        </w:rPr>
        <w:t>challenges. These</w:t>
      </w:r>
      <w:r w:rsidRPr="00F77EB7">
        <w:rPr>
          <w:rFonts w:ascii="Arial" w:eastAsia="Arial" w:hAnsi="Arial" w:cs="Arial"/>
          <w:color w:val="000000"/>
        </w:rPr>
        <w:t xml:space="preserve"> </w:t>
      </w:r>
      <w:r w:rsidRPr="00F77EB7">
        <w:rPr>
          <w:rFonts w:ascii="Arial" w:eastAsia="Arial" w:hAnsi="Arial" w:cs="Arial"/>
        </w:rPr>
        <w:t>include</w:t>
      </w:r>
      <w:r w:rsidRPr="00F77EB7">
        <w:rPr>
          <w:rFonts w:ascii="Arial" w:eastAsia="Arial" w:hAnsi="Arial" w:cs="Arial"/>
          <w:color w:val="000000"/>
        </w:rPr>
        <w:t xml:space="preserve"> offline and backup preparation, collaborative and peer support systems, blended and flexible teaching approaches, scaffolding and guided integration, and use of core tools and contextualized examples. </w:t>
      </w:r>
    </w:p>
    <w:p w14:paraId="03F0D8C1" w14:textId="77777777" w:rsidR="00F91FA1" w:rsidRPr="00F77EB7" w:rsidRDefault="00F91FA1" w:rsidP="00F91FA1">
      <w:pPr>
        <w:spacing w:after="240"/>
        <w:jc w:val="both"/>
        <w:rPr>
          <w:rFonts w:ascii="Arial" w:eastAsia="Arial" w:hAnsi="Arial" w:cs="Arial"/>
          <w:color w:val="000000"/>
        </w:rPr>
      </w:pPr>
      <w:r w:rsidRPr="00F77EB7">
        <w:rPr>
          <w:rFonts w:ascii="Arial" w:eastAsia="Arial" w:hAnsi="Arial" w:cs="Arial"/>
        </w:rPr>
        <w:t>Despite these multifaceted challenges, teachers demonstrated notable agency, resilience, and creativity in sustaining instructional effectiveness through diverse adaptive strategies. The most salient approach was offline and backup preparations (S1), where teachers pre-downloaded videos, stored materials in flash drives, or designed analog lesson versions to ensure instructional continuity.</w:t>
      </w:r>
    </w:p>
    <w:p w14:paraId="49B8084E" w14:textId="77777777" w:rsidR="00F91FA1" w:rsidRPr="00F77EB7" w:rsidRDefault="00F91FA1" w:rsidP="00F91FA1">
      <w:pPr>
        <w:spacing w:after="240"/>
        <w:jc w:val="both"/>
        <w:rPr>
          <w:rFonts w:ascii="Arial" w:eastAsia="Arial" w:hAnsi="Arial" w:cs="Arial"/>
        </w:rPr>
      </w:pPr>
      <w:r w:rsidRPr="00F77EB7">
        <w:rPr>
          <w:rFonts w:ascii="Arial" w:eastAsia="Arial" w:hAnsi="Arial" w:cs="Arial"/>
        </w:rPr>
        <w:t>As one participant stated, “I always prepare offline versions of everything like the videos, PowerPoint files, and simulations” (T2). Such redundancy planning embodies a pragmatic form of pedagogical resilience that mitigates infrastructural uncertainty. This practice parallels emerging scholarship on “low-tech resilience,” which promotes continuity through redundancy and resource adaptability (Trust and Whalen, 2020).</w:t>
      </w:r>
    </w:p>
    <w:p w14:paraId="342367E9" w14:textId="77777777" w:rsidR="00F91FA1" w:rsidRPr="00F77EB7" w:rsidRDefault="00F91FA1" w:rsidP="00F91FA1">
      <w:pPr>
        <w:spacing w:after="240"/>
        <w:jc w:val="both"/>
        <w:rPr>
          <w:rFonts w:ascii="Arial" w:eastAsia="Arial" w:hAnsi="Arial" w:cs="Arial"/>
        </w:rPr>
      </w:pPr>
      <w:r w:rsidRPr="00F77EB7">
        <w:rPr>
          <w:rFonts w:ascii="Arial" w:eastAsia="Arial" w:hAnsi="Arial" w:cs="Arial"/>
        </w:rPr>
        <w:t>Complementing this, collaborative and peer support systems (S2) served as informal yet powerful mechanisms for professional learning. Teachers relied on peer mentoring, shared resources via Google Drive, and engaged in Learning Action Cells (LACs) for joint problem-</w:t>
      </w:r>
      <w:r w:rsidRPr="00F77EB7">
        <w:rPr>
          <w:rFonts w:ascii="Arial" w:eastAsia="Arial" w:hAnsi="Arial" w:cs="Arial"/>
        </w:rPr>
        <w:lastRenderedPageBreak/>
        <w:t>solving. One teacher explained, “We share lesson plans, activities, and even digital resources” (T1). These collaborative practices embody the essence of professional learning communities, fostering both competence and collective efficacy (Darling-Hammond et al., 2020). Such collegial networks fill the void left by formal training gaps, creating a self-sustaining ecosystem of pedagogical innovation.</w:t>
      </w:r>
    </w:p>
    <w:p w14:paraId="4D562BBD" w14:textId="50D7CCCD" w:rsidR="00F91FA1" w:rsidRPr="00F77EB7" w:rsidRDefault="00F91FA1" w:rsidP="00F91FA1">
      <w:pPr>
        <w:jc w:val="both"/>
        <w:rPr>
          <w:rFonts w:ascii="Arial" w:eastAsia="Arial" w:hAnsi="Arial" w:cs="Arial"/>
          <w:color w:val="000000"/>
        </w:rPr>
      </w:pPr>
      <w:r w:rsidRPr="00F77EB7">
        <w:rPr>
          <w:rFonts w:ascii="Arial" w:eastAsia="Arial" w:hAnsi="Arial" w:cs="Arial"/>
          <w:b/>
          <w:bCs/>
          <w:color w:val="000000"/>
        </w:rPr>
        <w:t xml:space="preserve">Table </w:t>
      </w:r>
      <w:r>
        <w:rPr>
          <w:rFonts w:ascii="Arial" w:eastAsia="Arial" w:hAnsi="Arial" w:cs="Arial"/>
          <w:b/>
          <w:bCs/>
          <w:color w:val="000000"/>
        </w:rPr>
        <w:t>2</w:t>
      </w:r>
      <w:r w:rsidRPr="00F77EB7">
        <w:rPr>
          <w:rFonts w:ascii="Arial" w:eastAsia="Arial" w:hAnsi="Arial" w:cs="Arial"/>
          <w:b/>
          <w:bCs/>
          <w:color w:val="000000"/>
        </w:rPr>
        <w:t xml:space="preserve">. </w:t>
      </w:r>
      <w:r w:rsidRPr="00F77EB7">
        <w:rPr>
          <w:rFonts w:ascii="Arial" w:eastAsia="Arial" w:hAnsi="Arial" w:cs="Arial"/>
          <w:color w:val="000000"/>
        </w:rPr>
        <w:t xml:space="preserve">Findings on the strategies employed by the teachers to address </w:t>
      </w:r>
    </w:p>
    <w:p w14:paraId="7DD8C02E" w14:textId="77777777" w:rsidR="00F91FA1" w:rsidRPr="00F77EB7" w:rsidRDefault="00F91FA1" w:rsidP="00F91FA1">
      <w:pPr>
        <w:jc w:val="both"/>
        <w:rPr>
          <w:rFonts w:ascii="Arial" w:eastAsia="Arial" w:hAnsi="Arial" w:cs="Arial"/>
          <w:color w:val="000000"/>
        </w:rPr>
      </w:pPr>
      <w:r w:rsidRPr="00F77EB7">
        <w:rPr>
          <w:rFonts w:ascii="Arial" w:eastAsia="Arial" w:hAnsi="Arial" w:cs="Arial"/>
        </w:rPr>
        <w:t xml:space="preserve">                </w:t>
      </w:r>
      <w:r w:rsidRPr="00F77EB7">
        <w:rPr>
          <w:rFonts w:ascii="Arial" w:eastAsia="Arial" w:hAnsi="Arial" w:cs="Arial"/>
          <w:color w:val="000000"/>
        </w:rPr>
        <w:t>their challenges from the interview</w:t>
      </w:r>
    </w:p>
    <w:p w14:paraId="7F51B2B2" w14:textId="77777777" w:rsidR="00F91FA1" w:rsidRPr="00F77EB7" w:rsidRDefault="00F91FA1" w:rsidP="00F91FA1">
      <w:pPr>
        <w:jc w:val="both"/>
        <w:rPr>
          <w:rFonts w:ascii="Arial" w:eastAsia="Arial" w:hAnsi="Arial" w:cs="Arial"/>
        </w:rPr>
      </w:pPr>
    </w:p>
    <w:tbl>
      <w:tblPr>
        <w:tblW w:w="8640" w:type="dxa"/>
        <w:tblLayout w:type="fixed"/>
        <w:tblLook w:val="0400" w:firstRow="0" w:lastRow="0" w:firstColumn="0" w:lastColumn="0" w:noHBand="0" w:noVBand="1"/>
      </w:tblPr>
      <w:tblGrid>
        <w:gridCol w:w="2278"/>
        <w:gridCol w:w="2542"/>
        <w:gridCol w:w="3820"/>
      </w:tblGrid>
      <w:tr w:rsidR="00F91FA1" w:rsidRPr="00F77EB7" w14:paraId="22C67DAC" w14:textId="77777777" w:rsidTr="00E20A61">
        <w:trPr>
          <w:tblHeader/>
        </w:trPr>
        <w:tc>
          <w:tcPr>
            <w:tcW w:w="2278" w:type="dxa"/>
            <w:tcBorders>
              <w:top w:val="single" w:sz="4" w:space="0" w:color="000000"/>
            </w:tcBorders>
            <w:vAlign w:val="center"/>
          </w:tcPr>
          <w:p w14:paraId="7C415EF5" w14:textId="77777777" w:rsidR="00F91FA1" w:rsidRPr="00F77EB7" w:rsidRDefault="00F91FA1" w:rsidP="00F91FA1">
            <w:pPr>
              <w:jc w:val="center"/>
              <w:rPr>
                <w:rFonts w:ascii="Arial" w:eastAsia="Arial" w:hAnsi="Arial" w:cs="Arial"/>
                <w:b/>
                <w:bCs/>
              </w:rPr>
            </w:pPr>
            <w:r w:rsidRPr="00F77EB7">
              <w:rPr>
                <w:rFonts w:ascii="Arial" w:eastAsia="Arial" w:hAnsi="Arial" w:cs="Arial"/>
                <w:b/>
                <w:bCs/>
              </w:rPr>
              <w:t>Theme/Strategies used</w:t>
            </w:r>
          </w:p>
        </w:tc>
        <w:tc>
          <w:tcPr>
            <w:tcW w:w="2542" w:type="dxa"/>
            <w:tcBorders>
              <w:top w:val="single" w:sz="4" w:space="0" w:color="000000"/>
            </w:tcBorders>
            <w:vAlign w:val="center"/>
          </w:tcPr>
          <w:p w14:paraId="72E4C66D" w14:textId="77777777" w:rsidR="00F91FA1" w:rsidRPr="00F77EB7" w:rsidRDefault="00F91FA1" w:rsidP="00F91FA1">
            <w:pPr>
              <w:jc w:val="center"/>
              <w:rPr>
                <w:rFonts w:ascii="Arial" w:eastAsia="Arial" w:hAnsi="Arial" w:cs="Arial"/>
                <w:b/>
                <w:bCs/>
              </w:rPr>
            </w:pPr>
            <w:r w:rsidRPr="00F77EB7">
              <w:rPr>
                <w:rFonts w:ascii="Arial" w:eastAsia="Arial" w:hAnsi="Arial" w:cs="Arial"/>
                <w:b/>
                <w:bCs/>
              </w:rPr>
              <w:t>Codes</w:t>
            </w:r>
          </w:p>
        </w:tc>
        <w:tc>
          <w:tcPr>
            <w:tcW w:w="3820" w:type="dxa"/>
            <w:tcBorders>
              <w:top w:val="single" w:sz="4" w:space="0" w:color="000000"/>
            </w:tcBorders>
            <w:vAlign w:val="center"/>
          </w:tcPr>
          <w:p w14:paraId="4D9D3351" w14:textId="77777777" w:rsidR="00F91FA1" w:rsidRPr="00F77EB7" w:rsidRDefault="00F91FA1" w:rsidP="00F91FA1">
            <w:pPr>
              <w:jc w:val="center"/>
              <w:rPr>
                <w:rFonts w:ascii="Arial" w:eastAsia="Arial" w:hAnsi="Arial" w:cs="Arial"/>
                <w:b/>
                <w:bCs/>
              </w:rPr>
            </w:pPr>
            <w:r w:rsidRPr="00F77EB7">
              <w:rPr>
                <w:rFonts w:ascii="Arial" w:eastAsia="Arial" w:hAnsi="Arial" w:cs="Arial"/>
                <w:b/>
                <w:bCs/>
              </w:rPr>
              <w:t>Sample Responses</w:t>
            </w:r>
          </w:p>
        </w:tc>
      </w:tr>
      <w:tr w:rsidR="00F91FA1" w:rsidRPr="00F77EB7" w14:paraId="26D39DBE" w14:textId="77777777" w:rsidTr="00E20A61">
        <w:trPr>
          <w:trHeight w:val="1800"/>
        </w:trPr>
        <w:tc>
          <w:tcPr>
            <w:tcW w:w="2278" w:type="dxa"/>
            <w:tcBorders>
              <w:top w:val="single" w:sz="4" w:space="0" w:color="000000"/>
            </w:tcBorders>
            <w:vAlign w:val="center"/>
          </w:tcPr>
          <w:p w14:paraId="33D001C2" w14:textId="77777777" w:rsidR="00F91FA1" w:rsidRPr="00F77EB7" w:rsidRDefault="00F91FA1" w:rsidP="00F91FA1">
            <w:pPr>
              <w:rPr>
                <w:rFonts w:ascii="Arial" w:eastAsia="Arial" w:hAnsi="Arial" w:cs="Arial"/>
              </w:rPr>
            </w:pPr>
            <w:r w:rsidRPr="00F77EB7">
              <w:rPr>
                <w:rFonts w:ascii="Arial" w:eastAsia="Arial" w:hAnsi="Arial" w:cs="Arial"/>
                <w:b/>
                <w:bCs/>
              </w:rPr>
              <w:t>Offline and Backup Preparations</w:t>
            </w:r>
          </w:p>
        </w:tc>
        <w:tc>
          <w:tcPr>
            <w:tcW w:w="2542" w:type="dxa"/>
            <w:tcBorders>
              <w:top w:val="single" w:sz="4" w:space="0" w:color="000000"/>
            </w:tcBorders>
            <w:vAlign w:val="center"/>
          </w:tcPr>
          <w:p w14:paraId="4DE033E3" w14:textId="77777777" w:rsidR="00F91FA1" w:rsidRPr="00F77EB7" w:rsidRDefault="00F91FA1" w:rsidP="00F91FA1">
            <w:pPr>
              <w:rPr>
                <w:rFonts w:ascii="Arial" w:eastAsia="Arial" w:hAnsi="Arial" w:cs="Arial"/>
              </w:rPr>
            </w:pPr>
            <w:r w:rsidRPr="00F77EB7">
              <w:rPr>
                <w:rFonts w:ascii="Arial" w:eastAsia="Arial" w:hAnsi="Arial" w:cs="Arial"/>
                <w:i/>
                <w:iCs/>
              </w:rPr>
              <w:t>Offline Files, Printed Materials, Alternative Plans</w:t>
            </w:r>
          </w:p>
        </w:tc>
        <w:tc>
          <w:tcPr>
            <w:tcW w:w="3820" w:type="dxa"/>
            <w:tcBorders>
              <w:top w:val="single" w:sz="4" w:space="0" w:color="000000"/>
            </w:tcBorders>
            <w:vAlign w:val="center"/>
          </w:tcPr>
          <w:p w14:paraId="2D335F16"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“I always prepare offline versions of everything—videos, PowerPoint files, and simulations.” (T2) “I always download videos and store them in flash drives.” (T3) “Kung </w:t>
            </w:r>
            <w:proofErr w:type="spellStart"/>
            <w:r w:rsidRPr="00F77EB7">
              <w:rPr>
                <w:rFonts w:ascii="Arial" w:eastAsia="Arial" w:hAnsi="Arial" w:cs="Arial"/>
              </w:rPr>
              <w:t>walang</w:t>
            </w:r>
            <w:proofErr w:type="spellEnd"/>
            <w:r w:rsidRPr="00F77EB7">
              <w:rPr>
                <w:rFonts w:ascii="Arial" w:eastAsia="Arial" w:hAnsi="Arial" w:cs="Arial"/>
              </w:rPr>
              <w:t xml:space="preserve"> power, may </w:t>
            </w:r>
            <w:proofErr w:type="spellStart"/>
            <w:r w:rsidRPr="00F77EB7">
              <w:rPr>
                <w:rFonts w:ascii="Arial" w:eastAsia="Arial" w:hAnsi="Arial" w:cs="Arial"/>
              </w:rPr>
              <w:t>boardwork</w:t>
            </w:r>
            <w:proofErr w:type="spellEnd"/>
            <w:r w:rsidRPr="00F77EB7">
              <w:rPr>
                <w:rFonts w:ascii="Arial" w:eastAsia="Arial" w:hAnsi="Arial" w:cs="Arial"/>
              </w:rPr>
              <w:t xml:space="preserve"> at storytelling.” (T15)</w:t>
            </w:r>
          </w:p>
        </w:tc>
      </w:tr>
      <w:tr w:rsidR="00F91FA1" w:rsidRPr="00F77EB7" w14:paraId="243254FC" w14:textId="77777777" w:rsidTr="00E20A61">
        <w:trPr>
          <w:trHeight w:val="1995"/>
        </w:trPr>
        <w:tc>
          <w:tcPr>
            <w:tcW w:w="2278" w:type="dxa"/>
            <w:vAlign w:val="center"/>
          </w:tcPr>
          <w:p w14:paraId="1F575831" w14:textId="77777777" w:rsidR="00F91FA1" w:rsidRPr="00F77EB7" w:rsidRDefault="00F91FA1" w:rsidP="00F91FA1">
            <w:pPr>
              <w:rPr>
                <w:rFonts w:ascii="Arial" w:eastAsia="Arial" w:hAnsi="Arial" w:cs="Arial"/>
              </w:rPr>
            </w:pPr>
            <w:r w:rsidRPr="00F77EB7">
              <w:rPr>
                <w:rFonts w:ascii="Arial" w:eastAsia="Arial" w:hAnsi="Arial" w:cs="Arial"/>
                <w:b/>
                <w:bCs/>
              </w:rPr>
              <w:t>Collaborative and Peer Support Systems</w:t>
            </w:r>
          </w:p>
        </w:tc>
        <w:tc>
          <w:tcPr>
            <w:tcW w:w="2542" w:type="dxa"/>
            <w:vAlign w:val="center"/>
          </w:tcPr>
          <w:p w14:paraId="74DF254B" w14:textId="77777777" w:rsidR="00F91FA1" w:rsidRPr="00F77EB7" w:rsidRDefault="00F91FA1" w:rsidP="00F91FA1">
            <w:pPr>
              <w:rPr>
                <w:rFonts w:ascii="Arial" w:eastAsia="Arial" w:hAnsi="Arial" w:cs="Arial"/>
              </w:rPr>
            </w:pPr>
            <w:r w:rsidRPr="00F77EB7">
              <w:rPr>
                <w:rFonts w:ascii="Arial" w:eastAsia="Arial" w:hAnsi="Arial" w:cs="Arial"/>
                <w:i/>
                <w:iCs/>
              </w:rPr>
              <w:t>Peer Mentoring, Resource Sharing, Team Teaching</w:t>
            </w:r>
          </w:p>
        </w:tc>
        <w:tc>
          <w:tcPr>
            <w:tcW w:w="3820" w:type="dxa"/>
            <w:vAlign w:val="center"/>
          </w:tcPr>
          <w:p w14:paraId="2FA691C1"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“We share lesson plans, activities, and even digital resources.” (T1) “Active kami </w:t>
            </w:r>
            <w:proofErr w:type="spellStart"/>
            <w:r w:rsidRPr="00F77EB7">
              <w:rPr>
                <w:rFonts w:ascii="Arial" w:eastAsia="Arial" w:hAnsi="Arial" w:cs="Arial"/>
              </w:rPr>
              <w:t>sa</w:t>
            </w:r>
            <w:proofErr w:type="spellEnd"/>
            <w:r w:rsidRPr="00F77EB7">
              <w:rPr>
                <w:rFonts w:ascii="Arial" w:eastAsia="Arial" w:hAnsi="Arial" w:cs="Arial"/>
              </w:rPr>
              <w:t xml:space="preserve"> Learning Action Cells. </w:t>
            </w:r>
            <w:proofErr w:type="spellStart"/>
            <w:r w:rsidRPr="00F77EB7">
              <w:rPr>
                <w:rFonts w:ascii="Arial" w:eastAsia="Arial" w:hAnsi="Arial" w:cs="Arial"/>
              </w:rPr>
              <w:t>Nagbabahagi</w:t>
            </w:r>
            <w:proofErr w:type="spellEnd"/>
            <w:r w:rsidRPr="00F77EB7">
              <w:rPr>
                <w:rFonts w:ascii="Arial" w:eastAsia="Arial" w:hAnsi="Arial" w:cs="Arial"/>
              </w:rPr>
              <w:t xml:space="preserve"> kami ng digital resources.” (T8) “Once a month, we hold what we call an ‘error clinic.’ We gather misconceptions and share solutions.” (T11)</w:t>
            </w:r>
          </w:p>
        </w:tc>
      </w:tr>
      <w:tr w:rsidR="00F91FA1" w:rsidRPr="00F77EB7" w14:paraId="56F3D04D" w14:textId="77777777" w:rsidTr="00E20A61">
        <w:trPr>
          <w:trHeight w:val="1635"/>
        </w:trPr>
        <w:tc>
          <w:tcPr>
            <w:tcW w:w="2278" w:type="dxa"/>
            <w:vAlign w:val="center"/>
          </w:tcPr>
          <w:p w14:paraId="39F3000B" w14:textId="77777777" w:rsidR="00F91FA1" w:rsidRPr="00F77EB7" w:rsidRDefault="00F91FA1" w:rsidP="00F91FA1">
            <w:pPr>
              <w:rPr>
                <w:rFonts w:ascii="Arial" w:eastAsia="Arial" w:hAnsi="Arial" w:cs="Arial"/>
              </w:rPr>
            </w:pPr>
            <w:r w:rsidRPr="00F77EB7">
              <w:rPr>
                <w:rFonts w:ascii="Arial" w:eastAsia="Arial" w:hAnsi="Arial" w:cs="Arial"/>
                <w:b/>
                <w:bCs/>
              </w:rPr>
              <w:t>Blended and Flexible Teaching Approaches</w:t>
            </w:r>
          </w:p>
        </w:tc>
        <w:tc>
          <w:tcPr>
            <w:tcW w:w="2542" w:type="dxa"/>
            <w:vAlign w:val="center"/>
          </w:tcPr>
          <w:p w14:paraId="3A557E30" w14:textId="77777777" w:rsidR="00F91FA1" w:rsidRPr="00F77EB7" w:rsidRDefault="00F91FA1" w:rsidP="00F91FA1">
            <w:pPr>
              <w:rPr>
                <w:rFonts w:ascii="Arial" w:eastAsia="Arial" w:hAnsi="Arial" w:cs="Arial"/>
              </w:rPr>
            </w:pPr>
            <w:r w:rsidRPr="00F77EB7">
              <w:rPr>
                <w:rFonts w:ascii="Arial" w:eastAsia="Arial" w:hAnsi="Arial" w:cs="Arial"/>
                <w:i/>
                <w:iCs/>
              </w:rPr>
              <w:t>Blended Learning, Lesson Adaptation, Flexible Modalities</w:t>
            </w:r>
          </w:p>
        </w:tc>
        <w:tc>
          <w:tcPr>
            <w:tcW w:w="3820" w:type="dxa"/>
            <w:vAlign w:val="center"/>
          </w:tcPr>
          <w:p w14:paraId="7CD6C941"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“I use blended learning and flipped classroom strategies.” (T2) “I really believe in blended learning… whatever I prepare digitally, may equivalent </w:t>
            </w:r>
            <w:proofErr w:type="spellStart"/>
            <w:r w:rsidRPr="00F77EB7">
              <w:rPr>
                <w:rFonts w:ascii="Arial" w:eastAsia="Arial" w:hAnsi="Arial" w:cs="Arial"/>
              </w:rPr>
              <w:t>siyang</w:t>
            </w:r>
            <w:proofErr w:type="spellEnd"/>
            <w:r w:rsidRPr="00F77EB7">
              <w:rPr>
                <w:rFonts w:ascii="Arial" w:eastAsia="Arial" w:hAnsi="Arial" w:cs="Arial"/>
              </w:rPr>
              <w:t xml:space="preserve"> low-tech version.” (T10) “</w:t>
            </w:r>
            <w:proofErr w:type="spellStart"/>
            <w:r w:rsidRPr="00F77EB7">
              <w:rPr>
                <w:rFonts w:ascii="Arial" w:eastAsia="Arial" w:hAnsi="Arial" w:cs="Arial"/>
              </w:rPr>
              <w:t>Kapag</w:t>
            </w:r>
            <w:proofErr w:type="spellEnd"/>
            <w:r w:rsidRPr="00F77EB7">
              <w:rPr>
                <w:rFonts w:ascii="Arial" w:eastAsia="Arial" w:hAnsi="Arial" w:cs="Arial"/>
              </w:rPr>
              <w:t xml:space="preserve"> </w:t>
            </w:r>
            <w:proofErr w:type="spellStart"/>
            <w:r w:rsidRPr="00F77EB7">
              <w:rPr>
                <w:rFonts w:ascii="Arial" w:eastAsia="Arial" w:hAnsi="Arial" w:cs="Arial"/>
              </w:rPr>
              <w:t>walang</w:t>
            </w:r>
            <w:proofErr w:type="spellEnd"/>
            <w:r w:rsidRPr="00F77EB7">
              <w:rPr>
                <w:rFonts w:ascii="Arial" w:eastAsia="Arial" w:hAnsi="Arial" w:cs="Arial"/>
              </w:rPr>
              <w:t xml:space="preserve"> projector, may printed images. Para </w:t>
            </w:r>
            <w:proofErr w:type="spellStart"/>
            <w:r w:rsidRPr="00F77EB7">
              <w:rPr>
                <w:rFonts w:ascii="Arial" w:eastAsia="Arial" w:hAnsi="Arial" w:cs="Arial"/>
              </w:rPr>
              <w:t>hindi</w:t>
            </w:r>
            <w:proofErr w:type="spellEnd"/>
            <w:r w:rsidRPr="00F77EB7">
              <w:rPr>
                <w:rFonts w:ascii="Arial" w:eastAsia="Arial" w:hAnsi="Arial" w:cs="Arial"/>
              </w:rPr>
              <w:t xml:space="preserve"> </w:t>
            </w:r>
            <w:proofErr w:type="spellStart"/>
            <w:r w:rsidRPr="00F77EB7">
              <w:rPr>
                <w:rFonts w:ascii="Arial" w:eastAsia="Arial" w:hAnsi="Arial" w:cs="Arial"/>
              </w:rPr>
              <w:t>titigil</w:t>
            </w:r>
            <w:proofErr w:type="spellEnd"/>
            <w:r w:rsidRPr="00F77EB7">
              <w:rPr>
                <w:rFonts w:ascii="Arial" w:eastAsia="Arial" w:hAnsi="Arial" w:cs="Arial"/>
              </w:rPr>
              <w:t xml:space="preserve"> ang learning.” (T15)</w:t>
            </w:r>
          </w:p>
        </w:tc>
      </w:tr>
      <w:tr w:rsidR="00F91FA1" w:rsidRPr="00F77EB7" w14:paraId="37BC30F3" w14:textId="77777777" w:rsidTr="00E20A61">
        <w:trPr>
          <w:trHeight w:val="2200"/>
        </w:trPr>
        <w:tc>
          <w:tcPr>
            <w:tcW w:w="2278" w:type="dxa"/>
            <w:vAlign w:val="center"/>
          </w:tcPr>
          <w:p w14:paraId="628B0664" w14:textId="77777777" w:rsidR="00F91FA1" w:rsidRPr="00F77EB7" w:rsidRDefault="00F91FA1" w:rsidP="00F91FA1">
            <w:pPr>
              <w:rPr>
                <w:rFonts w:ascii="Arial" w:eastAsia="Arial" w:hAnsi="Arial" w:cs="Arial"/>
              </w:rPr>
            </w:pPr>
            <w:r w:rsidRPr="00F77EB7">
              <w:rPr>
                <w:rFonts w:ascii="Arial" w:eastAsia="Arial" w:hAnsi="Arial" w:cs="Arial"/>
                <w:b/>
                <w:bCs/>
              </w:rPr>
              <w:t>Scaffolding and Guided Integration</w:t>
            </w:r>
          </w:p>
        </w:tc>
        <w:tc>
          <w:tcPr>
            <w:tcW w:w="2542" w:type="dxa"/>
            <w:vAlign w:val="center"/>
          </w:tcPr>
          <w:p w14:paraId="0A81242A" w14:textId="77777777" w:rsidR="00F91FA1" w:rsidRPr="00F77EB7" w:rsidRDefault="00F91FA1" w:rsidP="00F91FA1">
            <w:pPr>
              <w:rPr>
                <w:rFonts w:ascii="Arial" w:eastAsia="Arial" w:hAnsi="Arial" w:cs="Arial"/>
              </w:rPr>
            </w:pPr>
            <w:r w:rsidRPr="00F77EB7">
              <w:rPr>
                <w:rFonts w:ascii="Arial" w:eastAsia="Arial" w:hAnsi="Arial" w:cs="Arial"/>
                <w:i/>
                <w:iCs/>
              </w:rPr>
              <w:t>Step-by-Step Guidance, Peer Tutoring, Gradual Tool Use</w:t>
            </w:r>
          </w:p>
        </w:tc>
        <w:tc>
          <w:tcPr>
            <w:tcW w:w="3820" w:type="dxa"/>
            <w:vAlign w:val="center"/>
          </w:tcPr>
          <w:p w14:paraId="17552013"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“I paired them with classmates who were more tech-savvy so that learning wouldn’t stop.” (T2) “I scaffold tasks so students can focus more on learning than on tool navigation.” (T12) “I gradually introduce new technology para </w:t>
            </w:r>
            <w:proofErr w:type="spellStart"/>
            <w:r w:rsidRPr="00F77EB7">
              <w:rPr>
                <w:rFonts w:ascii="Arial" w:eastAsia="Arial" w:hAnsi="Arial" w:cs="Arial"/>
              </w:rPr>
              <w:t>hindi</w:t>
            </w:r>
            <w:proofErr w:type="spellEnd"/>
            <w:r w:rsidRPr="00F77EB7">
              <w:rPr>
                <w:rFonts w:ascii="Arial" w:eastAsia="Arial" w:hAnsi="Arial" w:cs="Arial"/>
              </w:rPr>
              <w:t xml:space="preserve"> ma-overwhelm ang students.” (T12)</w:t>
            </w:r>
          </w:p>
        </w:tc>
      </w:tr>
      <w:tr w:rsidR="00F91FA1" w:rsidRPr="00F77EB7" w14:paraId="3FC2E266" w14:textId="77777777" w:rsidTr="00E20A61">
        <w:tc>
          <w:tcPr>
            <w:tcW w:w="2278" w:type="dxa"/>
            <w:tcBorders>
              <w:bottom w:val="single" w:sz="4" w:space="0" w:color="000000"/>
            </w:tcBorders>
            <w:vAlign w:val="center"/>
          </w:tcPr>
          <w:p w14:paraId="49AEAF05" w14:textId="77777777" w:rsidR="00F91FA1" w:rsidRPr="00F77EB7" w:rsidRDefault="00F91FA1" w:rsidP="00F91FA1">
            <w:pPr>
              <w:rPr>
                <w:rFonts w:ascii="Arial" w:eastAsia="Arial" w:hAnsi="Arial" w:cs="Arial"/>
              </w:rPr>
            </w:pPr>
            <w:r w:rsidRPr="00F77EB7">
              <w:rPr>
                <w:rFonts w:ascii="Arial" w:eastAsia="Arial" w:hAnsi="Arial" w:cs="Arial"/>
                <w:b/>
                <w:bCs/>
              </w:rPr>
              <w:t>Use of Core Tools and Contextualized Examples</w:t>
            </w:r>
          </w:p>
        </w:tc>
        <w:tc>
          <w:tcPr>
            <w:tcW w:w="2542" w:type="dxa"/>
            <w:tcBorders>
              <w:bottom w:val="single" w:sz="4" w:space="0" w:color="000000"/>
            </w:tcBorders>
            <w:vAlign w:val="center"/>
          </w:tcPr>
          <w:p w14:paraId="4D7D3D5D" w14:textId="77777777" w:rsidR="00F91FA1" w:rsidRPr="00F77EB7" w:rsidRDefault="00F91FA1" w:rsidP="00F91FA1">
            <w:pPr>
              <w:rPr>
                <w:rFonts w:ascii="Arial" w:eastAsia="Arial" w:hAnsi="Arial" w:cs="Arial"/>
              </w:rPr>
            </w:pPr>
            <w:r w:rsidRPr="00F77EB7">
              <w:rPr>
                <w:rFonts w:ascii="Arial" w:eastAsia="Arial" w:hAnsi="Arial" w:cs="Arial"/>
                <w:i/>
                <w:iCs/>
              </w:rPr>
              <w:t>Consistent Platforms, Localized Content, Familiar Tools</w:t>
            </w:r>
          </w:p>
        </w:tc>
        <w:tc>
          <w:tcPr>
            <w:tcW w:w="3820" w:type="dxa"/>
            <w:tcBorders>
              <w:bottom w:val="single" w:sz="4" w:space="0" w:color="000000"/>
            </w:tcBorders>
            <w:vAlign w:val="center"/>
          </w:tcPr>
          <w:p w14:paraId="58A7FDDD" w14:textId="77777777" w:rsidR="00F91FA1" w:rsidRPr="00F77EB7" w:rsidRDefault="00F91FA1" w:rsidP="00F91FA1">
            <w:pPr>
              <w:jc w:val="both"/>
              <w:rPr>
                <w:rFonts w:ascii="Arial" w:eastAsia="Arial" w:hAnsi="Arial" w:cs="Arial"/>
              </w:rPr>
            </w:pPr>
            <w:r w:rsidRPr="00F77EB7">
              <w:rPr>
                <w:rFonts w:ascii="Arial" w:eastAsia="Arial" w:hAnsi="Arial" w:cs="Arial"/>
              </w:rPr>
              <w:t xml:space="preserve">“Google Classroom, Quizizz, YouTube, and </w:t>
            </w:r>
            <w:proofErr w:type="spellStart"/>
            <w:r w:rsidRPr="00F77EB7">
              <w:rPr>
                <w:rFonts w:ascii="Arial" w:eastAsia="Arial" w:hAnsi="Arial" w:cs="Arial"/>
              </w:rPr>
              <w:t>PhET</w:t>
            </w:r>
            <w:proofErr w:type="spellEnd"/>
            <w:r w:rsidRPr="00F77EB7">
              <w:rPr>
                <w:rFonts w:ascii="Arial" w:eastAsia="Arial" w:hAnsi="Arial" w:cs="Arial"/>
              </w:rPr>
              <w:t xml:space="preserve"> simulations are my go-to resources.” (T2) “If the textbook uses foreign animals, I replace them with animals found in our community.” (T1) “Google Classroom has been very reliable… </w:t>
            </w:r>
            <w:proofErr w:type="spellStart"/>
            <w:r w:rsidRPr="00F77EB7">
              <w:rPr>
                <w:rFonts w:ascii="Arial" w:eastAsia="Arial" w:hAnsi="Arial" w:cs="Arial"/>
              </w:rPr>
              <w:t>PhET</w:t>
            </w:r>
            <w:proofErr w:type="spellEnd"/>
            <w:r w:rsidRPr="00F77EB7">
              <w:rPr>
                <w:rFonts w:ascii="Arial" w:eastAsia="Arial" w:hAnsi="Arial" w:cs="Arial"/>
              </w:rPr>
              <w:t xml:space="preserve"> and </w:t>
            </w:r>
            <w:proofErr w:type="spellStart"/>
            <w:r w:rsidRPr="00F77EB7">
              <w:rPr>
                <w:rFonts w:ascii="Arial" w:eastAsia="Arial" w:hAnsi="Arial" w:cs="Arial"/>
              </w:rPr>
              <w:t>Algodoo</w:t>
            </w:r>
            <w:proofErr w:type="spellEnd"/>
            <w:r w:rsidRPr="00F77EB7">
              <w:rPr>
                <w:rFonts w:ascii="Arial" w:eastAsia="Arial" w:hAnsi="Arial" w:cs="Arial"/>
              </w:rPr>
              <w:t xml:space="preserve"> are great for conceptual models.” (T11)</w:t>
            </w:r>
          </w:p>
        </w:tc>
      </w:tr>
    </w:tbl>
    <w:p w14:paraId="32743819" w14:textId="77777777" w:rsidR="00F91FA1" w:rsidRPr="00F77EB7" w:rsidRDefault="00F91FA1" w:rsidP="00F91FA1">
      <w:pPr>
        <w:jc w:val="both"/>
        <w:rPr>
          <w:rFonts w:ascii="Arial" w:eastAsia="Arial" w:hAnsi="Arial" w:cs="Arial"/>
          <w:b/>
          <w:bCs/>
          <w:color w:val="EE0000"/>
        </w:rPr>
      </w:pPr>
    </w:p>
    <w:p w14:paraId="5EC5C6FF" w14:textId="09A45958" w:rsidR="00F91FA1" w:rsidRDefault="00F91FA1" w:rsidP="00F91FA1">
      <w:pPr>
        <w:jc w:val="both"/>
        <w:rPr>
          <w:rFonts w:ascii="Arial" w:eastAsia="Arial" w:hAnsi="Arial" w:cs="Arial"/>
        </w:rPr>
      </w:pPr>
      <w:r w:rsidRPr="00F77EB7">
        <w:rPr>
          <w:rFonts w:ascii="Arial" w:eastAsia="Arial" w:hAnsi="Arial" w:cs="Arial"/>
        </w:rPr>
        <w:lastRenderedPageBreak/>
        <w:t xml:space="preserve">Teachers also employed blended and flexible teaching approaches (S3) to adapt to shifting technological circumstances. The combination of digital tools and traditional methods such as printed visuals or manual </w:t>
      </w:r>
      <w:proofErr w:type="spellStart"/>
      <w:r w:rsidRPr="00F77EB7">
        <w:rPr>
          <w:rFonts w:ascii="Arial" w:eastAsia="Arial" w:hAnsi="Arial" w:cs="Arial"/>
        </w:rPr>
        <w:t>boardwork</w:t>
      </w:r>
      <w:proofErr w:type="spellEnd"/>
      <w:r w:rsidRPr="00F77EB7">
        <w:rPr>
          <w:rFonts w:ascii="Arial" w:eastAsia="Arial" w:hAnsi="Arial" w:cs="Arial"/>
        </w:rPr>
        <w:t>, enabled pedagogical continuity amid unpredictable conditions. This approach reflects the ongoing evolution of blended learning from a contingency model toward a deliberate instructional design choice that enhances engagement and accessibility (Garrison and Vaughan, 2008). The emphasis on flexibility indicates a redefinition of digital pedagogy not as technological dependency but as situational adaptability.</w:t>
      </w:r>
      <w:r>
        <w:rPr>
          <w:rFonts w:ascii="Arial" w:eastAsia="Arial" w:hAnsi="Arial" w:cs="Arial"/>
        </w:rPr>
        <w:t xml:space="preserve"> </w:t>
      </w:r>
      <w:r w:rsidRPr="00F77EB7">
        <w:rPr>
          <w:rFonts w:ascii="Arial" w:eastAsia="Arial" w:hAnsi="Arial" w:cs="Arial"/>
        </w:rPr>
        <w:t>In addressing student competence and engagement, the theme scaffolding and guided integration (S4) captured teachers’ strategic efforts to align tool use with learning objectives. Teachers scaffolded digital activities through step-by-step guidance, recorded tutorials, and peer tutoring to reduce students’ cognitive load (“I paired them with classmates who were more tech-savvy,” T2). Such practices exemplify pedagogical intentionality—where technology serves as a cognitive scaffold rather than a mere engagement tool. This aligns with the principles of the TPACK framework (Mishra and Koehler, 2006), which emphasizes the interplay of technological, pedagogical, and content knowledge in fostering meaningful learning experiences.</w:t>
      </w:r>
      <w:r>
        <w:rPr>
          <w:rFonts w:ascii="Arial" w:eastAsia="Arial" w:hAnsi="Arial" w:cs="Arial"/>
        </w:rPr>
        <w:t xml:space="preserve"> </w:t>
      </w:r>
      <w:r w:rsidRPr="00F77EB7">
        <w:rPr>
          <w:rFonts w:ascii="Arial" w:eastAsia="Arial" w:hAnsi="Arial" w:cs="Arial"/>
        </w:rPr>
        <w:t xml:space="preserve">The use of core tools and contextualized examples (S5) emerged as a strategy that bridges pedagogical familiarity with contextual relevance. Teachers preferred reliable platforms such as Google Classroom, </w:t>
      </w:r>
      <w:proofErr w:type="spellStart"/>
      <w:r w:rsidRPr="00F77EB7">
        <w:rPr>
          <w:rFonts w:ascii="Arial" w:eastAsia="Arial" w:hAnsi="Arial" w:cs="Arial"/>
        </w:rPr>
        <w:t>PhET</w:t>
      </w:r>
      <w:proofErr w:type="spellEnd"/>
      <w:r w:rsidRPr="00F77EB7">
        <w:rPr>
          <w:rFonts w:ascii="Arial" w:eastAsia="Arial" w:hAnsi="Arial" w:cs="Arial"/>
        </w:rPr>
        <w:t>, and Quizizz, and localized their examples to reflect community realities (“If the textbook uses foreign animals, I replace them with animals found in our community,” T1). This reflects an emergent form of technological minimalism (Selwyn, 2022), where the focus shifts from tool novelty to pedagogical depth and contextual resonance. By streamlining tool use and situating learning materials within culturally relevant contexts, teachers achieved greater clarity, efficiency, and engagement.</w:t>
      </w:r>
    </w:p>
    <w:p w14:paraId="61A811E5" w14:textId="77777777" w:rsidR="006F29A5" w:rsidRPr="006F29A5" w:rsidRDefault="006F29A5" w:rsidP="00F91FA1">
      <w:pPr>
        <w:jc w:val="both"/>
        <w:rPr>
          <w:rFonts w:ascii="Arial" w:eastAsia="Arial" w:hAnsi="Arial" w:cs="Arial"/>
          <w:b/>
          <w:bCs/>
        </w:rPr>
      </w:pPr>
    </w:p>
    <w:p w14:paraId="0D9333F1" w14:textId="2A806D95" w:rsidR="006F29A5" w:rsidRPr="006F29A5" w:rsidRDefault="006F29A5" w:rsidP="006F29A5">
      <w:pPr>
        <w:jc w:val="both"/>
        <w:rPr>
          <w:rFonts w:ascii="Arial" w:eastAsia="Arial" w:hAnsi="Arial" w:cs="Arial"/>
          <w:b/>
          <w:bCs/>
        </w:rPr>
      </w:pPr>
      <w:r w:rsidRPr="006F29A5">
        <w:rPr>
          <w:rFonts w:ascii="Arial" w:eastAsia="Arial" w:hAnsi="Arial" w:cs="Arial"/>
          <w:b/>
          <w:bCs/>
        </w:rPr>
        <w:t>ALIGNMENT OF CHALLENGES AND STRATEGIES ACROSS TPACK COMPONENTS</w:t>
      </w:r>
    </w:p>
    <w:p w14:paraId="7A752A9B" w14:textId="77777777" w:rsidR="006F29A5" w:rsidRDefault="006F29A5" w:rsidP="00F91FA1">
      <w:pPr>
        <w:jc w:val="both"/>
        <w:rPr>
          <w:rFonts w:ascii="Arial" w:eastAsia="Arial" w:hAnsi="Arial" w:cs="Arial"/>
        </w:rPr>
      </w:pPr>
    </w:p>
    <w:p w14:paraId="64F986FA" w14:textId="2AEEEE00" w:rsidR="006F29A5" w:rsidRPr="00F77EB7" w:rsidRDefault="006F29A5" w:rsidP="006F29A5">
      <w:pPr>
        <w:jc w:val="both"/>
        <w:rPr>
          <w:rFonts w:ascii="Arial" w:eastAsia="Arial" w:hAnsi="Arial" w:cs="Arial"/>
        </w:rPr>
      </w:pPr>
      <w:r w:rsidRPr="00F77EB7">
        <w:rPr>
          <w:rFonts w:ascii="Arial" w:eastAsia="Arial" w:hAnsi="Arial" w:cs="Arial"/>
        </w:rPr>
        <w:t>The summary table on the preceding page illustrates that teachers’ challenges in technology-integrated instruction are multidimensional, contextually embedded, and structurally interconnected, rather than isolated within discrete domains of the TPACK framework. Correspondingly, the strategies adopted by teachers reflect adaptive, practice-oriented enactments of TPACK, wherein technological decisions are subordinated to pedagogical intent and content integrity. This alignment reinforces the view of TPACK not as a static body of knowledge, but as a dynamic, situationally responsive form of professional expertise.</w:t>
      </w:r>
      <w:r>
        <w:rPr>
          <w:rFonts w:ascii="Arial" w:eastAsia="Arial" w:hAnsi="Arial" w:cs="Arial"/>
        </w:rPr>
        <w:t xml:space="preserve"> </w:t>
      </w:r>
      <w:r w:rsidRPr="00F77EB7">
        <w:rPr>
          <w:rFonts w:ascii="Arial" w:eastAsia="Arial" w:hAnsi="Arial" w:cs="Arial"/>
        </w:rPr>
        <w:t xml:space="preserve">Challenges associated with Technological Knowledge are predominantly rooted in system-level constraints, particularly unstable internet connectivity, frequent power interruptions, and limited access to reliable hardware. These challenges constrain teachers’ ability to deploy digital tools consistently, often rendering planned technology-enhanced lessons vulnerable to disruption. Importantly, these constraints are largely exogenous to teacher competence, underscoring that TK in resource-limited contexts extends beyond tool proficiency to include anticipatory planning and technological contingency management. In response, teachers adopt offline-first and backup-oriented strategies, such as downloading instructional videos, storing simulations locally, and preparing printed or board-based alternatives. These practices represent a recontextualized form of TK, where competence is measured not by constant online connectivity but by the ability to maintain instructional continuity despite technological breakdowns. The reliance on a small set of stable, familiar platforms (e.g., Google Classroom, </w:t>
      </w:r>
      <w:proofErr w:type="spellStart"/>
      <w:r w:rsidRPr="00F77EB7">
        <w:rPr>
          <w:rFonts w:ascii="Arial" w:eastAsia="Arial" w:hAnsi="Arial" w:cs="Arial"/>
        </w:rPr>
        <w:t>PhET</w:t>
      </w:r>
      <w:proofErr w:type="spellEnd"/>
      <w:r w:rsidRPr="00F77EB7">
        <w:rPr>
          <w:rFonts w:ascii="Arial" w:eastAsia="Arial" w:hAnsi="Arial" w:cs="Arial"/>
        </w:rPr>
        <w:t xml:space="preserve"> simulations) further reflects a strategic narrowing of the technological repertoire to maximize reliability and usability.</w:t>
      </w:r>
    </w:p>
    <w:p w14:paraId="23F4CB75" w14:textId="240BA48A" w:rsidR="006F29A5" w:rsidRPr="006F29A5" w:rsidRDefault="006F29A5" w:rsidP="006F29A5">
      <w:pPr>
        <w:jc w:val="both"/>
        <w:rPr>
          <w:rFonts w:ascii="Arial" w:eastAsia="Arial" w:hAnsi="Arial" w:cs="Arial"/>
        </w:rPr>
      </w:pPr>
      <w:r w:rsidRPr="00F77EB7">
        <w:rPr>
          <w:rFonts w:ascii="Arial" w:eastAsia="Arial" w:hAnsi="Arial" w:cs="Arial"/>
        </w:rPr>
        <w:t xml:space="preserve">Within the CK domain, challenges emerge not from deficiencies in subject matter knowledge per se, but from the risk of conceptual dilution when digital tools prioritize visual appeal over scientific reasoning. Teachers observe that students may engage superficially with animations and simulations, focusing on observable features while neglecting underlying principles and causal mechanisms. To counter this, teachers deliberately employ </w:t>
      </w:r>
      <w:r w:rsidRPr="00F77EB7">
        <w:rPr>
          <w:rFonts w:ascii="Arial" w:eastAsia="Arial" w:hAnsi="Arial" w:cs="Arial"/>
        </w:rPr>
        <w:lastRenderedPageBreak/>
        <w:t>contextualized and localized content strategies, replacing abstract or foreign examples with phenomena drawn from learners’ immediate environment. This approach reinforces CK by anchoring scientific concepts in familiar, meaningful contexts, thereby supporting deeper cognitive processing. The strategy underscores an important insight: effective technology integration does not automatically enhance content understanding; rather, CK must be actively safeguarded and reasserted through deliberate instructional choices.</w:t>
      </w:r>
    </w:p>
    <w:p w14:paraId="012E0938" w14:textId="77777777" w:rsidR="006F29A5" w:rsidRPr="00F77EB7" w:rsidRDefault="006F29A5" w:rsidP="006F29A5">
      <w:pPr>
        <w:jc w:val="both"/>
        <w:rPr>
          <w:rFonts w:ascii="Arial" w:eastAsia="Arial" w:hAnsi="Arial" w:cs="Arial"/>
          <w:b/>
          <w:bCs/>
        </w:rPr>
      </w:pPr>
    </w:p>
    <w:p w14:paraId="5E246848" w14:textId="7D1B2BEB" w:rsidR="006F29A5" w:rsidRPr="00F77EB7" w:rsidRDefault="006F29A5" w:rsidP="006F29A5">
      <w:pPr>
        <w:jc w:val="both"/>
        <w:rPr>
          <w:rFonts w:ascii="Arial" w:eastAsia="Arial" w:hAnsi="Arial" w:cs="Arial"/>
        </w:rPr>
      </w:pPr>
      <w:r w:rsidRPr="00F77EB7">
        <w:rPr>
          <w:rFonts w:ascii="Arial" w:eastAsia="Arial" w:hAnsi="Arial" w:cs="Arial"/>
          <w:b/>
          <w:bCs/>
        </w:rPr>
        <w:t xml:space="preserve">Table </w:t>
      </w:r>
      <w:r>
        <w:rPr>
          <w:rFonts w:ascii="Arial" w:eastAsia="Arial" w:hAnsi="Arial" w:cs="Arial"/>
          <w:b/>
          <w:bCs/>
        </w:rPr>
        <w:t>3</w:t>
      </w:r>
      <w:r w:rsidRPr="00F77EB7">
        <w:rPr>
          <w:rFonts w:ascii="Arial" w:eastAsia="Arial" w:hAnsi="Arial" w:cs="Arial"/>
          <w:b/>
          <w:bCs/>
        </w:rPr>
        <w:t xml:space="preserve">. </w:t>
      </w:r>
      <w:r w:rsidRPr="00F77EB7">
        <w:rPr>
          <w:rFonts w:ascii="Arial" w:eastAsia="Arial" w:hAnsi="Arial" w:cs="Arial"/>
        </w:rPr>
        <w:t xml:space="preserve">Summary table of the Alignment of Challenges and Strategies </w:t>
      </w:r>
    </w:p>
    <w:p w14:paraId="35C1822D" w14:textId="77777777" w:rsidR="006F29A5" w:rsidRPr="00F77EB7" w:rsidRDefault="006F29A5" w:rsidP="006F29A5">
      <w:pPr>
        <w:jc w:val="both"/>
        <w:rPr>
          <w:rFonts w:ascii="Arial" w:eastAsia="Arial" w:hAnsi="Arial" w:cs="Arial"/>
        </w:rPr>
      </w:pPr>
      <w:r w:rsidRPr="00F77EB7">
        <w:rPr>
          <w:rFonts w:ascii="Arial" w:eastAsia="Arial" w:hAnsi="Arial" w:cs="Arial"/>
        </w:rPr>
        <w:t xml:space="preserve">                Across TPACK Components</w:t>
      </w:r>
    </w:p>
    <w:p w14:paraId="5BABCC7E" w14:textId="77777777" w:rsidR="006F29A5" w:rsidRPr="00F77EB7" w:rsidRDefault="006F29A5" w:rsidP="006F29A5">
      <w:pPr>
        <w:jc w:val="both"/>
        <w:rPr>
          <w:rFonts w:ascii="Arial" w:eastAsia="Arial" w:hAnsi="Arial" w:cs="Arial"/>
          <w:b/>
          <w:bCs/>
        </w:rPr>
      </w:pPr>
    </w:p>
    <w:tbl>
      <w:tblPr>
        <w:tblW w:w="8640" w:type="dxa"/>
        <w:tblLayout w:type="fixed"/>
        <w:tblLook w:val="0400" w:firstRow="0" w:lastRow="0" w:firstColumn="0" w:lastColumn="0" w:noHBand="0" w:noVBand="1"/>
      </w:tblPr>
      <w:tblGrid>
        <w:gridCol w:w="1659"/>
        <w:gridCol w:w="1630"/>
        <w:gridCol w:w="1839"/>
        <w:gridCol w:w="1910"/>
        <w:gridCol w:w="1602"/>
      </w:tblGrid>
      <w:tr w:rsidR="006F29A5" w:rsidRPr="00F77EB7" w14:paraId="23288359" w14:textId="77777777" w:rsidTr="00E20A61">
        <w:trPr>
          <w:tblHeader/>
        </w:trPr>
        <w:tc>
          <w:tcPr>
            <w:tcW w:w="1659" w:type="dxa"/>
            <w:tcBorders>
              <w:top w:val="single" w:sz="4" w:space="0" w:color="000000"/>
              <w:bottom w:val="single" w:sz="4" w:space="0" w:color="000000"/>
            </w:tcBorders>
            <w:vAlign w:val="center"/>
          </w:tcPr>
          <w:p w14:paraId="68D0D6F0"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TPACK Component</w:t>
            </w:r>
          </w:p>
        </w:tc>
        <w:tc>
          <w:tcPr>
            <w:tcW w:w="1630" w:type="dxa"/>
            <w:tcBorders>
              <w:top w:val="single" w:sz="4" w:space="0" w:color="000000"/>
              <w:bottom w:val="single" w:sz="4" w:space="0" w:color="000000"/>
            </w:tcBorders>
            <w:vAlign w:val="center"/>
          </w:tcPr>
          <w:p w14:paraId="2ED294DF"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Key Challenges (Themes and Codes)</w:t>
            </w:r>
          </w:p>
        </w:tc>
        <w:tc>
          <w:tcPr>
            <w:tcW w:w="1839" w:type="dxa"/>
            <w:tcBorders>
              <w:top w:val="single" w:sz="4" w:space="0" w:color="000000"/>
              <w:bottom w:val="single" w:sz="4" w:space="0" w:color="000000"/>
            </w:tcBorders>
            <w:vAlign w:val="center"/>
          </w:tcPr>
          <w:p w14:paraId="5FA60720"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Illustrative Challenges</w:t>
            </w:r>
          </w:p>
        </w:tc>
        <w:tc>
          <w:tcPr>
            <w:tcW w:w="1910" w:type="dxa"/>
            <w:tcBorders>
              <w:top w:val="single" w:sz="4" w:space="0" w:color="000000"/>
              <w:bottom w:val="single" w:sz="4" w:space="0" w:color="000000"/>
            </w:tcBorders>
            <w:vAlign w:val="center"/>
          </w:tcPr>
          <w:p w14:paraId="7F6C47D7"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Strategies Used by Teachers (Themes &amp; Codes)</w:t>
            </w:r>
          </w:p>
        </w:tc>
        <w:tc>
          <w:tcPr>
            <w:tcW w:w="1602" w:type="dxa"/>
            <w:tcBorders>
              <w:top w:val="single" w:sz="4" w:space="0" w:color="000000"/>
              <w:bottom w:val="single" w:sz="4" w:space="0" w:color="000000"/>
            </w:tcBorders>
            <w:vAlign w:val="center"/>
          </w:tcPr>
          <w:p w14:paraId="780CEE8D" w14:textId="77777777" w:rsidR="006F29A5" w:rsidRPr="00F77EB7" w:rsidRDefault="006F29A5" w:rsidP="006F29A5">
            <w:pPr>
              <w:jc w:val="center"/>
              <w:rPr>
                <w:rFonts w:ascii="Arial" w:eastAsia="Arial" w:hAnsi="Arial" w:cs="Arial"/>
                <w:b/>
                <w:bCs/>
              </w:rPr>
            </w:pPr>
            <w:r w:rsidRPr="00F77EB7">
              <w:rPr>
                <w:rFonts w:ascii="Arial" w:eastAsia="Arial" w:hAnsi="Arial" w:cs="Arial"/>
                <w:b/>
                <w:bCs/>
              </w:rPr>
              <w:t>Illustrative Strategies</w:t>
            </w:r>
          </w:p>
        </w:tc>
      </w:tr>
      <w:tr w:rsidR="006F29A5" w:rsidRPr="00F77EB7" w14:paraId="552AF51C" w14:textId="77777777" w:rsidTr="00E20A61">
        <w:tc>
          <w:tcPr>
            <w:tcW w:w="1659" w:type="dxa"/>
            <w:vAlign w:val="center"/>
          </w:tcPr>
          <w:p w14:paraId="6443A500"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TK (Technological Knowledge)</w:t>
            </w:r>
          </w:p>
        </w:tc>
        <w:tc>
          <w:tcPr>
            <w:tcW w:w="1630" w:type="dxa"/>
            <w:vAlign w:val="center"/>
          </w:tcPr>
          <w:p w14:paraId="121DEFA2"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Infrastructure and Connectivity Limitations (Unstable Internet, Power Interruption, Technical Failure)</w:t>
            </w:r>
          </w:p>
          <w:p w14:paraId="217ECC48" w14:textId="77777777" w:rsidR="006F29A5" w:rsidRPr="00F77EB7" w:rsidRDefault="006F29A5" w:rsidP="006F29A5">
            <w:pPr>
              <w:rPr>
                <w:rFonts w:ascii="Arial" w:eastAsia="Arial" w:hAnsi="Arial" w:cs="Arial"/>
                <w:sz w:val="18"/>
                <w:szCs w:val="18"/>
              </w:rPr>
            </w:pPr>
          </w:p>
        </w:tc>
        <w:tc>
          <w:tcPr>
            <w:tcW w:w="1839" w:type="dxa"/>
            <w:vAlign w:val="center"/>
          </w:tcPr>
          <w:p w14:paraId="186FA300"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Weak or unreliable internet and power interruptions limit consistent technology use; teachers report insufficient depth and contextualization in formal ICT trainings</w:t>
            </w:r>
          </w:p>
        </w:tc>
        <w:tc>
          <w:tcPr>
            <w:tcW w:w="1910" w:type="dxa"/>
            <w:vAlign w:val="center"/>
          </w:tcPr>
          <w:p w14:paraId="0DCCFD5C"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Offline and Backup Preparations (Offline Files, Printed Materials); Use of Core Tools (Consistent Platforms, Familiar Tools)</w:t>
            </w:r>
          </w:p>
        </w:tc>
        <w:tc>
          <w:tcPr>
            <w:tcW w:w="1602" w:type="dxa"/>
            <w:vAlign w:val="center"/>
          </w:tcPr>
          <w:p w14:paraId="0C207B68"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 xml:space="preserve">Teachers download videos and simulations, prepare printed alternatives, and rely on stable platforms such as Google Classroom, YouTube, and </w:t>
            </w:r>
            <w:proofErr w:type="spellStart"/>
            <w:r w:rsidRPr="00F77EB7">
              <w:rPr>
                <w:rFonts w:ascii="Arial" w:eastAsia="Arial" w:hAnsi="Arial" w:cs="Arial"/>
                <w:sz w:val="18"/>
                <w:szCs w:val="18"/>
              </w:rPr>
              <w:t>PhET</w:t>
            </w:r>
            <w:proofErr w:type="spellEnd"/>
          </w:p>
        </w:tc>
      </w:tr>
      <w:tr w:rsidR="006F29A5" w:rsidRPr="00F77EB7" w14:paraId="4AE9B068" w14:textId="77777777" w:rsidTr="00E20A61">
        <w:tc>
          <w:tcPr>
            <w:tcW w:w="1659" w:type="dxa"/>
            <w:vAlign w:val="center"/>
          </w:tcPr>
          <w:p w14:paraId="6C0A1314"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CK (Content Knowledge)</w:t>
            </w:r>
          </w:p>
        </w:tc>
        <w:tc>
          <w:tcPr>
            <w:tcW w:w="1630" w:type="dxa"/>
            <w:vAlign w:val="center"/>
          </w:tcPr>
          <w:p w14:paraId="598AD34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Insufficient Training and Support for lesson content</w:t>
            </w:r>
          </w:p>
        </w:tc>
        <w:tc>
          <w:tcPr>
            <w:tcW w:w="1839" w:type="dxa"/>
            <w:vAlign w:val="center"/>
          </w:tcPr>
          <w:p w14:paraId="3DD87C73"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Seminars are too generic and poor discussion of content or lessons</w:t>
            </w:r>
          </w:p>
        </w:tc>
        <w:tc>
          <w:tcPr>
            <w:tcW w:w="1910" w:type="dxa"/>
            <w:vAlign w:val="center"/>
          </w:tcPr>
          <w:p w14:paraId="352B14F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Use of Contextualized Examples (Localized Content, Concept Anchoring)</w:t>
            </w:r>
          </w:p>
        </w:tc>
        <w:tc>
          <w:tcPr>
            <w:tcW w:w="1602" w:type="dxa"/>
            <w:vAlign w:val="center"/>
          </w:tcPr>
          <w:p w14:paraId="50CFB1E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replace abstract or foreign examples with locally relevant phenomena to deepen conceptual understanding</w:t>
            </w:r>
          </w:p>
        </w:tc>
      </w:tr>
      <w:tr w:rsidR="006F29A5" w:rsidRPr="00F77EB7" w14:paraId="3D966143" w14:textId="77777777" w:rsidTr="00E20A61">
        <w:tc>
          <w:tcPr>
            <w:tcW w:w="1659" w:type="dxa"/>
            <w:vAlign w:val="center"/>
          </w:tcPr>
          <w:p w14:paraId="0221616C"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PK (Pedagogical Knowledge)</w:t>
            </w:r>
          </w:p>
        </w:tc>
        <w:tc>
          <w:tcPr>
            <w:tcW w:w="1630" w:type="dxa"/>
            <w:vAlign w:val="center"/>
          </w:tcPr>
          <w:p w14:paraId="55A3255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Classroom Management Issues (Off-Task Behavior, Loss of Focus)</w:t>
            </w:r>
          </w:p>
        </w:tc>
        <w:tc>
          <w:tcPr>
            <w:tcW w:w="1839" w:type="dxa"/>
            <w:vAlign w:val="center"/>
          </w:tcPr>
          <w:p w14:paraId="6EDBF117"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Classroom management challenges</w:t>
            </w:r>
          </w:p>
        </w:tc>
        <w:tc>
          <w:tcPr>
            <w:tcW w:w="1910" w:type="dxa"/>
            <w:vAlign w:val="center"/>
          </w:tcPr>
          <w:p w14:paraId="06BCED9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Scaffolding and Guided Integration (Step-by-Step Guidance, Gradual Tool Use)</w:t>
            </w:r>
          </w:p>
        </w:tc>
        <w:tc>
          <w:tcPr>
            <w:tcW w:w="1602" w:type="dxa"/>
            <w:vAlign w:val="center"/>
          </w:tcPr>
          <w:p w14:paraId="18F301B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scaffold tasks, provide clear instructions, and gradually introduce tools to maintain learner focus</w:t>
            </w:r>
          </w:p>
        </w:tc>
      </w:tr>
      <w:tr w:rsidR="006F29A5" w:rsidRPr="00F77EB7" w14:paraId="403762CE" w14:textId="77777777" w:rsidTr="00E20A61">
        <w:tc>
          <w:tcPr>
            <w:tcW w:w="1659" w:type="dxa"/>
            <w:vAlign w:val="center"/>
          </w:tcPr>
          <w:p w14:paraId="4D1E2A9F"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PCK (Pedagogical Content Knowledge)</w:t>
            </w:r>
          </w:p>
        </w:tc>
        <w:tc>
          <w:tcPr>
            <w:tcW w:w="1630" w:type="dxa"/>
            <w:vAlign w:val="center"/>
          </w:tcPr>
          <w:p w14:paraId="1955E317"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Classroom management (Student’s reliance on visual rather than complex concept)</w:t>
            </w:r>
          </w:p>
        </w:tc>
        <w:tc>
          <w:tcPr>
            <w:tcW w:w="1839" w:type="dxa"/>
            <w:vAlign w:val="center"/>
          </w:tcPr>
          <w:p w14:paraId="0EF5AE38"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Difficulty balancing engaging digital tools with accurate science explanation</w:t>
            </w:r>
          </w:p>
        </w:tc>
        <w:tc>
          <w:tcPr>
            <w:tcW w:w="1910" w:type="dxa"/>
            <w:vAlign w:val="center"/>
          </w:tcPr>
          <w:p w14:paraId="02294B0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Blended and Flexible Teaching Approaches (Lesson Adaptation, Low-Tech Equivalents)</w:t>
            </w:r>
          </w:p>
        </w:tc>
        <w:tc>
          <w:tcPr>
            <w:tcW w:w="1602" w:type="dxa"/>
            <w:vAlign w:val="center"/>
          </w:tcPr>
          <w:p w14:paraId="0530E7C0"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design lessons where digital simulations are paired with discussions, analogies, and board work</w:t>
            </w:r>
          </w:p>
        </w:tc>
      </w:tr>
      <w:tr w:rsidR="006F29A5" w:rsidRPr="00F77EB7" w14:paraId="215BD221" w14:textId="77777777" w:rsidTr="00E20A61">
        <w:tc>
          <w:tcPr>
            <w:tcW w:w="1659" w:type="dxa"/>
            <w:vAlign w:val="center"/>
          </w:tcPr>
          <w:p w14:paraId="27D65032"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TCK (Technological Content Knowledge)</w:t>
            </w:r>
          </w:p>
        </w:tc>
        <w:tc>
          <w:tcPr>
            <w:tcW w:w="1630" w:type="dxa"/>
            <w:vAlign w:val="center"/>
          </w:tcPr>
          <w:p w14:paraId="63CF50C6" w14:textId="77777777" w:rsidR="006F29A5" w:rsidRPr="00F77EB7" w:rsidRDefault="006F29A5" w:rsidP="006F29A5">
            <w:pPr>
              <w:rPr>
                <w:rFonts w:ascii="Arial" w:eastAsia="Arial" w:hAnsi="Arial" w:cs="Arial"/>
                <w:sz w:val="18"/>
                <w:szCs w:val="18"/>
              </w:rPr>
            </w:pPr>
            <w:r>
              <w:rPr>
                <w:rFonts w:ascii="Arial" w:eastAsia="Arial" w:hAnsi="Arial" w:cs="Arial"/>
                <w:sz w:val="18"/>
                <w:szCs w:val="18"/>
              </w:rPr>
              <w:t>La</w:t>
            </w:r>
            <w:r w:rsidRPr="007B5A68">
              <w:rPr>
                <w:rFonts w:ascii="Arial" w:eastAsia="Arial" w:hAnsi="Arial" w:cs="Arial"/>
                <w:sz w:val="18"/>
                <w:szCs w:val="18"/>
              </w:rPr>
              <w:t>cked mentoring support for effective technology integration in content</w:t>
            </w:r>
          </w:p>
        </w:tc>
        <w:tc>
          <w:tcPr>
            <w:tcW w:w="1839" w:type="dxa"/>
            <w:vAlign w:val="center"/>
          </w:tcPr>
          <w:p w14:paraId="235AA821"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Not all students can access subject-specific applications or simulations</w:t>
            </w:r>
          </w:p>
        </w:tc>
        <w:tc>
          <w:tcPr>
            <w:tcW w:w="1910" w:type="dxa"/>
            <w:vAlign w:val="center"/>
          </w:tcPr>
          <w:p w14:paraId="67F0B88D"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Blended and Flexible Teaching Approaches; Core Tool Selection</w:t>
            </w:r>
          </w:p>
        </w:tc>
        <w:tc>
          <w:tcPr>
            <w:tcW w:w="1602" w:type="dxa"/>
            <w:vAlign w:val="center"/>
          </w:tcPr>
          <w:p w14:paraId="18E4ECC4"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 xml:space="preserve">Teachers choose lightweight, content-appropriate tools (e.g., </w:t>
            </w:r>
            <w:proofErr w:type="spellStart"/>
            <w:r w:rsidRPr="00F77EB7">
              <w:rPr>
                <w:rFonts w:ascii="Arial" w:eastAsia="Arial" w:hAnsi="Arial" w:cs="Arial"/>
                <w:sz w:val="18"/>
                <w:szCs w:val="18"/>
              </w:rPr>
              <w:t>PhET</w:t>
            </w:r>
            <w:proofErr w:type="spellEnd"/>
            <w:r w:rsidRPr="00F77EB7">
              <w:rPr>
                <w:rFonts w:ascii="Arial" w:eastAsia="Arial" w:hAnsi="Arial" w:cs="Arial"/>
                <w:sz w:val="18"/>
                <w:szCs w:val="18"/>
              </w:rPr>
              <w:t>) and provide non-digital content equivalents</w:t>
            </w:r>
          </w:p>
        </w:tc>
      </w:tr>
      <w:tr w:rsidR="006F29A5" w:rsidRPr="00F77EB7" w14:paraId="2BD81E58" w14:textId="77777777" w:rsidTr="00E20A61">
        <w:tc>
          <w:tcPr>
            <w:tcW w:w="1659" w:type="dxa"/>
            <w:vAlign w:val="center"/>
          </w:tcPr>
          <w:p w14:paraId="5A98F4EF"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lastRenderedPageBreak/>
              <w:t>TPK (Technological Pedagogical Knowledge)</w:t>
            </w:r>
          </w:p>
        </w:tc>
        <w:tc>
          <w:tcPr>
            <w:tcW w:w="1630" w:type="dxa"/>
            <w:vAlign w:val="center"/>
          </w:tcPr>
          <w:p w14:paraId="38F95076"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 Workload and Low Technical Confidence (Time Pressure, Overload)</w:t>
            </w:r>
          </w:p>
        </w:tc>
        <w:tc>
          <w:tcPr>
            <w:tcW w:w="1839" w:type="dxa"/>
            <w:vAlign w:val="center"/>
          </w:tcPr>
          <w:p w14:paraId="4F909E53"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Preparing tech-enhanced lessons requires more time and increases anxiety</w:t>
            </w:r>
          </w:p>
        </w:tc>
        <w:tc>
          <w:tcPr>
            <w:tcW w:w="1910" w:type="dxa"/>
            <w:vAlign w:val="center"/>
          </w:tcPr>
          <w:p w14:paraId="7A16BFB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Collaborative and Peer Support Systems (Peer Mentoring, Resource Sharing)</w:t>
            </w:r>
          </w:p>
        </w:tc>
        <w:tc>
          <w:tcPr>
            <w:tcW w:w="1602" w:type="dxa"/>
            <w:vAlign w:val="center"/>
          </w:tcPr>
          <w:p w14:paraId="55C619C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engage in Learning Action Cells, peer mentoring, and team planning to share workload and expertise</w:t>
            </w:r>
          </w:p>
        </w:tc>
      </w:tr>
      <w:tr w:rsidR="006F29A5" w:rsidRPr="00F77EB7" w14:paraId="485044B6" w14:textId="77777777" w:rsidTr="00E20A61">
        <w:tblPrEx>
          <w:tblLook w:val="04A0" w:firstRow="1" w:lastRow="0" w:firstColumn="1" w:lastColumn="0" w:noHBand="0" w:noVBand="1"/>
        </w:tblPrEx>
        <w:tc>
          <w:tcPr>
            <w:tcW w:w="1659" w:type="dxa"/>
            <w:tcBorders>
              <w:bottom w:val="single" w:sz="8" w:space="0" w:color="auto"/>
            </w:tcBorders>
          </w:tcPr>
          <w:p w14:paraId="1D10E625" w14:textId="77777777" w:rsidR="006F29A5" w:rsidRPr="00F77EB7" w:rsidRDefault="006F29A5" w:rsidP="006F29A5">
            <w:pPr>
              <w:rPr>
                <w:rFonts w:ascii="Arial" w:eastAsia="Arial" w:hAnsi="Arial" w:cs="Arial"/>
                <w:sz w:val="18"/>
                <w:szCs w:val="18"/>
              </w:rPr>
            </w:pPr>
            <w:r w:rsidRPr="00F77EB7">
              <w:rPr>
                <w:rFonts w:ascii="Arial" w:eastAsia="Arial" w:hAnsi="Arial" w:cs="Arial"/>
                <w:b/>
                <w:bCs/>
                <w:sz w:val="18"/>
                <w:szCs w:val="18"/>
              </w:rPr>
              <w:t>TPACK (Integrated Knowledge)</w:t>
            </w:r>
          </w:p>
        </w:tc>
        <w:tc>
          <w:tcPr>
            <w:tcW w:w="1630" w:type="dxa"/>
            <w:tcBorders>
              <w:bottom w:val="single" w:sz="8" w:space="0" w:color="auto"/>
            </w:tcBorders>
          </w:tcPr>
          <w:p w14:paraId="2C59DA8E"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Combined Constraints Across Technology, Pedagogy, and Content</w:t>
            </w:r>
          </w:p>
        </w:tc>
        <w:tc>
          <w:tcPr>
            <w:tcW w:w="1839" w:type="dxa"/>
            <w:tcBorders>
              <w:bottom w:val="single" w:sz="8" w:space="0" w:color="auto"/>
            </w:tcBorders>
          </w:tcPr>
          <w:p w14:paraId="0E224D82"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Simultaneous issues of access, confidence, pedagogy, and conceptual depth</w:t>
            </w:r>
          </w:p>
        </w:tc>
        <w:tc>
          <w:tcPr>
            <w:tcW w:w="1910" w:type="dxa"/>
            <w:tcBorders>
              <w:bottom w:val="single" w:sz="8" w:space="0" w:color="auto"/>
            </w:tcBorders>
          </w:tcPr>
          <w:p w14:paraId="5504387C"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Blended Learning, Peer Collaboration, Contextualization, and Scaffolding</w:t>
            </w:r>
          </w:p>
        </w:tc>
        <w:tc>
          <w:tcPr>
            <w:tcW w:w="1602" w:type="dxa"/>
            <w:tcBorders>
              <w:bottom w:val="single" w:sz="8" w:space="0" w:color="auto"/>
            </w:tcBorders>
          </w:tcPr>
          <w:p w14:paraId="1DF7D919" w14:textId="77777777" w:rsidR="006F29A5" w:rsidRPr="00F77EB7" w:rsidRDefault="006F29A5" w:rsidP="006F29A5">
            <w:pPr>
              <w:rPr>
                <w:rFonts w:ascii="Arial" w:eastAsia="Arial" w:hAnsi="Arial" w:cs="Arial"/>
                <w:sz w:val="18"/>
                <w:szCs w:val="18"/>
              </w:rPr>
            </w:pPr>
            <w:r w:rsidRPr="00F77EB7">
              <w:rPr>
                <w:rFonts w:ascii="Arial" w:eastAsia="Arial" w:hAnsi="Arial" w:cs="Arial"/>
                <w:sz w:val="18"/>
                <w:szCs w:val="18"/>
              </w:rPr>
              <w:t>Teachers flexibly integrate technology with pedagogy and content, ensuring learning continuity despite contextual constraints</w:t>
            </w:r>
          </w:p>
        </w:tc>
      </w:tr>
    </w:tbl>
    <w:p w14:paraId="31EE974F" w14:textId="25426E7F" w:rsidR="006F29A5" w:rsidRPr="00F77EB7" w:rsidRDefault="006F29A5" w:rsidP="006F29A5">
      <w:pPr>
        <w:spacing w:before="280" w:after="280"/>
        <w:ind w:firstLine="720"/>
        <w:jc w:val="both"/>
        <w:rPr>
          <w:rFonts w:ascii="Arial" w:eastAsia="Arial" w:hAnsi="Arial" w:cs="Arial"/>
        </w:rPr>
      </w:pPr>
      <w:r w:rsidRPr="00F77EB7">
        <w:rPr>
          <w:rFonts w:ascii="Arial" w:eastAsia="Arial" w:hAnsi="Arial" w:cs="Arial"/>
        </w:rPr>
        <w:t>Pedagogical challenges are most evident in issues of classroom management and learner attention. The introduction of digital devices creates competing affordances, while technology can enhance engagement, it simultaneously increases the likelihood of off-task behavior and cognitive overload. This tension places heightened demands on teachers’ PK, particularly in structuring learning activities that sustain focus and promote meaningful engagement. Teachers respond through scaffolding and guided integration, implementing step-by-step instructions, gradual tool introduction, and peer-assisted learning structures. These strategies demonstrate sophisticated PK, as teachers shift from assuming technological fluency to explicitly teaching how and when technology should be used for learning purposes. The emphasis on gradualism reflects an understanding of cognitive load theory, wherein instructional design must regulate task complexity to prevent disengagement and confusion.</w:t>
      </w:r>
      <w:r>
        <w:rPr>
          <w:rFonts w:ascii="Arial" w:eastAsia="Arial" w:hAnsi="Arial" w:cs="Arial"/>
        </w:rPr>
        <w:t xml:space="preserve"> </w:t>
      </w:r>
      <w:r w:rsidRPr="00F77EB7">
        <w:rPr>
          <w:rFonts w:ascii="Arial" w:eastAsia="Arial" w:hAnsi="Arial" w:cs="Arial"/>
        </w:rPr>
        <w:t>At the intersection of pedagogy and content, teachers confront the challenge of overemphasizing technological engagement at the expense of conceptual explanation. Digital tools, particularly simulations and multimedia presentations, may captivate learners but fail to ensure accurate conceptual understanding if not pedagogically framed. Teachers address this by employing blended and flexible teaching approaches, integrating digital resources with teacher-led explanations, guided discussions, analogies, and board work. This strategy exemplifies strong PCK, as teachers intentionally align instructional methods with the epistemic demands of the discipline. Technology becomes a supporting representational tool, rather than a substitute for pedagogical mediation, reinforcing the centrality of teacher expertise in sense-making processes.</w:t>
      </w:r>
    </w:p>
    <w:p w14:paraId="292F71B1" w14:textId="77777777" w:rsidR="006F29A5" w:rsidRPr="00F77EB7" w:rsidRDefault="006F29A5" w:rsidP="006F29A5">
      <w:pPr>
        <w:spacing w:before="280" w:after="280"/>
        <w:jc w:val="both"/>
        <w:rPr>
          <w:rFonts w:ascii="Arial" w:eastAsia="Arial" w:hAnsi="Arial" w:cs="Arial"/>
        </w:rPr>
      </w:pPr>
      <w:r w:rsidRPr="00F77EB7">
        <w:rPr>
          <w:rFonts w:ascii="Arial" w:eastAsia="Arial" w:hAnsi="Arial" w:cs="Arial"/>
        </w:rPr>
        <w:t>Challenges in the TCK domain are strongly shaped by resource and device inequality, which constrains students’ access to content-specific digital applications. The uneven distribution of devices limits the feasibility of individualized technology use, particularly for simulations and interactive applications designed for personal engagement. Teachers’ strategies reflect pragmatic TCK, characterized by the selection of content-appropriate tools that are lightweight, shareable, and adaptable to group work. By pairing digital simulations with printed visuals or whole-class demonstrations, teachers ensure that content learning remains accessible regardless of individual device ownership. This adaptive use of technology highlights that TCK in constrained contexts is less about maximizing interactivity and more about optimizing representational accuracy and accessibility.</w:t>
      </w:r>
    </w:p>
    <w:p w14:paraId="1C294B6D" w14:textId="77777777" w:rsidR="006F29A5" w:rsidRPr="00F77EB7" w:rsidRDefault="006F29A5" w:rsidP="006F29A5">
      <w:pPr>
        <w:spacing w:before="280" w:after="280"/>
        <w:jc w:val="both"/>
        <w:rPr>
          <w:rFonts w:ascii="Arial" w:eastAsia="Arial" w:hAnsi="Arial" w:cs="Arial"/>
        </w:rPr>
      </w:pPr>
      <w:r w:rsidRPr="00F77EB7">
        <w:rPr>
          <w:rFonts w:ascii="Arial" w:eastAsia="Arial" w:hAnsi="Arial" w:cs="Arial"/>
        </w:rPr>
        <w:lastRenderedPageBreak/>
        <w:t>The TPK-related challenges center on teacher workload and technical confidence, with educators reporting increased preparation time and anxiety when navigating multiple digital tools. These challenges underscore the affective and temporal dimensions of TPK, which are often underrepresented in conceptual models. Teachers mitigate these challenges through collaborative and peer-support systems, including Learning Action Cells, shared lesson repositories, and informal mentoring. Such practices redistribute cognitive and emotional labor, enabling teachers to develop TPK collectively rather than individually. Collaboration thus functions as a mediating structure that transforms isolated experimentation into shared professional learning.</w:t>
      </w:r>
    </w:p>
    <w:p w14:paraId="773F49F2" w14:textId="77777777" w:rsidR="006F29A5" w:rsidRPr="00F77EB7" w:rsidRDefault="006F29A5" w:rsidP="006F29A5">
      <w:pPr>
        <w:spacing w:before="280" w:after="280"/>
        <w:jc w:val="both"/>
        <w:rPr>
          <w:rFonts w:ascii="Arial" w:eastAsia="Arial" w:hAnsi="Arial" w:cs="Arial"/>
        </w:rPr>
      </w:pPr>
      <w:r w:rsidRPr="00F77EB7">
        <w:rPr>
          <w:rFonts w:ascii="Arial" w:eastAsia="Arial" w:hAnsi="Arial" w:cs="Arial"/>
        </w:rPr>
        <w:t>At the integrated TPACK level, the summary table reveals that teachers’ most effective responses are holistic rather than component-specific. The convergence of blended learning, contextualization, scaffolding, and collaboration demonstrates that meaningful technology integration emerges from the synergistic alignment of technology, pedagogy, and content. Rather than pursuing technologically sophisticated instruction, teachers prioritize instructional coherence and resilience, ensuring that learning objectives remain attainable under varying contextual conditions. This finding supports contemporary critiques of techno-centric integration models and affirms the value of context-sensitive, teacher-driven TPACK enactment.</w:t>
      </w:r>
    </w:p>
    <w:p w14:paraId="39127968" w14:textId="74A1F2C1" w:rsidR="00F91FA1" w:rsidRPr="006F29A5" w:rsidRDefault="006F29A5" w:rsidP="006F29A5">
      <w:pPr>
        <w:spacing w:before="280" w:after="280"/>
        <w:jc w:val="both"/>
        <w:rPr>
          <w:rFonts w:ascii="Arial" w:eastAsia="Arial" w:hAnsi="Arial" w:cs="Arial"/>
        </w:rPr>
      </w:pPr>
      <w:r w:rsidRPr="00F77EB7">
        <w:rPr>
          <w:rFonts w:ascii="Arial" w:eastAsia="Arial" w:hAnsi="Arial" w:cs="Arial"/>
        </w:rPr>
        <w:t>The alignment of challenges and strategies across TPACK components suggests that professional development initiatives should move beyond tool-focused training toward situated, practice-based, and collaborative learning models. Moreover, policy interventions must recognize that infrastructural limitations significantly shape teachers’ technological choices, and that effective integration often involves strategic constraint rather than expansion of technological options.</w:t>
      </w:r>
    </w:p>
    <w:p w14:paraId="2FDA61E2" w14:textId="77777777" w:rsidR="00790ADA" w:rsidRPr="00FB3A86" w:rsidRDefault="00790ADA" w:rsidP="00441B6F">
      <w:pPr>
        <w:pStyle w:val="Body"/>
        <w:spacing w:after="0"/>
        <w:rPr>
          <w:rFonts w:ascii="Arial" w:hAnsi="Arial" w:cs="Arial"/>
        </w:rPr>
      </w:pPr>
    </w:p>
    <w:p w14:paraId="67E9E7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640A60" w14:textId="77777777" w:rsidR="00790ADA" w:rsidRPr="00FB3A86" w:rsidRDefault="00790ADA" w:rsidP="00441B6F">
      <w:pPr>
        <w:pStyle w:val="ConcHead"/>
        <w:spacing w:after="0"/>
        <w:jc w:val="both"/>
        <w:rPr>
          <w:rFonts w:ascii="Arial" w:hAnsi="Arial" w:cs="Arial"/>
        </w:rPr>
      </w:pPr>
    </w:p>
    <w:p w14:paraId="0E048DF5" w14:textId="68DD3A5C" w:rsidR="006F29A5" w:rsidRPr="006F29A5" w:rsidRDefault="006F29A5" w:rsidP="006F29A5">
      <w:pPr>
        <w:pStyle w:val="Body"/>
        <w:rPr>
          <w:rFonts w:ascii="Arial" w:hAnsi="Arial" w:cs="Arial"/>
        </w:rPr>
      </w:pPr>
      <w:r w:rsidRPr="006F29A5">
        <w:rPr>
          <w:rFonts w:ascii="Arial" w:hAnsi="Arial" w:cs="Arial"/>
        </w:rPr>
        <w:t>The study highlights that infrastructure and connectivity limitations are most pronounced in small schools, indicating that these institutions remain at a disadvantage in terms of digital access and technological readiness. This suggests that school plays a substantial role in shaping the extent of digital infrastructure challenges, with some schools experiencing the greatest difficulties. The results imply that larger institutions may benefit from better access to resources, stronger technological support, and more consistent internet connectivity, while smaller schools continue to struggle with insufficient facilities. It can be concluded that teachers in geographically isolated and disadvantaged areas experience more severe infrastructure and connectivity limitations compared to teachers in non-GIDA schools. This highlights the persistent digital divide affecting schools in remote locations, where weak internet signals, inadequate ICT facilities, and lack of support systems hinder effective teaching and learning.</w:t>
      </w:r>
    </w:p>
    <w:p w14:paraId="5FC69E60" w14:textId="7D390E86" w:rsidR="006F29A5" w:rsidRPr="006F29A5" w:rsidRDefault="006F29A5" w:rsidP="006F29A5">
      <w:pPr>
        <w:pStyle w:val="Body"/>
        <w:rPr>
          <w:rFonts w:ascii="Arial" w:hAnsi="Arial" w:cs="Arial"/>
        </w:rPr>
      </w:pPr>
      <w:r>
        <w:rPr>
          <w:rFonts w:ascii="Arial" w:hAnsi="Arial" w:cs="Arial"/>
        </w:rPr>
        <w:t>In addition, it</w:t>
      </w:r>
      <w:r w:rsidRPr="006F29A5">
        <w:rPr>
          <w:rFonts w:ascii="Arial" w:hAnsi="Arial" w:cs="Arial"/>
        </w:rPr>
        <w:t xml:space="preserve"> </w:t>
      </w:r>
      <w:proofErr w:type="gramStart"/>
      <w:r w:rsidRPr="006F29A5">
        <w:rPr>
          <w:rFonts w:ascii="Arial" w:hAnsi="Arial" w:cs="Arial"/>
        </w:rPr>
        <w:t>demonstrate</w:t>
      </w:r>
      <w:proofErr w:type="gramEnd"/>
      <w:r w:rsidRPr="006F29A5">
        <w:rPr>
          <w:rFonts w:ascii="Arial" w:hAnsi="Arial" w:cs="Arial"/>
        </w:rPr>
        <w:t xml:space="preserve"> that science teachers have developed moderate yet pragmatic coping strategies in response to the challenges of technology integration within the TPACK framework. Their reliance on offline and backup preparations highlights resilience and foresight in addressing infrastructural constraints. Collaboration and peer support underscore the collective nature of coping, as teachers pool resources and expertise to mitigate challenges. Although blended and flexible approaches are practiced, they are largely informal and adaptive rather than structured, indicating room for further development of systematic blended learning models.</w:t>
      </w:r>
    </w:p>
    <w:p w14:paraId="7FEEC0AA" w14:textId="61B6A42C" w:rsidR="00B01FCD" w:rsidRDefault="006F29A5" w:rsidP="006F29A5">
      <w:pPr>
        <w:pStyle w:val="Body"/>
        <w:spacing w:after="0"/>
        <w:rPr>
          <w:rFonts w:ascii="Arial" w:hAnsi="Arial" w:cs="Arial"/>
        </w:rPr>
      </w:pPr>
      <w:r w:rsidRPr="006F29A5">
        <w:rPr>
          <w:rFonts w:ascii="Arial" w:hAnsi="Arial" w:cs="Arial"/>
        </w:rPr>
        <w:lastRenderedPageBreak/>
        <w:t>Scaffolding and guided integration remain vital for ensuring student success, especially in bridging technological gaps among learners. The use of core tools and contextualized examples reflects a pedagogical commitment to accessibility, cultural relevance, and alignment with curriculum goals. The lack of significant demographic differences suggests that these strategies are uniformly applied across diverse teacher profiles, pointing to shared realities of technological access, institutional support, and pedagogical expectations in the Philippine education system. While teachers have shown adaptability and resilience, the findings emphasize the need for institutional interventions to formalize and strengthen these strategies through targeted professional development, infrastructure support, and policy alignment.</w:t>
      </w:r>
    </w:p>
    <w:p w14:paraId="05623804" w14:textId="77777777" w:rsidR="00790ADA" w:rsidRPr="00FB3A86" w:rsidRDefault="00790ADA" w:rsidP="00441B6F">
      <w:pPr>
        <w:pStyle w:val="Body"/>
        <w:spacing w:after="0"/>
        <w:rPr>
          <w:rFonts w:ascii="Arial" w:hAnsi="Arial" w:cs="Arial"/>
        </w:rPr>
      </w:pPr>
    </w:p>
    <w:p w14:paraId="1ED7A8D2" w14:textId="77777777" w:rsidR="00860000" w:rsidRDefault="00860000" w:rsidP="00441B6F">
      <w:pPr>
        <w:pStyle w:val="ReferHead"/>
        <w:spacing w:after="0"/>
        <w:jc w:val="both"/>
        <w:rPr>
          <w:rFonts w:ascii="Arial" w:hAnsi="Arial" w:cs="Arial"/>
        </w:rPr>
      </w:pPr>
      <w:bookmarkStart w:id="0" w:name="_GoBack"/>
      <w:bookmarkEnd w:id="0"/>
    </w:p>
    <w:p w14:paraId="14A28918" w14:textId="77777777" w:rsidR="00DE52F6" w:rsidRPr="00DE52F6" w:rsidRDefault="00DE52F6" w:rsidP="00DE52F6">
      <w:pPr>
        <w:spacing w:after="200" w:line="276" w:lineRule="auto"/>
        <w:rPr>
          <w:rFonts w:ascii="Arial" w:eastAsiaTheme="minorEastAsia" w:hAnsi="Arial" w:cs="Arial"/>
          <w:b/>
          <w:bCs/>
          <w:sz w:val="22"/>
          <w:szCs w:val="22"/>
          <w:lang w:val="en-GB" w:eastAsia="en-GB"/>
        </w:rPr>
      </w:pPr>
      <w:r w:rsidRPr="00DE52F6">
        <w:rPr>
          <w:rFonts w:ascii="Arial" w:eastAsiaTheme="minorEastAsia" w:hAnsi="Arial" w:cs="Arial"/>
          <w:b/>
          <w:bCs/>
          <w:sz w:val="22"/>
          <w:szCs w:val="22"/>
          <w:lang w:val="en-GB" w:eastAsia="en-GB"/>
        </w:rPr>
        <w:t>COMPETING INTERESTS DISCLAIMER:</w:t>
      </w:r>
    </w:p>
    <w:p w14:paraId="3A722401" w14:textId="77777777" w:rsidR="00DE52F6" w:rsidRPr="00DE52F6" w:rsidRDefault="00DE52F6" w:rsidP="00DE52F6">
      <w:pPr>
        <w:spacing w:after="200" w:line="276" w:lineRule="auto"/>
        <w:rPr>
          <w:rFonts w:asciiTheme="minorHAnsi" w:eastAsiaTheme="minorEastAsia" w:hAnsiTheme="minorHAnsi" w:cstheme="minorBidi"/>
          <w:sz w:val="22"/>
          <w:szCs w:val="22"/>
          <w:lang w:val="en-GB" w:eastAsia="en-GB"/>
        </w:rPr>
      </w:pPr>
      <w:r w:rsidRPr="00DE52F6">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95EADF9" w14:textId="77777777" w:rsidR="00DE52F6" w:rsidRDefault="00DE52F6" w:rsidP="00441B6F">
      <w:pPr>
        <w:pStyle w:val="ReferHead"/>
        <w:spacing w:after="0"/>
        <w:jc w:val="both"/>
        <w:rPr>
          <w:rFonts w:ascii="Arial" w:hAnsi="Arial" w:cs="Arial"/>
        </w:rPr>
      </w:pPr>
    </w:p>
    <w:p w14:paraId="58073646" w14:textId="77777777" w:rsidR="00DE52F6" w:rsidRDefault="00DE52F6" w:rsidP="00441B6F">
      <w:pPr>
        <w:pStyle w:val="ReferHead"/>
        <w:spacing w:after="0"/>
        <w:jc w:val="both"/>
        <w:rPr>
          <w:rFonts w:ascii="Arial" w:hAnsi="Arial" w:cs="Arial"/>
        </w:rPr>
      </w:pPr>
    </w:p>
    <w:p w14:paraId="743CEDD3" w14:textId="77777777" w:rsidR="00DE52F6" w:rsidRDefault="00DE52F6" w:rsidP="00441B6F">
      <w:pPr>
        <w:pStyle w:val="ReferHead"/>
        <w:spacing w:after="0"/>
        <w:jc w:val="both"/>
        <w:rPr>
          <w:rFonts w:ascii="Arial" w:hAnsi="Arial" w:cs="Arial"/>
        </w:rPr>
      </w:pPr>
    </w:p>
    <w:p w14:paraId="002855A5" w14:textId="77777777" w:rsidR="00DE52F6" w:rsidRDefault="00DE52F6" w:rsidP="00441B6F">
      <w:pPr>
        <w:pStyle w:val="ReferHead"/>
        <w:spacing w:after="0"/>
        <w:jc w:val="both"/>
        <w:rPr>
          <w:rFonts w:ascii="Arial" w:hAnsi="Arial" w:cs="Arial"/>
        </w:rPr>
      </w:pPr>
    </w:p>
    <w:p w14:paraId="6ACFEEF7" w14:textId="4C4BA34B" w:rsidR="003763C1" w:rsidRPr="006F29A5" w:rsidRDefault="00B01FCD" w:rsidP="006F29A5">
      <w:pPr>
        <w:pStyle w:val="ReferHead"/>
        <w:spacing w:after="0"/>
        <w:jc w:val="both"/>
        <w:rPr>
          <w:rFonts w:ascii="Arial" w:hAnsi="Arial" w:cs="Arial"/>
        </w:rPr>
      </w:pPr>
      <w:r w:rsidRPr="00FB3A86">
        <w:rPr>
          <w:rFonts w:ascii="Arial" w:hAnsi="Arial" w:cs="Arial"/>
        </w:rPr>
        <w:t>References</w:t>
      </w:r>
    </w:p>
    <w:p w14:paraId="460F6ADF" w14:textId="77777777" w:rsidR="003763C1" w:rsidRDefault="003763C1" w:rsidP="00441B6F">
      <w:pPr>
        <w:pStyle w:val="Body"/>
        <w:spacing w:after="0"/>
        <w:jc w:val="left"/>
      </w:pPr>
    </w:p>
    <w:p w14:paraId="68203B71" w14:textId="77777777" w:rsidR="00A86B81" w:rsidRPr="00A86B81" w:rsidRDefault="00A86B81" w:rsidP="00A86B81">
      <w:pPr>
        <w:pStyle w:val="Body"/>
        <w:spacing w:after="0"/>
        <w:ind w:left="720" w:hanging="720"/>
      </w:pPr>
      <w:r w:rsidRPr="00A86B81">
        <w:t xml:space="preserve">Corpus Juris. (2016). </w:t>
      </w:r>
      <w:r w:rsidRPr="00A86B81">
        <w:rPr>
          <w:i/>
          <w:iCs/>
        </w:rPr>
        <w:t>Republic Act No. 10912: An Act mandating and strengthening the Continuing Professional Development Program for all regulated professions, creating the Continuing Professional Development Council, and appropriating funds therefor, and for other related purposes.</w:t>
      </w:r>
      <w:r w:rsidRPr="00A86B81">
        <w:t xml:space="preserve"> </w:t>
      </w:r>
      <w:hyperlink r:id="rId8" w:tgtFrame="_new" w:history="1">
        <w:r w:rsidRPr="00A86B81">
          <w:rPr>
            <w:rStyle w:val="Hyperlink"/>
          </w:rPr>
          <w:t>https://thecorpusjuris.com/legislative/republic-acts/ra-no-10912.php</w:t>
        </w:r>
      </w:hyperlink>
    </w:p>
    <w:p w14:paraId="3795526A" w14:textId="77777777" w:rsidR="00A86B81" w:rsidRPr="00A86B81" w:rsidRDefault="00A86B81" w:rsidP="00A86B81">
      <w:pPr>
        <w:pStyle w:val="Body"/>
        <w:spacing w:after="0"/>
        <w:ind w:left="720" w:hanging="720"/>
      </w:pPr>
      <w:r w:rsidRPr="00A86B81">
        <w:t xml:space="preserve">Basilaia, G., &amp; </w:t>
      </w:r>
      <w:proofErr w:type="spellStart"/>
      <w:r w:rsidRPr="00A86B81">
        <w:t>Kvavadze</w:t>
      </w:r>
      <w:proofErr w:type="spellEnd"/>
      <w:r w:rsidRPr="00A86B81">
        <w:t xml:space="preserve">, D. (2020). Transition to online education in schools during a SARS-CoV-2 coronavirus (COVID-19) pandemic in Georgia. </w:t>
      </w:r>
      <w:r w:rsidRPr="00A86B81">
        <w:rPr>
          <w:i/>
          <w:iCs/>
        </w:rPr>
        <w:t>Pedagogical Research, 5</w:t>
      </w:r>
      <w:r w:rsidRPr="00A86B81">
        <w:t xml:space="preserve">(4), 1–9. </w:t>
      </w:r>
      <w:hyperlink r:id="rId9" w:tgtFrame="_new" w:history="1">
        <w:r w:rsidRPr="00A86B81">
          <w:rPr>
            <w:rStyle w:val="Hyperlink"/>
          </w:rPr>
          <w:t>https://doi.org/10.29333/pr/7937</w:t>
        </w:r>
      </w:hyperlink>
    </w:p>
    <w:p w14:paraId="768789B7" w14:textId="77777777" w:rsidR="00A86B81" w:rsidRPr="00A86B81" w:rsidRDefault="00A86B81" w:rsidP="00A86B81">
      <w:pPr>
        <w:pStyle w:val="Body"/>
        <w:spacing w:after="0"/>
        <w:ind w:left="720" w:hanging="720"/>
      </w:pPr>
      <w:r w:rsidRPr="00A86B81">
        <w:t xml:space="preserve">FPJ Web Desk. (2022). Online teaching: Around 30.58% of teachers still not competent with digital tools, finds survey. </w:t>
      </w:r>
      <w:r w:rsidRPr="00A86B81">
        <w:rPr>
          <w:i/>
          <w:iCs/>
        </w:rPr>
        <w:t>Free Press Journal.</w:t>
      </w:r>
      <w:r w:rsidRPr="00A86B81">
        <w:t xml:space="preserve"> </w:t>
      </w:r>
      <w:hyperlink r:id="rId10" w:tgtFrame="_new" w:history="1">
        <w:r w:rsidRPr="00A86B81">
          <w:rPr>
            <w:rStyle w:val="Hyperlink"/>
          </w:rPr>
          <w:t>https://www.freepressjournal.in/education/online-teaching-around-3058-of-teachers-still-not-competent-with-digital-tools-finds-survey</w:t>
        </w:r>
      </w:hyperlink>
    </w:p>
    <w:p w14:paraId="48BB302F" w14:textId="77777777" w:rsidR="00A86B81" w:rsidRPr="00A86B81" w:rsidRDefault="00A86B81" w:rsidP="00A86B81">
      <w:pPr>
        <w:pStyle w:val="Body"/>
        <w:spacing w:after="0"/>
        <w:ind w:left="720" w:hanging="720"/>
      </w:pPr>
      <w:r w:rsidRPr="00A86B81">
        <w:t xml:space="preserve">Garrison, D. R., &amp; Vaughan, N. D. (2018). </w:t>
      </w:r>
      <w:r w:rsidRPr="00A86B81">
        <w:rPr>
          <w:i/>
          <w:iCs/>
        </w:rPr>
        <w:t>Blended learning in higher education: Framework, principles, and guidelines</w:t>
      </w:r>
      <w:r w:rsidRPr="00A86B81">
        <w:t xml:space="preserve"> (2nd ed.). Jossey-Bass.</w:t>
      </w:r>
    </w:p>
    <w:p w14:paraId="50345AE8" w14:textId="77777777" w:rsidR="00A86B81" w:rsidRPr="00A86B81" w:rsidRDefault="00A86B81" w:rsidP="00A86B81">
      <w:pPr>
        <w:pStyle w:val="Body"/>
        <w:spacing w:after="0"/>
        <w:ind w:left="720" w:hanging="720"/>
      </w:pPr>
      <w:r w:rsidRPr="00A86B81">
        <w:t xml:space="preserve">Hew, K. F., Lan, M., Tang, Y., Jia, C., &amp; Lo, C. K. (2019). Where is the “theory” within the field of educational technology research? </w:t>
      </w:r>
      <w:r w:rsidRPr="00A86B81">
        <w:rPr>
          <w:i/>
          <w:iCs/>
        </w:rPr>
        <w:t>British Journal of Educational Technology, 50</w:t>
      </w:r>
      <w:r w:rsidRPr="00A86B81">
        <w:t>, 956–971.</w:t>
      </w:r>
    </w:p>
    <w:p w14:paraId="03905C56" w14:textId="77777777" w:rsidR="00A86B81" w:rsidRPr="00A86B81" w:rsidRDefault="00A86B81" w:rsidP="00A86B81">
      <w:pPr>
        <w:pStyle w:val="Body"/>
        <w:spacing w:after="0"/>
        <w:ind w:left="720" w:hanging="720"/>
      </w:pPr>
      <w:r w:rsidRPr="00A86B81">
        <w:t xml:space="preserve">Hunter, M. A. (2016). </w:t>
      </w:r>
      <w:r w:rsidRPr="00A86B81">
        <w:rPr>
          <w:i/>
          <w:iCs/>
        </w:rPr>
        <w:t>Innovative approaches to faculty development for technology integration: Evaluation of a three-tiered model</w:t>
      </w:r>
      <w:r w:rsidRPr="00A86B81">
        <w:t xml:space="preserve"> (Doctoral dissertation, Fielding Graduate University). </w:t>
      </w:r>
      <w:hyperlink r:id="rId11" w:tgtFrame="_new" w:history="1">
        <w:r w:rsidRPr="00A86B81">
          <w:rPr>
            <w:rStyle w:val="Hyperlink"/>
          </w:rPr>
          <w:t>http://research.fielding.edu/2016/01/innovative-approaches-tofaculty.html</w:t>
        </w:r>
      </w:hyperlink>
    </w:p>
    <w:p w14:paraId="543311DA" w14:textId="77777777" w:rsidR="00A86B81" w:rsidRPr="00A86B81" w:rsidRDefault="00A86B81" w:rsidP="00A86B81">
      <w:pPr>
        <w:pStyle w:val="Body"/>
        <w:spacing w:after="0"/>
        <w:ind w:left="720" w:hanging="720"/>
      </w:pPr>
      <w:r w:rsidRPr="00A86B81">
        <w:t xml:space="preserve">Jin, Y., &amp; Schmidt-Crawford, D. (2022). Preservice teacher cluster memberships in an edtech course: A study of their TPACK development. </w:t>
      </w:r>
      <w:r w:rsidRPr="00A86B81">
        <w:rPr>
          <w:i/>
          <w:iCs/>
        </w:rPr>
        <w:t>Computers and Education Open, 3</w:t>
      </w:r>
      <w:r w:rsidRPr="00A86B81">
        <w:t xml:space="preserve">, 100089. </w:t>
      </w:r>
      <w:hyperlink r:id="rId12" w:tgtFrame="_new" w:history="1">
        <w:r w:rsidRPr="00A86B81">
          <w:rPr>
            <w:rStyle w:val="Hyperlink"/>
          </w:rPr>
          <w:t>https://doi.org/10.1016/j.caeo.2022.100089</w:t>
        </w:r>
      </w:hyperlink>
    </w:p>
    <w:p w14:paraId="4640C464" w14:textId="77777777" w:rsidR="00A86B81" w:rsidRPr="00A86B81" w:rsidRDefault="00A86B81" w:rsidP="00A86B81">
      <w:pPr>
        <w:pStyle w:val="Body"/>
        <w:spacing w:after="0"/>
        <w:ind w:left="720" w:hanging="720"/>
      </w:pPr>
      <w:r w:rsidRPr="00A86B81">
        <w:t xml:space="preserve">Kirschner, P. A., &amp; De Bruyckere, P. (2017). The myths of the digital native and the multitasker. </w:t>
      </w:r>
      <w:r w:rsidRPr="00A86B81">
        <w:rPr>
          <w:i/>
          <w:iCs/>
        </w:rPr>
        <w:t>Teaching and Teacher Education, 67</w:t>
      </w:r>
      <w:r w:rsidRPr="00A86B81">
        <w:t xml:space="preserve">, 135–142. </w:t>
      </w:r>
      <w:hyperlink r:id="rId13" w:tgtFrame="_new" w:history="1">
        <w:r w:rsidRPr="00A86B81">
          <w:rPr>
            <w:rStyle w:val="Hyperlink"/>
          </w:rPr>
          <w:t>https://doi.org/10.1016/j.tate.2017.06.001</w:t>
        </w:r>
      </w:hyperlink>
    </w:p>
    <w:p w14:paraId="3DBB1542" w14:textId="77777777" w:rsidR="00A86B81" w:rsidRPr="00A86B81" w:rsidRDefault="00A86B81" w:rsidP="00A86B81">
      <w:pPr>
        <w:pStyle w:val="Body"/>
        <w:spacing w:after="0"/>
        <w:ind w:left="720" w:hanging="720"/>
      </w:pPr>
      <w:r w:rsidRPr="00A86B81">
        <w:lastRenderedPageBreak/>
        <w:t xml:space="preserve">Koehler, M. J., Mishra, P., &amp; Cain, W. (2013). What is technological pedagogical content knowledge (TPACK)? </w:t>
      </w:r>
      <w:r w:rsidRPr="00A86B81">
        <w:rPr>
          <w:i/>
          <w:iCs/>
        </w:rPr>
        <w:t>Journal of Education, 193</w:t>
      </w:r>
      <w:r w:rsidRPr="00A86B81">
        <w:t xml:space="preserve">(3), 13–19. </w:t>
      </w:r>
      <w:hyperlink r:id="rId14" w:tgtFrame="_new" w:history="1">
        <w:r w:rsidRPr="00A86B81">
          <w:rPr>
            <w:rStyle w:val="Hyperlink"/>
          </w:rPr>
          <w:t>https://doi.org/10.1177/002205741319300303</w:t>
        </w:r>
      </w:hyperlink>
    </w:p>
    <w:p w14:paraId="4D2B5227" w14:textId="77777777" w:rsidR="00A86B81" w:rsidRPr="00A86B81" w:rsidRDefault="00A86B81" w:rsidP="00A86B81">
      <w:pPr>
        <w:pStyle w:val="Body"/>
        <w:spacing w:after="0"/>
        <w:ind w:left="720" w:hanging="720"/>
      </w:pPr>
      <w:r w:rsidRPr="00A86B81">
        <w:t xml:space="preserve">Koehler, M. J., Mishra, P., &amp; Cain, W. (2019). What is technological pedagogical content knowledge (TPACK)? </w:t>
      </w:r>
      <w:r w:rsidRPr="00A86B81">
        <w:rPr>
          <w:i/>
          <w:iCs/>
        </w:rPr>
        <w:t>Journal of Education, 193</w:t>
      </w:r>
      <w:r w:rsidRPr="00A86B81">
        <w:t xml:space="preserve">(3), 13–19. </w:t>
      </w:r>
      <w:hyperlink r:id="rId15" w:tgtFrame="_new" w:history="1">
        <w:r w:rsidRPr="00A86B81">
          <w:rPr>
            <w:rStyle w:val="Hyperlink"/>
          </w:rPr>
          <w:t>https://doi.org/10.1177/002205741319300303</w:t>
        </w:r>
      </w:hyperlink>
    </w:p>
    <w:p w14:paraId="11FB7F75" w14:textId="77777777" w:rsidR="00A86B81" w:rsidRPr="00A86B81" w:rsidRDefault="00A86B81" w:rsidP="00A86B81">
      <w:pPr>
        <w:pStyle w:val="Body"/>
        <w:spacing w:after="0"/>
        <w:ind w:left="720" w:hanging="720"/>
      </w:pPr>
      <w:proofErr w:type="spellStart"/>
      <w:r w:rsidRPr="00A86B81">
        <w:t>Magsambol</w:t>
      </w:r>
      <w:proofErr w:type="spellEnd"/>
      <w:r w:rsidRPr="00A86B81">
        <w:t xml:space="preserve">, B. (2024). 6 in 10 high school teachers handling subjects they did not major in – EDCOM 2. </w:t>
      </w:r>
      <w:r w:rsidRPr="00A86B81">
        <w:rPr>
          <w:i/>
          <w:iCs/>
        </w:rPr>
        <w:t>Rappler.</w:t>
      </w:r>
      <w:r w:rsidRPr="00A86B81">
        <w:t xml:space="preserve"> </w:t>
      </w:r>
      <w:hyperlink r:id="rId16" w:tgtFrame="_new" w:history="1">
        <w:r w:rsidRPr="00A86B81">
          <w:rPr>
            <w:rStyle w:val="Hyperlink"/>
          </w:rPr>
          <w:t>https://www.rappler.com/philippines/mismatch-high-school-teachers-subjects-edcom-2-report/</w:t>
        </w:r>
      </w:hyperlink>
    </w:p>
    <w:p w14:paraId="78556472" w14:textId="77777777" w:rsidR="00A86B81" w:rsidRPr="00A86B81" w:rsidRDefault="00A86B81" w:rsidP="00A86B81">
      <w:pPr>
        <w:pStyle w:val="Body"/>
        <w:spacing w:after="0"/>
        <w:ind w:left="720" w:hanging="720"/>
      </w:pPr>
      <w:r w:rsidRPr="00A86B81">
        <w:t xml:space="preserve">Mishra, P., &amp; Koehler, M. J. (2006). Technological pedagogical content knowledge: A framework for teacher knowledge. </w:t>
      </w:r>
      <w:r w:rsidRPr="00A86B81">
        <w:rPr>
          <w:i/>
          <w:iCs/>
        </w:rPr>
        <w:t>Teachers College Record, 108</w:t>
      </w:r>
      <w:r w:rsidRPr="00A86B81">
        <w:t xml:space="preserve">(6), 1017–1054. </w:t>
      </w:r>
      <w:hyperlink r:id="rId17" w:tgtFrame="_new" w:history="1">
        <w:r w:rsidRPr="00A86B81">
          <w:rPr>
            <w:rStyle w:val="Hyperlink"/>
          </w:rPr>
          <w:t>https://doi.org/10.1111/j.1467-9620.2006.00684.x</w:t>
        </w:r>
      </w:hyperlink>
    </w:p>
    <w:p w14:paraId="7EFB6B69" w14:textId="77777777" w:rsidR="00A86B81" w:rsidRPr="00A86B81" w:rsidRDefault="00A86B81" w:rsidP="00A86B81">
      <w:pPr>
        <w:pStyle w:val="Body"/>
        <w:spacing w:after="0"/>
        <w:ind w:left="720" w:hanging="720"/>
      </w:pPr>
      <w:r w:rsidRPr="00A86B81">
        <w:t xml:space="preserve">Shambare, B., &amp; </w:t>
      </w:r>
      <w:proofErr w:type="spellStart"/>
      <w:r w:rsidRPr="00A86B81">
        <w:t>Jita</w:t>
      </w:r>
      <w:proofErr w:type="spellEnd"/>
      <w:r w:rsidRPr="00A86B81">
        <w:t xml:space="preserve">, T. (2024). TPACK: A descriptive study of science teachers’ integration of the virtual laboratory in rural school teaching. </w:t>
      </w:r>
      <w:r w:rsidRPr="00A86B81">
        <w:rPr>
          <w:i/>
          <w:iCs/>
        </w:rPr>
        <w:t>Cogent Education, 11</w:t>
      </w:r>
      <w:r w:rsidRPr="00A86B81">
        <w:t xml:space="preserve">(1). </w:t>
      </w:r>
      <w:hyperlink r:id="rId18" w:tgtFrame="_new" w:history="1">
        <w:r w:rsidRPr="00A86B81">
          <w:rPr>
            <w:rStyle w:val="Hyperlink"/>
          </w:rPr>
          <w:t>https://doi.org/10.1080/2331186X.2024.2365110</w:t>
        </w:r>
      </w:hyperlink>
    </w:p>
    <w:p w14:paraId="0E54A10B" w14:textId="77777777" w:rsidR="00A86B81" w:rsidRPr="00A86B81" w:rsidRDefault="00A86B81" w:rsidP="00A86B81">
      <w:pPr>
        <w:pStyle w:val="Body"/>
        <w:spacing w:after="0"/>
        <w:ind w:left="720" w:hanging="720"/>
      </w:pPr>
      <w:r w:rsidRPr="00A86B81">
        <w:t xml:space="preserve">Shulman, L. S. (2015). PCK: Its genesis and exodus. In A. Berry, P. Friedrichs, &amp; J. Loughran (Eds.), </w:t>
      </w:r>
      <w:r w:rsidRPr="00A86B81">
        <w:rPr>
          <w:i/>
          <w:iCs/>
        </w:rPr>
        <w:t>Re-examining pedagogical content knowledge in science education</w:t>
      </w:r>
      <w:r w:rsidRPr="00A86B81">
        <w:t xml:space="preserve"> (pp. 13–23). Routledge. </w:t>
      </w:r>
      <w:hyperlink r:id="rId19" w:tgtFrame="_new" w:history="1">
        <w:r w:rsidRPr="00A86B81">
          <w:rPr>
            <w:rStyle w:val="Hyperlink"/>
          </w:rPr>
          <w:t>https://doi.org/10.4324/9781315735665</w:t>
        </w:r>
      </w:hyperlink>
    </w:p>
    <w:p w14:paraId="5FB2ED40" w14:textId="77777777" w:rsidR="00A86B81" w:rsidRPr="00A86B81" w:rsidRDefault="00A86B81" w:rsidP="00A86B81">
      <w:pPr>
        <w:pStyle w:val="Body"/>
        <w:spacing w:after="0"/>
        <w:ind w:left="720" w:hanging="720"/>
      </w:pPr>
      <w:r w:rsidRPr="00A86B81">
        <w:t xml:space="preserve">Trust, T., &amp; Whalen, J. (2020). Should teachers be trained in emergency remote teaching? Lessons learned from the COVID-19 pandemic. </w:t>
      </w:r>
      <w:r w:rsidRPr="00A86B81">
        <w:rPr>
          <w:i/>
          <w:iCs/>
        </w:rPr>
        <w:t>Journal of Technology and Teacher Education, 28</w:t>
      </w:r>
      <w:r w:rsidRPr="00A86B81">
        <w:t xml:space="preserve">(2), 189–199. </w:t>
      </w:r>
      <w:hyperlink r:id="rId20" w:tgtFrame="_new" w:history="1">
        <w:r w:rsidRPr="00A86B81">
          <w:rPr>
            <w:rStyle w:val="Hyperlink"/>
          </w:rPr>
          <w:t>https://www.learntechlib.org/primary/p/215995/</w:t>
        </w:r>
      </w:hyperlink>
    </w:p>
    <w:p w14:paraId="6E448A50" w14:textId="77777777" w:rsidR="00A86B81" w:rsidRPr="00A86B81" w:rsidRDefault="00A86B81" w:rsidP="00A86B81">
      <w:pPr>
        <w:pStyle w:val="Body"/>
        <w:spacing w:after="0"/>
        <w:ind w:left="720" w:hanging="720"/>
      </w:pPr>
      <w:r w:rsidRPr="00A86B81">
        <w:t xml:space="preserve">UNESCO. (2023). </w:t>
      </w:r>
      <w:r w:rsidRPr="00A86B81">
        <w:rPr>
          <w:i/>
          <w:iCs/>
        </w:rPr>
        <w:t>Technology in education: A tool on whose terms? Global Education Monitoring Report 2023.</w:t>
      </w:r>
      <w:r w:rsidRPr="00A86B81">
        <w:t xml:space="preserve"> </w:t>
      </w:r>
      <w:hyperlink r:id="rId21" w:tgtFrame="_new" w:history="1">
        <w:r w:rsidRPr="00A86B81">
          <w:rPr>
            <w:rStyle w:val="Hyperlink"/>
          </w:rPr>
          <w:t>https://gem-report-2023.unesco.org/technology-in-education/</w:t>
        </w:r>
      </w:hyperlink>
    </w:p>
    <w:p w14:paraId="567B05A3" w14:textId="77777777" w:rsidR="00A86B81" w:rsidRPr="00A86B81" w:rsidRDefault="00A86B81" w:rsidP="00A86B81">
      <w:pPr>
        <w:pStyle w:val="Body"/>
        <w:spacing w:after="0"/>
        <w:ind w:left="720" w:hanging="720"/>
      </w:pPr>
      <w:r w:rsidRPr="00A86B81">
        <w:t xml:space="preserve">Valtonen, T., Hoang, N., Sointu, E., </w:t>
      </w:r>
      <w:proofErr w:type="spellStart"/>
      <w:r w:rsidRPr="00A86B81">
        <w:t>Näykki</w:t>
      </w:r>
      <w:proofErr w:type="spellEnd"/>
      <w:r w:rsidRPr="00A86B81">
        <w:t xml:space="preserve">, P., Virtanen, A., </w:t>
      </w:r>
      <w:proofErr w:type="spellStart"/>
      <w:r w:rsidRPr="00A86B81">
        <w:t>Pöysä-Tarhonen</w:t>
      </w:r>
      <w:proofErr w:type="spellEnd"/>
      <w:r w:rsidRPr="00A86B81">
        <w:t xml:space="preserve">, J., Häkkinen, P., Järvelä, S., Mäkitalo, K., &amp; Kukkonen, J. (2021). How pre-service teachers perceive their 21st-century skills and dispositions: A longitudinal perspective. </w:t>
      </w:r>
      <w:r w:rsidRPr="00A86B81">
        <w:rPr>
          <w:i/>
          <w:iCs/>
        </w:rPr>
        <w:t>Computers in Human Behavior, 116</w:t>
      </w:r>
      <w:r w:rsidRPr="00A86B81">
        <w:t xml:space="preserve">, 106643. </w:t>
      </w:r>
      <w:hyperlink r:id="rId22" w:tgtFrame="_new" w:history="1">
        <w:r w:rsidRPr="00A86B81">
          <w:rPr>
            <w:rStyle w:val="Hyperlink"/>
          </w:rPr>
          <w:t>https://doi.org/10.1016/j.chb.2020.106643</w:t>
        </w:r>
      </w:hyperlink>
    </w:p>
    <w:p w14:paraId="489431AE" w14:textId="77777777" w:rsidR="00A86B81" w:rsidRPr="00A86B81" w:rsidRDefault="00A86B81" w:rsidP="00A86B81">
      <w:pPr>
        <w:pStyle w:val="Body"/>
        <w:spacing w:after="0"/>
        <w:ind w:left="720" w:hanging="720"/>
      </w:pPr>
      <w:r w:rsidRPr="00A86B81">
        <w:t xml:space="preserve">Zou, D., Huang, X., Kohnke, L., et al. (2022). A bibliometric analysis of the trends and research topics of empirical research on TPACK. </w:t>
      </w:r>
      <w:r w:rsidRPr="00A86B81">
        <w:rPr>
          <w:i/>
          <w:iCs/>
        </w:rPr>
        <w:t>Education and Information Technologies, 27</w:t>
      </w:r>
      <w:r w:rsidRPr="00A86B81">
        <w:t xml:space="preserve">, 10585–10609. </w:t>
      </w:r>
      <w:hyperlink r:id="rId23" w:tgtFrame="_new" w:history="1">
        <w:r w:rsidRPr="00A86B81">
          <w:rPr>
            <w:rStyle w:val="Hyperlink"/>
          </w:rPr>
          <w:t>https://doi.org/10.1007/s10639-022-10991-z</w:t>
        </w:r>
      </w:hyperlink>
    </w:p>
    <w:p w14:paraId="5BA481CF" w14:textId="77777777" w:rsidR="00D74CB0" w:rsidRDefault="00D74CB0" w:rsidP="00441B6F">
      <w:pPr>
        <w:pStyle w:val="Body"/>
        <w:spacing w:after="0"/>
      </w:pPr>
    </w:p>
    <w:p w14:paraId="2399E7B7" w14:textId="77777777" w:rsidR="00790ADA" w:rsidRPr="00FB3A86" w:rsidRDefault="00790ADA" w:rsidP="00441B6F">
      <w:pPr>
        <w:pStyle w:val="Body"/>
        <w:spacing w:after="0"/>
        <w:rPr>
          <w:rFonts w:ascii="Arial" w:hAnsi="Arial" w:cs="Arial"/>
        </w:rPr>
      </w:pPr>
    </w:p>
    <w:p w14:paraId="625B1226" w14:textId="2C78966E" w:rsidR="004D4277" w:rsidRPr="00FB3A86" w:rsidRDefault="004D4277" w:rsidP="00441B6F">
      <w:pPr>
        <w:pStyle w:val="Appendix"/>
        <w:spacing w:after="0"/>
        <w:jc w:val="both"/>
        <w:rPr>
          <w:rFonts w:ascii="Arial" w:hAnsi="Arial" w:cs="Arial"/>
          <w:b w:val="0"/>
        </w:rPr>
        <w:sectPr w:rsidR="004D4277" w:rsidRPr="00FB3A86" w:rsidSect="006A64A1">
          <w:headerReference w:type="even" r:id="rId24"/>
          <w:headerReference w:type="default" r:id="rId25"/>
          <w:footerReference w:type="even" r:id="rId26"/>
          <w:footerReference w:type="default" r:id="rId27"/>
          <w:headerReference w:type="first" r:id="rId28"/>
          <w:footerReference w:type="first" r:id="rId29"/>
          <w:type w:val="continuous"/>
          <w:pgSz w:w="12240" w:h="15840"/>
          <w:pgMar w:top="1440" w:right="2016" w:bottom="2016" w:left="2016" w:header="720" w:footer="1123" w:gutter="0"/>
          <w:cols w:space="720"/>
          <w:docGrid w:linePitch="272"/>
        </w:sectPr>
      </w:pPr>
    </w:p>
    <w:p w14:paraId="5AD41E42" w14:textId="77777777" w:rsidR="00B01FCD" w:rsidRPr="00FB3A86" w:rsidRDefault="00B01FCD" w:rsidP="006F29A5">
      <w:pPr>
        <w:pStyle w:val="Appendix"/>
        <w:spacing w:after="0"/>
        <w:ind w:firstLine="630"/>
        <w:jc w:val="both"/>
        <w:rPr>
          <w:rFonts w:ascii="Arial" w:hAnsi="Arial" w:cs="Arial"/>
          <w:b w:val="0"/>
        </w:rPr>
      </w:pPr>
    </w:p>
    <w:sectPr w:rsidR="00B01FCD" w:rsidRPr="00FB3A86" w:rsidSect="006A64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73FE2" w14:textId="77777777" w:rsidR="009663EB" w:rsidRDefault="009663EB" w:rsidP="00C37E61">
      <w:r>
        <w:separator/>
      </w:r>
    </w:p>
  </w:endnote>
  <w:endnote w:type="continuationSeparator" w:id="0">
    <w:p w14:paraId="48E06956" w14:textId="77777777" w:rsidR="009663EB" w:rsidRDefault="009663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7057" w14:textId="77777777" w:rsidR="00BD2E9D" w:rsidRDefault="00BD2E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970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4F922" w14:textId="77777777" w:rsidR="00BD2E9D" w:rsidRDefault="00BD2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FAF91" w14:textId="77777777" w:rsidR="009663EB" w:rsidRDefault="009663EB" w:rsidP="00C37E61">
      <w:r>
        <w:separator/>
      </w:r>
    </w:p>
  </w:footnote>
  <w:footnote w:type="continuationSeparator" w:id="0">
    <w:p w14:paraId="2C2E2E45" w14:textId="77777777" w:rsidR="009663EB" w:rsidRDefault="009663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896F" w14:textId="4EC4DED7" w:rsidR="00BD2E9D" w:rsidRDefault="00BD2E9D">
    <w:pPr>
      <w:pStyle w:val="Header"/>
    </w:pPr>
    <w:r>
      <w:rPr>
        <w:noProof/>
      </w:rPr>
      <w:pict w14:anchorId="02248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8756C" w14:textId="3A7D20A9" w:rsidR="00BD2E9D" w:rsidRDefault="00BD2E9D">
    <w:pPr>
      <w:pStyle w:val="Header"/>
    </w:pPr>
    <w:r>
      <w:rPr>
        <w:noProof/>
      </w:rPr>
      <w:pict w14:anchorId="4CDC4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3400" w14:textId="03CE2C09" w:rsidR="00BD2E9D" w:rsidRDefault="00BD2E9D">
    <w:pPr>
      <w:pStyle w:val="Header"/>
    </w:pPr>
    <w:r>
      <w:rPr>
        <w:noProof/>
      </w:rPr>
      <w:pict w14:anchorId="48EB3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2942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EA5"/>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0253"/>
    <w:rsid w:val="003C4C86"/>
    <w:rsid w:val="003C6258"/>
    <w:rsid w:val="003E2904"/>
    <w:rsid w:val="00401927"/>
    <w:rsid w:val="0041027F"/>
    <w:rsid w:val="00412475"/>
    <w:rsid w:val="00423789"/>
    <w:rsid w:val="00440F43"/>
    <w:rsid w:val="00441B6F"/>
    <w:rsid w:val="00446221"/>
    <w:rsid w:val="00450E62"/>
    <w:rsid w:val="004539DB"/>
    <w:rsid w:val="00471A80"/>
    <w:rsid w:val="004B7FD6"/>
    <w:rsid w:val="004D305E"/>
    <w:rsid w:val="004D4277"/>
    <w:rsid w:val="00501199"/>
    <w:rsid w:val="00502516"/>
    <w:rsid w:val="00505F06"/>
    <w:rsid w:val="00506828"/>
    <w:rsid w:val="0053056E"/>
    <w:rsid w:val="00554FDA"/>
    <w:rsid w:val="00563D8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64A1"/>
    <w:rsid w:val="006B21D3"/>
    <w:rsid w:val="006B57D0"/>
    <w:rsid w:val="006D30FF"/>
    <w:rsid w:val="006D6940"/>
    <w:rsid w:val="006F11EC"/>
    <w:rsid w:val="006F29A5"/>
    <w:rsid w:val="0070082C"/>
    <w:rsid w:val="007369E6"/>
    <w:rsid w:val="00746E59"/>
    <w:rsid w:val="00754C9A"/>
    <w:rsid w:val="0075599A"/>
    <w:rsid w:val="00761D52"/>
    <w:rsid w:val="0077749E"/>
    <w:rsid w:val="00790ADA"/>
    <w:rsid w:val="007D2288"/>
    <w:rsid w:val="007E088F"/>
    <w:rsid w:val="007F7B32"/>
    <w:rsid w:val="00804BC2"/>
    <w:rsid w:val="00806821"/>
    <w:rsid w:val="0081431A"/>
    <w:rsid w:val="0083216F"/>
    <w:rsid w:val="00860000"/>
    <w:rsid w:val="00863BD3"/>
    <w:rsid w:val="008641ED"/>
    <w:rsid w:val="00866D66"/>
    <w:rsid w:val="008671C6"/>
    <w:rsid w:val="00875803"/>
    <w:rsid w:val="008B459E"/>
    <w:rsid w:val="008C0C23"/>
    <w:rsid w:val="008D1648"/>
    <w:rsid w:val="008E13AE"/>
    <w:rsid w:val="008E1506"/>
    <w:rsid w:val="008E710C"/>
    <w:rsid w:val="008F69D6"/>
    <w:rsid w:val="00902823"/>
    <w:rsid w:val="00915CA6"/>
    <w:rsid w:val="00927834"/>
    <w:rsid w:val="009500A6"/>
    <w:rsid w:val="00957C18"/>
    <w:rsid w:val="009659BA"/>
    <w:rsid w:val="009663EB"/>
    <w:rsid w:val="00983040"/>
    <w:rsid w:val="009B3FB9"/>
    <w:rsid w:val="009C2465"/>
    <w:rsid w:val="009D35A0"/>
    <w:rsid w:val="009D7EB7"/>
    <w:rsid w:val="009E048A"/>
    <w:rsid w:val="009E08E9"/>
    <w:rsid w:val="009E3DB9"/>
    <w:rsid w:val="009E6E35"/>
    <w:rsid w:val="009F0EDA"/>
    <w:rsid w:val="00A03B96"/>
    <w:rsid w:val="00A03F74"/>
    <w:rsid w:val="00A05B19"/>
    <w:rsid w:val="00A1134E"/>
    <w:rsid w:val="00A24E7E"/>
    <w:rsid w:val="00A258C3"/>
    <w:rsid w:val="00A347C0"/>
    <w:rsid w:val="00A51431"/>
    <w:rsid w:val="00A539AD"/>
    <w:rsid w:val="00A86B81"/>
    <w:rsid w:val="00A94063"/>
    <w:rsid w:val="00AA6219"/>
    <w:rsid w:val="00AA74E0"/>
    <w:rsid w:val="00AB703F"/>
    <w:rsid w:val="00AC6BB8"/>
    <w:rsid w:val="00AE008F"/>
    <w:rsid w:val="00B01FCD"/>
    <w:rsid w:val="00B1776C"/>
    <w:rsid w:val="00B4115C"/>
    <w:rsid w:val="00B52583"/>
    <w:rsid w:val="00B52896"/>
    <w:rsid w:val="00B95236"/>
    <w:rsid w:val="00B96BD9"/>
    <w:rsid w:val="00BA1B01"/>
    <w:rsid w:val="00BA2641"/>
    <w:rsid w:val="00BB37AA"/>
    <w:rsid w:val="00BC53A0"/>
    <w:rsid w:val="00BC6D45"/>
    <w:rsid w:val="00BD2E9D"/>
    <w:rsid w:val="00BE62AD"/>
    <w:rsid w:val="00BF121F"/>
    <w:rsid w:val="00BF1F80"/>
    <w:rsid w:val="00C166EF"/>
    <w:rsid w:val="00C17EB0"/>
    <w:rsid w:val="00C27F5F"/>
    <w:rsid w:val="00C30A0F"/>
    <w:rsid w:val="00C37E61"/>
    <w:rsid w:val="00C70F1B"/>
    <w:rsid w:val="00C71A47"/>
    <w:rsid w:val="00C7464C"/>
    <w:rsid w:val="00C85588"/>
    <w:rsid w:val="00CA3B0A"/>
    <w:rsid w:val="00CD6755"/>
    <w:rsid w:val="00CD6856"/>
    <w:rsid w:val="00CE0089"/>
    <w:rsid w:val="00CE793C"/>
    <w:rsid w:val="00CF193C"/>
    <w:rsid w:val="00D173F1"/>
    <w:rsid w:val="00D74CB0"/>
    <w:rsid w:val="00D8295D"/>
    <w:rsid w:val="00DC2A65"/>
    <w:rsid w:val="00DE15F0"/>
    <w:rsid w:val="00DE52F6"/>
    <w:rsid w:val="00DE5663"/>
    <w:rsid w:val="00DE78AA"/>
    <w:rsid w:val="00E053D0"/>
    <w:rsid w:val="00E15994"/>
    <w:rsid w:val="00E3114E"/>
    <w:rsid w:val="00E31A70"/>
    <w:rsid w:val="00E35B02"/>
    <w:rsid w:val="00E66496"/>
    <w:rsid w:val="00E66B35"/>
    <w:rsid w:val="00E66E10"/>
    <w:rsid w:val="00E769F6"/>
    <w:rsid w:val="00E77760"/>
    <w:rsid w:val="00E8407C"/>
    <w:rsid w:val="00E84F3C"/>
    <w:rsid w:val="00EA012C"/>
    <w:rsid w:val="00EC6A55"/>
    <w:rsid w:val="00ED0288"/>
    <w:rsid w:val="00EE52CB"/>
    <w:rsid w:val="00EF581D"/>
    <w:rsid w:val="00EF7FD8"/>
    <w:rsid w:val="00F06F59"/>
    <w:rsid w:val="00F17988"/>
    <w:rsid w:val="00F469F0"/>
    <w:rsid w:val="00F47981"/>
    <w:rsid w:val="00F53273"/>
    <w:rsid w:val="00F755E4"/>
    <w:rsid w:val="00F77D02"/>
    <w:rsid w:val="00F82712"/>
    <w:rsid w:val="00F91FA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D531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1F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63D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563D8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91FA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rpusjuris.com/legislative/republic-acts/ra-no-10912.php" TargetMode="External"/><Relationship Id="rId13" Type="http://schemas.openxmlformats.org/officeDocument/2006/relationships/hyperlink" Target="https://doi.org/10.1016/j.tate.2017.06.001" TargetMode="External"/><Relationship Id="rId18" Type="http://schemas.openxmlformats.org/officeDocument/2006/relationships/hyperlink" Target="https://doi.org/10.1080/2331186X.2024.236511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em-report-2023.unesco.org/technology-in-education/" TargetMode="External"/><Relationship Id="rId7" Type="http://schemas.openxmlformats.org/officeDocument/2006/relationships/endnotes" Target="endnotes.xml"/><Relationship Id="rId12" Type="http://schemas.openxmlformats.org/officeDocument/2006/relationships/hyperlink" Target="https://doi.org/10.1016/j.caeo.2022.100089" TargetMode="External"/><Relationship Id="rId17" Type="http://schemas.openxmlformats.org/officeDocument/2006/relationships/hyperlink" Target="https://doi.org/10.1111/j.1467-9620.2006.00684.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appler.com/philippines/mismatch-high-school-teachers-subjects-edcom-2-report/" TargetMode="External"/><Relationship Id="rId20" Type="http://schemas.openxmlformats.org/officeDocument/2006/relationships/hyperlink" Target="https://www.learntechlib.org/primary/p/215995/"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fielding.edu/2016/01/innovative-approaches-tofaculty.htm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77/002205741319300303" TargetMode="External"/><Relationship Id="rId23" Type="http://schemas.openxmlformats.org/officeDocument/2006/relationships/hyperlink" Target="https://doi.org/10.1007/s10639-022-10991-z" TargetMode="External"/><Relationship Id="rId28" Type="http://schemas.openxmlformats.org/officeDocument/2006/relationships/header" Target="header3.xml"/><Relationship Id="rId10" Type="http://schemas.openxmlformats.org/officeDocument/2006/relationships/hyperlink" Target="https://www.freepressjournal.in/education/online-teaching-around-3058-of-teachers-still-not-competent-with-digital-tools-finds-survey" TargetMode="External"/><Relationship Id="rId19" Type="http://schemas.openxmlformats.org/officeDocument/2006/relationships/hyperlink" Target="https://doi.org/10.4324/978131573566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9333/pr/7937" TargetMode="External"/><Relationship Id="rId14" Type="http://schemas.openxmlformats.org/officeDocument/2006/relationships/hyperlink" Target="https://doi.org/10.1177/002205741319300303" TargetMode="External"/><Relationship Id="rId22" Type="http://schemas.openxmlformats.org/officeDocument/2006/relationships/hyperlink" Target="https://doi.org/10.1016/j.chb.2020.106643"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1AC19-7F8D-4758-B95C-1D441CA0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13</Pages>
  <Words>6500</Words>
  <Characters>37055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19</cp:revision>
  <cp:lastPrinted>1999-07-06T11:00:00Z</cp:lastPrinted>
  <dcterms:created xsi:type="dcterms:W3CDTF">2014-10-25T14:34:00Z</dcterms:created>
  <dcterms:modified xsi:type="dcterms:W3CDTF">2026-04-16T08:31:00Z</dcterms:modified>
</cp:coreProperties>
</file>