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701D3" w14:textId="379A9E0E" w:rsidR="00BB6EC6" w:rsidRPr="00BB6EC6" w:rsidRDefault="00BB6EC6" w:rsidP="00BB6EC6">
      <w:pPr>
        <w:rPr>
          <w:rFonts w:ascii="Book Antiqua" w:eastAsia="Book Antiqua" w:hAnsi="Book Antiqua" w:cs="Book Antiqua"/>
          <w:b/>
          <w:bCs/>
          <w:color w:val="0E2841"/>
          <w:sz w:val="36"/>
          <w:szCs w:val="36"/>
          <w:u w:val="single"/>
        </w:rPr>
      </w:pPr>
      <w:r w:rsidRPr="00BB6EC6">
        <w:rPr>
          <w:rFonts w:ascii="Book Antiqua" w:eastAsia="Book Antiqua" w:hAnsi="Book Antiqua" w:cs="Book Antiqua"/>
          <w:b/>
          <w:bCs/>
          <w:color w:val="0E2841"/>
          <w:sz w:val="36"/>
          <w:szCs w:val="36"/>
          <w:u w:val="single"/>
        </w:rPr>
        <w:t>Opinion Article</w:t>
      </w:r>
    </w:p>
    <w:p w14:paraId="00000002" w14:textId="69823DD0" w:rsidR="00AD4552" w:rsidRDefault="00654C9F" w:rsidP="00654C9F">
      <w:pPr>
        <w:jc w:val="center"/>
        <w:rPr>
          <w:rFonts w:ascii="Book Antiqua" w:eastAsia="Book Antiqua" w:hAnsi="Book Antiqua" w:cs="Book Antiqua"/>
          <w:b/>
          <w:bCs/>
          <w:color w:val="0E2841"/>
          <w:sz w:val="36"/>
          <w:szCs w:val="36"/>
        </w:rPr>
      </w:pPr>
      <w:r w:rsidRPr="00654C9F">
        <w:rPr>
          <w:rFonts w:ascii="Book Antiqua" w:eastAsia="Book Antiqua" w:hAnsi="Book Antiqua" w:cs="Book Antiqua"/>
          <w:b/>
          <w:bCs/>
          <w:color w:val="0E2841"/>
          <w:sz w:val="36"/>
          <w:szCs w:val="36"/>
        </w:rPr>
        <w:t>Navigating Mathematics Education in the Fourth Industrial Revolution: A Literature Review on Addressing Key Barriers and Opportunities</w:t>
      </w:r>
    </w:p>
    <w:p w14:paraId="07C92D10" w14:textId="77777777" w:rsidR="00654C9F" w:rsidRDefault="00654C9F">
      <w:pPr>
        <w:rPr>
          <w:rFonts w:ascii="Book Antiqua" w:eastAsia="Book Antiqua" w:hAnsi="Book Antiqua" w:cs="Book Antiqua"/>
          <w:b/>
          <w:bCs/>
          <w:color w:val="0E2841"/>
          <w:sz w:val="36"/>
          <w:szCs w:val="36"/>
        </w:rPr>
      </w:pPr>
    </w:p>
    <w:p w14:paraId="63E76D82" w14:textId="77777777" w:rsidR="00654C9F" w:rsidRDefault="00654C9F">
      <w:pPr>
        <w:rPr>
          <w:rFonts w:ascii="Book Antiqua" w:eastAsia="Book Antiqua" w:hAnsi="Book Antiqua" w:cs="Book Antiqua"/>
          <w:b/>
          <w:bCs/>
          <w:sz w:val="18"/>
          <w:szCs w:val="18"/>
        </w:rPr>
      </w:pPr>
    </w:p>
    <w:p w14:paraId="6E0E600B" w14:textId="607A0407" w:rsidR="00BB6EC6" w:rsidRDefault="00BB6EC6">
      <w:pPr>
        <w:jc w:val="center"/>
        <w:rPr>
          <w:rFonts w:ascii="Book Antiqua" w:eastAsia="Book Antiqua" w:hAnsi="Book Antiqua" w:cs="Book Antiqua"/>
          <w:sz w:val="20"/>
          <w:szCs w:val="20"/>
        </w:rPr>
      </w:pPr>
    </w:p>
    <w:p w14:paraId="43F96698" w14:textId="77777777" w:rsidR="00B102B9" w:rsidRDefault="00B102B9">
      <w:pPr>
        <w:jc w:val="center"/>
        <w:rPr>
          <w:rFonts w:ascii="Book Antiqua" w:eastAsia="Book Antiqua" w:hAnsi="Book Antiqua" w:cs="Book Antiqua"/>
          <w:sz w:val="20"/>
          <w:szCs w:val="20"/>
        </w:rPr>
      </w:pPr>
    </w:p>
    <w:p w14:paraId="00000008" w14:textId="77777777" w:rsidR="00AD4552" w:rsidRDefault="00AD4552">
      <w:pPr>
        <w:ind w:right="720"/>
        <w:rPr>
          <w:rFonts w:ascii="Book Antiqua" w:eastAsia="Book Antiqua" w:hAnsi="Book Antiqua" w:cs="Book Antiqua"/>
          <w:b/>
          <w:bCs/>
          <w:sz w:val="18"/>
          <w:szCs w:val="18"/>
        </w:rPr>
      </w:pPr>
    </w:p>
    <w:p w14:paraId="00000009" w14:textId="77777777" w:rsidR="00AD4552" w:rsidRDefault="00DD1D5F">
      <w:pPr>
        <w:ind w:left="720" w:right="720"/>
        <w:jc w:val="both"/>
        <w:rPr>
          <w:rFonts w:ascii="Book Antiqua" w:eastAsia="Book Antiqua" w:hAnsi="Book Antiqua" w:cs="Book Antiqua"/>
          <w:b/>
          <w:bCs/>
          <w:sz w:val="18"/>
          <w:szCs w:val="18"/>
        </w:rPr>
      </w:pPr>
      <w:r>
        <w:rPr>
          <w:rFonts w:ascii="Book Antiqua" w:eastAsia="Book Antiqua" w:hAnsi="Book Antiqua" w:cs="Book Antiqua"/>
          <w:b/>
          <w:bCs/>
          <w:sz w:val="18"/>
          <w:szCs w:val="18"/>
        </w:rPr>
        <w:t>Abstract</w:t>
      </w:r>
    </w:p>
    <w:p w14:paraId="0000000A" w14:textId="77777777" w:rsidR="00AD4552" w:rsidRDefault="00DD1D5F">
      <w:pPr>
        <w:ind w:left="720" w:right="720"/>
        <w:jc w:val="both"/>
        <w:rPr>
          <w:rFonts w:ascii="Book Antiqua" w:eastAsia="Book Antiqua" w:hAnsi="Book Antiqua" w:cs="Book Antiqua"/>
          <w:sz w:val="18"/>
          <w:szCs w:val="18"/>
        </w:rPr>
      </w:pPr>
      <w:r>
        <w:rPr>
          <w:rFonts w:ascii="Book Antiqua" w:eastAsia="Book Antiqua" w:hAnsi="Book Antiqua" w:cs="Book Antiqua"/>
          <w:sz w:val="18"/>
          <w:szCs w:val="18"/>
        </w:rPr>
        <w:t>This review of related literature examines the integration of learning systems associated with the Fourth Industrial Revolution (</w:t>
      </w:r>
      <w:proofErr w:type="spellStart"/>
      <w:r>
        <w:rPr>
          <w:rFonts w:ascii="Book Antiqua" w:eastAsia="Book Antiqua" w:hAnsi="Book Antiqua" w:cs="Book Antiqua"/>
          <w:sz w:val="18"/>
          <w:szCs w:val="18"/>
        </w:rPr>
        <w:t>FIRe</w:t>
      </w:r>
      <w:proofErr w:type="spellEnd"/>
      <w:r>
        <w:rPr>
          <w:rFonts w:ascii="Book Antiqua" w:eastAsia="Book Antiqua" w:hAnsi="Book Antiqua" w:cs="Book Antiqua"/>
          <w:sz w:val="18"/>
          <w:szCs w:val="18"/>
        </w:rPr>
        <w:t xml:space="preserve">), such as artificial intelligence, adaptive learning technologies, and gamified instructional platforms, within the field of mathematics education. Existing studies indicate that these digital innovations have the potential to improve students’ critical thinking, problem-solving abilities, and engagement in mathematical learning. They also support more personalized instruction by allowing learning activities to adjust according to students’ pace, performance, and individual needs. Despite these promising benefits, the literature consistently identifies several barriers to the effective use of these technologies in schools. These challenges include inadequate technological infrastructure, limited access to reliable internet connectivity, insufficient professional development opportunities for teachers, and unequal access to digital resources among learners. In addition, some studies emphasize the issue of curriculum alignment, where the integration of advanced technologies is not always fully supported by existing instructional frameworks and learning standards. Guided by the Unified Theory of Acceptance and Use of Technology (UTAUT), this review identifies several key factors that influence the adoption of digital technologies in education. These include performance expectancy, effort expectancy, social influence, and facilitating conditions. While international studies provide valuable insights into technology integration, there remains a noticeable lack of research that focuses on context-specific strategies suited to local educational environments. In particular, studies that examine the Philippine context remain limited. This gap underscores the importance of conducting localized investigations to guide the effective, equitable, and sustainable implementation of </w:t>
      </w:r>
      <w:proofErr w:type="spellStart"/>
      <w:r>
        <w:rPr>
          <w:rFonts w:ascii="Book Antiqua" w:eastAsia="Book Antiqua" w:hAnsi="Book Antiqua" w:cs="Book Antiqua"/>
          <w:sz w:val="18"/>
          <w:szCs w:val="18"/>
        </w:rPr>
        <w:t>FIRe</w:t>
      </w:r>
      <w:proofErr w:type="spellEnd"/>
      <w:r>
        <w:rPr>
          <w:rFonts w:ascii="Book Antiqua" w:eastAsia="Book Antiqua" w:hAnsi="Book Antiqua" w:cs="Book Antiqua"/>
          <w:sz w:val="18"/>
          <w:szCs w:val="18"/>
        </w:rPr>
        <w:t>-based innovations in mathematics education.</w:t>
      </w:r>
    </w:p>
    <w:p w14:paraId="0000000B" w14:textId="77777777" w:rsidR="00AD4552" w:rsidRDefault="00AD4552">
      <w:pPr>
        <w:ind w:left="720" w:right="720"/>
        <w:jc w:val="both"/>
      </w:pPr>
    </w:p>
    <w:p w14:paraId="0000000C" w14:textId="77777777" w:rsidR="00AD4552" w:rsidRDefault="00DD1D5F">
      <w:pPr>
        <w:ind w:left="720" w:right="720"/>
        <w:jc w:val="both"/>
        <w:rPr>
          <w:rFonts w:ascii="Book Antiqua" w:eastAsia="Book Antiqua" w:hAnsi="Book Antiqua" w:cs="Book Antiqua"/>
          <w:sz w:val="16"/>
          <w:szCs w:val="16"/>
        </w:rPr>
        <w:sectPr w:rsidR="00AD455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pgNumType w:start="1"/>
          <w:cols w:space="720"/>
        </w:sectPr>
      </w:pPr>
      <w:r>
        <w:rPr>
          <w:rFonts w:ascii="Book Antiqua" w:eastAsia="Book Antiqua" w:hAnsi="Book Antiqua" w:cs="Book Antiqua"/>
          <w:b/>
          <w:bCs/>
          <w:i/>
          <w:iCs/>
          <w:sz w:val="16"/>
          <w:szCs w:val="16"/>
        </w:rPr>
        <w:t>Keywords</w:t>
      </w:r>
      <w:r>
        <w:rPr>
          <w:rFonts w:ascii="Book Antiqua" w:eastAsia="Book Antiqua" w:hAnsi="Book Antiqua" w:cs="Book Antiqua"/>
          <w:sz w:val="16"/>
          <w:szCs w:val="16"/>
        </w:rPr>
        <w:t xml:space="preserve">: </w:t>
      </w:r>
      <w:r>
        <w:rPr>
          <w:rFonts w:ascii="Book Antiqua" w:eastAsia="Book Antiqua" w:hAnsi="Book Antiqua" w:cs="Book Antiqua"/>
          <w:i/>
          <w:iCs/>
          <w:sz w:val="16"/>
          <w:szCs w:val="16"/>
        </w:rPr>
        <w:t>Fourth Industrial Revolution (</w:t>
      </w:r>
      <w:proofErr w:type="spellStart"/>
      <w:r>
        <w:rPr>
          <w:rFonts w:ascii="Book Antiqua" w:eastAsia="Book Antiqua" w:hAnsi="Book Antiqua" w:cs="Book Antiqua"/>
          <w:i/>
          <w:iCs/>
          <w:sz w:val="16"/>
          <w:szCs w:val="16"/>
        </w:rPr>
        <w:t>FIRe</w:t>
      </w:r>
      <w:proofErr w:type="spellEnd"/>
      <w:r>
        <w:rPr>
          <w:rFonts w:ascii="Book Antiqua" w:eastAsia="Book Antiqua" w:hAnsi="Book Antiqua" w:cs="Book Antiqua"/>
          <w:i/>
          <w:iCs/>
          <w:sz w:val="16"/>
          <w:szCs w:val="16"/>
        </w:rPr>
        <w:t>), mathematics education, innovative learning systems, artificial intelligence, UTAUT, teacher readiness, digital inequality, adaptive learning</w:t>
      </w:r>
    </w:p>
    <w:p w14:paraId="0000000D" w14:textId="77777777" w:rsidR="00AD4552" w:rsidRDefault="00AD4552">
      <w:pPr>
        <w:spacing w:after="160" w:line="278" w:lineRule="auto"/>
        <w:jc w:val="both"/>
        <w:rPr>
          <w:rFonts w:ascii="Book Antiqua" w:eastAsia="Book Antiqua" w:hAnsi="Book Antiqua" w:cs="Book Antiqua"/>
          <w:b/>
          <w:bCs/>
          <w:color w:val="0E2841"/>
        </w:rPr>
      </w:pPr>
    </w:p>
    <w:p w14:paraId="0000000E" w14:textId="77777777" w:rsidR="00AD4552" w:rsidRDefault="00DD1D5F">
      <w:pPr>
        <w:spacing w:line="278" w:lineRule="auto"/>
        <w:jc w:val="both"/>
        <w:rPr>
          <w:rFonts w:ascii="Book Antiqua" w:eastAsia="Book Antiqua" w:hAnsi="Book Antiqua" w:cs="Book Antiqua"/>
          <w:b/>
          <w:bCs/>
          <w:color w:val="0E2841"/>
        </w:rPr>
      </w:pPr>
      <w:r>
        <w:rPr>
          <w:rFonts w:ascii="Book Antiqua" w:eastAsia="Book Antiqua" w:hAnsi="Book Antiqua" w:cs="Book Antiqua"/>
          <w:b/>
          <w:bCs/>
          <w:color w:val="0E2841"/>
        </w:rPr>
        <w:t>1.0 Introduction</w:t>
      </w:r>
    </w:p>
    <w:p w14:paraId="0000000F"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Fourth Industrial Revolution (</w:t>
      </w:r>
      <w:proofErr w:type="spellStart"/>
      <w:r>
        <w:rPr>
          <w:rFonts w:ascii="Book Antiqua" w:eastAsia="Book Antiqua" w:hAnsi="Book Antiqua" w:cs="Book Antiqua"/>
          <w:color w:val="000000"/>
          <w:sz w:val="20"/>
          <w:szCs w:val="20"/>
        </w:rPr>
        <w:t>FIRe</w:t>
      </w:r>
      <w:proofErr w:type="spellEnd"/>
      <w:r>
        <w:rPr>
          <w:rFonts w:ascii="Book Antiqua" w:eastAsia="Book Antiqua" w:hAnsi="Book Antiqua" w:cs="Book Antiqua"/>
          <w:color w:val="000000"/>
          <w:sz w:val="20"/>
          <w:szCs w:val="20"/>
        </w:rPr>
        <w:t xml:space="preserve">) and the recent global pandemic have profoundly changed the field of mathematics education, calling for a paradigm shift toward innovative </w:t>
      </w:r>
      <w:r>
        <w:rPr>
          <w:rFonts w:ascii="Book Antiqua" w:eastAsia="Book Antiqua" w:hAnsi="Book Antiqua" w:cs="Book Antiqua"/>
          <w:sz w:val="20"/>
          <w:szCs w:val="20"/>
        </w:rPr>
        <w:t>teaching approaches</w:t>
      </w:r>
      <w:r>
        <w:rPr>
          <w:rFonts w:ascii="Book Antiqua" w:eastAsia="Book Antiqua" w:hAnsi="Book Antiqua" w:cs="Book Antiqua"/>
          <w:color w:val="000000"/>
          <w:sz w:val="20"/>
          <w:szCs w:val="20"/>
        </w:rPr>
        <w:t xml:space="preserve">. This significant change </w:t>
      </w:r>
      <w:r>
        <w:rPr>
          <w:rFonts w:ascii="Book Antiqua" w:eastAsia="Book Antiqua" w:hAnsi="Book Antiqua" w:cs="Book Antiqua"/>
          <w:sz w:val="20"/>
          <w:szCs w:val="20"/>
        </w:rPr>
        <w:t>underscores the importance of integrating innovative technologies, such as artificial intelligence, into education to enhance</w:t>
      </w:r>
      <w:r>
        <w:rPr>
          <w:rFonts w:ascii="Book Antiqua" w:eastAsia="Book Antiqua" w:hAnsi="Book Antiqua" w:cs="Book Antiqua"/>
          <w:color w:val="000000"/>
          <w:sz w:val="20"/>
          <w:szCs w:val="20"/>
        </w:rPr>
        <w:t xml:space="preserve"> learning opportunities and teaching strategies. By </w:t>
      </w:r>
      <w:r>
        <w:rPr>
          <w:rFonts w:ascii="Book Antiqua" w:eastAsia="Book Antiqua" w:hAnsi="Book Antiqua" w:cs="Book Antiqua"/>
          <w:sz w:val="20"/>
          <w:szCs w:val="20"/>
        </w:rPr>
        <w:t>enabling digital learning environments, individualized learning experiences, and the automation of the teaching process</w:t>
      </w:r>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FIRe</w:t>
      </w:r>
      <w:proofErr w:type="spellEnd"/>
      <w:r>
        <w:rPr>
          <w:rFonts w:ascii="Book Antiqua" w:eastAsia="Book Antiqua" w:hAnsi="Book Antiqua" w:cs="Book Antiqua"/>
          <w:color w:val="000000"/>
          <w:sz w:val="20"/>
          <w:szCs w:val="20"/>
        </w:rPr>
        <w:t xml:space="preserve"> has revolutionized education (Elayyan, 2021).</w:t>
      </w:r>
    </w:p>
    <w:p w14:paraId="00000010" w14:textId="77777777" w:rsidR="00AD4552" w:rsidRDefault="00AD4552">
      <w:pPr>
        <w:jc w:val="both"/>
        <w:rPr>
          <w:rFonts w:ascii="Book Antiqua" w:eastAsia="Book Antiqua" w:hAnsi="Book Antiqua" w:cs="Book Antiqua"/>
          <w:color w:val="000000"/>
          <w:sz w:val="20"/>
          <w:szCs w:val="20"/>
        </w:rPr>
      </w:pPr>
    </w:p>
    <w:p w14:paraId="00000011"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As nations strive to prepare learners for increasingly complex environments, the teaching of mathematics must change to promote advanced thinking, creativity, and adaptability skills that are crucial for success in the 4IR economy as countries work to prepare students for increasingly complex, technologically advanced workplaces (World Economic Forum, 2020). The fourth industrial revolution has transformed education, requiring individuals who are not only self-reliant but also capable of creatively addressing issues as they arise in both local and global contexts (</w:t>
      </w:r>
      <w:proofErr w:type="spellStart"/>
      <w:r>
        <w:rPr>
          <w:rFonts w:ascii="Book Antiqua" w:eastAsia="Book Antiqua" w:hAnsi="Book Antiqua" w:cs="Book Antiqua"/>
          <w:color w:val="000000"/>
          <w:sz w:val="20"/>
          <w:szCs w:val="20"/>
        </w:rPr>
        <w:t>Fomunyam</w:t>
      </w:r>
      <w:proofErr w:type="spellEnd"/>
      <w:r>
        <w:rPr>
          <w:rFonts w:ascii="Book Antiqua" w:eastAsia="Book Antiqua" w:hAnsi="Book Antiqua" w:cs="Book Antiqua"/>
          <w:color w:val="000000"/>
          <w:sz w:val="20"/>
          <w:szCs w:val="20"/>
        </w:rPr>
        <w:t>, 2020).</w:t>
      </w:r>
    </w:p>
    <w:p w14:paraId="00000012" w14:textId="77777777" w:rsidR="00AD4552" w:rsidRDefault="00AD4552">
      <w:pPr>
        <w:jc w:val="both"/>
        <w:rPr>
          <w:rFonts w:ascii="Book Antiqua" w:eastAsia="Book Antiqua" w:hAnsi="Book Antiqua" w:cs="Book Antiqua"/>
          <w:color w:val="000000"/>
          <w:sz w:val="20"/>
          <w:szCs w:val="20"/>
        </w:rPr>
      </w:pPr>
    </w:p>
    <w:p w14:paraId="00000013"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Innovative learning systems, encompassing AI-driven platforms, </w:t>
      </w:r>
      <w:r>
        <w:rPr>
          <w:rFonts w:ascii="Book Antiqua" w:eastAsia="Book Antiqua" w:hAnsi="Book Antiqua" w:cs="Book Antiqua"/>
          <w:sz w:val="20"/>
          <w:szCs w:val="20"/>
        </w:rPr>
        <w:t>adaptive technologies, gamified environments, learning analytics, and immersive tools that leverage virtual or augmented reality, offer</w:t>
      </w:r>
      <w:r>
        <w:rPr>
          <w:rFonts w:ascii="Book Antiqua" w:eastAsia="Book Antiqua" w:hAnsi="Book Antiqua" w:cs="Book Antiqua"/>
          <w:color w:val="000000"/>
          <w:sz w:val="20"/>
          <w:szCs w:val="20"/>
        </w:rPr>
        <w:t xml:space="preserve"> exciting opportunities to revolutionize the teaching and learning of mathematics. However, integrating these systems into mathematics education presents numerous challenges. Teachers frequently face obstacles </w:t>
      </w:r>
      <w:r>
        <w:rPr>
          <w:rFonts w:ascii="Book Antiqua" w:eastAsia="Book Antiqua" w:hAnsi="Book Antiqua" w:cs="Book Antiqua"/>
          <w:sz w:val="20"/>
          <w:szCs w:val="20"/>
        </w:rPr>
        <w:t>such as limited access to digital resources, insufficient</w:t>
      </w:r>
      <w:r>
        <w:rPr>
          <w:rFonts w:ascii="Book Antiqua" w:eastAsia="Book Antiqua" w:hAnsi="Book Antiqua" w:cs="Book Antiqua"/>
          <w:color w:val="000000"/>
          <w:sz w:val="20"/>
          <w:szCs w:val="20"/>
        </w:rPr>
        <w:t xml:space="preserve"> professional training, reluctance to adopt new teaching methods, and varying levels of digital literacy among educators and learners alike (Trust &amp; Whalen, 2020; UNESCO, 2021).</w:t>
      </w:r>
    </w:p>
    <w:p w14:paraId="00000014" w14:textId="77777777" w:rsidR="00AD4552" w:rsidRDefault="00AD4552">
      <w:pPr>
        <w:jc w:val="both"/>
        <w:rPr>
          <w:rFonts w:ascii="Book Antiqua" w:eastAsia="Book Antiqua" w:hAnsi="Book Antiqua" w:cs="Book Antiqua"/>
          <w:color w:val="000000"/>
          <w:sz w:val="20"/>
          <w:szCs w:val="20"/>
        </w:rPr>
      </w:pPr>
    </w:p>
    <w:p w14:paraId="00000015"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Across the globe, particularly in African nations, there are major obstacles </w:t>
      </w:r>
      <w:r>
        <w:rPr>
          <w:rFonts w:ascii="Book Antiqua" w:eastAsia="Book Antiqua" w:hAnsi="Book Antiqua" w:cs="Book Antiqua"/>
          <w:sz w:val="20"/>
          <w:szCs w:val="20"/>
        </w:rPr>
        <w:t>to adopting Fourth Industrial Revolution (4IR) innovations in mathematics education, mainly due to poor infrastructure, including inconsistent electricity supply and limited</w:t>
      </w:r>
      <w:r>
        <w:rPr>
          <w:rFonts w:ascii="Book Antiqua" w:eastAsia="Book Antiqua" w:hAnsi="Book Antiqua" w:cs="Book Antiqua"/>
          <w:color w:val="000000"/>
          <w:sz w:val="20"/>
          <w:szCs w:val="20"/>
        </w:rPr>
        <w:t xml:space="preserve"> access to digital devices. This situation is worsened by insufficient teacher preparedness and professional </w:t>
      </w:r>
      <w:r>
        <w:rPr>
          <w:rFonts w:ascii="Book Antiqua" w:eastAsia="Book Antiqua" w:hAnsi="Book Antiqua" w:cs="Book Antiqua"/>
          <w:sz w:val="20"/>
          <w:szCs w:val="20"/>
        </w:rPr>
        <w:t>development opportunities, outdated curricula that do not align with 4IR requirements</w:t>
      </w:r>
      <w:r>
        <w:rPr>
          <w:rFonts w:ascii="Book Antiqua" w:eastAsia="Book Antiqua" w:hAnsi="Book Antiqua" w:cs="Book Antiqua"/>
          <w:color w:val="000000"/>
          <w:sz w:val="20"/>
          <w:szCs w:val="20"/>
        </w:rPr>
        <w:t>, a lack of cohesive digital education policies, and ongoing financial limitations. Insufficient knowledge among teachers hinders the effective execution of the new 4IR curricula across Africa</w:t>
      </w:r>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Ukobizaba</w:t>
      </w:r>
      <w:proofErr w:type="spellEnd"/>
      <w:r>
        <w:rPr>
          <w:rFonts w:ascii="Book Antiqua" w:eastAsia="Book Antiqua" w:hAnsi="Book Antiqua" w:cs="Book Antiqua"/>
          <w:sz w:val="20"/>
          <w:szCs w:val="20"/>
        </w:rPr>
        <w:t xml:space="preserve"> et al., 2022).</w:t>
      </w:r>
    </w:p>
    <w:p w14:paraId="00000016" w14:textId="77777777" w:rsidR="00AD4552" w:rsidRDefault="00AD4552">
      <w:pPr>
        <w:jc w:val="both"/>
        <w:rPr>
          <w:rFonts w:ascii="Book Antiqua" w:eastAsia="Book Antiqua" w:hAnsi="Book Antiqua" w:cs="Book Antiqua"/>
          <w:color w:val="000000"/>
          <w:sz w:val="20"/>
          <w:szCs w:val="20"/>
        </w:rPr>
      </w:pPr>
    </w:p>
    <w:p w14:paraId="00000017"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In the Philippines, challenges are magnified by systemic limitations in infrastructure, </w:t>
      </w:r>
      <w:r>
        <w:rPr>
          <w:rFonts w:ascii="Book Antiqua" w:eastAsia="Book Antiqua" w:hAnsi="Book Antiqua" w:cs="Book Antiqua"/>
          <w:sz w:val="20"/>
          <w:szCs w:val="20"/>
        </w:rPr>
        <w:t>varying levels of digital skills among students and teachers, and the complexities of</w:t>
      </w:r>
      <w:r>
        <w:rPr>
          <w:rFonts w:ascii="Book Antiqua" w:eastAsia="Book Antiqua" w:hAnsi="Book Antiqua" w:cs="Book Antiqua"/>
          <w:color w:val="000000"/>
          <w:sz w:val="20"/>
          <w:szCs w:val="20"/>
        </w:rPr>
        <w:t xml:space="preserve"> curriculum adaptation and assessment. Insufficient teacher training and professional development often leave educators feeling unprepared or overwhelmed by emerging technologies, resulting in resistance or poor integration. Educators must not only be adept with technology or digitally capable but also carry the dual responsibility of facilitating both teaching and learning. To adapt to the demands of the Fourth Industrial Revolution, students need to cultivate innovative skills, commit to lifelong learning, and have access to digital resources (</w:t>
      </w:r>
      <w:proofErr w:type="spellStart"/>
      <w:r>
        <w:rPr>
          <w:rFonts w:ascii="Book Antiqua" w:eastAsia="Book Antiqua" w:hAnsi="Book Antiqua" w:cs="Book Antiqua"/>
          <w:color w:val="000000"/>
          <w:sz w:val="20"/>
          <w:szCs w:val="20"/>
        </w:rPr>
        <w:t>Ayanwale</w:t>
      </w:r>
      <w:proofErr w:type="spellEnd"/>
      <w:r>
        <w:rPr>
          <w:rFonts w:ascii="Book Antiqua" w:eastAsia="Book Antiqua" w:hAnsi="Book Antiqua" w:cs="Book Antiqua"/>
          <w:color w:val="000000"/>
          <w:sz w:val="20"/>
          <w:szCs w:val="20"/>
        </w:rPr>
        <w:t xml:space="preserve"> et al., 2022). Additionally, the cultural context, curriculum constraints, and limited funding for sustained technological upgrades and maintenance further complicate the landscape, echoing issues found in other developing contexts (</w:t>
      </w:r>
      <w:r>
        <w:rPr>
          <w:rFonts w:ascii="Book Antiqua" w:eastAsia="Book Antiqua" w:hAnsi="Book Antiqua" w:cs="Book Antiqua"/>
          <w:sz w:val="20"/>
          <w:szCs w:val="20"/>
        </w:rPr>
        <w:t>Animashaun et al., 2024</w:t>
      </w:r>
      <w:r>
        <w:rPr>
          <w:rFonts w:ascii="Book Antiqua" w:eastAsia="Book Antiqua" w:hAnsi="Book Antiqua" w:cs="Book Antiqua"/>
          <w:color w:val="000000"/>
          <w:sz w:val="20"/>
          <w:szCs w:val="20"/>
        </w:rPr>
        <w:t xml:space="preserve">). </w:t>
      </w:r>
    </w:p>
    <w:p w14:paraId="00000018" w14:textId="77777777" w:rsidR="00AD4552" w:rsidRDefault="00AD4552">
      <w:pPr>
        <w:jc w:val="both"/>
        <w:rPr>
          <w:rFonts w:ascii="Book Antiqua" w:eastAsia="Book Antiqua" w:hAnsi="Book Antiqua" w:cs="Book Antiqua"/>
          <w:color w:val="000000"/>
          <w:sz w:val="20"/>
          <w:szCs w:val="20"/>
        </w:rPr>
      </w:pPr>
    </w:p>
    <w:p w14:paraId="00000019"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Current literature on technology integration tends to be general in its treatment of the complex realities </w:t>
      </w:r>
      <w:r>
        <w:rPr>
          <w:rFonts w:ascii="Book Antiqua" w:eastAsia="Book Antiqua" w:hAnsi="Book Antiqua" w:cs="Book Antiqua"/>
          <w:sz w:val="20"/>
          <w:szCs w:val="20"/>
        </w:rPr>
        <w:t>of local educational contexts, especially regarding readiness and the pedagogical demands of</w:t>
      </w:r>
      <w:r>
        <w:rPr>
          <w:rFonts w:ascii="Book Antiqua" w:eastAsia="Book Antiqua" w:hAnsi="Book Antiqua" w:cs="Book Antiqua"/>
          <w:color w:val="000000"/>
          <w:sz w:val="20"/>
          <w:szCs w:val="20"/>
        </w:rPr>
        <w:t xml:space="preserve"> mathematics teaching in the culturally diverse Philippines under the Fourth Industrial Revolution (4IR). This literature review aims to </w:t>
      </w:r>
      <w:r>
        <w:rPr>
          <w:rFonts w:ascii="Book Antiqua" w:eastAsia="Book Antiqua" w:hAnsi="Book Antiqua" w:cs="Book Antiqua"/>
          <w:sz w:val="20"/>
          <w:szCs w:val="20"/>
        </w:rPr>
        <w:t>identify the most significant challenges and to determine best practices for implementing innovative learning systems in</w:t>
      </w:r>
      <w:r>
        <w:rPr>
          <w:rFonts w:ascii="Book Antiqua" w:eastAsia="Book Antiqua" w:hAnsi="Book Antiqua" w:cs="Book Antiqua"/>
          <w:color w:val="000000"/>
          <w:sz w:val="20"/>
          <w:szCs w:val="20"/>
        </w:rPr>
        <w:t xml:space="preserve"> mathematics education in the context of the 4IR. Furthermore, this will examine how educators and schools are responding to digital innovation, which institutional resources are most </w:t>
      </w:r>
      <w:r>
        <w:rPr>
          <w:rFonts w:ascii="Book Antiqua" w:eastAsia="Book Antiqua" w:hAnsi="Book Antiqua" w:cs="Book Antiqua"/>
          <w:sz w:val="20"/>
          <w:szCs w:val="20"/>
        </w:rPr>
        <w:t>effective, and how these technologies can improve teaching strategies and</w:t>
      </w:r>
      <w:r>
        <w:rPr>
          <w:rFonts w:ascii="Book Antiqua" w:eastAsia="Book Antiqua" w:hAnsi="Book Antiqua" w:cs="Book Antiqua"/>
          <w:color w:val="000000"/>
          <w:sz w:val="20"/>
          <w:szCs w:val="20"/>
        </w:rPr>
        <w:t xml:space="preserve"> learning outcomes for students. This gap impedes the development of tailored, effective strategies for sustainable technology adoption. </w:t>
      </w:r>
    </w:p>
    <w:p w14:paraId="0000001A" w14:textId="77777777" w:rsidR="00AD4552" w:rsidRDefault="00AD4552">
      <w:pPr>
        <w:jc w:val="both"/>
        <w:rPr>
          <w:rFonts w:ascii="Book Antiqua" w:eastAsia="Book Antiqua" w:hAnsi="Book Antiqua" w:cs="Book Antiqua"/>
          <w:color w:val="000000"/>
          <w:sz w:val="20"/>
          <w:szCs w:val="20"/>
        </w:rPr>
      </w:pPr>
    </w:p>
    <w:p w14:paraId="0000001B"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Consequently, this study aimed to synthesize current knowledge on innovative learning systems in 4IR mathematics education, addressing key challenges and best practices across international, national, and local contexts, including the Philippines, to inform future policy and practice (</w:t>
      </w:r>
      <w:proofErr w:type="spellStart"/>
      <w:r>
        <w:rPr>
          <w:rFonts w:ascii="Book Antiqua" w:eastAsia="Book Antiqua" w:hAnsi="Book Antiqua" w:cs="Book Antiqua"/>
          <w:color w:val="000000"/>
          <w:sz w:val="20"/>
          <w:szCs w:val="20"/>
        </w:rPr>
        <w:t>Ukobizaba</w:t>
      </w:r>
      <w:proofErr w:type="spellEnd"/>
      <w:r>
        <w:rPr>
          <w:rFonts w:ascii="Book Antiqua" w:eastAsia="Book Antiqua" w:hAnsi="Book Antiqua" w:cs="Book Antiqua"/>
          <w:color w:val="000000"/>
          <w:sz w:val="20"/>
          <w:szCs w:val="20"/>
        </w:rPr>
        <w:t xml:space="preserve"> et al., 2022). The central question guiding this study is: "What are the key challenges and best practices in implementing innovative learning systems under the Fourth Industrial Revolution in teaching mathematics?</w:t>
      </w:r>
    </w:p>
    <w:p w14:paraId="0000001C" w14:textId="77777777" w:rsidR="00AD4552" w:rsidRDefault="00AD4552">
      <w:pPr>
        <w:jc w:val="both"/>
        <w:rPr>
          <w:rFonts w:ascii="Book Antiqua" w:eastAsia="Book Antiqua" w:hAnsi="Book Antiqua" w:cs="Book Antiqua"/>
          <w:b/>
          <w:bCs/>
          <w:color w:val="0E2841"/>
        </w:rPr>
      </w:pPr>
    </w:p>
    <w:p w14:paraId="0000001D" w14:textId="77777777" w:rsidR="00AD4552" w:rsidRDefault="00DD1D5F">
      <w:pPr>
        <w:jc w:val="both"/>
        <w:rPr>
          <w:rFonts w:ascii="Book Antiqua" w:eastAsia="Book Antiqua" w:hAnsi="Book Antiqua" w:cs="Book Antiqua"/>
          <w:b/>
          <w:bCs/>
          <w:color w:val="000000"/>
          <w:sz w:val="20"/>
          <w:szCs w:val="20"/>
        </w:rPr>
      </w:pPr>
      <w:r>
        <w:rPr>
          <w:rFonts w:ascii="Book Antiqua" w:eastAsia="Book Antiqua" w:hAnsi="Book Antiqua" w:cs="Book Antiqua"/>
          <w:b/>
          <w:bCs/>
          <w:color w:val="000000"/>
          <w:sz w:val="20"/>
          <w:szCs w:val="20"/>
        </w:rPr>
        <w:t>1.1 Theoretical Framework</w:t>
      </w:r>
    </w:p>
    <w:p w14:paraId="0000001E"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This research can be viewed </w:t>
      </w:r>
      <w:r>
        <w:rPr>
          <w:rFonts w:ascii="Book Antiqua" w:eastAsia="Book Antiqua" w:hAnsi="Book Antiqua" w:cs="Book Antiqua"/>
          <w:sz w:val="20"/>
          <w:szCs w:val="20"/>
        </w:rPr>
        <w:t xml:space="preserve">through the lens of </w:t>
      </w:r>
      <w:r>
        <w:rPr>
          <w:rFonts w:ascii="Book Antiqua" w:eastAsia="Book Antiqua" w:hAnsi="Book Antiqua" w:cs="Book Antiqua"/>
          <w:color w:val="000000"/>
          <w:sz w:val="20"/>
          <w:szCs w:val="20"/>
        </w:rPr>
        <w:t xml:space="preserve">the Unified Theory of Acceptance and Use of Technology by Venkatesh et al. (2003). The UTAUT theoretical model proposes that technology use is predicted by behavioral intention. The perceived probability of using the technology </w:t>
      </w:r>
      <w:r>
        <w:rPr>
          <w:rFonts w:ascii="Book Antiqua" w:eastAsia="Book Antiqua" w:hAnsi="Book Antiqua" w:cs="Book Antiqua"/>
          <w:sz w:val="20"/>
          <w:szCs w:val="20"/>
        </w:rPr>
        <w:t>is determined by the direct effects of four constructs:</w:t>
      </w:r>
      <w:r>
        <w:rPr>
          <w:rFonts w:ascii="Book Antiqua" w:eastAsia="Book Antiqua" w:hAnsi="Book Antiqua" w:cs="Book Antiqua"/>
          <w:color w:val="000000"/>
          <w:sz w:val="20"/>
          <w:szCs w:val="20"/>
        </w:rPr>
        <w:t xml:space="preserve"> performance expectancy, effort expectancy, social influence, and facilitating conditions (</w:t>
      </w:r>
      <w:proofErr w:type="spellStart"/>
      <w:r>
        <w:rPr>
          <w:rFonts w:ascii="Book Antiqua" w:eastAsia="Book Antiqua" w:hAnsi="Book Antiqua" w:cs="Book Antiqua"/>
          <w:color w:val="000000"/>
          <w:sz w:val="20"/>
          <w:szCs w:val="20"/>
        </w:rPr>
        <w:t>Marikyan</w:t>
      </w:r>
      <w:proofErr w:type="spellEnd"/>
      <w:r>
        <w:rPr>
          <w:rFonts w:ascii="Book Antiqua" w:eastAsia="Book Antiqua" w:hAnsi="Book Antiqua" w:cs="Book Antiqua"/>
          <w:color w:val="000000"/>
          <w:sz w:val="20"/>
          <w:szCs w:val="20"/>
        </w:rPr>
        <w:t xml:space="preserve"> &amp; </w:t>
      </w:r>
      <w:proofErr w:type="spellStart"/>
      <w:r>
        <w:rPr>
          <w:rFonts w:ascii="Book Antiqua" w:eastAsia="Book Antiqua" w:hAnsi="Book Antiqua" w:cs="Book Antiqua"/>
          <w:color w:val="000000"/>
          <w:sz w:val="20"/>
          <w:szCs w:val="20"/>
        </w:rPr>
        <w:t>Papagiannidis</w:t>
      </w:r>
      <w:proofErr w:type="spellEnd"/>
      <w:r>
        <w:rPr>
          <w:rFonts w:ascii="Book Antiqua" w:eastAsia="Book Antiqua" w:hAnsi="Book Antiqua" w:cs="Book Antiqua"/>
          <w:color w:val="000000"/>
          <w:sz w:val="20"/>
          <w:szCs w:val="20"/>
        </w:rPr>
        <w:t xml:space="preserve">, 2023). In the context of this study, UTAUT offers a useful </w:t>
      </w:r>
      <w:r>
        <w:rPr>
          <w:rFonts w:ascii="Book Antiqua" w:eastAsia="Book Antiqua" w:hAnsi="Book Antiqua" w:cs="Book Antiqua"/>
          <w:sz w:val="20"/>
          <w:szCs w:val="20"/>
        </w:rPr>
        <w:t>framework for analyzing how teachers and learners embrace and apply innovative learning technologies, such as adaptive systems, artificial intelligence software, gamified systems, and virtual/augmented reality, in math instruction</w:t>
      </w:r>
      <w:r>
        <w:rPr>
          <w:rFonts w:ascii="Book Antiqua" w:eastAsia="Book Antiqua" w:hAnsi="Book Antiqua" w:cs="Book Antiqua"/>
          <w:color w:val="000000"/>
          <w:sz w:val="20"/>
          <w:szCs w:val="20"/>
        </w:rPr>
        <w:t>. For example, if teachers feel that these tools will improve their teaching performance (performance expectancy), are simple to use (effort expectancy), are endorsed by peers and school leaders (social influence), and are supported by adequate infrastructure and training (facilitating conditions), they will more likely embrace and integrate them into their teaching practice.</w:t>
      </w:r>
    </w:p>
    <w:p w14:paraId="0000001F" w14:textId="77777777" w:rsidR="00AD4552" w:rsidRDefault="00AD4552">
      <w:pPr>
        <w:jc w:val="both"/>
        <w:rPr>
          <w:rFonts w:ascii="Book Antiqua" w:eastAsia="Book Antiqua" w:hAnsi="Book Antiqua" w:cs="Book Antiqua"/>
          <w:color w:val="000000"/>
          <w:sz w:val="20"/>
          <w:szCs w:val="20"/>
        </w:rPr>
      </w:pPr>
    </w:p>
    <w:p w14:paraId="00000020" w14:textId="77777777" w:rsidR="00AD4552" w:rsidRDefault="00DD1D5F">
      <w:pPr>
        <w:jc w:val="both"/>
        <w:rPr>
          <w:rFonts w:ascii="Book Antiqua" w:eastAsia="Book Antiqua" w:hAnsi="Book Antiqua" w:cs="Book Antiqua"/>
          <w:color w:val="000000"/>
          <w:sz w:val="20"/>
          <w:szCs w:val="20"/>
        </w:rPr>
      </w:pPr>
      <w:r>
        <w:rPr>
          <w:rFonts w:ascii="Book Antiqua" w:eastAsia="Book Antiqua" w:hAnsi="Book Antiqua" w:cs="Book Antiqua"/>
          <w:sz w:val="20"/>
          <w:szCs w:val="20"/>
        </w:rPr>
        <w:t>Using UTAUT, the research seeks to identify both the most common and optimal practices that affect</w:t>
      </w:r>
      <w:r>
        <w:rPr>
          <w:rFonts w:ascii="Book Antiqua" w:eastAsia="Book Antiqua" w:hAnsi="Book Antiqua" w:cs="Book Antiqua"/>
          <w:color w:val="000000"/>
          <w:sz w:val="20"/>
          <w:szCs w:val="20"/>
        </w:rPr>
        <w:t xml:space="preserve"> the effective integration of technology in teaching mathematics. Knowledge of these drivers is important for creating strategic interventions that facilitate technology integration, enhance learning </w:t>
      </w:r>
      <w:r>
        <w:rPr>
          <w:rFonts w:ascii="Book Antiqua" w:eastAsia="Book Antiqua" w:hAnsi="Book Antiqua" w:cs="Book Antiqua"/>
          <w:sz w:val="20"/>
          <w:szCs w:val="20"/>
        </w:rPr>
        <w:t>outcomes, and equip learners to meet the challenges of a technologically enhanced world shaped</w:t>
      </w:r>
      <w:r>
        <w:rPr>
          <w:rFonts w:ascii="Book Antiqua" w:eastAsia="Book Antiqua" w:hAnsi="Book Antiqua" w:cs="Book Antiqua"/>
          <w:color w:val="000000"/>
          <w:sz w:val="20"/>
          <w:szCs w:val="20"/>
        </w:rPr>
        <w:t xml:space="preserve"> by the 4IR.</w:t>
      </w:r>
    </w:p>
    <w:p w14:paraId="00000021" w14:textId="77777777" w:rsidR="00AD4552" w:rsidRDefault="00AD4552">
      <w:pPr>
        <w:jc w:val="both"/>
        <w:rPr>
          <w:rFonts w:ascii="Book Antiqua" w:eastAsia="Book Antiqua" w:hAnsi="Book Antiqua" w:cs="Book Antiqua"/>
          <w:color w:val="000000"/>
          <w:sz w:val="20"/>
          <w:szCs w:val="20"/>
        </w:rPr>
      </w:pPr>
    </w:p>
    <w:p w14:paraId="00000022" w14:textId="77777777" w:rsidR="00AD4552" w:rsidRDefault="00DD1D5F">
      <w:pPr>
        <w:jc w:val="both"/>
        <w:rPr>
          <w:rFonts w:ascii="Book Antiqua" w:eastAsia="Book Antiqua" w:hAnsi="Book Antiqua" w:cs="Book Antiqua"/>
          <w:b/>
          <w:bCs/>
          <w:sz w:val="20"/>
          <w:szCs w:val="20"/>
        </w:rPr>
      </w:pPr>
      <w:r>
        <w:rPr>
          <w:rFonts w:ascii="Book Antiqua" w:eastAsia="Book Antiqua" w:hAnsi="Book Antiqua" w:cs="Book Antiqua"/>
          <w:b/>
          <w:bCs/>
          <w:sz w:val="20"/>
          <w:szCs w:val="20"/>
        </w:rPr>
        <w:t>1.2 The Fourth Industrial Revolution (</w:t>
      </w:r>
      <w:proofErr w:type="spellStart"/>
      <w:r>
        <w:rPr>
          <w:rFonts w:ascii="Book Antiqua" w:eastAsia="Book Antiqua" w:hAnsi="Book Antiqua" w:cs="Book Antiqua"/>
          <w:b/>
          <w:bCs/>
          <w:sz w:val="20"/>
          <w:szCs w:val="20"/>
        </w:rPr>
        <w:t>FIRe</w:t>
      </w:r>
      <w:proofErr w:type="spellEnd"/>
      <w:r>
        <w:rPr>
          <w:rFonts w:ascii="Book Antiqua" w:eastAsia="Book Antiqua" w:hAnsi="Book Antiqua" w:cs="Book Antiqua"/>
          <w:b/>
          <w:bCs/>
          <w:sz w:val="20"/>
          <w:szCs w:val="20"/>
        </w:rPr>
        <w:t>)</w:t>
      </w:r>
    </w:p>
    <w:p w14:paraId="00000023" w14:textId="77777777" w:rsidR="00AD4552" w:rsidRDefault="00DD1D5F">
      <w:pPr>
        <w:spacing w:after="240"/>
        <w:jc w:val="both"/>
        <w:rPr>
          <w:rFonts w:ascii="Book Antiqua" w:eastAsia="Book Antiqua" w:hAnsi="Book Antiqua" w:cs="Book Antiqua"/>
          <w:b/>
          <w:bCs/>
          <w:sz w:val="20"/>
          <w:szCs w:val="20"/>
        </w:rPr>
      </w:pPr>
      <w:r>
        <w:rPr>
          <w:rFonts w:ascii="Book Antiqua" w:eastAsia="Book Antiqua" w:hAnsi="Book Antiqua" w:cs="Book Antiqua"/>
          <w:sz w:val="20"/>
          <w:szCs w:val="20"/>
        </w:rPr>
        <w:t>The Fourth Industrial Revolution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extends beyond technological advancements, introducing disruptive innovations that significantly impact core sectors such as education, healthcare, and business. Historically, each industrial revolution has reshaped educational priorities—ranging from standardized learning in the First Industrial Revolution (Barlow, 1967) to mass production-driven education in the Second Industrial Revolution and the marketization of learning in the Third Industrial Revolution (Eliot, 1869). In the current era,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blurs the boundaries between digital, physical, and biological spheres, making curriculum integration increasingly complex due to the interdependence of subjects. This shift necessitates alternative educational models that emphasize learning, unlearning, and relearning, ensuring adaptability to evolving societal needs (Bucciarelli &amp; Drew, 2015).</w:t>
      </w:r>
    </w:p>
    <w:p w14:paraId="00000024" w14:textId="77777777" w:rsidR="00AD4552" w:rsidRDefault="00DD1D5F">
      <w:pPr>
        <w:spacing w:before="240" w:after="240"/>
        <w:jc w:val="both"/>
        <w:rPr>
          <w:rFonts w:ascii="Book Antiqua" w:eastAsia="Book Antiqua" w:hAnsi="Book Antiqua" w:cs="Book Antiqua"/>
          <w:b/>
          <w:bCs/>
          <w:sz w:val="20"/>
          <w:szCs w:val="20"/>
        </w:rPr>
      </w:pPr>
      <w:r>
        <w:rPr>
          <w:rFonts w:ascii="Book Antiqua" w:eastAsia="Book Antiqua" w:hAnsi="Book Antiqua" w:cs="Book Antiqua"/>
          <w:sz w:val="20"/>
          <w:szCs w:val="20"/>
        </w:rPr>
        <w:t>Disruptive innovation is redefining higher education by transforming traditional content delivery methods. The rise of artificial intelligence, robotics, automation, and genetic engineering introduces new ethical dilemmas, particularly in genetic research. While genetic engineering holds promise for disease prevention, concerns arise regarding over-manipulation of genetic traits and the establishment of ethical boundaries (Al-</w:t>
      </w:r>
      <w:proofErr w:type="spellStart"/>
      <w:r>
        <w:rPr>
          <w:rFonts w:ascii="Book Antiqua" w:eastAsia="Book Antiqua" w:hAnsi="Book Antiqua" w:cs="Book Antiqua"/>
          <w:sz w:val="20"/>
          <w:szCs w:val="20"/>
        </w:rPr>
        <w:t>Rodhan</w:t>
      </w:r>
      <w:proofErr w:type="spellEnd"/>
      <w:r>
        <w:rPr>
          <w:rFonts w:ascii="Book Antiqua" w:eastAsia="Book Antiqua" w:hAnsi="Book Antiqua" w:cs="Book Antiqua"/>
          <w:sz w:val="20"/>
          <w:szCs w:val="20"/>
        </w:rPr>
        <w:t>, 2015). Similarly, AI-driven autonomous systems, including robotics and militarized technologies, lack moral reasoning, raising questions about whose ethical standards should govern their decision-making processes (Silva et al., 2020). Scholars such as Wendell Wallach and Gary Marchant advocate for governance coordinating committees to regulate technological advancements, ensuring they align with societal values (Marchant &amp; Wallach, 2020).</w:t>
      </w:r>
    </w:p>
    <w:p w14:paraId="00000025" w14:textId="77777777" w:rsidR="00AD4552" w:rsidRDefault="00DD1D5F">
      <w:pPr>
        <w:spacing w:before="240" w:after="240"/>
        <w:jc w:val="both"/>
        <w:rPr>
          <w:rFonts w:ascii="Book Antiqua" w:eastAsia="Book Antiqua" w:hAnsi="Book Antiqua" w:cs="Book Antiqua"/>
          <w:b/>
          <w:bCs/>
          <w:sz w:val="20"/>
          <w:szCs w:val="20"/>
        </w:rPr>
      </w:pPr>
      <w:r>
        <w:rPr>
          <w:rFonts w:ascii="Book Antiqua" w:eastAsia="Book Antiqua" w:hAnsi="Book Antiqua" w:cs="Book Antiqua"/>
          <w:sz w:val="20"/>
          <w:szCs w:val="20"/>
        </w:rPr>
        <w:t xml:space="preserve">Furthermore,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has accelerated the shift toward online education, reducing human interaction while increasing human-machine engagement. This transition presents challenges, particularly in engineering education, where laboratory experiences and hands-on learning are essential. Traditional face-to-face learning fosters critical thinking, collaboration, and innovation, elements that are difficult to replicate in fully digital environments (Silva et al., 2020). As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continues to reshape education, scholars emphasize the need for agile governance and interdisciplinary collaboration to address emerging challenges and ensure that technological advancements enhance, rather than diminish, human-centered learning experiences (Swarup, 2024). </w:t>
      </w:r>
    </w:p>
    <w:p w14:paraId="00000026" w14:textId="77777777" w:rsidR="00AD4552" w:rsidRDefault="00DD1D5F">
      <w:pPr>
        <w:spacing w:before="240"/>
        <w:jc w:val="both"/>
        <w:rPr>
          <w:rFonts w:ascii="Book Antiqua" w:eastAsia="Book Antiqua" w:hAnsi="Book Antiqua" w:cs="Book Antiqua"/>
          <w:b/>
          <w:bCs/>
          <w:sz w:val="20"/>
          <w:szCs w:val="20"/>
        </w:rPr>
      </w:pPr>
      <w:r>
        <w:rPr>
          <w:rFonts w:ascii="Book Antiqua" w:eastAsia="Book Antiqua" w:hAnsi="Book Antiqua" w:cs="Book Antiqua"/>
          <w:b/>
          <w:bCs/>
          <w:sz w:val="20"/>
          <w:szCs w:val="20"/>
        </w:rPr>
        <w:t>1.3 The Fourth Industrial Revolution and Implications for Mathematics Education</w:t>
      </w:r>
    </w:p>
    <w:p w14:paraId="00000027" w14:textId="77777777" w:rsidR="00AD4552" w:rsidRDefault="00DD1D5F">
      <w:pPr>
        <w:spacing w:after="240"/>
        <w:jc w:val="both"/>
        <w:rPr>
          <w:rFonts w:ascii="Book Antiqua" w:eastAsia="Book Antiqua" w:hAnsi="Book Antiqua" w:cs="Book Antiqua"/>
          <w:sz w:val="20"/>
          <w:szCs w:val="20"/>
        </w:rPr>
      </w:pPr>
      <w:r>
        <w:rPr>
          <w:rFonts w:ascii="Book Antiqua" w:eastAsia="Book Antiqua" w:hAnsi="Book Antiqua" w:cs="Book Antiqua"/>
          <w:sz w:val="20"/>
          <w:szCs w:val="20"/>
        </w:rPr>
        <w:t>The Fourth Industrial Revolution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is transforming education by integrating advanced technologies such as artificial intelligence (AI), big data, cloud computing, and the Internet of Things (IoT), resulting in enhanced learning experiences, personalized education, and automated instructional methods. One of the primary benefits of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in education is the shift toward digital learning environments, which provide students with flexible, accessible, and interactive learning platforms (Yadav, 2024). These technologies enable adaptive learning systems, allowing students to receive personalized feedback and tailored educational content based on their individual learning needs (Reimers, 2019). Additionally,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fosters collaborative learning, where students and educators can engage in virtual classrooms, online discussions, and global knowledge-sharing networks, breaking geographical barriers and promoting inclusive education (</w:t>
      </w:r>
      <w:proofErr w:type="spellStart"/>
      <w:r>
        <w:rPr>
          <w:rFonts w:ascii="Book Antiqua" w:eastAsia="Book Antiqua" w:hAnsi="Book Antiqua" w:cs="Book Antiqua"/>
          <w:sz w:val="20"/>
          <w:szCs w:val="20"/>
        </w:rPr>
        <w:t>Zamiri</w:t>
      </w:r>
      <w:proofErr w:type="spellEnd"/>
      <w:r>
        <w:rPr>
          <w:rFonts w:ascii="Book Antiqua" w:eastAsia="Book Antiqua" w:hAnsi="Book Antiqua" w:cs="Book Antiqua"/>
          <w:sz w:val="20"/>
          <w:szCs w:val="20"/>
        </w:rPr>
        <w:t xml:space="preserve"> &amp; </w:t>
      </w:r>
      <w:proofErr w:type="spellStart"/>
      <w:r>
        <w:rPr>
          <w:rFonts w:ascii="Book Antiqua" w:eastAsia="Book Antiqua" w:hAnsi="Book Antiqua" w:cs="Book Antiqua"/>
          <w:sz w:val="20"/>
          <w:szCs w:val="20"/>
        </w:rPr>
        <w:t>Esmaeili</w:t>
      </w:r>
      <w:proofErr w:type="spellEnd"/>
      <w:r>
        <w:rPr>
          <w:rFonts w:ascii="Book Antiqua" w:eastAsia="Book Antiqua" w:hAnsi="Book Antiqua" w:cs="Book Antiqua"/>
          <w:sz w:val="20"/>
          <w:szCs w:val="20"/>
        </w:rPr>
        <w:t xml:space="preserve">, 2024). </w:t>
      </w:r>
    </w:p>
    <w:p w14:paraId="00000028" w14:textId="77777777" w:rsidR="00AD4552" w:rsidRDefault="00DD1D5F">
      <w:pPr>
        <w:spacing w:after="240"/>
        <w:jc w:val="both"/>
        <w:rPr>
          <w:rFonts w:ascii="Book Antiqua" w:eastAsia="Book Antiqua" w:hAnsi="Book Antiqua" w:cs="Book Antiqua"/>
          <w:sz w:val="20"/>
          <w:szCs w:val="20"/>
        </w:rPr>
      </w:pPr>
      <w:r>
        <w:rPr>
          <w:rFonts w:ascii="Book Antiqua" w:eastAsia="Book Antiqua" w:hAnsi="Book Antiqua" w:cs="Book Antiqua"/>
          <w:sz w:val="20"/>
          <w:szCs w:val="20"/>
        </w:rPr>
        <w:t xml:space="preserve">Furthermore,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enhances critical thinking and problem-solving skills by integrating data-driven decision-making and AI-powered analytics into educational frameworks, helping students develop analytical reasoning and computational skills essential for the modern workforce (OEB Insights, 2019). The automation of administrative tasks, such as grading and student assessments, allows educators to focus more on interactive and creative teaching methodologies, improving overall instructional efficiency (Yadav, 2024). Additionally,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supports lifelong learning, enabling professionals to continuously update their skills through online courses, virtual training programs, and AI-driven learning assistants.</w:t>
      </w:r>
    </w:p>
    <w:p w14:paraId="00000029" w14:textId="77777777" w:rsidR="00AD4552" w:rsidRDefault="00DD1D5F">
      <w:pPr>
        <w:spacing w:after="240"/>
        <w:jc w:val="both"/>
        <w:rPr>
          <w:rFonts w:ascii="Book Antiqua" w:eastAsia="Book Antiqua" w:hAnsi="Book Antiqua" w:cs="Book Antiqua"/>
          <w:b/>
          <w:bCs/>
          <w:sz w:val="20"/>
          <w:szCs w:val="20"/>
        </w:rPr>
      </w:pPr>
      <w:r>
        <w:rPr>
          <w:rFonts w:ascii="Book Antiqua" w:eastAsia="Book Antiqua" w:hAnsi="Book Antiqua" w:cs="Book Antiqua"/>
          <w:sz w:val="20"/>
          <w:szCs w:val="20"/>
        </w:rPr>
        <w:t xml:space="preserve">Despite its advantages,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 xml:space="preserve"> also presents challenges, including digital literacy gaps, infrastructure limitations, and ethical concerns about AI and automation. Addressing these issues requires strategic policy interventions, </w:t>
      </w:r>
      <w:r>
        <w:rPr>
          <w:rFonts w:ascii="Book Antiqua" w:eastAsia="Book Antiqua" w:hAnsi="Book Antiqua" w:cs="Book Antiqua"/>
          <w:sz w:val="20"/>
          <w:szCs w:val="20"/>
        </w:rPr>
        <w:lastRenderedPageBreak/>
        <w:t xml:space="preserve">investment in teacher training, and equitable access to technology to ensure that all learners benefit from </w:t>
      </w:r>
      <w:proofErr w:type="spellStart"/>
      <w:r>
        <w:rPr>
          <w:rFonts w:ascii="Book Antiqua" w:eastAsia="Book Antiqua" w:hAnsi="Book Antiqua" w:cs="Book Antiqua"/>
          <w:sz w:val="20"/>
          <w:szCs w:val="20"/>
        </w:rPr>
        <w:t>FIRe's</w:t>
      </w:r>
      <w:proofErr w:type="spellEnd"/>
      <w:r>
        <w:rPr>
          <w:rFonts w:ascii="Book Antiqua" w:eastAsia="Book Antiqua" w:hAnsi="Book Antiqua" w:cs="Book Antiqua"/>
          <w:sz w:val="20"/>
          <w:szCs w:val="20"/>
        </w:rPr>
        <w:t xml:space="preserve"> advancements (Yadav, 2024). As education continues to evolve, embracing </w:t>
      </w:r>
      <w:proofErr w:type="spellStart"/>
      <w:r>
        <w:rPr>
          <w:rFonts w:ascii="Book Antiqua" w:eastAsia="Book Antiqua" w:hAnsi="Book Antiqua" w:cs="Book Antiqua"/>
          <w:sz w:val="20"/>
          <w:szCs w:val="20"/>
        </w:rPr>
        <w:t>FIRe</w:t>
      </w:r>
      <w:proofErr w:type="spellEnd"/>
      <w:r>
        <w:rPr>
          <w:rFonts w:ascii="Book Antiqua" w:eastAsia="Book Antiqua" w:hAnsi="Book Antiqua" w:cs="Book Antiqua"/>
          <w:sz w:val="20"/>
          <w:szCs w:val="20"/>
        </w:rPr>
        <w:t>-driven innovations will be crucial in preparing students for the demands of a technology-driven global economy.</w:t>
      </w:r>
    </w:p>
    <w:p w14:paraId="0000002A" w14:textId="77777777" w:rsidR="00AD4552" w:rsidRDefault="00DD1D5F">
      <w:pPr>
        <w:jc w:val="both"/>
        <w:rPr>
          <w:rFonts w:ascii="Book Antiqua" w:eastAsia="Book Antiqua" w:hAnsi="Book Antiqua" w:cs="Book Antiqua"/>
          <w:b/>
          <w:bCs/>
          <w:color w:val="000000"/>
          <w:sz w:val="20"/>
          <w:szCs w:val="20"/>
        </w:rPr>
      </w:pPr>
      <w:r>
        <w:rPr>
          <w:rFonts w:ascii="Book Antiqua" w:eastAsia="Book Antiqua" w:hAnsi="Book Antiqua" w:cs="Book Antiqua"/>
          <w:b/>
          <w:bCs/>
          <w:color w:val="000000"/>
          <w:sz w:val="20"/>
          <w:szCs w:val="20"/>
        </w:rPr>
        <w:t xml:space="preserve">1.4 The Key Challenges </w:t>
      </w:r>
      <w:proofErr w:type="gramStart"/>
      <w:r>
        <w:rPr>
          <w:rFonts w:ascii="Book Antiqua" w:eastAsia="Book Antiqua" w:hAnsi="Book Antiqua" w:cs="Book Antiqua"/>
          <w:b/>
          <w:bCs/>
          <w:color w:val="000000"/>
          <w:sz w:val="20"/>
          <w:szCs w:val="20"/>
        </w:rPr>
        <w:t>In</w:t>
      </w:r>
      <w:proofErr w:type="gramEnd"/>
      <w:r>
        <w:rPr>
          <w:rFonts w:ascii="Book Antiqua" w:eastAsia="Book Antiqua" w:hAnsi="Book Antiqua" w:cs="Book Antiqua"/>
          <w:b/>
          <w:bCs/>
          <w:color w:val="000000"/>
          <w:sz w:val="20"/>
          <w:szCs w:val="20"/>
        </w:rPr>
        <w:t xml:space="preserve"> Implementing And Scaling Innovative Fire-Based Learning Systems In Mathematics Classrooms</w:t>
      </w:r>
    </w:p>
    <w:p w14:paraId="0000002B" w14:textId="77777777" w:rsidR="00AD4552" w:rsidRDefault="00DD1D5F">
      <w:p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Implementing and scaling Fourth Industrial Revolution (</w:t>
      </w:r>
      <w:proofErr w:type="spellStart"/>
      <w:r>
        <w:rPr>
          <w:rFonts w:ascii="Book Antiqua" w:eastAsia="Book Antiqua" w:hAnsi="Book Antiqua" w:cs="Book Antiqua"/>
          <w:color w:val="000000"/>
          <w:sz w:val="20"/>
          <w:szCs w:val="20"/>
        </w:rPr>
        <w:t>FIRe</w:t>
      </w:r>
      <w:proofErr w:type="spellEnd"/>
      <w:r>
        <w:rPr>
          <w:rFonts w:ascii="Book Antiqua" w:eastAsia="Book Antiqua" w:hAnsi="Book Antiqua" w:cs="Book Antiqua"/>
          <w:color w:val="000000"/>
          <w:sz w:val="20"/>
          <w:szCs w:val="20"/>
        </w:rPr>
        <w:t xml:space="preserve">)-based learning systems in mathematics education faces significant challenges, primarily due to educator resistance, institutional barriers, and resource constraints. Zimmerman (2006) highlights that teachers often resist adopting new methodologies due to comfort with traditional practices, skepticism about technology's effectiveness, and concerns over increased workload. Similarly, Trujillo-Torres et al. (2020) emphasize the critical role of teacher motivation in integrating Information and Communication Technologies (ICT) into mathematics instruction, noting that personal attitudes and beliefs significantly impact adoption. To address these barriers, </w:t>
      </w:r>
      <w:proofErr w:type="spellStart"/>
      <w:r>
        <w:rPr>
          <w:rFonts w:ascii="Book Antiqua" w:eastAsia="Book Antiqua" w:hAnsi="Book Antiqua" w:cs="Book Antiqua"/>
          <w:color w:val="000000"/>
          <w:sz w:val="20"/>
          <w:szCs w:val="20"/>
        </w:rPr>
        <w:t>Copur-Gencturk</w:t>
      </w:r>
      <w:proofErr w:type="spellEnd"/>
      <w:r>
        <w:rPr>
          <w:rFonts w:ascii="Book Antiqua" w:eastAsia="Book Antiqua" w:hAnsi="Book Antiqua" w:cs="Book Antiqua"/>
          <w:color w:val="000000"/>
          <w:sz w:val="20"/>
          <w:szCs w:val="20"/>
        </w:rPr>
        <w:t xml:space="preserve"> et al. (2023) advocate for scalable professional development programs that offer just-in-time feedback, enhancing both content knowledge and pedagogical expertise. Phillips et al. (2016) further demonstrate that metacognitive training within professional development initiatives leads to sustained improvements in student achievement, reinforcing the importance of reflective teaching practices. The establishment of Professional Learning Communities (PLCs), as explored by Ramli and Mohamad </w:t>
      </w:r>
      <w:proofErr w:type="spellStart"/>
      <w:r>
        <w:rPr>
          <w:rFonts w:ascii="Book Antiqua" w:eastAsia="Book Antiqua" w:hAnsi="Book Antiqua" w:cs="Book Antiqua"/>
          <w:color w:val="000000"/>
          <w:sz w:val="20"/>
          <w:szCs w:val="20"/>
        </w:rPr>
        <w:t>Arsad</w:t>
      </w:r>
      <w:proofErr w:type="spellEnd"/>
      <w:r>
        <w:rPr>
          <w:rFonts w:ascii="Book Antiqua" w:eastAsia="Book Antiqua" w:hAnsi="Book Antiqua" w:cs="Book Antiqua"/>
          <w:color w:val="000000"/>
          <w:sz w:val="20"/>
          <w:szCs w:val="20"/>
        </w:rPr>
        <w:t xml:space="preserve"> (2024), </w:t>
      </w:r>
      <w:r>
        <w:rPr>
          <w:rFonts w:ascii="Book Antiqua" w:eastAsia="Book Antiqua" w:hAnsi="Book Antiqua" w:cs="Book Antiqua"/>
          <w:sz w:val="20"/>
          <w:szCs w:val="20"/>
        </w:rPr>
        <w:t>is crucial for</w:t>
      </w:r>
      <w:r>
        <w:rPr>
          <w:rFonts w:ascii="Book Antiqua" w:eastAsia="Book Antiqua" w:hAnsi="Book Antiqua" w:cs="Book Antiqua"/>
          <w:color w:val="000000"/>
          <w:sz w:val="20"/>
          <w:szCs w:val="20"/>
        </w:rPr>
        <w:t xml:space="preserve"> digital integration, fostering a collaborative environment for continuous learning among educators. Additionally, limited access to financial and material resources presents another challenge. Thurm et al. (2020) highlight that insufficient technological infrastructure and inadequate training hinder effective digital transformation in mathematics education. Barquero et al. (2018) support this finding by identifying institutional constraints, such as time limitations and a lack of appropriate materials, as major obstacles to implementing mathematical modeling in classrooms. Strategic investment in infrastructure, continuous technical support, and dedicated time for professional development are essential for overcoming these challenges.</w:t>
      </w:r>
    </w:p>
    <w:p w14:paraId="0000002C" w14:textId="77777777" w:rsidR="00AD4552" w:rsidRDefault="00AD4552">
      <w:pPr>
        <w:pBdr>
          <w:top w:val="nil"/>
          <w:left w:val="nil"/>
          <w:bottom w:val="nil"/>
          <w:right w:val="nil"/>
          <w:between w:val="nil"/>
        </w:pBdr>
        <w:jc w:val="both"/>
        <w:rPr>
          <w:rFonts w:ascii="Book Antiqua" w:eastAsia="Book Antiqua" w:hAnsi="Book Antiqua" w:cs="Book Antiqua"/>
          <w:color w:val="000000"/>
          <w:sz w:val="20"/>
          <w:szCs w:val="20"/>
        </w:rPr>
      </w:pPr>
    </w:p>
    <w:p w14:paraId="0000002D" w14:textId="77777777" w:rsidR="00AD4552" w:rsidRDefault="00DD1D5F">
      <w:p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Furthermore, recent studies</w:t>
      </w:r>
      <w:r>
        <w:rPr>
          <w:rFonts w:ascii="Book Antiqua" w:eastAsia="Book Antiqua" w:hAnsi="Book Antiqua" w:cs="Book Antiqua"/>
          <w:sz w:val="20"/>
          <w:szCs w:val="20"/>
        </w:rPr>
        <w:t xml:space="preserve">, such as those by </w:t>
      </w:r>
      <w:proofErr w:type="spellStart"/>
      <w:r>
        <w:rPr>
          <w:rFonts w:ascii="Book Antiqua" w:eastAsia="Book Antiqua" w:hAnsi="Book Antiqua" w:cs="Book Antiqua"/>
          <w:sz w:val="20"/>
          <w:szCs w:val="20"/>
        </w:rPr>
        <w:t>Xayrullayevna</w:t>
      </w:r>
      <w:proofErr w:type="spellEnd"/>
      <w:r>
        <w:rPr>
          <w:rFonts w:ascii="Book Antiqua" w:eastAsia="Book Antiqua" w:hAnsi="Book Antiqua" w:cs="Book Antiqua"/>
          <w:sz w:val="20"/>
          <w:szCs w:val="20"/>
        </w:rPr>
        <w:t xml:space="preserve"> et al. (2025), underscore the importance of transformative approaches, such as</w:t>
      </w:r>
      <w:r>
        <w:rPr>
          <w:rFonts w:ascii="Book Antiqua" w:eastAsia="Book Antiqua" w:hAnsi="Book Antiqua" w:cs="Book Antiqua"/>
          <w:color w:val="000000"/>
          <w:sz w:val="20"/>
          <w:szCs w:val="20"/>
        </w:rPr>
        <w:t xml:space="preserve"> flipped classrooms and gamification, which enhance student engagement and improve conceptual learning. </w:t>
      </w:r>
      <w:r>
        <w:rPr>
          <w:rFonts w:ascii="Book Antiqua" w:eastAsia="Book Antiqua" w:hAnsi="Book Antiqua" w:cs="Book Antiqua"/>
          <w:sz w:val="20"/>
          <w:szCs w:val="20"/>
        </w:rPr>
        <w:t>Nwachukwu et al. (2025)</w:t>
      </w:r>
      <w:r>
        <w:rPr>
          <w:rFonts w:ascii="Book Antiqua" w:eastAsia="Book Antiqua" w:hAnsi="Book Antiqua" w:cs="Book Antiqua"/>
          <w:color w:val="000000"/>
          <w:sz w:val="20"/>
          <w:szCs w:val="20"/>
        </w:rPr>
        <w:t xml:space="preserve"> explore the potential of adaptive learning systems </w:t>
      </w:r>
      <w:r>
        <w:rPr>
          <w:rFonts w:ascii="Book Antiqua" w:eastAsia="Book Antiqua" w:hAnsi="Book Antiqua" w:cs="Book Antiqua"/>
          <w:sz w:val="20"/>
          <w:szCs w:val="20"/>
        </w:rPr>
        <w:t>to personalize education, address student diversity, and optimize</w:t>
      </w:r>
      <w:r>
        <w:rPr>
          <w:rFonts w:ascii="Book Antiqua" w:eastAsia="Book Antiqua" w:hAnsi="Book Antiqua" w:cs="Book Antiqua"/>
          <w:color w:val="000000"/>
          <w:sz w:val="20"/>
          <w:szCs w:val="20"/>
        </w:rPr>
        <w:t xml:space="preserve"> assessment methodologies. </w:t>
      </w:r>
      <w:r>
        <w:rPr>
          <w:rFonts w:ascii="Book Antiqua" w:eastAsia="Book Antiqua" w:hAnsi="Book Antiqua" w:cs="Book Antiqua"/>
          <w:sz w:val="20"/>
          <w:szCs w:val="20"/>
        </w:rPr>
        <w:t xml:space="preserve">Yurtseven Avci et al. (2020) identify systemic barriers and emphasize the need for teacher involvement in curriculum development and in </w:t>
      </w:r>
      <w:r>
        <w:rPr>
          <w:rFonts w:ascii="Book Antiqua" w:eastAsia="Book Antiqua" w:hAnsi="Book Antiqua" w:cs="Book Antiqua"/>
          <w:color w:val="000000"/>
          <w:sz w:val="20"/>
          <w:szCs w:val="20"/>
        </w:rPr>
        <w:t xml:space="preserve">professional communities to facilitate meaningful technology integration. Collectively, these studies emphasize that </w:t>
      </w:r>
      <w:r>
        <w:rPr>
          <w:rFonts w:ascii="Book Antiqua" w:eastAsia="Book Antiqua" w:hAnsi="Book Antiqua" w:cs="Book Antiqua"/>
          <w:sz w:val="20"/>
          <w:szCs w:val="20"/>
        </w:rPr>
        <w:t xml:space="preserve">the </w:t>
      </w:r>
      <w:r>
        <w:rPr>
          <w:rFonts w:ascii="Book Antiqua" w:eastAsia="Book Antiqua" w:hAnsi="Book Antiqua" w:cs="Book Antiqua"/>
          <w:color w:val="000000"/>
          <w:sz w:val="20"/>
          <w:szCs w:val="20"/>
        </w:rPr>
        <w:t xml:space="preserve">successful implementation of </w:t>
      </w:r>
      <w:proofErr w:type="spellStart"/>
      <w:r>
        <w:rPr>
          <w:rFonts w:ascii="Book Antiqua" w:eastAsia="Book Antiqua" w:hAnsi="Book Antiqua" w:cs="Book Antiqua"/>
          <w:color w:val="000000"/>
          <w:sz w:val="20"/>
          <w:szCs w:val="20"/>
        </w:rPr>
        <w:t>FIRe</w:t>
      </w:r>
      <w:proofErr w:type="spellEnd"/>
      <w:r>
        <w:rPr>
          <w:rFonts w:ascii="Book Antiqua" w:eastAsia="Book Antiqua" w:hAnsi="Book Antiqua" w:cs="Book Antiqua"/>
          <w:color w:val="000000"/>
          <w:sz w:val="20"/>
          <w:szCs w:val="20"/>
        </w:rPr>
        <w:t>-based learning systems requires a combination of educator readiness, institutional support, and strategic policy interventions to ensure sustainable, technology-driven mathematical education.</w:t>
      </w:r>
    </w:p>
    <w:p w14:paraId="0000002E" w14:textId="77777777" w:rsidR="00AD4552" w:rsidRDefault="00AD4552">
      <w:pPr>
        <w:pBdr>
          <w:top w:val="nil"/>
          <w:left w:val="nil"/>
          <w:bottom w:val="nil"/>
          <w:right w:val="nil"/>
          <w:between w:val="nil"/>
        </w:pBdr>
        <w:jc w:val="both"/>
        <w:rPr>
          <w:rFonts w:ascii="Book Antiqua" w:eastAsia="Book Antiqua" w:hAnsi="Book Antiqua" w:cs="Book Antiqua"/>
          <w:color w:val="000000"/>
          <w:sz w:val="20"/>
          <w:szCs w:val="20"/>
        </w:rPr>
      </w:pPr>
    </w:p>
    <w:p w14:paraId="0000002F" w14:textId="77777777" w:rsidR="00AD4552" w:rsidRDefault="00DD1D5F">
      <w:p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Expanding on the challenges of implementing and scaling Fourth Industrial Revolution (</w:t>
      </w:r>
      <w:proofErr w:type="spellStart"/>
      <w:r>
        <w:rPr>
          <w:rFonts w:ascii="Book Antiqua" w:eastAsia="Book Antiqua" w:hAnsi="Book Antiqua" w:cs="Book Antiqua"/>
          <w:color w:val="000000"/>
          <w:sz w:val="20"/>
          <w:szCs w:val="20"/>
        </w:rPr>
        <w:t>FIRe</w:t>
      </w:r>
      <w:proofErr w:type="spellEnd"/>
      <w:r>
        <w:rPr>
          <w:rFonts w:ascii="Book Antiqua" w:eastAsia="Book Antiqua" w:hAnsi="Book Antiqua" w:cs="Book Antiqua"/>
          <w:color w:val="000000"/>
          <w:sz w:val="20"/>
          <w:szCs w:val="20"/>
        </w:rPr>
        <w:t xml:space="preserve">)-based learning systems in mathematics education, additional studies highlight further complexities and potential solutions. </w:t>
      </w:r>
      <w:proofErr w:type="spellStart"/>
      <w:r>
        <w:rPr>
          <w:rFonts w:ascii="Book Antiqua" w:eastAsia="Book Antiqua" w:hAnsi="Book Antiqua" w:cs="Book Antiqua"/>
          <w:sz w:val="20"/>
          <w:szCs w:val="20"/>
        </w:rPr>
        <w:t>Xayrullayevna</w:t>
      </w:r>
      <w:proofErr w:type="spellEnd"/>
      <w:r>
        <w:rPr>
          <w:rFonts w:ascii="Book Antiqua" w:eastAsia="Book Antiqua" w:hAnsi="Book Antiqua" w:cs="Book Antiqua"/>
          <w:sz w:val="20"/>
          <w:szCs w:val="20"/>
        </w:rPr>
        <w:t xml:space="preserve"> et al. (2025) underscore</w:t>
      </w:r>
      <w:r>
        <w:rPr>
          <w:rFonts w:ascii="Book Antiqua" w:eastAsia="Book Antiqua" w:hAnsi="Book Antiqua" w:cs="Book Antiqua"/>
          <w:color w:val="000000"/>
          <w:sz w:val="20"/>
          <w:szCs w:val="20"/>
        </w:rPr>
        <w:t xml:space="preserve"> the importance of transformative teaching approaches, such as flipped classrooms and gamification, which have been shown to enhance student engagement and conceptual understanding. These methods encourage active learning and foster deeper mathematical reasoning, addressing the challenge of passive learning in traditional classrooms. </w:t>
      </w:r>
      <w:r>
        <w:rPr>
          <w:rFonts w:ascii="Book Antiqua" w:eastAsia="Book Antiqua" w:hAnsi="Book Antiqua" w:cs="Book Antiqua"/>
          <w:sz w:val="20"/>
          <w:szCs w:val="20"/>
        </w:rPr>
        <w:t xml:space="preserve">Nwachukwu et al. (2025) </w:t>
      </w:r>
      <w:r>
        <w:rPr>
          <w:rFonts w:ascii="Book Antiqua" w:eastAsia="Book Antiqua" w:hAnsi="Book Antiqua" w:cs="Book Antiqua"/>
          <w:color w:val="000000"/>
          <w:sz w:val="20"/>
          <w:szCs w:val="20"/>
        </w:rPr>
        <w:t>explore the role of adaptive learning systems in mathematics education, emphasizing how personalized learning experiences can cater to diverse student needs and optimize assessment methodologies. Their findings suggest that adaptive technologies can bridge gaps in student comprehension by providing tailored instructional materials and real-time feedback</w:t>
      </w:r>
      <w:r>
        <w:rPr>
          <w:rFonts w:ascii="Book Antiqua" w:eastAsia="Book Antiqua" w:hAnsi="Book Antiqua" w:cs="Book Antiqua"/>
          <w:sz w:val="20"/>
          <w:szCs w:val="20"/>
        </w:rPr>
        <w:t>. Yurtseven Avci et al. (2020) identify</w:t>
      </w:r>
      <w:r>
        <w:rPr>
          <w:rFonts w:ascii="Book Antiqua" w:eastAsia="Book Antiqua" w:hAnsi="Book Antiqua" w:cs="Book Antiqua"/>
          <w:color w:val="000000"/>
          <w:sz w:val="20"/>
          <w:szCs w:val="20"/>
        </w:rPr>
        <w:t xml:space="preserve"> systemic barriers to digital integration, including institutional resistance, lack of teacher involvement in curriculum development, and insufficient professional learning communities. The study advocates for stronger collaboration between educators and policymakers to ensure meaningful technology adoption. </w:t>
      </w:r>
    </w:p>
    <w:p w14:paraId="00000030" w14:textId="77777777" w:rsidR="00AD4552" w:rsidRDefault="00AD4552">
      <w:pPr>
        <w:pBdr>
          <w:top w:val="nil"/>
          <w:left w:val="nil"/>
          <w:bottom w:val="nil"/>
          <w:right w:val="nil"/>
          <w:between w:val="nil"/>
        </w:pBdr>
        <w:jc w:val="both"/>
        <w:rPr>
          <w:rFonts w:ascii="Book Antiqua" w:eastAsia="Book Antiqua" w:hAnsi="Book Antiqua" w:cs="Book Antiqua"/>
          <w:color w:val="000000"/>
          <w:sz w:val="20"/>
          <w:szCs w:val="20"/>
        </w:rPr>
      </w:pPr>
    </w:p>
    <w:p w14:paraId="00000031" w14:textId="77777777" w:rsidR="00AD4552" w:rsidRDefault="00DD1D5F">
      <w:p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Additionally,</w:t>
      </w:r>
      <w:r>
        <w:rPr>
          <w:rFonts w:ascii="Book Antiqua" w:eastAsia="Book Antiqua" w:hAnsi="Book Antiqua" w:cs="Book Antiqua"/>
          <w:sz w:val="20"/>
          <w:szCs w:val="20"/>
        </w:rPr>
        <w:t xml:space="preserve"> Fadzil and Osman's (2025) research examines the effects of problem-solving approaches in mathematics classrooms, demonstrating that integrating</w:t>
      </w:r>
      <w:r>
        <w:rPr>
          <w:rFonts w:ascii="Book Antiqua" w:eastAsia="Book Antiqua" w:hAnsi="Book Antiqua" w:cs="Book Antiqua"/>
          <w:color w:val="000000"/>
          <w:sz w:val="20"/>
          <w:szCs w:val="20"/>
        </w:rPr>
        <w:t xml:space="preserve"> collaborative strategies significantly improves students' cognitive and affective attributes. This aligns with the broader need for innovative instructional methodologies </w:t>
      </w:r>
      <w:r>
        <w:rPr>
          <w:rFonts w:ascii="Book Antiqua" w:eastAsia="Book Antiqua" w:hAnsi="Book Antiqua" w:cs="Book Antiqua"/>
          <w:color w:val="000000"/>
          <w:sz w:val="20"/>
          <w:szCs w:val="20"/>
        </w:rPr>
        <w:lastRenderedPageBreak/>
        <w:t xml:space="preserve">that support critical thinking and problem-solving skills. Furthermore, studies such as </w:t>
      </w:r>
      <w:proofErr w:type="spellStart"/>
      <w:r>
        <w:rPr>
          <w:rFonts w:ascii="Book Antiqua" w:eastAsia="Book Antiqua" w:hAnsi="Book Antiqua" w:cs="Book Antiqua"/>
          <w:sz w:val="20"/>
          <w:szCs w:val="20"/>
        </w:rPr>
        <w:t>Hallarte</w:t>
      </w:r>
      <w:proofErr w:type="spellEnd"/>
      <w:r>
        <w:rPr>
          <w:rFonts w:ascii="Book Antiqua" w:eastAsia="Book Antiqua" w:hAnsi="Book Antiqua" w:cs="Book Antiqua"/>
          <w:sz w:val="20"/>
          <w:szCs w:val="20"/>
        </w:rPr>
        <w:t xml:space="preserve"> et al. (2024)</w:t>
      </w:r>
      <w:r>
        <w:rPr>
          <w:rFonts w:ascii="Book Antiqua" w:eastAsia="Book Antiqua" w:hAnsi="Book Antiqua" w:cs="Book Antiqua"/>
          <w:color w:val="000000"/>
          <w:sz w:val="20"/>
          <w:szCs w:val="20"/>
        </w:rPr>
        <w:t xml:space="preserve"> highlight the psychological and social factors influencing mathematics learning, including self-regulation, parental support, and peer interactions. These elements play a crucial role in shaping students' attitudes toward mathematics and their ability to adapt to technology-driven learning environments. Collectively, these studies reinforce the necessity of a multi-faceted approach to </w:t>
      </w:r>
      <w:proofErr w:type="spellStart"/>
      <w:r>
        <w:rPr>
          <w:rFonts w:ascii="Book Antiqua" w:eastAsia="Book Antiqua" w:hAnsi="Book Antiqua" w:cs="Book Antiqua"/>
          <w:color w:val="000000"/>
          <w:sz w:val="20"/>
          <w:szCs w:val="20"/>
        </w:rPr>
        <w:t>FIRe</w:t>
      </w:r>
      <w:proofErr w:type="spellEnd"/>
      <w:r>
        <w:rPr>
          <w:rFonts w:ascii="Book Antiqua" w:eastAsia="Book Antiqua" w:hAnsi="Book Antiqua" w:cs="Book Antiqua"/>
          <w:color w:val="000000"/>
          <w:sz w:val="20"/>
          <w:szCs w:val="20"/>
        </w:rPr>
        <w:t>-based mathematics education, incorporating pedagogical innovation, institutional support, and strategic policy interventions to ensure sustainable and effective implementation. </w:t>
      </w:r>
    </w:p>
    <w:p w14:paraId="00000032" w14:textId="77777777" w:rsidR="00AD4552" w:rsidRDefault="00AD4552">
      <w:pPr>
        <w:jc w:val="both"/>
        <w:rPr>
          <w:b/>
          <w:bCs/>
          <w:color w:val="2F5496"/>
        </w:rPr>
      </w:pPr>
    </w:p>
    <w:p w14:paraId="00000033" w14:textId="77777777" w:rsidR="00AD4552" w:rsidRDefault="00DD1D5F">
      <w:pPr>
        <w:jc w:val="both"/>
        <w:rPr>
          <w:rFonts w:ascii="Book Antiqua" w:eastAsia="Book Antiqua" w:hAnsi="Book Antiqua" w:cs="Book Antiqua"/>
          <w:b/>
          <w:bCs/>
          <w:color w:val="0E2841"/>
        </w:rPr>
      </w:pPr>
      <w:r>
        <w:rPr>
          <w:rFonts w:ascii="Book Antiqua" w:eastAsia="Book Antiqua" w:hAnsi="Book Antiqua" w:cs="Book Antiqua"/>
          <w:b/>
          <w:bCs/>
          <w:color w:val="0E2841"/>
        </w:rPr>
        <w:t xml:space="preserve">2.0 Conclusion </w:t>
      </w:r>
    </w:p>
    <w:p w14:paraId="00000034" w14:textId="77777777" w:rsidR="00AD4552" w:rsidRDefault="00DD1D5F">
      <w:pPr>
        <w:jc w:val="both"/>
        <w:rPr>
          <w:rFonts w:ascii="Book Antiqua" w:eastAsia="Book Antiqua" w:hAnsi="Book Antiqua" w:cs="Book Antiqua"/>
          <w:b/>
          <w:bCs/>
          <w:color w:val="0E2841"/>
          <w:sz w:val="20"/>
          <w:szCs w:val="20"/>
        </w:rPr>
      </w:pPr>
      <w:r>
        <w:rPr>
          <w:rFonts w:ascii="Book Antiqua" w:eastAsia="Book Antiqua" w:hAnsi="Book Antiqua" w:cs="Book Antiqua"/>
          <w:sz w:val="20"/>
          <w:szCs w:val="20"/>
        </w:rPr>
        <w:t>The advent of new learning systems in math education in the Fourth Industrial Revolution (4IR) context poses revolutionary opportunities and unparalleled challenges. As evidenced in this research, the synergy between artificial intelligence, game-based learning environments, adaptive technologies, and digital interactive tools holds significant potential for advancing mathematical comprehension, enhancing critical thinking, and preparing learners for the digitally fueled international market competitiveness requirements. These technologies have the potential to enable personalized learning, increase student engagement, and cultivate critical thinking skills essential for lifelong learning and innovation.</w:t>
      </w:r>
    </w:p>
    <w:p w14:paraId="00000035" w14:textId="77777777" w:rsidR="00AD4552" w:rsidRDefault="00DD1D5F">
      <w:pPr>
        <w:spacing w:before="240" w:after="240"/>
        <w:jc w:val="both"/>
        <w:rPr>
          <w:rFonts w:ascii="Book Antiqua" w:eastAsia="Book Antiqua" w:hAnsi="Book Antiqua" w:cs="Book Antiqua"/>
          <w:sz w:val="20"/>
          <w:szCs w:val="20"/>
        </w:rPr>
      </w:pPr>
      <w:r>
        <w:rPr>
          <w:rFonts w:ascii="Book Antiqua" w:eastAsia="Book Antiqua" w:hAnsi="Book Antiqua" w:cs="Book Antiqua"/>
          <w:sz w:val="20"/>
          <w:szCs w:val="20"/>
        </w:rPr>
        <w:t>Despite that, the road to successful application is fraught with challenges depending on global, national, and local contexts. Some of the key challenges are limited infrastructure, weak professional development, curriculum mismatch, digital inequality, and resistance to pedagogy shift. These issues are further exacerbated in the Philippines by structural disparities in education, unequal digital literacy among learners and educators, and scarce institutional funding. These challenges not only affect the integration of emerging technologies but could further broaden the existing education chasm if not accompanied by equalizing and inclusive policies.</w:t>
      </w:r>
    </w:p>
    <w:p w14:paraId="00000036" w14:textId="77777777" w:rsidR="00AD4552" w:rsidRDefault="00DD1D5F">
      <w:pPr>
        <w:spacing w:before="240" w:after="240"/>
        <w:jc w:val="both"/>
        <w:rPr>
          <w:rFonts w:ascii="Book Antiqua" w:eastAsia="Book Antiqua" w:hAnsi="Book Antiqua" w:cs="Book Antiqua"/>
          <w:sz w:val="20"/>
          <w:szCs w:val="20"/>
        </w:rPr>
      </w:pPr>
      <w:r>
        <w:rPr>
          <w:rFonts w:ascii="Book Antiqua" w:eastAsia="Book Antiqua" w:hAnsi="Book Antiqua" w:cs="Book Antiqua"/>
          <w:sz w:val="20"/>
          <w:szCs w:val="20"/>
        </w:rPr>
        <w:t>Despite these challenges, best practices have emerged as a model for effective, long-lasting integration. These include situated and continuous professional development, PLCs, strategic leadership, investment in technological infrastructure, and policy frameworks promoting alignment of innovation with curriculum and assessment standards. Pedagogies such as flipped classrooms, gamification, and adaptive learning systems are also highly promising for facilitating learner agency, deeper understanding, and inclusive education practices.</w:t>
      </w:r>
    </w:p>
    <w:p w14:paraId="00000037" w14:textId="77777777" w:rsidR="00AD4552" w:rsidRDefault="00DD1D5F">
      <w:pPr>
        <w:spacing w:before="240" w:after="240"/>
        <w:jc w:val="both"/>
        <w:rPr>
          <w:rFonts w:ascii="Book Antiqua" w:eastAsia="Book Antiqua" w:hAnsi="Book Antiqua" w:cs="Book Antiqua"/>
          <w:sz w:val="20"/>
          <w:szCs w:val="20"/>
        </w:rPr>
      </w:pPr>
      <w:r>
        <w:rPr>
          <w:rFonts w:ascii="Book Antiqua" w:eastAsia="Book Antiqua" w:hAnsi="Book Antiqua" w:cs="Book Antiqua"/>
          <w:sz w:val="20"/>
          <w:szCs w:val="20"/>
        </w:rPr>
        <w:t>Based on the Unified Theory of Acceptance and Use of Technology (UTAUT), this study reaffirms that performance expectancy, effort expectancy, social influence, and facilitating conditions have significant effects on teachers' willingness to adopt and use technology. Understanding these factors is crucial for formulating approaches that enhance teacher readiness, spur digital innovation, and enhance student performance.</w:t>
      </w:r>
    </w:p>
    <w:p w14:paraId="00000038" w14:textId="77777777" w:rsidR="00AD4552" w:rsidRDefault="00DD1D5F">
      <w:pPr>
        <w:spacing w:before="240" w:after="240"/>
        <w:jc w:val="both"/>
        <w:rPr>
          <w:rFonts w:ascii="Book Antiqua" w:eastAsia="Book Antiqua" w:hAnsi="Book Antiqua" w:cs="Book Antiqua"/>
          <w:sz w:val="20"/>
          <w:szCs w:val="20"/>
        </w:rPr>
      </w:pPr>
      <w:r>
        <w:rPr>
          <w:rFonts w:ascii="Book Antiqua" w:eastAsia="Book Antiqua" w:hAnsi="Book Antiqua" w:cs="Book Antiqua"/>
          <w:sz w:val="20"/>
          <w:szCs w:val="20"/>
        </w:rPr>
        <w:t>As education adapts to the demands of 4IR, institutions, teachers, and policymakers must collaborate to build an adaptive and resilient education system. Future inquiry will also be required to further investigate localized challenges and scalable solutions that will cross digital divides, promote innovation, and empower learners and teachers. Only through well-informed, inclusive, and deliberate action can the aggregated potential of learning innovation systems be tapped in mathematics education.</w:t>
      </w:r>
    </w:p>
    <w:p w14:paraId="0000003B" w14:textId="77777777" w:rsidR="00AD4552" w:rsidRDefault="00AD4552">
      <w:pPr>
        <w:jc w:val="both"/>
        <w:rPr>
          <w:rFonts w:ascii="Book Antiqua" w:eastAsia="Book Antiqua" w:hAnsi="Book Antiqua" w:cs="Book Antiqua"/>
          <w:sz w:val="20"/>
          <w:szCs w:val="20"/>
        </w:rPr>
      </w:pPr>
    </w:p>
    <w:p w14:paraId="4428AEE1" w14:textId="77777777" w:rsidR="00C73353" w:rsidRDefault="00C73353">
      <w:pPr>
        <w:jc w:val="both"/>
        <w:rPr>
          <w:rFonts w:ascii="Book Antiqua" w:eastAsia="Book Antiqua" w:hAnsi="Book Antiqua" w:cs="Book Antiqua"/>
          <w:sz w:val="20"/>
          <w:szCs w:val="20"/>
        </w:rPr>
      </w:pPr>
    </w:p>
    <w:p w14:paraId="05F8AF51" w14:textId="77777777" w:rsidR="00C73353" w:rsidRPr="00C73353" w:rsidRDefault="00C73353" w:rsidP="00C73353">
      <w:pPr>
        <w:spacing w:after="200" w:line="276" w:lineRule="auto"/>
        <w:rPr>
          <w:rFonts w:ascii="Arial" w:hAnsi="Arial" w:cs="Arial"/>
          <w:b/>
          <w:bCs/>
          <w:sz w:val="22"/>
          <w:szCs w:val="22"/>
          <w:lang w:val="en-GB" w:eastAsia="en-GB"/>
        </w:rPr>
      </w:pPr>
      <w:r w:rsidRPr="00C73353">
        <w:rPr>
          <w:rFonts w:ascii="Arial" w:hAnsi="Arial" w:cs="Arial"/>
          <w:b/>
          <w:bCs/>
          <w:sz w:val="22"/>
          <w:szCs w:val="22"/>
          <w:lang w:val="en-GB" w:eastAsia="en-GB"/>
        </w:rPr>
        <w:t>COMPETING INTERESTS DISCLAIMER:</w:t>
      </w:r>
    </w:p>
    <w:p w14:paraId="306A66E8" w14:textId="45905E3B" w:rsidR="00C73353" w:rsidRDefault="00C73353" w:rsidP="00C73353">
      <w:pPr>
        <w:spacing w:after="200" w:line="276" w:lineRule="auto"/>
        <w:rPr>
          <w:rFonts w:ascii="Arial" w:hAnsi="Arial" w:cs="Arial"/>
          <w:sz w:val="22"/>
          <w:szCs w:val="22"/>
          <w:lang w:val="en-GB" w:eastAsia="en-GB"/>
        </w:rPr>
      </w:pPr>
      <w:r w:rsidRPr="00C73353">
        <w:rPr>
          <w:rFonts w:ascii="Arial"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E7BD71F" w14:textId="7FF8AA5B" w:rsidR="00FF5DD2" w:rsidRDefault="00FF5DD2" w:rsidP="00C73353">
      <w:pPr>
        <w:spacing w:after="200" w:line="276" w:lineRule="auto"/>
        <w:rPr>
          <w:rFonts w:ascii="Calibri" w:hAnsi="Calibri"/>
          <w:sz w:val="22"/>
          <w:szCs w:val="22"/>
          <w:lang w:val="en-GB" w:eastAsia="en-GB"/>
        </w:rPr>
      </w:pPr>
    </w:p>
    <w:p w14:paraId="01AC6D0F" w14:textId="4EE07FA3" w:rsidR="00FF5DD2" w:rsidRDefault="00FF5DD2" w:rsidP="00C73353">
      <w:pPr>
        <w:spacing w:after="200" w:line="276" w:lineRule="auto"/>
        <w:rPr>
          <w:rFonts w:ascii="Calibri" w:hAnsi="Calibri"/>
          <w:sz w:val="22"/>
          <w:szCs w:val="22"/>
          <w:lang w:val="en-GB" w:eastAsia="en-GB"/>
        </w:rPr>
      </w:pPr>
    </w:p>
    <w:p w14:paraId="158D69FC" w14:textId="6D27A3E3" w:rsidR="00FF5DD2" w:rsidRDefault="00FF5DD2" w:rsidP="00C73353">
      <w:pPr>
        <w:spacing w:after="200" w:line="276" w:lineRule="auto"/>
        <w:rPr>
          <w:rFonts w:ascii="Calibri" w:hAnsi="Calibri"/>
          <w:sz w:val="22"/>
          <w:szCs w:val="22"/>
          <w:lang w:val="en-GB" w:eastAsia="en-GB"/>
        </w:rPr>
      </w:pPr>
    </w:p>
    <w:p w14:paraId="24C73646" w14:textId="77777777" w:rsidR="00FF5DD2" w:rsidRPr="00A55AF9" w:rsidRDefault="00FF5DD2" w:rsidP="00C73353">
      <w:pPr>
        <w:spacing w:after="200" w:line="276" w:lineRule="auto"/>
        <w:rPr>
          <w:rFonts w:ascii="Calibri" w:hAnsi="Calibri"/>
          <w:sz w:val="22"/>
          <w:szCs w:val="22"/>
          <w:lang w:val="en-GB" w:eastAsia="en-GB"/>
        </w:rPr>
      </w:pPr>
      <w:bookmarkStart w:id="0" w:name="_GoBack"/>
      <w:bookmarkEnd w:id="0"/>
    </w:p>
    <w:p w14:paraId="4153BD73" w14:textId="77777777" w:rsidR="00C73353" w:rsidRDefault="00C73353">
      <w:pPr>
        <w:jc w:val="both"/>
        <w:rPr>
          <w:rFonts w:ascii="Book Antiqua" w:eastAsia="Book Antiqua" w:hAnsi="Book Antiqua" w:cs="Book Antiqua"/>
          <w:b/>
          <w:bCs/>
          <w:color w:val="0E2841"/>
          <w:sz w:val="20"/>
          <w:szCs w:val="20"/>
        </w:rPr>
      </w:pPr>
    </w:p>
    <w:p w14:paraId="00000044" w14:textId="77777777" w:rsidR="00AD4552" w:rsidRDefault="00AD4552">
      <w:pPr>
        <w:jc w:val="both"/>
        <w:rPr>
          <w:rFonts w:ascii="Book Antiqua" w:eastAsia="Book Antiqua" w:hAnsi="Book Antiqua" w:cs="Book Antiqua"/>
          <w:b/>
          <w:bCs/>
          <w:color w:val="0E2841"/>
        </w:rPr>
      </w:pPr>
    </w:p>
    <w:p w14:paraId="00000045" w14:textId="77777777" w:rsidR="00AD4552" w:rsidRDefault="00DD1D5F">
      <w:pPr>
        <w:jc w:val="both"/>
        <w:rPr>
          <w:rFonts w:ascii="Book Antiqua" w:eastAsia="Book Antiqua" w:hAnsi="Book Antiqua" w:cs="Book Antiqua"/>
          <w:b/>
          <w:bCs/>
          <w:color w:val="0E2841"/>
        </w:rPr>
      </w:pPr>
      <w:r>
        <w:rPr>
          <w:rFonts w:ascii="Book Antiqua" w:eastAsia="Book Antiqua" w:hAnsi="Book Antiqua" w:cs="Book Antiqua"/>
          <w:b/>
          <w:bCs/>
          <w:color w:val="0E2841"/>
        </w:rPr>
        <w:t>7.0 References</w:t>
      </w:r>
    </w:p>
    <w:p w14:paraId="00000046"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r>
        <w:rPr>
          <w:rFonts w:ascii="Book Antiqua" w:eastAsia="Book Antiqua" w:hAnsi="Book Antiqua" w:cs="Book Antiqua"/>
          <w:color w:val="000000"/>
          <w:sz w:val="20"/>
          <w:szCs w:val="20"/>
        </w:rPr>
        <w:t>Al-</w:t>
      </w:r>
      <w:proofErr w:type="spellStart"/>
      <w:r>
        <w:rPr>
          <w:rFonts w:ascii="Book Antiqua" w:eastAsia="Book Antiqua" w:hAnsi="Book Antiqua" w:cs="Book Antiqua"/>
          <w:color w:val="000000"/>
          <w:sz w:val="20"/>
          <w:szCs w:val="20"/>
        </w:rPr>
        <w:t>Rodhan</w:t>
      </w:r>
      <w:proofErr w:type="spellEnd"/>
      <w:r>
        <w:rPr>
          <w:rFonts w:ascii="Book Antiqua" w:eastAsia="Book Antiqua" w:hAnsi="Book Antiqua" w:cs="Book Antiqua"/>
          <w:color w:val="000000"/>
          <w:sz w:val="20"/>
          <w:szCs w:val="20"/>
        </w:rPr>
        <w:t>, N. (2015). The moral code: How to teach robots right and wrong. </w:t>
      </w:r>
      <w:r>
        <w:rPr>
          <w:rFonts w:ascii="Book Antiqua" w:eastAsia="Book Antiqua" w:hAnsi="Book Antiqua" w:cs="Book Antiqua"/>
          <w:i/>
          <w:iCs/>
          <w:color w:val="000000"/>
          <w:sz w:val="20"/>
          <w:szCs w:val="20"/>
        </w:rPr>
        <w:t>Global Insight.</w:t>
      </w:r>
      <w:r>
        <w:rPr>
          <w:rFonts w:ascii="Book Antiqua" w:eastAsia="Book Antiqua" w:hAnsi="Book Antiqua" w:cs="Book Antiqua"/>
          <w:color w:val="000000"/>
          <w:sz w:val="20"/>
          <w:szCs w:val="20"/>
        </w:rPr>
        <w:t> </w:t>
      </w:r>
      <w:hyperlink r:id="rId13">
        <w:r>
          <w:rPr>
            <w:rFonts w:ascii="Book Antiqua" w:eastAsia="Book Antiqua" w:hAnsi="Book Antiqua" w:cs="Book Antiqua"/>
            <w:sz w:val="20"/>
            <w:szCs w:val="20"/>
          </w:rPr>
          <w:t>http://isnblog.ethz.ch/technology/the-moral-code-how-to-teach-robots-right-and-wrong</w:t>
        </w:r>
      </w:hyperlink>
    </w:p>
    <w:p w14:paraId="00000047" w14:textId="77777777" w:rsidR="00AD4552" w:rsidRDefault="00DD1D5F">
      <w:pPr>
        <w:spacing w:line="276" w:lineRule="auto"/>
        <w:rPr>
          <w:rFonts w:ascii="Book Antiqua" w:eastAsia="Book Antiqua" w:hAnsi="Book Antiqua" w:cs="Book Antiqua"/>
          <w:sz w:val="20"/>
          <w:szCs w:val="20"/>
        </w:rPr>
      </w:pPr>
      <w:proofErr w:type="spellStart"/>
      <w:r w:rsidRPr="00FF5DD2">
        <w:rPr>
          <w:rFonts w:ascii="Book Antiqua" w:eastAsia="Book Antiqua" w:hAnsi="Book Antiqua" w:cs="Book Antiqua"/>
          <w:sz w:val="20"/>
          <w:szCs w:val="20"/>
          <w:lang w:val="fr-FR"/>
        </w:rPr>
        <w:t>Animashaun</w:t>
      </w:r>
      <w:proofErr w:type="spellEnd"/>
      <w:r w:rsidRPr="00FF5DD2">
        <w:rPr>
          <w:rFonts w:ascii="Book Antiqua" w:eastAsia="Book Antiqua" w:hAnsi="Book Antiqua" w:cs="Book Antiqua"/>
          <w:sz w:val="20"/>
          <w:szCs w:val="20"/>
          <w:lang w:val="fr-FR"/>
        </w:rPr>
        <w:t xml:space="preserve">, E. S., </w:t>
      </w:r>
      <w:proofErr w:type="spellStart"/>
      <w:r w:rsidRPr="00FF5DD2">
        <w:rPr>
          <w:rFonts w:ascii="Book Antiqua" w:eastAsia="Book Antiqua" w:hAnsi="Book Antiqua" w:cs="Book Antiqua"/>
          <w:sz w:val="20"/>
          <w:szCs w:val="20"/>
          <w:lang w:val="fr-FR"/>
        </w:rPr>
        <w:t>Familoni</w:t>
      </w:r>
      <w:proofErr w:type="spellEnd"/>
      <w:r w:rsidRPr="00FF5DD2">
        <w:rPr>
          <w:rFonts w:ascii="Book Antiqua" w:eastAsia="Book Antiqua" w:hAnsi="Book Antiqua" w:cs="Book Antiqua"/>
          <w:sz w:val="20"/>
          <w:szCs w:val="20"/>
          <w:lang w:val="fr-FR"/>
        </w:rPr>
        <w:t xml:space="preserve">, B. T., &amp; </w:t>
      </w:r>
      <w:proofErr w:type="spellStart"/>
      <w:r w:rsidRPr="00FF5DD2">
        <w:rPr>
          <w:rFonts w:ascii="Book Antiqua" w:eastAsia="Book Antiqua" w:hAnsi="Book Antiqua" w:cs="Book Antiqua"/>
          <w:sz w:val="20"/>
          <w:szCs w:val="20"/>
          <w:lang w:val="fr-FR"/>
        </w:rPr>
        <w:t>Onyebuchi</w:t>
      </w:r>
      <w:proofErr w:type="spellEnd"/>
      <w:r w:rsidRPr="00FF5DD2">
        <w:rPr>
          <w:rFonts w:ascii="Book Antiqua" w:eastAsia="Book Antiqua" w:hAnsi="Book Antiqua" w:cs="Book Antiqua"/>
          <w:sz w:val="20"/>
          <w:szCs w:val="20"/>
          <w:lang w:val="fr-FR"/>
        </w:rPr>
        <w:t xml:space="preserve">, N. C. (2024). </w:t>
      </w:r>
      <w:r>
        <w:rPr>
          <w:rFonts w:ascii="Book Antiqua" w:eastAsia="Book Antiqua" w:hAnsi="Book Antiqua" w:cs="Book Antiqua"/>
          <w:sz w:val="20"/>
          <w:szCs w:val="20"/>
        </w:rPr>
        <w:t xml:space="preserve">Implementing educational technology solutions </w:t>
      </w:r>
    </w:p>
    <w:p w14:paraId="00000048" w14:textId="77777777" w:rsidR="00AD4552" w:rsidRDefault="00DD1D5F">
      <w:pPr>
        <w:spacing w:line="276" w:lineRule="auto"/>
        <w:ind w:firstLine="720"/>
        <w:rPr>
          <w:rFonts w:ascii="Book Antiqua" w:eastAsia="Book Antiqua" w:hAnsi="Book Antiqua" w:cs="Book Antiqua"/>
          <w:i/>
          <w:iCs/>
          <w:sz w:val="20"/>
          <w:szCs w:val="20"/>
        </w:rPr>
      </w:pPr>
      <w:r>
        <w:rPr>
          <w:rFonts w:ascii="Book Antiqua" w:eastAsia="Book Antiqua" w:hAnsi="Book Antiqua" w:cs="Book Antiqua"/>
          <w:sz w:val="20"/>
          <w:szCs w:val="20"/>
        </w:rPr>
        <w:t xml:space="preserve">for sustainable development in emerging markets. </w:t>
      </w:r>
      <w:r>
        <w:rPr>
          <w:rFonts w:ascii="Book Antiqua" w:eastAsia="Book Antiqua" w:hAnsi="Book Antiqua" w:cs="Book Antiqua"/>
          <w:i/>
          <w:iCs/>
          <w:sz w:val="20"/>
          <w:szCs w:val="20"/>
        </w:rPr>
        <w:t xml:space="preserve">International Journal of Applied Research in Social </w:t>
      </w:r>
    </w:p>
    <w:p w14:paraId="00000049" w14:textId="77777777" w:rsidR="00AD4552" w:rsidRPr="00FF5DD2" w:rsidRDefault="00DD1D5F">
      <w:pPr>
        <w:spacing w:line="276" w:lineRule="auto"/>
        <w:ind w:left="720"/>
        <w:rPr>
          <w:rFonts w:ascii="Book Antiqua" w:eastAsia="Book Antiqua" w:hAnsi="Book Antiqua" w:cs="Book Antiqua"/>
          <w:sz w:val="20"/>
          <w:szCs w:val="20"/>
          <w:lang w:val="fr-FR"/>
        </w:rPr>
      </w:pPr>
      <w:r w:rsidRPr="00FF5DD2">
        <w:rPr>
          <w:rFonts w:ascii="Book Antiqua" w:eastAsia="Book Antiqua" w:hAnsi="Book Antiqua" w:cs="Book Antiqua"/>
          <w:i/>
          <w:iCs/>
          <w:sz w:val="20"/>
          <w:szCs w:val="20"/>
          <w:lang w:val="fr-FR"/>
        </w:rPr>
        <w:t>Sciences, 6</w:t>
      </w:r>
      <w:r w:rsidRPr="00FF5DD2">
        <w:rPr>
          <w:rFonts w:ascii="Book Antiqua" w:eastAsia="Book Antiqua" w:hAnsi="Book Antiqua" w:cs="Book Antiqua"/>
          <w:sz w:val="20"/>
          <w:szCs w:val="20"/>
          <w:lang w:val="fr-FR"/>
        </w:rPr>
        <w:t>(6), 1158-1168. https://doi.org/10.30574/ijsra.2024.12.1.1045</w:t>
      </w:r>
    </w:p>
    <w:p w14:paraId="0000004A" w14:textId="77777777" w:rsidR="00AD4552" w:rsidRDefault="00DD1D5F">
      <w:pPr>
        <w:ind w:left="720"/>
        <w:rPr>
          <w:rFonts w:ascii="Book Antiqua" w:eastAsia="Book Antiqua" w:hAnsi="Book Antiqua" w:cs="Book Antiqua"/>
          <w:sz w:val="20"/>
          <w:szCs w:val="20"/>
        </w:rPr>
      </w:pPr>
      <w:proofErr w:type="spellStart"/>
      <w:r>
        <w:rPr>
          <w:rFonts w:ascii="Book Antiqua" w:eastAsia="Book Antiqua" w:hAnsi="Book Antiqua" w:cs="Book Antiqua"/>
          <w:sz w:val="20"/>
          <w:szCs w:val="20"/>
        </w:rPr>
        <w:t>Ayanwale</w:t>
      </w:r>
      <w:proofErr w:type="spellEnd"/>
      <w:r>
        <w:rPr>
          <w:rFonts w:ascii="Book Antiqua" w:eastAsia="Book Antiqua" w:hAnsi="Book Antiqua" w:cs="Book Antiqua"/>
          <w:sz w:val="20"/>
          <w:szCs w:val="20"/>
        </w:rPr>
        <w:t xml:space="preserve">, M. A., Ndlovu, M., &amp; Oladele, J. I. (2022). Mathematics Education and the Fourth Industrial Revolution: Are the High School Mathematics Teachers </w:t>
      </w:r>
      <w:proofErr w:type="gramStart"/>
      <w:r>
        <w:rPr>
          <w:rFonts w:ascii="Book Antiqua" w:eastAsia="Book Antiqua" w:hAnsi="Book Antiqua" w:cs="Book Antiqua"/>
          <w:sz w:val="20"/>
          <w:szCs w:val="20"/>
        </w:rPr>
        <w:t>Ready?.</w:t>
      </w:r>
      <w:proofErr w:type="gramEnd"/>
      <w:r>
        <w:rPr>
          <w:rFonts w:ascii="Book Antiqua" w:eastAsia="Book Antiqua" w:hAnsi="Book Antiqua" w:cs="Book Antiqua"/>
          <w:sz w:val="20"/>
          <w:szCs w:val="20"/>
        </w:rPr>
        <w:t xml:space="preserve"> </w:t>
      </w:r>
      <w:r>
        <w:rPr>
          <w:rFonts w:ascii="Book Antiqua" w:eastAsia="Book Antiqua" w:hAnsi="Book Antiqua" w:cs="Book Antiqua"/>
          <w:i/>
          <w:iCs/>
          <w:sz w:val="20"/>
          <w:szCs w:val="20"/>
        </w:rPr>
        <w:t>In Mathematics Education in Africa: The Fourth Industrial Revolution</w:t>
      </w:r>
      <w:r>
        <w:rPr>
          <w:rFonts w:ascii="Book Antiqua" w:eastAsia="Book Antiqua" w:hAnsi="Book Antiqua" w:cs="Book Antiqua"/>
          <w:sz w:val="20"/>
          <w:szCs w:val="20"/>
        </w:rPr>
        <w:t xml:space="preserve"> (pp. 77-96). Cham: Springer International Publishing. https://doi.org/</w:t>
      </w:r>
      <w:hyperlink r:id="rId14">
        <w:r>
          <w:rPr>
            <w:rFonts w:ascii="Book Antiqua" w:eastAsia="Book Antiqua" w:hAnsi="Book Antiqua" w:cs="Book Antiqua"/>
            <w:sz w:val="20"/>
            <w:szCs w:val="20"/>
          </w:rPr>
          <w:t>10.1007/978-3-031-13927-7_5</w:t>
        </w:r>
      </w:hyperlink>
      <w:r>
        <w:rPr>
          <w:rFonts w:ascii="Book Antiqua" w:eastAsia="Book Antiqua" w:hAnsi="Book Antiqua" w:cs="Book Antiqua"/>
          <w:sz w:val="20"/>
          <w:szCs w:val="20"/>
        </w:rPr>
        <w:t xml:space="preserve"> </w:t>
      </w:r>
    </w:p>
    <w:p w14:paraId="0000004B"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r>
        <w:rPr>
          <w:rFonts w:ascii="Book Antiqua" w:eastAsia="Book Antiqua" w:hAnsi="Book Antiqua" w:cs="Book Antiqua"/>
          <w:sz w:val="20"/>
          <w:szCs w:val="20"/>
        </w:rPr>
        <w:t>Barlow, M.L. (1967). History of industrial education in the United States. Peoria, Illinois: Chas. A. Bennett Co., Inc. https://search.worldcat.org/title/550272</w:t>
      </w:r>
    </w:p>
    <w:p w14:paraId="0000004C"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r>
        <w:rPr>
          <w:rFonts w:ascii="Book Antiqua" w:eastAsia="Book Antiqua" w:hAnsi="Book Antiqua" w:cs="Book Antiqua"/>
          <w:sz w:val="20"/>
          <w:szCs w:val="20"/>
        </w:rPr>
        <w:t>Barquero, B., Bosch, M., &amp; Gascón, J. (2018). The institutional constraints to the implementation of mathematical modeling in the classroom: A study based on teachers' practices. </w:t>
      </w:r>
      <w:r>
        <w:rPr>
          <w:rFonts w:ascii="Book Antiqua" w:eastAsia="Book Antiqua" w:hAnsi="Book Antiqua" w:cs="Book Antiqua"/>
          <w:i/>
          <w:iCs/>
          <w:sz w:val="20"/>
          <w:szCs w:val="20"/>
        </w:rPr>
        <w:t>ZDM – Mathematics Education, 50</w:t>
      </w:r>
      <w:r>
        <w:rPr>
          <w:rFonts w:ascii="Book Antiqua" w:eastAsia="Book Antiqua" w:hAnsi="Book Antiqua" w:cs="Book Antiqua"/>
          <w:sz w:val="20"/>
          <w:szCs w:val="20"/>
        </w:rPr>
        <w:t>(1), 31–42. https://doi.org/10.1007/s11858-017-0880-4</w:t>
      </w:r>
    </w:p>
    <w:p w14:paraId="0000004D"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r>
        <w:rPr>
          <w:rFonts w:ascii="Book Antiqua" w:eastAsia="Book Antiqua" w:hAnsi="Book Antiqua" w:cs="Book Antiqua"/>
          <w:sz w:val="20"/>
          <w:szCs w:val="20"/>
        </w:rPr>
        <w:t>Bucciarelli, L., &amp; Drew, D. (2015). Liberal studies in engineering—a design plan. </w:t>
      </w:r>
      <w:r>
        <w:rPr>
          <w:rFonts w:ascii="Book Antiqua" w:eastAsia="Book Antiqua" w:hAnsi="Book Antiqua" w:cs="Book Antiqua"/>
          <w:i/>
          <w:iCs/>
          <w:sz w:val="20"/>
          <w:szCs w:val="20"/>
        </w:rPr>
        <w:t>Engineering Studies, 7</w:t>
      </w:r>
      <w:r>
        <w:rPr>
          <w:rFonts w:ascii="Book Antiqua" w:eastAsia="Book Antiqua" w:hAnsi="Book Antiqua" w:cs="Book Antiqua"/>
          <w:sz w:val="20"/>
          <w:szCs w:val="20"/>
        </w:rPr>
        <w:t>(2), 103-122.https://doi.org/10.1080/19378629.2015.1055543</w:t>
      </w:r>
    </w:p>
    <w:p w14:paraId="0000004E"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proofErr w:type="spellStart"/>
      <w:r>
        <w:rPr>
          <w:rFonts w:ascii="Book Antiqua" w:eastAsia="Book Antiqua" w:hAnsi="Book Antiqua" w:cs="Book Antiqua"/>
          <w:sz w:val="20"/>
          <w:szCs w:val="20"/>
        </w:rPr>
        <w:t>Copur-Gencturk</w:t>
      </w:r>
      <w:proofErr w:type="spellEnd"/>
      <w:r>
        <w:rPr>
          <w:rFonts w:ascii="Book Antiqua" w:eastAsia="Book Antiqua" w:hAnsi="Book Antiqua" w:cs="Book Antiqua"/>
          <w:sz w:val="20"/>
          <w:szCs w:val="20"/>
        </w:rPr>
        <w:t xml:space="preserve">, Y., &amp; Orrill, C. H. (2025). A promising approach to scaling up professional development: Intelligent, interactive, virtual professional development with just-in-time feedback. </w:t>
      </w:r>
      <w:r>
        <w:rPr>
          <w:rFonts w:ascii="Book Antiqua" w:eastAsia="Book Antiqua" w:hAnsi="Book Antiqua" w:cs="Book Antiqua"/>
          <w:i/>
          <w:iCs/>
          <w:sz w:val="20"/>
          <w:szCs w:val="20"/>
        </w:rPr>
        <w:t>Journal of Mathematics Teacher Education, 28</w:t>
      </w:r>
      <w:r>
        <w:rPr>
          <w:rFonts w:ascii="Book Antiqua" w:eastAsia="Book Antiqua" w:hAnsi="Book Antiqua" w:cs="Book Antiqua"/>
          <w:sz w:val="20"/>
          <w:szCs w:val="20"/>
        </w:rPr>
        <w:t>(6), 1287-1311. </w:t>
      </w:r>
      <w:hyperlink r:id="rId15">
        <w:r>
          <w:rPr>
            <w:rFonts w:ascii="Book Antiqua" w:eastAsia="Book Antiqua" w:hAnsi="Book Antiqua" w:cs="Book Antiqua"/>
            <w:sz w:val="20"/>
            <w:szCs w:val="20"/>
          </w:rPr>
          <w:t>https://doi.org/10.1007/s10857-023-09615-1</w:t>
        </w:r>
      </w:hyperlink>
    </w:p>
    <w:p w14:paraId="0000004F"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r>
        <w:rPr>
          <w:rFonts w:ascii="Book Antiqua" w:eastAsia="Book Antiqua" w:hAnsi="Book Antiqua" w:cs="Book Antiqua"/>
          <w:sz w:val="20"/>
          <w:szCs w:val="20"/>
        </w:rPr>
        <w:t xml:space="preserve">Elayyan, S. (2021). The future of education according to the fourth industrial revolution. </w:t>
      </w:r>
      <w:r>
        <w:rPr>
          <w:rFonts w:ascii="Book Antiqua" w:eastAsia="Book Antiqua" w:hAnsi="Book Antiqua" w:cs="Book Antiqua"/>
          <w:i/>
          <w:iCs/>
          <w:sz w:val="20"/>
          <w:szCs w:val="20"/>
        </w:rPr>
        <w:t>Journal of Educational Technology &amp; Online Learning, 4</w:t>
      </w:r>
      <w:r>
        <w:rPr>
          <w:rFonts w:ascii="Book Antiqua" w:eastAsia="Book Antiqua" w:hAnsi="Book Antiqua" w:cs="Book Antiqua"/>
          <w:sz w:val="20"/>
          <w:szCs w:val="20"/>
        </w:rPr>
        <w:t xml:space="preserve">(1), 23-30. </w:t>
      </w:r>
      <w:hyperlink r:id="rId16">
        <w:r>
          <w:rPr>
            <w:rFonts w:ascii="Book Antiqua" w:eastAsia="Book Antiqua" w:hAnsi="Book Antiqua" w:cs="Book Antiqua"/>
            <w:sz w:val="20"/>
            <w:szCs w:val="20"/>
          </w:rPr>
          <w:t>https://doi.org/10.31681/jetol.737193</w:t>
        </w:r>
      </w:hyperlink>
    </w:p>
    <w:p w14:paraId="00000050" w14:textId="77777777" w:rsidR="00AD4552" w:rsidRDefault="00DD1D5F">
      <w:p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sz w:val="20"/>
          <w:szCs w:val="20"/>
        </w:rPr>
        <w:t xml:space="preserve">Eliot, C. (1869). The New Education. Harvard University Press. </w:t>
      </w:r>
    </w:p>
    <w:p w14:paraId="00000051" w14:textId="77777777" w:rsidR="00AD4552" w:rsidRDefault="0064792B">
      <w:pPr>
        <w:pBdr>
          <w:top w:val="nil"/>
          <w:left w:val="nil"/>
          <w:bottom w:val="nil"/>
          <w:right w:val="nil"/>
          <w:between w:val="nil"/>
        </w:pBdr>
        <w:ind w:firstLine="720"/>
        <w:rPr>
          <w:rFonts w:ascii="Book Antiqua" w:eastAsia="Book Antiqua" w:hAnsi="Book Antiqua" w:cs="Book Antiqua"/>
          <w:sz w:val="20"/>
          <w:szCs w:val="20"/>
        </w:rPr>
      </w:pPr>
      <w:hyperlink r:id="rId17">
        <w:r w:rsidR="00DD1D5F">
          <w:rPr>
            <w:rFonts w:ascii="Book Antiqua" w:eastAsia="Book Antiqua" w:hAnsi="Book Antiqua" w:cs="Book Antiqua"/>
            <w:sz w:val="20"/>
            <w:szCs w:val="20"/>
          </w:rPr>
          <w:t>https://www.theatlantic.com/magazine/archive/1869/02/the-new-education/309049/</w:t>
        </w:r>
      </w:hyperlink>
    </w:p>
    <w:p w14:paraId="00000052" w14:textId="77777777" w:rsidR="00AD4552" w:rsidRDefault="00DD1D5F">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Fadzil, N. M., &amp; Osman, S. (2025). Scoping the landscape: Comparative review of collaborative learning methods </w:t>
      </w:r>
    </w:p>
    <w:p w14:paraId="00000053" w14:textId="77777777" w:rsidR="00AD4552" w:rsidRDefault="00DD1D5F">
      <w:pPr>
        <w:ind w:left="720"/>
        <w:jc w:val="both"/>
        <w:rPr>
          <w:rFonts w:ascii="Book Antiqua" w:eastAsia="Book Antiqua" w:hAnsi="Book Antiqua" w:cs="Book Antiqua"/>
          <w:sz w:val="20"/>
          <w:szCs w:val="20"/>
        </w:rPr>
      </w:pPr>
      <w:r>
        <w:rPr>
          <w:rFonts w:ascii="Book Antiqua" w:eastAsia="Book Antiqua" w:hAnsi="Book Antiqua" w:cs="Book Antiqua"/>
          <w:sz w:val="20"/>
          <w:szCs w:val="20"/>
        </w:rPr>
        <w:t>in mathematical problem-solving pedagogy. International Electronic Journal of Mathematics Education, 20(2), Article em0820. https://doi.org/10.29333/iejme/15935</w:t>
      </w:r>
    </w:p>
    <w:p w14:paraId="00000054"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proofErr w:type="spellStart"/>
      <w:r>
        <w:rPr>
          <w:rFonts w:ascii="Book Antiqua" w:eastAsia="Book Antiqua" w:hAnsi="Book Antiqua" w:cs="Book Antiqua"/>
          <w:sz w:val="20"/>
          <w:szCs w:val="20"/>
        </w:rPr>
        <w:t>Fomunyam</w:t>
      </w:r>
      <w:proofErr w:type="spellEnd"/>
      <w:r>
        <w:rPr>
          <w:rFonts w:ascii="Book Antiqua" w:eastAsia="Book Antiqua" w:hAnsi="Book Antiqua" w:cs="Book Antiqua"/>
          <w:sz w:val="20"/>
          <w:szCs w:val="20"/>
        </w:rPr>
        <w:t xml:space="preserve">, K. G. (2020). </w:t>
      </w:r>
      <w:proofErr w:type="spellStart"/>
      <w:r>
        <w:rPr>
          <w:rFonts w:ascii="Book Antiqua" w:eastAsia="Book Antiqua" w:hAnsi="Book Antiqua" w:cs="Book Antiqua"/>
          <w:sz w:val="20"/>
          <w:szCs w:val="20"/>
        </w:rPr>
        <w:t>Deterritorialising</w:t>
      </w:r>
      <w:proofErr w:type="spellEnd"/>
      <w:r>
        <w:rPr>
          <w:rFonts w:ascii="Book Antiqua" w:eastAsia="Book Antiqua" w:hAnsi="Book Antiqua" w:cs="Book Antiqua"/>
          <w:sz w:val="20"/>
          <w:szCs w:val="20"/>
        </w:rPr>
        <w:t xml:space="preserve"> to </w:t>
      </w:r>
      <w:proofErr w:type="spellStart"/>
      <w:r>
        <w:rPr>
          <w:rFonts w:ascii="Book Antiqua" w:eastAsia="Book Antiqua" w:hAnsi="Book Antiqua" w:cs="Book Antiqua"/>
          <w:sz w:val="20"/>
          <w:szCs w:val="20"/>
        </w:rPr>
        <w:t>reterritorialising</w:t>
      </w:r>
      <w:proofErr w:type="spellEnd"/>
      <w:r>
        <w:rPr>
          <w:rFonts w:ascii="Book Antiqua" w:eastAsia="Book Antiqua" w:hAnsi="Book Antiqua" w:cs="Book Antiqua"/>
          <w:sz w:val="20"/>
          <w:szCs w:val="20"/>
        </w:rPr>
        <w:t xml:space="preserve"> the curriculum discourse in African higher education in the Era of the fourth industrial revolution. </w:t>
      </w:r>
      <w:r>
        <w:rPr>
          <w:rFonts w:ascii="Book Antiqua" w:eastAsia="Book Antiqua" w:hAnsi="Book Antiqua" w:cs="Book Antiqua"/>
          <w:i/>
          <w:iCs/>
          <w:sz w:val="20"/>
          <w:szCs w:val="20"/>
        </w:rPr>
        <w:t>International Journal of Higher Education, 9</w:t>
      </w:r>
      <w:r>
        <w:rPr>
          <w:rFonts w:ascii="Book Antiqua" w:eastAsia="Book Antiqua" w:hAnsi="Book Antiqua" w:cs="Book Antiqua"/>
          <w:sz w:val="20"/>
          <w:szCs w:val="20"/>
        </w:rPr>
        <w:t xml:space="preserve">(4), 27–34. </w:t>
      </w:r>
      <w:hyperlink r:id="rId18">
        <w:r>
          <w:rPr>
            <w:rFonts w:ascii="Book Antiqua" w:eastAsia="Book Antiqua" w:hAnsi="Book Antiqua" w:cs="Book Antiqua"/>
            <w:sz w:val="20"/>
            <w:szCs w:val="20"/>
          </w:rPr>
          <w:t>https://doi.org/10.5430/ijhe.v9n4p27</w:t>
        </w:r>
      </w:hyperlink>
    </w:p>
    <w:p w14:paraId="00000055" w14:textId="77777777" w:rsidR="00AD4552" w:rsidRDefault="00DD1D5F">
      <w:pPr>
        <w:spacing w:line="276" w:lineRule="auto"/>
        <w:rPr>
          <w:rFonts w:ascii="Book Antiqua" w:eastAsia="Book Antiqua" w:hAnsi="Book Antiqua" w:cs="Book Antiqua"/>
          <w:sz w:val="20"/>
          <w:szCs w:val="20"/>
        </w:rPr>
      </w:pPr>
      <w:proofErr w:type="spellStart"/>
      <w:r>
        <w:rPr>
          <w:rFonts w:ascii="Book Antiqua" w:eastAsia="Book Antiqua" w:hAnsi="Book Antiqua" w:cs="Book Antiqua"/>
          <w:sz w:val="20"/>
          <w:szCs w:val="20"/>
        </w:rPr>
        <w:t>Hallarte</w:t>
      </w:r>
      <w:proofErr w:type="spellEnd"/>
      <w:r>
        <w:rPr>
          <w:rFonts w:ascii="Book Antiqua" w:eastAsia="Book Antiqua" w:hAnsi="Book Antiqua" w:cs="Book Antiqua"/>
          <w:sz w:val="20"/>
          <w:szCs w:val="20"/>
        </w:rPr>
        <w:t xml:space="preserve">, D. K., </w:t>
      </w:r>
      <w:proofErr w:type="spellStart"/>
      <w:r>
        <w:rPr>
          <w:rFonts w:ascii="Book Antiqua" w:eastAsia="Book Antiqua" w:hAnsi="Book Antiqua" w:cs="Book Antiqua"/>
          <w:sz w:val="20"/>
          <w:szCs w:val="20"/>
        </w:rPr>
        <w:t>Camaongay</w:t>
      </w:r>
      <w:proofErr w:type="spellEnd"/>
      <w:r>
        <w:rPr>
          <w:rFonts w:ascii="Book Antiqua" w:eastAsia="Book Antiqua" w:hAnsi="Book Antiqua" w:cs="Book Antiqua"/>
          <w:sz w:val="20"/>
          <w:szCs w:val="20"/>
        </w:rPr>
        <w:t xml:space="preserve">, Q. M., </w:t>
      </w:r>
      <w:proofErr w:type="spellStart"/>
      <w:r>
        <w:rPr>
          <w:rFonts w:ascii="Book Antiqua" w:eastAsia="Book Antiqua" w:hAnsi="Book Antiqua" w:cs="Book Antiqua"/>
          <w:sz w:val="20"/>
          <w:szCs w:val="20"/>
        </w:rPr>
        <w:t>Congson</w:t>
      </w:r>
      <w:proofErr w:type="spellEnd"/>
      <w:r>
        <w:rPr>
          <w:rFonts w:ascii="Book Antiqua" w:eastAsia="Book Antiqua" w:hAnsi="Book Antiqua" w:cs="Book Antiqua"/>
          <w:sz w:val="20"/>
          <w:szCs w:val="20"/>
        </w:rPr>
        <w:t xml:space="preserve">, J., </w:t>
      </w:r>
      <w:proofErr w:type="spellStart"/>
      <w:r>
        <w:rPr>
          <w:rFonts w:ascii="Book Antiqua" w:eastAsia="Book Antiqua" w:hAnsi="Book Antiqua" w:cs="Book Antiqua"/>
          <w:sz w:val="20"/>
          <w:szCs w:val="20"/>
        </w:rPr>
        <w:t>Cuamag</w:t>
      </w:r>
      <w:proofErr w:type="spellEnd"/>
      <w:r>
        <w:rPr>
          <w:rFonts w:ascii="Book Antiqua" w:eastAsia="Book Antiqua" w:hAnsi="Book Antiqua" w:cs="Book Antiqua"/>
          <w:sz w:val="20"/>
          <w:szCs w:val="20"/>
        </w:rPr>
        <w:t xml:space="preserve">, S., </w:t>
      </w:r>
      <w:proofErr w:type="spellStart"/>
      <w:r>
        <w:rPr>
          <w:rFonts w:ascii="Book Antiqua" w:eastAsia="Book Antiqua" w:hAnsi="Book Antiqua" w:cs="Book Antiqua"/>
          <w:sz w:val="20"/>
          <w:szCs w:val="20"/>
        </w:rPr>
        <w:t>Datosme</w:t>
      </w:r>
      <w:proofErr w:type="spellEnd"/>
      <w:r>
        <w:rPr>
          <w:rFonts w:ascii="Book Antiqua" w:eastAsia="Book Antiqua" w:hAnsi="Book Antiqua" w:cs="Book Antiqua"/>
          <w:sz w:val="20"/>
          <w:szCs w:val="20"/>
        </w:rPr>
        <w:t xml:space="preserve">, J., Laude, V. K. B., ... &amp; Gonzales, G. </w:t>
      </w:r>
    </w:p>
    <w:p w14:paraId="00000056" w14:textId="77777777" w:rsidR="00AD4552" w:rsidRDefault="00DD1D5F">
      <w:pPr>
        <w:spacing w:line="276" w:lineRule="auto"/>
        <w:ind w:left="720"/>
        <w:rPr>
          <w:rFonts w:ascii="Book Antiqua" w:eastAsia="Book Antiqua" w:hAnsi="Book Antiqua" w:cs="Book Antiqua"/>
          <w:sz w:val="20"/>
          <w:szCs w:val="20"/>
        </w:rPr>
      </w:pPr>
      <w:r>
        <w:rPr>
          <w:rFonts w:ascii="Book Antiqua" w:eastAsia="Book Antiqua" w:hAnsi="Book Antiqua" w:cs="Book Antiqua"/>
          <w:sz w:val="20"/>
          <w:szCs w:val="20"/>
        </w:rPr>
        <w:t xml:space="preserve">(2024). Modeling self-regulation in learning mathematics through teacher-promoting interaction and parental support among STEM learners: The mediating role of intrinsic motivation. </w:t>
      </w:r>
      <w:r>
        <w:rPr>
          <w:rFonts w:ascii="Book Antiqua" w:eastAsia="Book Antiqua" w:hAnsi="Book Antiqua" w:cs="Book Antiqua"/>
          <w:i/>
          <w:iCs/>
          <w:sz w:val="20"/>
          <w:szCs w:val="20"/>
        </w:rPr>
        <w:t>Social Sciences &amp; Humanities Open, 10</w:t>
      </w:r>
      <w:r>
        <w:rPr>
          <w:rFonts w:ascii="Book Antiqua" w:eastAsia="Book Antiqua" w:hAnsi="Book Antiqua" w:cs="Book Antiqua"/>
          <w:sz w:val="20"/>
          <w:szCs w:val="20"/>
        </w:rPr>
        <w:t>, 101135. https://doi.org/10.1016/j.ssaho.2024.101135</w:t>
      </w:r>
    </w:p>
    <w:p w14:paraId="00000057" w14:textId="77777777" w:rsidR="00AD4552" w:rsidRDefault="00DD1D5F">
      <w:pPr>
        <w:spacing w:line="276" w:lineRule="auto"/>
        <w:rPr>
          <w:rFonts w:ascii="Book Antiqua" w:eastAsia="Book Antiqua" w:hAnsi="Book Antiqua" w:cs="Book Antiqua"/>
          <w:i/>
          <w:iCs/>
          <w:sz w:val="20"/>
          <w:szCs w:val="20"/>
        </w:rPr>
      </w:pPr>
      <w:r>
        <w:rPr>
          <w:rFonts w:ascii="Book Antiqua" w:eastAsia="Book Antiqua" w:hAnsi="Book Antiqua" w:cs="Book Antiqua"/>
          <w:sz w:val="20"/>
          <w:szCs w:val="20"/>
        </w:rPr>
        <w:t xml:space="preserve">Marchant, G. E., &amp; Wallach, W. (2020). Governing the governance of emerging technologies. </w:t>
      </w:r>
      <w:r>
        <w:rPr>
          <w:rFonts w:ascii="Book Antiqua" w:eastAsia="Book Antiqua" w:hAnsi="Book Antiqua" w:cs="Book Antiqua"/>
          <w:i/>
          <w:iCs/>
          <w:sz w:val="20"/>
          <w:szCs w:val="20"/>
        </w:rPr>
        <w:t xml:space="preserve">In Emerging </w:t>
      </w:r>
    </w:p>
    <w:p w14:paraId="00000058" w14:textId="77777777" w:rsidR="00AD4552" w:rsidRDefault="00DD1D5F">
      <w:pPr>
        <w:spacing w:line="276" w:lineRule="auto"/>
        <w:ind w:left="720"/>
        <w:rPr>
          <w:rFonts w:ascii="Book Antiqua" w:eastAsia="Book Antiqua" w:hAnsi="Book Antiqua" w:cs="Book Antiqua"/>
          <w:sz w:val="20"/>
          <w:szCs w:val="20"/>
        </w:rPr>
      </w:pPr>
      <w:r>
        <w:rPr>
          <w:rFonts w:ascii="Book Antiqua" w:eastAsia="Book Antiqua" w:hAnsi="Book Antiqua" w:cs="Book Antiqua"/>
          <w:i/>
          <w:iCs/>
          <w:sz w:val="20"/>
          <w:szCs w:val="20"/>
        </w:rPr>
        <w:t>Technologies</w:t>
      </w:r>
      <w:r>
        <w:rPr>
          <w:rFonts w:ascii="Book Antiqua" w:eastAsia="Book Antiqua" w:hAnsi="Book Antiqua" w:cs="Book Antiqua"/>
          <w:sz w:val="20"/>
          <w:szCs w:val="20"/>
        </w:rPr>
        <w:t xml:space="preserve"> (pp. 487-503). Routledge. </w:t>
      </w:r>
    </w:p>
    <w:p w14:paraId="00000059" w14:textId="77777777" w:rsidR="00AD4552" w:rsidRDefault="00DD1D5F">
      <w:pPr>
        <w:rPr>
          <w:rFonts w:ascii="Book Antiqua" w:eastAsia="Book Antiqua" w:hAnsi="Book Antiqua" w:cs="Book Antiqua"/>
          <w:sz w:val="20"/>
          <w:szCs w:val="20"/>
        </w:rPr>
      </w:pPr>
      <w:proofErr w:type="spellStart"/>
      <w:r>
        <w:rPr>
          <w:rFonts w:ascii="Book Antiqua" w:eastAsia="Book Antiqua" w:hAnsi="Book Antiqua" w:cs="Book Antiqua"/>
          <w:sz w:val="20"/>
          <w:szCs w:val="20"/>
        </w:rPr>
        <w:t>Marikyan</w:t>
      </w:r>
      <w:proofErr w:type="spellEnd"/>
      <w:r>
        <w:rPr>
          <w:rFonts w:ascii="Book Antiqua" w:eastAsia="Book Antiqua" w:hAnsi="Book Antiqua" w:cs="Book Antiqua"/>
          <w:sz w:val="20"/>
          <w:szCs w:val="20"/>
        </w:rPr>
        <w:t xml:space="preserve">, D.&amp; </w:t>
      </w:r>
      <w:proofErr w:type="spellStart"/>
      <w:r>
        <w:rPr>
          <w:rFonts w:ascii="Book Antiqua" w:eastAsia="Book Antiqua" w:hAnsi="Book Antiqua" w:cs="Book Antiqua"/>
          <w:sz w:val="20"/>
          <w:szCs w:val="20"/>
        </w:rPr>
        <w:t>Papagiannidis</w:t>
      </w:r>
      <w:proofErr w:type="spellEnd"/>
      <w:r>
        <w:rPr>
          <w:rFonts w:ascii="Book Antiqua" w:eastAsia="Book Antiqua" w:hAnsi="Book Antiqua" w:cs="Book Antiqua"/>
          <w:sz w:val="20"/>
          <w:szCs w:val="20"/>
        </w:rPr>
        <w:t xml:space="preserve">, S. (2023) Unified Theory of Acceptance and Use of Technology: A review. In S. </w:t>
      </w:r>
    </w:p>
    <w:p w14:paraId="0000005A" w14:textId="77777777" w:rsidR="00AD4552" w:rsidRDefault="00DD1D5F">
      <w:pPr>
        <w:ind w:firstLine="720"/>
        <w:rPr>
          <w:rFonts w:ascii="Book Antiqua" w:eastAsia="Book Antiqua" w:hAnsi="Book Antiqua" w:cs="Book Antiqua"/>
          <w:sz w:val="20"/>
          <w:szCs w:val="20"/>
        </w:rPr>
      </w:pPr>
      <w:proofErr w:type="spellStart"/>
      <w:r>
        <w:rPr>
          <w:rFonts w:ascii="Book Antiqua" w:eastAsia="Book Antiqua" w:hAnsi="Book Antiqua" w:cs="Book Antiqua"/>
          <w:sz w:val="20"/>
          <w:szCs w:val="20"/>
        </w:rPr>
        <w:t>Papagiannidis</w:t>
      </w:r>
      <w:proofErr w:type="spellEnd"/>
      <w:r>
        <w:rPr>
          <w:rFonts w:ascii="Book Antiqua" w:eastAsia="Book Antiqua" w:hAnsi="Book Antiqua" w:cs="Book Antiqua"/>
          <w:sz w:val="20"/>
          <w:szCs w:val="20"/>
        </w:rPr>
        <w:t xml:space="preserve"> (Ed), </w:t>
      </w:r>
      <w:proofErr w:type="spellStart"/>
      <w:r>
        <w:rPr>
          <w:rFonts w:ascii="Book Antiqua" w:eastAsia="Book Antiqua" w:hAnsi="Book Antiqua" w:cs="Book Antiqua"/>
          <w:sz w:val="20"/>
          <w:szCs w:val="20"/>
        </w:rPr>
        <w:t>TheoryHub</w:t>
      </w:r>
      <w:proofErr w:type="spellEnd"/>
      <w:r>
        <w:rPr>
          <w:rFonts w:ascii="Book Antiqua" w:eastAsia="Book Antiqua" w:hAnsi="Book Antiqua" w:cs="Book Antiqua"/>
          <w:sz w:val="20"/>
          <w:szCs w:val="20"/>
        </w:rPr>
        <w:t xml:space="preserve"> Book. https://open.ncl.ac.uk/ISBN: 978173960440</w:t>
      </w:r>
    </w:p>
    <w:p w14:paraId="0000005B" w14:textId="77777777" w:rsidR="00AD4552" w:rsidRDefault="0064792B">
      <w:pPr>
        <w:spacing w:line="276" w:lineRule="auto"/>
        <w:ind w:left="720"/>
        <w:rPr>
          <w:rFonts w:ascii="Book Antiqua" w:eastAsia="Book Antiqua" w:hAnsi="Book Antiqua" w:cs="Book Antiqua"/>
          <w:sz w:val="20"/>
          <w:szCs w:val="20"/>
        </w:rPr>
      </w:pPr>
      <w:hyperlink r:id="rId19">
        <w:r w:rsidR="00DD1D5F">
          <w:rPr>
            <w:rFonts w:ascii="Book Antiqua" w:eastAsia="Book Antiqua" w:hAnsi="Book Antiqua" w:cs="Book Antiqua"/>
            <w:sz w:val="20"/>
            <w:szCs w:val="20"/>
          </w:rPr>
          <w:t>https://books.google.com.ph/books?hl=en&amp;lr=&amp;id=zSbxDwAAQBAJ&amp;oi=fnd&amp;pg=PA14&amp;dq</w:t>
        </w:r>
      </w:hyperlink>
    </w:p>
    <w:p w14:paraId="0000005C" w14:textId="77777777" w:rsidR="00AD4552" w:rsidRDefault="00DD1D5F">
      <w:pPr>
        <w:spacing w:line="276" w:lineRule="auto"/>
        <w:rPr>
          <w:rFonts w:ascii="Book Antiqua" w:eastAsia="Book Antiqua" w:hAnsi="Book Antiqua" w:cs="Book Antiqua"/>
          <w:sz w:val="20"/>
          <w:szCs w:val="20"/>
        </w:rPr>
      </w:pPr>
      <w:r>
        <w:rPr>
          <w:rFonts w:ascii="Book Antiqua" w:eastAsia="Book Antiqua" w:hAnsi="Book Antiqua" w:cs="Book Antiqua"/>
          <w:sz w:val="20"/>
          <w:szCs w:val="20"/>
        </w:rPr>
        <w:t xml:space="preserve">Nwachukwu, E. L., </w:t>
      </w:r>
      <w:proofErr w:type="spellStart"/>
      <w:r>
        <w:rPr>
          <w:rFonts w:ascii="Book Antiqua" w:eastAsia="Book Antiqua" w:hAnsi="Book Antiqua" w:cs="Book Antiqua"/>
          <w:sz w:val="20"/>
          <w:szCs w:val="20"/>
        </w:rPr>
        <w:t>Egbue</w:t>
      </w:r>
      <w:proofErr w:type="spellEnd"/>
      <w:r>
        <w:rPr>
          <w:rFonts w:ascii="Book Antiqua" w:eastAsia="Book Antiqua" w:hAnsi="Book Antiqua" w:cs="Book Antiqua"/>
          <w:sz w:val="20"/>
          <w:szCs w:val="20"/>
        </w:rPr>
        <w:t>, N. G., &amp; Victor-</w:t>
      </w:r>
      <w:proofErr w:type="spellStart"/>
      <w:r>
        <w:rPr>
          <w:rFonts w:ascii="Book Antiqua" w:eastAsia="Book Antiqua" w:hAnsi="Book Antiqua" w:cs="Book Antiqua"/>
          <w:sz w:val="20"/>
          <w:szCs w:val="20"/>
        </w:rPr>
        <w:t>Nwakaku</w:t>
      </w:r>
      <w:proofErr w:type="spellEnd"/>
      <w:r>
        <w:rPr>
          <w:rFonts w:ascii="Book Antiqua" w:eastAsia="Book Antiqua" w:hAnsi="Book Antiqua" w:cs="Book Antiqua"/>
          <w:sz w:val="20"/>
          <w:szCs w:val="20"/>
        </w:rPr>
        <w:t xml:space="preserve">, I. (2025). Adaptive Learning Systems: Bridging </w:t>
      </w:r>
    </w:p>
    <w:p w14:paraId="0000005D" w14:textId="77777777" w:rsidR="00AD4552" w:rsidRDefault="00DD1D5F">
      <w:pPr>
        <w:spacing w:line="276" w:lineRule="auto"/>
        <w:ind w:left="720"/>
        <w:rPr>
          <w:rFonts w:ascii="Book Antiqua" w:eastAsia="Book Antiqua" w:hAnsi="Book Antiqua" w:cs="Book Antiqua"/>
          <w:sz w:val="20"/>
          <w:szCs w:val="20"/>
        </w:rPr>
      </w:pPr>
      <w:r>
        <w:rPr>
          <w:rFonts w:ascii="Book Antiqua" w:eastAsia="Book Antiqua" w:hAnsi="Book Antiqua" w:cs="Book Antiqua"/>
          <w:sz w:val="20"/>
          <w:szCs w:val="20"/>
        </w:rPr>
        <w:t xml:space="preserve">Instructional Technology and Personalized Pedagogy through Design Thinking. </w:t>
      </w:r>
      <w:r>
        <w:rPr>
          <w:rFonts w:ascii="Book Antiqua" w:eastAsia="Book Antiqua" w:hAnsi="Book Antiqua" w:cs="Book Antiqua"/>
          <w:i/>
          <w:iCs/>
          <w:sz w:val="20"/>
          <w:szCs w:val="20"/>
        </w:rPr>
        <w:t>Journal of Digital Learning and Distance Education, 4</w:t>
      </w:r>
      <w:r>
        <w:rPr>
          <w:rFonts w:ascii="Book Antiqua" w:eastAsia="Book Antiqua" w:hAnsi="Book Antiqua" w:cs="Book Antiqua"/>
          <w:sz w:val="20"/>
          <w:szCs w:val="20"/>
        </w:rPr>
        <w:t>(5), 1689-1703.</w:t>
      </w:r>
      <w:hyperlink r:id="rId20">
        <w:r>
          <w:rPr>
            <w:rFonts w:ascii="Book Antiqua" w:eastAsia="Book Antiqua" w:hAnsi="Book Antiqua" w:cs="Book Antiqua"/>
            <w:sz w:val="20"/>
            <w:szCs w:val="20"/>
          </w:rPr>
          <w:t xml:space="preserve"> https://doi.org/10.56778/jdlde.v4i5.588</w:t>
        </w:r>
      </w:hyperlink>
    </w:p>
    <w:p w14:paraId="0000005E" w14:textId="77777777" w:rsidR="00AD4552" w:rsidRDefault="00DD1D5F">
      <w:p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color w:val="000000"/>
          <w:sz w:val="20"/>
          <w:szCs w:val="20"/>
        </w:rPr>
        <w:t>OEB Insights. (2019). The 4th Industrial Revolution and its impact on education.</w:t>
      </w:r>
      <w:r>
        <w:rPr>
          <w:rFonts w:ascii="Book Antiqua" w:eastAsia="Book Antiqua" w:hAnsi="Book Antiqua" w:cs="Book Antiqua"/>
          <w:sz w:val="20"/>
          <w:szCs w:val="20"/>
        </w:rPr>
        <w:t xml:space="preserve"> </w:t>
      </w:r>
    </w:p>
    <w:p w14:paraId="0000005F" w14:textId="77777777" w:rsidR="00AD4552" w:rsidRDefault="00DD1D5F">
      <w:pPr>
        <w:pBdr>
          <w:top w:val="nil"/>
          <w:left w:val="nil"/>
          <w:bottom w:val="nil"/>
          <w:right w:val="nil"/>
          <w:between w:val="nil"/>
        </w:pBdr>
        <w:ind w:firstLine="720"/>
        <w:rPr>
          <w:rFonts w:ascii="Book Antiqua" w:eastAsia="Book Antiqua" w:hAnsi="Book Antiqua" w:cs="Book Antiqua"/>
          <w:color w:val="000000"/>
          <w:sz w:val="20"/>
          <w:szCs w:val="20"/>
        </w:rPr>
      </w:pPr>
      <w:r>
        <w:rPr>
          <w:rFonts w:ascii="Book Antiqua" w:eastAsia="Book Antiqua" w:hAnsi="Book Antiqua" w:cs="Book Antiqua"/>
          <w:sz w:val="20"/>
          <w:szCs w:val="20"/>
        </w:rPr>
        <w:t>https://oeb.global/oeb-insights/the-4th-industrial-revolution-and-its-impact-on-education/</w:t>
      </w:r>
    </w:p>
    <w:p w14:paraId="00000060"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lastRenderedPageBreak/>
        <w:t>Phillips, J. A., McElwain, M. C., &amp; Clemmer, K. W. (2016). Metacognitive training in professional development can improve and sustain student achievement. </w:t>
      </w:r>
      <w:proofErr w:type="spellStart"/>
      <w:r>
        <w:rPr>
          <w:rFonts w:ascii="Book Antiqua" w:eastAsia="Book Antiqua" w:hAnsi="Book Antiqua" w:cs="Book Antiqua"/>
          <w:i/>
          <w:iCs/>
          <w:color w:val="000000"/>
          <w:sz w:val="20"/>
          <w:szCs w:val="20"/>
        </w:rPr>
        <w:t>arXiv</w:t>
      </w:r>
      <w:proofErr w:type="spellEnd"/>
      <w:r>
        <w:rPr>
          <w:rFonts w:ascii="Book Antiqua" w:eastAsia="Book Antiqua" w:hAnsi="Book Antiqua" w:cs="Book Antiqua"/>
          <w:i/>
          <w:iCs/>
          <w:color w:val="000000"/>
          <w:sz w:val="20"/>
          <w:szCs w:val="20"/>
        </w:rPr>
        <w:t xml:space="preserve"> preprint arXiv:1607.07856.</w:t>
      </w:r>
      <w:r>
        <w:rPr>
          <w:rFonts w:ascii="Book Antiqua" w:eastAsia="Book Antiqua" w:hAnsi="Book Antiqua" w:cs="Book Antiqua"/>
          <w:color w:val="000000"/>
          <w:sz w:val="20"/>
          <w:szCs w:val="20"/>
        </w:rPr>
        <w:t> </w:t>
      </w:r>
      <w:hyperlink r:id="rId21">
        <w:r>
          <w:rPr>
            <w:rFonts w:ascii="Book Antiqua" w:eastAsia="Book Antiqua" w:hAnsi="Book Antiqua" w:cs="Book Antiqua"/>
            <w:color w:val="000000"/>
            <w:sz w:val="20"/>
            <w:szCs w:val="20"/>
          </w:rPr>
          <w:t>https://arxiv.org/abs/1607.07856</w:t>
        </w:r>
      </w:hyperlink>
    </w:p>
    <w:p w14:paraId="00000061"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Ramli, M. A., &amp; Mohamad </w:t>
      </w:r>
      <w:proofErr w:type="spellStart"/>
      <w:r>
        <w:rPr>
          <w:rFonts w:ascii="Book Antiqua" w:eastAsia="Book Antiqua" w:hAnsi="Book Antiqua" w:cs="Book Antiqua"/>
          <w:color w:val="000000"/>
          <w:sz w:val="20"/>
          <w:szCs w:val="20"/>
        </w:rPr>
        <w:t>Arsad</w:t>
      </w:r>
      <w:proofErr w:type="spellEnd"/>
      <w:r>
        <w:rPr>
          <w:rFonts w:ascii="Book Antiqua" w:eastAsia="Book Antiqua" w:hAnsi="Book Antiqua" w:cs="Book Antiqua"/>
          <w:color w:val="000000"/>
          <w:sz w:val="20"/>
          <w:szCs w:val="20"/>
        </w:rPr>
        <w:t>, N. (2024). Leveraging professional learning communities in linking digital professional development and instructional integration: Evidence from 16,072 STEM teachers. </w:t>
      </w:r>
      <w:r>
        <w:rPr>
          <w:rFonts w:ascii="Book Antiqua" w:eastAsia="Book Antiqua" w:hAnsi="Book Antiqua" w:cs="Book Antiqua"/>
          <w:i/>
          <w:iCs/>
          <w:color w:val="000000"/>
          <w:sz w:val="20"/>
          <w:szCs w:val="20"/>
        </w:rPr>
        <w:t>International Journal of STEM Education, 11, Article</w:t>
      </w:r>
      <w:r>
        <w:rPr>
          <w:rFonts w:ascii="Book Antiqua" w:eastAsia="Book Antiqua" w:hAnsi="Book Antiqua" w:cs="Book Antiqua"/>
          <w:i/>
          <w:iCs/>
          <w:sz w:val="20"/>
          <w:szCs w:val="20"/>
        </w:rPr>
        <w:t xml:space="preserve"> </w:t>
      </w:r>
      <w:r>
        <w:rPr>
          <w:rFonts w:ascii="Book Antiqua" w:eastAsia="Book Antiqua" w:hAnsi="Book Antiqua" w:cs="Book Antiqua"/>
          <w:i/>
          <w:iCs/>
          <w:color w:val="000000"/>
          <w:sz w:val="20"/>
          <w:szCs w:val="20"/>
        </w:rPr>
        <w:t>13.</w:t>
      </w:r>
      <w:r>
        <w:rPr>
          <w:rFonts w:ascii="Book Antiqua" w:eastAsia="Book Antiqua" w:hAnsi="Book Antiqua" w:cs="Book Antiqua"/>
          <w:color w:val="000000"/>
          <w:sz w:val="20"/>
          <w:szCs w:val="20"/>
        </w:rPr>
        <w:t> </w:t>
      </w:r>
      <w:hyperlink r:id="rId22">
        <w:r>
          <w:rPr>
            <w:rFonts w:ascii="Book Antiqua" w:eastAsia="Book Antiqua" w:hAnsi="Book Antiqua" w:cs="Book Antiqua"/>
            <w:color w:val="000000"/>
            <w:sz w:val="20"/>
            <w:szCs w:val="20"/>
          </w:rPr>
          <w:t>https://doi.org/10.1186/s40594-024-00513-3</w:t>
        </w:r>
      </w:hyperlink>
    </w:p>
    <w:p w14:paraId="00000062"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Reimers, F. (2019). Educating for the Fourth Industrial Revolution. </w:t>
      </w:r>
      <w:r>
        <w:rPr>
          <w:rFonts w:ascii="Book Antiqua" w:eastAsia="Book Antiqua" w:hAnsi="Book Antiqua" w:cs="Book Antiqua"/>
          <w:i/>
          <w:iCs/>
          <w:color w:val="000000"/>
          <w:sz w:val="20"/>
          <w:szCs w:val="20"/>
        </w:rPr>
        <w:t>Harvard Graduate School of Education</w:t>
      </w:r>
      <w:r>
        <w:rPr>
          <w:rFonts w:ascii="Book Antiqua" w:eastAsia="Book Antiqua" w:hAnsi="Book Antiqua" w:cs="Book Antiqua"/>
          <w:sz w:val="20"/>
          <w:szCs w:val="20"/>
        </w:rPr>
        <w:t>.</w:t>
      </w:r>
      <w:hyperlink r:id="rId23">
        <w:r>
          <w:rPr>
            <w:rFonts w:ascii="Book Antiqua" w:eastAsia="Book Antiqua" w:hAnsi="Book Antiqua" w:cs="Book Antiqua"/>
            <w:sz w:val="20"/>
            <w:szCs w:val="20"/>
          </w:rPr>
          <w:t>https://www.researchgate.net/profile/Fernando-Reimers/publication/330422007_Educating_for_the_Fourth_Industrial_Revolution/links/5c3f2e8d92851c22a3797e9d/Educating-for-the-Fourth-Industrial-Revolution.pdf</w:t>
        </w:r>
      </w:hyperlink>
      <w:r>
        <w:rPr>
          <w:rFonts w:ascii="Book Antiqua" w:eastAsia="Book Antiqua" w:hAnsi="Book Antiqua" w:cs="Book Antiqua"/>
          <w:sz w:val="20"/>
          <w:szCs w:val="20"/>
        </w:rPr>
        <w:t xml:space="preserve"> </w:t>
      </w:r>
    </w:p>
    <w:p w14:paraId="00000063" w14:textId="77777777" w:rsidR="00AD4552" w:rsidRDefault="00DD1D5F">
      <w:pPr>
        <w:spacing w:line="276" w:lineRule="auto"/>
        <w:rPr>
          <w:rFonts w:ascii="Book Antiqua" w:eastAsia="Book Antiqua" w:hAnsi="Book Antiqua" w:cs="Book Antiqua"/>
          <w:sz w:val="20"/>
          <w:szCs w:val="20"/>
        </w:rPr>
      </w:pPr>
      <w:r w:rsidRPr="00FF5DD2">
        <w:rPr>
          <w:rFonts w:ascii="Book Antiqua" w:eastAsia="Book Antiqua" w:hAnsi="Book Antiqua" w:cs="Book Antiqua"/>
          <w:sz w:val="20"/>
          <w:szCs w:val="20"/>
          <w:lang w:val="fr-FR"/>
        </w:rPr>
        <w:t xml:space="preserve">Silva, H., Lopes, J., Morais, E., &amp; Dominguez, C. (2020). </w:t>
      </w:r>
      <w:r>
        <w:rPr>
          <w:rFonts w:ascii="Book Antiqua" w:eastAsia="Book Antiqua" w:hAnsi="Book Antiqua" w:cs="Book Antiqua"/>
          <w:sz w:val="20"/>
          <w:szCs w:val="20"/>
        </w:rPr>
        <w:t xml:space="preserve">Cooperative learning and critical thinking in </w:t>
      </w:r>
    </w:p>
    <w:p w14:paraId="00000064" w14:textId="77777777" w:rsidR="00AD4552" w:rsidRDefault="00DD1D5F">
      <w:pPr>
        <w:spacing w:line="276" w:lineRule="auto"/>
        <w:ind w:left="720"/>
        <w:rPr>
          <w:rFonts w:ascii="Book Antiqua" w:eastAsia="Book Antiqua" w:hAnsi="Book Antiqua" w:cs="Book Antiqua"/>
          <w:sz w:val="20"/>
          <w:szCs w:val="20"/>
        </w:rPr>
      </w:pPr>
      <w:r>
        <w:rPr>
          <w:rFonts w:ascii="Book Antiqua" w:eastAsia="Book Antiqua" w:hAnsi="Book Antiqua" w:cs="Book Antiqua"/>
          <w:sz w:val="20"/>
          <w:szCs w:val="20"/>
        </w:rPr>
        <w:t xml:space="preserve">face to face and online environments. </w:t>
      </w:r>
      <w:r>
        <w:rPr>
          <w:rFonts w:ascii="Book Antiqua" w:eastAsia="Book Antiqua" w:hAnsi="Book Antiqua" w:cs="Book Antiqua"/>
          <w:i/>
          <w:iCs/>
          <w:sz w:val="20"/>
          <w:szCs w:val="20"/>
        </w:rPr>
        <w:t>In International Conference on Technology and Innovation in Learning, Teaching and Education</w:t>
      </w:r>
      <w:r>
        <w:rPr>
          <w:rFonts w:ascii="Book Antiqua" w:eastAsia="Book Antiqua" w:hAnsi="Book Antiqua" w:cs="Book Antiqua"/>
          <w:sz w:val="20"/>
          <w:szCs w:val="20"/>
        </w:rPr>
        <w:t xml:space="preserve"> (pp. 168-180). Cham: Springer International Publishing. https://doi.org/10.1007/978-3-030-73988-1_12</w:t>
      </w:r>
    </w:p>
    <w:p w14:paraId="00000065" w14:textId="77777777" w:rsidR="00AD4552" w:rsidRDefault="00DD1D5F">
      <w:pPr>
        <w:spacing w:line="276" w:lineRule="auto"/>
        <w:rPr>
          <w:rFonts w:ascii="Book Antiqua" w:eastAsia="Book Antiqua" w:hAnsi="Book Antiqua" w:cs="Book Antiqua"/>
          <w:sz w:val="20"/>
          <w:szCs w:val="20"/>
        </w:rPr>
      </w:pPr>
      <w:r>
        <w:rPr>
          <w:rFonts w:ascii="Book Antiqua" w:eastAsia="Book Antiqua" w:hAnsi="Book Antiqua" w:cs="Book Antiqua"/>
          <w:sz w:val="20"/>
          <w:szCs w:val="20"/>
        </w:rPr>
        <w:t xml:space="preserve">Swarup, R. R. (2024). Designing Education 4.0: Harnessing the power of design thinking. </w:t>
      </w:r>
      <w:r>
        <w:rPr>
          <w:rFonts w:ascii="Book Antiqua" w:eastAsia="Book Antiqua" w:hAnsi="Book Antiqua" w:cs="Book Antiqua"/>
          <w:i/>
          <w:iCs/>
          <w:sz w:val="20"/>
          <w:szCs w:val="20"/>
        </w:rPr>
        <w:t>Development, 6</w:t>
      </w:r>
      <w:r>
        <w:rPr>
          <w:rFonts w:ascii="Book Antiqua" w:eastAsia="Book Antiqua" w:hAnsi="Book Antiqua" w:cs="Book Antiqua"/>
          <w:sz w:val="20"/>
          <w:szCs w:val="20"/>
        </w:rPr>
        <w:t xml:space="preserve">(7), 8. </w:t>
      </w:r>
    </w:p>
    <w:p w14:paraId="00000066" w14:textId="77777777" w:rsidR="00AD4552" w:rsidRDefault="0064792B">
      <w:pPr>
        <w:spacing w:line="276" w:lineRule="auto"/>
        <w:ind w:firstLine="720"/>
        <w:rPr>
          <w:rFonts w:ascii="Book Antiqua" w:eastAsia="Book Antiqua" w:hAnsi="Book Antiqua" w:cs="Book Antiqua"/>
          <w:sz w:val="20"/>
          <w:szCs w:val="20"/>
        </w:rPr>
      </w:pPr>
      <w:hyperlink r:id="rId24">
        <w:r w:rsidR="00DD1D5F">
          <w:rPr>
            <w:rFonts w:ascii="Book Antiqua" w:eastAsia="Book Antiqua" w:hAnsi="Book Antiqua" w:cs="Book Antiqua"/>
            <w:sz w:val="20"/>
            <w:szCs w:val="20"/>
          </w:rPr>
          <w:t>http://www.eurasianresearch.org/EJRI</w:t>
        </w:r>
      </w:hyperlink>
      <w:r w:rsidR="00DD1D5F">
        <w:rPr>
          <w:rFonts w:ascii="Book Antiqua" w:eastAsia="Book Antiqua" w:hAnsi="Book Antiqua" w:cs="Book Antiqua"/>
          <w:sz w:val="20"/>
          <w:szCs w:val="20"/>
        </w:rPr>
        <w:t xml:space="preserve"> </w:t>
      </w:r>
    </w:p>
    <w:p w14:paraId="00000067" w14:textId="77777777" w:rsidR="00AD4552" w:rsidRDefault="00DD1D5F">
      <w:p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Thurm, D., </w:t>
      </w:r>
      <w:proofErr w:type="spellStart"/>
      <w:r>
        <w:rPr>
          <w:rFonts w:ascii="Book Antiqua" w:eastAsia="Book Antiqua" w:hAnsi="Book Antiqua" w:cs="Book Antiqua"/>
          <w:color w:val="000000"/>
          <w:sz w:val="20"/>
          <w:szCs w:val="20"/>
        </w:rPr>
        <w:t>Barzel</w:t>
      </w:r>
      <w:proofErr w:type="spellEnd"/>
      <w:r>
        <w:rPr>
          <w:rFonts w:ascii="Book Antiqua" w:eastAsia="Book Antiqua" w:hAnsi="Book Antiqua" w:cs="Book Antiqua"/>
          <w:color w:val="000000"/>
          <w:sz w:val="20"/>
          <w:szCs w:val="20"/>
        </w:rPr>
        <w:t xml:space="preserve">, B., &amp; </w:t>
      </w:r>
      <w:proofErr w:type="spellStart"/>
      <w:r>
        <w:rPr>
          <w:rFonts w:ascii="Book Antiqua" w:eastAsia="Book Antiqua" w:hAnsi="Book Antiqua" w:cs="Book Antiqua"/>
          <w:color w:val="000000"/>
          <w:sz w:val="20"/>
          <w:szCs w:val="20"/>
        </w:rPr>
        <w:t>Drijvers</w:t>
      </w:r>
      <w:proofErr w:type="spellEnd"/>
      <w:r>
        <w:rPr>
          <w:rFonts w:ascii="Book Antiqua" w:eastAsia="Book Antiqua" w:hAnsi="Book Antiqua" w:cs="Book Antiqua"/>
          <w:color w:val="000000"/>
          <w:sz w:val="20"/>
          <w:szCs w:val="20"/>
        </w:rPr>
        <w:t xml:space="preserve">, P. (2020). Effects of a professional development program for teaching </w:t>
      </w:r>
    </w:p>
    <w:p w14:paraId="00000068" w14:textId="77777777" w:rsidR="00AD4552" w:rsidRDefault="00DD1D5F">
      <w:pPr>
        <w:pBdr>
          <w:top w:val="nil"/>
          <w:left w:val="nil"/>
          <w:bottom w:val="nil"/>
          <w:right w:val="nil"/>
          <w:between w:val="nil"/>
        </w:pBdr>
        <w:ind w:left="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mathematics with technology on teachers’ beliefs, self-efficacy, and practices. </w:t>
      </w:r>
      <w:r>
        <w:rPr>
          <w:rFonts w:ascii="Book Antiqua" w:eastAsia="Book Antiqua" w:hAnsi="Book Antiqua" w:cs="Book Antiqua"/>
          <w:i/>
          <w:iCs/>
          <w:color w:val="000000"/>
          <w:sz w:val="20"/>
          <w:szCs w:val="20"/>
        </w:rPr>
        <w:t>ZDM – Mathematics Education, 52(7), 1413–1426.</w:t>
      </w:r>
      <w:r>
        <w:rPr>
          <w:rFonts w:ascii="Book Antiqua" w:eastAsia="Book Antiqua" w:hAnsi="Book Antiqua" w:cs="Book Antiqua"/>
          <w:color w:val="000000"/>
          <w:sz w:val="20"/>
          <w:szCs w:val="20"/>
        </w:rPr>
        <w:t>https://doi.org/10.1007/s11858-020-01158-6</w:t>
      </w:r>
    </w:p>
    <w:p w14:paraId="00000069"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Trujillo-Torres, J.-M., Hossein-Mohand, H., Gómez-García, M., Hossein-Mohand, H., &amp; Cáceres-Reche, M.-P. (2020). Mathematics teachers’ perceptions of the introduction of ICT: The relationship between motivation and use in the teaching function. </w:t>
      </w:r>
      <w:r>
        <w:rPr>
          <w:rFonts w:ascii="Book Antiqua" w:eastAsia="Book Antiqua" w:hAnsi="Book Antiqua" w:cs="Book Antiqua"/>
          <w:i/>
          <w:iCs/>
          <w:color w:val="000000"/>
          <w:sz w:val="20"/>
          <w:szCs w:val="20"/>
        </w:rPr>
        <w:t>Mathematics, 8(12), 2158.</w:t>
      </w:r>
      <w:r>
        <w:rPr>
          <w:rFonts w:ascii="Book Antiqua" w:eastAsia="Book Antiqua" w:hAnsi="Book Antiqua" w:cs="Book Antiqua"/>
          <w:color w:val="000000"/>
          <w:sz w:val="20"/>
          <w:szCs w:val="20"/>
        </w:rPr>
        <w:t> </w:t>
      </w:r>
      <w:hyperlink r:id="rId25">
        <w:r>
          <w:rPr>
            <w:rFonts w:ascii="Book Antiqua" w:eastAsia="Book Antiqua" w:hAnsi="Book Antiqua" w:cs="Book Antiqua"/>
            <w:color w:val="000000"/>
            <w:sz w:val="20"/>
            <w:szCs w:val="20"/>
          </w:rPr>
          <w:t>https://doi.org/10.3390/math8122158</w:t>
        </w:r>
      </w:hyperlink>
    </w:p>
    <w:p w14:paraId="0000006A"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Trust, T., &amp; Whalen, J. (2020). Should teachers be trained in emergency remote teaching? Lessons learned from the COVID-19 pandemic. </w:t>
      </w:r>
      <w:r>
        <w:rPr>
          <w:rFonts w:ascii="Book Antiqua" w:eastAsia="Book Antiqua" w:hAnsi="Book Antiqua" w:cs="Book Antiqua"/>
          <w:i/>
          <w:iCs/>
          <w:color w:val="000000"/>
          <w:sz w:val="20"/>
          <w:szCs w:val="20"/>
        </w:rPr>
        <w:t>Journal of Technology and Teacher Education, 28</w:t>
      </w:r>
      <w:r>
        <w:rPr>
          <w:rFonts w:ascii="Book Antiqua" w:eastAsia="Book Antiqua" w:hAnsi="Book Antiqua" w:cs="Book Antiqua"/>
          <w:color w:val="000000"/>
          <w:sz w:val="20"/>
          <w:szCs w:val="20"/>
        </w:rPr>
        <w:t xml:space="preserve">(2), 189–199. </w:t>
      </w:r>
      <w:hyperlink r:id="rId26">
        <w:r>
          <w:rPr>
            <w:rFonts w:ascii="Book Antiqua" w:eastAsia="Book Antiqua" w:hAnsi="Book Antiqua" w:cs="Book Antiqua"/>
            <w:sz w:val="20"/>
            <w:szCs w:val="20"/>
          </w:rPr>
          <w:t>https://doi.org/10.70725/307718pkpjuu</w:t>
        </w:r>
      </w:hyperlink>
    </w:p>
    <w:p w14:paraId="0000006B"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proofErr w:type="spellStart"/>
      <w:r>
        <w:rPr>
          <w:rFonts w:ascii="Book Antiqua" w:eastAsia="Book Antiqua" w:hAnsi="Book Antiqua" w:cs="Book Antiqua"/>
          <w:color w:val="000000"/>
          <w:sz w:val="20"/>
          <w:szCs w:val="20"/>
        </w:rPr>
        <w:t>Ukobizaba</w:t>
      </w:r>
      <w:proofErr w:type="spellEnd"/>
      <w:r>
        <w:rPr>
          <w:rFonts w:ascii="Book Antiqua" w:eastAsia="Book Antiqua" w:hAnsi="Book Antiqua" w:cs="Book Antiqua"/>
          <w:color w:val="000000"/>
          <w:sz w:val="20"/>
          <w:szCs w:val="20"/>
        </w:rPr>
        <w:t xml:space="preserve">, F., Nsabayezu, E., &amp; </w:t>
      </w:r>
      <w:proofErr w:type="spellStart"/>
      <w:r>
        <w:rPr>
          <w:rFonts w:ascii="Book Antiqua" w:eastAsia="Book Antiqua" w:hAnsi="Book Antiqua" w:cs="Book Antiqua"/>
          <w:color w:val="000000"/>
          <w:sz w:val="20"/>
          <w:szCs w:val="20"/>
        </w:rPr>
        <w:t>Uworwabayeho</w:t>
      </w:r>
      <w:proofErr w:type="spellEnd"/>
      <w:r>
        <w:rPr>
          <w:rFonts w:ascii="Book Antiqua" w:eastAsia="Book Antiqua" w:hAnsi="Book Antiqua" w:cs="Book Antiqua"/>
          <w:color w:val="000000"/>
          <w:sz w:val="20"/>
          <w:szCs w:val="20"/>
        </w:rPr>
        <w:t xml:space="preserve">, A. (2022). Is Africa Ready for the Fourth Industrial Revolution? In B. Chirinda, K. Luneta, &amp; A. </w:t>
      </w:r>
      <w:proofErr w:type="spellStart"/>
      <w:r>
        <w:rPr>
          <w:rFonts w:ascii="Book Antiqua" w:eastAsia="Book Antiqua" w:hAnsi="Book Antiqua" w:cs="Book Antiqua"/>
          <w:color w:val="000000"/>
          <w:sz w:val="20"/>
          <w:szCs w:val="20"/>
        </w:rPr>
        <w:t>Uworwabayeho</w:t>
      </w:r>
      <w:proofErr w:type="spellEnd"/>
      <w:r>
        <w:rPr>
          <w:rFonts w:ascii="Book Antiqua" w:eastAsia="Book Antiqua" w:hAnsi="Book Antiqua" w:cs="Book Antiqua"/>
          <w:color w:val="000000"/>
          <w:sz w:val="20"/>
          <w:szCs w:val="20"/>
        </w:rPr>
        <w:t xml:space="preserve"> (Eds.), </w:t>
      </w:r>
      <w:r>
        <w:rPr>
          <w:rFonts w:ascii="Book Antiqua" w:eastAsia="Book Antiqua" w:hAnsi="Book Antiqua" w:cs="Book Antiqua"/>
          <w:i/>
          <w:iCs/>
          <w:color w:val="000000"/>
          <w:sz w:val="20"/>
          <w:szCs w:val="20"/>
        </w:rPr>
        <w:t>Mathematics Education in Africa: The Fourth Industrial Revolution</w:t>
      </w:r>
      <w:r>
        <w:rPr>
          <w:rFonts w:ascii="Book Antiqua" w:eastAsia="Book Antiqua" w:hAnsi="Book Antiqua" w:cs="Book Antiqua"/>
          <w:color w:val="000000"/>
          <w:sz w:val="20"/>
          <w:szCs w:val="20"/>
        </w:rPr>
        <w:t xml:space="preserve"> (pp. 1–16). </w:t>
      </w:r>
      <w:proofErr w:type="spellStart"/>
      <w:r>
        <w:rPr>
          <w:rFonts w:ascii="Book Antiqua" w:eastAsia="Book Antiqua" w:hAnsi="Book Antiqua" w:cs="Book Antiqua"/>
          <w:color w:val="000000"/>
          <w:sz w:val="20"/>
          <w:szCs w:val="20"/>
        </w:rPr>
        <w:t>Springer.</w:t>
      </w:r>
      <w:hyperlink r:id="rId27">
        <w:r>
          <w:rPr>
            <w:rFonts w:ascii="Book Antiqua" w:eastAsia="Book Antiqua" w:hAnsi="Book Antiqua" w:cs="Book Antiqua"/>
            <w:sz w:val="20"/>
            <w:szCs w:val="20"/>
          </w:rPr>
          <w:t>https</w:t>
        </w:r>
        <w:proofErr w:type="spellEnd"/>
        <w:r>
          <w:rPr>
            <w:rFonts w:ascii="Book Antiqua" w:eastAsia="Book Antiqua" w:hAnsi="Book Antiqua" w:cs="Book Antiqua"/>
            <w:sz w:val="20"/>
            <w:szCs w:val="20"/>
          </w:rPr>
          <w:t>:/</w:t>
        </w:r>
      </w:hyperlink>
      <w:r>
        <w:rPr>
          <w:rFonts w:ascii="Book Antiqua" w:eastAsia="Book Antiqua" w:hAnsi="Book Antiqua" w:cs="Book Antiqua"/>
          <w:color w:val="000000"/>
          <w:sz w:val="20"/>
          <w:szCs w:val="20"/>
        </w:rPr>
        <w:t>/doi.org/10.1007/978-3-031-13927-7</w:t>
      </w:r>
    </w:p>
    <w:p w14:paraId="0000006C" w14:textId="77777777" w:rsidR="00AD4552" w:rsidRDefault="00DD1D5F">
      <w:pPr>
        <w:pBdr>
          <w:top w:val="nil"/>
          <w:left w:val="nil"/>
          <w:bottom w:val="nil"/>
          <w:right w:val="nil"/>
          <w:between w:val="nil"/>
        </w:pBdr>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UNESCO. (2021). </w:t>
      </w:r>
      <w:r>
        <w:rPr>
          <w:rFonts w:ascii="Book Antiqua" w:eastAsia="Book Antiqua" w:hAnsi="Book Antiqua" w:cs="Book Antiqua"/>
          <w:i/>
          <w:iCs/>
          <w:color w:val="000000"/>
          <w:sz w:val="20"/>
          <w:szCs w:val="20"/>
        </w:rPr>
        <w:t>Reimagining our futures together: A new social contract for education</w:t>
      </w:r>
      <w:r>
        <w:rPr>
          <w:rFonts w:ascii="Book Antiqua" w:eastAsia="Book Antiqua" w:hAnsi="Book Antiqua" w:cs="Book Antiqua"/>
          <w:color w:val="000000"/>
          <w:sz w:val="20"/>
          <w:szCs w:val="20"/>
        </w:rPr>
        <w:t xml:space="preserve">. </w:t>
      </w:r>
      <w:hyperlink r:id="rId28">
        <w:r>
          <w:rPr>
            <w:rFonts w:ascii="Book Antiqua" w:eastAsia="Book Antiqua" w:hAnsi="Book Antiqua" w:cs="Book Antiqua"/>
            <w:color w:val="000000"/>
            <w:sz w:val="20"/>
            <w:szCs w:val="20"/>
          </w:rPr>
          <w:t>https://unesdoc.unesco.org/ark:/48223/pf0000379707</w:t>
        </w:r>
      </w:hyperlink>
    </w:p>
    <w:p w14:paraId="0000006D" w14:textId="77777777" w:rsidR="00AD4552" w:rsidRDefault="00DD1D5F">
      <w:p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Venkatesh, V., Morris, M. G., Davis, G. B., &amp; Davis, F. D. (2003). User acceptance of information technology: </w:t>
      </w:r>
    </w:p>
    <w:p w14:paraId="0000006E" w14:textId="77777777" w:rsidR="00AD4552" w:rsidRDefault="00DD1D5F">
      <w:pPr>
        <w:pBdr>
          <w:top w:val="nil"/>
          <w:left w:val="nil"/>
          <w:bottom w:val="nil"/>
          <w:right w:val="nil"/>
          <w:between w:val="nil"/>
        </w:pBdr>
        <w:ind w:firstLine="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Toward a unified view. </w:t>
      </w:r>
      <w:r>
        <w:rPr>
          <w:rFonts w:ascii="Book Antiqua" w:eastAsia="Book Antiqua" w:hAnsi="Book Antiqua" w:cs="Book Antiqua"/>
          <w:i/>
          <w:iCs/>
          <w:color w:val="000000"/>
          <w:sz w:val="20"/>
          <w:szCs w:val="20"/>
        </w:rPr>
        <w:t>MIS Quarterly, 27</w:t>
      </w:r>
      <w:r>
        <w:rPr>
          <w:rFonts w:ascii="Book Antiqua" w:eastAsia="Book Antiqua" w:hAnsi="Book Antiqua" w:cs="Book Antiqua"/>
          <w:color w:val="000000"/>
          <w:sz w:val="20"/>
          <w:szCs w:val="20"/>
        </w:rPr>
        <w:t xml:space="preserve">(3), 425–478. </w:t>
      </w:r>
      <w:hyperlink r:id="rId29">
        <w:r>
          <w:rPr>
            <w:rFonts w:ascii="Book Antiqua" w:eastAsia="Book Antiqua" w:hAnsi="Book Antiqua" w:cs="Book Antiqua"/>
            <w:color w:val="000000"/>
            <w:sz w:val="20"/>
            <w:szCs w:val="20"/>
          </w:rPr>
          <w:t>https://doi.org/10.2307/30036540</w:t>
        </w:r>
      </w:hyperlink>
    </w:p>
    <w:p w14:paraId="0000006F" w14:textId="77777777" w:rsidR="00AD4552" w:rsidRDefault="00DD1D5F">
      <w:pPr>
        <w:pBdr>
          <w:top w:val="nil"/>
          <w:left w:val="nil"/>
          <w:bottom w:val="nil"/>
          <w:right w:val="nil"/>
          <w:between w:val="nil"/>
        </w:pBdr>
        <w:ind w:left="720" w:hanging="720"/>
        <w:rPr>
          <w:rFonts w:ascii="Book Antiqua" w:eastAsia="Book Antiqua" w:hAnsi="Book Antiqua" w:cs="Book Antiqua"/>
          <w:sz w:val="20"/>
          <w:szCs w:val="20"/>
        </w:rPr>
      </w:pPr>
      <w:r>
        <w:rPr>
          <w:rFonts w:ascii="Book Antiqua" w:eastAsia="Book Antiqua" w:hAnsi="Book Antiqua" w:cs="Book Antiqua"/>
          <w:color w:val="000000"/>
          <w:sz w:val="20"/>
          <w:szCs w:val="20"/>
        </w:rPr>
        <w:t xml:space="preserve">World Economic Forum. (2020). </w:t>
      </w:r>
      <w:r>
        <w:rPr>
          <w:rFonts w:ascii="Book Antiqua" w:eastAsia="Book Antiqua" w:hAnsi="Book Antiqua" w:cs="Book Antiqua"/>
          <w:i/>
          <w:iCs/>
          <w:color w:val="000000"/>
          <w:sz w:val="20"/>
          <w:szCs w:val="20"/>
        </w:rPr>
        <w:t>The future of jobs report 2020</w:t>
      </w:r>
      <w:r>
        <w:rPr>
          <w:rFonts w:ascii="Book Antiqua" w:eastAsia="Book Antiqua" w:hAnsi="Book Antiqua" w:cs="Book Antiqua"/>
          <w:color w:val="000000"/>
          <w:sz w:val="20"/>
          <w:szCs w:val="20"/>
        </w:rPr>
        <w:t xml:space="preserve">. </w:t>
      </w:r>
      <w:hyperlink r:id="rId30">
        <w:r>
          <w:rPr>
            <w:rFonts w:ascii="Book Antiqua" w:eastAsia="Book Antiqua" w:hAnsi="Book Antiqua" w:cs="Book Antiqua"/>
            <w:color w:val="000000"/>
            <w:sz w:val="20"/>
            <w:szCs w:val="20"/>
          </w:rPr>
          <w:t>https://www.weforum.org/reports/the-future-of-jobs-report-2020</w:t>
        </w:r>
      </w:hyperlink>
    </w:p>
    <w:p w14:paraId="00000070" w14:textId="77777777" w:rsidR="00AD4552" w:rsidRDefault="00DD1D5F">
      <w:pPr>
        <w:spacing w:line="276" w:lineRule="auto"/>
        <w:rPr>
          <w:rFonts w:ascii="Book Antiqua" w:eastAsia="Book Antiqua" w:hAnsi="Book Antiqua" w:cs="Book Antiqua"/>
          <w:sz w:val="20"/>
          <w:szCs w:val="20"/>
        </w:rPr>
      </w:pPr>
      <w:proofErr w:type="spellStart"/>
      <w:r>
        <w:rPr>
          <w:rFonts w:ascii="Book Antiqua" w:eastAsia="Book Antiqua" w:hAnsi="Book Antiqua" w:cs="Book Antiqua"/>
          <w:sz w:val="20"/>
          <w:szCs w:val="20"/>
        </w:rPr>
        <w:t>Xayrullayevna</w:t>
      </w:r>
      <w:proofErr w:type="spellEnd"/>
      <w:r>
        <w:rPr>
          <w:rFonts w:ascii="Book Antiqua" w:eastAsia="Book Antiqua" w:hAnsi="Book Antiqua" w:cs="Book Antiqua"/>
          <w:sz w:val="20"/>
          <w:szCs w:val="20"/>
        </w:rPr>
        <w:t xml:space="preserve">, X. I., </w:t>
      </w:r>
      <w:proofErr w:type="spellStart"/>
      <w:r>
        <w:rPr>
          <w:rFonts w:ascii="Book Antiqua" w:eastAsia="Book Antiqua" w:hAnsi="Book Antiqua" w:cs="Book Antiqua"/>
          <w:sz w:val="20"/>
          <w:szCs w:val="20"/>
        </w:rPr>
        <w:t>Furkat</w:t>
      </w:r>
      <w:proofErr w:type="spellEnd"/>
      <w:r>
        <w:rPr>
          <w:rFonts w:ascii="Book Antiqua" w:eastAsia="Book Antiqua" w:hAnsi="Book Antiqua" w:cs="Book Antiqua"/>
          <w:sz w:val="20"/>
          <w:szCs w:val="20"/>
        </w:rPr>
        <w:t xml:space="preserve">, A. F., </w:t>
      </w:r>
      <w:proofErr w:type="spellStart"/>
      <w:r>
        <w:rPr>
          <w:rFonts w:ascii="Book Antiqua" w:eastAsia="Book Antiqua" w:hAnsi="Book Antiqua" w:cs="Book Antiqua"/>
          <w:sz w:val="20"/>
          <w:szCs w:val="20"/>
        </w:rPr>
        <w:t>Norimon</w:t>
      </w:r>
      <w:proofErr w:type="spellEnd"/>
      <w:r>
        <w:rPr>
          <w:rFonts w:ascii="Book Antiqua" w:eastAsia="Book Antiqua" w:hAnsi="Book Antiqua" w:cs="Book Antiqua"/>
          <w:sz w:val="20"/>
          <w:szCs w:val="20"/>
        </w:rPr>
        <w:t xml:space="preserve">, S. N., &amp; Dilshod, R. S. D. (2025). Impact of innovative pedagogical </w:t>
      </w:r>
    </w:p>
    <w:p w14:paraId="00000071"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sz w:val="20"/>
          <w:szCs w:val="20"/>
        </w:rPr>
        <w:t xml:space="preserve">approaches on student engagement and performance: A comparative study of flipped classrooms, </w:t>
      </w:r>
    </w:p>
    <w:p w14:paraId="00000072"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sz w:val="20"/>
          <w:szCs w:val="20"/>
        </w:rPr>
        <w:t xml:space="preserve">gamification, and technology-enhanced learning. </w:t>
      </w:r>
      <w:r>
        <w:rPr>
          <w:rFonts w:ascii="Book Antiqua" w:eastAsia="Book Antiqua" w:hAnsi="Book Antiqua" w:cs="Book Antiqua"/>
          <w:i/>
          <w:iCs/>
          <w:sz w:val="20"/>
          <w:szCs w:val="20"/>
        </w:rPr>
        <w:t xml:space="preserve">Indonesian Journal of </w:t>
      </w:r>
      <w:proofErr w:type="spellStart"/>
      <w:r>
        <w:rPr>
          <w:rFonts w:ascii="Book Antiqua" w:eastAsia="Book Antiqua" w:hAnsi="Book Antiqua" w:cs="Book Antiqua"/>
          <w:i/>
          <w:iCs/>
          <w:sz w:val="20"/>
          <w:szCs w:val="20"/>
        </w:rPr>
        <w:t>Multidiciplinary</w:t>
      </w:r>
      <w:proofErr w:type="spellEnd"/>
      <w:r>
        <w:rPr>
          <w:rFonts w:ascii="Book Antiqua" w:eastAsia="Book Antiqua" w:hAnsi="Book Antiqua" w:cs="Book Antiqua"/>
          <w:i/>
          <w:iCs/>
          <w:sz w:val="20"/>
          <w:szCs w:val="20"/>
        </w:rPr>
        <w:t xml:space="preserve"> Research, 5</w:t>
      </w:r>
      <w:r>
        <w:rPr>
          <w:rFonts w:ascii="Book Antiqua" w:eastAsia="Book Antiqua" w:hAnsi="Book Antiqua" w:cs="Book Antiqua"/>
          <w:sz w:val="20"/>
          <w:szCs w:val="20"/>
        </w:rPr>
        <w:t xml:space="preserve">(2), </w:t>
      </w:r>
    </w:p>
    <w:p w14:paraId="00000073"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sz w:val="20"/>
          <w:szCs w:val="20"/>
        </w:rPr>
        <w:t>247-254.</w:t>
      </w:r>
      <w:hyperlink r:id="rId31">
        <w:r>
          <w:rPr>
            <w:rFonts w:ascii="Book Antiqua" w:eastAsia="Book Antiqua" w:hAnsi="Book Antiqua" w:cs="Book Antiqua"/>
            <w:sz w:val="20"/>
            <w:szCs w:val="20"/>
          </w:rPr>
          <w:t xml:space="preserve"> https://doi.org/10.17509/ijomr.v5i2.82942</w:t>
        </w:r>
      </w:hyperlink>
      <w:r>
        <w:rPr>
          <w:rFonts w:ascii="Book Antiqua" w:eastAsia="Book Antiqua" w:hAnsi="Book Antiqua" w:cs="Book Antiqua"/>
          <w:sz w:val="20"/>
          <w:szCs w:val="20"/>
        </w:rPr>
        <w:t xml:space="preserve"> </w:t>
      </w:r>
    </w:p>
    <w:p w14:paraId="00000074" w14:textId="77777777" w:rsidR="00AD4552" w:rsidRDefault="00DD1D5F">
      <w:pPr>
        <w:spacing w:line="276" w:lineRule="auto"/>
        <w:rPr>
          <w:rFonts w:ascii="Book Antiqua" w:eastAsia="Book Antiqua" w:hAnsi="Book Antiqua" w:cs="Book Antiqua"/>
          <w:i/>
          <w:iCs/>
          <w:sz w:val="20"/>
          <w:szCs w:val="20"/>
        </w:rPr>
      </w:pPr>
      <w:r>
        <w:rPr>
          <w:rFonts w:ascii="Book Antiqua" w:eastAsia="Book Antiqua" w:hAnsi="Book Antiqua" w:cs="Book Antiqua"/>
          <w:sz w:val="20"/>
          <w:szCs w:val="20"/>
        </w:rPr>
        <w:t xml:space="preserve">Yadav, N. (2024). The impact of digital learning on education. </w:t>
      </w:r>
      <w:r>
        <w:rPr>
          <w:rFonts w:ascii="Book Antiqua" w:eastAsia="Book Antiqua" w:hAnsi="Book Antiqua" w:cs="Book Antiqua"/>
          <w:i/>
          <w:iCs/>
          <w:sz w:val="20"/>
          <w:szCs w:val="20"/>
        </w:rPr>
        <w:t xml:space="preserve">International Journal of Multidisciplinary Research </w:t>
      </w:r>
    </w:p>
    <w:p w14:paraId="00000075"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i/>
          <w:iCs/>
          <w:sz w:val="20"/>
          <w:szCs w:val="20"/>
        </w:rPr>
        <w:t>in Arts, Science and Technology, 2</w:t>
      </w:r>
      <w:r>
        <w:rPr>
          <w:rFonts w:ascii="Book Antiqua" w:eastAsia="Book Antiqua" w:hAnsi="Book Antiqua" w:cs="Book Antiqua"/>
          <w:sz w:val="20"/>
          <w:szCs w:val="20"/>
        </w:rPr>
        <w:t>(1), 24-34.</w:t>
      </w:r>
      <w:hyperlink r:id="rId32">
        <w:r>
          <w:rPr>
            <w:rFonts w:ascii="Book Antiqua" w:eastAsia="Book Antiqua" w:hAnsi="Book Antiqua" w:cs="Book Antiqua"/>
            <w:sz w:val="20"/>
            <w:szCs w:val="20"/>
          </w:rPr>
          <w:t xml:space="preserve"> https://doi.org/10.61778/ijmrast.v2i1.34</w:t>
        </w:r>
      </w:hyperlink>
    </w:p>
    <w:p w14:paraId="00000076" w14:textId="77777777" w:rsidR="00AD4552" w:rsidRDefault="00DD1D5F">
      <w:pPr>
        <w:spacing w:line="276" w:lineRule="auto"/>
        <w:rPr>
          <w:rFonts w:ascii="Book Antiqua" w:eastAsia="Book Antiqua" w:hAnsi="Book Antiqua" w:cs="Book Antiqua"/>
          <w:sz w:val="20"/>
          <w:szCs w:val="20"/>
        </w:rPr>
      </w:pPr>
      <w:r>
        <w:rPr>
          <w:rFonts w:ascii="Book Antiqua" w:eastAsia="Book Antiqua" w:hAnsi="Book Antiqua" w:cs="Book Antiqua"/>
          <w:sz w:val="20"/>
          <w:szCs w:val="20"/>
        </w:rPr>
        <w:t xml:space="preserve">Yurtseven Avci, Z., O'Dwyer, L. M., &amp; Lawson, J. (2020). Designing effective professional development for </w:t>
      </w:r>
    </w:p>
    <w:p w14:paraId="00000077"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sz w:val="20"/>
          <w:szCs w:val="20"/>
        </w:rPr>
        <w:t xml:space="preserve">technology integration in schools. </w:t>
      </w:r>
      <w:r>
        <w:rPr>
          <w:rFonts w:ascii="Book Antiqua" w:eastAsia="Book Antiqua" w:hAnsi="Book Antiqua" w:cs="Book Antiqua"/>
          <w:i/>
          <w:iCs/>
          <w:sz w:val="20"/>
          <w:szCs w:val="20"/>
        </w:rPr>
        <w:t>Journal of Computer Assisted Learning, 36</w:t>
      </w:r>
      <w:r>
        <w:rPr>
          <w:rFonts w:ascii="Book Antiqua" w:eastAsia="Book Antiqua" w:hAnsi="Book Antiqua" w:cs="Book Antiqua"/>
          <w:sz w:val="20"/>
          <w:szCs w:val="20"/>
        </w:rPr>
        <w:t xml:space="preserve">(2), 160-177. </w:t>
      </w:r>
    </w:p>
    <w:p w14:paraId="00000078" w14:textId="77777777" w:rsidR="00AD4552" w:rsidRDefault="0064792B">
      <w:pPr>
        <w:spacing w:line="276" w:lineRule="auto"/>
        <w:ind w:firstLine="720"/>
        <w:rPr>
          <w:rFonts w:ascii="Book Antiqua" w:eastAsia="Book Antiqua" w:hAnsi="Book Antiqua" w:cs="Book Antiqua"/>
          <w:sz w:val="20"/>
          <w:szCs w:val="20"/>
        </w:rPr>
      </w:pPr>
      <w:hyperlink r:id="rId33">
        <w:r w:rsidR="00DD1D5F">
          <w:rPr>
            <w:rFonts w:ascii="Book Antiqua" w:eastAsia="Book Antiqua" w:hAnsi="Book Antiqua" w:cs="Book Antiqua"/>
            <w:sz w:val="20"/>
            <w:szCs w:val="20"/>
          </w:rPr>
          <w:t>https://doi.org/10.1111/jcal.12394</w:t>
        </w:r>
      </w:hyperlink>
    </w:p>
    <w:p w14:paraId="00000079" w14:textId="77777777" w:rsidR="00AD4552" w:rsidRDefault="00DD1D5F">
      <w:pPr>
        <w:spacing w:line="276" w:lineRule="auto"/>
        <w:rPr>
          <w:rFonts w:ascii="Book Antiqua" w:eastAsia="Book Antiqua" w:hAnsi="Book Antiqua" w:cs="Book Antiqua"/>
          <w:sz w:val="20"/>
          <w:szCs w:val="20"/>
        </w:rPr>
      </w:pPr>
      <w:proofErr w:type="spellStart"/>
      <w:r>
        <w:rPr>
          <w:rFonts w:ascii="Book Antiqua" w:eastAsia="Book Antiqua" w:hAnsi="Book Antiqua" w:cs="Book Antiqua"/>
          <w:sz w:val="20"/>
          <w:szCs w:val="20"/>
        </w:rPr>
        <w:t>Zamiri</w:t>
      </w:r>
      <w:proofErr w:type="spellEnd"/>
      <w:r>
        <w:rPr>
          <w:rFonts w:ascii="Book Antiqua" w:eastAsia="Book Antiqua" w:hAnsi="Book Antiqua" w:cs="Book Antiqua"/>
          <w:sz w:val="20"/>
          <w:szCs w:val="20"/>
        </w:rPr>
        <w:t xml:space="preserve">, M., &amp; Esmaeili, A. (2024). Methods and technologies for supporting knowledge sharing within learning </w:t>
      </w:r>
    </w:p>
    <w:p w14:paraId="0000007A"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sz w:val="20"/>
          <w:szCs w:val="20"/>
        </w:rPr>
        <w:t xml:space="preserve">communities: A systematic literature review. </w:t>
      </w:r>
      <w:r>
        <w:rPr>
          <w:rFonts w:ascii="Book Antiqua" w:eastAsia="Book Antiqua" w:hAnsi="Book Antiqua" w:cs="Book Antiqua"/>
          <w:i/>
          <w:iCs/>
          <w:sz w:val="20"/>
          <w:szCs w:val="20"/>
        </w:rPr>
        <w:t>Administrative Sciences, 14</w:t>
      </w:r>
      <w:r>
        <w:rPr>
          <w:rFonts w:ascii="Book Antiqua" w:eastAsia="Book Antiqua" w:hAnsi="Book Antiqua" w:cs="Book Antiqua"/>
          <w:sz w:val="20"/>
          <w:szCs w:val="20"/>
        </w:rPr>
        <w:t xml:space="preserve">(1), 17. </w:t>
      </w:r>
    </w:p>
    <w:p w14:paraId="0000007B" w14:textId="77777777" w:rsidR="00AD4552" w:rsidRDefault="00DD1D5F">
      <w:pPr>
        <w:spacing w:line="276" w:lineRule="auto"/>
        <w:ind w:firstLine="720"/>
        <w:rPr>
          <w:rFonts w:ascii="Book Antiqua" w:eastAsia="Book Antiqua" w:hAnsi="Book Antiqua" w:cs="Book Antiqua"/>
          <w:sz w:val="20"/>
          <w:szCs w:val="20"/>
        </w:rPr>
      </w:pPr>
      <w:r>
        <w:rPr>
          <w:rFonts w:ascii="Book Antiqua" w:eastAsia="Book Antiqua" w:hAnsi="Book Antiqua" w:cs="Book Antiqua"/>
          <w:sz w:val="20"/>
          <w:szCs w:val="20"/>
        </w:rPr>
        <w:t>https://doi.org/10.3390/admsci14010017</w:t>
      </w:r>
    </w:p>
    <w:p w14:paraId="0000007C" w14:textId="77777777" w:rsidR="00AD4552" w:rsidRDefault="00DD1D5F">
      <w:pPr>
        <w:pBdr>
          <w:top w:val="nil"/>
          <w:left w:val="nil"/>
          <w:bottom w:val="nil"/>
          <w:right w:val="nil"/>
          <w:between w:val="nil"/>
        </w:pBdr>
        <w:spacing w:after="240"/>
        <w:ind w:left="720" w:hanging="72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Zimmerman, J. (2006). Why some teachers resist change and what principals can do about it. </w:t>
      </w:r>
      <w:r>
        <w:rPr>
          <w:rFonts w:ascii="Book Antiqua" w:eastAsia="Book Antiqua" w:hAnsi="Book Antiqua" w:cs="Book Antiqua"/>
          <w:i/>
          <w:iCs/>
          <w:color w:val="000000"/>
          <w:sz w:val="20"/>
          <w:szCs w:val="20"/>
        </w:rPr>
        <w:t>NASSP Bulletin, 90(3), 238–249.</w:t>
      </w:r>
      <w:r>
        <w:rPr>
          <w:rFonts w:ascii="Book Antiqua" w:eastAsia="Book Antiqua" w:hAnsi="Book Antiqua" w:cs="Book Antiqua"/>
          <w:color w:val="000000"/>
          <w:sz w:val="20"/>
          <w:szCs w:val="20"/>
        </w:rPr>
        <w:t> https://doi.org/10.1177/0192636506291521</w:t>
      </w:r>
    </w:p>
    <w:p w14:paraId="0000007D" w14:textId="77777777" w:rsidR="00AD4552" w:rsidRDefault="00AD4552">
      <w:pPr>
        <w:spacing w:line="256" w:lineRule="auto"/>
        <w:jc w:val="both"/>
        <w:rPr>
          <w:rFonts w:ascii="Book Antiqua" w:eastAsia="Book Antiqua" w:hAnsi="Book Antiqua" w:cs="Book Antiqua"/>
          <w:color w:val="000000"/>
          <w:sz w:val="12"/>
          <w:szCs w:val="12"/>
        </w:rPr>
      </w:pPr>
    </w:p>
    <w:p w14:paraId="0000007E" w14:textId="77777777" w:rsidR="00AD4552" w:rsidRDefault="00AD4552">
      <w:pPr>
        <w:jc w:val="both"/>
        <w:rPr>
          <w:rFonts w:ascii="Book Antiqua" w:eastAsia="Book Antiqua" w:hAnsi="Book Antiqua" w:cs="Book Antiqua"/>
          <w:color w:val="000000"/>
          <w:sz w:val="12"/>
          <w:szCs w:val="12"/>
        </w:rPr>
      </w:pPr>
    </w:p>
    <w:p w14:paraId="0000007F" w14:textId="77777777" w:rsidR="00AD4552" w:rsidRDefault="00AD4552">
      <w:pPr>
        <w:jc w:val="both"/>
        <w:rPr>
          <w:rFonts w:ascii="Book Antiqua" w:eastAsia="Book Antiqua" w:hAnsi="Book Antiqua" w:cs="Book Antiqua"/>
          <w:color w:val="000000"/>
          <w:sz w:val="12"/>
          <w:szCs w:val="12"/>
        </w:rPr>
      </w:pPr>
    </w:p>
    <w:p w14:paraId="00000080" w14:textId="77777777" w:rsidR="00AD4552" w:rsidRDefault="00AD4552">
      <w:pPr>
        <w:jc w:val="both"/>
        <w:rPr>
          <w:rFonts w:ascii="Book Antiqua" w:eastAsia="Book Antiqua" w:hAnsi="Book Antiqua" w:cs="Book Antiqua"/>
          <w:sz w:val="12"/>
          <w:szCs w:val="12"/>
        </w:rPr>
      </w:pPr>
    </w:p>
    <w:p w14:paraId="00000081" w14:textId="77777777" w:rsidR="00AD4552" w:rsidRDefault="00AD4552"/>
    <w:sectPr w:rsidR="00AD4552">
      <w:headerReference w:type="even" r:id="rId34"/>
      <w:headerReference w:type="default" r:id="rId35"/>
      <w:footerReference w:type="default" r:id="rId36"/>
      <w:headerReference w:type="first" r:id="rId37"/>
      <w:footerReference w:type="first" r:id="rId38"/>
      <w:type w:val="continuous"/>
      <w:pgSz w:w="12240" w:h="15840"/>
      <w:pgMar w:top="418" w:right="1134" w:bottom="1134" w:left="1134" w:header="850" w:footer="850" w:gutter="0"/>
      <w:pgNumType w:start="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A93C1" w14:textId="77777777" w:rsidR="0064792B" w:rsidRDefault="0064792B">
      <w:r>
        <w:separator/>
      </w:r>
    </w:p>
  </w:endnote>
  <w:endnote w:type="continuationSeparator" w:id="0">
    <w:p w14:paraId="52C135F6" w14:textId="77777777" w:rsidR="0064792B" w:rsidRDefault="0064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CC7BA5E4-26BC-4799-9A52-4BD32BCF638A}"/>
  </w:font>
  <w:font w:name="Aptos Display">
    <w:altName w:val="Calibri"/>
    <w:charset w:val="00"/>
    <w:family w:val="swiss"/>
    <w:pitch w:val="variable"/>
    <w:sig w:usb0="20000287" w:usb1="00000003" w:usb2="00000000" w:usb3="00000000" w:csb0="0000019F" w:csb1="00000000"/>
    <w:embedRegular r:id="rId2" w:fontKey="{989444EF-7837-4813-B473-1CB0DCA43154}"/>
  </w:font>
  <w:font w:name="Arial 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3" w:fontKey="{3C7FBA7F-5BF1-4D13-A62B-328A5BFCFC3A}"/>
    <w:embedBold r:id="rId4" w:fontKey="{46EF53B5-CC96-4864-B1A3-CC8BC17B9710}"/>
    <w:embedItalic r:id="rId5" w:fontKey="{2CFFD487-0A49-4C63-9B0E-719530F948DC}"/>
    <w:embedBoldItalic r:id="rId6" w:fontKey="{A68FD428-D7E9-40FF-A691-0A644F8A56C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03065225-8005-4B41-889C-E786C63B97AF}"/>
  </w:font>
  <w:font w:name="Aptos">
    <w:altName w:val="Calibri"/>
    <w:charset w:val="00"/>
    <w:family w:val="swiss"/>
    <w:pitch w:val="variable"/>
    <w:sig w:usb0="20000287" w:usb1="00000003" w:usb2="00000000" w:usb3="00000000" w:csb0="0000019F" w:csb1="00000000"/>
    <w:embedRegular r:id="rId8" w:fontKey="{055E19AF-4297-4033-A3A4-E7A9C8931C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D4FE" w14:textId="77777777" w:rsidR="00B102B9" w:rsidRDefault="00B10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79D1A" w14:textId="77777777" w:rsidR="00B102B9" w:rsidRDefault="00B102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F79B" w14:textId="77777777" w:rsidR="00B102B9" w:rsidRDefault="00B102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5" w14:textId="6066866B" w:rsidR="00AD4552" w:rsidRDefault="00DD1D5F">
    <w:pPr>
      <w:widowControl w:val="0"/>
      <w:pBdr>
        <w:top w:val="nil"/>
        <w:left w:val="nil"/>
        <w:bottom w:val="nil"/>
        <w:right w:val="nil"/>
        <w:between w:val="nil"/>
      </w:pBdr>
      <w:tabs>
        <w:tab w:val="center" w:pos="4680"/>
        <w:tab w:val="right" w:pos="9360"/>
      </w:tabs>
      <w:jc w:val="cente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fldChar w:fldCharType="begin"/>
    </w:r>
    <w:r>
      <w:rPr>
        <w:rFonts w:ascii="Book Antiqua" w:eastAsia="Book Antiqua" w:hAnsi="Book Antiqua" w:cs="Book Antiqua"/>
        <w:color w:val="000000"/>
        <w:sz w:val="20"/>
        <w:szCs w:val="20"/>
      </w:rPr>
      <w:instrText>PAGE</w:instrText>
    </w:r>
    <w:r>
      <w:rPr>
        <w:rFonts w:ascii="Book Antiqua" w:eastAsia="Book Antiqua" w:hAnsi="Book Antiqua" w:cs="Book Antiqua"/>
        <w:color w:val="000000"/>
        <w:sz w:val="20"/>
        <w:szCs w:val="20"/>
      </w:rPr>
      <w:fldChar w:fldCharType="separate"/>
    </w:r>
    <w:r w:rsidR="00BB6EC6">
      <w:rPr>
        <w:rFonts w:ascii="Book Antiqua" w:eastAsia="Book Antiqua" w:hAnsi="Book Antiqua" w:cs="Book Antiqua"/>
        <w:noProof/>
        <w:color w:val="000000"/>
        <w:sz w:val="20"/>
        <w:szCs w:val="20"/>
      </w:rPr>
      <w:t>7</w:t>
    </w:r>
    <w:r>
      <w:rPr>
        <w:rFonts w:ascii="Book Antiqua" w:eastAsia="Book Antiqua" w:hAnsi="Book Antiqua" w:cs="Book Antiqua"/>
        <w:color w:val="000000"/>
        <w:sz w:val="20"/>
        <w:szCs w:val="20"/>
      </w:rPr>
      <w:fldChar w:fldCharType="end"/>
    </w:r>
  </w:p>
  <w:p w14:paraId="00000086" w14:textId="77777777" w:rsidR="00AD4552" w:rsidRDefault="00AD4552">
    <w:pPr>
      <w:widowControl w:val="0"/>
      <w:pBdr>
        <w:top w:val="nil"/>
        <w:left w:val="nil"/>
        <w:bottom w:val="nil"/>
        <w:right w:val="nil"/>
        <w:between w:val="nil"/>
      </w:pBdr>
      <w:tabs>
        <w:tab w:val="center" w:pos="4680"/>
        <w:tab w:val="right" w:pos="9360"/>
      </w:tabs>
      <w:rPr>
        <w:rFonts w:ascii="Arial" w:eastAsia="Arial" w:hAnsi="Arial" w:cs="Arial"/>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7" w14:textId="77777777" w:rsidR="00AD4552" w:rsidRDefault="00AD4552">
    <w:pPr>
      <w:widowControl w:val="0"/>
      <w:pBdr>
        <w:top w:val="nil"/>
        <w:left w:val="nil"/>
        <w:bottom w:val="nil"/>
        <w:right w:val="nil"/>
        <w:between w:val="nil"/>
      </w:pBdr>
      <w:tabs>
        <w:tab w:val="center" w:pos="4680"/>
        <w:tab w:val="right" w:pos="9360"/>
      </w:tabs>
      <w:spacing w:after="159"/>
      <w:rPr>
        <w:rFonts w:ascii="Book Antiqua" w:eastAsia="Book Antiqua" w:hAnsi="Book Antiqua" w:cs="Book Antiqua"/>
        <w:color w:val="000000"/>
        <w:sz w:val="16"/>
        <w:szCs w:val="16"/>
      </w:rPr>
    </w:pPr>
  </w:p>
  <w:p w14:paraId="00000088" w14:textId="77777777" w:rsidR="00AD4552" w:rsidRDefault="00AD4552">
    <w:pPr>
      <w:widowControl w:val="0"/>
      <w:pBdr>
        <w:top w:val="nil"/>
        <w:left w:val="nil"/>
        <w:bottom w:val="nil"/>
        <w:right w:val="nil"/>
        <w:between w:val="nil"/>
      </w:pBdr>
      <w:tabs>
        <w:tab w:val="center" w:pos="4680"/>
        <w:tab w:val="right" w:pos="9360"/>
      </w:tabs>
      <w:spacing w:after="159"/>
      <w:rPr>
        <w:rFonts w:ascii="Book Antiqua" w:eastAsia="Book Antiqua" w:hAnsi="Book Antiqua" w:cs="Book Antiqu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25DFE" w14:textId="77777777" w:rsidR="0064792B" w:rsidRDefault="0064792B">
      <w:r>
        <w:separator/>
      </w:r>
    </w:p>
  </w:footnote>
  <w:footnote w:type="continuationSeparator" w:id="0">
    <w:p w14:paraId="0F25BB0A" w14:textId="77777777" w:rsidR="0064792B" w:rsidRDefault="00647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49FF" w14:textId="1DC03913" w:rsidR="00B102B9" w:rsidRDefault="0064792B">
    <w:pPr>
      <w:pStyle w:val="Header"/>
    </w:pPr>
    <w:r>
      <w:rPr>
        <w:noProof/>
      </w:rPr>
      <w:pict w14:anchorId="4C7E2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41751" o:spid="_x0000_s2050" type="#_x0000_t136" style="position:absolute;margin-left:0;margin-top:0;width:631.7pt;height:71.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DA7DA" w14:textId="42E2D931" w:rsidR="00B102B9" w:rsidRDefault="0064792B">
    <w:pPr>
      <w:pStyle w:val="Header"/>
    </w:pPr>
    <w:r>
      <w:rPr>
        <w:noProof/>
      </w:rPr>
      <w:pict w14:anchorId="70C14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41752" o:spid="_x0000_s2051" type="#_x0000_t136" style="position:absolute;margin-left:0;margin-top:0;width:631.7pt;height:71.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0F09" w14:textId="3BC5758E" w:rsidR="00B102B9" w:rsidRDefault="0064792B">
    <w:pPr>
      <w:pStyle w:val="Header"/>
    </w:pPr>
    <w:r>
      <w:rPr>
        <w:noProof/>
      </w:rPr>
      <w:pict w14:anchorId="07720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41750" o:spid="_x0000_s2049" type="#_x0000_t136" style="position:absolute;margin-left:0;margin-top:0;width:631.7pt;height:71.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49859" w14:textId="44C8C9CE" w:rsidR="00B102B9" w:rsidRDefault="0064792B">
    <w:pPr>
      <w:pStyle w:val="Header"/>
    </w:pPr>
    <w:r>
      <w:rPr>
        <w:noProof/>
      </w:rPr>
      <w:pict w14:anchorId="0BBF4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41754" o:spid="_x0000_s2053" type="#_x0000_t136" style="position:absolute;margin-left:0;margin-top:0;width:631.7pt;height:71.2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D453" w14:textId="25729716" w:rsidR="00B102B9" w:rsidRDefault="0064792B">
    <w:pPr>
      <w:pStyle w:val="Header"/>
    </w:pPr>
    <w:r>
      <w:rPr>
        <w:noProof/>
      </w:rPr>
      <w:pict w14:anchorId="53F62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41755" o:spid="_x0000_s2054" type="#_x0000_t136" style="position:absolute;margin-left:0;margin-top:0;width:631.7pt;height:71.2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2" w14:textId="071F59C9" w:rsidR="00AD4552" w:rsidRDefault="0064792B">
    <w:pPr>
      <w:pStyle w:val="Heading1"/>
      <w:rPr>
        <w:rFonts w:ascii="Book Antiqua" w:eastAsia="Book Antiqua" w:hAnsi="Book Antiqua" w:cs="Book Antiqua"/>
        <w:b/>
        <w:bCs/>
        <w:i/>
        <w:iCs/>
        <w:sz w:val="18"/>
        <w:szCs w:val="18"/>
      </w:rPr>
    </w:pPr>
    <w:r>
      <w:rPr>
        <w:noProof/>
      </w:rPr>
      <w:pict w14:anchorId="6C25F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41753" o:spid="_x0000_s2052" type="#_x0000_t136" style="position:absolute;margin-left:0;margin-top:0;width:631.7pt;height:71.2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00000083" w14:textId="77777777" w:rsidR="00AD4552" w:rsidRDefault="00DD1D5F">
    <w:pPr>
      <w:widowControl w:val="0"/>
      <w:pBdr>
        <w:top w:val="nil"/>
        <w:left w:val="nil"/>
        <w:bottom w:val="nil"/>
        <w:right w:val="nil"/>
        <w:between w:val="nil"/>
      </w:pBdr>
      <w:tabs>
        <w:tab w:val="center" w:pos="4680"/>
        <w:tab w:val="right" w:pos="9360"/>
        <w:tab w:val="left" w:pos="8433"/>
      </w:tabs>
      <w:rPr>
        <w:rFonts w:ascii="Arial" w:eastAsia="Arial" w:hAnsi="Arial" w:cs="Arial"/>
        <w:color w:val="000000"/>
        <w:sz w:val="22"/>
        <w:szCs w:val="22"/>
      </w:rPr>
    </w:pPr>
    <w:r>
      <w:rPr>
        <w:rFonts w:ascii="Arial" w:eastAsia="Arial" w:hAnsi="Arial" w:cs="Arial"/>
        <w:color w:val="000000"/>
        <w:sz w:val="22"/>
        <w:szCs w:val="22"/>
      </w:rPr>
      <w:tab/>
    </w:r>
  </w:p>
  <w:p w14:paraId="00000084" w14:textId="77777777" w:rsidR="00AD4552" w:rsidRDefault="00AD4552">
    <w:pPr>
      <w:widowControl w:val="0"/>
      <w:pBdr>
        <w:top w:val="nil"/>
        <w:left w:val="nil"/>
        <w:bottom w:val="nil"/>
        <w:right w:val="nil"/>
        <w:between w:val="nil"/>
      </w:pBdr>
      <w:tabs>
        <w:tab w:val="center" w:pos="4680"/>
        <w:tab w:val="right" w:pos="9360"/>
      </w:tabs>
      <w:rPr>
        <w:rFonts w:ascii="Arial" w:eastAsia="Arial" w:hAnsi="Arial" w:cs="Arial"/>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52"/>
    <w:rsid w:val="002D46F3"/>
    <w:rsid w:val="0064792B"/>
    <w:rsid w:val="00654C9F"/>
    <w:rsid w:val="00A55AF9"/>
    <w:rsid w:val="00AD4552"/>
    <w:rsid w:val="00B102B9"/>
    <w:rsid w:val="00BB6EC6"/>
    <w:rsid w:val="00C73353"/>
    <w:rsid w:val="00D41BCB"/>
    <w:rsid w:val="00DD1D5F"/>
    <w:rsid w:val="00E85CE7"/>
    <w:rsid w:val="00FF4FC0"/>
    <w:rsid w:val="00FF5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5148C1"/>
  <w15:docId w15:val="{D522741F-FE43-4AA0-82E4-A2BBEB24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D6B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B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B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DD6B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6B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6B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6B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6B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6B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6B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B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B87"/>
    <w:rPr>
      <w:rFonts w:eastAsiaTheme="majorEastAsia" w:cstheme="majorBidi"/>
      <w:color w:val="272727" w:themeColor="text1" w:themeTint="D8"/>
    </w:rPr>
  </w:style>
  <w:style w:type="character" w:customStyle="1" w:styleId="TitleChar">
    <w:name w:val="Title Char"/>
    <w:basedOn w:val="DefaultParagraphFont"/>
    <w:link w:val="Title"/>
    <w:uiPriority w:val="10"/>
    <w:rsid w:val="00DD6B8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D6B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6B87"/>
    <w:pPr>
      <w:spacing w:before="160"/>
      <w:jc w:val="center"/>
    </w:pPr>
    <w:rPr>
      <w:i/>
      <w:iCs/>
      <w:color w:val="404040" w:themeColor="text1" w:themeTint="BF"/>
    </w:rPr>
  </w:style>
  <w:style w:type="character" w:customStyle="1" w:styleId="QuoteChar">
    <w:name w:val="Quote Char"/>
    <w:basedOn w:val="DefaultParagraphFont"/>
    <w:link w:val="Quote"/>
    <w:uiPriority w:val="29"/>
    <w:rsid w:val="00DD6B87"/>
    <w:rPr>
      <w:i/>
      <w:iCs/>
      <w:color w:val="404040" w:themeColor="text1" w:themeTint="BF"/>
    </w:rPr>
  </w:style>
  <w:style w:type="paragraph" w:styleId="ListParagraph">
    <w:name w:val="List Paragraph"/>
    <w:basedOn w:val="Normal"/>
    <w:uiPriority w:val="34"/>
    <w:qFormat/>
    <w:rsid w:val="00DD6B87"/>
    <w:pPr>
      <w:ind w:left="720"/>
      <w:contextualSpacing/>
    </w:pPr>
  </w:style>
  <w:style w:type="character" w:styleId="IntenseEmphasis">
    <w:name w:val="Intense Emphasis"/>
    <w:basedOn w:val="DefaultParagraphFont"/>
    <w:uiPriority w:val="21"/>
    <w:qFormat/>
    <w:rsid w:val="00DD6B87"/>
    <w:rPr>
      <w:i/>
      <w:iCs/>
      <w:color w:val="0F4761" w:themeColor="accent1" w:themeShade="BF"/>
    </w:rPr>
  </w:style>
  <w:style w:type="paragraph" w:styleId="IntenseQuote">
    <w:name w:val="Intense Quote"/>
    <w:basedOn w:val="Normal"/>
    <w:next w:val="Normal"/>
    <w:link w:val="IntenseQuoteChar"/>
    <w:uiPriority w:val="30"/>
    <w:qFormat/>
    <w:rsid w:val="00DD6B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6B87"/>
    <w:rPr>
      <w:i/>
      <w:iCs/>
      <w:color w:val="0F4761" w:themeColor="accent1" w:themeShade="BF"/>
    </w:rPr>
  </w:style>
  <w:style w:type="character" w:styleId="IntenseReference">
    <w:name w:val="Intense Reference"/>
    <w:basedOn w:val="DefaultParagraphFont"/>
    <w:uiPriority w:val="32"/>
    <w:qFormat/>
    <w:rsid w:val="00DD6B87"/>
    <w:rPr>
      <w:b/>
      <w:bCs/>
      <w:smallCaps/>
      <w:color w:val="0F4761" w:themeColor="accent1" w:themeShade="BF"/>
      <w:spacing w:val="5"/>
    </w:rPr>
  </w:style>
  <w:style w:type="table" w:styleId="TableGrid">
    <w:name w:val="Table Grid"/>
    <w:basedOn w:val="TableNormal"/>
    <w:uiPriority w:val="39"/>
    <w:qFormat/>
    <w:rsid w:val="00DD6B8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DD6B87"/>
    <w:rPr>
      <w:color w:val="467886" w:themeColor="hyperlink"/>
      <w:u w:val="single"/>
    </w:rPr>
  </w:style>
  <w:style w:type="paragraph" w:styleId="Header">
    <w:name w:val="header"/>
    <w:basedOn w:val="Normal"/>
    <w:link w:val="HeaderChar"/>
    <w:uiPriority w:val="99"/>
    <w:unhideWhenUsed/>
    <w:qFormat/>
    <w:rsid w:val="00DD6B87"/>
    <w:pPr>
      <w:widowControl w:val="0"/>
      <w:tabs>
        <w:tab w:val="center" w:pos="4680"/>
        <w:tab w:val="right" w:pos="9360"/>
      </w:tabs>
      <w:autoSpaceDE w:val="0"/>
      <w:autoSpaceDN w:val="0"/>
    </w:pPr>
    <w:rPr>
      <w:rFonts w:ascii="Arial MT" w:eastAsia="Arial MT" w:hAnsi="Arial MT" w:cs="Arial MT"/>
      <w:sz w:val="22"/>
      <w:szCs w:val="22"/>
      <w:lang w:val="en-US"/>
    </w:rPr>
  </w:style>
  <w:style w:type="character" w:customStyle="1" w:styleId="HeaderChar">
    <w:name w:val="Header Char"/>
    <w:basedOn w:val="DefaultParagraphFont"/>
    <w:link w:val="Header"/>
    <w:uiPriority w:val="99"/>
    <w:qFormat/>
    <w:rsid w:val="00DD6B87"/>
    <w:rPr>
      <w:rFonts w:ascii="Arial MT" w:eastAsia="Arial MT" w:hAnsi="Arial MT" w:cs="Arial MT"/>
      <w:kern w:val="0"/>
      <w:sz w:val="22"/>
      <w:szCs w:val="22"/>
      <w:lang w:val="en-US"/>
    </w:rPr>
  </w:style>
  <w:style w:type="paragraph" w:styleId="Footer">
    <w:name w:val="footer"/>
    <w:basedOn w:val="Normal"/>
    <w:link w:val="FooterChar"/>
    <w:uiPriority w:val="99"/>
    <w:unhideWhenUsed/>
    <w:qFormat/>
    <w:rsid w:val="00DD6B87"/>
    <w:pPr>
      <w:widowControl w:val="0"/>
      <w:tabs>
        <w:tab w:val="center" w:pos="4680"/>
        <w:tab w:val="right" w:pos="9360"/>
      </w:tabs>
      <w:autoSpaceDE w:val="0"/>
      <w:autoSpaceDN w:val="0"/>
    </w:pPr>
    <w:rPr>
      <w:rFonts w:ascii="Arial MT" w:eastAsia="Arial MT" w:hAnsi="Arial MT" w:cs="Arial MT"/>
      <w:sz w:val="22"/>
      <w:szCs w:val="22"/>
      <w:lang w:val="en-US"/>
    </w:rPr>
  </w:style>
  <w:style w:type="character" w:customStyle="1" w:styleId="FooterChar">
    <w:name w:val="Footer Char"/>
    <w:basedOn w:val="DefaultParagraphFont"/>
    <w:link w:val="Footer"/>
    <w:uiPriority w:val="99"/>
    <w:qFormat/>
    <w:rsid w:val="00DD6B87"/>
    <w:rPr>
      <w:rFonts w:ascii="Arial MT" w:eastAsia="Arial MT" w:hAnsi="Arial MT" w:cs="Arial MT"/>
      <w:kern w:val="0"/>
      <w:sz w:val="22"/>
      <w:szCs w:val="22"/>
      <w:lang w:val="en-US"/>
    </w:rPr>
  </w:style>
  <w:style w:type="character" w:styleId="PageNumber">
    <w:name w:val="page number"/>
    <w:basedOn w:val="DefaultParagraphFont"/>
    <w:unhideWhenUsed/>
    <w:rsid w:val="00DD6B87"/>
  </w:style>
  <w:style w:type="paragraph" w:styleId="NormalWeb">
    <w:name w:val="Normal (Web)"/>
    <w:basedOn w:val="Normal"/>
    <w:uiPriority w:val="99"/>
    <w:unhideWhenUsed/>
    <w:qFormat/>
    <w:rsid w:val="00DD6B87"/>
    <w:pPr>
      <w:spacing w:before="100" w:beforeAutospacing="1" w:after="100" w:afterAutospacing="1"/>
    </w:pPr>
    <w:rPr>
      <w:lang w:val="en-US"/>
    </w:rPr>
  </w:style>
  <w:style w:type="character" w:styleId="Emphasis">
    <w:name w:val="Emphasis"/>
    <w:basedOn w:val="DefaultParagraphFont"/>
    <w:uiPriority w:val="20"/>
    <w:qFormat/>
    <w:rsid w:val="00DD6B87"/>
    <w:rPr>
      <w:i/>
      <w:iCs/>
    </w:rPr>
  </w:style>
  <w:style w:type="character" w:customStyle="1" w:styleId="url">
    <w:name w:val="url"/>
    <w:basedOn w:val="DefaultParagraphFont"/>
    <w:rsid w:val="00DD6B87"/>
  </w:style>
  <w:style w:type="paragraph" w:styleId="NoSpacing">
    <w:name w:val="No Spacing"/>
    <w:aliases w:val="Cover Page Text,for thesis,Flor"/>
    <w:link w:val="NoSpacingChar"/>
    <w:uiPriority w:val="1"/>
    <w:qFormat/>
    <w:rsid w:val="00DD6B87"/>
    <w:pPr>
      <w:suppressAutoHyphens/>
      <w:jc w:val="center"/>
    </w:pPr>
    <w:rPr>
      <w:rFonts w:eastAsia="SimSun"/>
      <w:sz w:val="20"/>
      <w:szCs w:val="20"/>
      <w:lang w:val="en-US" w:eastAsia="zh-CN"/>
    </w:rPr>
  </w:style>
  <w:style w:type="character" w:customStyle="1" w:styleId="NoSpacingChar">
    <w:name w:val="No Spacing Char"/>
    <w:aliases w:val="Cover Page Text Char,for thesis Char,Flor Char"/>
    <w:link w:val="NoSpacing"/>
    <w:uiPriority w:val="1"/>
    <w:qFormat/>
    <w:locked/>
    <w:rsid w:val="00DD6B87"/>
    <w:rPr>
      <w:rFonts w:ascii="Times New Roman" w:eastAsia="SimSun" w:hAnsi="Times New Roman" w:cs="Times New Roman"/>
      <w:kern w:val="0"/>
      <w:sz w:val="20"/>
      <w:szCs w:val="20"/>
      <w:lang w:val="en-US" w:eastAsia="zh-CN"/>
    </w:rPr>
  </w:style>
  <w:style w:type="character" w:customStyle="1" w:styleId="apple-converted-space">
    <w:name w:val="apple-converted-space"/>
    <w:basedOn w:val="DefaultParagraphFont"/>
    <w:rsid w:val="00E6045F"/>
  </w:style>
  <w:style w:type="character" w:styleId="Strong">
    <w:name w:val="Strong"/>
    <w:basedOn w:val="DefaultParagraphFont"/>
    <w:uiPriority w:val="22"/>
    <w:qFormat/>
    <w:rsid w:val="00E6045F"/>
    <w:rPr>
      <w:b/>
      <w:bCs/>
    </w:rPr>
  </w:style>
  <w:style w:type="character" w:styleId="UnresolvedMention">
    <w:name w:val="Unresolved Mention"/>
    <w:basedOn w:val="DefaultParagraphFont"/>
    <w:uiPriority w:val="99"/>
    <w:semiHidden/>
    <w:unhideWhenUsed/>
    <w:rsid w:val="00F802E3"/>
    <w:rPr>
      <w:color w:val="605E5C"/>
      <w:shd w:val="clear" w:color="auto" w:fill="E1DFDD"/>
    </w:rPr>
  </w:style>
  <w:style w:type="character" w:styleId="FollowedHyperlink">
    <w:name w:val="FollowedHyperlink"/>
    <w:basedOn w:val="DefaultParagraphFont"/>
    <w:uiPriority w:val="99"/>
    <w:semiHidden/>
    <w:unhideWhenUsed/>
    <w:rsid w:val="00396B6B"/>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isnblog.ethz.ch/technology/the-moral-code-how-to-teach-robots-right-and-wrong" TargetMode="External"/><Relationship Id="rId18" Type="http://schemas.openxmlformats.org/officeDocument/2006/relationships/hyperlink" Target="https://doi.org/10.5430/ijhe.v9n4p27" TargetMode="External"/><Relationship Id="rId26" Type="http://schemas.openxmlformats.org/officeDocument/2006/relationships/hyperlink" Target="https://doi.org/10.70725/307718pkpjuu" TargetMode="External"/><Relationship Id="rId39" Type="http://schemas.openxmlformats.org/officeDocument/2006/relationships/fontTable" Target="fontTable.xml"/><Relationship Id="rId21" Type="http://schemas.openxmlformats.org/officeDocument/2006/relationships/hyperlink" Target="https://arxiv.org/abs/1607.07856"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theatlantic.com/magazine/archive/1869/02/the-new-education/309049/" TargetMode="External"/><Relationship Id="rId25" Type="http://schemas.openxmlformats.org/officeDocument/2006/relationships/hyperlink" Target="https://doi.org/10.3390/math8122158" TargetMode="External"/><Relationship Id="rId33" Type="http://schemas.openxmlformats.org/officeDocument/2006/relationships/hyperlink" Target="https://doi.org/10.1111/jcal.12394" TargetMode="Externa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doi.org/10.31681/jetol.737193" TargetMode="External"/><Relationship Id="rId20" Type="http://schemas.openxmlformats.org/officeDocument/2006/relationships/hyperlink" Target="https://doi.org/10.56778/jdlde.v4i5.588" TargetMode="External"/><Relationship Id="rId29" Type="http://schemas.openxmlformats.org/officeDocument/2006/relationships/hyperlink" Target="https://doi.org/10.2307/3003654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eurasianresearch.org/EJRI" TargetMode="External"/><Relationship Id="rId32" Type="http://schemas.openxmlformats.org/officeDocument/2006/relationships/hyperlink" Target="https://doi.org/10.61778/ijmrast.v2i1.34"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0857-023-09615-1" TargetMode="External"/><Relationship Id="rId23" Type="http://schemas.openxmlformats.org/officeDocument/2006/relationships/hyperlink" Target="https://www.researchgate.net/profile/Fernando-Reimers/publication/330422007_Educating_for_the_Fourth_Industrial_Revolution/links/5c3f2e8d92851c22a3797e9d/Educating-for-the-Fourth-Industrial-Revolution.pdf" TargetMode="External"/><Relationship Id="rId28" Type="http://schemas.openxmlformats.org/officeDocument/2006/relationships/hyperlink" Target="https://unesdoc.unesco.org/ark:/48223/pf0000379707"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books.google.com.ph/books?hl=en&amp;lr=&amp;id=zSbxDwAAQBAJ&amp;oi=fnd&amp;pg=PA14&amp;dq" TargetMode="External"/><Relationship Id="rId31" Type="http://schemas.openxmlformats.org/officeDocument/2006/relationships/hyperlink" Target="https://doi.org/10.17509/ijomr.v5i2.8294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07/978-3-031-13927-7_5" TargetMode="External"/><Relationship Id="rId22" Type="http://schemas.openxmlformats.org/officeDocument/2006/relationships/hyperlink" Target="https://doi.org/10.1186/s40594-024-00513-3" TargetMode="External"/><Relationship Id="rId27" Type="http://schemas.openxmlformats.org/officeDocument/2006/relationships/hyperlink" Target="https://doi.org/10.70725/307718pkpjuu" TargetMode="External"/><Relationship Id="rId30" Type="http://schemas.openxmlformats.org/officeDocument/2006/relationships/hyperlink" Target="https://www.weforum.org/reports/the-future-of-jobs-report-2020" TargetMode="External"/><Relationship Id="rId35" Type="http://schemas.openxmlformats.org/officeDocument/2006/relationships/header" Target="header5.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Q/vPoQPtM269cFj5yfzqUfsXQ==">CgMxLjAyDmguNXY1ajJjZmVjOHNtOABqMwoUc3VnZ2VzdC5wbnR6ZnE5ZGxua3ESG1JpemVsbGUgQW5uZSBNYXJpc3NlIEFuZGF5YWozChRzdWdnZXN0LmdwOGE3cmU0a2NvbRIbUml6ZWxsZSBBbm5lIE1hcmlzc2UgQW5kYXlhajMKFHN1Z2dlc3QuOXJxanl6cG5jaDNsEhtSaXplbGxlIEFubmUgTWFyaXNzZSBBbmRheWFqMwoUc3VnZ2VzdC5odmRvMGM5NGhpb2QSG1JpemVsbGUgQW5uZSBNYXJpc3NlIEFuZGF5YXIhMTZSeEpGT0J2VXU0VFlvN0ZoWHBQWm55Q2lmX3dxaF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4694</Words>
  <Characters>26760</Characters>
  <Application>Microsoft Office Word</Application>
  <DocSecurity>0</DocSecurity>
  <Lines>223</Lines>
  <Paragraphs>62</Paragraphs>
  <ScaleCrop>false</ScaleCrop>
  <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office4608</dc:creator>
  <cp:lastModifiedBy>SDI 1167</cp:lastModifiedBy>
  <cp:revision>14</cp:revision>
  <dcterms:created xsi:type="dcterms:W3CDTF">2026-03-10T01:00:00Z</dcterms:created>
  <dcterms:modified xsi:type="dcterms:W3CDTF">2026-04-15T07:16:00Z</dcterms:modified>
</cp:coreProperties>
</file>