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683AB" w14:textId="77777777" w:rsidR="001D657D" w:rsidRDefault="00BF73B7">
      <w:pPr>
        <w:pStyle w:val="Heading1"/>
        <w:keepNext w:val="0"/>
        <w:keepLines w:val="0"/>
        <w:spacing w:before="0" w:after="120"/>
        <w:jc w:val="center"/>
        <w:rPr>
          <w:rFonts w:ascii="Times New Roman" w:eastAsia="Times New Roman" w:hAnsi="Times New Roman" w:cs="Times New Roman"/>
          <w:b/>
          <w:bCs/>
          <w:color w:val="000000"/>
        </w:rPr>
      </w:pPr>
      <w:bookmarkStart w:id="0" w:name="_ls4gq63vow8t" w:colFirst="0" w:colLast="0"/>
      <w:bookmarkEnd w:id="0"/>
      <w:r>
        <w:rPr>
          <w:rFonts w:ascii="Times New Roman" w:eastAsia="Times New Roman" w:hAnsi="Times New Roman" w:cs="Times New Roman"/>
          <w:b/>
          <w:bCs/>
          <w:color w:val="000000"/>
        </w:rPr>
        <w:t>Competency-Based Curriculum Design for Online Graduate Education: A Scoping Review with Implications for Emerging African Universities</w:t>
      </w:r>
    </w:p>
    <w:p w14:paraId="5BEE88C3" w14:textId="77777777" w:rsidR="007279E2" w:rsidRDefault="007279E2">
      <w:pPr>
        <w:spacing w:after="0" w:line="276" w:lineRule="auto"/>
        <w:jc w:val="center"/>
        <w:rPr>
          <w:rFonts w:ascii="Arial" w:eastAsia="Arial" w:hAnsi="Arial" w:cs="Arial"/>
          <w:sz w:val="22"/>
          <w:szCs w:val="22"/>
        </w:rPr>
      </w:pPr>
    </w:p>
    <w:p w14:paraId="0A2F8F35" w14:textId="45013F84" w:rsidR="00C55FCE" w:rsidRDefault="00C55FCE">
      <w:pPr>
        <w:spacing w:after="0" w:line="276" w:lineRule="auto"/>
        <w:jc w:val="center"/>
        <w:rPr>
          <w:rFonts w:ascii="Arial" w:eastAsia="Arial" w:hAnsi="Arial" w:cs="Arial"/>
          <w:sz w:val="22"/>
          <w:szCs w:val="22"/>
        </w:rPr>
      </w:pPr>
      <w:bookmarkStart w:id="1" w:name="_GoBack"/>
      <w:bookmarkEnd w:id="1"/>
      <w:r>
        <w:rPr>
          <w:rFonts w:ascii="Arial" w:eastAsia="Arial" w:hAnsi="Arial" w:cs="Arial"/>
          <w:sz w:val="22"/>
          <w:szCs w:val="22"/>
        </w:rPr>
        <w:t xml:space="preserve"> </w:t>
      </w:r>
    </w:p>
    <w:p w14:paraId="729B2BF4" w14:textId="77777777" w:rsidR="001D657D" w:rsidRDefault="001D657D">
      <w:pPr>
        <w:spacing w:after="80" w:line="276" w:lineRule="auto"/>
        <w:jc w:val="both"/>
        <w:rPr>
          <w:rFonts w:ascii="Times New Roman" w:eastAsia="Times New Roman" w:hAnsi="Times New Roman" w:cs="Times New Roman"/>
          <w:b/>
          <w:bCs/>
          <w:sz w:val="22"/>
          <w:szCs w:val="22"/>
        </w:rPr>
      </w:pPr>
    </w:p>
    <w:p w14:paraId="205A566D" w14:textId="77777777" w:rsidR="002E0F05" w:rsidRDefault="00BF73B7">
      <w:pPr>
        <w:spacing w:after="80" w:line="276" w:lineRule="auto"/>
        <w:ind w:firstLine="72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Abstract: </w:t>
      </w:r>
    </w:p>
    <w:p w14:paraId="45F2147E" w14:textId="5081D878" w:rsidR="001D657D" w:rsidRDefault="00BF73B7">
      <w:pPr>
        <w:spacing w:after="8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Background:</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The expansion of online and hybrid graduate education has shifted the central quality question from delivery feasibility to whether institutions can credibly demonstrate advanced, assessable graduate capability in digitally mediated environments. Competenc</w:t>
      </w:r>
      <w:r>
        <w:rPr>
          <w:rFonts w:ascii="Times New Roman" w:eastAsia="Times New Roman" w:hAnsi="Times New Roman" w:cs="Times New Roman"/>
          <w:sz w:val="22"/>
          <w:szCs w:val="22"/>
        </w:rPr>
        <w:t xml:space="preserve">y-based education offers a promising framework for this challenge, but its conceptual foundations and implementation logics remain uneven across higher education. </w:t>
      </w:r>
      <w:r>
        <w:rPr>
          <w:rFonts w:ascii="Times New Roman" w:eastAsia="Times New Roman" w:hAnsi="Times New Roman" w:cs="Times New Roman"/>
          <w:b/>
          <w:bCs/>
          <w:i/>
          <w:iCs/>
          <w:sz w:val="22"/>
          <w:szCs w:val="22"/>
        </w:rPr>
        <w:t>Objective:</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 xml:space="preserve">This scoping review maps how competency-based curriculum design is </w:t>
      </w:r>
      <w:proofErr w:type="spellStart"/>
      <w:r>
        <w:rPr>
          <w:rFonts w:ascii="Times New Roman" w:eastAsia="Times New Roman" w:hAnsi="Times New Roman" w:cs="Times New Roman"/>
          <w:sz w:val="22"/>
          <w:szCs w:val="22"/>
        </w:rPr>
        <w:t>conceptualised</w:t>
      </w:r>
      <w:proofErr w:type="spellEnd"/>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and </w:t>
      </w:r>
      <w:proofErr w:type="spellStart"/>
      <w:r>
        <w:rPr>
          <w:rFonts w:ascii="Times New Roman" w:eastAsia="Times New Roman" w:hAnsi="Times New Roman" w:cs="Times New Roman"/>
          <w:sz w:val="22"/>
          <w:szCs w:val="22"/>
        </w:rPr>
        <w:t>operationalised</w:t>
      </w:r>
      <w:proofErr w:type="spellEnd"/>
      <w:r>
        <w:rPr>
          <w:rFonts w:ascii="Times New Roman" w:eastAsia="Times New Roman" w:hAnsi="Times New Roman" w:cs="Times New Roman"/>
          <w:sz w:val="22"/>
          <w:szCs w:val="22"/>
        </w:rPr>
        <w:t xml:space="preserve"> in online graduate education and derives context-sensitive implications for emerging African universities. </w:t>
      </w:r>
      <w:r>
        <w:rPr>
          <w:rFonts w:ascii="Times New Roman" w:eastAsia="Times New Roman" w:hAnsi="Times New Roman" w:cs="Times New Roman"/>
          <w:b/>
          <w:bCs/>
          <w:i/>
          <w:iCs/>
          <w:sz w:val="22"/>
          <w:szCs w:val="22"/>
        </w:rPr>
        <w:t>Methods:</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 xml:space="preserve">Guided by Joanna Briggs Institute scoping review methodology and a Population-Concept-Context framework, the review </w:t>
      </w:r>
      <w:proofErr w:type="spellStart"/>
      <w:r>
        <w:rPr>
          <w:rFonts w:ascii="Times New Roman" w:eastAsia="Times New Roman" w:hAnsi="Times New Roman" w:cs="Times New Roman"/>
          <w:sz w:val="22"/>
          <w:szCs w:val="22"/>
        </w:rPr>
        <w:t>synt</w:t>
      </w:r>
      <w:r>
        <w:rPr>
          <w:rFonts w:ascii="Times New Roman" w:eastAsia="Times New Roman" w:hAnsi="Times New Roman" w:cs="Times New Roman"/>
          <w:sz w:val="22"/>
          <w:szCs w:val="22"/>
        </w:rPr>
        <w:t>hesised</w:t>
      </w:r>
      <w:proofErr w:type="spellEnd"/>
      <w:r>
        <w:rPr>
          <w:rFonts w:ascii="Times New Roman" w:eastAsia="Times New Roman" w:hAnsi="Times New Roman" w:cs="Times New Roman"/>
          <w:sz w:val="22"/>
          <w:szCs w:val="22"/>
        </w:rPr>
        <w:t xml:space="preserve"> peer-reviewed studies alongside selected policy and quality assurance documents relevant to online graduate education, competency-based design, and digital higher education governance. The analysis was interpreted through Constructive Alignment, Co</w:t>
      </w:r>
      <w:r>
        <w:rPr>
          <w:rFonts w:ascii="Times New Roman" w:eastAsia="Times New Roman" w:hAnsi="Times New Roman" w:cs="Times New Roman"/>
          <w:sz w:val="22"/>
          <w:szCs w:val="22"/>
        </w:rPr>
        <w:t xml:space="preserve">mmunity of Inquiry, and Technological Pedagogical Content Knowledge (TPACK), a teacher-knowledge framework for understanding how technological, pedagogical, and disciplinary knowledge interact in teaching. </w:t>
      </w:r>
      <w:r>
        <w:rPr>
          <w:rFonts w:ascii="Times New Roman" w:eastAsia="Times New Roman" w:hAnsi="Times New Roman" w:cs="Times New Roman"/>
          <w:b/>
          <w:bCs/>
          <w:i/>
          <w:iCs/>
          <w:sz w:val="22"/>
          <w:szCs w:val="22"/>
        </w:rPr>
        <w:t>Results:</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The evidence converged around six interde</w:t>
      </w:r>
      <w:r>
        <w:rPr>
          <w:rFonts w:ascii="Times New Roman" w:eastAsia="Times New Roman" w:hAnsi="Times New Roman" w:cs="Times New Roman"/>
          <w:sz w:val="22"/>
          <w:szCs w:val="22"/>
        </w:rPr>
        <w:t>pendent domains: competency specification, curriculum architecture, assessment evidence chains, online interaction design, learning management system configuration, and faculty and governance capability. The review found that the central problem is not mer</w:t>
      </w:r>
      <w:r>
        <w:rPr>
          <w:rFonts w:ascii="Times New Roman" w:eastAsia="Times New Roman" w:hAnsi="Times New Roman" w:cs="Times New Roman"/>
          <w:sz w:val="22"/>
          <w:szCs w:val="22"/>
        </w:rPr>
        <w:t>ely definitional ambiguity, but the failure to sustain alignment from competency statements to valid assessment, platform workflows, and institutional quality assurance. It also found that much of the available evidence comes from higher-capacity systems a</w:t>
      </w:r>
      <w:r>
        <w:rPr>
          <w:rFonts w:ascii="Times New Roman" w:eastAsia="Times New Roman" w:hAnsi="Times New Roman" w:cs="Times New Roman"/>
          <w:sz w:val="22"/>
          <w:szCs w:val="22"/>
        </w:rPr>
        <w:t>nd professionally regulated disciplines, limiting direct transferability to emerging African universities.</w:t>
      </w:r>
      <w:r>
        <w:rPr>
          <w:rFonts w:ascii="Times New Roman" w:eastAsia="Times New Roman" w:hAnsi="Times New Roman" w:cs="Times New Roman"/>
          <w:i/>
          <w:iCs/>
          <w:sz w:val="22"/>
          <w:szCs w:val="22"/>
        </w:rPr>
        <w:t xml:space="preserve"> </w:t>
      </w:r>
      <w:r>
        <w:rPr>
          <w:rFonts w:ascii="Times New Roman" w:eastAsia="Times New Roman" w:hAnsi="Times New Roman" w:cs="Times New Roman"/>
          <w:b/>
          <w:bCs/>
          <w:i/>
          <w:iCs/>
          <w:sz w:val="22"/>
          <w:szCs w:val="22"/>
        </w:rPr>
        <w:t>Conclusion:</w:t>
      </w:r>
      <w:r>
        <w:rPr>
          <w:rFonts w:ascii="Times New Roman" w:eastAsia="Times New Roman" w:hAnsi="Times New Roman" w:cs="Times New Roman"/>
          <w:sz w:val="22"/>
          <w:szCs w:val="22"/>
        </w:rPr>
        <w:t xml:space="preserve"> Competency-based online graduate curricula are most defensible when treated as institution-wide design architectures rather than course-l</w:t>
      </w:r>
      <w:r>
        <w:rPr>
          <w:rFonts w:ascii="Times New Roman" w:eastAsia="Times New Roman" w:hAnsi="Times New Roman" w:cs="Times New Roman"/>
          <w:sz w:val="22"/>
          <w:szCs w:val="22"/>
        </w:rPr>
        <w:t>evel innovations. For emerging African universities, credible implementation depends on coherent alignment among curriculum, pedagogy, assessment, platform design, faculty development, and quality management. The review therefore argues for selective trans</w:t>
      </w:r>
      <w:r>
        <w:rPr>
          <w:rFonts w:ascii="Times New Roman" w:eastAsia="Times New Roman" w:hAnsi="Times New Roman" w:cs="Times New Roman"/>
          <w:sz w:val="22"/>
          <w:szCs w:val="22"/>
        </w:rPr>
        <w:t>lation rather than uncritical borrowing of dominant models.</w:t>
      </w:r>
    </w:p>
    <w:p w14:paraId="7309127E" w14:textId="77777777" w:rsidR="001D657D" w:rsidRDefault="00BF73B7">
      <w:pPr>
        <w:spacing w:after="80" w:line="276" w:lineRule="auto"/>
        <w:ind w:firstLine="720"/>
        <w:jc w:val="both"/>
        <w:rPr>
          <w:rFonts w:ascii="Times New Roman" w:eastAsia="Times New Roman" w:hAnsi="Times New Roman" w:cs="Times New Roman"/>
          <w:i/>
          <w:iCs/>
          <w:sz w:val="28"/>
          <w:szCs w:val="28"/>
        </w:rPr>
        <w:sectPr w:rsidR="001D657D">
          <w:headerReference w:type="even" r:id="rId7"/>
          <w:headerReference w:type="default" r:id="rId8"/>
          <w:footerReference w:type="even" r:id="rId9"/>
          <w:footerReference w:type="default" r:id="rId10"/>
          <w:headerReference w:type="first" r:id="rId11"/>
          <w:footerReference w:type="first" r:id="rId12"/>
          <w:pgSz w:w="12240" w:h="15840"/>
          <w:pgMar w:top="1008" w:right="1080" w:bottom="1008" w:left="1080" w:header="720" w:footer="720" w:gutter="0"/>
          <w:pgNumType w:start="1"/>
          <w:cols w:space="720"/>
        </w:sectPr>
      </w:pPr>
      <w:r>
        <w:rPr>
          <w:rFonts w:ascii="Times New Roman" w:eastAsia="Times New Roman" w:hAnsi="Times New Roman" w:cs="Times New Roman"/>
          <w:b/>
          <w:bCs/>
          <w:i/>
          <w:iCs/>
          <w:sz w:val="22"/>
          <w:szCs w:val="22"/>
        </w:rPr>
        <w:t xml:space="preserve">Keywords: </w:t>
      </w:r>
      <w:r>
        <w:rPr>
          <w:rFonts w:ascii="Times New Roman" w:eastAsia="Times New Roman" w:hAnsi="Times New Roman" w:cs="Times New Roman"/>
          <w:i/>
          <w:iCs/>
          <w:sz w:val="22"/>
          <w:szCs w:val="22"/>
        </w:rPr>
        <w:t>competency-based education; online graduate education; curriculum design; assessment design; quality assurance; faculty development; African higher education.</w:t>
      </w:r>
    </w:p>
    <w:p w14:paraId="3E175B1E" w14:textId="77777777" w:rsidR="001D657D" w:rsidRDefault="00BF73B7">
      <w:pPr>
        <w:pStyle w:val="Heading2"/>
        <w:keepNext w:val="0"/>
        <w:keepLines w:val="0"/>
        <w:numPr>
          <w:ilvl w:val="0"/>
          <w:numId w:val="1"/>
        </w:numPr>
        <w:spacing w:before="360" w:after="0" w:line="276" w:lineRule="auto"/>
        <w:jc w:val="both"/>
        <w:rPr>
          <w:rFonts w:ascii="Times New Roman" w:eastAsia="Times New Roman" w:hAnsi="Times New Roman" w:cs="Times New Roman"/>
          <w:b/>
          <w:bCs/>
          <w:sz w:val="28"/>
          <w:szCs w:val="28"/>
        </w:rPr>
      </w:pPr>
      <w:bookmarkStart w:id="2" w:name="_5hrtgrpf3gup" w:colFirst="0" w:colLast="0"/>
      <w:bookmarkEnd w:id="2"/>
      <w:r>
        <w:rPr>
          <w:rFonts w:ascii="Times New Roman" w:eastAsia="Times New Roman" w:hAnsi="Times New Roman" w:cs="Times New Roman"/>
          <w:b/>
          <w:bCs/>
          <w:color w:val="000000"/>
          <w:sz w:val="28"/>
          <w:szCs w:val="28"/>
        </w:rPr>
        <w:t>Introductio</w:t>
      </w:r>
      <w:r>
        <w:rPr>
          <w:rFonts w:ascii="Times New Roman" w:eastAsia="Times New Roman" w:hAnsi="Times New Roman" w:cs="Times New Roman"/>
          <w:b/>
          <w:bCs/>
          <w:color w:val="000000"/>
          <w:sz w:val="28"/>
          <w:szCs w:val="28"/>
        </w:rPr>
        <w:t>n</w:t>
      </w:r>
    </w:p>
    <w:p w14:paraId="210F64BE" w14:textId="77777777" w:rsidR="001D657D" w:rsidRDefault="00BF73B7">
      <w:pPr>
        <w:pStyle w:val="Heading3"/>
        <w:keepNext w:val="0"/>
        <w:keepLines w:val="0"/>
        <w:spacing w:before="0" w:after="0" w:line="276" w:lineRule="auto"/>
        <w:jc w:val="both"/>
        <w:rPr>
          <w:rFonts w:ascii="Times New Roman" w:eastAsia="Times New Roman" w:hAnsi="Times New Roman" w:cs="Times New Roman"/>
          <w:b/>
          <w:bCs/>
          <w:color w:val="000000"/>
          <w:sz w:val="24"/>
          <w:szCs w:val="24"/>
        </w:rPr>
      </w:pPr>
      <w:bookmarkStart w:id="3" w:name="_tekc7fisdzl3" w:colFirst="0" w:colLast="0"/>
      <w:bookmarkEnd w:id="3"/>
      <w:r>
        <w:rPr>
          <w:rFonts w:ascii="Times New Roman" w:eastAsia="Times New Roman" w:hAnsi="Times New Roman" w:cs="Times New Roman"/>
          <w:b/>
          <w:bCs/>
          <w:color w:val="000000"/>
          <w:sz w:val="24"/>
          <w:szCs w:val="24"/>
        </w:rPr>
        <w:t>1.1. Background</w:t>
      </w:r>
    </w:p>
    <w:p w14:paraId="66989481"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Digital higher education has shifted from peripheral innovation to mainstream provision. In OECD contexts, fully online and hybrid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xml:space="preserve"> have grown quickly, while quality assurance authorities have increasingly focused on how to embed quality standards for digital provision within existing higher education quality assurance systems (Staring et al., 2022). The conceptual stakes rise in grad</w:t>
      </w:r>
      <w:r>
        <w:rPr>
          <w:rFonts w:ascii="Times New Roman" w:eastAsia="Times New Roman" w:hAnsi="Times New Roman" w:cs="Times New Roman"/>
          <w:sz w:val="22"/>
          <w:szCs w:val="22"/>
        </w:rPr>
        <w:t xml:space="preserve">uate education, which must protect advanced disciplinary knowledge and research-oriented formation while </w:t>
      </w:r>
      <w:r>
        <w:rPr>
          <w:rFonts w:ascii="Times New Roman" w:eastAsia="Times New Roman" w:hAnsi="Times New Roman" w:cs="Times New Roman"/>
          <w:sz w:val="22"/>
          <w:szCs w:val="22"/>
        </w:rPr>
        <w:t xml:space="preserve">responding to adult learners' needs for flexibility and sustained institutional support. Research on graduate online education and advising shows that </w:t>
      </w:r>
      <w:r>
        <w:rPr>
          <w:rFonts w:ascii="Times New Roman" w:eastAsia="Times New Roman" w:hAnsi="Times New Roman" w:cs="Times New Roman"/>
          <w:sz w:val="22"/>
          <w:szCs w:val="22"/>
        </w:rPr>
        <w:t xml:space="preserve">online graduate learners' satisfaction, engagement, and persistence are closely linked to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design and institutional support structures that extend beyond course delivery alone (Martin, Morse, &amp; Kumar, 2022; Meyer et al., 2022).</w:t>
      </w:r>
    </w:p>
    <w:p w14:paraId="0685FDA5"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For emerging Africa</w:t>
      </w:r>
      <w:r>
        <w:rPr>
          <w:rFonts w:ascii="Times New Roman" w:eastAsia="Times New Roman" w:hAnsi="Times New Roman" w:cs="Times New Roman"/>
          <w:sz w:val="22"/>
          <w:szCs w:val="22"/>
        </w:rPr>
        <w:t xml:space="preserve">n universities, the policy and development context is distinctive. Sub-Saharan Africa’s tertiary participation remains low relative to global levels, even as continental policy frameworks </w:t>
      </w:r>
      <w:r>
        <w:rPr>
          <w:rFonts w:ascii="Times New Roman" w:eastAsia="Times New Roman" w:hAnsi="Times New Roman" w:cs="Times New Roman"/>
          <w:sz w:val="22"/>
          <w:szCs w:val="22"/>
        </w:rPr>
        <w:lastRenderedPageBreak/>
        <w:t>press institutions to expand digital provision across teaching, rese</w:t>
      </w:r>
      <w:r>
        <w:rPr>
          <w:rFonts w:ascii="Times New Roman" w:eastAsia="Times New Roman" w:hAnsi="Times New Roman" w:cs="Times New Roman"/>
          <w:sz w:val="22"/>
          <w:szCs w:val="22"/>
        </w:rPr>
        <w:t xml:space="preserve">arch, assessment, and administration. The African Union’s Digital Education Strategy for 2023–2028 explicitly treats digital education as a system-wide agenda and places infrastructure, digital capability, and curriculum-aligned platforms at the </w:t>
      </w:r>
      <w:proofErr w:type="spellStart"/>
      <w:r>
        <w:rPr>
          <w:rFonts w:ascii="Times New Roman" w:eastAsia="Times New Roman" w:hAnsi="Times New Roman" w:cs="Times New Roman"/>
          <w:sz w:val="22"/>
          <w:szCs w:val="22"/>
        </w:rPr>
        <w:t>centre</w:t>
      </w:r>
      <w:proofErr w:type="spellEnd"/>
      <w:r>
        <w:rPr>
          <w:rFonts w:ascii="Times New Roman" w:eastAsia="Times New Roman" w:hAnsi="Times New Roman" w:cs="Times New Roman"/>
          <w:sz w:val="22"/>
          <w:szCs w:val="22"/>
        </w:rPr>
        <w:t xml:space="preserve"> of </w:t>
      </w:r>
      <w:r>
        <w:rPr>
          <w:rFonts w:ascii="Times New Roman" w:eastAsia="Times New Roman" w:hAnsi="Times New Roman" w:cs="Times New Roman"/>
          <w:sz w:val="22"/>
          <w:szCs w:val="22"/>
        </w:rPr>
        <w:t xml:space="preserve">implementation (AU, 2022). The implication is that online graduate education in African contexts cannot be </w:t>
      </w:r>
      <w:proofErr w:type="spellStart"/>
      <w:r>
        <w:rPr>
          <w:rFonts w:ascii="Times New Roman" w:eastAsia="Times New Roman" w:hAnsi="Times New Roman" w:cs="Times New Roman"/>
          <w:sz w:val="22"/>
          <w:szCs w:val="22"/>
        </w:rPr>
        <w:t>analysed</w:t>
      </w:r>
      <w:proofErr w:type="spellEnd"/>
      <w:r>
        <w:rPr>
          <w:rFonts w:ascii="Times New Roman" w:eastAsia="Times New Roman" w:hAnsi="Times New Roman" w:cs="Times New Roman"/>
          <w:sz w:val="22"/>
          <w:szCs w:val="22"/>
        </w:rPr>
        <w:t xml:space="preserve"> as a mere delivery-mode question. It must be </w:t>
      </w:r>
      <w:proofErr w:type="spellStart"/>
      <w:r>
        <w:rPr>
          <w:rFonts w:ascii="Times New Roman" w:eastAsia="Times New Roman" w:hAnsi="Times New Roman" w:cs="Times New Roman"/>
          <w:sz w:val="22"/>
          <w:szCs w:val="22"/>
        </w:rPr>
        <w:t>analysed</w:t>
      </w:r>
      <w:proofErr w:type="spellEnd"/>
      <w:r>
        <w:rPr>
          <w:rFonts w:ascii="Times New Roman" w:eastAsia="Times New Roman" w:hAnsi="Times New Roman" w:cs="Times New Roman"/>
          <w:sz w:val="22"/>
          <w:szCs w:val="22"/>
        </w:rPr>
        <w:t xml:space="preserve"> as an institutional-capacity question in which curriculum coherence, assessment credib</w:t>
      </w:r>
      <w:r>
        <w:rPr>
          <w:rFonts w:ascii="Times New Roman" w:eastAsia="Times New Roman" w:hAnsi="Times New Roman" w:cs="Times New Roman"/>
          <w:sz w:val="22"/>
          <w:szCs w:val="22"/>
        </w:rPr>
        <w:t>ility, platform design, and quality management are materially interdependent.</w:t>
      </w:r>
    </w:p>
    <w:p w14:paraId="5D60622E"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this review, competency-based education refers to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designs that make explicit and assessable claims about what graduates should be able to know, do, and justify. The </w:t>
      </w:r>
      <w:r>
        <w:rPr>
          <w:rFonts w:ascii="Times New Roman" w:eastAsia="Times New Roman" w:hAnsi="Times New Roman" w:cs="Times New Roman"/>
          <w:sz w:val="22"/>
          <w:szCs w:val="22"/>
        </w:rPr>
        <w:t xml:space="preserve">review uses competence to denote the integrated capability itself and competency to denote its curricular specification, while </w:t>
      </w:r>
      <w:proofErr w:type="spellStart"/>
      <w:r>
        <w:rPr>
          <w:rFonts w:ascii="Times New Roman" w:eastAsia="Times New Roman" w:hAnsi="Times New Roman" w:cs="Times New Roman"/>
          <w:sz w:val="22"/>
          <w:szCs w:val="22"/>
        </w:rPr>
        <w:t>recognising</w:t>
      </w:r>
      <w:proofErr w:type="spellEnd"/>
      <w:r>
        <w:rPr>
          <w:rFonts w:ascii="Times New Roman" w:eastAsia="Times New Roman" w:hAnsi="Times New Roman" w:cs="Times New Roman"/>
          <w:sz w:val="22"/>
          <w:szCs w:val="22"/>
        </w:rPr>
        <w:t xml:space="preserve"> that the literature frequently blurs the two. That slippage is not treated here as terminological trivia. It matters </w:t>
      </w:r>
      <w:r>
        <w:rPr>
          <w:rFonts w:ascii="Times New Roman" w:eastAsia="Times New Roman" w:hAnsi="Times New Roman" w:cs="Times New Roman"/>
          <w:sz w:val="22"/>
          <w:szCs w:val="22"/>
        </w:rPr>
        <w:t>because definitional ambiguity migrates downstream into curriculum mapping, assessment criteria, platform configuration, and quality assurance judgments. When key terms remain unstable, coherence problems are not merely semantic; they become structural pro</w:t>
      </w:r>
      <w:r>
        <w:rPr>
          <w:rFonts w:ascii="Times New Roman" w:eastAsia="Times New Roman" w:hAnsi="Times New Roman" w:cs="Times New Roman"/>
          <w:sz w:val="22"/>
          <w:szCs w:val="22"/>
        </w:rPr>
        <w:t>blems of design and evidence.</w:t>
      </w:r>
    </w:p>
    <w:p w14:paraId="55A3643D"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4" w:name="_q20aifu713e1" w:colFirst="0" w:colLast="0"/>
      <w:bookmarkEnd w:id="4"/>
      <w:r>
        <w:rPr>
          <w:rFonts w:ascii="Times New Roman" w:eastAsia="Times New Roman" w:hAnsi="Times New Roman" w:cs="Times New Roman"/>
          <w:b/>
          <w:bCs/>
          <w:color w:val="000000"/>
          <w:sz w:val="24"/>
          <w:szCs w:val="24"/>
        </w:rPr>
        <w:t>1.2. Problem and gap</w:t>
      </w:r>
    </w:p>
    <w:p w14:paraId="784956B7"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CBE promises to shift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logic from time and content coverage toward demonstrable capability, but the competence discourse remains conceptually unstable within higher education. A systematic literature review focused on competence-oriented higher education reports that ambiguous </w:t>
      </w:r>
      <w:r>
        <w:rPr>
          <w:rFonts w:ascii="Times New Roman" w:eastAsia="Times New Roman" w:hAnsi="Times New Roman" w:cs="Times New Roman"/>
          <w:sz w:val="22"/>
          <w:szCs w:val="22"/>
        </w:rPr>
        <w:t>terminology and inconsistent language remain persistent challenges, accompanied by a clear need for teacher in-service training to enact competence-oriented reforms (Brauer, 2021). In online environments, these conceptual tensions intersect with the realit</w:t>
      </w:r>
      <w:r>
        <w:rPr>
          <w:rFonts w:ascii="Times New Roman" w:eastAsia="Times New Roman" w:hAnsi="Times New Roman" w:cs="Times New Roman"/>
          <w:sz w:val="22"/>
          <w:szCs w:val="22"/>
        </w:rPr>
        <w:t xml:space="preserve">ies of platform-mediated pedagogy and assessment. Evidence from a synthesis of graduate online education indicates that research has grown substantially, but is geographically concentrated and thematically skewed, with relatively limited attention </w:t>
      </w:r>
      <w:r>
        <w:rPr>
          <w:rFonts w:ascii="Times New Roman" w:eastAsia="Times New Roman" w:hAnsi="Times New Roman" w:cs="Times New Roman"/>
          <w:sz w:val="22"/>
          <w:szCs w:val="22"/>
        </w:rPr>
        <w:t>to organ</w:t>
      </w:r>
      <w:r>
        <w:rPr>
          <w:rFonts w:ascii="Times New Roman" w:eastAsia="Times New Roman" w:hAnsi="Times New Roman" w:cs="Times New Roman"/>
          <w:sz w:val="22"/>
          <w:szCs w:val="22"/>
        </w:rPr>
        <w:t xml:space="preserve">izational-level conditions that shape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sustainability and quality (Martin, Morse, &amp; Kumar, 2022). Parallel scholarship on digital higher education quality assurance emphasizes that effective quality assurance for digital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xml:space="preserve"> requires instit</w:t>
      </w:r>
      <w:r>
        <w:rPr>
          <w:rFonts w:ascii="Times New Roman" w:eastAsia="Times New Roman" w:hAnsi="Times New Roman" w:cs="Times New Roman"/>
          <w:sz w:val="22"/>
          <w:szCs w:val="22"/>
        </w:rPr>
        <w:t>ution-level quality management and governance supports rather than reliance on course-level design alone (Staring et al., 2022).</w:t>
      </w:r>
    </w:p>
    <w:p w14:paraId="3090B387"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resulting gap is not simply a lack of studies. It is an integrative deficit: the literature often treats competency framing</w:t>
      </w:r>
      <w:r>
        <w:rPr>
          <w:rFonts w:ascii="Times New Roman" w:eastAsia="Times New Roman" w:hAnsi="Times New Roman" w:cs="Times New Roman"/>
          <w:sz w:val="22"/>
          <w:szCs w:val="22"/>
        </w:rPr>
        <w:t xml:space="preserve">, curriculum architecture, assessment practices, LMS workflows, faculty development, and institutional governance as separable domains. Yet online competency-based graduate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xml:space="preserve"> live or fail at the intersections, where misalignment can become structu</w:t>
      </w:r>
      <w:r>
        <w:rPr>
          <w:rFonts w:ascii="Times New Roman" w:eastAsia="Times New Roman" w:hAnsi="Times New Roman" w:cs="Times New Roman"/>
          <w:sz w:val="22"/>
          <w:szCs w:val="22"/>
        </w:rPr>
        <w:t>rally embedded in platform workflows, assessment evidence chains, and staffing models (</w:t>
      </w:r>
      <w:proofErr w:type="spellStart"/>
      <w:r>
        <w:rPr>
          <w:rFonts w:ascii="Times New Roman" w:eastAsia="Times New Roman" w:hAnsi="Times New Roman" w:cs="Times New Roman"/>
          <w:sz w:val="22"/>
          <w:szCs w:val="22"/>
        </w:rPr>
        <w:t>Hadullo</w:t>
      </w:r>
      <w:proofErr w:type="spellEnd"/>
      <w:r>
        <w:rPr>
          <w:rFonts w:ascii="Times New Roman" w:eastAsia="Times New Roman" w:hAnsi="Times New Roman" w:cs="Times New Roman"/>
          <w:sz w:val="22"/>
          <w:szCs w:val="22"/>
        </w:rPr>
        <w:t xml:space="preserve">, 2021; Schmid et al., 2024; Staring et al., 2022; van </w:t>
      </w:r>
      <w:proofErr w:type="spellStart"/>
      <w:r>
        <w:rPr>
          <w:rFonts w:ascii="Times New Roman" w:eastAsia="Times New Roman" w:hAnsi="Times New Roman" w:cs="Times New Roman"/>
          <w:sz w:val="22"/>
          <w:szCs w:val="22"/>
        </w:rPr>
        <w:t>Dorresteijn</w:t>
      </w:r>
      <w:proofErr w:type="spellEnd"/>
      <w:r>
        <w:rPr>
          <w:rFonts w:ascii="Times New Roman" w:eastAsia="Times New Roman" w:hAnsi="Times New Roman" w:cs="Times New Roman"/>
          <w:sz w:val="22"/>
          <w:szCs w:val="22"/>
        </w:rPr>
        <w:t xml:space="preserve"> et al., 2025).</w:t>
      </w:r>
    </w:p>
    <w:p w14:paraId="3A43FE10"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5" w:name="_rupk3l69wewv" w:colFirst="0" w:colLast="0"/>
      <w:bookmarkEnd w:id="5"/>
      <w:r>
        <w:rPr>
          <w:rFonts w:ascii="Times New Roman" w:eastAsia="Times New Roman" w:hAnsi="Times New Roman" w:cs="Times New Roman"/>
          <w:b/>
          <w:bCs/>
          <w:color w:val="000000"/>
          <w:sz w:val="24"/>
          <w:szCs w:val="24"/>
        </w:rPr>
        <w:t>1.3. Aim and objectives</w:t>
      </w:r>
    </w:p>
    <w:p w14:paraId="5D76723E"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aim of this scoping review is to map and synthesize </w:t>
      </w:r>
      <w:r>
        <w:rPr>
          <w:rFonts w:ascii="Times New Roman" w:eastAsia="Times New Roman" w:hAnsi="Times New Roman" w:cs="Times New Roman"/>
          <w:sz w:val="22"/>
          <w:szCs w:val="22"/>
        </w:rPr>
        <w:t>research and authoritative guidance on competency-based curriculum design in online graduate education, and to derive carefully bounded curriculum, policy, LMS, and faculty development implications relevant to emerging African universities.</w:t>
      </w:r>
    </w:p>
    <w:p w14:paraId="2409AAD6"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6" w:name="_bobpvgixvddx" w:colFirst="0" w:colLast="0"/>
      <w:bookmarkEnd w:id="6"/>
      <w:r>
        <w:rPr>
          <w:rFonts w:ascii="Times New Roman" w:eastAsia="Times New Roman" w:hAnsi="Times New Roman" w:cs="Times New Roman"/>
          <w:b/>
          <w:bCs/>
          <w:color w:val="000000"/>
          <w:sz w:val="24"/>
          <w:szCs w:val="24"/>
        </w:rPr>
        <w:t>1.4. Research q</w:t>
      </w:r>
      <w:r>
        <w:rPr>
          <w:rFonts w:ascii="Times New Roman" w:eastAsia="Times New Roman" w:hAnsi="Times New Roman" w:cs="Times New Roman"/>
          <w:b/>
          <w:bCs/>
          <w:color w:val="000000"/>
          <w:sz w:val="24"/>
          <w:szCs w:val="24"/>
        </w:rPr>
        <w:t>uestions</w:t>
      </w:r>
    </w:p>
    <w:p w14:paraId="21EBA651"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RQ1:</w:t>
      </w:r>
      <w:r>
        <w:rPr>
          <w:rFonts w:ascii="Times New Roman" w:eastAsia="Times New Roman" w:hAnsi="Times New Roman" w:cs="Times New Roman"/>
          <w:sz w:val="22"/>
          <w:szCs w:val="22"/>
        </w:rPr>
        <w:t xml:space="preserve"> How is competency-based curriculum design conceptualized and operationalized in literature pertinent to online graduate education? </w:t>
      </w:r>
      <w:r>
        <w:rPr>
          <w:rFonts w:ascii="Times New Roman" w:eastAsia="Times New Roman" w:hAnsi="Times New Roman" w:cs="Times New Roman"/>
          <w:b/>
          <w:bCs/>
          <w:i/>
          <w:iCs/>
          <w:sz w:val="22"/>
          <w:szCs w:val="22"/>
        </w:rPr>
        <w:t>RQ2:</w:t>
      </w:r>
      <w:r>
        <w:rPr>
          <w:rFonts w:ascii="Times New Roman" w:eastAsia="Times New Roman" w:hAnsi="Times New Roman" w:cs="Times New Roman"/>
          <w:sz w:val="22"/>
          <w:szCs w:val="22"/>
        </w:rPr>
        <w:t xml:space="preserve"> What curriculum architecture, assessment, LMS, faculty capability, and governance factors enable or constr</w:t>
      </w:r>
      <w:r>
        <w:rPr>
          <w:rFonts w:ascii="Times New Roman" w:eastAsia="Times New Roman" w:hAnsi="Times New Roman" w:cs="Times New Roman"/>
          <w:sz w:val="22"/>
          <w:szCs w:val="22"/>
        </w:rPr>
        <w:t xml:space="preserve">ain competency-based online graduate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implementation? </w:t>
      </w:r>
      <w:r>
        <w:rPr>
          <w:rFonts w:ascii="Times New Roman" w:eastAsia="Times New Roman" w:hAnsi="Times New Roman" w:cs="Times New Roman"/>
          <w:b/>
          <w:bCs/>
          <w:i/>
          <w:iCs/>
          <w:sz w:val="22"/>
          <w:szCs w:val="22"/>
        </w:rPr>
        <w:t>RQ3:</w:t>
      </w:r>
      <w:r>
        <w:rPr>
          <w:rFonts w:ascii="Times New Roman" w:eastAsia="Times New Roman" w:hAnsi="Times New Roman" w:cs="Times New Roman"/>
          <w:sz w:val="22"/>
          <w:szCs w:val="22"/>
        </w:rPr>
        <w:t xml:space="preserve"> What evidence-supported implications can be drawn for emerging African universities developing online graduate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xml:space="preserve"> under contemporary digital transformation pressures?</w:t>
      </w:r>
    </w:p>
    <w:p w14:paraId="68582B58"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7" w:name="_uphn7av6m1g8" w:colFirst="0" w:colLast="0"/>
      <w:bookmarkEnd w:id="7"/>
      <w:r>
        <w:rPr>
          <w:rFonts w:ascii="Times New Roman" w:eastAsia="Times New Roman" w:hAnsi="Times New Roman" w:cs="Times New Roman"/>
          <w:b/>
          <w:bCs/>
          <w:color w:val="000000"/>
          <w:sz w:val="24"/>
          <w:szCs w:val="24"/>
        </w:rPr>
        <w:t>1.5. Scholarl</w:t>
      </w:r>
      <w:r>
        <w:rPr>
          <w:rFonts w:ascii="Times New Roman" w:eastAsia="Times New Roman" w:hAnsi="Times New Roman" w:cs="Times New Roman"/>
          <w:b/>
          <w:bCs/>
          <w:color w:val="000000"/>
          <w:sz w:val="24"/>
          <w:szCs w:val="24"/>
        </w:rPr>
        <w:t>y contribution</w:t>
      </w:r>
    </w:p>
    <w:p w14:paraId="1983B878"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contribution of this review is analytic rather than advocative. First, it clarifies how definitional choices around competence and competency shape not only </w:t>
      </w:r>
      <w:r>
        <w:rPr>
          <w:rFonts w:ascii="Times New Roman" w:eastAsia="Times New Roman" w:hAnsi="Times New Roman" w:cs="Times New Roman"/>
          <w:sz w:val="22"/>
          <w:szCs w:val="22"/>
        </w:rPr>
        <w:lastRenderedPageBreak/>
        <w:t>curriculum language but also assessment validity, digital workflow design, and q</w:t>
      </w:r>
      <w:r>
        <w:rPr>
          <w:rFonts w:ascii="Times New Roman" w:eastAsia="Times New Roman" w:hAnsi="Times New Roman" w:cs="Times New Roman"/>
          <w:sz w:val="22"/>
          <w:szCs w:val="22"/>
        </w:rPr>
        <w:t xml:space="preserve">uality assurance judgment (Brauer, 2021). Second, it treats online graduate education as a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-level rather than course-level phenomenon, bringing together curriculum architecture, interaction design, platform affordances, faculty capability, and gov</w:t>
      </w:r>
      <w:r>
        <w:rPr>
          <w:rFonts w:ascii="Times New Roman" w:eastAsia="Times New Roman" w:hAnsi="Times New Roman" w:cs="Times New Roman"/>
          <w:sz w:val="22"/>
          <w:szCs w:val="22"/>
        </w:rPr>
        <w:t>ernance within one interpretive frame (Martin, Morse, &amp; Kumar, 2022). Third, it offers a bounded transfer argument for emerging African universities: not a simple importation of models developed in higher-capacity systems, but a selective translation of de</w:t>
      </w:r>
      <w:r>
        <w:rPr>
          <w:rFonts w:ascii="Times New Roman" w:eastAsia="Times New Roman" w:hAnsi="Times New Roman" w:cs="Times New Roman"/>
          <w:sz w:val="22"/>
          <w:szCs w:val="22"/>
        </w:rPr>
        <w:t xml:space="preserve">sign principles under conditions of uneven infrastructure, expanding participation pressures, and continental digital transformation </w:t>
      </w:r>
      <w:proofErr w:type="gramStart"/>
      <w:r>
        <w:rPr>
          <w:rFonts w:ascii="Times New Roman" w:eastAsia="Times New Roman" w:hAnsi="Times New Roman" w:cs="Times New Roman"/>
          <w:sz w:val="22"/>
          <w:szCs w:val="22"/>
        </w:rPr>
        <w:t>agendas  (</w:t>
      </w:r>
      <w:proofErr w:type="gramEnd"/>
      <w:r>
        <w:rPr>
          <w:rFonts w:ascii="Times New Roman" w:eastAsia="Times New Roman" w:hAnsi="Times New Roman" w:cs="Times New Roman"/>
          <w:sz w:val="22"/>
          <w:szCs w:val="22"/>
        </w:rPr>
        <w:t xml:space="preserve">Schmid et al., 2024; Staring et al., 2022; van </w:t>
      </w:r>
      <w:proofErr w:type="spellStart"/>
      <w:r>
        <w:rPr>
          <w:rFonts w:ascii="Times New Roman" w:eastAsia="Times New Roman" w:hAnsi="Times New Roman" w:cs="Times New Roman"/>
          <w:sz w:val="22"/>
          <w:szCs w:val="22"/>
        </w:rPr>
        <w:t>Dorresteijn</w:t>
      </w:r>
      <w:proofErr w:type="spellEnd"/>
      <w:r>
        <w:rPr>
          <w:rFonts w:ascii="Times New Roman" w:eastAsia="Times New Roman" w:hAnsi="Times New Roman" w:cs="Times New Roman"/>
          <w:sz w:val="22"/>
          <w:szCs w:val="22"/>
        </w:rPr>
        <w:t xml:space="preserve"> et al., 2025).</w:t>
      </w:r>
    </w:p>
    <w:p w14:paraId="6D48A3D7" w14:textId="77777777" w:rsidR="001D657D" w:rsidRDefault="00BF73B7">
      <w:pPr>
        <w:pStyle w:val="Heading2"/>
        <w:keepNext w:val="0"/>
        <w:keepLines w:val="0"/>
        <w:numPr>
          <w:ilvl w:val="0"/>
          <w:numId w:val="1"/>
        </w:numPr>
        <w:spacing w:before="360"/>
        <w:jc w:val="both"/>
        <w:rPr>
          <w:rFonts w:ascii="Times New Roman" w:eastAsia="Times New Roman" w:hAnsi="Times New Roman" w:cs="Times New Roman"/>
          <w:b/>
          <w:bCs/>
          <w:sz w:val="28"/>
          <w:szCs w:val="28"/>
        </w:rPr>
      </w:pPr>
      <w:bookmarkStart w:id="8" w:name="_duvdvi87d2ae" w:colFirst="0" w:colLast="0"/>
      <w:bookmarkEnd w:id="8"/>
      <w:r>
        <w:rPr>
          <w:rFonts w:ascii="Times New Roman" w:eastAsia="Times New Roman" w:hAnsi="Times New Roman" w:cs="Times New Roman"/>
          <w:b/>
          <w:bCs/>
          <w:color w:val="000000"/>
          <w:sz w:val="28"/>
          <w:szCs w:val="28"/>
        </w:rPr>
        <w:t>Theoretical and Conceptual Framework</w:t>
      </w:r>
    </w:p>
    <w:p w14:paraId="16C25D8D"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w:t>
      </w:r>
      <w:r>
        <w:rPr>
          <w:rFonts w:ascii="Times New Roman" w:eastAsia="Times New Roman" w:hAnsi="Times New Roman" w:cs="Times New Roman"/>
          <w:sz w:val="22"/>
          <w:szCs w:val="22"/>
        </w:rPr>
        <w:t>is review uses three frameworks analytically, not as decorative descriptions, to illuminate design tensions across micro-level pedagogy and macro-level institutional architecture.</w:t>
      </w:r>
    </w:p>
    <w:p w14:paraId="398BBA2C"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9" w:name="_870c6ymdcq1h" w:colFirst="0" w:colLast="0"/>
      <w:bookmarkEnd w:id="9"/>
      <w:r>
        <w:rPr>
          <w:rFonts w:ascii="Times New Roman" w:eastAsia="Times New Roman" w:hAnsi="Times New Roman" w:cs="Times New Roman"/>
          <w:b/>
          <w:bCs/>
          <w:color w:val="000000"/>
          <w:sz w:val="24"/>
          <w:szCs w:val="24"/>
        </w:rPr>
        <w:t>2.1. Constructive Alignment as a coherence test for competency architectures</w:t>
      </w:r>
    </w:p>
    <w:p w14:paraId="4071FC8E"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Constructive Alignment theorizes curriculum quality as the deliberate alignment of intended learning outcomes, teaching and learning activities, and assessment tasks (Biggs, 1996). Under CBE, intended outcomes are rewritten as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competencies. The </w:t>
      </w:r>
      <w:r>
        <w:rPr>
          <w:rFonts w:ascii="Times New Roman" w:eastAsia="Times New Roman" w:hAnsi="Times New Roman" w:cs="Times New Roman"/>
          <w:sz w:val="22"/>
          <w:szCs w:val="22"/>
        </w:rPr>
        <w:t>framework therefore enables a disciplined diagnostic question: whether competency statements function as assessable claims that structurally constrain curriculum sequencing and assessment evidence, or whether they dissolve into aspirational rhetoric that c</w:t>
      </w:r>
      <w:r>
        <w:rPr>
          <w:rFonts w:ascii="Times New Roman" w:eastAsia="Times New Roman" w:hAnsi="Times New Roman" w:cs="Times New Roman"/>
          <w:sz w:val="22"/>
          <w:szCs w:val="22"/>
        </w:rPr>
        <w:t>annot be validly assessed (Biggs, 1996; Johnstone &amp; Soares, 2014). Constructive Alignment also exposes a common implementation failure mode reported across competency-based reforms: assessment practices that remain implicitly content-based or time-based af</w:t>
      </w:r>
      <w:r>
        <w:rPr>
          <w:rFonts w:ascii="Times New Roman" w:eastAsia="Times New Roman" w:hAnsi="Times New Roman" w:cs="Times New Roman"/>
          <w:sz w:val="22"/>
          <w:szCs w:val="22"/>
        </w:rPr>
        <w:t>ter competencies have been formally adopted, producing a governance fiction of outcomes compliance without an evidential chain of mastery (Biggs, 1996; Vargas et al., 2025).</w:t>
      </w:r>
    </w:p>
    <w:p w14:paraId="6FF2B3DE"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0" w:name="_8hyjqyno47yf" w:colFirst="0" w:colLast="0"/>
      <w:bookmarkEnd w:id="10"/>
      <w:r>
        <w:rPr>
          <w:rFonts w:ascii="Times New Roman" w:eastAsia="Times New Roman" w:hAnsi="Times New Roman" w:cs="Times New Roman"/>
          <w:b/>
          <w:bCs/>
          <w:color w:val="000000"/>
          <w:sz w:val="24"/>
          <w:szCs w:val="24"/>
        </w:rPr>
        <w:t>2.2. Community of Inquiry as an interactional account of online graduate learning</w:t>
      </w:r>
    </w:p>
    <w:p w14:paraId="4CEB3526"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Community of Inquiry framework conceptualizes online learning quality as the interaction of teaching presence, social presence, and cognitive presence (Garrison et al., 2000). For graduate education, Community of Inquiry is analytically valuable becaus</w:t>
      </w:r>
      <w:r>
        <w:rPr>
          <w:rFonts w:ascii="Times New Roman" w:eastAsia="Times New Roman" w:hAnsi="Times New Roman" w:cs="Times New Roman"/>
          <w:sz w:val="22"/>
          <w:szCs w:val="22"/>
        </w:rPr>
        <w:t>e it shifts attention away from delivery mode and toward the conditions of higher-order engagement and meaning-making in professional and research-oriented learning. Two recent syntheses demonstrate this empirical relevance. A meta-analysis reports positiv</w:t>
      </w:r>
      <w:r>
        <w:rPr>
          <w:rFonts w:ascii="Times New Roman" w:eastAsia="Times New Roman" w:hAnsi="Times New Roman" w:cs="Times New Roman"/>
          <w:sz w:val="22"/>
          <w:szCs w:val="22"/>
        </w:rPr>
        <w:t>e correlations between the presences and learning outcomes, including a moderate correlation between teaching presence and actual learning and a strong correlation between cognitive presence and perceived learning (Martin, Wu, Wan, &amp; Xie, 2022). A systemat</w:t>
      </w:r>
      <w:r>
        <w:rPr>
          <w:rFonts w:ascii="Times New Roman" w:eastAsia="Times New Roman" w:hAnsi="Times New Roman" w:cs="Times New Roman"/>
          <w:sz w:val="22"/>
          <w:szCs w:val="22"/>
        </w:rPr>
        <w:t>ic review focused on cognitive presence in online courses further emphasizes that instructional activities and design choices shape movement through cognitive presence phases, from triggering events to resolution, which are directly relevant to graduate-le</w:t>
      </w:r>
      <w:r>
        <w:rPr>
          <w:rFonts w:ascii="Times New Roman" w:eastAsia="Times New Roman" w:hAnsi="Times New Roman" w:cs="Times New Roman"/>
          <w:sz w:val="22"/>
          <w:szCs w:val="22"/>
        </w:rPr>
        <w:t>vel inquiry and applied problem solving (Moore &amp; Miller, 2022).</w:t>
      </w:r>
    </w:p>
    <w:p w14:paraId="7662C30D"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1" w:name="_unclr7njp7r7" w:colFirst="0" w:colLast="0"/>
      <w:bookmarkEnd w:id="11"/>
      <w:r>
        <w:rPr>
          <w:rFonts w:ascii="Times New Roman" w:eastAsia="Times New Roman" w:hAnsi="Times New Roman" w:cs="Times New Roman"/>
          <w:b/>
          <w:bCs/>
          <w:color w:val="000000"/>
          <w:sz w:val="24"/>
          <w:szCs w:val="24"/>
        </w:rPr>
        <w:t>2.3. TPACK as a capability logic for faculty enactment and institutional scalability</w:t>
      </w:r>
    </w:p>
    <w:p w14:paraId="45E1B82B" w14:textId="77777777" w:rsidR="001D657D" w:rsidRDefault="00BF73B7">
      <w:pPr>
        <w:spacing w:after="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Technological Pedagogical Content Knowledge (TPACK) is a teacher-knowledge framework that explains effectiv</w:t>
      </w:r>
      <w:r>
        <w:rPr>
          <w:rFonts w:ascii="Times New Roman" w:eastAsia="Times New Roman" w:hAnsi="Times New Roman" w:cs="Times New Roman"/>
          <w:sz w:val="22"/>
          <w:szCs w:val="22"/>
        </w:rPr>
        <w:t xml:space="preserve">e technology integration as situated professional knowledge formed through the interaction of content knowledge, pedagogical knowledge, and technological knowledge (Mishra &amp; Koehler, 2006). In competency-based online graduate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TPACK functions as</w:t>
      </w:r>
      <w:r>
        <w:rPr>
          <w:rFonts w:ascii="Times New Roman" w:eastAsia="Times New Roman" w:hAnsi="Times New Roman" w:cs="Times New Roman"/>
          <w:sz w:val="22"/>
          <w:szCs w:val="22"/>
        </w:rPr>
        <w:t xml:space="preserve"> a capability constraint: the most elegant competency map collapses if faculty cannot design digitally mediated learning tasks and assessments that validly elicit competency evidence. A second-order review of TPACK reviews argues that persistent conceptual</w:t>
      </w:r>
      <w:r>
        <w:rPr>
          <w:rFonts w:ascii="Times New Roman" w:eastAsia="Times New Roman" w:hAnsi="Times New Roman" w:cs="Times New Roman"/>
          <w:sz w:val="22"/>
          <w:szCs w:val="22"/>
        </w:rPr>
        <w:t xml:space="preserve"> and methodological issues remain unresolved and that TPACK research must account for its complex, situated, and dynamic nature (Schmid et al., 2024). This supports an institutional interpretation: faculty development cannot be reduced to platform training</w:t>
      </w:r>
      <w:r>
        <w:rPr>
          <w:rFonts w:ascii="Times New Roman" w:eastAsia="Times New Roman" w:hAnsi="Times New Roman" w:cs="Times New Roman"/>
          <w:sz w:val="22"/>
          <w:szCs w:val="22"/>
        </w:rPr>
        <w:t xml:space="preserve">; it must develop situated design judgment for </w:t>
      </w:r>
      <w:r>
        <w:rPr>
          <w:rFonts w:ascii="Times New Roman" w:eastAsia="Times New Roman" w:hAnsi="Times New Roman" w:cs="Times New Roman"/>
          <w:sz w:val="22"/>
          <w:szCs w:val="22"/>
        </w:rPr>
        <w:lastRenderedPageBreak/>
        <w:t>alignment, interaction, and assessment in digital contexts.</w:t>
      </w:r>
    </w:p>
    <w:p w14:paraId="7F631991"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2" w:name="_imspr8f5kv65" w:colFirst="0" w:colLast="0"/>
      <w:bookmarkEnd w:id="12"/>
      <w:r>
        <w:rPr>
          <w:rFonts w:ascii="Times New Roman" w:eastAsia="Times New Roman" w:hAnsi="Times New Roman" w:cs="Times New Roman"/>
          <w:b/>
          <w:bCs/>
          <w:color w:val="000000"/>
          <w:sz w:val="24"/>
          <w:szCs w:val="24"/>
        </w:rPr>
        <w:t>2.4. Integrated analytical model</w:t>
      </w:r>
    </w:p>
    <w:p w14:paraId="17D8C89D" w14:textId="77777777" w:rsidR="001D657D" w:rsidRDefault="00BF73B7">
      <w:pPr>
        <w:spacing w:after="0" w:line="276" w:lineRule="auto"/>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num="2" w:space="720" w:equalWidth="0">
            <w:col w:w="4680" w:space="720"/>
            <w:col w:w="4680" w:space="0"/>
          </w:cols>
        </w:sectPr>
      </w:pPr>
      <w:r>
        <w:rPr>
          <w:rFonts w:ascii="Times New Roman" w:eastAsia="Times New Roman" w:hAnsi="Times New Roman" w:cs="Times New Roman"/>
          <w:sz w:val="22"/>
          <w:szCs w:val="22"/>
        </w:rPr>
        <w:t xml:space="preserve">Synthesizing these frameworks yields an integrated model with five interdependent design </w:t>
      </w:r>
      <w:r>
        <w:rPr>
          <w:rFonts w:ascii="Times New Roman" w:eastAsia="Times New Roman" w:hAnsi="Times New Roman" w:cs="Times New Roman"/>
          <w:sz w:val="22"/>
          <w:szCs w:val="22"/>
        </w:rPr>
        <w:t xml:space="preserve">layers: competency conceptualization, curricular </w:t>
      </w:r>
      <w:r>
        <w:rPr>
          <w:rFonts w:ascii="Times New Roman" w:eastAsia="Times New Roman" w:hAnsi="Times New Roman" w:cs="Times New Roman"/>
          <w:sz w:val="22"/>
          <w:szCs w:val="22"/>
        </w:rPr>
        <w:t>architecture, pedagogy and interaction, assessment evidence chains, and institutional capability and governance. In this model, curriculum, platform, pedagogy, and quality assurance are treated as mutually c</w:t>
      </w:r>
      <w:r>
        <w:rPr>
          <w:rFonts w:ascii="Times New Roman" w:eastAsia="Times New Roman" w:hAnsi="Times New Roman" w:cs="Times New Roman"/>
          <w:sz w:val="22"/>
          <w:szCs w:val="22"/>
        </w:rPr>
        <w:t>onditioning rather than sequentially independent domains.</w:t>
      </w:r>
    </w:p>
    <w:p w14:paraId="7294E91A" w14:textId="77777777" w:rsidR="001D657D" w:rsidRDefault="00BF73B7">
      <w:pPr>
        <w:spacing w:after="0"/>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7A1F4DDB" wp14:editId="1DFABABB">
            <wp:extent cx="5943600" cy="213036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b="20406"/>
                    <a:stretch>
                      <a:fillRect/>
                    </a:stretch>
                  </pic:blipFill>
                  <pic:spPr>
                    <a:xfrm>
                      <a:off x="0" y="0"/>
                      <a:ext cx="5943600" cy="2130360"/>
                    </a:xfrm>
                    <a:prstGeom prst="rect">
                      <a:avLst/>
                    </a:prstGeom>
                    <a:ln/>
                  </pic:spPr>
                </pic:pic>
              </a:graphicData>
            </a:graphic>
          </wp:inline>
        </w:drawing>
      </w:r>
    </w:p>
    <w:p w14:paraId="55BF81E1" w14:textId="77777777" w:rsidR="001D657D" w:rsidRDefault="00BF73B7">
      <w:pPr>
        <w:spacing w:after="240"/>
        <w:jc w:val="both"/>
        <w:rPr>
          <w:rFonts w:ascii="Times New Roman" w:eastAsia="Times New Roman" w:hAnsi="Times New Roman" w:cs="Times New Roman"/>
          <w:b/>
          <w:bCs/>
          <w:sz w:val="28"/>
          <w:szCs w:val="28"/>
        </w:rPr>
        <w:sectPr w:rsidR="001D657D">
          <w:type w:val="continuous"/>
          <w:pgSz w:w="12240" w:h="15840"/>
          <w:pgMar w:top="1008" w:right="1080" w:bottom="1008" w:left="1080" w:header="720" w:footer="720" w:gutter="0"/>
          <w:cols w:space="720"/>
        </w:sectPr>
      </w:pPr>
      <w:r>
        <w:rPr>
          <w:rFonts w:ascii="Times New Roman" w:eastAsia="Times New Roman" w:hAnsi="Times New Roman" w:cs="Times New Roman"/>
          <w:i/>
          <w:iCs/>
          <w:sz w:val="20"/>
          <w:szCs w:val="20"/>
        </w:rPr>
        <w:t xml:space="preserve">Figure 1: Integrated analytical model derived from the manuscript's theoretical framework. The figure </w:t>
      </w:r>
      <w:proofErr w:type="spellStart"/>
      <w:r>
        <w:rPr>
          <w:rFonts w:ascii="Times New Roman" w:eastAsia="Times New Roman" w:hAnsi="Times New Roman" w:cs="Times New Roman"/>
          <w:i/>
          <w:iCs/>
          <w:sz w:val="20"/>
          <w:szCs w:val="20"/>
        </w:rPr>
        <w:t>visualises</w:t>
      </w:r>
      <w:proofErr w:type="spellEnd"/>
      <w:r>
        <w:rPr>
          <w:rFonts w:ascii="Times New Roman" w:eastAsia="Times New Roman" w:hAnsi="Times New Roman" w:cs="Times New Roman"/>
          <w:i/>
          <w:iCs/>
          <w:sz w:val="20"/>
          <w:szCs w:val="20"/>
        </w:rPr>
        <w:t xml:space="preserve"> the five interdependent design layers identified in Section 2.4 and clar</w:t>
      </w:r>
      <w:r>
        <w:rPr>
          <w:rFonts w:ascii="Times New Roman" w:eastAsia="Times New Roman" w:hAnsi="Times New Roman" w:cs="Times New Roman"/>
          <w:i/>
          <w:iCs/>
          <w:sz w:val="20"/>
          <w:szCs w:val="20"/>
        </w:rPr>
        <w:t xml:space="preserve">ifies the paper's core claim that competency </w:t>
      </w:r>
      <w:proofErr w:type="spellStart"/>
      <w:r>
        <w:rPr>
          <w:rFonts w:ascii="Times New Roman" w:eastAsia="Times New Roman" w:hAnsi="Times New Roman" w:cs="Times New Roman"/>
          <w:i/>
          <w:iCs/>
          <w:sz w:val="20"/>
          <w:szCs w:val="20"/>
        </w:rPr>
        <w:t>conceptualisation</w:t>
      </w:r>
      <w:proofErr w:type="spellEnd"/>
      <w:r>
        <w:rPr>
          <w:rFonts w:ascii="Times New Roman" w:eastAsia="Times New Roman" w:hAnsi="Times New Roman" w:cs="Times New Roman"/>
          <w:i/>
          <w:iCs/>
          <w:sz w:val="20"/>
          <w:szCs w:val="20"/>
        </w:rPr>
        <w:t>, curricular architecture, pedagogy and interaction, assessment evidence chains, and institutional capability and governance are mutually conditioning rather than sequentially independent domain</w:t>
      </w:r>
      <w:r>
        <w:rPr>
          <w:rFonts w:ascii="Times New Roman" w:eastAsia="Times New Roman" w:hAnsi="Times New Roman" w:cs="Times New Roman"/>
          <w:i/>
          <w:iCs/>
          <w:sz w:val="20"/>
          <w:szCs w:val="20"/>
        </w:rPr>
        <w:t>s.</w:t>
      </w:r>
    </w:p>
    <w:p w14:paraId="2EE68342" w14:textId="77777777" w:rsidR="001D657D" w:rsidRDefault="00BF73B7">
      <w:pPr>
        <w:pStyle w:val="Heading2"/>
        <w:keepNext w:val="0"/>
        <w:keepLines w:val="0"/>
        <w:numPr>
          <w:ilvl w:val="0"/>
          <w:numId w:val="1"/>
        </w:numPr>
        <w:spacing w:before="360" w:line="276" w:lineRule="auto"/>
        <w:jc w:val="both"/>
        <w:rPr>
          <w:rFonts w:ascii="Times New Roman" w:eastAsia="Times New Roman" w:hAnsi="Times New Roman" w:cs="Times New Roman"/>
          <w:b/>
          <w:bCs/>
          <w:sz w:val="28"/>
          <w:szCs w:val="28"/>
        </w:rPr>
      </w:pPr>
      <w:bookmarkStart w:id="13" w:name="_ydo37wzechpc" w:colFirst="0" w:colLast="0"/>
      <w:bookmarkEnd w:id="13"/>
      <w:r>
        <w:rPr>
          <w:rFonts w:ascii="Times New Roman" w:eastAsia="Times New Roman" w:hAnsi="Times New Roman" w:cs="Times New Roman"/>
          <w:b/>
          <w:bCs/>
          <w:color w:val="000000"/>
          <w:sz w:val="28"/>
          <w:szCs w:val="28"/>
        </w:rPr>
        <w:t>Methodology</w:t>
      </w:r>
    </w:p>
    <w:p w14:paraId="5C4651BE"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4" w:name="_101tupbowo2j" w:colFirst="0" w:colLast="0"/>
      <w:bookmarkEnd w:id="14"/>
      <w:r>
        <w:rPr>
          <w:rFonts w:ascii="Times New Roman" w:eastAsia="Times New Roman" w:hAnsi="Times New Roman" w:cs="Times New Roman"/>
          <w:b/>
          <w:bCs/>
          <w:color w:val="000000"/>
          <w:sz w:val="24"/>
          <w:szCs w:val="24"/>
        </w:rPr>
        <w:t>3.1. Design justification and methodological orientation</w:t>
      </w:r>
    </w:p>
    <w:p w14:paraId="10BACCE7"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scoping review design was selected because the field is conceptually heterogeneous, spans empirical studies, evidence syntheses, policy texts, and implementation reports, and </w:t>
      </w:r>
      <w:r>
        <w:rPr>
          <w:rFonts w:ascii="Times New Roman" w:eastAsia="Times New Roman" w:hAnsi="Times New Roman" w:cs="Times New Roman"/>
          <w:sz w:val="22"/>
          <w:szCs w:val="22"/>
        </w:rPr>
        <w:t>requires mapping rather than effect-size aggregation. The review followed current JBI guidance for scoping reviews. Methodologically, it pursued breadth with discipline by using explicit PCC-based eligibility criteria, staged source selection, structured d</w:t>
      </w:r>
      <w:r>
        <w:rPr>
          <w:rFonts w:ascii="Times New Roman" w:eastAsia="Times New Roman" w:hAnsi="Times New Roman" w:cs="Times New Roman"/>
          <w:sz w:val="22"/>
          <w:szCs w:val="22"/>
        </w:rPr>
        <w:t>ata charting, and a clear distinction between descriptive mapping and interpretive inference (</w:t>
      </w:r>
      <w:proofErr w:type="spellStart"/>
      <w:r>
        <w:rPr>
          <w:rFonts w:ascii="Times New Roman" w:eastAsia="Times New Roman" w:hAnsi="Times New Roman" w:cs="Times New Roman"/>
          <w:sz w:val="22"/>
          <w:szCs w:val="22"/>
        </w:rPr>
        <w:t>Aromataris</w:t>
      </w:r>
      <w:proofErr w:type="spellEnd"/>
      <w:r>
        <w:rPr>
          <w:rFonts w:ascii="Times New Roman" w:eastAsia="Times New Roman" w:hAnsi="Times New Roman" w:cs="Times New Roman"/>
          <w:sz w:val="22"/>
          <w:szCs w:val="22"/>
        </w:rPr>
        <w:t xml:space="preserve"> et al., 2024; Peters et al., 2021).</w:t>
      </w:r>
    </w:p>
    <w:p w14:paraId="69537C74"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5" w:name="_j9q3g7vb2gk1" w:colFirst="0" w:colLast="0"/>
      <w:bookmarkEnd w:id="15"/>
      <w:r>
        <w:rPr>
          <w:rFonts w:ascii="Times New Roman" w:eastAsia="Times New Roman" w:hAnsi="Times New Roman" w:cs="Times New Roman"/>
          <w:b/>
          <w:bCs/>
          <w:color w:val="000000"/>
          <w:sz w:val="24"/>
          <w:szCs w:val="24"/>
        </w:rPr>
        <w:t>3.2. PCC framework</w:t>
      </w:r>
    </w:p>
    <w:p w14:paraId="42DA535E"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Population:</w:t>
      </w:r>
      <w:r>
        <w:rPr>
          <w:rFonts w:ascii="Times New Roman" w:eastAsia="Times New Roman" w:hAnsi="Times New Roman" w:cs="Times New Roman"/>
          <w:sz w:val="22"/>
          <w:szCs w:val="22"/>
        </w:rPr>
        <w:t xml:space="preserve"> graduate learners, faculty, instructional designers, supervisors or advisors, and </w:t>
      </w:r>
      <w:proofErr w:type="spellStart"/>
      <w:r>
        <w:rPr>
          <w:rFonts w:ascii="Times New Roman" w:eastAsia="Times New Roman" w:hAnsi="Times New Roman" w:cs="Times New Roman"/>
          <w:sz w:val="22"/>
          <w:szCs w:val="22"/>
        </w:rPr>
        <w:t>pr</w:t>
      </w:r>
      <w:r>
        <w:rPr>
          <w:rFonts w:ascii="Times New Roman" w:eastAsia="Times New Roman" w:hAnsi="Times New Roman" w:cs="Times New Roman"/>
          <w:sz w:val="22"/>
          <w:szCs w:val="22"/>
        </w:rPr>
        <w:t>ogramme</w:t>
      </w:r>
      <w:proofErr w:type="spellEnd"/>
      <w:r>
        <w:rPr>
          <w:rFonts w:ascii="Times New Roman" w:eastAsia="Times New Roman" w:hAnsi="Times New Roman" w:cs="Times New Roman"/>
          <w:sz w:val="22"/>
          <w:szCs w:val="22"/>
        </w:rPr>
        <w:t xml:space="preserve"> leaders engaged in online graduate education, including organizational actors responsible for governance and quality assurance. </w:t>
      </w:r>
      <w:r>
        <w:rPr>
          <w:rFonts w:ascii="Times New Roman" w:eastAsia="Times New Roman" w:hAnsi="Times New Roman" w:cs="Times New Roman"/>
          <w:b/>
          <w:bCs/>
          <w:i/>
          <w:iCs/>
          <w:sz w:val="22"/>
          <w:szCs w:val="22"/>
        </w:rPr>
        <w:t>Concept:</w:t>
      </w:r>
      <w:r>
        <w:rPr>
          <w:rFonts w:ascii="Times New Roman" w:eastAsia="Times New Roman" w:hAnsi="Times New Roman" w:cs="Times New Roman"/>
          <w:sz w:val="22"/>
          <w:szCs w:val="22"/>
        </w:rPr>
        <w:t xml:space="preserve"> competency-based curriculum design, including </w:t>
      </w:r>
      <w:r>
        <w:rPr>
          <w:rFonts w:ascii="Times New Roman" w:eastAsia="Times New Roman" w:hAnsi="Times New Roman" w:cs="Times New Roman"/>
          <w:sz w:val="22"/>
          <w:szCs w:val="22"/>
        </w:rPr>
        <w:t>competency definition, curriculum architecture, assessment design</w:t>
      </w:r>
      <w:r>
        <w:rPr>
          <w:rFonts w:ascii="Times New Roman" w:eastAsia="Times New Roman" w:hAnsi="Times New Roman" w:cs="Times New Roman"/>
          <w:sz w:val="22"/>
          <w:szCs w:val="22"/>
        </w:rPr>
        <w:t xml:space="preserve">, evidence capture, feedback, and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-level improvement logic. </w:t>
      </w:r>
      <w:r>
        <w:rPr>
          <w:rFonts w:ascii="Times New Roman" w:eastAsia="Times New Roman" w:hAnsi="Times New Roman" w:cs="Times New Roman"/>
          <w:b/>
          <w:bCs/>
          <w:i/>
          <w:iCs/>
          <w:sz w:val="22"/>
          <w:szCs w:val="22"/>
        </w:rPr>
        <w:t xml:space="preserve">Context: </w:t>
      </w:r>
      <w:r>
        <w:rPr>
          <w:rFonts w:ascii="Times New Roman" w:eastAsia="Times New Roman" w:hAnsi="Times New Roman" w:cs="Times New Roman"/>
          <w:sz w:val="22"/>
          <w:szCs w:val="22"/>
        </w:rPr>
        <w:t>online, blended, hybrid, and digitally mediated graduate education in higher education, with interpretive attention to emerging African universities operating under digital trans</w:t>
      </w:r>
      <w:r>
        <w:rPr>
          <w:rFonts w:ascii="Times New Roman" w:eastAsia="Times New Roman" w:hAnsi="Times New Roman" w:cs="Times New Roman"/>
          <w:sz w:val="22"/>
          <w:szCs w:val="22"/>
        </w:rPr>
        <w:t>formation agendas.</w:t>
      </w:r>
    </w:p>
    <w:p w14:paraId="4CBD2633"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6" w:name="_mbdt3xtztypw" w:colFirst="0" w:colLast="0"/>
      <w:bookmarkEnd w:id="16"/>
      <w:r>
        <w:rPr>
          <w:rFonts w:ascii="Times New Roman" w:eastAsia="Times New Roman" w:hAnsi="Times New Roman" w:cs="Times New Roman"/>
          <w:b/>
          <w:bCs/>
          <w:color w:val="000000"/>
          <w:sz w:val="24"/>
          <w:szCs w:val="24"/>
        </w:rPr>
        <w:t>3.3. Eligibility criteria</w:t>
      </w:r>
    </w:p>
    <w:p w14:paraId="0F6F3F55"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Eligible evidence includes peer-reviewed empirical studies and evidence syntheses that address competency-based curriculum design in online higher education with explicit relevance to graduate education, as well</w:t>
      </w:r>
      <w:r>
        <w:rPr>
          <w:rFonts w:ascii="Times New Roman" w:eastAsia="Times New Roman" w:hAnsi="Times New Roman" w:cs="Times New Roman"/>
          <w:sz w:val="22"/>
          <w:szCs w:val="22"/>
        </w:rPr>
        <w:t xml:space="preserve"> as authoritative policy and quality assurance documents directly relevant to digital higher education governance (Peters et al., 2021; Staring et al., 2022). Because graduate-specific evidence is uneven, studies in broader higher education contexts are co</w:t>
      </w:r>
      <w:r>
        <w:rPr>
          <w:rFonts w:ascii="Times New Roman" w:eastAsia="Times New Roman" w:hAnsi="Times New Roman" w:cs="Times New Roman"/>
          <w:sz w:val="22"/>
          <w:szCs w:val="22"/>
        </w:rPr>
        <w:t xml:space="preserve">nsidered when they provide transferable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-level insights for graduate design, for example in relation to alignment frameworks, LMS evidence workflows, or faculty capability models. Purely emergency remote teaching studies without durable design imp</w:t>
      </w:r>
      <w:r>
        <w:rPr>
          <w:rFonts w:ascii="Times New Roman" w:eastAsia="Times New Roman" w:hAnsi="Times New Roman" w:cs="Times New Roman"/>
          <w:sz w:val="22"/>
          <w:szCs w:val="22"/>
        </w:rPr>
        <w:t xml:space="preserve">lications are </w:t>
      </w:r>
      <w:r>
        <w:rPr>
          <w:rFonts w:ascii="Times New Roman" w:eastAsia="Times New Roman" w:hAnsi="Times New Roman" w:cs="Times New Roman"/>
          <w:sz w:val="22"/>
          <w:szCs w:val="22"/>
        </w:rPr>
        <w:lastRenderedPageBreak/>
        <w:t xml:space="preserve">treated as out of scope, consistent with the aim of mapping sustainable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design rather than crisis improvisation (van </w:t>
      </w:r>
      <w:proofErr w:type="spellStart"/>
      <w:r>
        <w:rPr>
          <w:rFonts w:ascii="Times New Roman" w:eastAsia="Times New Roman" w:hAnsi="Times New Roman" w:cs="Times New Roman"/>
          <w:sz w:val="22"/>
          <w:szCs w:val="22"/>
        </w:rPr>
        <w:t>Dorresteijn</w:t>
      </w:r>
      <w:proofErr w:type="spellEnd"/>
      <w:r>
        <w:rPr>
          <w:rFonts w:ascii="Times New Roman" w:eastAsia="Times New Roman" w:hAnsi="Times New Roman" w:cs="Times New Roman"/>
          <w:sz w:val="22"/>
          <w:szCs w:val="22"/>
        </w:rPr>
        <w:t xml:space="preserve"> et al., 2025).</w:t>
      </w:r>
    </w:p>
    <w:p w14:paraId="39DD5A53"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7" w:name="_59lynzpukwnx" w:colFirst="0" w:colLast="0"/>
      <w:bookmarkEnd w:id="17"/>
      <w:r>
        <w:rPr>
          <w:rFonts w:ascii="Times New Roman" w:eastAsia="Times New Roman" w:hAnsi="Times New Roman" w:cs="Times New Roman"/>
          <w:b/>
          <w:bCs/>
          <w:color w:val="000000"/>
          <w:sz w:val="24"/>
          <w:szCs w:val="24"/>
        </w:rPr>
        <w:t>3.4. Information sources and search strategy</w:t>
      </w:r>
    </w:p>
    <w:p w14:paraId="7BDEEFB3"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search strategy follows JBI expectation</w:t>
      </w:r>
      <w:r>
        <w:rPr>
          <w:rFonts w:ascii="Times New Roman" w:eastAsia="Times New Roman" w:hAnsi="Times New Roman" w:cs="Times New Roman"/>
          <w:sz w:val="22"/>
          <w:szCs w:val="22"/>
        </w:rPr>
        <w:t>s of transparent and reproducible searching, combining database searching with targeted retrieval of authoritative institutional and intergovernmental documents relevant to digital higher education quality assurance and African digital education strategy (</w:t>
      </w:r>
      <w:r>
        <w:rPr>
          <w:rFonts w:ascii="Times New Roman" w:eastAsia="Times New Roman" w:hAnsi="Times New Roman" w:cs="Times New Roman"/>
          <w:sz w:val="22"/>
          <w:szCs w:val="22"/>
        </w:rPr>
        <w:t>Peters et al., 2021). Searches are structured around competency language, curriculum and assessment terms, online learning terms, and graduate education terms. The full database-specific search strings are reproduced in Appendix A, and the data-charting te</w:t>
      </w:r>
      <w:r>
        <w:rPr>
          <w:rFonts w:ascii="Times New Roman" w:eastAsia="Times New Roman" w:hAnsi="Times New Roman" w:cs="Times New Roman"/>
          <w:sz w:val="22"/>
          <w:szCs w:val="22"/>
        </w:rPr>
        <w:t>mplate is provided in Appendix B (both available in the manuscript supplementary materials uploaded to the manuscript’s OSF project, see link in the data availability statement).</w:t>
      </w:r>
    </w:p>
    <w:p w14:paraId="329EA628"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8" w:name="_7unejcbpaqap" w:colFirst="0" w:colLast="0"/>
      <w:bookmarkEnd w:id="18"/>
      <w:r>
        <w:rPr>
          <w:rFonts w:ascii="Times New Roman" w:eastAsia="Times New Roman" w:hAnsi="Times New Roman" w:cs="Times New Roman"/>
          <w:b/>
          <w:bCs/>
          <w:color w:val="000000"/>
          <w:sz w:val="24"/>
          <w:szCs w:val="24"/>
        </w:rPr>
        <w:t>3.5. Screening process and data charting</w:t>
      </w:r>
    </w:p>
    <w:p w14:paraId="0B591763"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Screening proceeded in staged fashio</w:t>
      </w:r>
      <w:r>
        <w:rPr>
          <w:rFonts w:ascii="Times New Roman" w:eastAsia="Times New Roman" w:hAnsi="Times New Roman" w:cs="Times New Roman"/>
          <w:sz w:val="22"/>
          <w:szCs w:val="22"/>
        </w:rPr>
        <w:t>n, from title and abstract review to full-text assessment, against PCC-aligned eligibility criteria, with documented inclusion logic and exclusion decisions where these were necessary for analytic clarity (Peters et al., 2021). Data charting used a structu</w:t>
      </w:r>
      <w:r>
        <w:rPr>
          <w:rFonts w:ascii="Times New Roman" w:eastAsia="Times New Roman" w:hAnsi="Times New Roman" w:cs="Times New Roman"/>
          <w:sz w:val="22"/>
          <w:szCs w:val="22"/>
        </w:rPr>
        <w:t xml:space="preserve">red form capturing bibliographic metadata, region, educational level, delivery mode, competency conceptualization, curriculum architecture features, assessment models, LMS and digital infrastructure implications, faculty development components, governance </w:t>
      </w:r>
      <w:r>
        <w:rPr>
          <w:rFonts w:ascii="Times New Roman" w:eastAsia="Times New Roman" w:hAnsi="Times New Roman" w:cs="Times New Roman"/>
          <w:sz w:val="22"/>
          <w:szCs w:val="22"/>
        </w:rPr>
        <w:t>and quality assurance dimensions, reported tensions or contradictions, and stated or inferable relevance to emerging African universities.</w:t>
      </w:r>
    </w:p>
    <w:p w14:paraId="73E2F60C"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9" w:name="_j8zd5jhbjvlt" w:colFirst="0" w:colLast="0"/>
      <w:bookmarkEnd w:id="19"/>
      <w:r>
        <w:rPr>
          <w:rFonts w:ascii="Times New Roman" w:eastAsia="Times New Roman" w:hAnsi="Times New Roman" w:cs="Times New Roman"/>
          <w:b/>
          <w:bCs/>
          <w:color w:val="000000"/>
          <w:sz w:val="24"/>
          <w:szCs w:val="24"/>
        </w:rPr>
        <w:t>3.6. Quality appraisal approach</w:t>
      </w:r>
    </w:p>
    <w:p w14:paraId="65061654"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Consistent with JBI guidance, methodological appraisal was used to calibrate </w:t>
      </w:r>
      <w:r>
        <w:rPr>
          <w:rFonts w:ascii="Times New Roman" w:eastAsia="Times New Roman" w:hAnsi="Times New Roman" w:cs="Times New Roman"/>
          <w:sz w:val="22"/>
          <w:szCs w:val="22"/>
        </w:rPr>
        <w:t>interpretive confidence rather than to impose a rigid exclusion rule (Peters et al., 2021). Empirical studies were therefore read not as equivalent units of evidence but as differently weighted contributions to the synthesis, with greater interpretive caut</w:t>
      </w:r>
      <w:r>
        <w:rPr>
          <w:rFonts w:ascii="Times New Roman" w:eastAsia="Times New Roman" w:hAnsi="Times New Roman" w:cs="Times New Roman"/>
          <w:sz w:val="22"/>
          <w:szCs w:val="22"/>
        </w:rPr>
        <w:t xml:space="preserve">ion applied where research design, sampling, or analytic transparency were weak. In this review, appraisal supported </w:t>
      </w:r>
      <w:r>
        <w:rPr>
          <w:rFonts w:ascii="Times New Roman" w:eastAsia="Times New Roman" w:hAnsi="Times New Roman" w:cs="Times New Roman"/>
          <w:sz w:val="22"/>
          <w:szCs w:val="22"/>
        </w:rPr>
        <w:t>judgment about the strength of inferences, especially where curriculum, policy, and governance implications were derived from uneven eviden</w:t>
      </w:r>
      <w:r>
        <w:rPr>
          <w:rFonts w:ascii="Times New Roman" w:eastAsia="Times New Roman" w:hAnsi="Times New Roman" w:cs="Times New Roman"/>
          <w:sz w:val="22"/>
          <w:szCs w:val="22"/>
        </w:rPr>
        <w:t>ce.</w:t>
      </w:r>
    </w:p>
    <w:p w14:paraId="35938AFA"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0" w:name="_wqx94dwrgon2" w:colFirst="0" w:colLast="0"/>
      <w:bookmarkEnd w:id="20"/>
      <w:r>
        <w:rPr>
          <w:rFonts w:ascii="Times New Roman" w:eastAsia="Times New Roman" w:hAnsi="Times New Roman" w:cs="Times New Roman"/>
          <w:b/>
          <w:bCs/>
          <w:color w:val="000000"/>
          <w:sz w:val="24"/>
          <w:szCs w:val="24"/>
        </w:rPr>
        <w:t>3.7. Synthesis strategy and trustworthiness</w:t>
      </w:r>
    </w:p>
    <w:p w14:paraId="78477953"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Synthesis is conducted as a thematic mapping aligned to the review's analytic frame: competency conceptualization, curriculum architecture, assessment models, online pedagogical structures, LMS and learning a</w:t>
      </w:r>
      <w:r>
        <w:rPr>
          <w:rFonts w:ascii="Times New Roman" w:eastAsia="Times New Roman" w:hAnsi="Times New Roman" w:cs="Times New Roman"/>
          <w:sz w:val="22"/>
          <w:szCs w:val="22"/>
        </w:rPr>
        <w:t>nalytics affordances, faculty development models, and quality assurance and governance patterns. Trustworthiness was strengthened through explicit eligibility criteria, structured data charting, source triangulation across empirical and policy materials, a</w:t>
      </w:r>
      <w:r>
        <w:rPr>
          <w:rFonts w:ascii="Times New Roman" w:eastAsia="Times New Roman" w:hAnsi="Times New Roman" w:cs="Times New Roman"/>
          <w:sz w:val="22"/>
          <w:szCs w:val="22"/>
        </w:rPr>
        <w:t>nd disciplined separation of evidence from inference (</w:t>
      </w:r>
      <w:proofErr w:type="spellStart"/>
      <w:r>
        <w:rPr>
          <w:rFonts w:ascii="Times New Roman" w:eastAsia="Times New Roman" w:hAnsi="Times New Roman" w:cs="Times New Roman"/>
          <w:sz w:val="22"/>
          <w:szCs w:val="22"/>
        </w:rPr>
        <w:t>Aromataris</w:t>
      </w:r>
      <w:proofErr w:type="spellEnd"/>
      <w:r>
        <w:rPr>
          <w:rFonts w:ascii="Times New Roman" w:eastAsia="Times New Roman" w:hAnsi="Times New Roman" w:cs="Times New Roman"/>
          <w:sz w:val="22"/>
          <w:szCs w:val="22"/>
        </w:rPr>
        <w:t xml:space="preserve"> et al., 2024; Peters et al., 2021).</w:t>
      </w:r>
    </w:p>
    <w:p w14:paraId="6906638E" w14:textId="77777777" w:rsidR="001D657D" w:rsidRDefault="00BF73B7">
      <w:pPr>
        <w:pStyle w:val="Heading2"/>
        <w:keepNext w:val="0"/>
        <w:keepLines w:val="0"/>
        <w:numPr>
          <w:ilvl w:val="0"/>
          <w:numId w:val="1"/>
        </w:numPr>
        <w:spacing w:before="360" w:line="276" w:lineRule="auto"/>
        <w:jc w:val="both"/>
        <w:rPr>
          <w:rFonts w:ascii="Times New Roman" w:eastAsia="Times New Roman" w:hAnsi="Times New Roman" w:cs="Times New Roman"/>
          <w:b/>
          <w:bCs/>
          <w:sz w:val="28"/>
          <w:szCs w:val="28"/>
        </w:rPr>
      </w:pPr>
      <w:bookmarkStart w:id="21" w:name="_hfwj45wrgs5f" w:colFirst="0" w:colLast="0"/>
      <w:bookmarkEnd w:id="21"/>
      <w:r>
        <w:rPr>
          <w:rFonts w:ascii="Times New Roman" w:eastAsia="Times New Roman" w:hAnsi="Times New Roman" w:cs="Times New Roman"/>
          <w:b/>
          <w:bCs/>
          <w:color w:val="000000"/>
          <w:sz w:val="28"/>
          <w:szCs w:val="28"/>
        </w:rPr>
        <w:t>Results</w:t>
      </w:r>
    </w:p>
    <w:p w14:paraId="352628E9" w14:textId="77777777" w:rsidR="001D657D" w:rsidRDefault="00BF73B7">
      <w:pPr>
        <w:pStyle w:val="Heading3"/>
        <w:keepNext w:val="0"/>
        <w:keepLines w:val="0"/>
        <w:spacing w:before="0" w:after="0" w:line="276" w:lineRule="auto"/>
        <w:jc w:val="both"/>
        <w:rPr>
          <w:rFonts w:ascii="Times New Roman" w:eastAsia="Times New Roman" w:hAnsi="Times New Roman" w:cs="Times New Roman"/>
          <w:b/>
          <w:bCs/>
          <w:color w:val="000000"/>
          <w:sz w:val="24"/>
          <w:szCs w:val="24"/>
        </w:rPr>
      </w:pPr>
      <w:bookmarkStart w:id="22" w:name="_l75tsydz13up" w:colFirst="0" w:colLast="0"/>
      <w:bookmarkEnd w:id="22"/>
      <w:r>
        <w:rPr>
          <w:rFonts w:ascii="Times New Roman" w:eastAsia="Times New Roman" w:hAnsi="Times New Roman" w:cs="Times New Roman"/>
          <w:b/>
          <w:bCs/>
          <w:color w:val="000000"/>
          <w:sz w:val="24"/>
          <w:szCs w:val="24"/>
        </w:rPr>
        <w:t>4.1. Conceptualizations of competency</w:t>
      </w:r>
    </w:p>
    <w:p w14:paraId="13FC42D2"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Across the mapped literature, competency is repeatedly treated as a high-stakes but conceptually unstable con</w:t>
      </w:r>
      <w:r>
        <w:rPr>
          <w:rFonts w:ascii="Times New Roman" w:eastAsia="Times New Roman" w:hAnsi="Times New Roman" w:cs="Times New Roman"/>
          <w:sz w:val="22"/>
          <w:szCs w:val="22"/>
        </w:rPr>
        <w:t>struct in higher education. In competence-oriented higher education synthesis, ambiguous terminology and inconsistent language are explicitly reported as persistent problems, not minor semantic issues (Brauer, 2021). The implications for online graduate ed</w:t>
      </w:r>
      <w:r>
        <w:rPr>
          <w:rFonts w:ascii="Times New Roman" w:eastAsia="Times New Roman" w:hAnsi="Times New Roman" w:cs="Times New Roman"/>
          <w:sz w:val="22"/>
          <w:szCs w:val="22"/>
        </w:rPr>
        <w:t xml:space="preserve">ucation are structural: when competency definitions remain underspecified,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designers struggle to decide whether competencies should be framed as broad graduate capacities, such as research judgment and ethical reasoning, or as atomized, observabl</w:t>
      </w:r>
      <w:r>
        <w:rPr>
          <w:rFonts w:ascii="Times New Roman" w:eastAsia="Times New Roman" w:hAnsi="Times New Roman" w:cs="Times New Roman"/>
          <w:sz w:val="22"/>
          <w:szCs w:val="22"/>
        </w:rPr>
        <w:t>e performance indicators (Brauer, 2021; Johnstone &amp; Soares, 2014).</w:t>
      </w:r>
    </w:p>
    <w:p w14:paraId="4F9C3367"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applied online CBE design work, competency is often defined pragmatically as demonstrable knowledge and skills expected to be shown as learners progress, emphasizing evidence of mastery </w:t>
      </w:r>
      <w:r>
        <w:rPr>
          <w:rFonts w:ascii="Times New Roman" w:eastAsia="Times New Roman" w:hAnsi="Times New Roman" w:cs="Times New Roman"/>
          <w:sz w:val="22"/>
          <w:szCs w:val="22"/>
        </w:rPr>
        <w:t>rather than time spent in courses (</w:t>
      </w:r>
      <w:proofErr w:type="spellStart"/>
      <w:r>
        <w:rPr>
          <w:rFonts w:ascii="Times New Roman" w:eastAsia="Times New Roman" w:hAnsi="Times New Roman" w:cs="Times New Roman"/>
          <w:sz w:val="22"/>
          <w:szCs w:val="22"/>
        </w:rPr>
        <w:t>Hadullo</w:t>
      </w:r>
      <w:proofErr w:type="spellEnd"/>
      <w:r>
        <w:rPr>
          <w:rFonts w:ascii="Times New Roman" w:eastAsia="Times New Roman" w:hAnsi="Times New Roman" w:cs="Times New Roman"/>
          <w:sz w:val="22"/>
          <w:szCs w:val="22"/>
        </w:rPr>
        <w:t>, 2021; Johnstone &amp; Soares, 2014). This pragmatic framing supports implementation but can also conceal a deeper contradiction: graduate education's epistemic aims cannot be reduced to checklists without risking cur</w:t>
      </w:r>
      <w:r>
        <w:rPr>
          <w:rFonts w:ascii="Times New Roman" w:eastAsia="Times New Roman" w:hAnsi="Times New Roman" w:cs="Times New Roman"/>
          <w:sz w:val="22"/>
          <w:szCs w:val="22"/>
        </w:rPr>
        <w:t xml:space="preserve">ricular fragmentation and assessment </w:t>
      </w:r>
      <w:r>
        <w:rPr>
          <w:rFonts w:ascii="Times New Roman" w:eastAsia="Times New Roman" w:hAnsi="Times New Roman" w:cs="Times New Roman"/>
          <w:sz w:val="22"/>
          <w:szCs w:val="22"/>
        </w:rPr>
        <w:lastRenderedPageBreak/>
        <w:t>trivialization, especially in research-oriented degrees (Brauer, 2021).</w:t>
      </w:r>
    </w:p>
    <w:p w14:paraId="366CCA57"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3" w:name="_1scoelijwi9w" w:colFirst="0" w:colLast="0"/>
      <w:bookmarkEnd w:id="23"/>
      <w:r>
        <w:rPr>
          <w:rFonts w:ascii="Times New Roman" w:eastAsia="Times New Roman" w:hAnsi="Times New Roman" w:cs="Times New Roman"/>
          <w:b/>
          <w:bCs/>
          <w:color w:val="000000"/>
          <w:sz w:val="24"/>
          <w:szCs w:val="24"/>
        </w:rPr>
        <w:t>4.2. Curriculum architecture patterns</w:t>
      </w:r>
    </w:p>
    <w:p w14:paraId="069B2FDE"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recurring architecture pattern in CBE literature is the move from course-by-course content accumulation tow</w:t>
      </w:r>
      <w:r>
        <w:rPr>
          <w:rFonts w:ascii="Times New Roman" w:eastAsia="Times New Roman" w:hAnsi="Times New Roman" w:cs="Times New Roman"/>
          <w:sz w:val="22"/>
          <w:szCs w:val="22"/>
        </w:rPr>
        <w:t xml:space="preserve">ard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-level competency frameworks that constrain sequencing, learning activities, and assessment evidence. In the Kenyan Moodle-based online CBE framework study, implementation is explicitly organized as a staged architecture: planning, design, imp</w:t>
      </w:r>
      <w:r>
        <w:rPr>
          <w:rFonts w:ascii="Times New Roman" w:eastAsia="Times New Roman" w:hAnsi="Times New Roman" w:cs="Times New Roman"/>
          <w:sz w:val="22"/>
          <w:szCs w:val="22"/>
        </w:rPr>
        <w:t>lementation, improvement, and achieving (</w:t>
      </w:r>
      <w:proofErr w:type="spellStart"/>
      <w:r>
        <w:rPr>
          <w:rFonts w:ascii="Times New Roman" w:eastAsia="Times New Roman" w:hAnsi="Times New Roman" w:cs="Times New Roman"/>
          <w:sz w:val="22"/>
          <w:szCs w:val="22"/>
        </w:rPr>
        <w:t>Hadullo</w:t>
      </w:r>
      <w:proofErr w:type="spellEnd"/>
      <w:r>
        <w:rPr>
          <w:rFonts w:ascii="Times New Roman" w:eastAsia="Times New Roman" w:hAnsi="Times New Roman" w:cs="Times New Roman"/>
          <w:sz w:val="22"/>
          <w:szCs w:val="22"/>
        </w:rPr>
        <w:t xml:space="preserve">, 2021). This staged model is analytically significant because it refuses to treat curriculum design as a one-time specification; it embeds curriculum within organizational readiness, platform configuration, </w:t>
      </w:r>
      <w:r>
        <w:rPr>
          <w:rFonts w:ascii="Times New Roman" w:eastAsia="Times New Roman" w:hAnsi="Times New Roman" w:cs="Times New Roman"/>
          <w:sz w:val="22"/>
          <w:szCs w:val="22"/>
        </w:rPr>
        <w:t>and continuous improvement loops.</w:t>
      </w:r>
    </w:p>
    <w:p w14:paraId="0A881D56"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Evidence from graduate online education synthesis provides a cautionary boundary: organizational-level themes are comparatively underrepresented in the broader graduate online education literature, implying that many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xml:space="preserve"> may be designed or studied primarily at the course level while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architecture and institutional conditions remain weakly theorized (Martin, Morse, &amp; Kumar, 2022).</w:t>
      </w:r>
    </w:p>
    <w:p w14:paraId="22DA1CDF"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4" w:name="_ygm0nwy8y8dl" w:colFirst="0" w:colLast="0"/>
      <w:bookmarkEnd w:id="24"/>
      <w:r>
        <w:rPr>
          <w:rFonts w:ascii="Times New Roman" w:eastAsia="Times New Roman" w:hAnsi="Times New Roman" w:cs="Times New Roman"/>
          <w:b/>
          <w:bCs/>
          <w:color w:val="000000"/>
          <w:sz w:val="24"/>
          <w:szCs w:val="24"/>
        </w:rPr>
        <w:t>4.3. Assessment models and evidence chains</w:t>
      </w:r>
    </w:p>
    <w:p w14:paraId="24926C6F"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Assessment emerges as the decis</w:t>
      </w:r>
      <w:r>
        <w:rPr>
          <w:rFonts w:ascii="Times New Roman" w:eastAsia="Times New Roman" w:hAnsi="Times New Roman" w:cs="Times New Roman"/>
          <w:sz w:val="22"/>
          <w:szCs w:val="22"/>
        </w:rPr>
        <w:t>ive hinge between competency rhetoric and defensible competence claims. Constructive Alignment predicts that if assessment tasks do not validly elicit the performances implied by intended outcomes, then curricula become incoherent regardless of how well ou</w:t>
      </w:r>
      <w:r>
        <w:rPr>
          <w:rFonts w:ascii="Times New Roman" w:eastAsia="Times New Roman" w:hAnsi="Times New Roman" w:cs="Times New Roman"/>
          <w:sz w:val="22"/>
          <w:szCs w:val="22"/>
        </w:rPr>
        <w:t>tcomes are written (Biggs, 1996). Empirical competency-based higher education work continues to report misalignment as a persistent weakness. Experience-report evidence on standardizing assessment in competency-based higher education emphasizes that implem</w:t>
      </w:r>
      <w:r>
        <w:rPr>
          <w:rFonts w:ascii="Times New Roman" w:eastAsia="Times New Roman" w:hAnsi="Times New Roman" w:cs="Times New Roman"/>
          <w:sz w:val="22"/>
          <w:szCs w:val="22"/>
        </w:rPr>
        <w:t>entation quality pivots on the coherence of assessment systems relative to competency structures (Vargas et al., 2025).</w:t>
      </w:r>
    </w:p>
    <w:p w14:paraId="20569480"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Graduate education adds a further constraint: valid evidence of graduate competence often requires complex, open-ended performance asses</w:t>
      </w:r>
      <w:r>
        <w:rPr>
          <w:rFonts w:ascii="Times New Roman" w:eastAsia="Times New Roman" w:hAnsi="Times New Roman" w:cs="Times New Roman"/>
          <w:sz w:val="22"/>
          <w:szCs w:val="22"/>
        </w:rPr>
        <w:t xml:space="preserve">sment, </w:t>
      </w:r>
      <w:r>
        <w:rPr>
          <w:rFonts w:ascii="Times New Roman" w:eastAsia="Times New Roman" w:hAnsi="Times New Roman" w:cs="Times New Roman"/>
          <w:sz w:val="22"/>
          <w:szCs w:val="22"/>
        </w:rPr>
        <w:t xml:space="preserve">including research proposals, portfolios, analytic writing, and authentic projects. In online environments, these assessments must be designed not only for validity but also for credible workflow feasibility, documentation, and feedback cycles, all </w:t>
      </w:r>
      <w:r>
        <w:rPr>
          <w:rFonts w:ascii="Times New Roman" w:eastAsia="Times New Roman" w:hAnsi="Times New Roman" w:cs="Times New Roman"/>
          <w:sz w:val="22"/>
          <w:szCs w:val="22"/>
        </w:rPr>
        <w:t>of which are institutionally and technically mediated (Biggs, 1996; Staring et al., 2022).</w:t>
      </w:r>
    </w:p>
    <w:p w14:paraId="348BB27D"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5" w:name="_ulp8xdud5i7g" w:colFirst="0" w:colLast="0"/>
      <w:bookmarkEnd w:id="25"/>
      <w:r>
        <w:rPr>
          <w:rFonts w:ascii="Times New Roman" w:eastAsia="Times New Roman" w:hAnsi="Times New Roman" w:cs="Times New Roman"/>
          <w:b/>
          <w:bCs/>
          <w:color w:val="000000"/>
          <w:sz w:val="24"/>
          <w:szCs w:val="24"/>
        </w:rPr>
        <w:t>4.4. Online pedagogical structures in graduate contexts</w:t>
      </w:r>
    </w:p>
    <w:p w14:paraId="6E4B43E4"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evidence base on online learning consistently demonstrates that interactional design is not optional for </w:t>
      </w:r>
      <w:r>
        <w:rPr>
          <w:rFonts w:ascii="Times New Roman" w:eastAsia="Times New Roman" w:hAnsi="Times New Roman" w:cs="Times New Roman"/>
          <w:sz w:val="22"/>
          <w:szCs w:val="22"/>
        </w:rPr>
        <w:t>deep learning. The Community of Inquiry meta-analysis reports that teaching, cognitive, and social presences are positively related to learning outcomes and satisfaction in online and blended settings (Martin, Wu, Wan, &amp; Xie, 2022). A systematic review foc</w:t>
      </w:r>
      <w:r>
        <w:rPr>
          <w:rFonts w:ascii="Times New Roman" w:eastAsia="Times New Roman" w:hAnsi="Times New Roman" w:cs="Times New Roman"/>
          <w:sz w:val="22"/>
          <w:szCs w:val="22"/>
        </w:rPr>
        <w:t>used on fostering cognitive presence sharpens this point by showing that cognitive presence is enacted through specific instructional activities that support inquiry phases rather than through content delivery alone (Moore &amp; Miller, 2022).</w:t>
      </w:r>
    </w:p>
    <w:p w14:paraId="587883E7"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creates a t</w:t>
      </w:r>
      <w:r>
        <w:rPr>
          <w:rFonts w:ascii="Times New Roman" w:eastAsia="Times New Roman" w:hAnsi="Times New Roman" w:cs="Times New Roman"/>
          <w:sz w:val="22"/>
          <w:szCs w:val="22"/>
        </w:rPr>
        <w:t>ension for competency-based online graduate designs that emphasize self-pacing and mastery progression. Self-paced structures may increase flexibility, but they can also undermine cohort-based community, sustained discourse, and feedback-rich learning cycl</w:t>
      </w:r>
      <w:r>
        <w:rPr>
          <w:rFonts w:ascii="Times New Roman" w:eastAsia="Times New Roman" w:hAnsi="Times New Roman" w:cs="Times New Roman"/>
          <w:sz w:val="22"/>
          <w:szCs w:val="22"/>
        </w:rPr>
        <w:t xml:space="preserve">es unless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architecture deliberately compensates through structured interaction designs and advising or supervision systems (Martin, Wu, Wan, &amp; Xie, 2022; Meyer et al., 2022; Moore &amp; Miller, 2022).</w:t>
      </w:r>
    </w:p>
    <w:p w14:paraId="22691B59"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6" w:name="_ra3z885n2x2" w:colFirst="0" w:colLast="0"/>
      <w:bookmarkEnd w:id="26"/>
      <w:r>
        <w:rPr>
          <w:rFonts w:ascii="Times New Roman" w:eastAsia="Times New Roman" w:hAnsi="Times New Roman" w:cs="Times New Roman"/>
          <w:b/>
          <w:bCs/>
          <w:color w:val="000000"/>
          <w:sz w:val="24"/>
          <w:szCs w:val="24"/>
        </w:rPr>
        <w:t>4.5. LMS and digital infrastructure implications</w:t>
      </w:r>
    </w:p>
    <w:p w14:paraId="354AE46C"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LMS is not a neutral container in competency-based online graduate education; it is part of the curriculum's epistemic and evidential architecture. Moodle documentation explicitly frames competencies as proficiency descriptors and notes that the platfo</w:t>
      </w:r>
      <w:r>
        <w:rPr>
          <w:rFonts w:ascii="Times New Roman" w:eastAsia="Times New Roman" w:hAnsi="Times New Roman" w:cs="Times New Roman"/>
          <w:sz w:val="22"/>
          <w:szCs w:val="22"/>
        </w:rPr>
        <w:t xml:space="preserve">rm can support competency frameworks and evaluation against competencies (Moodle, n.d.). In the Kenyan online CBE framework study, Moodle configuration is treated as integral to CBE implementation, with explicit linkage between </w:t>
      </w:r>
      <w:r>
        <w:rPr>
          <w:rFonts w:ascii="Times New Roman" w:eastAsia="Times New Roman" w:hAnsi="Times New Roman" w:cs="Times New Roman"/>
          <w:sz w:val="22"/>
          <w:szCs w:val="22"/>
        </w:rPr>
        <w:lastRenderedPageBreak/>
        <w:t>competency frameworks, learn</w:t>
      </w:r>
      <w:r>
        <w:rPr>
          <w:rFonts w:ascii="Times New Roman" w:eastAsia="Times New Roman" w:hAnsi="Times New Roman" w:cs="Times New Roman"/>
          <w:sz w:val="22"/>
          <w:szCs w:val="22"/>
        </w:rPr>
        <w:t>ing activities, assessments, discussion forums, and analytics for improvement (</w:t>
      </w:r>
      <w:proofErr w:type="spellStart"/>
      <w:r>
        <w:rPr>
          <w:rFonts w:ascii="Times New Roman" w:eastAsia="Times New Roman" w:hAnsi="Times New Roman" w:cs="Times New Roman"/>
          <w:sz w:val="22"/>
          <w:szCs w:val="22"/>
        </w:rPr>
        <w:t>Hadullo</w:t>
      </w:r>
      <w:proofErr w:type="spellEnd"/>
      <w:r>
        <w:rPr>
          <w:rFonts w:ascii="Times New Roman" w:eastAsia="Times New Roman" w:hAnsi="Times New Roman" w:cs="Times New Roman"/>
          <w:sz w:val="22"/>
          <w:szCs w:val="22"/>
        </w:rPr>
        <w:t>, 2021).</w:t>
      </w:r>
    </w:p>
    <w:p w14:paraId="1529DAD4"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platform layer also links to institutional research capacity through learning analytics and quality assurance. In digitally mediated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LMS configur</w:t>
      </w:r>
      <w:r>
        <w:rPr>
          <w:rFonts w:ascii="Times New Roman" w:eastAsia="Times New Roman" w:hAnsi="Times New Roman" w:cs="Times New Roman"/>
          <w:sz w:val="22"/>
          <w:szCs w:val="22"/>
        </w:rPr>
        <w:t xml:space="preserve">ation choices shape what kinds of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-level evidence can be generated for quality assurance, accreditation, and continuous improvement, not merely what content can be delivered (</w:t>
      </w:r>
      <w:proofErr w:type="spellStart"/>
      <w:r>
        <w:rPr>
          <w:rFonts w:ascii="Times New Roman" w:eastAsia="Times New Roman" w:hAnsi="Times New Roman" w:cs="Times New Roman"/>
          <w:sz w:val="22"/>
          <w:szCs w:val="22"/>
        </w:rPr>
        <w:t>Hadullo</w:t>
      </w:r>
      <w:proofErr w:type="spellEnd"/>
      <w:r>
        <w:rPr>
          <w:rFonts w:ascii="Times New Roman" w:eastAsia="Times New Roman" w:hAnsi="Times New Roman" w:cs="Times New Roman"/>
          <w:sz w:val="22"/>
          <w:szCs w:val="22"/>
        </w:rPr>
        <w:t>, 2021; Staring et al., 2022).</w:t>
      </w:r>
    </w:p>
    <w:p w14:paraId="01BCB775"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African Union digital strategy</w:t>
      </w:r>
      <w:r>
        <w:rPr>
          <w:rFonts w:ascii="Times New Roman" w:eastAsia="Times New Roman" w:hAnsi="Times New Roman" w:cs="Times New Roman"/>
          <w:sz w:val="22"/>
          <w:szCs w:val="22"/>
        </w:rPr>
        <w:t xml:space="preserve"> further reinforces that infrastructure is a foundational enabling condition for digital education, explicitly naming higher education teaching, research, assessment, and administration as sites of digital technology appropriation and defining infrastructu</w:t>
      </w:r>
      <w:r>
        <w:rPr>
          <w:rFonts w:ascii="Times New Roman" w:eastAsia="Times New Roman" w:hAnsi="Times New Roman" w:cs="Times New Roman"/>
          <w:sz w:val="22"/>
          <w:szCs w:val="22"/>
        </w:rPr>
        <w:t>re development as the primary strategic objective (African Union Commission, 2022). This positions LMS and network infrastructure not as peripheral information technology issues but as curricular preconditions for competency evidence integrity.</w:t>
      </w:r>
    </w:p>
    <w:p w14:paraId="3FD6BF12"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7" w:name="_9p3ofalsbr0r" w:colFirst="0" w:colLast="0"/>
      <w:bookmarkEnd w:id="27"/>
      <w:r>
        <w:rPr>
          <w:rFonts w:ascii="Times New Roman" w:eastAsia="Times New Roman" w:hAnsi="Times New Roman" w:cs="Times New Roman"/>
          <w:b/>
          <w:bCs/>
          <w:color w:val="000000"/>
          <w:sz w:val="24"/>
          <w:szCs w:val="24"/>
        </w:rPr>
        <w:t>4.6. Facult</w:t>
      </w:r>
      <w:r>
        <w:rPr>
          <w:rFonts w:ascii="Times New Roman" w:eastAsia="Times New Roman" w:hAnsi="Times New Roman" w:cs="Times New Roman"/>
          <w:b/>
          <w:bCs/>
          <w:color w:val="000000"/>
          <w:sz w:val="24"/>
          <w:szCs w:val="24"/>
        </w:rPr>
        <w:t>y development models and capability constraints</w:t>
      </w:r>
    </w:p>
    <w:p w14:paraId="2C6CFEE4"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Faculty development is repeatedly framed in the literature as necessary but often insufficiently conceptualized at the organizational level. A systematic review of faculty development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xml:space="preserve"> in the health</w:t>
      </w:r>
      <w:r>
        <w:rPr>
          <w:rFonts w:ascii="Times New Roman" w:eastAsia="Times New Roman" w:hAnsi="Times New Roman" w:cs="Times New Roman"/>
          <w:sz w:val="22"/>
          <w:szCs w:val="22"/>
        </w:rPr>
        <w:t xml:space="preserve"> professions concludes that organizational impact remains underexplored and recommends broadening faculty development using a competency-based framework (Kohan et al., 2023). Online teacher professional development synthesis likewise reports predominantly </w:t>
      </w:r>
      <w:r>
        <w:rPr>
          <w:rFonts w:ascii="Times New Roman" w:eastAsia="Times New Roman" w:hAnsi="Times New Roman" w:cs="Times New Roman"/>
          <w:sz w:val="22"/>
          <w:szCs w:val="22"/>
        </w:rPr>
        <w:t>positive effects on teachers' competencies and teaching practice, while also implying variability in outcomes and the need to attend to design and evaluation quality (</w:t>
      </w:r>
      <w:proofErr w:type="spellStart"/>
      <w:r>
        <w:rPr>
          <w:rFonts w:ascii="Times New Roman" w:eastAsia="Times New Roman" w:hAnsi="Times New Roman" w:cs="Times New Roman"/>
          <w:sz w:val="22"/>
          <w:szCs w:val="22"/>
        </w:rPr>
        <w:t>Amemasor</w:t>
      </w:r>
      <w:proofErr w:type="spellEnd"/>
      <w:r>
        <w:rPr>
          <w:rFonts w:ascii="Times New Roman" w:eastAsia="Times New Roman" w:hAnsi="Times New Roman" w:cs="Times New Roman"/>
          <w:sz w:val="22"/>
          <w:szCs w:val="22"/>
        </w:rPr>
        <w:t xml:space="preserve"> et al., 2025).</w:t>
      </w:r>
    </w:p>
    <w:p w14:paraId="6C7B4A24"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TPACK research synthesis further problematizes simplistic tool tr</w:t>
      </w:r>
      <w:r>
        <w:rPr>
          <w:rFonts w:ascii="Times New Roman" w:eastAsia="Times New Roman" w:hAnsi="Times New Roman" w:cs="Times New Roman"/>
          <w:sz w:val="22"/>
          <w:szCs w:val="22"/>
        </w:rPr>
        <w:t xml:space="preserve">aining, arguing that TPACK must be understood as complex, situated, and dynamic, with unresolved conceptual issues that affect measurement and professional learning design (Schmid et al., </w:t>
      </w:r>
      <w:r>
        <w:rPr>
          <w:rFonts w:ascii="Times New Roman" w:eastAsia="Times New Roman" w:hAnsi="Times New Roman" w:cs="Times New Roman"/>
          <w:sz w:val="22"/>
          <w:szCs w:val="22"/>
        </w:rPr>
        <w:t xml:space="preserve">2024). For online competency-based graduate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this support</w:t>
      </w:r>
      <w:r>
        <w:rPr>
          <w:rFonts w:ascii="Times New Roman" w:eastAsia="Times New Roman" w:hAnsi="Times New Roman" w:cs="Times New Roman"/>
          <w:sz w:val="22"/>
          <w:szCs w:val="22"/>
        </w:rPr>
        <w:t xml:space="preserve">s an institutional inference bounded by evidence: faculty development must be tied to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-level alignment and assessment design, not merely to platform operation (Kohan et al., 2023; Schmid et al., 2024).</w:t>
      </w:r>
    </w:p>
    <w:p w14:paraId="50D834B3"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8" w:name="_dntoh15ctl2y" w:colFirst="0" w:colLast="0"/>
      <w:bookmarkEnd w:id="28"/>
      <w:r>
        <w:rPr>
          <w:rFonts w:ascii="Times New Roman" w:eastAsia="Times New Roman" w:hAnsi="Times New Roman" w:cs="Times New Roman"/>
          <w:b/>
          <w:bCs/>
          <w:color w:val="000000"/>
          <w:sz w:val="24"/>
          <w:szCs w:val="24"/>
        </w:rPr>
        <w:t>4.7. Policy, quality assurance, and governanc</w:t>
      </w:r>
      <w:r>
        <w:rPr>
          <w:rFonts w:ascii="Times New Roman" w:eastAsia="Times New Roman" w:hAnsi="Times New Roman" w:cs="Times New Roman"/>
          <w:b/>
          <w:bCs/>
          <w:color w:val="000000"/>
          <w:sz w:val="24"/>
          <w:szCs w:val="24"/>
        </w:rPr>
        <w:t>e patterns</w:t>
      </w:r>
    </w:p>
    <w:p w14:paraId="116A86FB"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Two governance signals recur in high-authority sources. First, UNESCO's Global Convention defines quality assurance as an ongoing process by which the quality of a higher-education system, institution, or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is assessed by the competent a</w:t>
      </w:r>
      <w:r>
        <w:rPr>
          <w:rFonts w:ascii="Times New Roman" w:eastAsia="Times New Roman" w:hAnsi="Times New Roman" w:cs="Times New Roman"/>
          <w:sz w:val="22"/>
          <w:szCs w:val="22"/>
        </w:rPr>
        <w:t>uthority or authorities to assure stakeholders that acceptable educational standards are continuously being maintained and enhanced (UNESCO, 2019). Second, the OECD working paper on digital higher education explicitly aims to assist policy makers in adapti</w:t>
      </w:r>
      <w:r>
        <w:rPr>
          <w:rFonts w:ascii="Times New Roman" w:eastAsia="Times New Roman" w:hAnsi="Times New Roman" w:cs="Times New Roman"/>
          <w:sz w:val="22"/>
          <w:szCs w:val="22"/>
        </w:rPr>
        <w:t xml:space="preserve">ng quality assurance systems to digital higher education by reviewing standards, indicators, and institutional quality management practices for digital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xml:space="preserve"> (Staring et al., 2022).</w:t>
      </w:r>
    </w:p>
    <w:p w14:paraId="3EC8F764"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For emerging African universities operating under continental digital</w:t>
      </w:r>
      <w:r>
        <w:rPr>
          <w:rFonts w:ascii="Times New Roman" w:eastAsia="Times New Roman" w:hAnsi="Times New Roman" w:cs="Times New Roman"/>
          <w:sz w:val="22"/>
          <w:szCs w:val="22"/>
        </w:rPr>
        <w:t xml:space="preserve"> transformation agendas, the African Union strategy's emphasis on coordination capacity, knowledge mapping, and system-level infrastructure provides a governance frame that aligns with the OECD and UNESCO emphasis on continuous quality management rather th</w:t>
      </w:r>
      <w:r>
        <w:rPr>
          <w:rFonts w:ascii="Times New Roman" w:eastAsia="Times New Roman" w:hAnsi="Times New Roman" w:cs="Times New Roman"/>
          <w:sz w:val="22"/>
          <w:szCs w:val="22"/>
        </w:rPr>
        <w:t xml:space="preserve">an one-time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launch decisions (African Union Commission, 2022; Staring et al., 2022; UNESCO, 2019).</w:t>
      </w:r>
    </w:p>
    <w:p w14:paraId="3EC7979D"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9" w:name="_88jahexr8trj" w:colFirst="0" w:colLast="0"/>
      <w:bookmarkEnd w:id="29"/>
      <w:r>
        <w:rPr>
          <w:rFonts w:ascii="Times New Roman" w:eastAsia="Times New Roman" w:hAnsi="Times New Roman" w:cs="Times New Roman"/>
          <w:b/>
          <w:bCs/>
          <w:color w:val="000000"/>
          <w:sz w:val="24"/>
          <w:szCs w:val="24"/>
        </w:rPr>
        <w:t>4.7. Evidence gaps and regional imbalances</w:t>
      </w:r>
    </w:p>
    <w:p w14:paraId="0A10252D"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mapped synthesis highlights persistent regional and thematic imbalances. Graduate online education r</w:t>
      </w:r>
      <w:r>
        <w:rPr>
          <w:rFonts w:ascii="Times New Roman" w:eastAsia="Times New Roman" w:hAnsi="Times New Roman" w:cs="Times New Roman"/>
          <w:sz w:val="22"/>
          <w:szCs w:val="22"/>
        </w:rPr>
        <w:t>esearch synthesis reports that a majority of studies originate in the United States and that organizational-level issues are among the least studied themes (Martin, Morse, &amp; Kumar, 2022). Competence-oriented higher education synthesis also signals conceptu</w:t>
      </w:r>
      <w:r>
        <w:rPr>
          <w:rFonts w:ascii="Times New Roman" w:eastAsia="Times New Roman" w:hAnsi="Times New Roman" w:cs="Times New Roman"/>
          <w:sz w:val="22"/>
          <w:szCs w:val="22"/>
        </w:rPr>
        <w:t xml:space="preserve">al ambiguity and the need for teacher training, but the evidence does not yet converge on stable, cross-context definitions that can straightforwardly translate into consistent graduate </w:t>
      </w:r>
      <w:proofErr w:type="spellStart"/>
      <w:r>
        <w:rPr>
          <w:rFonts w:ascii="Times New Roman" w:eastAsia="Times New Roman" w:hAnsi="Times New Roman" w:cs="Times New Roman"/>
          <w:sz w:val="22"/>
          <w:szCs w:val="22"/>
        </w:rPr>
        <w:lastRenderedPageBreak/>
        <w:t>programme</w:t>
      </w:r>
      <w:proofErr w:type="spellEnd"/>
      <w:r>
        <w:rPr>
          <w:rFonts w:ascii="Times New Roman" w:eastAsia="Times New Roman" w:hAnsi="Times New Roman" w:cs="Times New Roman"/>
          <w:sz w:val="22"/>
          <w:szCs w:val="22"/>
        </w:rPr>
        <w:t xml:space="preserve"> architectures (</w:t>
      </w:r>
      <w:proofErr w:type="spellStart"/>
      <w:r>
        <w:rPr>
          <w:rFonts w:ascii="Times New Roman" w:eastAsia="Times New Roman" w:hAnsi="Times New Roman" w:cs="Times New Roman"/>
          <w:sz w:val="22"/>
          <w:szCs w:val="22"/>
        </w:rPr>
        <w:t>Brauer</w:t>
      </w:r>
      <w:proofErr w:type="spellEnd"/>
      <w:r>
        <w:rPr>
          <w:rFonts w:ascii="Times New Roman" w:eastAsia="Times New Roman" w:hAnsi="Times New Roman" w:cs="Times New Roman"/>
          <w:sz w:val="22"/>
          <w:szCs w:val="22"/>
        </w:rPr>
        <w:t>, 2021). In African policy documents, t</w:t>
      </w:r>
      <w:r>
        <w:rPr>
          <w:rFonts w:ascii="Times New Roman" w:eastAsia="Times New Roman" w:hAnsi="Times New Roman" w:cs="Times New Roman"/>
          <w:sz w:val="22"/>
          <w:szCs w:val="22"/>
        </w:rPr>
        <w:t xml:space="preserve">he urgency of infrastructure, access expansion, and relevance is prominent, but policy aspiration does not directly substitute for empirical evidence on effective institutional design patterns for competency-based online graduate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xml:space="preserve"> in African univ</w:t>
      </w:r>
      <w:r>
        <w:rPr>
          <w:rFonts w:ascii="Times New Roman" w:eastAsia="Times New Roman" w:hAnsi="Times New Roman" w:cs="Times New Roman"/>
          <w:sz w:val="22"/>
          <w:szCs w:val="22"/>
        </w:rPr>
        <w:t>ersities (African Union Commission, 2022; UNESCO, 2024).</w:t>
      </w:r>
    </w:p>
    <w:p w14:paraId="286ED93C"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Across these themes, the literature presents competency-based online graduate education not as a single pedagogical model but as a recurring alignment problem. Studies differ in discipline, delivery mode, and regulatory context, yet the same fault-lines re</w:t>
      </w:r>
      <w:r>
        <w:rPr>
          <w:rFonts w:ascii="Times New Roman" w:eastAsia="Times New Roman" w:hAnsi="Times New Roman" w:cs="Times New Roman"/>
          <w:sz w:val="22"/>
          <w:szCs w:val="22"/>
        </w:rPr>
        <w:t xml:space="preserve">cur: ambiguous competency language, weak translation into assessment, underdeveloped faculty capability, and insufficient institutional support. That convergence justifies moving the discussion away from isolated design features and toward the question of </w:t>
      </w:r>
      <w:r>
        <w:rPr>
          <w:rFonts w:ascii="Times New Roman" w:eastAsia="Times New Roman" w:hAnsi="Times New Roman" w:cs="Times New Roman"/>
          <w:sz w:val="22"/>
          <w:szCs w:val="22"/>
        </w:rPr>
        <w:t>how digitally mediated graduate competence is institutionally produced, evidenced, and governed.</w:t>
      </w:r>
    </w:p>
    <w:p w14:paraId="3F909AE1" w14:textId="77777777" w:rsidR="001D657D" w:rsidRDefault="00BF73B7">
      <w:pPr>
        <w:pStyle w:val="Heading2"/>
        <w:keepNext w:val="0"/>
        <w:keepLines w:val="0"/>
        <w:numPr>
          <w:ilvl w:val="0"/>
          <w:numId w:val="1"/>
        </w:numPr>
        <w:spacing w:before="360" w:line="276" w:lineRule="auto"/>
        <w:jc w:val="both"/>
        <w:rPr>
          <w:rFonts w:ascii="Times New Roman" w:eastAsia="Times New Roman" w:hAnsi="Times New Roman" w:cs="Times New Roman"/>
          <w:b/>
          <w:bCs/>
          <w:sz w:val="28"/>
          <w:szCs w:val="28"/>
        </w:rPr>
      </w:pPr>
      <w:bookmarkStart w:id="30" w:name="_unb1bg3kb4nb" w:colFirst="0" w:colLast="0"/>
      <w:bookmarkEnd w:id="30"/>
      <w:r>
        <w:rPr>
          <w:rFonts w:ascii="Times New Roman" w:eastAsia="Times New Roman" w:hAnsi="Times New Roman" w:cs="Times New Roman"/>
          <w:b/>
          <w:bCs/>
          <w:color w:val="000000"/>
          <w:sz w:val="28"/>
          <w:szCs w:val="28"/>
        </w:rPr>
        <w:t>Discussion</w:t>
      </w:r>
    </w:p>
    <w:p w14:paraId="2992798A" w14:textId="77777777" w:rsidR="001D657D" w:rsidRDefault="00BF73B7">
      <w:pPr>
        <w:pStyle w:val="Heading3"/>
        <w:keepNext w:val="0"/>
        <w:keepLines w:val="0"/>
        <w:spacing w:before="0" w:after="0"/>
        <w:jc w:val="both"/>
        <w:rPr>
          <w:rFonts w:ascii="Times New Roman" w:eastAsia="Times New Roman" w:hAnsi="Times New Roman" w:cs="Times New Roman"/>
          <w:b/>
          <w:bCs/>
          <w:color w:val="000000"/>
          <w:sz w:val="24"/>
          <w:szCs w:val="24"/>
        </w:rPr>
      </w:pPr>
      <w:bookmarkStart w:id="31" w:name="_9dufx6u12ash" w:colFirst="0" w:colLast="0"/>
      <w:bookmarkEnd w:id="31"/>
      <w:r>
        <w:rPr>
          <w:rFonts w:ascii="Times New Roman" w:eastAsia="Times New Roman" w:hAnsi="Times New Roman" w:cs="Times New Roman"/>
          <w:b/>
          <w:bCs/>
          <w:color w:val="000000"/>
          <w:sz w:val="24"/>
          <w:szCs w:val="24"/>
        </w:rPr>
        <w:t>5.1. Theoretical interpretation through Constructive Alignment, Community of Inquiry, and TPACK</w:t>
      </w:r>
    </w:p>
    <w:p w14:paraId="734D67C4" w14:textId="77777777" w:rsidR="001D657D" w:rsidRDefault="00BF73B7">
      <w:pPr>
        <w:spacing w:after="0" w:line="276" w:lineRule="auto"/>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num="2" w:space="720" w:equalWidth="0">
            <w:col w:w="4680" w:space="720"/>
            <w:col w:w="4680" w:space="0"/>
          </w:cols>
        </w:sectPr>
      </w:pPr>
      <w:r>
        <w:rPr>
          <w:rFonts w:ascii="Times New Roman" w:eastAsia="Times New Roman" w:hAnsi="Times New Roman" w:cs="Times New Roman"/>
          <w:sz w:val="22"/>
          <w:szCs w:val="22"/>
        </w:rPr>
        <w:t xml:space="preserve">Constructive Alignment </w:t>
      </w:r>
      <w:r>
        <w:rPr>
          <w:rFonts w:ascii="Times New Roman" w:eastAsia="Times New Roman" w:hAnsi="Times New Roman" w:cs="Times New Roman"/>
          <w:sz w:val="22"/>
          <w:szCs w:val="22"/>
        </w:rPr>
        <w:t xml:space="preserve">identifies where competency discourse becomes educationally consequential. The literature repeatedly suggests that CBE succeeds or fails on whether competencies operate as assessable claims that structure curriculum and assessment, rather than functioning </w:t>
      </w:r>
      <w:r>
        <w:rPr>
          <w:rFonts w:ascii="Times New Roman" w:eastAsia="Times New Roman" w:hAnsi="Times New Roman" w:cs="Times New Roman"/>
          <w:sz w:val="22"/>
          <w:szCs w:val="22"/>
        </w:rPr>
        <w:t>as aspirational labels (Biggs, 1996; Johnstone &amp; Soares, 2014; Vargas et al., 2025). In online graduate education, alignment is further complicated by digital mediation: assessment evidence and feedback cycles must pass through platform workflows, making m</w:t>
      </w:r>
      <w:r>
        <w:rPr>
          <w:rFonts w:ascii="Times New Roman" w:eastAsia="Times New Roman" w:hAnsi="Times New Roman" w:cs="Times New Roman"/>
          <w:sz w:val="22"/>
          <w:szCs w:val="22"/>
        </w:rPr>
        <w:t>isalignment not only a pedagogical issue but also an infrastructural and governance issue (</w:t>
      </w:r>
      <w:proofErr w:type="spellStart"/>
      <w:r>
        <w:rPr>
          <w:rFonts w:ascii="Times New Roman" w:eastAsia="Times New Roman" w:hAnsi="Times New Roman" w:cs="Times New Roman"/>
          <w:sz w:val="22"/>
          <w:szCs w:val="22"/>
        </w:rPr>
        <w:t>Hadullo</w:t>
      </w:r>
      <w:proofErr w:type="spellEnd"/>
      <w:r>
        <w:rPr>
          <w:rFonts w:ascii="Times New Roman" w:eastAsia="Times New Roman" w:hAnsi="Times New Roman" w:cs="Times New Roman"/>
          <w:sz w:val="22"/>
          <w:szCs w:val="22"/>
        </w:rPr>
        <w:t>, 2021; Staring et al., 2022).</w:t>
      </w:r>
    </w:p>
    <w:p w14:paraId="7B92B2BA" w14:textId="77777777" w:rsidR="001D657D" w:rsidRDefault="00BF73B7">
      <w:pPr>
        <w:spacing w:after="0"/>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36DA4843" wp14:editId="6F13123F">
            <wp:extent cx="5943600" cy="2476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b="15309"/>
                    <a:stretch>
                      <a:fillRect/>
                    </a:stretch>
                  </pic:blipFill>
                  <pic:spPr>
                    <a:xfrm>
                      <a:off x="0" y="0"/>
                      <a:ext cx="5943600" cy="2476500"/>
                    </a:xfrm>
                    <a:prstGeom prst="rect">
                      <a:avLst/>
                    </a:prstGeom>
                    <a:ln/>
                  </pic:spPr>
                </pic:pic>
              </a:graphicData>
            </a:graphic>
          </wp:inline>
        </w:drawing>
      </w:r>
    </w:p>
    <w:p w14:paraId="45DF7265" w14:textId="77777777" w:rsidR="001D657D" w:rsidRDefault="00BF73B7">
      <w:pPr>
        <w:spacing w:after="240"/>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space="720"/>
        </w:sectPr>
      </w:pPr>
      <w:r>
        <w:rPr>
          <w:rFonts w:ascii="Times New Roman" w:eastAsia="Times New Roman" w:hAnsi="Times New Roman" w:cs="Times New Roman"/>
          <w:i/>
          <w:iCs/>
          <w:sz w:val="20"/>
          <w:szCs w:val="20"/>
        </w:rPr>
        <w:t>Figure 2: Alignment chain showing how competency statements must travel through curriculum sequencing, learning ac</w:t>
      </w:r>
      <w:r>
        <w:rPr>
          <w:rFonts w:ascii="Times New Roman" w:eastAsia="Times New Roman" w:hAnsi="Times New Roman" w:cs="Times New Roman"/>
          <w:i/>
          <w:iCs/>
          <w:sz w:val="20"/>
          <w:szCs w:val="20"/>
        </w:rPr>
        <w:t xml:space="preserve">tivity design, assessment tasks, feedback processes, LMS evidence workflows, and </w:t>
      </w:r>
      <w:proofErr w:type="spellStart"/>
      <w:r>
        <w:rPr>
          <w:rFonts w:ascii="Times New Roman" w:eastAsia="Times New Roman" w:hAnsi="Times New Roman" w:cs="Times New Roman"/>
          <w:i/>
          <w:iCs/>
          <w:sz w:val="20"/>
          <w:szCs w:val="20"/>
        </w:rPr>
        <w:t>programme</w:t>
      </w:r>
      <w:proofErr w:type="spellEnd"/>
      <w:r>
        <w:rPr>
          <w:rFonts w:ascii="Times New Roman" w:eastAsia="Times New Roman" w:hAnsi="Times New Roman" w:cs="Times New Roman"/>
          <w:i/>
          <w:iCs/>
          <w:sz w:val="20"/>
          <w:szCs w:val="20"/>
        </w:rPr>
        <w:t>-level quality review if institutions are to make credible claims about graduate competence in digitally mediated environments.</w:t>
      </w:r>
    </w:p>
    <w:p w14:paraId="28346B07"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Community of Inquiry clarifies what qu</w:t>
      </w:r>
      <w:r>
        <w:rPr>
          <w:rFonts w:ascii="Times New Roman" w:eastAsia="Times New Roman" w:hAnsi="Times New Roman" w:cs="Times New Roman"/>
          <w:sz w:val="22"/>
          <w:szCs w:val="22"/>
        </w:rPr>
        <w:t>ality means in online graduate education beyond platform access. The empirical synthesis indicates that the presences are meaningfully related to learning outcomes and satisfaction in online and blended settings (Martin, Wu, Wan, &amp; Xie, 2022). For graduate</w:t>
      </w:r>
      <w:r>
        <w:rPr>
          <w:rFonts w:ascii="Times New Roman" w:eastAsia="Times New Roman" w:hAnsi="Times New Roman" w:cs="Times New Roman"/>
          <w:sz w:val="22"/>
          <w:szCs w:val="22"/>
        </w:rPr>
        <w:t xml:space="preserve"> education, this implies that competency development cannot be treated as a private accumulation of micro-skills. It often requires discourse, supervised inquiry, and </w:t>
      </w:r>
      <w:r>
        <w:rPr>
          <w:rFonts w:ascii="Times New Roman" w:eastAsia="Times New Roman" w:hAnsi="Times New Roman" w:cs="Times New Roman"/>
          <w:sz w:val="22"/>
          <w:szCs w:val="22"/>
        </w:rPr>
        <w:t>structured interaction that supports cognitive presence (Garrison et al., 2000; Moore &amp; M</w:t>
      </w:r>
      <w:r>
        <w:rPr>
          <w:rFonts w:ascii="Times New Roman" w:eastAsia="Times New Roman" w:hAnsi="Times New Roman" w:cs="Times New Roman"/>
          <w:sz w:val="22"/>
          <w:szCs w:val="22"/>
        </w:rPr>
        <w:t xml:space="preserve">iller, 2022). Consequently, the common CBE design move toward maximum self-pacing introduces a design contradiction: flexibility can undermine community unless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xml:space="preserve"> deliberately engineer interactional structures and advising or supervision supports a</w:t>
      </w:r>
      <w:r>
        <w:rPr>
          <w:rFonts w:ascii="Times New Roman" w:eastAsia="Times New Roman" w:hAnsi="Times New Roman" w:cs="Times New Roman"/>
          <w:sz w:val="22"/>
          <w:szCs w:val="22"/>
        </w:rPr>
        <w:t>ppropriate to graduate study (Martin, Wu, Wan, &amp; Xie, 2022; Meyer et al., 2022).</w:t>
      </w:r>
    </w:p>
    <w:p w14:paraId="7DFAB951"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TPACK exposes the hidden capability boundary between curriculum plans and enacted curriculum. CBE in online graduate education is enacted by faculty who must integrate technol</w:t>
      </w:r>
      <w:r>
        <w:rPr>
          <w:rFonts w:ascii="Times New Roman" w:eastAsia="Times New Roman" w:hAnsi="Times New Roman" w:cs="Times New Roman"/>
          <w:sz w:val="22"/>
          <w:szCs w:val="22"/>
        </w:rPr>
        <w:t>ogy, pedagogy, and disciplinary knowledge into assessment and learning designs that produce valid evidence of competence (Mishra &amp; Koehler, 2006). Faculty development evidence repeatedly shows positive effects but points to underexplored organizational imp</w:t>
      </w:r>
      <w:r>
        <w:rPr>
          <w:rFonts w:ascii="Times New Roman" w:eastAsia="Times New Roman" w:hAnsi="Times New Roman" w:cs="Times New Roman"/>
          <w:sz w:val="22"/>
          <w:szCs w:val="22"/>
        </w:rPr>
        <w:t>act and the need for sustained, context-specific support rather than short workshops (</w:t>
      </w:r>
      <w:proofErr w:type="spellStart"/>
      <w:r>
        <w:rPr>
          <w:rFonts w:ascii="Times New Roman" w:eastAsia="Times New Roman" w:hAnsi="Times New Roman" w:cs="Times New Roman"/>
          <w:sz w:val="22"/>
          <w:szCs w:val="22"/>
        </w:rPr>
        <w:t>Amemasor</w:t>
      </w:r>
      <w:proofErr w:type="spellEnd"/>
      <w:r>
        <w:rPr>
          <w:rFonts w:ascii="Times New Roman" w:eastAsia="Times New Roman" w:hAnsi="Times New Roman" w:cs="Times New Roman"/>
          <w:sz w:val="22"/>
          <w:szCs w:val="22"/>
        </w:rPr>
        <w:t xml:space="preserve"> et al., 2025; Kohan et al., 2023). TPACK therefore supports a disciplined institutional inference: without capability-building tied to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architecture and</w:t>
      </w:r>
      <w:r>
        <w:rPr>
          <w:rFonts w:ascii="Times New Roman" w:eastAsia="Times New Roman" w:hAnsi="Times New Roman" w:cs="Times New Roman"/>
          <w:sz w:val="22"/>
          <w:szCs w:val="22"/>
        </w:rPr>
        <w:t xml:space="preserve"> assessment logic, institutions risk competency frameworks on paper with weak enacted validity (Schmid et al., 2024).</w:t>
      </w:r>
    </w:p>
    <w:p w14:paraId="16A44719"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32" w:name="_lhffzu4qf3dj" w:colFirst="0" w:colLast="0"/>
      <w:bookmarkEnd w:id="32"/>
      <w:r>
        <w:rPr>
          <w:rFonts w:ascii="Times New Roman" w:eastAsia="Times New Roman" w:hAnsi="Times New Roman" w:cs="Times New Roman"/>
          <w:b/>
          <w:bCs/>
          <w:color w:val="000000"/>
          <w:sz w:val="24"/>
          <w:szCs w:val="24"/>
        </w:rPr>
        <w:t>5.2. Convergences, contradictions, and conceptual ambiguities</w:t>
      </w:r>
    </w:p>
    <w:p w14:paraId="37484880" w14:textId="77777777" w:rsidR="001D657D" w:rsidRDefault="00BF73B7">
      <w:pPr>
        <w:spacing w:after="0" w:line="276" w:lineRule="auto"/>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num="2" w:space="720" w:equalWidth="0">
            <w:col w:w="4680" w:space="720"/>
            <w:col w:w="4680" w:space="0"/>
          </w:cols>
        </w:sectPr>
      </w:pPr>
      <w:r>
        <w:rPr>
          <w:rFonts w:ascii="Times New Roman" w:eastAsia="Times New Roman" w:hAnsi="Times New Roman" w:cs="Times New Roman"/>
          <w:sz w:val="22"/>
          <w:szCs w:val="22"/>
        </w:rPr>
        <w:t>Three contradictions emerge as analytically central.</w:t>
      </w:r>
      <w:r>
        <w:rPr>
          <w:rFonts w:ascii="Times New Roman" w:eastAsia="Times New Roman" w:hAnsi="Times New Roman" w:cs="Times New Roman"/>
          <w:sz w:val="22"/>
          <w:szCs w:val="22"/>
        </w:rPr>
        <w:t xml:space="preserve"> The first is definitional. Competence discourse remains unstable across higher education, and that instability is not merely lexical (Brauer, 2021). When competencies are underspecified, curriculum architecture loses constraint, assessment criteria weaken</w:t>
      </w:r>
      <w:r>
        <w:rPr>
          <w:rFonts w:ascii="Times New Roman" w:eastAsia="Times New Roman" w:hAnsi="Times New Roman" w:cs="Times New Roman"/>
          <w:sz w:val="22"/>
          <w:szCs w:val="22"/>
        </w:rPr>
        <w:t xml:space="preserve">, and institutions struggle to justify claims of graduate mastery. The second is temporal and social. </w:t>
      </w:r>
      <w:r>
        <w:rPr>
          <w:rFonts w:ascii="Times New Roman" w:eastAsia="Times New Roman" w:hAnsi="Times New Roman" w:cs="Times New Roman"/>
          <w:sz w:val="22"/>
          <w:szCs w:val="22"/>
        </w:rPr>
        <w:t xml:space="preserve">Competency-based models frequently privilege mastery progression and variable pacing, while the strongest online learning evidence continues to </w:t>
      </w:r>
      <w:proofErr w:type="spellStart"/>
      <w:r>
        <w:rPr>
          <w:rFonts w:ascii="Times New Roman" w:eastAsia="Times New Roman" w:hAnsi="Times New Roman" w:cs="Times New Roman"/>
          <w:sz w:val="22"/>
          <w:szCs w:val="22"/>
        </w:rPr>
        <w:t>emphasise</w:t>
      </w:r>
      <w:proofErr w:type="spellEnd"/>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structured interaction, teaching presence, cognitive presence, and feedback-rich learning processes (Martin et al., 2022; Moore &amp; Miller, 2022). For graduate education, this tension is especially acute because advanced competence often depends on supervise</w:t>
      </w:r>
      <w:r>
        <w:rPr>
          <w:rFonts w:ascii="Times New Roman" w:eastAsia="Times New Roman" w:hAnsi="Times New Roman" w:cs="Times New Roman"/>
          <w:sz w:val="22"/>
          <w:szCs w:val="22"/>
        </w:rPr>
        <w:t xml:space="preserve">d inquiry, discourse, and judgment, not only on the accumulation of discrete performances. The third is evidential and </w:t>
      </w:r>
      <w:proofErr w:type="spellStart"/>
      <w:r>
        <w:rPr>
          <w:rFonts w:ascii="Times New Roman" w:eastAsia="Times New Roman" w:hAnsi="Times New Roman" w:cs="Times New Roman"/>
          <w:sz w:val="22"/>
          <w:szCs w:val="22"/>
        </w:rPr>
        <w:t>organisational</w:t>
      </w:r>
      <w:proofErr w:type="spellEnd"/>
      <w:r>
        <w:rPr>
          <w:rFonts w:ascii="Times New Roman" w:eastAsia="Times New Roman" w:hAnsi="Times New Roman" w:cs="Times New Roman"/>
          <w:sz w:val="22"/>
          <w:szCs w:val="22"/>
        </w:rPr>
        <w:t>. Competency-based education requires credible evidence chains, yet digital mediation introduces new pressures around workf</w:t>
      </w:r>
      <w:r>
        <w:rPr>
          <w:rFonts w:ascii="Times New Roman" w:eastAsia="Times New Roman" w:hAnsi="Times New Roman" w:cs="Times New Roman"/>
          <w:sz w:val="22"/>
          <w:szCs w:val="22"/>
        </w:rPr>
        <w:t xml:space="preserve">low design, documentation, platform capability, and institutional quality management (Staring et al., 2022; UNESCO, 2019; Vargas et al., 2025). The deeper implication is that competency frameworks in digitally mediated graduate education are normative and </w:t>
      </w:r>
      <w:proofErr w:type="spellStart"/>
      <w:r>
        <w:rPr>
          <w:rFonts w:ascii="Times New Roman" w:eastAsia="Times New Roman" w:hAnsi="Times New Roman" w:cs="Times New Roman"/>
          <w:sz w:val="22"/>
          <w:szCs w:val="22"/>
        </w:rPr>
        <w:t>organisational</w:t>
      </w:r>
      <w:proofErr w:type="spellEnd"/>
      <w:r>
        <w:rPr>
          <w:rFonts w:ascii="Times New Roman" w:eastAsia="Times New Roman" w:hAnsi="Times New Roman" w:cs="Times New Roman"/>
          <w:sz w:val="22"/>
          <w:szCs w:val="22"/>
        </w:rPr>
        <w:t xml:space="preserve"> instruments, not merely descriptive statements of outcomes. They determine what counts as legitimate graduate performance, what evidence must be produced to justify that judgment, and which institutional actors become responsible for generat</w:t>
      </w:r>
      <w:r>
        <w:rPr>
          <w:rFonts w:ascii="Times New Roman" w:eastAsia="Times New Roman" w:hAnsi="Times New Roman" w:cs="Times New Roman"/>
          <w:sz w:val="22"/>
          <w:szCs w:val="22"/>
        </w:rPr>
        <w:t>ing, interpreting, and assuring that evidence. This is why conceptual ambiguity becomes institutionally consequential rather than merely terminological.</w:t>
      </w:r>
    </w:p>
    <w:p w14:paraId="6B1215BD" w14:textId="77777777" w:rsidR="001D657D" w:rsidRDefault="00BF73B7">
      <w:pPr>
        <w:spacing w:after="0" w:line="276"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49AFE7E8" wp14:editId="7C609435">
            <wp:extent cx="5943600" cy="3162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b="6742"/>
                    <a:stretch>
                      <a:fillRect/>
                    </a:stretch>
                  </pic:blipFill>
                  <pic:spPr>
                    <a:xfrm>
                      <a:off x="0" y="0"/>
                      <a:ext cx="5943600" cy="3162300"/>
                    </a:xfrm>
                    <a:prstGeom prst="rect">
                      <a:avLst/>
                    </a:prstGeom>
                    <a:ln/>
                  </pic:spPr>
                </pic:pic>
              </a:graphicData>
            </a:graphic>
          </wp:inline>
        </w:drawing>
      </w:r>
    </w:p>
    <w:p w14:paraId="2FD8D930" w14:textId="77777777" w:rsidR="001D657D" w:rsidRDefault="00BF73B7">
      <w:pPr>
        <w:jc w:val="both"/>
        <w:rPr>
          <w:rFonts w:ascii="Times New Roman" w:eastAsia="Times New Roman" w:hAnsi="Times New Roman" w:cs="Times New Roman"/>
          <w:b/>
          <w:bCs/>
        </w:rPr>
        <w:sectPr w:rsidR="001D657D">
          <w:type w:val="continuous"/>
          <w:pgSz w:w="12240" w:h="15840"/>
          <w:pgMar w:top="1008" w:right="1080" w:bottom="1008" w:left="1080" w:header="720" w:footer="720" w:gutter="0"/>
          <w:cols w:space="720"/>
        </w:sectPr>
      </w:pPr>
      <w:r>
        <w:rPr>
          <w:rFonts w:ascii="Times New Roman" w:eastAsia="Times New Roman" w:hAnsi="Times New Roman" w:cs="Times New Roman"/>
          <w:i/>
          <w:iCs/>
          <w:sz w:val="20"/>
          <w:szCs w:val="20"/>
        </w:rPr>
        <w:t xml:space="preserve">Framework </w:t>
      </w:r>
      <w:proofErr w:type="spellStart"/>
      <w:r>
        <w:rPr>
          <w:rFonts w:ascii="Times New Roman" w:eastAsia="Times New Roman" w:hAnsi="Times New Roman" w:cs="Times New Roman"/>
          <w:i/>
          <w:iCs/>
          <w:sz w:val="20"/>
          <w:szCs w:val="20"/>
        </w:rPr>
        <w:t>summarising</w:t>
      </w:r>
      <w:proofErr w:type="spellEnd"/>
      <w:r>
        <w:rPr>
          <w:rFonts w:ascii="Times New Roman" w:eastAsia="Times New Roman" w:hAnsi="Times New Roman" w:cs="Times New Roman"/>
          <w:i/>
          <w:iCs/>
          <w:sz w:val="20"/>
          <w:szCs w:val="20"/>
        </w:rPr>
        <w:t xml:space="preserve"> the manuscript's three analytically central contradictions: definiti</w:t>
      </w:r>
      <w:r>
        <w:rPr>
          <w:rFonts w:ascii="Times New Roman" w:eastAsia="Times New Roman" w:hAnsi="Times New Roman" w:cs="Times New Roman"/>
          <w:i/>
          <w:iCs/>
          <w:sz w:val="20"/>
          <w:szCs w:val="20"/>
        </w:rPr>
        <w:t>onal instability, the tension between mastery pacing and interaction-rich graduate learning, and the evidential-</w:t>
      </w:r>
      <w:proofErr w:type="spellStart"/>
      <w:r>
        <w:rPr>
          <w:rFonts w:ascii="Times New Roman" w:eastAsia="Times New Roman" w:hAnsi="Times New Roman" w:cs="Times New Roman"/>
          <w:i/>
          <w:iCs/>
          <w:sz w:val="20"/>
          <w:szCs w:val="20"/>
        </w:rPr>
        <w:t>organisational</w:t>
      </w:r>
      <w:proofErr w:type="spellEnd"/>
      <w:r>
        <w:rPr>
          <w:rFonts w:ascii="Times New Roman" w:eastAsia="Times New Roman" w:hAnsi="Times New Roman" w:cs="Times New Roman"/>
          <w:i/>
          <w:iCs/>
          <w:sz w:val="20"/>
          <w:szCs w:val="20"/>
        </w:rPr>
        <w:t xml:space="preserve"> pressures introduced by digital </w:t>
      </w:r>
      <w:r>
        <w:rPr>
          <w:rFonts w:ascii="Times New Roman" w:eastAsia="Times New Roman" w:hAnsi="Times New Roman" w:cs="Times New Roman"/>
          <w:i/>
          <w:iCs/>
          <w:sz w:val="20"/>
          <w:szCs w:val="20"/>
        </w:rPr>
        <w:lastRenderedPageBreak/>
        <w:t>mediation. The figure also shows the manuscript's interpretive conclusion that competency framewo</w:t>
      </w:r>
      <w:r>
        <w:rPr>
          <w:rFonts w:ascii="Times New Roman" w:eastAsia="Times New Roman" w:hAnsi="Times New Roman" w:cs="Times New Roman"/>
          <w:i/>
          <w:iCs/>
          <w:sz w:val="20"/>
          <w:szCs w:val="20"/>
        </w:rPr>
        <w:t xml:space="preserve">rks function as normative and </w:t>
      </w:r>
      <w:proofErr w:type="spellStart"/>
      <w:r>
        <w:rPr>
          <w:rFonts w:ascii="Times New Roman" w:eastAsia="Times New Roman" w:hAnsi="Times New Roman" w:cs="Times New Roman"/>
          <w:i/>
          <w:iCs/>
          <w:sz w:val="20"/>
          <w:szCs w:val="20"/>
        </w:rPr>
        <w:t>organisational</w:t>
      </w:r>
      <w:proofErr w:type="spellEnd"/>
      <w:r>
        <w:rPr>
          <w:rFonts w:ascii="Times New Roman" w:eastAsia="Times New Roman" w:hAnsi="Times New Roman" w:cs="Times New Roman"/>
          <w:i/>
          <w:iCs/>
          <w:sz w:val="20"/>
          <w:szCs w:val="20"/>
        </w:rPr>
        <w:t xml:space="preserve"> instruments rather than as neutral lists of outcomes.</w:t>
      </w:r>
    </w:p>
    <w:p w14:paraId="2D10E513"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33" w:name="_yddywgci3c4g" w:colFirst="0" w:colLast="0"/>
      <w:bookmarkEnd w:id="33"/>
      <w:r>
        <w:rPr>
          <w:rFonts w:ascii="Times New Roman" w:eastAsia="Times New Roman" w:hAnsi="Times New Roman" w:cs="Times New Roman"/>
          <w:b/>
          <w:bCs/>
          <w:color w:val="000000"/>
          <w:sz w:val="24"/>
          <w:szCs w:val="24"/>
        </w:rPr>
        <w:t>5.3. Transferability to emerging African universities</w:t>
      </w:r>
    </w:p>
    <w:p w14:paraId="7C30CD2F" w14:textId="77777777" w:rsidR="001D657D" w:rsidRDefault="00BF73B7">
      <w:pPr>
        <w:spacing w:after="0" w:line="276" w:lineRule="auto"/>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num="2" w:space="720" w:equalWidth="0">
            <w:col w:w="4680" w:space="720"/>
            <w:col w:w="4680" w:space="0"/>
          </w:cols>
        </w:sectPr>
      </w:pPr>
      <w:r>
        <w:rPr>
          <w:rFonts w:ascii="Times New Roman" w:eastAsia="Times New Roman" w:hAnsi="Times New Roman" w:cs="Times New Roman"/>
          <w:sz w:val="22"/>
          <w:szCs w:val="22"/>
        </w:rPr>
        <w:t>The African transfer question should be framed neither as simple adoption nor a</w:t>
      </w:r>
      <w:r>
        <w:rPr>
          <w:rFonts w:ascii="Times New Roman" w:eastAsia="Times New Roman" w:hAnsi="Times New Roman" w:cs="Times New Roman"/>
          <w:sz w:val="22"/>
          <w:szCs w:val="22"/>
        </w:rPr>
        <w:t>s exceptionalist refusal. Most included studies come from better-resourced systems, so direct transplantation would be methodologically careless (UNESCO, 2024). At the same time, the policy problem facing emerging African universities is real and immediate</w:t>
      </w:r>
      <w:r>
        <w:rPr>
          <w:rFonts w:ascii="Times New Roman" w:eastAsia="Times New Roman" w:hAnsi="Times New Roman" w:cs="Times New Roman"/>
          <w:sz w:val="22"/>
          <w:szCs w:val="22"/>
        </w:rPr>
        <w:t xml:space="preserve">: participation pressures remain high, infrastructure is uneven, and continental </w:t>
      </w:r>
      <w:proofErr w:type="spellStart"/>
      <w:r>
        <w:rPr>
          <w:rFonts w:ascii="Times New Roman" w:eastAsia="Times New Roman" w:hAnsi="Times New Roman" w:cs="Times New Roman"/>
          <w:sz w:val="22"/>
          <w:szCs w:val="22"/>
        </w:rPr>
        <w:t>digitalisation</w:t>
      </w:r>
      <w:proofErr w:type="spellEnd"/>
      <w:r>
        <w:rPr>
          <w:rFonts w:ascii="Times New Roman" w:eastAsia="Times New Roman" w:hAnsi="Times New Roman" w:cs="Times New Roman"/>
          <w:sz w:val="22"/>
          <w:szCs w:val="22"/>
        </w:rPr>
        <w:t xml:space="preserve"> agendas are accelerating institutional decision-making (AU, </w:t>
      </w:r>
      <w:r>
        <w:rPr>
          <w:rFonts w:ascii="Times New Roman" w:eastAsia="Times New Roman" w:hAnsi="Times New Roman" w:cs="Times New Roman"/>
          <w:sz w:val="22"/>
          <w:szCs w:val="22"/>
        </w:rPr>
        <w:t>2022; Staring et al., 2022; UNESCO, 2019). The defensible move, therefore, is selective translation.</w:t>
      </w:r>
      <w:r>
        <w:rPr>
          <w:rFonts w:ascii="Times New Roman" w:eastAsia="Times New Roman" w:hAnsi="Times New Roman" w:cs="Times New Roman"/>
          <w:sz w:val="22"/>
          <w:szCs w:val="22"/>
        </w:rPr>
        <w:t xml:space="preserve"> Evidence from dominant research contexts can inform design principles, but those principles must be re-specified under African conditions of bandwidth variability, platform dependence, staff workload, regulatory fragmentation, and uneven student support c</w:t>
      </w:r>
      <w:r>
        <w:rPr>
          <w:rFonts w:ascii="Times New Roman" w:eastAsia="Times New Roman" w:hAnsi="Times New Roman" w:cs="Times New Roman"/>
          <w:sz w:val="22"/>
          <w:szCs w:val="22"/>
        </w:rPr>
        <w:t>apacity. In this sense, the issue is not whether African universities should imitate established models, but under what material, regulatory, and pedagogical conditions those models remain valid after translation.</w:t>
      </w:r>
    </w:p>
    <w:p w14:paraId="773C889F" w14:textId="77777777" w:rsidR="001D657D" w:rsidRDefault="00BF73B7">
      <w:pPr>
        <w:spacing w:after="0"/>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2022A8CC" wp14:editId="6CB2512E">
            <wp:extent cx="5943600" cy="31051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b="6052"/>
                    <a:stretch>
                      <a:fillRect/>
                    </a:stretch>
                  </pic:blipFill>
                  <pic:spPr>
                    <a:xfrm>
                      <a:off x="0" y="0"/>
                      <a:ext cx="5943600" cy="3105150"/>
                    </a:xfrm>
                    <a:prstGeom prst="rect">
                      <a:avLst/>
                    </a:prstGeom>
                    <a:ln/>
                  </pic:spPr>
                </pic:pic>
              </a:graphicData>
            </a:graphic>
          </wp:inline>
        </w:drawing>
      </w:r>
    </w:p>
    <w:p w14:paraId="68522209" w14:textId="77777777" w:rsidR="001D657D" w:rsidRDefault="00BF73B7">
      <w:pPr>
        <w:spacing w:after="240"/>
        <w:jc w:val="both"/>
        <w:rPr>
          <w:rFonts w:ascii="Times New Roman" w:eastAsia="Times New Roman" w:hAnsi="Times New Roman" w:cs="Times New Roman"/>
          <w:b/>
          <w:bCs/>
        </w:rPr>
        <w:sectPr w:rsidR="001D657D">
          <w:type w:val="continuous"/>
          <w:pgSz w:w="12240" w:h="15840"/>
          <w:pgMar w:top="1008" w:right="1080" w:bottom="1008" w:left="1080" w:header="720" w:footer="720" w:gutter="0"/>
          <w:cols w:space="720"/>
        </w:sectPr>
      </w:pPr>
      <w:r>
        <w:rPr>
          <w:rFonts w:ascii="Times New Roman" w:eastAsia="Times New Roman" w:hAnsi="Times New Roman" w:cs="Times New Roman"/>
          <w:i/>
          <w:iCs/>
          <w:sz w:val="20"/>
          <w:szCs w:val="20"/>
        </w:rPr>
        <w:t>Selective translation framewo</w:t>
      </w:r>
      <w:r>
        <w:rPr>
          <w:rFonts w:ascii="Times New Roman" w:eastAsia="Times New Roman" w:hAnsi="Times New Roman" w:cs="Times New Roman"/>
          <w:i/>
          <w:iCs/>
          <w:sz w:val="20"/>
          <w:szCs w:val="20"/>
        </w:rPr>
        <w:t>rk showing how findings derived mainly from higher-capacity systems should be filtered through African conditions of bandwidth variability, platform dependence, staff workload and capability, regulatory fragmentation, and uneven student support capacity be</w:t>
      </w:r>
      <w:r>
        <w:rPr>
          <w:rFonts w:ascii="Times New Roman" w:eastAsia="Times New Roman" w:hAnsi="Times New Roman" w:cs="Times New Roman"/>
          <w:i/>
          <w:iCs/>
          <w:sz w:val="20"/>
          <w:szCs w:val="20"/>
        </w:rPr>
        <w:t xml:space="preserve">fore being translated into contextually valid </w:t>
      </w:r>
      <w:proofErr w:type="spellStart"/>
      <w:r>
        <w:rPr>
          <w:rFonts w:ascii="Times New Roman" w:eastAsia="Times New Roman" w:hAnsi="Times New Roman" w:cs="Times New Roman"/>
          <w:i/>
          <w:iCs/>
          <w:sz w:val="20"/>
          <w:szCs w:val="20"/>
        </w:rPr>
        <w:t>programme</w:t>
      </w:r>
      <w:proofErr w:type="spellEnd"/>
      <w:r>
        <w:rPr>
          <w:rFonts w:ascii="Times New Roman" w:eastAsia="Times New Roman" w:hAnsi="Times New Roman" w:cs="Times New Roman"/>
          <w:i/>
          <w:iCs/>
          <w:sz w:val="20"/>
          <w:szCs w:val="20"/>
        </w:rPr>
        <w:t xml:space="preserve"> design.</w:t>
      </w:r>
    </w:p>
    <w:p w14:paraId="31F0B13A"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34" w:name="_xt2vpzrrevw" w:colFirst="0" w:colLast="0"/>
      <w:bookmarkEnd w:id="34"/>
      <w:r>
        <w:rPr>
          <w:rFonts w:ascii="Times New Roman" w:eastAsia="Times New Roman" w:hAnsi="Times New Roman" w:cs="Times New Roman"/>
          <w:b/>
          <w:bCs/>
          <w:color w:val="000000"/>
          <w:sz w:val="24"/>
          <w:szCs w:val="24"/>
        </w:rPr>
        <w:t>5.4. Curriculum, policy, LMS, and faculty development implications</w:t>
      </w:r>
    </w:p>
    <w:p w14:paraId="79CBBE81"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Implications should be framed as design logics rather than prescriptions. First, institutions should treat competency definition as a formal curriculum-governance act. Competencies need to be few enough to be assessable, rich enough to capture graduate-lev</w:t>
      </w:r>
      <w:r>
        <w:rPr>
          <w:rFonts w:ascii="Times New Roman" w:eastAsia="Times New Roman" w:hAnsi="Times New Roman" w:cs="Times New Roman"/>
          <w:sz w:val="22"/>
          <w:szCs w:val="22"/>
        </w:rPr>
        <w:t xml:space="preserve">el judgment, and specific enough to structure sequencing, learning activity design, and assessment criteria. Definitional work is therefore not a preliminary drafting </w:t>
      </w:r>
      <w:proofErr w:type="gramStart"/>
      <w:r>
        <w:rPr>
          <w:rFonts w:ascii="Times New Roman" w:eastAsia="Times New Roman" w:hAnsi="Times New Roman" w:cs="Times New Roman"/>
          <w:sz w:val="22"/>
          <w:szCs w:val="22"/>
        </w:rPr>
        <w:t>exercise  (</w:t>
      </w:r>
      <w:proofErr w:type="gramEnd"/>
      <w:r>
        <w:rPr>
          <w:rFonts w:ascii="Times New Roman" w:eastAsia="Times New Roman" w:hAnsi="Times New Roman" w:cs="Times New Roman"/>
          <w:sz w:val="22"/>
          <w:szCs w:val="22"/>
        </w:rPr>
        <w:t>Brauer, 2021); it is part of institutional quality architecture.</w:t>
      </w:r>
    </w:p>
    <w:p w14:paraId="18586329"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Second, onlin</w:t>
      </w:r>
      <w:r>
        <w:rPr>
          <w:rFonts w:ascii="Times New Roman" w:eastAsia="Times New Roman" w:hAnsi="Times New Roman" w:cs="Times New Roman"/>
          <w:sz w:val="22"/>
          <w:szCs w:val="22"/>
        </w:rPr>
        <w:t xml:space="preserve">e graduate pedagogy should be designed around inquiry-rich interaction rather than around content release alone. Where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xml:space="preserve"> rely on self-paced mastery models, they should deliberately engineer compensating structures, such as cohort seminars, supervi</w:t>
      </w:r>
      <w:r>
        <w:rPr>
          <w:rFonts w:ascii="Times New Roman" w:eastAsia="Times New Roman" w:hAnsi="Times New Roman" w:cs="Times New Roman"/>
          <w:sz w:val="22"/>
          <w:szCs w:val="22"/>
        </w:rPr>
        <w:t>sory touchpoints, formative feedback cycles, and peer discourse, so that flexibility does not erode cognitive presence, professional dialogue, or research formation (Martin et al., 2022; Meyer et al., 2022; Moore &amp; Miller, 2022).</w:t>
      </w:r>
    </w:p>
    <w:p w14:paraId="11E0DEF5"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Third, LMS decisions shoul</w:t>
      </w:r>
      <w:r>
        <w:rPr>
          <w:rFonts w:ascii="Times New Roman" w:eastAsia="Times New Roman" w:hAnsi="Times New Roman" w:cs="Times New Roman"/>
          <w:sz w:val="22"/>
          <w:szCs w:val="22"/>
        </w:rPr>
        <w:t xml:space="preserve">d be treated as curriculum-infrastructure decisions. Platform configuration should support competency mapping, rubric-based assessment, feedback documentation, and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-level quality monitoring. When platforms cannot sustain those functions, instituti</w:t>
      </w:r>
      <w:r>
        <w:rPr>
          <w:rFonts w:ascii="Times New Roman" w:eastAsia="Times New Roman" w:hAnsi="Times New Roman" w:cs="Times New Roman"/>
          <w:sz w:val="22"/>
          <w:szCs w:val="22"/>
        </w:rPr>
        <w:t xml:space="preserve">ons struggle to evidence graduate competence in a way that is credible to internal quality units, accreditors, or external </w:t>
      </w:r>
      <w:proofErr w:type="gramStart"/>
      <w:r>
        <w:rPr>
          <w:rFonts w:ascii="Times New Roman" w:eastAsia="Times New Roman" w:hAnsi="Times New Roman" w:cs="Times New Roman"/>
          <w:sz w:val="22"/>
          <w:szCs w:val="22"/>
        </w:rPr>
        <w:t>stakeholders  (</w:t>
      </w:r>
      <w:proofErr w:type="spellStart"/>
      <w:proofErr w:type="gramEnd"/>
      <w:r>
        <w:rPr>
          <w:rFonts w:ascii="Times New Roman" w:eastAsia="Times New Roman" w:hAnsi="Times New Roman" w:cs="Times New Roman"/>
          <w:sz w:val="22"/>
          <w:szCs w:val="22"/>
        </w:rPr>
        <w:t>Hadullo</w:t>
      </w:r>
      <w:proofErr w:type="spellEnd"/>
      <w:r>
        <w:rPr>
          <w:rFonts w:ascii="Times New Roman" w:eastAsia="Times New Roman" w:hAnsi="Times New Roman" w:cs="Times New Roman"/>
          <w:sz w:val="22"/>
          <w:szCs w:val="22"/>
        </w:rPr>
        <w:t>, 2021; Moodle, n.d.; Staring et al., 2022).</w:t>
      </w:r>
    </w:p>
    <w:p w14:paraId="7AD62648"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Fourth, faculty development should be aligned to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archite</w:t>
      </w:r>
      <w:r>
        <w:rPr>
          <w:rFonts w:ascii="Times New Roman" w:eastAsia="Times New Roman" w:hAnsi="Times New Roman" w:cs="Times New Roman"/>
          <w:sz w:val="22"/>
          <w:szCs w:val="22"/>
        </w:rPr>
        <w:t>cture rather than restricted to generic platform training. The relevant capability is not merely digital operation but the situated capacity to design valid tasks, judge complex performance, facilitate advanced inquiry, and use digital systems in ways that</w:t>
      </w:r>
      <w:r>
        <w:rPr>
          <w:rFonts w:ascii="Times New Roman" w:eastAsia="Times New Roman" w:hAnsi="Times New Roman" w:cs="Times New Roman"/>
          <w:sz w:val="22"/>
          <w:szCs w:val="22"/>
        </w:rPr>
        <w:t xml:space="preserve"> preserve academic </w:t>
      </w:r>
      <w:proofErr w:type="gramStart"/>
      <w:r>
        <w:rPr>
          <w:rFonts w:ascii="Times New Roman" w:eastAsia="Times New Roman" w:hAnsi="Times New Roman" w:cs="Times New Roman"/>
          <w:sz w:val="22"/>
          <w:szCs w:val="22"/>
        </w:rPr>
        <w:t>standards  (</w:t>
      </w:r>
      <w:proofErr w:type="spellStart"/>
      <w:proofErr w:type="gramEnd"/>
      <w:r>
        <w:rPr>
          <w:rFonts w:ascii="Times New Roman" w:eastAsia="Times New Roman" w:hAnsi="Times New Roman" w:cs="Times New Roman"/>
          <w:sz w:val="22"/>
          <w:szCs w:val="22"/>
        </w:rPr>
        <w:t>Amemasor</w:t>
      </w:r>
      <w:proofErr w:type="spellEnd"/>
      <w:r>
        <w:rPr>
          <w:rFonts w:ascii="Times New Roman" w:eastAsia="Times New Roman" w:hAnsi="Times New Roman" w:cs="Times New Roman"/>
          <w:sz w:val="22"/>
          <w:szCs w:val="22"/>
        </w:rPr>
        <w:t xml:space="preserve"> et al., 2025; Kohan et al., 2023; Schmid et al., 2024). At policy and governance level, this implies that internal quality assurance should be repositioned from end-stage compliance to continuous design review, in wh</w:t>
      </w:r>
      <w:r>
        <w:rPr>
          <w:rFonts w:ascii="Times New Roman" w:eastAsia="Times New Roman" w:hAnsi="Times New Roman" w:cs="Times New Roman"/>
          <w:sz w:val="22"/>
          <w:szCs w:val="22"/>
        </w:rPr>
        <w:t xml:space="preserve">ich curriculum, pedagogy, platform configuration, and faculty capability are evaluated as interdependent dimensions of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quality (Staring et al., 2022; UNESCO, 2019).</w:t>
      </w:r>
    </w:p>
    <w:p w14:paraId="04878ABA" w14:textId="77777777" w:rsidR="001D657D" w:rsidRDefault="001D657D">
      <w:pPr>
        <w:spacing w:before="240" w:after="240" w:line="276" w:lineRule="auto"/>
        <w:jc w:val="both"/>
        <w:rPr>
          <w:rFonts w:ascii="Times New Roman" w:eastAsia="Times New Roman" w:hAnsi="Times New Roman" w:cs="Times New Roman"/>
          <w:sz w:val="22"/>
          <w:szCs w:val="22"/>
        </w:rPr>
      </w:pPr>
    </w:p>
    <w:p w14:paraId="5EE1AAB4" w14:textId="77777777" w:rsidR="001D657D" w:rsidRDefault="00BF73B7">
      <w:pPr>
        <w:pStyle w:val="Heading2"/>
        <w:keepNext w:val="0"/>
        <w:keepLines w:val="0"/>
        <w:numPr>
          <w:ilvl w:val="0"/>
          <w:numId w:val="1"/>
        </w:numPr>
        <w:spacing w:before="360" w:line="276" w:lineRule="auto"/>
        <w:jc w:val="both"/>
        <w:rPr>
          <w:rFonts w:ascii="Times New Roman" w:eastAsia="Times New Roman" w:hAnsi="Times New Roman" w:cs="Times New Roman"/>
          <w:b/>
          <w:bCs/>
          <w:sz w:val="28"/>
          <w:szCs w:val="28"/>
        </w:rPr>
      </w:pPr>
      <w:bookmarkStart w:id="35" w:name="_d2ipsm73nhvi" w:colFirst="0" w:colLast="0"/>
      <w:bookmarkEnd w:id="35"/>
      <w:r>
        <w:rPr>
          <w:rFonts w:ascii="Times New Roman" w:eastAsia="Times New Roman" w:hAnsi="Times New Roman" w:cs="Times New Roman"/>
          <w:b/>
          <w:bCs/>
          <w:color w:val="000000"/>
          <w:sz w:val="28"/>
          <w:szCs w:val="28"/>
        </w:rPr>
        <w:t>Conclusion</w:t>
      </w:r>
    </w:p>
    <w:p w14:paraId="125EB0E2"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review shows that the decisive question in competency-based online graduate education is not whether competencies can be written, but whether institutions can sustain a credible chain from competency statement to learning activity, assessment judgment</w:t>
      </w:r>
      <w:r>
        <w:rPr>
          <w:rFonts w:ascii="Times New Roman" w:eastAsia="Times New Roman" w:hAnsi="Times New Roman" w:cs="Times New Roman"/>
          <w:sz w:val="22"/>
          <w:szCs w:val="22"/>
        </w:rPr>
        <w:t xml:space="preserve">, platform record, and quality assurance review. Where that chain is weak, competency language becomes symbolic. Where it is strong, digitally mediated graduate </w:t>
      </w:r>
      <w:proofErr w:type="spellStart"/>
      <w:r>
        <w:rPr>
          <w:rFonts w:ascii="Times New Roman" w:eastAsia="Times New Roman" w:hAnsi="Times New Roman" w:cs="Times New Roman"/>
          <w:sz w:val="22"/>
          <w:szCs w:val="22"/>
        </w:rPr>
        <w:t>programmes</w:t>
      </w:r>
      <w:proofErr w:type="spellEnd"/>
      <w:r>
        <w:rPr>
          <w:rFonts w:ascii="Times New Roman" w:eastAsia="Times New Roman" w:hAnsi="Times New Roman" w:cs="Times New Roman"/>
          <w:sz w:val="22"/>
          <w:szCs w:val="22"/>
        </w:rPr>
        <w:t xml:space="preserve"> can make more defensible claims about advanced capability, professional judgment, an</w:t>
      </w:r>
      <w:r>
        <w:rPr>
          <w:rFonts w:ascii="Times New Roman" w:eastAsia="Times New Roman" w:hAnsi="Times New Roman" w:cs="Times New Roman"/>
          <w:sz w:val="22"/>
          <w:szCs w:val="22"/>
        </w:rPr>
        <w:t>d research formation.</w:t>
      </w:r>
    </w:p>
    <w:p w14:paraId="55B47A62" w14:textId="77777777" w:rsidR="001D657D" w:rsidRDefault="00BF73B7">
      <w:pPr>
        <w:spacing w:before="240" w:after="240" w:line="276" w:lineRule="auto"/>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num="2" w:space="720" w:equalWidth="0">
            <w:col w:w="4680" w:space="720"/>
            <w:col w:w="4680" w:space="0"/>
          </w:cols>
        </w:sectPr>
      </w:pPr>
      <w:r>
        <w:rPr>
          <w:rFonts w:ascii="Times New Roman" w:eastAsia="Times New Roman" w:hAnsi="Times New Roman" w:cs="Times New Roman"/>
          <w:sz w:val="22"/>
          <w:szCs w:val="22"/>
        </w:rPr>
        <w:t xml:space="preserve">For emerging African universities, the central implication is therefore institutional rather than merely pedagogical. Online competency-based graduate provision should be designed as an integrated architecture </w:t>
      </w:r>
      <w:r>
        <w:rPr>
          <w:rFonts w:ascii="Times New Roman" w:eastAsia="Times New Roman" w:hAnsi="Times New Roman" w:cs="Times New Roman"/>
          <w:sz w:val="22"/>
          <w:szCs w:val="22"/>
        </w:rPr>
        <w:t>in which curriculum governance, interaction design, digital infrastructure, faculty capability, and quality management are intentionally aligned. Because the evidence base remains geographically uneven, the appropriate stance is disciplined translation rat</w:t>
      </w:r>
      <w:r>
        <w:rPr>
          <w:rFonts w:ascii="Times New Roman" w:eastAsia="Times New Roman" w:hAnsi="Times New Roman" w:cs="Times New Roman"/>
          <w:sz w:val="22"/>
          <w:szCs w:val="22"/>
        </w:rPr>
        <w:t xml:space="preserve">her than uncritical borrowing. Future research should therefore </w:t>
      </w:r>
      <w:proofErr w:type="spellStart"/>
      <w:r>
        <w:rPr>
          <w:rFonts w:ascii="Times New Roman" w:eastAsia="Times New Roman" w:hAnsi="Times New Roman" w:cs="Times New Roman"/>
          <w:sz w:val="22"/>
          <w:szCs w:val="22"/>
        </w:rPr>
        <w:t>prioritise</w:t>
      </w:r>
      <w:proofErr w:type="spellEnd"/>
      <w:r>
        <w:rPr>
          <w:rFonts w:ascii="Times New Roman" w:eastAsia="Times New Roman" w:hAnsi="Times New Roman" w:cs="Times New Roman"/>
          <w:sz w:val="22"/>
          <w:szCs w:val="22"/>
        </w:rPr>
        <w:t xml:space="preserve"> African empirical studies of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-level design, assessment validity, staff capability, and governance arrangements in digitally mediated graduate education.</w:t>
      </w:r>
    </w:p>
    <w:p w14:paraId="07C7E8DB" w14:textId="77777777" w:rsidR="001D657D" w:rsidRDefault="00BF73B7">
      <w:pPr>
        <w:spacing w:before="200" w:after="0" w:line="276" w:lineRule="auto"/>
        <w:ind w:left="720" w:firstLine="720"/>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mc:AlternateContent>
          <mc:Choice Requires="wpg">
            <w:drawing>
              <wp:inline distT="114300" distB="114300" distL="114300" distR="114300" wp14:anchorId="0FE13EF6" wp14:editId="4F39108C">
                <wp:extent cx="2667000" cy="28575"/>
                <wp:effectExtent l="0" t="0" r="0" b="0"/>
                <wp:docPr id="1" name="Straight Arrow Connector 1"/>
                <wp:cNvGraphicFramePr/>
                <a:graphic xmlns:a="http://schemas.openxmlformats.org/drawingml/2006/main">
                  <a:graphicData uri="http://schemas.microsoft.com/office/word/2010/wordprocessingShape">
                    <wps:wsp>
                      <wps:cNvCnPr/>
                      <wps:spPr>
                        <a:xfrm>
                          <a:off x="1884925" y="903275"/>
                          <a:ext cx="2648400" cy="1020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114300" distT="114300" distL="114300" distR="114300">
                <wp:extent cx="2667000" cy="28575"/>
                <wp:effectExtent b="0" l="0" r="0" t="0"/>
                <wp:docPr id="1"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2667000" cy="28575"/>
                        </a:xfrm>
                        <a:prstGeom prst="rect"/>
                        <a:ln/>
                      </pic:spPr>
                    </pic:pic>
                  </a:graphicData>
                </a:graphic>
              </wp:inline>
            </w:drawing>
          </mc:Fallback>
        </mc:AlternateContent>
      </w:r>
    </w:p>
    <w:p w14:paraId="084D5007" w14:textId="77777777" w:rsidR="001D657D" w:rsidRDefault="00BF73B7">
      <w:pPr>
        <w:spacing w:after="240" w:line="276" w:lineRule="auto"/>
        <w:ind w:left="720" w:right="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Funding: </w:t>
      </w:r>
      <w:r>
        <w:rPr>
          <w:rFonts w:ascii="Times New Roman" w:eastAsia="Times New Roman" w:hAnsi="Times New Roman" w:cs="Times New Roman"/>
          <w:sz w:val="20"/>
          <w:szCs w:val="20"/>
        </w:rPr>
        <w:t>This res</w:t>
      </w:r>
      <w:r>
        <w:rPr>
          <w:rFonts w:ascii="Times New Roman" w:eastAsia="Times New Roman" w:hAnsi="Times New Roman" w:cs="Times New Roman"/>
          <w:sz w:val="20"/>
          <w:szCs w:val="20"/>
        </w:rPr>
        <w:t>earch was not supported by any external grant or sponsor. The study was completed through the authors’ own scholarly effort, with routine non-financial institutional support associated with their academic affiliations.</w:t>
      </w:r>
    </w:p>
    <w:p w14:paraId="1903E11B" w14:textId="77777777" w:rsidR="001D657D" w:rsidRDefault="00BF73B7">
      <w:pPr>
        <w:spacing w:after="240" w:line="276" w:lineRule="auto"/>
        <w:ind w:left="720" w:right="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Ethical approval: </w:t>
      </w:r>
      <w:r>
        <w:rPr>
          <w:rFonts w:ascii="Times New Roman" w:eastAsia="Times New Roman" w:hAnsi="Times New Roman" w:cs="Times New Roman"/>
          <w:sz w:val="20"/>
          <w:szCs w:val="20"/>
        </w:rPr>
        <w:t>Ethics approval was</w:t>
      </w:r>
      <w:r>
        <w:rPr>
          <w:rFonts w:ascii="Times New Roman" w:eastAsia="Times New Roman" w:hAnsi="Times New Roman" w:cs="Times New Roman"/>
          <w:sz w:val="20"/>
          <w:szCs w:val="20"/>
        </w:rPr>
        <w:t xml:space="preserve"> not required for this study because it was a scoping review based entirely on secondary materials. The review drew on published literature and publicly accessible documentary sources, including policy texts, institutional reports, and official databases. </w:t>
      </w:r>
      <w:r>
        <w:rPr>
          <w:rFonts w:ascii="Times New Roman" w:eastAsia="Times New Roman" w:hAnsi="Times New Roman" w:cs="Times New Roman"/>
          <w:sz w:val="20"/>
          <w:szCs w:val="20"/>
        </w:rPr>
        <w:t xml:space="preserve">No human participants were recruited, and no personal or identifiable data were collected or </w:t>
      </w:r>
      <w:proofErr w:type="spellStart"/>
      <w:r>
        <w:rPr>
          <w:rFonts w:ascii="Times New Roman" w:eastAsia="Times New Roman" w:hAnsi="Times New Roman" w:cs="Times New Roman"/>
          <w:sz w:val="20"/>
          <w:szCs w:val="20"/>
        </w:rPr>
        <w:t>analysed</w:t>
      </w:r>
      <w:proofErr w:type="spellEnd"/>
      <w:r>
        <w:rPr>
          <w:rFonts w:ascii="Times New Roman" w:eastAsia="Times New Roman" w:hAnsi="Times New Roman" w:cs="Times New Roman"/>
          <w:sz w:val="20"/>
          <w:szCs w:val="20"/>
        </w:rPr>
        <w:t>.</w:t>
      </w:r>
    </w:p>
    <w:p w14:paraId="44DF8401" w14:textId="77777777" w:rsidR="001D657D" w:rsidRDefault="00BF73B7">
      <w:pPr>
        <w:spacing w:after="240" w:line="276" w:lineRule="auto"/>
        <w:ind w:left="720" w:right="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Data availability: </w:t>
      </w:r>
      <w:r>
        <w:rPr>
          <w:rFonts w:ascii="Times New Roman" w:eastAsia="Times New Roman" w:hAnsi="Times New Roman" w:cs="Times New Roman"/>
          <w:sz w:val="20"/>
          <w:szCs w:val="20"/>
        </w:rPr>
        <w:t xml:space="preserve">The materials </w:t>
      </w:r>
      <w:proofErr w:type="spellStart"/>
      <w:r>
        <w:rPr>
          <w:rFonts w:ascii="Times New Roman" w:eastAsia="Times New Roman" w:hAnsi="Times New Roman" w:cs="Times New Roman"/>
          <w:sz w:val="20"/>
          <w:szCs w:val="20"/>
        </w:rPr>
        <w:t>analysed</w:t>
      </w:r>
      <w:proofErr w:type="spellEnd"/>
      <w:r>
        <w:rPr>
          <w:rFonts w:ascii="Times New Roman" w:eastAsia="Times New Roman" w:hAnsi="Times New Roman" w:cs="Times New Roman"/>
          <w:sz w:val="20"/>
          <w:szCs w:val="20"/>
        </w:rPr>
        <w:t xml:space="preserve"> in this review were obtained from publicly accessible sources cited in the manuscript. The search materials, ex</w:t>
      </w:r>
      <w:r>
        <w:rPr>
          <w:rFonts w:ascii="Times New Roman" w:eastAsia="Times New Roman" w:hAnsi="Times New Roman" w:cs="Times New Roman"/>
          <w:sz w:val="20"/>
          <w:szCs w:val="20"/>
        </w:rPr>
        <w:t>traction framework, and archived supporting files associated with the review are available through the Open Science Framework at:</w:t>
      </w:r>
      <w:hyperlink r:id="rId18">
        <w:r w:rsidR="001D657D">
          <w:rPr>
            <w:rFonts w:ascii="Times New Roman" w:eastAsia="Times New Roman" w:hAnsi="Times New Roman" w:cs="Times New Roman"/>
            <w:sz w:val="20"/>
            <w:szCs w:val="20"/>
          </w:rPr>
          <w:t xml:space="preserve"> </w:t>
        </w:r>
      </w:hyperlink>
      <w:hyperlink r:id="rId19">
        <w:r w:rsidR="001D657D">
          <w:rPr>
            <w:rFonts w:ascii="Times New Roman" w:eastAsia="Times New Roman" w:hAnsi="Times New Roman" w:cs="Times New Roman"/>
            <w:color w:val="1155CC"/>
            <w:sz w:val="20"/>
            <w:szCs w:val="20"/>
            <w:u w:val="single"/>
          </w:rPr>
          <w:t>https://doi.org/10.17605/OSF.IO/2FS3Z</w:t>
        </w:r>
      </w:hyperlink>
      <w:r>
        <w:rPr>
          <w:rFonts w:ascii="Times New Roman" w:eastAsia="Times New Roman" w:hAnsi="Times New Roman" w:cs="Times New Roman"/>
          <w:sz w:val="20"/>
          <w:szCs w:val="20"/>
        </w:rPr>
        <w:t xml:space="preserve"> (Sangwa et al., 2026). Additional source documents remain accessible through the original repositories and institutional websites listed in the references. Unless otherwise indicated by the original source, archived files are shar</w:t>
      </w:r>
      <w:r>
        <w:rPr>
          <w:rFonts w:ascii="Times New Roman" w:eastAsia="Times New Roman" w:hAnsi="Times New Roman" w:cs="Times New Roman"/>
          <w:sz w:val="20"/>
          <w:szCs w:val="20"/>
        </w:rPr>
        <w:t xml:space="preserve">ed under a Creative Commons Attribution 4.0 </w:t>
      </w:r>
      <w:proofErr w:type="spellStart"/>
      <w:r>
        <w:rPr>
          <w:rFonts w:ascii="Times New Roman" w:eastAsia="Times New Roman" w:hAnsi="Times New Roman" w:cs="Times New Roman"/>
          <w:sz w:val="20"/>
          <w:szCs w:val="20"/>
        </w:rPr>
        <w:t>licence</w:t>
      </w:r>
      <w:proofErr w:type="spellEnd"/>
      <w:r>
        <w:rPr>
          <w:rFonts w:ascii="Times New Roman" w:eastAsia="Times New Roman" w:hAnsi="Times New Roman" w:cs="Times New Roman"/>
          <w:sz w:val="20"/>
          <w:szCs w:val="20"/>
        </w:rPr>
        <w:t>.</w:t>
      </w:r>
    </w:p>
    <w:p w14:paraId="4DD7E0DF" w14:textId="77777777" w:rsidR="001D657D" w:rsidRDefault="00BF73B7">
      <w:pPr>
        <w:spacing w:after="240" w:line="276" w:lineRule="auto"/>
        <w:ind w:left="720" w:right="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Use of AI tools: </w:t>
      </w:r>
      <w:r>
        <w:rPr>
          <w:rFonts w:ascii="Times New Roman" w:eastAsia="Times New Roman" w:hAnsi="Times New Roman" w:cs="Times New Roman"/>
          <w:sz w:val="20"/>
          <w:szCs w:val="20"/>
        </w:rPr>
        <w:t xml:space="preserve">During manuscript preparation, the authors used OpenAI’s GPT-5.4 Thinking model in a limited support role. Its use was confined to assistance with literature search support, structural </w:t>
      </w:r>
      <w:proofErr w:type="spellStart"/>
      <w:r>
        <w:rPr>
          <w:rFonts w:ascii="Times New Roman" w:eastAsia="Times New Roman" w:hAnsi="Times New Roman" w:cs="Times New Roman"/>
          <w:sz w:val="20"/>
          <w:szCs w:val="20"/>
        </w:rPr>
        <w:t>organisation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language refinement, and editorial polishing. All substantive scholarly decisions, including source selection, verification, interpretation, argument development, and final revision, were undertaken by the authors, who bear full responsibilit</w:t>
      </w:r>
      <w:r>
        <w:rPr>
          <w:rFonts w:ascii="Times New Roman" w:eastAsia="Times New Roman" w:hAnsi="Times New Roman" w:cs="Times New Roman"/>
          <w:sz w:val="20"/>
          <w:szCs w:val="20"/>
        </w:rPr>
        <w:t>y for the content of the manuscript.</w:t>
      </w:r>
    </w:p>
    <w:p w14:paraId="5A927BF1" w14:textId="77777777" w:rsidR="003C0C27" w:rsidRPr="003C0C27" w:rsidRDefault="003C0C27" w:rsidP="003C0C27">
      <w:pPr>
        <w:spacing w:line="276" w:lineRule="auto"/>
        <w:rPr>
          <w:rFonts w:ascii="Arial" w:eastAsia="Times New Roman" w:hAnsi="Arial" w:cs="Arial"/>
          <w:b/>
          <w:bCs/>
          <w:sz w:val="22"/>
          <w:szCs w:val="22"/>
          <w:lang w:val="en-GB" w:eastAsia="en-GB"/>
        </w:rPr>
      </w:pPr>
      <w:r w:rsidRPr="003C0C27">
        <w:rPr>
          <w:rFonts w:ascii="Arial" w:eastAsia="Times New Roman" w:hAnsi="Arial" w:cs="Arial"/>
          <w:b/>
          <w:bCs/>
          <w:sz w:val="22"/>
          <w:szCs w:val="22"/>
          <w:lang w:val="en-GB" w:eastAsia="en-GB"/>
        </w:rPr>
        <w:t>COMPETING INTERESTS DISCLAIMER:</w:t>
      </w:r>
    </w:p>
    <w:p w14:paraId="40A9B7C6" w14:textId="77777777" w:rsidR="003C0C27" w:rsidRPr="003C0C27" w:rsidRDefault="003C0C27" w:rsidP="003C0C27">
      <w:pPr>
        <w:spacing w:line="276" w:lineRule="auto"/>
        <w:rPr>
          <w:rFonts w:ascii="Calibri" w:eastAsia="Times New Roman" w:hAnsi="Calibri" w:cs="Times New Roman"/>
          <w:sz w:val="22"/>
          <w:szCs w:val="22"/>
          <w:lang w:val="en-GB" w:eastAsia="en-GB"/>
        </w:rPr>
      </w:pPr>
      <w:r w:rsidRPr="003C0C27">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DDAA1ED" w14:textId="77777777" w:rsidR="001D657D" w:rsidRDefault="001D657D">
      <w:pPr>
        <w:spacing w:before="240" w:after="240" w:line="276" w:lineRule="auto"/>
        <w:jc w:val="both"/>
        <w:rPr>
          <w:rFonts w:ascii="Times New Roman" w:eastAsia="Times New Roman" w:hAnsi="Times New Roman" w:cs="Times New Roman"/>
          <w:sz w:val="22"/>
          <w:szCs w:val="22"/>
        </w:rPr>
      </w:pPr>
    </w:p>
    <w:p w14:paraId="7782F5E8" w14:textId="77777777" w:rsidR="001D657D" w:rsidRDefault="001D657D">
      <w:pPr>
        <w:pStyle w:val="Heading2"/>
        <w:keepNext w:val="0"/>
        <w:keepLines w:val="0"/>
        <w:spacing w:before="360" w:line="276" w:lineRule="auto"/>
        <w:jc w:val="both"/>
        <w:rPr>
          <w:rFonts w:ascii="Times New Roman" w:eastAsia="Times New Roman" w:hAnsi="Times New Roman" w:cs="Times New Roman"/>
          <w:b/>
          <w:bCs/>
          <w:color w:val="000000"/>
          <w:sz w:val="28"/>
          <w:szCs w:val="28"/>
        </w:rPr>
      </w:pPr>
      <w:bookmarkStart w:id="36" w:name="_btjge1p9krdp" w:colFirst="0" w:colLast="0"/>
      <w:bookmarkEnd w:id="36"/>
    </w:p>
    <w:p w14:paraId="7620CC60" w14:textId="77777777" w:rsidR="001D657D" w:rsidRDefault="001D657D">
      <w:pPr>
        <w:spacing w:after="0" w:line="276" w:lineRule="auto"/>
        <w:rPr>
          <w:rFonts w:ascii="Arial" w:eastAsia="Arial" w:hAnsi="Arial" w:cs="Arial"/>
          <w:sz w:val="22"/>
          <w:szCs w:val="22"/>
        </w:rPr>
      </w:pPr>
    </w:p>
    <w:p w14:paraId="634D6BE5" w14:textId="77777777" w:rsidR="001D657D" w:rsidRDefault="001D657D">
      <w:pPr>
        <w:spacing w:after="0" w:line="276" w:lineRule="auto"/>
        <w:rPr>
          <w:rFonts w:ascii="Arial" w:eastAsia="Arial" w:hAnsi="Arial" w:cs="Arial"/>
          <w:sz w:val="22"/>
          <w:szCs w:val="22"/>
        </w:rPr>
      </w:pPr>
    </w:p>
    <w:p w14:paraId="2C31151F" w14:textId="77777777" w:rsidR="001D657D" w:rsidRDefault="001D657D">
      <w:pPr>
        <w:spacing w:after="0" w:line="276" w:lineRule="auto"/>
        <w:rPr>
          <w:rFonts w:ascii="Arial" w:eastAsia="Arial" w:hAnsi="Arial" w:cs="Arial"/>
          <w:sz w:val="22"/>
          <w:szCs w:val="22"/>
        </w:rPr>
        <w:sectPr w:rsidR="001D657D">
          <w:type w:val="continuous"/>
          <w:pgSz w:w="12240" w:h="15840"/>
          <w:pgMar w:top="1008" w:right="1080" w:bottom="1008" w:left="1080" w:header="720" w:footer="720" w:gutter="0"/>
          <w:cols w:space="720"/>
        </w:sectPr>
      </w:pPr>
    </w:p>
    <w:p w14:paraId="7204136F" w14:textId="77777777" w:rsidR="001D657D" w:rsidRDefault="00BF73B7">
      <w:pPr>
        <w:pStyle w:val="Heading2"/>
        <w:keepNext w:val="0"/>
        <w:keepLines w:val="0"/>
        <w:spacing w:before="0"/>
        <w:jc w:val="both"/>
        <w:rPr>
          <w:rFonts w:ascii="Times New Roman" w:eastAsia="Times New Roman" w:hAnsi="Times New Roman" w:cs="Times New Roman"/>
          <w:b/>
          <w:bCs/>
          <w:color w:val="000000"/>
          <w:sz w:val="28"/>
          <w:szCs w:val="28"/>
        </w:rPr>
      </w:pPr>
      <w:bookmarkStart w:id="37" w:name="_jmkcxsdcjz91" w:colFirst="0" w:colLast="0"/>
      <w:bookmarkEnd w:id="37"/>
      <w:r>
        <w:rPr>
          <w:rFonts w:ascii="Times New Roman" w:eastAsia="Times New Roman" w:hAnsi="Times New Roman" w:cs="Times New Roman"/>
          <w:b/>
          <w:bCs/>
          <w:color w:val="000000"/>
          <w:sz w:val="28"/>
          <w:szCs w:val="28"/>
        </w:rPr>
        <w:t>References</w:t>
      </w:r>
    </w:p>
    <w:p w14:paraId="216A8CFA"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African Union Commission. (2022). Digital education strategy and implementation plan 2023-2028. </w:t>
      </w:r>
      <w:hyperlink r:id="rId20">
        <w:r w:rsidR="001D657D">
          <w:rPr>
            <w:rFonts w:ascii="Times New Roman" w:eastAsia="Times New Roman" w:hAnsi="Times New Roman" w:cs="Times New Roman"/>
            <w:color w:val="1155CC"/>
            <w:sz w:val="22"/>
            <w:szCs w:val="22"/>
            <w:u w:val="single"/>
          </w:rPr>
          <w:t>https://static.au.int/pt/node/42414</w:t>
        </w:r>
      </w:hyperlink>
      <w:r>
        <w:rPr>
          <w:rFonts w:ascii="Times New Roman" w:eastAsia="Times New Roman" w:hAnsi="Times New Roman" w:cs="Times New Roman"/>
          <w:sz w:val="22"/>
          <w:szCs w:val="22"/>
        </w:rPr>
        <w:t xml:space="preserve"> </w:t>
      </w:r>
    </w:p>
    <w:p w14:paraId="0FAF0BD8" w14:textId="77777777" w:rsidR="001D657D" w:rsidRDefault="00BF73B7">
      <w:pPr>
        <w:spacing w:after="0" w:line="276" w:lineRule="auto"/>
        <w:ind w:left="720"/>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Amemasor</w:t>
      </w:r>
      <w:proofErr w:type="spellEnd"/>
      <w:r>
        <w:rPr>
          <w:rFonts w:ascii="Times New Roman" w:eastAsia="Times New Roman" w:hAnsi="Times New Roman" w:cs="Times New Roman"/>
          <w:sz w:val="22"/>
          <w:szCs w:val="22"/>
        </w:rPr>
        <w:t xml:space="preserve">, S. K., Oppong, S. O., Ghansah, B., </w:t>
      </w:r>
      <w:proofErr w:type="spellStart"/>
      <w:r>
        <w:rPr>
          <w:rFonts w:ascii="Times New Roman" w:eastAsia="Times New Roman" w:hAnsi="Times New Roman" w:cs="Times New Roman"/>
          <w:sz w:val="22"/>
          <w:szCs w:val="22"/>
        </w:rPr>
        <w:t>Benuwa</w:t>
      </w:r>
      <w:proofErr w:type="spellEnd"/>
      <w:r>
        <w:rPr>
          <w:rFonts w:ascii="Times New Roman" w:eastAsia="Times New Roman" w:hAnsi="Times New Roman" w:cs="Times New Roman"/>
          <w:sz w:val="22"/>
          <w:szCs w:val="22"/>
        </w:rPr>
        <w:t xml:space="preserve">, B.-B., &amp; Essel, D. D. (2025). A systematic review on the impact of teacher professional development on digital instructional integration and teaching practices. Frontiers in Education, 10, Article 1541031. </w:t>
      </w:r>
      <w:hyperlink r:id="rId21">
        <w:r w:rsidR="001D657D">
          <w:rPr>
            <w:rFonts w:ascii="Times New Roman" w:eastAsia="Times New Roman" w:hAnsi="Times New Roman" w:cs="Times New Roman"/>
            <w:color w:val="1155CC"/>
            <w:sz w:val="22"/>
            <w:szCs w:val="22"/>
            <w:u w:val="single"/>
          </w:rPr>
          <w:t>https://doi.org/10.3389/feduc.2025.1541031</w:t>
        </w:r>
      </w:hyperlink>
      <w:r>
        <w:rPr>
          <w:rFonts w:ascii="Times New Roman" w:eastAsia="Times New Roman" w:hAnsi="Times New Roman" w:cs="Times New Roman"/>
          <w:sz w:val="22"/>
          <w:szCs w:val="22"/>
        </w:rPr>
        <w:t xml:space="preserve"> </w:t>
      </w:r>
    </w:p>
    <w:p w14:paraId="496619B6" w14:textId="77777777" w:rsidR="001D657D" w:rsidRDefault="00BF73B7">
      <w:pPr>
        <w:spacing w:after="0" w:line="276" w:lineRule="auto"/>
        <w:ind w:left="720"/>
        <w:jc w:val="both"/>
        <w:rPr>
          <w:rFonts w:ascii="Times New Roman" w:eastAsia="Times New Roman" w:hAnsi="Times New Roman" w:cs="Times New Roman"/>
          <w:color w:val="188038"/>
          <w:sz w:val="22"/>
          <w:szCs w:val="22"/>
        </w:rPr>
      </w:pPr>
      <w:proofErr w:type="spellStart"/>
      <w:r>
        <w:rPr>
          <w:rFonts w:ascii="Times New Roman" w:eastAsia="Times New Roman" w:hAnsi="Times New Roman" w:cs="Times New Roman"/>
          <w:sz w:val="22"/>
          <w:szCs w:val="22"/>
        </w:rPr>
        <w:t>Aromataris</w:t>
      </w:r>
      <w:proofErr w:type="spellEnd"/>
      <w:r>
        <w:rPr>
          <w:rFonts w:ascii="Times New Roman" w:eastAsia="Times New Roman" w:hAnsi="Times New Roman" w:cs="Times New Roman"/>
          <w:sz w:val="22"/>
          <w:szCs w:val="22"/>
        </w:rPr>
        <w:t xml:space="preserve">, E., Lockwood, C., Porritt, K., Pilla, B., &amp; Jordan, Z. (Eds.). (2024). JBI manual for evidence synthesis. JBI. </w:t>
      </w:r>
      <w:hyperlink r:id="rId22">
        <w:r w:rsidR="001D657D">
          <w:rPr>
            <w:rFonts w:ascii="Times New Roman" w:eastAsia="Times New Roman" w:hAnsi="Times New Roman" w:cs="Times New Roman"/>
            <w:color w:val="1155CC"/>
            <w:sz w:val="22"/>
            <w:szCs w:val="22"/>
            <w:u w:val="single"/>
          </w:rPr>
          <w:t>https://synthesismanual.jbi.global</w:t>
        </w:r>
      </w:hyperlink>
    </w:p>
    <w:p w14:paraId="6CF53674"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Biggs, J. (1996). Enhancing teaching through constructive alignment. Higher Education, 32(3), 347-364. </w:t>
      </w:r>
      <w:hyperlink r:id="rId23">
        <w:r w:rsidR="001D657D">
          <w:rPr>
            <w:rFonts w:ascii="Times New Roman" w:eastAsia="Times New Roman" w:hAnsi="Times New Roman" w:cs="Times New Roman"/>
            <w:color w:val="1155CC"/>
            <w:sz w:val="22"/>
            <w:szCs w:val="22"/>
            <w:u w:val="single"/>
          </w:rPr>
          <w:t>https://doi.org/10.1007/BF00138871</w:t>
        </w:r>
      </w:hyperlink>
      <w:r>
        <w:rPr>
          <w:rFonts w:ascii="Times New Roman" w:eastAsia="Times New Roman" w:hAnsi="Times New Roman" w:cs="Times New Roman"/>
          <w:sz w:val="22"/>
          <w:szCs w:val="22"/>
        </w:rPr>
        <w:t xml:space="preserve"> </w:t>
      </w:r>
    </w:p>
    <w:p w14:paraId="1636EA18"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Brauer</w:t>
      </w:r>
      <w:r>
        <w:rPr>
          <w:rFonts w:ascii="Times New Roman" w:eastAsia="Times New Roman" w:hAnsi="Times New Roman" w:cs="Times New Roman"/>
          <w:sz w:val="22"/>
          <w:szCs w:val="22"/>
        </w:rPr>
        <w:t xml:space="preserve">, S. (2021). Towards competence-oriented higher education: A systematic literature review of the different perspectives on successful exit profiles. Education + Training, 63(9), 1376-1390. </w:t>
      </w:r>
      <w:hyperlink r:id="rId24">
        <w:r w:rsidR="001D657D">
          <w:rPr>
            <w:rFonts w:ascii="Times New Roman" w:eastAsia="Times New Roman" w:hAnsi="Times New Roman" w:cs="Times New Roman"/>
            <w:color w:val="1155CC"/>
            <w:sz w:val="22"/>
            <w:szCs w:val="22"/>
            <w:u w:val="single"/>
          </w:rPr>
          <w:t>https://doi.org/10.1108/ET-07-2020-0216</w:t>
        </w:r>
      </w:hyperlink>
    </w:p>
    <w:p w14:paraId="53BF4833"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Garrison, D. R., Anderson, T., &amp; Archer, W. (2000). Critical inquiry in a text-based environment: Computer conferencing in higher education. The Internet and Higher Education, 2(2-3), 87-105. </w:t>
      </w:r>
      <w:hyperlink r:id="rId25">
        <w:r w:rsidR="001D657D">
          <w:rPr>
            <w:rFonts w:ascii="Times New Roman" w:eastAsia="Times New Roman" w:hAnsi="Times New Roman" w:cs="Times New Roman"/>
            <w:color w:val="1155CC"/>
            <w:sz w:val="22"/>
            <w:szCs w:val="22"/>
            <w:u w:val="single"/>
          </w:rPr>
          <w:t>https://doi.org/10.1016/S1096-7516(00)00016-6</w:t>
        </w:r>
      </w:hyperlink>
    </w:p>
    <w:p w14:paraId="6C41B02E" w14:textId="77777777" w:rsidR="001D657D" w:rsidRDefault="00BF73B7">
      <w:pPr>
        <w:spacing w:after="0" w:line="276" w:lineRule="auto"/>
        <w:ind w:left="720"/>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Hadullo</w:t>
      </w:r>
      <w:proofErr w:type="spellEnd"/>
      <w:r>
        <w:rPr>
          <w:rFonts w:ascii="Times New Roman" w:eastAsia="Times New Roman" w:hAnsi="Times New Roman" w:cs="Times New Roman"/>
          <w:sz w:val="22"/>
          <w:szCs w:val="22"/>
        </w:rPr>
        <w:t xml:space="preserve">, K. (2021). Online </w:t>
      </w:r>
      <w:proofErr w:type="gramStart"/>
      <w:r>
        <w:rPr>
          <w:rFonts w:ascii="Times New Roman" w:eastAsia="Times New Roman" w:hAnsi="Times New Roman" w:cs="Times New Roman"/>
          <w:sz w:val="22"/>
          <w:szCs w:val="22"/>
        </w:rPr>
        <w:t>competency based</w:t>
      </w:r>
      <w:proofErr w:type="gramEnd"/>
      <w:r>
        <w:rPr>
          <w:rFonts w:ascii="Times New Roman" w:eastAsia="Times New Roman" w:hAnsi="Times New Roman" w:cs="Times New Roman"/>
          <w:sz w:val="22"/>
          <w:szCs w:val="22"/>
        </w:rPr>
        <w:t xml:space="preserve"> education framework using Moodle LMS: A case of HEIs in Kenya. International Journal of Education and Development using Information a</w:t>
      </w:r>
      <w:r>
        <w:rPr>
          <w:rFonts w:ascii="Times New Roman" w:eastAsia="Times New Roman" w:hAnsi="Times New Roman" w:cs="Times New Roman"/>
          <w:sz w:val="22"/>
          <w:szCs w:val="22"/>
        </w:rPr>
        <w:t xml:space="preserve">nd Communication Technology, 17(1), 193-206. </w:t>
      </w:r>
      <w:hyperlink r:id="rId26">
        <w:r w:rsidR="001D657D">
          <w:rPr>
            <w:rFonts w:ascii="Times New Roman" w:eastAsia="Times New Roman" w:hAnsi="Times New Roman" w:cs="Times New Roman"/>
            <w:color w:val="1155CC"/>
            <w:sz w:val="22"/>
            <w:szCs w:val="22"/>
            <w:u w:val="single"/>
          </w:rPr>
          <w:t>https://ijedict.dec.uwi.edu/viewarticle.php?id=2866</w:t>
        </w:r>
      </w:hyperlink>
    </w:p>
    <w:p w14:paraId="2F10C4E1"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Johnstone, S. M., &amp; Soares, L. (2014). Principles for developing competency-based educat</w:t>
      </w:r>
      <w:r>
        <w:rPr>
          <w:rFonts w:ascii="Times New Roman" w:eastAsia="Times New Roman" w:hAnsi="Times New Roman" w:cs="Times New Roman"/>
          <w:sz w:val="22"/>
          <w:szCs w:val="22"/>
        </w:rPr>
        <w:t xml:space="preserve">ion programs. Change: The Magazine of Higher Learning, 46(2), 12-19. </w:t>
      </w:r>
      <w:hyperlink r:id="rId27">
        <w:r w:rsidR="001D657D">
          <w:rPr>
            <w:rFonts w:ascii="Times New Roman" w:eastAsia="Times New Roman" w:hAnsi="Times New Roman" w:cs="Times New Roman"/>
            <w:color w:val="1155CC"/>
            <w:sz w:val="22"/>
            <w:szCs w:val="22"/>
            <w:u w:val="single"/>
          </w:rPr>
          <w:t>https://doi.org/10.1080/00091383.2014.896705</w:t>
        </w:r>
      </w:hyperlink>
    </w:p>
    <w:p w14:paraId="315DC26E"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Kohan, M., Changiz, T., &amp; Yamani, N. (2023). A systematic review of faculty de</w:t>
      </w:r>
      <w:r>
        <w:rPr>
          <w:rFonts w:ascii="Times New Roman" w:eastAsia="Times New Roman" w:hAnsi="Times New Roman" w:cs="Times New Roman"/>
          <w:sz w:val="22"/>
          <w:szCs w:val="22"/>
        </w:rPr>
        <w:t xml:space="preserve">velopment programs based on the Harden teacher's role framework model. BMC Medical Education, 23, Article 910. </w:t>
      </w:r>
      <w:hyperlink r:id="rId28">
        <w:r w:rsidR="001D657D">
          <w:rPr>
            <w:rFonts w:ascii="Times New Roman" w:eastAsia="Times New Roman" w:hAnsi="Times New Roman" w:cs="Times New Roman"/>
            <w:color w:val="1155CC"/>
            <w:sz w:val="22"/>
            <w:szCs w:val="22"/>
            <w:u w:val="single"/>
          </w:rPr>
          <w:t>https://doi.org/10.1186/s12909-023-04863-4</w:t>
        </w:r>
      </w:hyperlink>
    </w:p>
    <w:p w14:paraId="74F8D5DE"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Martin, F., Morse, J., &amp; Kumar, S. (2022</w:t>
      </w:r>
      <w:r>
        <w:rPr>
          <w:rFonts w:ascii="Times New Roman" w:eastAsia="Times New Roman" w:hAnsi="Times New Roman" w:cs="Times New Roman"/>
          <w:sz w:val="22"/>
          <w:szCs w:val="22"/>
        </w:rPr>
        <w:t xml:space="preserve">). Systematic review of research on graduate online education from 2000 to 2020. Quarterly Review of Distance Education, 23(1), 41-60. </w:t>
      </w:r>
      <w:hyperlink r:id="rId29">
        <w:r w:rsidR="001D657D">
          <w:rPr>
            <w:rFonts w:ascii="Times New Roman" w:eastAsia="Times New Roman" w:hAnsi="Times New Roman" w:cs="Times New Roman"/>
            <w:color w:val="1155CC"/>
            <w:sz w:val="22"/>
            <w:szCs w:val="22"/>
            <w:u w:val="single"/>
          </w:rPr>
          <w:t>https://eric.ed.gov/?id=EJ1362965</w:t>
        </w:r>
      </w:hyperlink>
    </w:p>
    <w:p w14:paraId="093192AC"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Martin, F., Wu, T., Wan, L., &amp; Xie</w:t>
      </w:r>
      <w:r>
        <w:rPr>
          <w:rFonts w:ascii="Times New Roman" w:eastAsia="Times New Roman" w:hAnsi="Times New Roman" w:cs="Times New Roman"/>
          <w:sz w:val="22"/>
          <w:szCs w:val="22"/>
        </w:rPr>
        <w:t xml:space="preserve">, K. (2022). A meta-analysis on the Community of Inquiry presences and learning outcomes in online and blended learning environments. </w:t>
      </w:r>
      <w:r>
        <w:rPr>
          <w:rFonts w:ascii="Times New Roman" w:eastAsia="Times New Roman" w:hAnsi="Times New Roman" w:cs="Times New Roman"/>
          <w:sz w:val="22"/>
          <w:szCs w:val="22"/>
        </w:rPr>
        <w:lastRenderedPageBreak/>
        <w:t xml:space="preserve">Online Learning, 26(1), 325-359. </w:t>
      </w:r>
      <w:hyperlink r:id="rId30">
        <w:r w:rsidR="001D657D">
          <w:rPr>
            <w:rFonts w:ascii="Times New Roman" w:eastAsia="Times New Roman" w:hAnsi="Times New Roman" w:cs="Times New Roman"/>
            <w:color w:val="1155CC"/>
            <w:sz w:val="22"/>
            <w:szCs w:val="22"/>
            <w:u w:val="single"/>
          </w:rPr>
          <w:t>https://doi.org/10.24059/olj.v26i1.2604</w:t>
        </w:r>
      </w:hyperlink>
    </w:p>
    <w:p w14:paraId="4DD48F0D"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Meyer, H. S., Preisman, K. A., &amp; Samuel, A. (2022). Get connected: A scoping review of advising online graduate students. Online Learning, 26(3), 274-292. </w:t>
      </w:r>
      <w:hyperlink r:id="rId31">
        <w:r w:rsidR="001D657D">
          <w:rPr>
            <w:rFonts w:ascii="Times New Roman" w:eastAsia="Times New Roman" w:hAnsi="Times New Roman" w:cs="Times New Roman"/>
            <w:color w:val="1155CC"/>
            <w:sz w:val="22"/>
            <w:szCs w:val="22"/>
            <w:u w:val="single"/>
          </w:rPr>
          <w:t>https://doi.org/10.24059/olj.v26i3.2819</w:t>
        </w:r>
      </w:hyperlink>
    </w:p>
    <w:p w14:paraId="6E80B2E5"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Mishra, P., &amp; Koehler, M. J. (2006). Technological pedagogical content knowledge: A framework for teacher knowledge. Teachers College Record, 108(6), 1017-1054. </w:t>
      </w:r>
      <w:hyperlink r:id="rId32">
        <w:r w:rsidR="001D657D">
          <w:rPr>
            <w:rFonts w:ascii="Times New Roman" w:eastAsia="Times New Roman" w:hAnsi="Times New Roman" w:cs="Times New Roman"/>
            <w:color w:val="1155CC"/>
            <w:sz w:val="22"/>
            <w:szCs w:val="22"/>
            <w:u w:val="single"/>
          </w:rPr>
          <w:t>https://doi.org/10.1177/016146810610800610</w:t>
        </w:r>
      </w:hyperlink>
    </w:p>
    <w:p w14:paraId="5A5BFED7"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Moodle. (n.d.). Competencies. </w:t>
      </w:r>
      <w:proofErr w:type="spellStart"/>
      <w:r>
        <w:rPr>
          <w:rFonts w:ascii="Times New Roman" w:eastAsia="Times New Roman" w:hAnsi="Times New Roman" w:cs="Times New Roman"/>
          <w:sz w:val="22"/>
          <w:szCs w:val="22"/>
        </w:rPr>
        <w:t>MoodleDocs</w:t>
      </w:r>
      <w:proofErr w:type="spellEnd"/>
      <w:r>
        <w:rPr>
          <w:rFonts w:ascii="Times New Roman" w:eastAsia="Times New Roman" w:hAnsi="Times New Roman" w:cs="Times New Roman"/>
          <w:sz w:val="22"/>
          <w:szCs w:val="22"/>
        </w:rPr>
        <w:t>. https://docs.moodle.org/405/en/Competencies</w:t>
      </w:r>
    </w:p>
    <w:p w14:paraId="164C5D7E"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Moore, R. L., &amp; Miller, C. N. (2022). Fostering cognitive presence in online courses: A systematic review (2008-2020). O</w:t>
      </w:r>
      <w:r>
        <w:rPr>
          <w:rFonts w:ascii="Times New Roman" w:eastAsia="Times New Roman" w:hAnsi="Times New Roman" w:cs="Times New Roman"/>
          <w:sz w:val="22"/>
          <w:szCs w:val="22"/>
        </w:rPr>
        <w:t xml:space="preserve">nline Learning, 26(1), 130-149. </w:t>
      </w:r>
      <w:hyperlink r:id="rId33">
        <w:r w:rsidR="001D657D">
          <w:rPr>
            <w:rFonts w:ascii="Times New Roman" w:eastAsia="Times New Roman" w:hAnsi="Times New Roman" w:cs="Times New Roman"/>
            <w:color w:val="1155CC"/>
            <w:sz w:val="22"/>
            <w:szCs w:val="22"/>
            <w:u w:val="single"/>
          </w:rPr>
          <w:t>https://doi.org/10.24059/olj.v26i1.3071</w:t>
        </w:r>
      </w:hyperlink>
    </w:p>
    <w:p w14:paraId="0AAB6705"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Peters, M. D. J., Marnie, C., </w:t>
      </w:r>
      <w:proofErr w:type="spellStart"/>
      <w:r>
        <w:rPr>
          <w:rFonts w:ascii="Times New Roman" w:eastAsia="Times New Roman" w:hAnsi="Times New Roman" w:cs="Times New Roman"/>
          <w:sz w:val="22"/>
          <w:szCs w:val="22"/>
        </w:rPr>
        <w:t>Tricco</w:t>
      </w:r>
      <w:proofErr w:type="spellEnd"/>
      <w:r>
        <w:rPr>
          <w:rFonts w:ascii="Times New Roman" w:eastAsia="Times New Roman" w:hAnsi="Times New Roman" w:cs="Times New Roman"/>
          <w:sz w:val="22"/>
          <w:szCs w:val="22"/>
        </w:rPr>
        <w:t xml:space="preserve">, A. C., Pollock, D., Munn, Z., Alexander, </w:t>
      </w:r>
      <w:proofErr w:type="spellStart"/>
      <w:proofErr w:type="gramStart"/>
      <w:r>
        <w:rPr>
          <w:rFonts w:ascii="Times New Roman" w:eastAsia="Times New Roman" w:hAnsi="Times New Roman" w:cs="Times New Roman"/>
          <w:sz w:val="22"/>
          <w:szCs w:val="22"/>
        </w:rPr>
        <w:t>L.McInerney</w:t>
      </w:r>
      <w:proofErr w:type="spellEnd"/>
      <w:proofErr w:type="gramEnd"/>
      <w:r>
        <w:rPr>
          <w:rFonts w:ascii="Times New Roman" w:eastAsia="Times New Roman" w:hAnsi="Times New Roman" w:cs="Times New Roman"/>
          <w:sz w:val="22"/>
          <w:szCs w:val="22"/>
        </w:rPr>
        <w:t xml:space="preserve">, P., Godfrey, C. M., &amp; Khalil, H. </w:t>
      </w:r>
      <w:r>
        <w:rPr>
          <w:rFonts w:ascii="Times New Roman" w:eastAsia="Times New Roman" w:hAnsi="Times New Roman" w:cs="Times New Roman"/>
          <w:sz w:val="22"/>
          <w:szCs w:val="22"/>
        </w:rPr>
        <w:t xml:space="preserve">(2021). Updated methodological guidance for the conduct of scoping reviews. JBI Evidence Implementation, 19(1), 3-10. </w:t>
      </w:r>
      <w:hyperlink r:id="rId34">
        <w:r w:rsidR="001D657D">
          <w:rPr>
            <w:rFonts w:ascii="Times New Roman" w:eastAsia="Times New Roman" w:hAnsi="Times New Roman" w:cs="Times New Roman"/>
            <w:color w:val="1155CC"/>
            <w:sz w:val="22"/>
            <w:szCs w:val="22"/>
            <w:u w:val="single"/>
          </w:rPr>
          <w:t>https://doi.org/10.1097/XEB.0000000000000277</w:t>
        </w:r>
      </w:hyperlink>
      <w:r>
        <w:rPr>
          <w:rFonts w:ascii="Times New Roman" w:eastAsia="Times New Roman" w:hAnsi="Times New Roman" w:cs="Times New Roman"/>
          <w:sz w:val="22"/>
          <w:szCs w:val="22"/>
        </w:rPr>
        <w:t xml:space="preserve"> </w:t>
      </w:r>
    </w:p>
    <w:p w14:paraId="6C9BDFCA" w14:textId="77777777" w:rsidR="001D657D" w:rsidRDefault="00BF73B7">
      <w:pPr>
        <w:spacing w:after="60" w:line="276" w:lineRule="auto"/>
        <w:ind w:left="720"/>
        <w:jc w:val="both"/>
        <w:rPr>
          <w:rFonts w:ascii="Times New Roman" w:eastAsia="Times New Roman" w:hAnsi="Times New Roman" w:cs="Times New Roman"/>
          <w:color w:val="334155"/>
          <w:sz w:val="22"/>
          <w:szCs w:val="22"/>
          <w:highlight w:val="white"/>
        </w:rPr>
      </w:pPr>
      <w:r>
        <w:rPr>
          <w:rFonts w:ascii="Times New Roman" w:eastAsia="Times New Roman" w:hAnsi="Times New Roman" w:cs="Times New Roman"/>
          <w:sz w:val="22"/>
          <w:szCs w:val="22"/>
          <w:highlight w:val="white"/>
        </w:rPr>
        <w:t xml:space="preserve">Sangwa, S., </w:t>
      </w:r>
      <w:proofErr w:type="spellStart"/>
      <w:r>
        <w:rPr>
          <w:rFonts w:ascii="Times New Roman" w:eastAsia="Times New Roman" w:hAnsi="Times New Roman" w:cs="Times New Roman"/>
          <w:sz w:val="22"/>
          <w:szCs w:val="22"/>
          <w:highlight w:val="white"/>
        </w:rPr>
        <w:t>Ndahayo</w:t>
      </w:r>
      <w:proofErr w:type="spellEnd"/>
      <w:r>
        <w:rPr>
          <w:rFonts w:ascii="Times New Roman" w:eastAsia="Times New Roman" w:hAnsi="Times New Roman" w:cs="Times New Roman"/>
          <w:sz w:val="22"/>
          <w:szCs w:val="22"/>
          <w:highlight w:val="white"/>
        </w:rPr>
        <w:t xml:space="preserve">, C., &amp; </w:t>
      </w:r>
      <w:proofErr w:type="spellStart"/>
      <w:r>
        <w:rPr>
          <w:rFonts w:ascii="Times New Roman" w:eastAsia="Times New Roman" w:hAnsi="Times New Roman" w:cs="Times New Roman"/>
          <w:sz w:val="22"/>
          <w:szCs w:val="22"/>
          <w:highlight w:val="white"/>
        </w:rPr>
        <w:t>D</w:t>
      </w:r>
      <w:r>
        <w:rPr>
          <w:rFonts w:ascii="Times New Roman" w:eastAsia="Times New Roman" w:hAnsi="Times New Roman" w:cs="Times New Roman"/>
          <w:sz w:val="22"/>
          <w:szCs w:val="22"/>
          <w:highlight w:val="white"/>
        </w:rPr>
        <w:t>usengumuremyi</w:t>
      </w:r>
      <w:proofErr w:type="spellEnd"/>
      <w:r>
        <w:rPr>
          <w:rFonts w:ascii="Times New Roman" w:eastAsia="Times New Roman" w:hAnsi="Times New Roman" w:cs="Times New Roman"/>
          <w:sz w:val="22"/>
          <w:szCs w:val="22"/>
          <w:highlight w:val="white"/>
        </w:rPr>
        <w:t xml:space="preserve">, F. (2026, March 27). Competency-Based Curriculum Design in Online Graduate Education: A Scoping Review with Curriculum, Policy, and Faculty Development Implications for Emerging African Universities. </w:t>
      </w:r>
      <w:hyperlink r:id="rId35">
        <w:r w:rsidR="001D657D">
          <w:rPr>
            <w:rFonts w:ascii="Times New Roman" w:eastAsia="Times New Roman" w:hAnsi="Times New Roman" w:cs="Times New Roman"/>
            <w:color w:val="1155CC"/>
            <w:sz w:val="22"/>
            <w:szCs w:val="22"/>
            <w:highlight w:val="white"/>
            <w:u w:val="single"/>
          </w:rPr>
          <w:t>https://doi.org/10.17605/OSF.IO/ZTYAB</w:t>
        </w:r>
      </w:hyperlink>
    </w:p>
    <w:p w14:paraId="32E53255"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Schmid, M., Brianza, E., Mok, S. Y., &amp; Petko, D. (2024). Running in circles: A systematic review of reviews on technological pedagogical content knowledge (TPACK). Computers &amp; Education, 214, Article 10</w:t>
      </w:r>
      <w:r>
        <w:rPr>
          <w:rFonts w:ascii="Times New Roman" w:eastAsia="Times New Roman" w:hAnsi="Times New Roman" w:cs="Times New Roman"/>
          <w:sz w:val="22"/>
          <w:szCs w:val="22"/>
        </w:rPr>
        <w:t xml:space="preserve">5024. </w:t>
      </w:r>
      <w:hyperlink r:id="rId36">
        <w:r w:rsidR="001D657D">
          <w:rPr>
            <w:rFonts w:ascii="Times New Roman" w:eastAsia="Times New Roman" w:hAnsi="Times New Roman" w:cs="Times New Roman"/>
            <w:color w:val="1155CC"/>
            <w:sz w:val="22"/>
            <w:szCs w:val="22"/>
            <w:u w:val="single"/>
          </w:rPr>
          <w:t>https://doi.org/10.1016/j.compedu.2024.105024</w:t>
        </w:r>
      </w:hyperlink>
      <w:r>
        <w:rPr>
          <w:rFonts w:ascii="Times New Roman" w:eastAsia="Times New Roman" w:hAnsi="Times New Roman" w:cs="Times New Roman"/>
          <w:sz w:val="22"/>
          <w:szCs w:val="22"/>
        </w:rPr>
        <w:t xml:space="preserve"> </w:t>
      </w:r>
    </w:p>
    <w:p w14:paraId="1DC8BABA"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Staring, F., Brown, M., Bacsich, P., &amp; </w:t>
      </w:r>
      <w:proofErr w:type="spellStart"/>
      <w:r>
        <w:rPr>
          <w:rFonts w:ascii="Times New Roman" w:eastAsia="Times New Roman" w:hAnsi="Times New Roman" w:cs="Times New Roman"/>
          <w:sz w:val="22"/>
          <w:szCs w:val="22"/>
        </w:rPr>
        <w:t>Ifenthaler</w:t>
      </w:r>
      <w:proofErr w:type="spellEnd"/>
      <w:r>
        <w:rPr>
          <w:rFonts w:ascii="Times New Roman" w:eastAsia="Times New Roman" w:hAnsi="Times New Roman" w:cs="Times New Roman"/>
          <w:sz w:val="22"/>
          <w:szCs w:val="22"/>
        </w:rPr>
        <w:t>, D. (2022). Digital higher education: Emerging quality standards, practices and supports</w:t>
      </w:r>
      <w:r>
        <w:rPr>
          <w:rFonts w:ascii="Times New Roman" w:eastAsia="Times New Roman" w:hAnsi="Times New Roman" w:cs="Times New Roman"/>
          <w:sz w:val="22"/>
          <w:szCs w:val="22"/>
        </w:rPr>
        <w:t xml:space="preserve"> (OECD Education Working Papers No. 281). OECD Publishing. </w:t>
      </w:r>
      <w:hyperlink r:id="rId37">
        <w:r w:rsidR="001D657D">
          <w:rPr>
            <w:rFonts w:ascii="Times New Roman" w:eastAsia="Times New Roman" w:hAnsi="Times New Roman" w:cs="Times New Roman"/>
            <w:color w:val="1155CC"/>
            <w:sz w:val="22"/>
            <w:szCs w:val="22"/>
            <w:u w:val="single"/>
          </w:rPr>
          <w:t>https://doi.org/10.1787/f622f257-en</w:t>
        </w:r>
      </w:hyperlink>
      <w:r>
        <w:rPr>
          <w:rFonts w:ascii="Times New Roman" w:eastAsia="Times New Roman" w:hAnsi="Times New Roman" w:cs="Times New Roman"/>
          <w:sz w:val="22"/>
          <w:szCs w:val="22"/>
        </w:rPr>
        <w:t xml:space="preserve"> </w:t>
      </w:r>
    </w:p>
    <w:p w14:paraId="38B02EDD"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UNESCO. (2019). Global Convention on the Recognition of Qualifications concerning Higher Education. </w:t>
      </w:r>
      <w:hyperlink r:id="rId38">
        <w:r w:rsidR="001D657D">
          <w:rPr>
            <w:rFonts w:ascii="Times New Roman" w:eastAsia="Times New Roman" w:hAnsi="Times New Roman" w:cs="Times New Roman"/>
            <w:color w:val="1155CC"/>
            <w:sz w:val="22"/>
            <w:szCs w:val="22"/>
            <w:u w:val="single"/>
          </w:rPr>
          <w:t>https://www.unesco.org/en/legal-affairs/global-convention-recognition-qualifications-concerning-higher-education?hub=686</w:t>
        </w:r>
      </w:hyperlink>
      <w:r>
        <w:rPr>
          <w:rFonts w:ascii="Times New Roman" w:eastAsia="Times New Roman" w:hAnsi="Times New Roman" w:cs="Times New Roman"/>
          <w:sz w:val="22"/>
          <w:szCs w:val="22"/>
        </w:rPr>
        <w:t xml:space="preserve"> </w:t>
      </w:r>
    </w:p>
    <w:p w14:paraId="5A029E17"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UNESCO. (2024). UNESCO Forum on Higher Education in Africa: Background document. </w:t>
      </w:r>
      <w:hyperlink r:id="rId39">
        <w:r w:rsidR="001D657D">
          <w:rPr>
            <w:rFonts w:ascii="Times New Roman" w:eastAsia="Times New Roman" w:hAnsi="Times New Roman" w:cs="Times New Roman"/>
            <w:color w:val="1155CC"/>
            <w:sz w:val="22"/>
            <w:szCs w:val="22"/>
            <w:u w:val="single"/>
          </w:rPr>
          <w:t>https://indico.un.org/event/1014732/attachments/20010/57231/Background%2520document-Africa-HE%2520Forum%2520FINAL.pdf</w:t>
        </w:r>
      </w:hyperlink>
      <w:r>
        <w:rPr>
          <w:rFonts w:ascii="Times New Roman" w:eastAsia="Times New Roman" w:hAnsi="Times New Roman" w:cs="Times New Roman"/>
          <w:sz w:val="22"/>
          <w:szCs w:val="22"/>
        </w:rPr>
        <w:t xml:space="preserve"> </w:t>
      </w:r>
    </w:p>
    <w:p w14:paraId="3177AEF9"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Vargas, H., Arredondo, E., </w:t>
      </w:r>
      <w:proofErr w:type="spellStart"/>
      <w:r>
        <w:rPr>
          <w:rFonts w:ascii="Times New Roman" w:eastAsia="Times New Roman" w:hAnsi="Times New Roman" w:cs="Times New Roman"/>
          <w:sz w:val="22"/>
          <w:szCs w:val="22"/>
        </w:rPr>
        <w:t>Heradio</w:t>
      </w:r>
      <w:proofErr w:type="spellEnd"/>
      <w:r>
        <w:rPr>
          <w:rFonts w:ascii="Times New Roman" w:eastAsia="Times New Roman" w:hAnsi="Times New Roman" w:cs="Times New Roman"/>
          <w:sz w:val="22"/>
          <w:szCs w:val="22"/>
        </w:rPr>
        <w:t>, R., &amp; de la Torre, L. (2025). Standardizing course assessment in competency-based higher education: A</w:t>
      </w:r>
      <w:r>
        <w:rPr>
          <w:rFonts w:ascii="Times New Roman" w:eastAsia="Times New Roman" w:hAnsi="Times New Roman" w:cs="Times New Roman"/>
          <w:sz w:val="22"/>
          <w:szCs w:val="22"/>
        </w:rPr>
        <w:t xml:space="preserve">n experience report. Frontiers in Education, 10, Article 1579124. </w:t>
      </w:r>
      <w:hyperlink r:id="rId40">
        <w:r w:rsidR="001D657D">
          <w:rPr>
            <w:rFonts w:ascii="Times New Roman" w:eastAsia="Times New Roman" w:hAnsi="Times New Roman" w:cs="Times New Roman"/>
            <w:color w:val="1155CC"/>
            <w:sz w:val="22"/>
            <w:szCs w:val="22"/>
            <w:u w:val="single"/>
          </w:rPr>
          <w:t>https://doi.org/10.3389/feduc.2025.1579124</w:t>
        </w:r>
      </w:hyperlink>
      <w:r>
        <w:rPr>
          <w:rFonts w:ascii="Times New Roman" w:eastAsia="Times New Roman" w:hAnsi="Times New Roman" w:cs="Times New Roman"/>
          <w:sz w:val="22"/>
          <w:szCs w:val="22"/>
        </w:rPr>
        <w:t xml:space="preserve"> </w:t>
      </w:r>
    </w:p>
    <w:p w14:paraId="57805F65"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van Dorresteijn, C., Fajardo-Tovar, D., Pareja Roblin, N., Cornelissen, F., </w:t>
      </w:r>
      <w:proofErr w:type="spellStart"/>
      <w:r>
        <w:rPr>
          <w:rFonts w:ascii="Times New Roman" w:eastAsia="Times New Roman" w:hAnsi="Times New Roman" w:cs="Times New Roman"/>
          <w:sz w:val="22"/>
          <w:szCs w:val="22"/>
        </w:rPr>
        <w:t>Meij</w:t>
      </w:r>
      <w:proofErr w:type="spellEnd"/>
      <w:r>
        <w:rPr>
          <w:rFonts w:ascii="Times New Roman" w:eastAsia="Times New Roman" w:hAnsi="Times New Roman" w:cs="Times New Roman"/>
          <w:sz w:val="22"/>
          <w:szCs w:val="22"/>
        </w:rPr>
        <w:t>, M.</w:t>
      </w:r>
      <w:r>
        <w:rPr>
          <w:rFonts w:ascii="Times New Roman" w:eastAsia="Times New Roman" w:hAnsi="Times New Roman" w:cs="Times New Roman"/>
          <w:sz w:val="22"/>
          <w:szCs w:val="22"/>
        </w:rPr>
        <w:t xml:space="preserve">, Voogt, J., &amp; Volman, M. (2025). What factors contribute to effective online higher education? A meta-review. Technology, Knowledge and Learning, 30(1), 171-202. </w:t>
      </w:r>
      <w:hyperlink r:id="rId41">
        <w:r w:rsidR="001D657D">
          <w:rPr>
            <w:rFonts w:ascii="Times New Roman" w:eastAsia="Times New Roman" w:hAnsi="Times New Roman" w:cs="Times New Roman"/>
            <w:color w:val="1155CC"/>
            <w:sz w:val="22"/>
            <w:szCs w:val="22"/>
            <w:u w:val="single"/>
          </w:rPr>
          <w:t>https://doi.org/10.1007/s10758-024-09750-5</w:t>
        </w:r>
      </w:hyperlink>
      <w:r>
        <w:rPr>
          <w:rFonts w:ascii="Times New Roman" w:eastAsia="Times New Roman" w:hAnsi="Times New Roman" w:cs="Times New Roman"/>
          <w:sz w:val="22"/>
          <w:szCs w:val="22"/>
        </w:rPr>
        <w:t xml:space="preserve"> </w:t>
      </w:r>
    </w:p>
    <w:p w14:paraId="72D896D5" w14:textId="77777777" w:rsidR="001D657D" w:rsidRDefault="001D657D"/>
    <w:sectPr w:rsidR="001D657D">
      <w:type w:val="continuous"/>
      <w:pgSz w:w="12240" w:h="15840"/>
      <w:pgMar w:top="1008" w:right="1080" w:bottom="1008" w:left="1080" w:header="720" w:footer="720" w:gutter="0"/>
      <w:cols w:num="2" w:space="720" w:equalWidth="0">
        <w:col w:w="4680" w:space="720"/>
        <w:col w:w="46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16C2E" w14:textId="77777777" w:rsidR="00BF73B7" w:rsidRDefault="00BF73B7" w:rsidP="007279E2">
      <w:pPr>
        <w:spacing w:after="0"/>
      </w:pPr>
      <w:r>
        <w:separator/>
      </w:r>
    </w:p>
  </w:endnote>
  <w:endnote w:type="continuationSeparator" w:id="0">
    <w:p w14:paraId="48517415" w14:textId="77777777" w:rsidR="00BF73B7" w:rsidRDefault="00BF73B7" w:rsidP="007279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charset w:val="00"/>
    <w:family w:val="swiss"/>
    <w:pitch w:val="variable"/>
    <w:sig w:usb0="20000287" w:usb1="00000003" w:usb2="00000000" w:usb3="00000000" w:csb0="0000019F" w:csb1="00000000"/>
    <w:embedRegular r:id="rId1" w:fontKey="{809D16F5-38F3-4FC3-AB37-D03F19A1D546}"/>
    <w:embedItalic r:id="rId2" w:fontKey="{3CF1063A-0BD5-49D7-AED7-317112918614}"/>
  </w:font>
  <w:font w:name="Play">
    <w:charset w:val="00"/>
    <w:family w:val="auto"/>
    <w:pitch w:val="default"/>
    <w:embedRegular r:id="rId3" w:fontKey="{DEF74A45-E0E9-4E61-8A50-8F9F8A16A23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4" w:fontKey="{CF5AE6A1-160A-481F-99AA-A05EC02E922F}"/>
  </w:font>
  <w:font w:name="Cambria">
    <w:panose1 w:val="02040503050406030204"/>
    <w:charset w:val="00"/>
    <w:family w:val="roman"/>
    <w:pitch w:val="variable"/>
    <w:sig w:usb0="E00006FF" w:usb1="420024FF" w:usb2="02000000" w:usb3="00000000" w:csb0="0000019F" w:csb1="00000000"/>
    <w:embedRegular r:id="rId5" w:fontKey="{92009507-6FF7-47C7-B120-2B126B6EC5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D5178" w14:textId="77777777" w:rsidR="007279E2" w:rsidRDefault="00727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B9676" w14:textId="77777777" w:rsidR="007279E2" w:rsidRDefault="007279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78ABD" w14:textId="77777777" w:rsidR="007279E2" w:rsidRDefault="00727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719FF" w14:textId="77777777" w:rsidR="00BF73B7" w:rsidRDefault="00BF73B7" w:rsidP="007279E2">
      <w:pPr>
        <w:spacing w:after="0"/>
      </w:pPr>
      <w:r>
        <w:separator/>
      </w:r>
    </w:p>
  </w:footnote>
  <w:footnote w:type="continuationSeparator" w:id="0">
    <w:p w14:paraId="1151F080" w14:textId="77777777" w:rsidR="00BF73B7" w:rsidRDefault="00BF73B7" w:rsidP="007279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2BD68" w14:textId="414F2FA4" w:rsidR="007279E2" w:rsidRDefault="007279E2">
    <w:pPr>
      <w:pStyle w:val="Header"/>
    </w:pPr>
    <w:r>
      <w:rPr>
        <w:noProof/>
      </w:rPr>
      <w:pict w14:anchorId="79F4D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810938" o:spid="_x0000_s2050"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E447E" w14:textId="1AB7F376" w:rsidR="007279E2" w:rsidRDefault="007279E2">
    <w:pPr>
      <w:pStyle w:val="Header"/>
    </w:pPr>
    <w:r>
      <w:rPr>
        <w:noProof/>
      </w:rPr>
      <w:pict w14:anchorId="7B4ED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810939" o:spid="_x0000_s2051"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A44AC" w14:textId="5FBE6F23" w:rsidR="007279E2" w:rsidRDefault="007279E2">
    <w:pPr>
      <w:pStyle w:val="Header"/>
    </w:pPr>
    <w:r>
      <w:rPr>
        <w:noProof/>
      </w:rPr>
      <w:pict w14:anchorId="362FB8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810937" o:spid="_x0000_s2049"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52D6F"/>
    <w:multiLevelType w:val="multilevel"/>
    <w:tmpl w:val="7DACCC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57D"/>
    <w:rsid w:val="001D657D"/>
    <w:rsid w:val="002E0F05"/>
    <w:rsid w:val="003C0C27"/>
    <w:rsid w:val="007279E2"/>
    <w:rsid w:val="00987B5B"/>
    <w:rsid w:val="00BF73B7"/>
    <w:rsid w:val="00C55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5A320C"/>
  <w15:docId w15:val="{CB33D945-36DE-4800-8E12-FEBF9FF76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jc w:val="center"/>
    </w:pPr>
    <w:rPr>
      <w:rFonts w:ascii="Play" w:eastAsia="Play" w:hAnsi="Play" w:cs="Play"/>
      <w:sz w:val="56"/>
      <w:szCs w:val="56"/>
    </w:rPr>
  </w:style>
  <w:style w:type="paragraph" w:styleId="Subtitle">
    <w:name w:val="Subtitle"/>
    <w:basedOn w:val="Normal"/>
    <w:next w:val="Normal"/>
    <w:uiPriority w:val="11"/>
    <w:qFormat/>
    <w:pPr>
      <w:spacing w:after="80"/>
      <w:jc w:val="center"/>
    </w:pPr>
    <w:rPr>
      <w:rFonts w:ascii="Play" w:eastAsia="Play" w:hAnsi="Play" w:cs="Play"/>
      <w:sz w:val="28"/>
      <w:szCs w:val="28"/>
    </w:rPr>
  </w:style>
  <w:style w:type="character" w:styleId="Hyperlink">
    <w:name w:val="Hyperlink"/>
    <w:basedOn w:val="DefaultParagraphFont"/>
    <w:uiPriority w:val="99"/>
    <w:unhideWhenUsed/>
    <w:rsid w:val="00C55FCE"/>
    <w:rPr>
      <w:color w:val="0000FF" w:themeColor="hyperlink"/>
      <w:u w:val="single"/>
    </w:rPr>
  </w:style>
  <w:style w:type="character" w:styleId="UnresolvedMention">
    <w:name w:val="Unresolved Mention"/>
    <w:basedOn w:val="DefaultParagraphFont"/>
    <w:uiPriority w:val="99"/>
    <w:semiHidden/>
    <w:unhideWhenUsed/>
    <w:rsid w:val="00C55FCE"/>
    <w:rPr>
      <w:color w:val="605E5C"/>
      <w:shd w:val="clear" w:color="auto" w:fill="E1DFDD"/>
    </w:rPr>
  </w:style>
  <w:style w:type="paragraph" w:styleId="ListParagraph">
    <w:name w:val="List Paragraph"/>
    <w:basedOn w:val="Normal"/>
    <w:uiPriority w:val="34"/>
    <w:qFormat/>
    <w:rsid w:val="003C0C27"/>
    <w:pPr>
      <w:ind w:left="720"/>
      <w:contextualSpacing/>
    </w:pPr>
  </w:style>
  <w:style w:type="paragraph" w:styleId="Header">
    <w:name w:val="header"/>
    <w:basedOn w:val="Normal"/>
    <w:link w:val="HeaderChar"/>
    <w:uiPriority w:val="99"/>
    <w:unhideWhenUsed/>
    <w:rsid w:val="007279E2"/>
    <w:pPr>
      <w:tabs>
        <w:tab w:val="center" w:pos="4513"/>
        <w:tab w:val="right" w:pos="9026"/>
      </w:tabs>
      <w:spacing w:after="0"/>
    </w:pPr>
  </w:style>
  <w:style w:type="character" w:customStyle="1" w:styleId="HeaderChar">
    <w:name w:val="Header Char"/>
    <w:basedOn w:val="DefaultParagraphFont"/>
    <w:link w:val="Header"/>
    <w:uiPriority w:val="99"/>
    <w:rsid w:val="007279E2"/>
  </w:style>
  <w:style w:type="paragraph" w:styleId="Footer">
    <w:name w:val="footer"/>
    <w:basedOn w:val="Normal"/>
    <w:link w:val="FooterChar"/>
    <w:uiPriority w:val="99"/>
    <w:unhideWhenUsed/>
    <w:rsid w:val="007279E2"/>
    <w:pPr>
      <w:tabs>
        <w:tab w:val="center" w:pos="4513"/>
        <w:tab w:val="right" w:pos="9026"/>
      </w:tabs>
      <w:spacing w:after="0"/>
    </w:pPr>
  </w:style>
  <w:style w:type="character" w:customStyle="1" w:styleId="FooterChar">
    <w:name w:val="Footer Char"/>
    <w:basedOn w:val="DefaultParagraphFont"/>
    <w:link w:val="Footer"/>
    <w:uiPriority w:val="99"/>
    <w:rsid w:val="00727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17605/OSF.IO/2FS3Z" TargetMode="External"/><Relationship Id="rId26" Type="http://schemas.openxmlformats.org/officeDocument/2006/relationships/hyperlink" Target="https://ijedict.dec.uwi.edu/viewarticle.php?id=2866" TargetMode="External"/><Relationship Id="rId39" Type="http://schemas.openxmlformats.org/officeDocument/2006/relationships/hyperlink" Target="https://indico.un.org/event/1014732/attachments/20010/57231/Background%2520document-Africa-HE%2520Forum%2520FINAL.pdf" TargetMode="External"/><Relationship Id="rId21" Type="http://schemas.openxmlformats.org/officeDocument/2006/relationships/hyperlink" Target="https://doi.org/10.3389/feduc.2025.1541031" TargetMode="External"/><Relationship Id="rId34" Type="http://schemas.openxmlformats.org/officeDocument/2006/relationships/hyperlink" Target="https://doi.org/10.1097/XEB.0000000000000277" TargetMode="External"/><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static.au.int/pt/node/42414" TargetMode="External"/><Relationship Id="rId29" Type="http://schemas.openxmlformats.org/officeDocument/2006/relationships/hyperlink" Target="https://eric.ed.gov/?id=EJ1362965" TargetMode="External"/><Relationship Id="rId41" Type="http://schemas.openxmlformats.org/officeDocument/2006/relationships/hyperlink" Target="https://doi.org/10.1007/s10758-024-0975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108/ET-07-2020-0216" TargetMode="External"/><Relationship Id="rId32" Type="http://schemas.openxmlformats.org/officeDocument/2006/relationships/hyperlink" Target="https://doi.org/10.1177/016146810610800610" TargetMode="External"/><Relationship Id="rId37" Type="http://schemas.openxmlformats.org/officeDocument/2006/relationships/hyperlink" Target="https://doi.org/10.1787/f622f257-en" TargetMode="External"/><Relationship Id="rId40" Type="http://schemas.openxmlformats.org/officeDocument/2006/relationships/hyperlink" Target="https://doi.org/10.3389/feduc.2025.1579124"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07/BF00138871" TargetMode="External"/><Relationship Id="rId28" Type="http://schemas.openxmlformats.org/officeDocument/2006/relationships/hyperlink" Target="https://doi.org/10.1186/s12909-023-04863-4" TargetMode="External"/><Relationship Id="rId36" Type="http://schemas.openxmlformats.org/officeDocument/2006/relationships/hyperlink" Target="https://doi.org/10.1016/j.compedu.2024.105024" TargetMode="External"/><Relationship Id="rId10" Type="http://schemas.openxmlformats.org/officeDocument/2006/relationships/footer" Target="footer2.xml"/><Relationship Id="rId19" Type="http://schemas.openxmlformats.org/officeDocument/2006/relationships/hyperlink" Target="https://doi.org/10.17605/OSF.IO/2FS3Z" TargetMode="External"/><Relationship Id="rId31" Type="http://schemas.openxmlformats.org/officeDocument/2006/relationships/hyperlink" Target="https://doi.org/10.24059/olj.v26i3.281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synthesismanual.jbi.global" TargetMode="External"/><Relationship Id="rId27" Type="http://schemas.openxmlformats.org/officeDocument/2006/relationships/hyperlink" Target="https://doi.org/10.1080/00091383.2014.896705" TargetMode="External"/><Relationship Id="rId30" Type="http://schemas.openxmlformats.org/officeDocument/2006/relationships/hyperlink" Target="https://doi.org/10.24059/olj.v26i1.2604" TargetMode="External"/><Relationship Id="rId35" Type="http://schemas.openxmlformats.org/officeDocument/2006/relationships/hyperlink" Target="https://doi.org/10.17605/OSF.IO/ZTYAB" TargetMode="External"/><Relationship Id="rId43"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doi.org/10.1016/S1096-7516(00)00016-6" TargetMode="External"/><Relationship Id="rId33" Type="http://schemas.openxmlformats.org/officeDocument/2006/relationships/hyperlink" Target="https://doi.org/10.24059/olj.v26i1.3071" TargetMode="External"/><Relationship Id="rId38" Type="http://schemas.openxmlformats.org/officeDocument/2006/relationships/hyperlink" Target="https://www.unesco.org/en/legal-affairs/global-convention-recognition-qualifications-concerning-higher-education?hub=68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7026</Words>
  <Characters>40049</Characters>
  <Application>Microsoft Office Word</Application>
  <DocSecurity>0</DocSecurity>
  <Lines>333</Lines>
  <Paragraphs>93</Paragraphs>
  <ScaleCrop>false</ScaleCrop>
  <Company/>
  <LinksUpToDate>false</LinksUpToDate>
  <CharactersWithSpaces>46982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7</cp:revision>
  <dcterms:created xsi:type="dcterms:W3CDTF">2026-04-11T05:06:00Z</dcterms:created>
  <dcterms:modified xsi:type="dcterms:W3CDTF">2026-04-11T10:03:00Z</dcterms:modified>
</cp:coreProperties>
</file>