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49556" w14:textId="11224173" w:rsidR="00E5024B" w:rsidRDefault="00391436" w:rsidP="0010755F">
      <w:pPr>
        <w:jc w:val="center"/>
        <w:rPr>
          <w:b/>
          <w:bCs/>
        </w:rPr>
      </w:pPr>
      <w:r w:rsidRPr="00391436">
        <w:rPr>
          <w:b/>
          <w:bCs/>
        </w:rPr>
        <w:t>CHALLENGES AND OPPORTUNITIES AMONG PRACTICING TECHNICAL DRAFTSMEN: PROPOSED DRAFTING TRAINING MODULE</w:t>
      </w:r>
    </w:p>
    <w:p w14:paraId="23AE6726" w14:textId="77777777" w:rsidR="00391436" w:rsidRPr="0010755F" w:rsidRDefault="00391436" w:rsidP="0010755F">
      <w:pPr>
        <w:jc w:val="center"/>
        <w:rPr>
          <w:b/>
          <w:bCs/>
        </w:rPr>
      </w:pPr>
    </w:p>
    <w:p w14:paraId="37E1B0D1" w14:textId="77777777" w:rsidR="008F64C9" w:rsidRPr="008F64C9" w:rsidRDefault="008F64C9" w:rsidP="0010755F">
      <w:pPr>
        <w:jc w:val="center"/>
        <w:rPr>
          <w:i/>
          <w:iCs/>
          <w:sz w:val="20"/>
          <w:szCs w:val="20"/>
        </w:rPr>
      </w:pPr>
      <w:bookmarkStart w:id="0" w:name="_GoBack"/>
      <w:bookmarkEnd w:id="0"/>
    </w:p>
    <w:p w14:paraId="68490103" w14:textId="77777777" w:rsidR="0010755F" w:rsidRPr="0010755F" w:rsidRDefault="0010755F" w:rsidP="0010755F">
      <w:pPr>
        <w:jc w:val="center"/>
      </w:pPr>
    </w:p>
    <w:p w14:paraId="53B8CE0B" w14:textId="77777777" w:rsidR="0010755F" w:rsidRDefault="0010755F" w:rsidP="0010755F">
      <w:pPr>
        <w:jc w:val="center"/>
        <w:rPr>
          <w:b/>
          <w:bCs/>
        </w:rPr>
      </w:pPr>
      <w:r w:rsidRPr="008F64C9">
        <w:rPr>
          <w:b/>
          <w:bCs/>
        </w:rPr>
        <w:t>Abstract</w:t>
      </w:r>
    </w:p>
    <w:p w14:paraId="73C562CB" w14:textId="77777777" w:rsidR="008F64C9" w:rsidRPr="008F64C9" w:rsidRDefault="008F64C9" w:rsidP="0010755F">
      <w:pPr>
        <w:jc w:val="center"/>
        <w:rPr>
          <w:b/>
          <w:bCs/>
        </w:rPr>
      </w:pPr>
    </w:p>
    <w:p w14:paraId="766C0E0A" w14:textId="77777777" w:rsidR="0010755F" w:rsidRPr="0010755F" w:rsidRDefault="0010755F" w:rsidP="0010755F">
      <w:pPr>
        <w:ind w:left="720" w:right="720"/>
        <w:jc w:val="both"/>
      </w:pPr>
      <w:r w:rsidRPr="0010755F">
        <w:t>The growing involvement of technical draftsmen in the Philippine construction industry raises important questions about competency, safety, and professional accountability. This study examined the demographic profile, work practices, motivational drivers, and informal learning strategies of 60 technical draftsmen in Cebu. Using a descriptive-correlational design, the findings revealed that financial necessity, community demand, and passion for design work are primary motivators for entry into the field. Although respondents demonstrated functional familiarity with computer-aided drafting tools, significant gaps remain in their knowledge of the National Building Code of the Philippines, structural design standards, and occupational safety protocols. Informal skill acquisition—through peer mentoring, trial-and-error, and social media-based self-directed learning—dominates their professional development. These results informed the development of a six-module competency-based training framework aligned with TESDA qualification standards, aimed at systematically building drafting competence among technical draftsmen.</w:t>
      </w:r>
    </w:p>
    <w:p w14:paraId="2A637F0F" w14:textId="77777777" w:rsidR="0010755F" w:rsidRPr="0010755F" w:rsidRDefault="0010755F" w:rsidP="0010755F">
      <w:pPr>
        <w:ind w:left="720" w:right="720"/>
        <w:jc w:val="both"/>
      </w:pPr>
    </w:p>
    <w:p w14:paraId="460E2BCE" w14:textId="77777777" w:rsidR="0010755F" w:rsidRPr="0010755F" w:rsidRDefault="0010755F" w:rsidP="0010755F">
      <w:pPr>
        <w:ind w:left="720"/>
      </w:pPr>
      <w:r w:rsidRPr="0010755F">
        <w:rPr>
          <w:b/>
          <w:bCs/>
        </w:rPr>
        <w:t>Keywords</w:t>
      </w:r>
      <w:r w:rsidRPr="0010755F">
        <w:t>: challenges, drafting skills, opportunities,</w:t>
      </w:r>
      <w:r w:rsidRPr="0010755F">
        <w:rPr>
          <w:b/>
          <w:bCs/>
        </w:rPr>
        <w:t xml:space="preserve"> </w:t>
      </w:r>
      <w:r w:rsidRPr="0010755F">
        <w:t>technical draftsmen, training module</w:t>
      </w:r>
    </w:p>
    <w:p w14:paraId="28B35102" w14:textId="77777777" w:rsidR="0010755F" w:rsidRPr="0010755F" w:rsidRDefault="0010755F" w:rsidP="0010755F"/>
    <w:p w14:paraId="02378509" w14:textId="77777777" w:rsidR="005111D1" w:rsidRPr="008F64C9" w:rsidRDefault="008F64C9" w:rsidP="00C128FA">
      <w:pPr>
        <w:pStyle w:val="ListParagraph"/>
        <w:numPr>
          <w:ilvl w:val="0"/>
          <w:numId w:val="1"/>
        </w:numPr>
        <w:ind w:left="284" w:hanging="284"/>
        <w:rPr>
          <w:b/>
          <w:bCs/>
        </w:rPr>
      </w:pPr>
      <w:r w:rsidRPr="008F64C9">
        <w:rPr>
          <w:b/>
          <w:bCs/>
        </w:rPr>
        <w:t>Introduction</w:t>
      </w:r>
    </w:p>
    <w:p w14:paraId="26F74C70" w14:textId="77777777" w:rsidR="008F64C9" w:rsidRDefault="008F64C9" w:rsidP="008F64C9">
      <w:pPr>
        <w:pStyle w:val="ListParagraph"/>
        <w:ind w:left="567"/>
      </w:pPr>
    </w:p>
    <w:p w14:paraId="783C37EF" w14:textId="77777777" w:rsidR="00C128FA" w:rsidRDefault="00C128FA" w:rsidP="001A7D4C">
      <w:pPr>
        <w:spacing w:before="120" w:after="120"/>
        <w:ind w:firstLine="720"/>
        <w:jc w:val="both"/>
      </w:pPr>
      <w:r>
        <w:t xml:space="preserve">The construction industry in the Philippines has long been shaped by a dual reality: on one hand, the formal sector of licensed architects and engineers; on the other, a broad informal workforce of </w:t>
      </w:r>
      <w:r w:rsidR="001A7D4C">
        <w:t>practicing technical draftsmen</w:t>
      </w:r>
      <w:r>
        <w:t xml:space="preserve"> who contribute substantially to the built environment, particularly in residential and rural construction. These practitioners—often referred to as </w:t>
      </w:r>
      <w:r>
        <w:rPr>
          <w:i/>
          <w:iCs/>
        </w:rPr>
        <w:t>draftsmen</w:t>
      </w:r>
      <w:r>
        <w:t xml:space="preserve">, </w:t>
      </w:r>
      <w:proofErr w:type="spellStart"/>
      <w:r>
        <w:rPr>
          <w:i/>
          <w:iCs/>
        </w:rPr>
        <w:t>mamumuo</w:t>
      </w:r>
      <w:proofErr w:type="spellEnd"/>
      <w:r>
        <w:t xml:space="preserve">, or simply construction workers with design responsibilities—operate outside the regulatory framework of Republic Act No. 9266 (Architecture Act of 2004) and Republic Act No. 544 (Civil Engineering Law), yet they remain indispensable to communities where licensed professionals are inaccessible or financially out of reach (Ballesteros, 2010; Sarmiento &amp; </w:t>
      </w:r>
      <w:proofErr w:type="spellStart"/>
      <w:r>
        <w:t>Jurisdiccion</w:t>
      </w:r>
      <w:proofErr w:type="spellEnd"/>
      <w:r>
        <w:t>, 2018).</w:t>
      </w:r>
    </w:p>
    <w:p w14:paraId="393AB519" w14:textId="77777777" w:rsidR="00C128FA" w:rsidRDefault="00C128FA" w:rsidP="001A7D4C">
      <w:pPr>
        <w:spacing w:before="120" w:after="120"/>
        <w:ind w:firstLine="720"/>
        <w:jc w:val="both"/>
      </w:pPr>
      <w:r>
        <w:t>The tension between the demand for their services and the absence of formal qualifications has drawn growing attention in vocational education research. Scholars have increasingly argued that informal construction workers occupy a grey zone of competency—capable in practice yet untrained in theory—and that structured training interventions could bridge that divide without necessarily requiring full professional licensure (</w:t>
      </w:r>
      <w:proofErr w:type="spellStart"/>
      <w:r>
        <w:t>Bacchini</w:t>
      </w:r>
      <w:proofErr w:type="spellEnd"/>
      <w:r>
        <w:t xml:space="preserve"> et al., 2019; UNESCO-UNEVOC, 2020). In the Philippine context, the Technical Education and Skills Development Authority (TESDA) has developed qualification frameworks for construction-related occupations, yet uptake among </w:t>
      </w:r>
      <w:r w:rsidR="001A7D4C">
        <w:t xml:space="preserve">practicing technical draftsmen </w:t>
      </w:r>
      <w:r>
        <w:t xml:space="preserve">remains limited, partly because existing programs do not </w:t>
      </w:r>
      <w:r>
        <w:lastRenderedPageBreak/>
        <w:t>sufficiently address drafting-specific skills and partly because participation pathways are not widely communicated (TESDA, 2021).</w:t>
      </w:r>
    </w:p>
    <w:p w14:paraId="1C4261DE" w14:textId="77777777" w:rsidR="00C128FA" w:rsidRDefault="00C128FA" w:rsidP="00572D23">
      <w:pPr>
        <w:ind w:firstLine="720"/>
        <w:jc w:val="both"/>
      </w:pPr>
      <w:r>
        <w:t xml:space="preserve">This study responds to that gap by investigating the </w:t>
      </w:r>
      <w:r w:rsidR="001A7D4C">
        <w:t xml:space="preserve">opportunities and challenges, </w:t>
      </w:r>
      <w:r>
        <w:t xml:space="preserve">lived experiences, motivational structures, and learning practices of 60 </w:t>
      </w:r>
      <w:r w:rsidR="001A7D4C">
        <w:t xml:space="preserve">practicing technical draftsmen </w:t>
      </w:r>
      <w:r>
        <w:t>in the Cebu region. Its primary aim was to generate empirical evidence that could underpin the design of a contextualized, competency-based training framework for drafting skill development. In doing so, it draws on adult learning theory, the situated learning paradigm (Lave &amp; Wenger, 1991), and the TESDA Training Regulations framework as organizing principles.</w:t>
      </w:r>
    </w:p>
    <w:p w14:paraId="39B136B3" w14:textId="77777777" w:rsidR="00572D23" w:rsidRDefault="00572D23" w:rsidP="00572D23">
      <w:pPr>
        <w:jc w:val="both"/>
      </w:pPr>
    </w:p>
    <w:p w14:paraId="5E8C3B94" w14:textId="77777777" w:rsidR="00572D23" w:rsidRDefault="00572D23" w:rsidP="00572D23">
      <w:pPr>
        <w:jc w:val="both"/>
        <w:rPr>
          <w:b/>
          <w:bCs/>
          <w:i/>
          <w:iCs/>
        </w:rPr>
      </w:pPr>
      <w:r w:rsidRPr="00572D23">
        <w:rPr>
          <w:b/>
          <w:bCs/>
          <w:i/>
          <w:iCs/>
        </w:rPr>
        <w:t>Research Objectives</w:t>
      </w:r>
    </w:p>
    <w:p w14:paraId="44D692B4" w14:textId="77777777" w:rsidR="00572D23" w:rsidRPr="00572D23" w:rsidRDefault="00572D23" w:rsidP="00572D23">
      <w:pPr>
        <w:jc w:val="both"/>
        <w:rPr>
          <w:b/>
          <w:bCs/>
          <w:i/>
          <w:iCs/>
        </w:rPr>
      </w:pPr>
    </w:p>
    <w:p w14:paraId="76C6D97B" w14:textId="77777777" w:rsidR="00572D23" w:rsidRDefault="00572D23" w:rsidP="00572D23">
      <w:pPr>
        <w:pStyle w:val="NormalWeb"/>
        <w:numPr>
          <w:ilvl w:val="0"/>
          <w:numId w:val="6"/>
        </w:numPr>
        <w:spacing w:before="0" w:beforeAutospacing="0" w:after="0" w:afterAutospacing="0"/>
      </w:pPr>
      <w:r w:rsidRPr="00572D23">
        <w:t>The experiences of technical draftsmen in delivering construction-related drafting and design services in terms of motivations; and work practices</w:t>
      </w:r>
      <w:r>
        <w:t>.</w:t>
      </w:r>
    </w:p>
    <w:p w14:paraId="45923892" w14:textId="77777777" w:rsidR="00572D23" w:rsidRPr="00572D23" w:rsidRDefault="00572D23" w:rsidP="00572D23">
      <w:pPr>
        <w:pStyle w:val="NormalWeb"/>
        <w:numPr>
          <w:ilvl w:val="0"/>
          <w:numId w:val="6"/>
        </w:numPr>
        <w:spacing w:before="0" w:beforeAutospacing="0" w:after="0" w:afterAutospacing="0"/>
      </w:pPr>
      <w:r>
        <w:t>S</w:t>
      </w:r>
      <w:r w:rsidRPr="00572D23">
        <w:t>trategies and informal learning mechanisms do technical draftsmen employ to improve their drafting-related skills and ensure the reliability of their work in terms of:</w:t>
      </w:r>
    </w:p>
    <w:p w14:paraId="159120AB" w14:textId="77777777" w:rsidR="00572D23" w:rsidRPr="00572D23" w:rsidRDefault="00572D23" w:rsidP="00572D23">
      <w:pPr>
        <w:pStyle w:val="NormalWeb"/>
        <w:numPr>
          <w:ilvl w:val="1"/>
          <w:numId w:val="6"/>
        </w:numPr>
        <w:spacing w:before="0" w:beforeAutospacing="0" w:after="0" w:afterAutospacing="0"/>
      </w:pPr>
      <w:r w:rsidRPr="00572D23">
        <w:t>informal skill-building strategies;</w:t>
      </w:r>
    </w:p>
    <w:p w14:paraId="7B9EFB9C" w14:textId="77777777" w:rsidR="00572D23" w:rsidRPr="00572D23" w:rsidRDefault="00572D23" w:rsidP="00572D23">
      <w:pPr>
        <w:pStyle w:val="NormalWeb"/>
        <w:numPr>
          <w:ilvl w:val="1"/>
          <w:numId w:val="6"/>
        </w:numPr>
        <w:spacing w:before="0" w:beforeAutospacing="0" w:after="0" w:afterAutospacing="0"/>
      </w:pPr>
      <w:r w:rsidRPr="00572D23">
        <w:t>informal learning mechanisms; and</w:t>
      </w:r>
    </w:p>
    <w:p w14:paraId="1D27986B" w14:textId="77777777" w:rsidR="00572D23" w:rsidRDefault="00572D23" w:rsidP="00572D23">
      <w:pPr>
        <w:pStyle w:val="NormalWeb"/>
        <w:numPr>
          <w:ilvl w:val="1"/>
          <w:numId w:val="6"/>
        </w:numPr>
        <w:spacing w:before="0" w:beforeAutospacing="0" w:after="0" w:afterAutospacing="0"/>
      </w:pPr>
      <w:r w:rsidRPr="00572D23">
        <w:t>technology-mediated learning?</w:t>
      </w:r>
    </w:p>
    <w:p w14:paraId="130F0762" w14:textId="77777777" w:rsidR="00572D23" w:rsidRDefault="00572D23" w:rsidP="00572D23">
      <w:pPr>
        <w:pStyle w:val="NormalWeb"/>
        <w:numPr>
          <w:ilvl w:val="0"/>
          <w:numId w:val="6"/>
        </w:numPr>
        <w:spacing w:before="0" w:beforeAutospacing="0" w:after="0" w:afterAutospacing="0"/>
      </w:pPr>
      <w:r>
        <w:t xml:space="preserve">The </w:t>
      </w:r>
      <w:r w:rsidRPr="00572D23">
        <w:t>opportunities and challenges are encountered by practicing technical draftsmen in relation to access to training, safety concerns, employment conditions, and technical limitations</w:t>
      </w:r>
    </w:p>
    <w:p w14:paraId="429AEB28" w14:textId="77777777" w:rsidR="00572D23" w:rsidRPr="00572D23" w:rsidRDefault="00572D23" w:rsidP="00572D23">
      <w:pPr>
        <w:pStyle w:val="NormalWeb"/>
        <w:numPr>
          <w:ilvl w:val="0"/>
          <w:numId w:val="6"/>
        </w:numPr>
        <w:spacing w:before="0" w:beforeAutospacing="0" w:after="0" w:afterAutospacing="0"/>
      </w:pPr>
      <w:r>
        <w:t>P</w:t>
      </w:r>
      <w:r w:rsidRPr="00572D23">
        <w:t>roposed training modules can be developed to support drafting skill development among technical draftsmen</w:t>
      </w:r>
    </w:p>
    <w:p w14:paraId="4C3C2BFB" w14:textId="77777777" w:rsidR="00C128FA" w:rsidRDefault="00C128FA" w:rsidP="008F64C9">
      <w:pPr>
        <w:pStyle w:val="ListParagraph"/>
        <w:ind w:left="567"/>
      </w:pPr>
    </w:p>
    <w:p w14:paraId="3B701CD7" w14:textId="77777777" w:rsidR="00C128FA" w:rsidRPr="00CA67FC" w:rsidRDefault="008F64C9" w:rsidP="00C128FA">
      <w:pPr>
        <w:pStyle w:val="ListParagraph"/>
        <w:numPr>
          <w:ilvl w:val="0"/>
          <w:numId w:val="1"/>
        </w:numPr>
        <w:ind w:left="284" w:hanging="284"/>
        <w:rPr>
          <w:b/>
          <w:bCs/>
        </w:rPr>
      </w:pPr>
      <w:r w:rsidRPr="00CA67FC">
        <w:rPr>
          <w:b/>
          <w:bCs/>
        </w:rPr>
        <w:t>Research Methodology</w:t>
      </w:r>
    </w:p>
    <w:p w14:paraId="570F4A15" w14:textId="77777777" w:rsidR="00572D23" w:rsidRDefault="00572D23" w:rsidP="00572D23">
      <w:pPr>
        <w:spacing w:before="120" w:after="120"/>
        <w:ind w:firstLine="720"/>
        <w:jc w:val="both"/>
      </w:pPr>
      <w:r>
        <w:t>This study employed a descriptive-correlational research design to examine the demographic profile, motivations, work practices, and learning strategies of non-licensed design practitioners. A purposive sample of 60 respondents was drawn from construction-related networks in Cebu City and neighboring municipalities. Participants were identified through snowball referral from barangay-level construction contractors and informal design offices. Inclusion criteria required that respondents actively accepted design and drafting commissions without holding a Professional Regulation Commission (PRC) license in architecture or engineering at the time of data collection.</w:t>
      </w:r>
    </w:p>
    <w:p w14:paraId="0099E9A4" w14:textId="77777777" w:rsidR="00572D23" w:rsidRDefault="00572D23" w:rsidP="00572D23">
      <w:pPr>
        <w:spacing w:before="120" w:after="120"/>
        <w:ind w:firstLine="720"/>
        <w:jc w:val="both"/>
      </w:pPr>
      <w:r>
        <w:t>Data were gathered using a structured questionnaire. All scales used a five-point response format and were validated through content validity review by a panel of three experts in construction technology and vocational education, yielding a content validity index of 0.89. Reliability was established through Cronbach's alpha, with coefficients ranging from 0.78 to 0.86 across the scales.</w:t>
      </w:r>
    </w:p>
    <w:p w14:paraId="2BA4DC2C" w14:textId="77777777" w:rsidR="00572D23" w:rsidRDefault="00572D23" w:rsidP="00572D23">
      <w:pPr>
        <w:spacing w:before="120" w:after="120"/>
        <w:ind w:firstLine="720"/>
        <w:jc w:val="both"/>
      </w:pPr>
      <w:r>
        <w:t>Pearson product-moment correlation (</w:t>
      </w:r>
      <w:r w:rsidRPr="00572D23">
        <w:rPr>
          <w:i/>
          <w:iCs/>
        </w:rPr>
        <w:t>r</w:t>
      </w:r>
      <w:r>
        <w:t>) was used to test relationships between demographic variables and the two primary outcome constructs—motivations and work practices. All analyses were conducted at a .05 level of significance.</w:t>
      </w:r>
    </w:p>
    <w:p w14:paraId="6E9F422C" w14:textId="77777777" w:rsidR="00572D23" w:rsidRPr="00572D23" w:rsidRDefault="00572D23" w:rsidP="00572D23">
      <w:pPr>
        <w:spacing w:before="120" w:after="120"/>
        <w:ind w:firstLine="720"/>
        <w:jc w:val="both"/>
      </w:pPr>
      <w:r w:rsidRPr="00572D23">
        <w:t xml:space="preserve">Finally, to explores the opportunities and challenges encountered by non-licensed workers, including access to training, workplace safety, employment conditions, and technical limitations. Interview responses will be coded and categorized into themes that reflect common obstacles and </w:t>
      </w:r>
      <w:r w:rsidRPr="00572D23">
        <w:lastRenderedPageBreak/>
        <w:t xml:space="preserve">available opportunities. The findings </w:t>
      </w:r>
      <w:r>
        <w:t>were</w:t>
      </w:r>
      <w:r w:rsidRPr="00572D23">
        <w:t xml:space="preserve"> synthesized to present a comprehensive view of the structural and personal factors that affect the respondents’ work experience and career development.</w:t>
      </w:r>
    </w:p>
    <w:p w14:paraId="6EBA948B" w14:textId="77777777" w:rsidR="00572D23" w:rsidRDefault="00572D23" w:rsidP="00CA67FC"/>
    <w:p w14:paraId="06E19927" w14:textId="77777777" w:rsidR="008F64C9" w:rsidRDefault="008F64C9" w:rsidP="00C128FA">
      <w:pPr>
        <w:pStyle w:val="ListParagraph"/>
        <w:numPr>
          <w:ilvl w:val="0"/>
          <w:numId w:val="1"/>
        </w:numPr>
        <w:tabs>
          <w:tab w:val="left" w:pos="426"/>
        </w:tabs>
        <w:ind w:left="284" w:hanging="284"/>
        <w:rPr>
          <w:b/>
          <w:bCs/>
        </w:rPr>
      </w:pPr>
      <w:r w:rsidRPr="00CA67FC">
        <w:rPr>
          <w:b/>
          <w:bCs/>
        </w:rPr>
        <w:t>Results and Discussions</w:t>
      </w:r>
    </w:p>
    <w:p w14:paraId="17BD1C00" w14:textId="77777777" w:rsidR="00CA67FC" w:rsidRDefault="00CA67FC" w:rsidP="00CA67FC">
      <w:pPr>
        <w:pStyle w:val="ListParagraph"/>
        <w:tabs>
          <w:tab w:val="left" w:pos="426"/>
        </w:tabs>
        <w:ind w:left="284"/>
        <w:rPr>
          <w:b/>
          <w:bCs/>
        </w:rPr>
      </w:pPr>
    </w:p>
    <w:p w14:paraId="4CE7F3A2" w14:textId="77777777" w:rsidR="00CA67FC" w:rsidRPr="00CA67FC" w:rsidRDefault="00CA67FC" w:rsidP="00CA67FC">
      <w:pPr>
        <w:spacing w:line="480" w:lineRule="auto"/>
        <w:jc w:val="both"/>
        <w:rPr>
          <w:rFonts w:eastAsia="Arial"/>
          <w:b/>
          <w:bCs/>
          <w:color w:val="000000" w:themeColor="text1"/>
        </w:rPr>
      </w:pPr>
      <w:r w:rsidRPr="00CA67FC">
        <w:rPr>
          <w:rFonts w:eastAsia="Arial"/>
          <w:b/>
          <w:bCs/>
          <w:color w:val="000000" w:themeColor="text1"/>
        </w:rPr>
        <w:t xml:space="preserve">The Experiences of </w:t>
      </w:r>
      <w:r w:rsidRPr="00CA67FC">
        <w:rPr>
          <w:rFonts w:eastAsia="Arial"/>
          <w:b/>
          <w:bCs/>
        </w:rPr>
        <w:t>Technical Draftsmen</w:t>
      </w:r>
    </w:p>
    <w:p w14:paraId="797A5A33" w14:textId="443FA73F" w:rsidR="00CA67FC" w:rsidRPr="00CA67FC" w:rsidRDefault="00CA67FC" w:rsidP="00CA67FC">
      <w:pPr>
        <w:spacing w:after="80"/>
        <w:rPr>
          <w:rFonts w:eastAsia="Arial"/>
          <w:b/>
          <w:bCs/>
        </w:rPr>
      </w:pPr>
      <w:r w:rsidRPr="00CA67FC">
        <w:rPr>
          <w:rFonts w:eastAsia="Arial"/>
          <w:b/>
          <w:bCs/>
        </w:rPr>
        <w:t>Table 1</w:t>
      </w:r>
      <w:r w:rsidR="006C6383">
        <w:rPr>
          <w:rFonts w:eastAsia="Arial"/>
          <w:b/>
          <w:bCs/>
        </w:rPr>
        <w:t>: M</w:t>
      </w:r>
      <w:r w:rsidR="006C6383" w:rsidRPr="006C6383">
        <w:rPr>
          <w:rFonts w:eastAsia="Arial"/>
          <w:b/>
          <w:bCs/>
        </w:rPr>
        <w:t xml:space="preserve">ean </w:t>
      </w:r>
      <w:r w:rsidR="00671BC1">
        <w:rPr>
          <w:rFonts w:eastAsia="Arial"/>
          <w:b/>
          <w:bCs/>
        </w:rPr>
        <w:t>R</w:t>
      </w:r>
      <w:r w:rsidR="006C6383" w:rsidRPr="006C6383">
        <w:rPr>
          <w:rFonts w:eastAsia="Arial"/>
          <w:b/>
          <w:bCs/>
        </w:rPr>
        <w:t xml:space="preserve">atings for motivational </w:t>
      </w:r>
      <w:r w:rsidR="00235A05" w:rsidRPr="00CA67FC">
        <w:rPr>
          <w:rFonts w:eastAsia="Arial"/>
          <w:b/>
          <w:bCs/>
          <w:color w:val="000000" w:themeColor="text1"/>
        </w:rPr>
        <w:t>Indicator</w:t>
      </w:r>
      <w:r w:rsidR="00235A05">
        <w:rPr>
          <w:rFonts w:eastAsia="Arial"/>
          <w:b/>
          <w:bCs/>
          <w:color w:val="000000" w:themeColor="text1"/>
        </w:rPr>
        <w:t>s</w:t>
      </w:r>
    </w:p>
    <w:p w14:paraId="65E35A40" w14:textId="77777777" w:rsidR="00CA67FC" w:rsidRPr="00CA67FC" w:rsidRDefault="00CA67FC" w:rsidP="00CA67FC">
      <w:pPr>
        <w:spacing w:after="80"/>
      </w:pPr>
      <w:r w:rsidRPr="00CA67FC">
        <w:rPr>
          <w:rFonts w:eastAsia="Arial"/>
          <w:i/>
          <w:iCs/>
        </w:rPr>
        <w:t>Mean Ratings of Motivations for Engaging in Non-Licensed Design Practice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CA67FC" w:rsidRPr="00CA67FC" w14:paraId="6AA68B77" w14:textId="77777777" w:rsidTr="00CA67FC">
        <w:tc>
          <w:tcPr>
            <w:tcW w:w="4106" w:type="dxa"/>
            <w:tcBorders>
              <w:top w:val="single" w:sz="4" w:space="0" w:color="auto"/>
              <w:bottom w:val="single" w:sz="4" w:space="0" w:color="auto"/>
            </w:tcBorders>
            <w:vAlign w:val="center"/>
          </w:tcPr>
          <w:p w14:paraId="5E0A2FAD" w14:textId="77777777" w:rsidR="00CA67FC" w:rsidRPr="00CA67FC" w:rsidRDefault="00CA67FC" w:rsidP="006A7B7D">
            <w:pPr>
              <w:jc w:val="center"/>
              <w:rPr>
                <w:color w:val="000000" w:themeColor="text1"/>
              </w:rPr>
            </w:pPr>
            <w:r w:rsidRPr="00CA67FC">
              <w:rPr>
                <w:rFonts w:eastAsia="Arial"/>
                <w:b/>
                <w:bCs/>
                <w:color w:val="000000" w:themeColor="text1"/>
              </w:rPr>
              <w:t>Motivation Indicator</w:t>
            </w:r>
          </w:p>
        </w:tc>
        <w:tc>
          <w:tcPr>
            <w:tcW w:w="1418" w:type="dxa"/>
            <w:tcBorders>
              <w:top w:val="single" w:sz="4" w:space="0" w:color="auto"/>
              <w:bottom w:val="single" w:sz="4" w:space="0" w:color="auto"/>
            </w:tcBorders>
            <w:vAlign w:val="center"/>
          </w:tcPr>
          <w:p w14:paraId="47D3E54D" w14:textId="77777777" w:rsidR="00CA67FC" w:rsidRPr="00CA67FC" w:rsidRDefault="00CA67FC" w:rsidP="006A7B7D">
            <w:pPr>
              <w:jc w:val="center"/>
              <w:rPr>
                <w:color w:val="000000" w:themeColor="text1"/>
              </w:rPr>
            </w:pPr>
            <w:r w:rsidRPr="00CA67FC">
              <w:rPr>
                <w:rFonts w:eastAsia="Arial"/>
                <w:b/>
                <w:bCs/>
                <w:color w:val="000000" w:themeColor="text1"/>
              </w:rPr>
              <w:t>Mean</w:t>
            </w:r>
          </w:p>
        </w:tc>
        <w:tc>
          <w:tcPr>
            <w:tcW w:w="1488" w:type="dxa"/>
            <w:tcBorders>
              <w:top w:val="single" w:sz="4" w:space="0" w:color="auto"/>
              <w:bottom w:val="single" w:sz="4" w:space="0" w:color="auto"/>
            </w:tcBorders>
            <w:vAlign w:val="center"/>
          </w:tcPr>
          <w:p w14:paraId="27109291" w14:textId="77777777" w:rsidR="00CA67FC" w:rsidRPr="00CA67FC" w:rsidRDefault="00CA67FC" w:rsidP="006A7B7D">
            <w:pPr>
              <w:jc w:val="center"/>
              <w:rPr>
                <w:color w:val="000000" w:themeColor="text1"/>
              </w:rPr>
            </w:pPr>
            <w:r w:rsidRPr="00CA67FC">
              <w:rPr>
                <w:rFonts w:eastAsia="Arial"/>
                <w:b/>
                <w:bCs/>
                <w:color w:val="000000" w:themeColor="text1"/>
              </w:rPr>
              <w:t>SD</w:t>
            </w:r>
          </w:p>
        </w:tc>
        <w:tc>
          <w:tcPr>
            <w:tcW w:w="2338" w:type="dxa"/>
            <w:tcBorders>
              <w:top w:val="single" w:sz="4" w:space="0" w:color="auto"/>
              <w:bottom w:val="single" w:sz="4" w:space="0" w:color="auto"/>
            </w:tcBorders>
            <w:vAlign w:val="center"/>
          </w:tcPr>
          <w:p w14:paraId="41D3851D" w14:textId="77777777" w:rsidR="00CA67FC" w:rsidRPr="00CA67FC" w:rsidRDefault="00CA67FC" w:rsidP="006A7B7D">
            <w:pPr>
              <w:jc w:val="center"/>
              <w:rPr>
                <w:color w:val="000000" w:themeColor="text1"/>
              </w:rPr>
            </w:pPr>
            <w:r w:rsidRPr="00CA67FC">
              <w:rPr>
                <w:rFonts w:eastAsia="Arial"/>
                <w:b/>
                <w:bCs/>
                <w:color w:val="000000" w:themeColor="text1"/>
              </w:rPr>
              <w:t>Verbal Interpretation</w:t>
            </w:r>
          </w:p>
        </w:tc>
      </w:tr>
      <w:tr w:rsidR="00CA67FC" w:rsidRPr="00CA67FC" w14:paraId="18624EC7" w14:textId="77777777" w:rsidTr="00CA67FC">
        <w:tc>
          <w:tcPr>
            <w:tcW w:w="4106" w:type="dxa"/>
            <w:tcBorders>
              <w:top w:val="single" w:sz="4" w:space="0" w:color="auto"/>
            </w:tcBorders>
          </w:tcPr>
          <w:p w14:paraId="12413D95" w14:textId="77777777" w:rsidR="00CA67FC" w:rsidRPr="00CA67FC" w:rsidRDefault="00CA67FC" w:rsidP="006A7B7D">
            <w:r w:rsidRPr="00CA67FC">
              <w:rPr>
                <w:rFonts w:eastAsia="Arial"/>
              </w:rPr>
              <w:t>Financial necessity / income generation</w:t>
            </w:r>
          </w:p>
        </w:tc>
        <w:tc>
          <w:tcPr>
            <w:tcW w:w="1418" w:type="dxa"/>
            <w:tcBorders>
              <w:top w:val="single" w:sz="4" w:space="0" w:color="auto"/>
            </w:tcBorders>
          </w:tcPr>
          <w:p w14:paraId="6BE43F70" w14:textId="77777777" w:rsidR="00CA67FC" w:rsidRPr="00CA67FC" w:rsidRDefault="00CA67FC" w:rsidP="006A7B7D">
            <w:r w:rsidRPr="00CA67FC">
              <w:rPr>
                <w:rFonts w:eastAsia="Arial"/>
              </w:rPr>
              <w:t>4.52</w:t>
            </w:r>
          </w:p>
        </w:tc>
        <w:tc>
          <w:tcPr>
            <w:tcW w:w="1488" w:type="dxa"/>
            <w:tcBorders>
              <w:top w:val="single" w:sz="4" w:space="0" w:color="auto"/>
            </w:tcBorders>
          </w:tcPr>
          <w:p w14:paraId="2E62A260" w14:textId="77777777" w:rsidR="00CA67FC" w:rsidRPr="00CA67FC" w:rsidRDefault="00CA67FC" w:rsidP="006A7B7D">
            <w:r w:rsidRPr="00CA67FC">
              <w:rPr>
                <w:rFonts w:eastAsia="Arial"/>
              </w:rPr>
              <w:t>0.61</w:t>
            </w:r>
          </w:p>
        </w:tc>
        <w:tc>
          <w:tcPr>
            <w:tcW w:w="2338" w:type="dxa"/>
            <w:tcBorders>
              <w:top w:val="single" w:sz="4" w:space="0" w:color="auto"/>
            </w:tcBorders>
          </w:tcPr>
          <w:p w14:paraId="18FC0BED" w14:textId="77777777" w:rsidR="00CA67FC" w:rsidRPr="00CA67FC" w:rsidRDefault="00CA67FC" w:rsidP="006A7B7D">
            <w:r w:rsidRPr="00CA67FC">
              <w:rPr>
                <w:rFonts w:eastAsia="Arial"/>
              </w:rPr>
              <w:t>Strongly Agree</w:t>
            </w:r>
          </w:p>
        </w:tc>
      </w:tr>
      <w:tr w:rsidR="00CA67FC" w:rsidRPr="00CA67FC" w14:paraId="544CD9E0" w14:textId="77777777" w:rsidTr="00CA67FC">
        <w:tc>
          <w:tcPr>
            <w:tcW w:w="4106" w:type="dxa"/>
          </w:tcPr>
          <w:p w14:paraId="0E74ED4E" w14:textId="77777777" w:rsidR="00CA67FC" w:rsidRPr="00CA67FC" w:rsidRDefault="00CA67FC" w:rsidP="006A7B7D">
            <w:r w:rsidRPr="00CA67FC">
              <w:rPr>
                <w:rFonts w:eastAsia="Arial"/>
              </w:rPr>
              <w:t>Passion for construction and design work</w:t>
            </w:r>
          </w:p>
        </w:tc>
        <w:tc>
          <w:tcPr>
            <w:tcW w:w="1418" w:type="dxa"/>
          </w:tcPr>
          <w:p w14:paraId="36C087FA" w14:textId="77777777" w:rsidR="00CA67FC" w:rsidRPr="00CA67FC" w:rsidRDefault="00CA67FC" w:rsidP="006A7B7D">
            <w:r w:rsidRPr="00CA67FC">
              <w:rPr>
                <w:rFonts w:eastAsia="Arial"/>
              </w:rPr>
              <w:t>4.21</w:t>
            </w:r>
          </w:p>
        </w:tc>
        <w:tc>
          <w:tcPr>
            <w:tcW w:w="1488" w:type="dxa"/>
          </w:tcPr>
          <w:p w14:paraId="132D55F8" w14:textId="77777777" w:rsidR="00CA67FC" w:rsidRPr="00CA67FC" w:rsidRDefault="00CA67FC" w:rsidP="006A7B7D">
            <w:r w:rsidRPr="00CA67FC">
              <w:rPr>
                <w:rFonts w:eastAsia="Arial"/>
              </w:rPr>
              <w:t>0.74</w:t>
            </w:r>
          </w:p>
        </w:tc>
        <w:tc>
          <w:tcPr>
            <w:tcW w:w="2338" w:type="dxa"/>
          </w:tcPr>
          <w:p w14:paraId="4D47BDE5" w14:textId="77777777" w:rsidR="00CA67FC" w:rsidRPr="00CA67FC" w:rsidRDefault="00CA67FC" w:rsidP="006A7B7D">
            <w:r w:rsidRPr="00CA67FC">
              <w:rPr>
                <w:rFonts w:eastAsia="Arial"/>
              </w:rPr>
              <w:t>Strongly Agree</w:t>
            </w:r>
          </w:p>
        </w:tc>
      </w:tr>
      <w:tr w:rsidR="00CA67FC" w:rsidRPr="00CA67FC" w14:paraId="08CA831E" w14:textId="77777777" w:rsidTr="00CA67FC">
        <w:tc>
          <w:tcPr>
            <w:tcW w:w="4106" w:type="dxa"/>
          </w:tcPr>
          <w:p w14:paraId="234F3E7E" w14:textId="77777777" w:rsidR="00CA67FC" w:rsidRPr="00CA67FC" w:rsidRDefault="00CA67FC" w:rsidP="006A7B7D">
            <w:r w:rsidRPr="00CA67FC">
              <w:rPr>
                <w:rFonts w:eastAsia="Arial"/>
              </w:rPr>
              <w:t>Community demand for affordable design services</w:t>
            </w:r>
          </w:p>
        </w:tc>
        <w:tc>
          <w:tcPr>
            <w:tcW w:w="1418" w:type="dxa"/>
          </w:tcPr>
          <w:p w14:paraId="321D32A1" w14:textId="77777777" w:rsidR="00CA67FC" w:rsidRPr="00CA67FC" w:rsidRDefault="00CA67FC" w:rsidP="006A7B7D">
            <w:r w:rsidRPr="00CA67FC">
              <w:rPr>
                <w:rFonts w:eastAsia="Arial"/>
              </w:rPr>
              <w:t>4.38</w:t>
            </w:r>
          </w:p>
        </w:tc>
        <w:tc>
          <w:tcPr>
            <w:tcW w:w="1488" w:type="dxa"/>
          </w:tcPr>
          <w:p w14:paraId="252C0F93" w14:textId="77777777" w:rsidR="00CA67FC" w:rsidRPr="00CA67FC" w:rsidRDefault="00CA67FC" w:rsidP="006A7B7D">
            <w:r w:rsidRPr="00CA67FC">
              <w:rPr>
                <w:rFonts w:eastAsia="Arial"/>
              </w:rPr>
              <w:t>0.68</w:t>
            </w:r>
          </w:p>
        </w:tc>
        <w:tc>
          <w:tcPr>
            <w:tcW w:w="2338" w:type="dxa"/>
          </w:tcPr>
          <w:p w14:paraId="265E4003" w14:textId="77777777" w:rsidR="00CA67FC" w:rsidRPr="00CA67FC" w:rsidRDefault="00CA67FC" w:rsidP="006A7B7D">
            <w:r w:rsidRPr="00CA67FC">
              <w:rPr>
                <w:rFonts w:eastAsia="Arial"/>
              </w:rPr>
              <w:t>Strongly Agree</w:t>
            </w:r>
          </w:p>
        </w:tc>
      </w:tr>
      <w:tr w:rsidR="00CA67FC" w:rsidRPr="00CA67FC" w14:paraId="6BCEF898" w14:textId="77777777" w:rsidTr="00CA67FC">
        <w:tc>
          <w:tcPr>
            <w:tcW w:w="4106" w:type="dxa"/>
          </w:tcPr>
          <w:p w14:paraId="5C14C913" w14:textId="77777777" w:rsidR="00CA67FC" w:rsidRPr="00CA67FC" w:rsidRDefault="00CA67FC" w:rsidP="006A7B7D">
            <w:r w:rsidRPr="00CA67FC">
              <w:rPr>
                <w:rFonts w:eastAsia="Arial"/>
              </w:rPr>
              <w:t>Absence of accessible licensed professionals nearby</w:t>
            </w:r>
          </w:p>
        </w:tc>
        <w:tc>
          <w:tcPr>
            <w:tcW w:w="1418" w:type="dxa"/>
          </w:tcPr>
          <w:p w14:paraId="2472BA11" w14:textId="77777777" w:rsidR="00CA67FC" w:rsidRPr="00CA67FC" w:rsidRDefault="00CA67FC" w:rsidP="006A7B7D">
            <w:r w:rsidRPr="00CA67FC">
              <w:rPr>
                <w:rFonts w:eastAsia="Arial"/>
              </w:rPr>
              <w:t>3.97</w:t>
            </w:r>
          </w:p>
        </w:tc>
        <w:tc>
          <w:tcPr>
            <w:tcW w:w="1488" w:type="dxa"/>
          </w:tcPr>
          <w:p w14:paraId="6058E1AF" w14:textId="77777777" w:rsidR="00CA67FC" w:rsidRPr="00CA67FC" w:rsidRDefault="00CA67FC" w:rsidP="006A7B7D">
            <w:r w:rsidRPr="00CA67FC">
              <w:rPr>
                <w:rFonts w:eastAsia="Arial"/>
              </w:rPr>
              <w:t>0.83</w:t>
            </w:r>
          </w:p>
        </w:tc>
        <w:tc>
          <w:tcPr>
            <w:tcW w:w="2338" w:type="dxa"/>
          </w:tcPr>
          <w:p w14:paraId="4CD6E9AA" w14:textId="77777777" w:rsidR="00CA67FC" w:rsidRPr="00CA67FC" w:rsidRDefault="00CA67FC" w:rsidP="006A7B7D">
            <w:r w:rsidRPr="00CA67FC">
              <w:rPr>
                <w:rFonts w:eastAsia="Arial"/>
              </w:rPr>
              <w:t>Agree</w:t>
            </w:r>
          </w:p>
        </w:tc>
      </w:tr>
      <w:tr w:rsidR="00CA67FC" w:rsidRPr="00CA67FC" w14:paraId="706580F1" w14:textId="77777777" w:rsidTr="00CA67FC">
        <w:tc>
          <w:tcPr>
            <w:tcW w:w="4106" w:type="dxa"/>
          </w:tcPr>
          <w:p w14:paraId="7E23D740" w14:textId="77777777" w:rsidR="00CA67FC" w:rsidRPr="00CA67FC" w:rsidRDefault="00CA67FC" w:rsidP="006A7B7D">
            <w:r w:rsidRPr="00CA67FC">
              <w:rPr>
                <w:rFonts w:eastAsia="Arial"/>
              </w:rPr>
              <w:t>Referral or encouragement by peers / employers</w:t>
            </w:r>
          </w:p>
        </w:tc>
        <w:tc>
          <w:tcPr>
            <w:tcW w:w="1418" w:type="dxa"/>
          </w:tcPr>
          <w:p w14:paraId="4005B227" w14:textId="77777777" w:rsidR="00CA67FC" w:rsidRPr="00CA67FC" w:rsidRDefault="00CA67FC" w:rsidP="006A7B7D">
            <w:r w:rsidRPr="00CA67FC">
              <w:rPr>
                <w:rFonts w:eastAsia="Arial"/>
              </w:rPr>
              <w:t>3.74</w:t>
            </w:r>
          </w:p>
        </w:tc>
        <w:tc>
          <w:tcPr>
            <w:tcW w:w="1488" w:type="dxa"/>
          </w:tcPr>
          <w:p w14:paraId="35905E68" w14:textId="77777777" w:rsidR="00CA67FC" w:rsidRPr="00CA67FC" w:rsidRDefault="00CA67FC" w:rsidP="006A7B7D">
            <w:r w:rsidRPr="00CA67FC">
              <w:rPr>
                <w:rFonts w:eastAsia="Arial"/>
              </w:rPr>
              <w:t>0.91</w:t>
            </w:r>
          </w:p>
        </w:tc>
        <w:tc>
          <w:tcPr>
            <w:tcW w:w="2338" w:type="dxa"/>
          </w:tcPr>
          <w:p w14:paraId="7E828642" w14:textId="77777777" w:rsidR="00CA67FC" w:rsidRPr="00CA67FC" w:rsidRDefault="00CA67FC" w:rsidP="006A7B7D">
            <w:r w:rsidRPr="00CA67FC">
              <w:rPr>
                <w:rFonts w:eastAsia="Arial"/>
              </w:rPr>
              <w:t>Agree</w:t>
            </w:r>
          </w:p>
        </w:tc>
      </w:tr>
      <w:tr w:rsidR="00CA67FC" w:rsidRPr="00CA67FC" w14:paraId="0BC9C8D8" w14:textId="77777777" w:rsidTr="00CA67FC">
        <w:tc>
          <w:tcPr>
            <w:tcW w:w="4106" w:type="dxa"/>
          </w:tcPr>
          <w:p w14:paraId="01109E35" w14:textId="77777777" w:rsidR="00CA67FC" w:rsidRPr="00CA67FC" w:rsidRDefault="00CA67FC" w:rsidP="006A7B7D">
            <w:r w:rsidRPr="00CA67FC">
              <w:rPr>
                <w:rFonts w:eastAsia="Arial"/>
              </w:rPr>
              <w:t>Career advancement and upskilling aspirations</w:t>
            </w:r>
          </w:p>
        </w:tc>
        <w:tc>
          <w:tcPr>
            <w:tcW w:w="1418" w:type="dxa"/>
          </w:tcPr>
          <w:p w14:paraId="75920615" w14:textId="77777777" w:rsidR="00CA67FC" w:rsidRPr="00CA67FC" w:rsidRDefault="00CA67FC" w:rsidP="006A7B7D">
            <w:r w:rsidRPr="00CA67FC">
              <w:rPr>
                <w:rFonts w:eastAsia="Arial"/>
              </w:rPr>
              <w:t>4.08</w:t>
            </w:r>
          </w:p>
        </w:tc>
        <w:tc>
          <w:tcPr>
            <w:tcW w:w="1488" w:type="dxa"/>
          </w:tcPr>
          <w:p w14:paraId="7E00419F" w14:textId="77777777" w:rsidR="00CA67FC" w:rsidRPr="00CA67FC" w:rsidRDefault="00CA67FC" w:rsidP="006A7B7D">
            <w:r w:rsidRPr="00CA67FC">
              <w:rPr>
                <w:rFonts w:eastAsia="Arial"/>
              </w:rPr>
              <w:t>0.79</w:t>
            </w:r>
          </w:p>
        </w:tc>
        <w:tc>
          <w:tcPr>
            <w:tcW w:w="2338" w:type="dxa"/>
          </w:tcPr>
          <w:p w14:paraId="6AE26F03" w14:textId="77777777" w:rsidR="00CA67FC" w:rsidRPr="00CA67FC" w:rsidRDefault="00CA67FC" w:rsidP="006A7B7D">
            <w:r w:rsidRPr="00CA67FC">
              <w:rPr>
                <w:rFonts w:eastAsia="Arial"/>
              </w:rPr>
              <w:t>Agree</w:t>
            </w:r>
          </w:p>
        </w:tc>
      </w:tr>
      <w:tr w:rsidR="00CA67FC" w:rsidRPr="00CA67FC" w14:paraId="6AF756A0" w14:textId="77777777" w:rsidTr="00CA67FC">
        <w:tc>
          <w:tcPr>
            <w:tcW w:w="4106" w:type="dxa"/>
          </w:tcPr>
          <w:p w14:paraId="572AB898" w14:textId="77777777" w:rsidR="00CA67FC" w:rsidRPr="00CA67FC" w:rsidRDefault="00CA67FC" w:rsidP="006A7B7D">
            <w:r w:rsidRPr="00CA67FC">
              <w:rPr>
                <w:rFonts w:eastAsia="Arial"/>
                <w:b/>
                <w:bCs/>
                <w:color w:val="1B3A5C"/>
              </w:rPr>
              <w:t>Overall Mean</w:t>
            </w:r>
          </w:p>
        </w:tc>
        <w:tc>
          <w:tcPr>
            <w:tcW w:w="1418" w:type="dxa"/>
          </w:tcPr>
          <w:p w14:paraId="1CF88CEB" w14:textId="77777777" w:rsidR="00CA67FC" w:rsidRPr="00CA67FC" w:rsidRDefault="00CA67FC" w:rsidP="006A7B7D">
            <w:r w:rsidRPr="00CA67FC">
              <w:rPr>
                <w:rFonts w:eastAsia="Arial"/>
                <w:b/>
                <w:bCs/>
                <w:color w:val="1B3A5C"/>
              </w:rPr>
              <w:t>4.15</w:t>
            </w:r>
          </w:p>
        </w:tc>
        <w:tc>
          <w:tcPr>
            <w:tcW w:w="1488" w:type="dxa"/>
          </w:tcPr>
          <w:p w14:paraId="0642C3DB" w14:textId="77777777" w:rsidR="00CA67FC" w:rsidRPr="00CA67FC" w:rsidRDefault="00CA67FC" w:rsidP="006A7B7D">
            <w:r w:rsidRPr="00CA67FC">
              <w:rPr>
                <w:rFonts w:eastAsia="Arial"/>
                <w:b/>
                <w:bCs/>
                <w:color w:val="1B3A5C"/>
              </w:rPr>
              <w:t>0.76</w:t>
            </w:r>
          </w:p>
        </w:tc>
        <w:tc>
          <w:tcPr>
            <w:tcW w:w="2338" w:type="dxa"/>
          </w:tcPr>
          <w:p w14:paraId="4A6049AD" w14:textId="77777777" w:rsidR="00CA67FC" w:rsidRPr="00CA67FC" w:rsidRDefault="00CA67FC" w:rsidP="006A7B7D">
            <w:r w:rsidRPr="00CA67FC">
              <w:rPr>
                <w:rFonts w:eastAsia="Arial"/>
                <w:b/>
                <w:bCs/>
                <w:color w:val="1B3A5C"/>
              </w:rPr>
              <w:t>Agree</w:t>
            </w:r>
          </w:p>
        </w:tc>
      </w:tr>
    </w:tbl>
    <w:p w14:paraId="2DC31DBB" w14:textId="77777777" w:rsidR="00CA67FC" w:rsidRPr="00CA67FC" w:rsidRDefault="00CA67FC" w:rsidP="00CA67FC">
      <w:pPr>
        <w:rPr>
          <w:rFonts w:eastAsia="Arial"/>
          <w:sz w:val="20"/>
          <w:szCs w:val="20"/>
        </w:rPr>
      </w:pPr>
      <w:r w:rsidRPr="00CA67FC">
        <w:rPr>
          <w:rFonts w:eastAsia="Arial"/>
          <w:b/>
          <w:bCs/>
          <w:i/>
          <w:iCs/>
          <w:sz w:val="20"/>
          <w:szCs w:val="20"/>
        </w:rPr>
        <w:t xml:space="preserve">Note. </w:t>
      </w:r>
      <w:r w:rsidRPr="00CA67FC">
        <w:rPr>
          <w:rFonts w:eastAsia="Arial"/>
          <w:sz w:val="20"/>
          <w:szCs w:val="20"/>
        </w:rPr>
        <w:t xml:space="preserve">Scale: 4.50–5.00 = Strongly Agree; 3.50–4.49 = Agree; 2.50–3.49 = Neutral; 1.50–2.49 = Disagree; </w:t>
      </w:r>
    </w:p>
    <w:p w14:paraId="31584E19" w14:textId="77777777" w:rsidR="00CA67FC" w:rsidRPr="00CA67FC" w:rsidRDefault="00CA67FC" w:rsidP="00CA67FC">
      <w:pPr>
        <w:rPr>
          <w:sz w:val="20"/>
          <w:szCs w:val="20"/>
        </w:rPr>
      </w:pPr>
      <w:r w:rsidRPr="00CA67FC">
        <w:rPr>
          <w:rFonts w:eastAsia="Arial"/>
          <w:sz w:val="20"/>
          <w:szCs w:val="20"/>
        </w:rPr>
        <w:t>1.00–1.49 = Strongly Disagree. n = 60.</w:t>
      </w:r>
    </w:p>
    <w:p w14:paraId="23B8F3A5" w14:textId="77777777" w:rsidR="00CA67FC" w:rsidRDefault="00CA67FC" w:rsidP="00CA67FC">
      <w:pPr>
        <w:spacing w:before="120" w:after="120"/>
        <w:ind w:firstLine="720"/>
        <w:jc w:val="both"/>
      </w:pPr>
      <w:r>
        <w:t>Table 1 displays mean ratings for motivational drivers. The highest-rated item was financial necessity and income generation (</w:t>
      </w:r>
      <w:r>
        <w:rPr>
          <w:i/>
          <w:iCs/>
        </w:rPr>
        <w:t>M</w:t>
      </w:r>
      <w:r>
        <w:t xml:space="preserve"> = 4.52, </w:t>
      </w:r>
      <w:r>
        <w:rPr>
          <w:i/>
          <w:iCs/>
        </w:rPr>
        <w:t>SD</w:t>
      </w:r>
      <w:r>
        <w:t xml:space="preserve"> = 0.61), which fell within the Strongly Agree range—the only motivation to do so. Community demand for affordable design services was the second highest (</w:t>
      </w:r>
      <w:r>
        <w:rPr>
          <w:i/>
          <w:iCs/>
        </w:rPr>
        <w:t>M</w:t>
      </w:r>
      <w:r>
        <w:t xml:space="preserve"> = 4.38, </w:t>
      </w:r>
      <w:r>
        <w:rPr>
          <w:i/>
          <w:iCs/>
        </w:rPr>
        <w:t>SD</w:t>
      </w:r>
      <w:r>
        <w:t xml:space="preserve"> = 0.68), followed by passion for construction and design work (</w:t>
      </w:r>
      <w:r>
        <w:rPr>
          <w:i/>
          <w:iCs/>
        </w:rPr>
        <w:t>M</w:t>
      </w:r>
      <w:r>
        <w:t xml:space="preserve"> = 4.21, </w:t>
      </w:r>
      <w:r>
        <w:rPr>
          <w:i/>
          <w:iCs/>
        </w:rPr>
        <w:t>SD</w:t>
      </w:r>
      <w:r>
        <w:t xml:space="preserve"> = 0.74). The overall mean of 4.15 (</w:t>
      </w:r>
      <w:r>
        <w:rPr>
          <w:i/>
          <w:iCs/>
        </w:rPr>
        <w:t>SD</w:t>
      </w:r>
      <w:r>
        <w:t xml:space="preserve"> = 0.76) placed the composite motivation construct in the Agree range, signaling that engagement in non-licensed design practice is driven by a convergence of economic necessity and genuine occupational interest rather than by either factor alone.</w:t>
      </w:r>
    </w:p>
    <w:p w14:paraId="0967BD43" w14:textId="77777777" w:rsidR="00CA67FC" w:rsidRDefault="00CA67FC" w:rsidP="00CA67FC">
      <w:pPr>
        <w:spacing w:before="120" w:after="120"/>
        <w:ind w:firstLine="720"/>
        <w:jc w:val="both"/>
      </w:pPr>
      <w:r>
        <w:t>The prominence of financial motivation is consistent with self-determination theory's proposition that extrinsic regulation can coexist with intrinsically motivated behavior when the two orientations reinforce each other (Deci &amp; Ryan, 2000). Respondents appear to have found a vocational niche where economic survival and personal interest align. This insight has direct implications for training design: interventions that frame skill development as a pathway to increased income and occupational credibility are likely to resonate more deeply than those emphasizing regulatory compliance alone.</w:t>
      </w:r>
    </w:p>
    <w:p w14:paraId="6BD46F48" w14:textId="0F197551" w:rsidR="00AD6054" w:rsidRPr="00AD6054" w:rsidRDefault="00AD6054" w:rsidP="00AD6054">
      <w:pPr>
        <w:spacing w:after="80"/>
        <w:rPr>
          <w:rFonts w:eastAsia="Arial"/>
          <w:b/>
          <w:bCs/>
        </w:rPr>
      </w:pPr>
      <w:r w:rsidRPr="00AD6054">
        <w:rPr>
          <w:rFonts w:eastAsia="Arial"/>
          <w:b/>
          <w:bCs/>
        </w:rPr>
        <w:t>Table 2</w:t>
      </w:r>
      <w:r w:rsidR="0019650C">
        <w:rPr>
          <w:rFonts w:eastAsia="Arial"/>
          <w:b/>
          <w:bCs/>
        </w:rPr>
        <w:t xml:space="preserve">: Mean Ratings for Work Practice </w:t>
      </w:r>
    </w:p>
    <w:p w14:paraId="4FBE02FC" w14:textId="77777777" w:rsidR="00AD6054" w:rsidRPr="00AD6054" w:rsidRDefault="00AD6054" w:rsidP="00AD6054">
      <w:pPr>
        <w:spacing w:after="80"/>
      </w:pPr>
      <w:r w:rsidRPr="00AD6054">
        <w:rPr>
          <w:rFonts w:eastAsia="Arial"/>
          <w:i/>
          <w:iCs/>
        </w:rPr>
        <w:t xml:space="preserve">Mean Ratings of Work Practices of </w:t>
      </w:r>
      <w:r w:rsidRPr="00AD6054">
        <w:rPr>
          <w:i/>
          <w:iCs/>
          <w:color w:val="000000" w:themeColor="text1"/>
        </w:rPr>
        <w:t>Technical Draftsmen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AD6054" w:rsidRPr="00AD6054" w14:paraId="18798B7B" w14:textId="77777777" w:rsidTr="00AD6054">
        <w:tc>
          <w:tcPr>
            <w:tcW w:w="4106" w:type="dxa"/>
            <w:tcBorders>
              <w:top w:val="single" w:sz="4" w:space="0" w:color="auto"/>
              <w:bottom w:val="single" w:sz="4" w:space="0" w:color="auto"/>
            </w:tcBorders>
            <w:vAlign w:val="center"/>
          </w:tcPr>
          <w:p w14:paraId="478551B1" w14:textId="77777777" w:rsidR="00AD6054" w:rsidRPr="00AD6054" w:rsidRDefault="00AD6054" w:rsidP="006A7B7D">
            <w:pPr>
              <w:jc w:val="center"/>
              <w:rPr>
                <w:color w:val="000000" w:themeColor="text1"/>
              </w:rPr>
            </w:pPr>
            <w:r w:rsidRPr="00AD6054">
              <w:rPr>
                <w:rFonts w:eastAsia="Arial"/>
                <w:b/>
                <w:bCs/>
                <w:color w:val="000000" w:themeColor="text1"/>
              </w:rPr>
              <w:lastRenderedPageBreak/>
              <w:t>Work Practice Indicator</w:t>
            </w:r>
          </w:p>
        </w:tc>
        <w:tc>
          <w:tcPr>
            <w:tcW w:w="1418" w:type="dxa"/>
            <w:tcBorders>
              <w:top w:val="single" w:sz="4" w:space="0" w:color="auto"/>
              <w:bottom w:val="single" w:sz="4" w:space="0" w:color="auto"/>
            </w:tcBorders>
            <w:vAlign w:val="center"/>
          </w:tcPr>
          <w:p w14:paraId="609BCC77" w14:textId="77777777" w:rsidR="00AD6054" w:rsidRPr="00AD6054" w:rsidRDefault="00AD6054" w:rsidP="006A7B7D">
            <w:pPr>
              <w:jc w:val="center"/>
              <w:rPr>
                <w:color w:val="000000" w:themeColor="text1"/>
              </w:rPr>
            </w:pPr>
            <w:r w:rsidRPr="00AD6054">
              <w:rPr>
                <w:rFonts w:eastAsia="Arial"/>
                <w:b/>
                <w:bCs/>
                <w:color w:val="000000" w:themeColor="text1"/>
              </w:rPr>
              <w:t>Mean</w:t>
            </w:r>
          </w:p>
        </w:tc>
        <w:tc>
          <w:tcPr>
            <w:tcW w:w="1488" w:type="dxa"/>
            <w:tcBorders>
              <w:top w:val="single" w:sz="4" w:space="0" w:color="auto"/>
              <w:bottom w:val="single" w:sz="4" w:space="0" w:color="auto"/>
            </w:tcBorders>
            <w:vAlign w:val="center"/>
          </w:tcPr>
          <w:p w14:paraId="53FFD0EA" w14:textId="77777777" w:rsidR="00AD6054" w:rsidRPr="00AD6054" w:rsidRDefault="00AD6054" w:rsidP="006A7B7D">
            <w:pPr>
              <w:jc w:val="center"/>
              <w:rPr>
                <w:color w:val="000000" w:themeColor="text1"/>
              </w:rPr>
            </w:pPr>
            <w:r w:rsidRPr="00AD6054">
              <w:rPr>
                <w:rFonts w:eastAsia="Arial"/>
                <w:b/>
                <w:bCs/>
                <w:color w:val="000000" w:themeColor="text1"/>
              </w:rPr>
              <w:t>SD</w:t>
            </w:r>
          </w:p>
        </w:tc>
        <w:tc>
          <w:tcPr>
            <w:tcW w:w="2338" w:type="dxa"/>
            <w:tcBorders>
              <w:top w:val="single" w:sz="4" w:space="0" w:color="auto"/>
              <w:bottom w:val="single" w:sz="4" w:space="0" w:color="auto"/>
            </w:tcBorders>
            <w:vAlign w:val="center"/>
          </w:tcPr>
          <w:p w14:paraId="17FE7920" w14:textId="77777777" w:rsidR="00AD6054" w:rsidRPr="00AD6054" w:rsidRDefault="00AD6054" w:rsidP="006A7B7D">
            <w:pPr>
              <w:jc w:val="center"/>
              <w:rPr>
                <w:color w:val="000000" w:themeColor="text1"/>
              </w:rPr>
            </w:pPr>
            <w:r w:rsidRPr="00AD6054">
              <w:rPr>
                <w:rFonts w:eastAsia="Arial"/>
                <w:b/>
                <w:bCs/>
                <w:color w:val="000000" w:themeColor="text1"/>
              </w:rPr>
              <w:t>Verbal Interpretation</w:t>
            </w:r>
          </w:p>
        </w:tc>
      </w:tr>
      <w:tr w:rsidR="00AD6054" w:rsidRPr="00AD6054" w14:paraId="775D13E2" w14:textId="77777777" w:rsidTr="00AD6054">
        <w:tc>
          <w:tcPr>
            <w:tcW w:w="4106" w:type="dxa"/>
            <w:tcBorders>
              <w:top w:val="single" w:sz="4" w:space="0" w:color="auto"/>
            </w:tcBorders>
          </w:tcPr>
          <w:p w14:paraId="09E8B2C5" w14:textId="77777777" w:rsidR="00AD6054" w:rsidRPr="00AD6054" w:rsidRDefault="00AD6054" w:rsidP="006A7B7D">
            <w:r w:rsidRPr="00AD6054">
              <w:rPr>
                <w:rFonts w:eastAsia="Arial"/>
              </w:rPr>
              <w:t>Acceptance of residential drafting projects without a formal license</w:t>
            </w:r>
          </w:p>
        </w:tc>
        <w:tc>
          <w:tcPr>
            <w:tcW w:w="1418" w:type="dxa"/>
            <w:tcBorders>
              <w:top w:val="single" w:sz="4" w:space="0" w:color="auto"/>
            </w:tcBorders>
          </w:tcPr>
          <w:p w14:paraId="3F1EF52D" w14:textId="77777777" w:rsidR="00AD6054" w:rsidRPr="00AD6054" w:rsidRDefault="00AD6054" w:rsidP="006A7B7D">
            <w:r w:rsidRPr="00AD6054">
              <w:rPr>
                <w:rFonts w:eastAsia="Arial"/>
              </w:rPr>
              <w:t>4.41</w:t>
            </w:r>
          </w:p>
        </w:tc>
        <w:tc>
          <w:tcPr>
            <w:tcW w:w="1488" w:type="dxa"/>
            <w:tcBorders>
              <w:top w:val="single" w:sz="4" w:space="0" w:color="auto"/>
            </w:tcBorders>
          </w:tcPr>
          <w:p w14:paraId="21B08F60" w14:textId="77777777" w:rsidR="00AD6054" w:rsidRPr="00AD6054" w:rsidRDefault="00AD6054" w:rsidP="006A7B7D">
            <w:r w:rsidRPr="00AD6054">
              <w:rPr>
                <w:rFonts w:eastAsia="Arial"/>
              </w:rPr>
              <w:t>0.65</w:t>
            </w:r>
          </w:p>
        </w:tc>
        <w:tc>
          <w:tcPr>
            <w:tcW w:w="2338" w:type="dxa"/>
            <w:tcBorders>
              <w:top w:val="single" w:sz="4" w:space="0" w:color="auto"/>
            </w:tcBorders>
          </w:tcPr>
          <w:p w14:paraId="0D79090E" w14:textId="77777777" w:rsidR="00AD6054" w:rsidRPr="00AD6054" w:rsidRDefault="00AD6054" w:rsidP="006A7B7D">
            <w:r w:rsidRPr="00AD6054">
              <w:rPr>
                <w:rFonts w:eastAsia="Arial"/>
              </w:rPr>
              <w:t>Always</w:t>
            </w:r>
          </w:p>
        </w:tc>
      </w:tr>
      <w:tr w:rsidR="00AD6054" w:rsidRPr="00AD6054" w14:paraId="7EF9619E" w14:textId="77777777" w:rsidTr="00AD6054">
        <w:tc>
          <w:tcPr>
            <w:tcW w:w="4106" w:type="dxa"/>
          </w:tcPr>
          <w:p w14:paraId="48D0AEFA" w14:textId="77777777" w:rsidR="00AD6054" w:rsidRPr="00AD6054" w:rsidRDefault="00AD6054" w:rsidP="006A7B7D">
            <w:r w:rsidRPr="00AD6054">
              <w:rPr>
                <w:rFonts w:eastAsia="Arial"/>
              </w:rPr>
              <w:t>Use of standard drafting conventions and symbols</w:t>
            </w:r>
          </w:p>
        </w:tc>
        <w:tc>
          <w:tcPr>
            <w:tcW w:w="1418" w:type="dxa"/>
          </w:tcPr>
          <w:p w14:paraId="08D579A0" w14:textId="77777777" w:rsidR="00AD6054" w:rsidRPr="00AD6054" w:rsidRDefault="00AD6054" w:rsidP="006A7B7D">
            <w:r w:rsidRPr="00AD6054">
              <w:rPr>
                <w:rFonts w:eastAsia="Arial"/>
              </w:rPr>
              <w:t>3.87</w:t>
            </w:r>
          </w:p>
        </w:tc>
        <w:tc>
          <w:tcPr>
            <w:tcW w:w="1488" w:type="dxa"/>
          </w:tcPr>
          <w:p w14:paraId="00A7A993" w14:textId="77777777" w:rsidR="00AD6054" w:rsidRPr="00AD6054" w:rsidRDefault="00AD6054" w:rsidP="006A7B7D">
            <w:r w:rsidRPr="00AD6054">
              <w:rPr>
                <w:rFonts w:eastAsia="Arial"/>
              </w:rPr>
              <w:t>0.88</w:t>
            </w:r>
          </w:p>
        </w:tc>
        <w:tc>
          <w:tcPr>
            <w:tcW w:w="2338" w:type="dxa"/>
          </w:tcPr>
          <w:p w14:paraId="3B211397" w14:textId="77777777" w:rsidR="00AD6054" w:rsidRPr="00AD6054" w:rsidRDefault="00AD6054" w:rsidP="006A7B7D">
            <w:r w:rsidRPr="00AD6054">
              <w:rPr>
                <w:rFonts w:eastAsia="Arial"/>
              </w:rPr>
              <w:t>Often</w:t>
            </w:r>
          </w:p>
        </w:tc>
      </w:tr>
      <w:tr w:rsidR="00AD6054" w:rsidRPr="00AD6054" w14:paraId="5B4933BF" w14:textId="77777777" w:rsidTr="00AD6054">
        <w:tc>
          <w:tcPr>
            <w:tcW w:w="4106" w:type="dxa"/>
          </w:tcPr>
          <w:p w14:paraId="4022E6EE" w14:textId="77777777" w:rsidR="00AD6054" w:rsidRPr="00AD6054" w:rsidRDefault="00AD6054" w:rsidP="006A7B7D">
            <w:r w:rsidRPr="00AD6054">
              <w:rPr>
                <w:rFonts w:eastAsia="Arial"/>
              </w:rPr>
              <w:t>Consulting with more experienced technical draftsmen or engineers</w:t>
            </w:r>
          </w:p>
        </w:tc>
        <w:tc>
          <w:tcPr>
            <w:tcW w:w="1418" w:type="dxa"/>
          </w:tcPr>
          <w:p w14:paraId="16020E1B" w14:textId="77777777" w:rsidR="00AD6054" w:rsidRPr="00AD6054" w:rsidRDefault="00AD6054" w:rsidP="006A7B7D">
            <w:r w:rsidRPr="00AD6054">
              <w:rPr>
                <w:rFonts w:eastAsia="Arial"/>
              </w:rPr>
              <w:t>3.95</w:t>
            </w:r>
          </w:p>
        </w:tc>
        <w:tc>
          <w:tcPr>
            <w:tcW w:w="1488" w:type="dxa"/>
          </w:tcPr>
          <w:p w14:paraId="67E3ECE2" w14:textId="77777777" w:rsidR="00AD6054" w:rsidRPr="00AD6054" w:rsidRDefault="00AD6054" w:rsidP="006A7B7D">
            <w:r w:rsidRPr="00AD6054">
              <w:rPr>
                <w:rFonts w:eastAsia="Arial"/>
              </w:rPr>
              <w:t>0.82</w:t>
            </w:r>
          </w:p>
        </w:tc>
        <w:tc>
          <w:tcPr>
            <w:tcW w:w="2338" w:type="dxa"/>
          </w:tcPr>
          <w:p w14:paraId="2E039A75" w14:textId="77777777" w:rsidR="00AD6054" w:rsidRPr="00AD6054" w:rsidRDefault="00AD6054" w:rsidP="006A7B7D">
            <w:r w:rsidRPr="00AD6054">
              <w:rPr>
                <w:rFonts w:eastAsia="Arial"/>
              </w:rPr>
              <w:t>Often</w:t>
            </w:r>
          </w:p>
        </w:tc>
      </w:tr>
      <w:tr w:rsidR="00AD6054" w:rsidRPr="00AD6054" w14:paraId="603BFA2C" w14:textId="77777777" w:rsidTr="00AD6054">
        <w:tc>
          <w:tcPr>
            <w:tcW w:w="4106" w:type="dxa"/>
          </w:tcPr>
          <w:p w14:paraId="22531DE6" w14:textId="77777777" w:rsidR="00AD6054" w:rsidRPr="00AD6054" w:rsidRDefault="00AD6054" w:rsidP="006A7B7D">
            <w:r w:rsidRPr="00AD6054">
              <w:rPr>
                <w:rFonts w:eastAsia="Arial"/>
              </w:rPr>
              <w:t>Relying on previous project templates for new work</w:t>
            </w:r>
          </w:p>
        </w:tc>
        <w:tc>
          <w:tcPr>
            <w:tcW w:w="1418" w:type="dxa"/>
          </w:tcPr>
          <w:p w14:paraId="69AECF87" w14:textId="77777777" w:rsidR="00AD6054" w:rsidRPr="00AD6054" w:rsidRDefault="00AD6054" w:rsidP="006A7B7D">
            <w:r w:rsidRPr="00AD6054">
              <w:rPr>
                <w:rFonts w:eastAsia="Arial"/>
              </w:rPr>
              <w:t>4.13</w:t>
            </w:r>
          </w:p>
        </w:tc>
        <w:tc>
          <w:tcPr>
            <w:tcW w:w="1488" w:type="dxa"/>
          </w:tcPr>
          <w:p w14:paraId="725C591D" w14:textId="77777777" w:rsidR="00AD6054" w:rsidRPr="00AD6054" w:rsidRDefault="00AD6054" w:rsidP="006A7B7D">
            <w:r w:rsidRPr="00AD6054">
              <w:rPr>
                <w:rFonts w:eastAsia="Arial"/>
              </w:rPr>
              <w:t>0.77</w:t>
            </w:r>
          </w:p>
        </w:tc>
        <w:tc>
          <w:tcPr>
            <w:tcW w:w="2338" w:type="dxa"/>
          </w:tcPr>
          <w:p w14:paraId="5BD39D07" w14:textId="77777777" w:rsidR="00AD6054" w:rsidRPr="00AD6054" w:rsidRDefault="00AD6054" w:rsidP="006A7B7D">
            <w:r w:rsidRPr="00AD6054">
              <w:rPr>
                <w:rFonts w:eastAsia="Arial"/>
              </w:rPr>
              <w:t>Often</w:t>
            </w:r>
          </w:p>
        </w:tc>
      </w:tr>
      <w:tr w:rsidR="00AD6054" w:rsidRPr="00AD6054" w14:paraId="370C9726" w14:textId="77777777" w:rsidTr="00AD6054">
        <w:tc>
          <w:tcPr>
            <w:tcW w:w="4106" w:type="dxa"/>
          </w:tcPr>
          <w:p w14:paraId="77F941A6" w14:textId="77777777" w:rsidR="00AD6054" w:rsidRPr="00AD6054" w:rsidRDefault="00AD6054" w:rsidP="006A7B7D">
            <w:r w:rsidRPr="00AD6054">
              <w:rPr>
                <w:rFonts w:eastAsia="Arial"/>
              </w:rPr>
              <w:t>Disclosing non-licensed status to clients</w:t>
            </w:r>
          </w:p>
        </w:tc>
        <w:tc>
          <w:tcPr>
            <w:tcW w:w="1418" w:type="dxa"/>
          </w:tcPr>
          <w:p w14:paraId="30586B13" w14:textId="77777777" w:rsidR="00AD6054" w:rsidRPr="00AD6054" w:rsidRDefault="00AD6054" w:rsidP="006A7B7D">
            <w:r w:rsidRPr="00AD6054">
              <w:rPr>
                <w:rFonts w:eastAsia="Arial"/>
              </w:rPr>
              <w:t>2.64</w:t>
            </w:r>
          </w:p>
        </w:tc>
        <w:tc>
          <w:tcPr>
            <w:tcW w:w="1488" w:type="dxa"/>
          </w:tcPr>
          <w:p w14:paraId="4B1095CA" w14:textId="77777777" w:rsidR="00AD6054" w:rsidRPr="00AD6054" w:rsidRDefault="00AD6054" w:rsidP="006A7B7D">
            <w:r w:rsidRPr="00AD6054">
              <w:rPr>
                <w:rFonts w:eastAsia="Arial"/>
              </w:rPr>
              <w:t>1.12</w:t>
            </w:r>
          </w:p>
        </w:tc>
        <w:tc>
          <w:tcPr>
            <w:tcW w:w="2338" w:type="dxa"/>
          </w:tcPr>
          <w:p w14:paraId="564F30B6" w14:textId="77777777" w:rsidR="00AD6054" w:rsidRPr="00AD6054" w:rsidRDefault="00AD6054" w:rsidP="006A7B7D">
            <w:r w:rsidRPr="00AD6054">
              <w:rPr>
                <w:rFonts w:eastAsia="Arial"/>
              </w:rPr>
              <w:t>Rarely</w:t>
            </w:r>
          </w:p>
        </w:tc>
      </w:tr>
      <w:tr w:rsidR="00AD6054" w:rsidRPr="00AD6054" w14:paraId="2FDAA7BB" w14:textId="77777777" w:rsidTr="00AD6054">
        <w:tc>
          <w:tcPr>
            <w:tcW w:w="4106" w:type="dxa"/>
          </w:tcPr>
          <w:p w14:paraId="790F6F42" w14:textId="77777777" w:rsidR="00AD6054" w:rsidRPr="00AD6054" w:rsidRDefault="00AD6054" w:rsidP="006A7B7D">
            <w:r w:rsidRPr="00AD6054">
              <w:rPr>
                <w:rFonts w:eastAsia="Arial"/>
              </w:rPr>
              <w:t>Charging lower fees compared to licensed technical draftsmen</w:t>
            </w:r>
          </w:p>
        </w:tc>
        <w:tc>
          <w:tcPr>
            <w:tcW w:w="1418" w:type="dxa"/>
          </w:tcPr>
          <w:p w14:paraId="602C2ABD" w14:textId="77777777" w:rsidR="00AD6054" w:rsidRPr="00AD6054" w:rsidRDefault="00AD6054" w:rsidP="006A7B7D">
            <w:r w:rsidRPr="00AD6054">
              <w:rPr>
                <w:rFonts w:eastAsia="Arial"/>
              </w:rPr>
              <w:t>4.29</w:t>
            </w:r>
          </w:p>
        </w:tc>
        <w:tc>
          <w:tcPr>
            <w:tcW w:w="1488" w:type="dxa"/>
          </w:tcPr>
          <w:p w14:paraId="197086EE" w14:textId="77777777" w:rsidR="00AD6054" w:rsidRPr="00AD6054" w:rsidRDefault="00AD6054" w:rsidP="006A7B7D">
            <w:r w:rsidRPr="00AD6054">
              <w:rPr>
                <w:rFonts w:eastAsia="Arial"/>
              </w:rPr>
              <w:t>0.71</w:t>
            </w:r>
          </w:p>
        </w:tc>
        <w:tc>
          <w:tcPr>
            <w:tcW w:w="2338" w:type="dxa"/>
          </w:tcPr>
          <w:p w14:paraId="0CF50C04" w14:textId="77777777" w:rsidR="00AD6054" w:rsidRPr="00AD6054" w:rsidRDefault="00AD6054" w:rsidP="006A7B7D">
            <w:r w:rsidRPr="00AD6054">
              <w:rPr>
                <w:rFonts w:eastAsia="Arial"/>
              </w:rPr>
              <w:t>Always</w:t>
            </w:r>
          </w:p>
        </w:tc>
      </w:tr>
      <w:tr w:rsidR="00AD6054" w:rsidRPr="00AD6054" w14:paraId="667F5CBA" w14:textId="77777777" w:rsidTr="00AD6054">
        <w:tc>
          <w:tcPr>
            <w:tcW w:w="4106" w:type="dxa"/>
          </w:tcPr>
          <w:p w14:paraId="72618633" w14:textId="77777777" w:rsidR="00AD6054" w:rsidRPr="00AD6054" w:rsidRDefault="00AD6054" w:rsidP="006A7B7D">
            <w:r w:rsidRPr="00AD6054">
              <w:rPr>
                <w:rFonts w:eastAsia="Arial"/>
                <w:b/>
                <w:bCs/>
                <w:color w:val="1B3A5C"/>
              </w:rPr>
              <w:t>Overall Mean</w:t>
            </w:r>
          </w:p>
        </w:tc>
        <w:tc>
          <w:tcPr>
            <w:tcW w:w="1418" w:type="dxa"/>
          </w:tcPr>
          <w:p w14:paraId="2266477E" w14:textId="77777777" w:rsidR="00AD6054" w:rsidRPr="00AD6054" w:rsidRDefault="00AD6054" w:rsidP="006A7B7D">
            <w:r w:rsidRPr="00AD6054">
              <w:rPr>
                <w:rFonts w:eastAsia="Arial"/>
                <w:b/>
                <w:bCs/>
                <w:color w:val="1B3A5C"/>
              </w:rPr>
              <w:t>3.88</w:t>
            </w:r>
          </w:p>
        </w:tc>
        <w:tc>
          <w:tcPr>
            <w:tcW w:w="1488" w:type="dxa"/>
          </w:tcPr>
          <w:p w14:paraId="48D17514" w14:textId="77777777" w:rsidR="00AD6054" w:rsidRPr="00AD6054" w:rsidRDefault="00AD6054" w:rsidP="006A7B7D">
            <w:r w:rsidRPr="00AD6054">
              <w:rPr>
                <w:rFonts w:eastAsia="Arial"/>
                <w:b/>
                <w:bCs/>
                <w:color w:val="1B3A5C"/>
              </w:rPr>
              <w:t>0.83</w:t>
            </w:r>
          </w:p>
        </w:tc>
        <w:tc>
          <w:tcPr>
            <w:tcW w:w="2338" w:type="dxa"/>
          </w:tcPr>
          <w:p w14:paraId="268564F9" w14:textId="77777777" w:rsidR="00AD6054" w:rsidRPr="00AD6054" w:rsidRDefault="00AD6054" w:rsidP="006A7B7D">
            <w:r w:rsidRPr="00AD6054">
              <w:rPr>
                <w:rFonts w:eastAsia="Arial"/>
                <w:b/>
                <w:bCs/>
                <w:color w:val="1B3A5C"/>
              </w:rPr>
              <w:t>Often</w:t>
            </w:r>
          </w:p>
        </w:tc>
      </w:tr>
    </w:tbl>
    <w:p w14:paraId="3F153538" w14:textId="77777777" w:rsidR="00AD6054" w:rsidRPr="00AD6054" w:rsidRDefault="00AD6054" w:rsidP="00AD6054">
      <w:pPr>
        <w:rPr>
          <w:rFonts w:eastAsia="Arial"/>
          <w:sz w:val="20"/>
          <w:szCs w:val="20"/>
        </w:rPr>
      </w:pPr>
      <w:r w:rsidRPr="00AD6054">
        <w:rPr>
          <w:rFonts w:eastAsia="Arial"/>
          <w:b/>
          <w:bCs/>
          <w:i/>
          <w:iCs/>
          <w:sz w:val="20"/>
          <w:szCs w:val="20"/>
        </w:rPr>
        <w:t xml:space="preserve">Note. </w:t>
      </w:r>
      <w:r w:rsidRPr="00AD6054">
        <w:rPr>
          <w:rFonts w:eastAsia="Arial"/>
          <w:sz w:val="20"/>
          <w:szCs w:val="20"/>
        </w:rPr>
        <w:t xml:space="preserve">Scale: 4.50–5.00 = Always; 3.50–4.49 = Often; 2.50–3.49 = Sometimes; 1.50–2.49 = Rarely; </w:t>
      </w:r>
    </w:p>
    <w:p w14:paraId="2BA78388" w14:textId="77777777" w:rsidR="00AD6054" w:rsidRPr="00AD6054" w:rsidRDefault="00AD6054" w:rsidP="00AD6054">
      <w:pPr>
        <w:rPr>
          <w:sz w:val="20"/>
          <w:szCs w:val="20"/>
        </w:rPr>
      </w:pPr>
      <w:r w:rsidRPr="00AD6054">
        <w:rPr>
          <w:rFonts w:eastAsia="Arial"/>
          <w:sz w:val="20"/>
          <w:szCs w:val="20"/>
        </w:rPr>
        <w:t>1.00–1.49 = Never. n = 60.</w:t>
      </w:r>
    </w:p>
    <w:p w14:paraId="546DB83F" w14:textId="77777777" w:rsidR="00CA67FC" w:rsidRPr="00AD6054" w:rsidRDefault="00CA67FC" w:rsidP="00CA67FC">
      <w:pPr>
        <w:pStyle w:val="ListParagraph"/>
        <w:tabs>
          <w:tab w:val="left" w:pos="426"/>
        </w:tabs>
        <w:ind w:left="284"/>
        <w:rPr>
          <w:b/>
          <w:bCs/>
        </w:rPr>
      </w:pPr>
    </w:p>
    <w:p w14:paraId="10421970" w14:textId="77777777" w:rsidR="00AD6054" w:rsidRDefault="00AD6054" w:rsidP="00AD6054">
      <w:pPr>
        <w:spacing w:before="120" w:after="120"/>
        <w:ind w:firstLine="720"/>
        <w:jc w:val="both"/>
      </w:pPr>
      <w:r>
        <w:t>Table 2 presents work practice ratings. Two items reached the Always range: acceptance of residential drafting projects without a formal license (</w:t>
      </w:r>
      <w:r>
        <w:rPr>
          <w:i/>
          <w:iCs/>
        </w:rPr>
        <w:t>M</w:t>
      </w:r>
      <w:r>
        <w:t xml:space="preserve"> = 4.41, </w:t>
      </w:r>
      <w:r>
        <w:rPr>
          <w:i/>
          <w:iCs/>
        </w:rPr>
        <w:t>SD</w:t>
      </w:r>
      <w:r>
        <w:t xml:space="preserve"> = 0.65) and charging lower fees relative to licensed practitioners (</w:t>
      </w:r>
      <w:r>
        <w:rPr>
          <w:i/>
          <w:iCs/>
        </w:rPr>
        <w:t>M</w:t>
      </w:r>
      <w:r>
        <w:t xml:space="preserve"> = 4.29, </w:t>
      </w:r>
      <w:r>
        <w:rPr>
          <w:i/>
          <w:iCs/>
        </w:rPr>
        <w:t>SD</w:t>
      </w:r>
      <w:r>
        <w:t xml:space="preserve"> = 0.71). Both reflect a form of informal market positioning—respondents appear to have carved out a competitive niche through price accessibility while operating outside the formal regulatory system. The frequent use of prior project templates as a basis for new work (</w:t>
      </w:r>
      <w:r>
        <w:rPr>
          <w:i/>
          <w:iCs/>
        </w:rPr>
        <w:t>M</w:t>
      </w:r>
      <w:r>
        <w:t xml:space="preserve"> = 4.13, </w:t>
      </w:r>
      <w:r>
        <w:rPr>
          <w:i/>
          <w:iCs/>
        </w:rPr>
        <w:t>SD</w:t>
      </w:r>
      <w:r>
        <w:t xml:space="preserve"> = 0.77) suggests that experiential heuristics and pattern replication serve as primary technical reference points in the absence of formal design principles.</w:t>
      </w:r>
    </w:p>
    <w:p w14:paraId="52D69B47" w14:textId="77777777" w:rsidR="00AD6054" w:rsidRDefault="00AD6054" w:rsidP="00AD6054">
      <w:pPr>
        <w:spacing w:before="120" w:after="120"/>
        <w:ind w:firstLine="720"/>
        <w:jc w:val="both"/>
      </w:pPr>
      <w:r>
        <w:t>The most troubling finding in this table is the low mean for disclosure of non-licensed status to clients (</w:t>
      </w:r>
      <w:r>
        <w:rPr>
          <w:i/>
          <w:iCs/>
        </w:rPr>
        <w:t>M</w:t>
      </w:r>
      <w:r>
        <w:t xml:space="preserve"> = 2.64, </w:t>
      </w:r>
      <w:r>
        <w:rPr>
          <w:i/>
          <w:iCs/>
        </w:rPr>
        <w:t>SD</w:t>
      </w:r>
      <w:r>
        <w:t xml:space="preserve"> = 1.12), placing this practice in the Rarely category. This represents a significant ethical and legal exposure: clients who commission design services without knowing the practitioner's unlicensed status cannot make fully informed decisions about risk. Similar concerns have been raised in research on the shadow economy of construction services across Southeast Asia, where informal practitioners commonly understate their credentials gaps to remain competitive (</w:t>
      </w:r>
      <w:proofErr w:type="spellStart"/>
      <w:r>
        <w:t>Loosemore</w:t>
      </w:r>
      <w:proofErr w:type="spellEnd"/>
      <w:r>
        <w:t xml:space="preserve"> &amp; </w:t>
      </w:r>
      <w:proofErr w:type="spellStart"/>
      <w:r>
        <w:t>Andonakis</w:t>
      </w:r>
      <w:proofErr w:type="spellEnd"/>
      <w:r>
        <w:t>, 2007). A training framework that addresses professional ethics and client communication is not merely aspirational—it is a structural necessity if the informal sector is to be meaningfully integrated into a safer built environment.</w:t>
      </w:r>
    </w:p>
    <w:p w14:paraId="0E0FD879" w14:textId="77777777" w:rsidR="008F64C9" w:rsidRPr="00AD6054" w:rsidRDefault="00AD6054" w:rsidP="00AD6054">
      <w:pPr>
        <w:rPr>
          <w:b/>
          <w:bCs/>
        </w:rPr>
      </w:pPr>
      <w:r w:rsidRPr="00AD6054">
        <w:rPr>
          <w:b/>
          <w:bCs/>
        </w:rPr>
        <w:t>Strategies and informal learning mechanisms</w:t>
      </w:r>
      <w:r w:rsidR="000B033D">
        <w:rPr>
          <w:b/>
          <w:bCs/>
        </w:rPr>
        <w:t xml:space="preserve"> and technology mediated leaning utilization</w:t>
      </w:r>
    </w:p>
    <w:p w14:paraId="10F06018" w14:textId="77777777" w:rsidR="00AD6054" w:rsidRDefault="00AD6054" w:rsidP="00AD6054">
      <w:pPr>
        <w:rPr>
          <w:b/>
          <w:bCs/>
        </w:rPr>
      </w:pPr>
    </w:p>
    <w:p w14:paraId="70A32CCB" w14:textId="075D0E06" w:rsidR="00AD6054" w:rsidRDefault="00AD6054" w:rsidP="00AD6054">
      <w:pPr>
        <w:rPr>
          <w:b/>
          <w:bCs/>
        </w:rPr>
      </w:pPr>
      <w:r>
        <w:rPr>
          <w:b/>
          <w:bCs/>
        </w:rPr>
        <w:t>Table 3</w:t>
      </w:r>
      <w:r w:rsidR="00671BC1">
        <w:rPr>
          <w:b/>
          <w:bCs/>
        </w:rPr>
        <w:t xml:space="preserve">: </w:t>
      </w:r>
      <w:r w:rsidR="00671BC1">
        <w:rPr>
          <w:rFonts w:eastAsia="Arial"/>
          <w:b/>
          <w:bCs/>
        </w:rPr>
        <w:t xml:space="preserve">Mean Ratings for </w:t>
      </w:r>
      <w:r w:rsidR="00671BC1" w:rsidRPr="00671BC1">
        <w:rPr>
          <w:rFonts w:eastAsia="Arial"/>
          <w:b/>
          <w:bCs/>
        </w:rPr>
        <w:t xml:space="preserve">Informal Skill-Building </w:t>
      </w:r>
      <w:r w:rsidR="00671BC1" w:rsidRPr="00AD6054">
        <w:rPr>
          <w:rFonts w:eastAsia="Arial"/>
          <w:b/>
          <w:bCs/>
          <w:color w:val="000000" w:themeColor="text1"/>
        </w:rPr>
        <w:t>Strategy</w:t>
      </w:r>
    </w:p>
    <w:p w14:paraId="3EFA4ACD" w14:textId="77777777" w:rsidR="00AD6054" w:rsidRPr="00AD6054" w:rsidRDefault="00AD6054" w:rsidP="00AD6054">
      <w:pPr>
        <w:spacing w:after="80"/>
      </w:pPr>
      <w:r w:rsidRPr="00AD6054">
        <w:rPr>
          <w:rFonts w:eastAsia="Arial"/>
          <w:i/>
          <w:iCs/>
        </w:rPr>
        <w:t xml:space="preserve">Mean Ratings of </w:t>
      </w:r>
      <w:bookmarkStart w:id="1" w:name="_Hlk226807230"/>
      <w:r w:rsidRPr="00AD6054">
        <w:rPr>
          <w:rFonts w:eastAsia="Arial"/>
          <w:i/>
          <w:iCs/>
        </w:rPr>
        <w:t>Informal Skill-Building Strategies</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560"/>
        <w:gridCol w:w="1488"/>
        <w:gridCol w:w="2338"/>
      </w:tblGrid>
      <w:tr w:rsidR="00AD6054" w:rsidRPr="00AD6054" w14:paraId="738CA919" w14:textId="77777777" w:rsidTr="00AD6054">
        <w:tc>
          <w:tcPr>
            <w:tcW w:w="3964" w:type="dxa"/>
            <w:tcBorders>
              <w:top w:val="single" w:sz="4" w:space="0" w:color="auto"/>
              <w:bottom w:val="single" w:sz="4" w:space="0" w:color="auto"/>
            </w:tcBorders>
            <w:vAlign w:val="center"/>
          </w:tcPr>
          <w:p w14:paraId="23147969" w14:textId="77777777" w:rsidR="00AD6054" w:rsidRPr="00AD6054" w:rsidRDefault="00AD6054" w:rsidP="006A7B7D">
            <w:pPr>
              <w:jc w:val="center"/>
              <w:rPr>
                <w:color w:val="000000" w:themeColor="text1"/>
              </w:rPr>
            </w:pPr>
            <w:r w:rsidRPr="00AD6054">
              <w:rPr>
                <w:rFonts w:eastAsia="Arial"/>
                <w:b/>
                <w:bCs/>
                <w:color w:val="000000" w:themeColor="text1"/>
              </w:rPr>
              <w:t>Informal Skill-Building Strategy</w:t>
            </w:r>
          </w:p>
        </w:tc>
        <w:tc>
          <w:tcPr>
            <w:tcW w:w="1560" w:type="dxa"/>
            <w:tcBorders>
              <w:top w:val="single" w:sz="4" w:space="0" w:color="auto"/>
              <w:bottom w:val="single" w:sz="4" w:space="0" w:color="auto"/>
            </w:tcBorders>
            <w:vAlign w:val="center"/>
          </w:tcPr>
          <w:p w14:paraId="638269F0" w14:textId="77777777" w:rsidR="00AD6054" w:rsidRPr="00AD6054" w:rsidRDefault="00AD6054" w:rsidP="006A7B7D">
            <w:pPr>
              <w:jc w:val="center"/>
              <w:rPr>
                <w:color w:val="000000" w:themeColor="text1"/>
              </w:rPr>
            </w:pPr>
            <w:r w:rsidRPr="00AD6054">
              <w:rPr>
                <w:rFonts w:eastAsia="Arial"/>
                <w:b/>
                <w:bCs/>
                <w:color w:val="000000" w:themeColor="text1"/>
              </w:rPr>
              <w:t>Mean</w:t>
            </w:r>
          </w:p>
        </w:tc>
        <w:tc>
          <w:tcPr>
            <w:tcW w:w="1488" w:type="dxa"/>
            <w:tcBorders>
              <w:top w:val="single" w:sz="4" w:space="0" w:color="auto"/>
              <w:bottom w:val="single" w:sz="4" w:space="0" w:color="auto"/>
            </w:tcBorders>
            <w:vAlign w:val="center"/>
          </w:tcPr>
          <w:p w14:paraId="1D271041" w14:textId="77777777" w:rsidR="00AD6054" w:rsidRPr="00AD6054" w:rsidRDefault="00AD6054" w:rsidP="006A7B7D">
            <w:pPr>
              <w:jc w:val="center"/>
              <w:rPr>
                <w:color w:val="000000" w:themeColor="text1"/>
              </w:rPr>
            </w:pPr>
            <w:r w:rsidRPr="00AD6054">
              <w:rPr>
                <w:rFonts w:eastAsia="Arial"/>
                <w:b/>
                <w:bCs/>
                <w:color w:val="000000" w:themeColor="text1"/>
              </w:rPr>
              <w:t>SD</w:t>
            </w:r>
          </w:p>
        </w:tc>
        <w:tc>
          <w:tcPr>
            <w:tcW w:w="2338" w:type="dxa"/>
            <w:tcBorders>
              <w:top w:val="single" w:sz="4" w:space="0" w:color="auto"/>
              <w:bottom w:val="single" w:sz="4" w:space="0" w:color="auto"/>
            </w:tcBorders>
            <w:vAlign w:val="center"/>
          </w:tcPr>
          <w:p w14:paraId="7EA74EF2" w14:textId="77777777" w:rsidR="00AD6054" w:rsidRPr="00AD6054" w:rsidRDefault="00AD6054" w:rsidP="006A7B7D">
            <w:pPr>
              <w:jc w:val="center"/>
              <w:rPr>
                <w:color w:val="000000" w:themeColor="text1"/>
              </w:rPr>
            </w:pPr>
            <w:r w:rsidRPr="00AD6054">
              <w:rPr>
                <w:rFonts w:eastAsia="Arial"/>
                <w:b/>
                <w:bCs/>
                <w:color w:val="000000" w:themeColor="text1"/>
              </w:rPr>
              <w:t>Verbal Interpretation</w:t>
            </w:r>
          </w:p>
        </w:tc>
      </w:tr>
      <w:tr w:rsidR="00AD6054" w:rsidRPr="00AD6054" w14:paraId="7E308186" w14:textId="77777777" w:rsidTr="00AD6054">
        <w:tc>
          <w:tcPr>
            <w:tcW w:w="3964" w:type="dxa"/>
            <w:tcBorders>
              <w:top w:val="single" w:sz="4" w:space="0" w:color="auto"/>
            </w:tcBorders>
          </w:tcPr>
          <w:p w14:paraId="764028C7" w14:textId="77777777" w:rsidR="00AD6054" w:rsidRPr="00AD6054" w:rsidRDefault="00AD6054" w:rsidP="006A7B7D">
            <w:r w:rsidRPr="00AD6054">
              <w:rPr>
                <w:rFonts w:eastAsia="Arial"/>
              </w:rPr>
              <w:t>Learning by doing / trial and error on actual projects</w:t>
            </w:r>
          </w:p>
        </w:tc>
        <w:tc>
          <w:tcPr>
            <w:tcW w:w="1560" w:type="dxa"/>
            <w:tcBorders>
              <w:top w:val="single" w:sz="4" w:space="0" w:color="auto"/>
            </w:tcBorders>
          </w:tcPr>
          <w:p w14:paraId="16694E82" w14:textId="77777777" w:rsidR="00AD6054" w:rsidRPr="00AD6054" w:rsidRDefault="00AD6054" w:rsidP="006A7B7D">
            <w:r w:rsidRPr="00AD6054">
              <w:rPr>
                <w:rFonts w:eastAsia="Arial"/>
              </w:rPr>
              <w:t>4.67</w:t>
            </w:r>
          </w:p>
        </w:tc>
        <w:tc>
          <w:tcPr>
            <w:tcW w:w="1488" w:type="dxa"/>
            <w:tcBorders>
              <w:top w:val="single" w:sz="4" w:space="0" w:color="auto"/>
            </w:tcBorders>
          </w:tcPr>
          <w:p w14:paraId="60F5A093" w14:textId="77777777" w:rsidR="00AD6054" w:rsidRPr="00AD6054" w:rsidRDefault="00AD6054" w:rsidP="006A7B7D">
            <w:r w:rsidRPr="00AD6054">
              <w:rPr>
                <w:rFonts w:eastAsia="Arial"/>
              </w:rPr>
              <w:t>0.52</w:t>
            </w:r>
          </w:p>
        </w:tc>
        <w:tc>
          <w:tcPr>
            <w:tcW w:w="2338" w:type="dxa"/>
            <w:tcBorders>
              <w:top w:val="single" w:sz="4" w:space="0" w:color="auto"/>
            </w:tcBorders>
          </w:tcPr>
          <w:p w14:paraId="4A1E0EF4" w14:textId="77777777" w:rsidR="00AD6054" w:rsidRPr="00AD6054" w:rsidRDefault="00AD6054" w:rsidP="006A7B7D">
            <w:r w:rsidRPr="00AD6054">
              <w:rPr>
                <w:rFonts w:eastAsia="Arial"/>
              </w:rPr>
              <w:t>Always</w:t>
            </w:r>
          </w:p>
        </w:tc>
      </w:tr>
      <w:tr w:rsidR="00AD6054" w:rsidRPr="00AD6054" w14:paraId="52CEE391" w14:textId="77777777" w:rsidTr="00AD6054">
        <w:tc>
          <w:tcPr>
            <w:tcW w:w="3964" w:type="dxa"/>
          </w:tcPr>
          <w:p w14:paraId="25E5FE8C" w14:textId="77777777" w:rsidR="00AD6054" w:rsidRPr="00AD6054" w:rsidRDefault="00AD6054" w:rsidP="006A7B7D">
            <w:r w:rsidRPr="00AD6054">
              <w:rPr>
                <w:rFonts w:eastAsia="Arial"/>
              </w:rPr>
              <w:t>Observation and imitation of senior technical draftsmen</w:t>
            </w:r>
          </w:p>
        </w:tc>
        <w:tc>
          <w:tcPr>
            <w:tcW w:w="1560" w:type="dxa"/>
          </w:tcPr>
          <w:p w14:paraId="036306EC" w14:textId="77777777" w:rsidR="00AD6054" w:rsidRPr="00AD6054" w:rsidRDefault="00AD6054" w:rsidP="006A7B7D">
            <w:r w:rsidRPr="00AD6054">
              <w:rPr>
                <w:rFonts w:eastAsia="Arial"/>
              </w:rPr>
              <w:t>4.33</w:t>
            </w:r>
          </w:p>
        </w:tc>
        <w:tc>
          <w:tcPr>
            <w:tcW w:w="1488" w:type="dxa"/>
          </w:tcPr>
          <w:p w14:paraId="090D38D8" w14:textId="77777777" w:rsidR="00AD6054" w:rsidRPr="00AD6054" w:rsidRDefault="00AD6054" w:rsidP="006A7B7D">
            <w:r w:rsidRPr="00AD6054">
              <w:rPr>
                <w:rFonts w:eastAsia="Arial"/>
              </w:rPr>
              <w:t>0.71</w:t>
            </w:r>
          </w:p>
        </w:tc>
        <w:tc>
          <w:tcPr>
            <w:tcW w:w="2338" w:type="dxa"/>
          </w:tcPr>
          <w:p w14:paraId="5B4A7748" w14:textId="77777777" w:rsidR="00AD6054" w:rsidRPr="00AD6054" w:rsidRDefault="00AD6054" w:rsidP="006A7B7D">
            <w:r w:rsidRPr="00AD6054">
              <w:rPr>
                <w:rFonts w:eastAsia="Arial"/>
              </w:rPr>
              <w:t>Always</w:t>
            </w:r>
          </w:p>
        </w:tc>
      </w:tr>
      <w:tr w:rsidR="00AD6054" w:rsidRPr="00AD6054" w14:paraId="03539C60" w14:textId="77777777" w:rsidTr="00AD6054">
        <w:tc>
          <w:tcPr>
            <w:tcW w:w="3964" w:type="dxa"/>
          </w:tcPr>
          <w:p w14:paraId="65FD066B" w14:textId="77777777" w:rsidR="00AD6054" w:rsidRPr="00AD6054" w:rsidRDefault="00AD6054" w:rsidP="006A7B7D">
            <w:r w:rsidRPr="00AD6054">
              <w:rPr>
                <w:rFonts w:eastAsia="Arial"/>
              </w:rPr>
              <w:t>Reviewing completed project plans as reference materials</w:t>
            </w:r>
          </w:p>
        </w:tc>
        <w:tc>
          <w:tcPr>
            <w:tcW w:w="1560" w:type="dxa"/>
          </w:tcPr>
          <w:p w14:paraId="36EC216C" w14:textId="77777777" w:rsidR="00AD6054" w:rsidRPr="00AD6054" w:rsidRDefault="00AD6054" w:rsidP="006A7B7D">
            <w:r w:rsidRPr="00AD6054">
              <w:rPr>
                <w:rFonts w:eastAsia="Arial"/>
              </w:rPr>
              <w:t>4.20</w:t>
            </w:r>
          </w:p>
        </w:tc>
        <w:tc>
          <w:tcPr>
            <w:tcW w:w="1488" w:type="dxa"/>
          </w:tcPr>
          <w:p w14:paraId="1BCAEAF4" w14:textId="77777777" w:rsidR="00AD6054" w:rsidRPr="00AD6054" w:rsidRDefault="00AD6054" w:rsidP="006A7B7D">
            <w:r w:rsidRPr="00AD6054">
              <w:rPr>
                <w:rFonts w:eastAsia="Arial"/>
              </w:rPr>
              <w:t>0.76</w:t>
            </w:r>
          </w:p>
        </w:tc>
        <w:tc>
          <w:tcPr>
            <w:tcW w:w="2338" w:type="dxa"/>
          </w:tcPr>
          <w:p w14:paraId="52A44764" w14:textId="77777777" w:rsidR="00AD6054" w:rsidRPr="00AD6054" w:rsidRDefault="00AD6054" w:rsidP="006A7B7D">
            <w:r w:rsidRPr="00AD6054">
              <w:rPr>
                <w:rFonts w:eastAsia="Arial"/>
              </w:rPr>
              <w:t>Often</w:t>
            </w:r>
          </w:p>
        </w:tc>
      </w:tr>
      <w:tr w:rsidR="00AD6054" w:rsidRPr="00AD6054" w14:paraId="773E003B" w14:textId="77777777" w:rsidTr="00AD6054">
        <w:tc>
          <w:tcPr>
            <w:tcW w:w="3964" w:type="dxa"/>
          </w:tcPr>
          <w:p w14:paraId="39A2C892" w14:textId="77777777" w:rsidR="00AD6054" w:rsidRPr="00AD6054" w:rsidRDefault="00AD6054" w:rsidP="006A7B7D">
            <w:r w:rsidRPr="00AD6054">
              <w:rPr>
                <w:rFonts w:eastAsia="Arial"/>
              </w:rPr>
              <w:lastRenderedPageBreak/>
              <w:t>Self-study using construction books and technical manuals</w:t>
            </w:r>
          </w:p>
        </w:tc>
        <w:tc>
          <w:tcPr>
            <w:tcW w:w="1560" w:type="dxa"/>
          </w:tcPr>
          <w:p w14:paraId="34F55DA3" w14:textId="77777777" w:rsidR="00AD6054" w:rsidRPr="00AD6054" w:rsidRDefault="00AD6054" w:rsidP="006A7B7D">
            <w:r w:rsidRPr="00AD6054">
              <w:rPr>
                <w:rFonts w:eastAsia="Arial"/>
              </w:rPr>
              <w:t>3.89</w:t>
            </w:r>
          </w:p>
        </w:tc>
        <w:tc>
          <w:tcPr>
            <w:tcW w:w="1488" w:type="dxa"/>
          </w:tcPr>
          <w:p w14:paraId="44160377" w14:textId="77777777" w:rsidR="00AD6054" w:rsidRPr="00AD6054" w:rsidRDefault="00AD6054" w:rsidP="006A7B7D">
            <w:r w:rsidRPr="00AD6054">
              <w:rPr>
                <w:rFonts w:eastAsia="Arial"/>
              </w:rPr>
              <w:t>0.87</w:t>
            </w:r>
          </w:p>
        </w:tc>
        <w:tc>
          <w:tcPr>
            <w:tcW w:w="2338" w:type="dxa"/>
          </w:tcPr>
          <w:p w14:paraId="1B8FD07D" w14:textId="77777777" w:rsidR="00AD6054" w:rsidRPr="00AD6054" w:rsidRDefault="00AD6054" w:rsidP="006A7B7D">
            <w:r w:rsidRPr="00AD6054">
              <w:rPr>
                <w:rFonts w:eastAsia="Arial"/>
              </w:rPr>
              <w:t>Often</w:t>
            </w:r>
          </w:p>
        </w:tc>
      </w:tr>
      <w:tr w:rsidR="00AD6054" w:rsidRPr="00AD6054" w14:paraId="416A5579" w14:textId="77777777" w:rsidTr="00AD6054">
        <w:tc>
          <w:tcPr>
            <w:tcW w:w="3964" w:type="dxa"/>
          </w:tcPr>
          <w:p w14:paraId="209BD9D0" w14:textId="77777777" w:rsidR="00AD6054" w:rsidRPr="00AD6054" w:rsidRDefault="00AD6054" w:rsidP="006A7B7D">
            <w:r w:rsidRPr="00AD6054">
              <w:rPr>
                <w:rFonts w:eastAsia="Arial"/>
              </w:rPr>
              <w:t>Seeking advice from licensed engineers or architects</w:t>
            </w:r>
          </w:p>
        </w:tc>
        <w:tc>
          <w:tcPr>
            <w:tcW w:w="1560" w:type="dxa"/>
          </w:tcPr>
          <w:p w14:paraId="15FFB624" w14:textId="77777777" w:rsidR="00AD6054" w:rsidRPr="00AD6054" w:rsidRDefault="00AD6054" w:rsidP="006A7B7D">
            <w:r w:rsidRPr="00AD6054">
              <w:rPr>
                <w:rFonts w:eastAsia="Arial"/>
              </w:rPr>
              <w:t>4.05</w:t>
            </w:r>
          </w:p>
        </w:tc>
        <w:tc>
          <w:tcPr>
            <w:tcW w:w="1488" w:type="dxa"/>
          </w:tcPr>
          <w:p w14:paraId="0DFB31B0" w14:textId="77777777" w:rsidR="00AD6054" w:rsidRPr="00AD6054" w:rsidRDefault="00AD6054" w:rsidP="006A7B7D">
            <w:r w:rsidRPr="00AD6054">
              <w:rPr>
                <w:rFonts w:eastAsia="Arial"/>
              </w:rPr>
              <w:t>0.81</w:t>
            </w:r>
          </w:p>
        </w:tc>
        <w:tc>
          <w:tcPr>
            <w:tcW w:w="2338" w:type="dxa"/>
          </w:tcPr>
          <w:p w14:paraId="78ADDFA9" w14:textId="77777777" w:rsidR="00AD6054" w:rsidRPr="00AD6054" w:rsidRDefault="00AD6054" w:rsidP="006A7B7D">
            <w:r w:rsidRPr="00AD6054">
              <w:rPr>
                <w:rFonts w:eastAsia="Arial"/>
              </w:rPr>
              <w:t>Often</w:t>
            </w:r>
          </w:p>
        </w:tc>
      </w:tr>
      <w:tr w:rsidR="00AD6054" w:rsidRPr="00AD6054" w14:paraId="7B66910D" w14:textId="77777777" w:rsidTr="00AD6054">
        <w:tc>
          <w:tcPr>
            <w:tcW w:w="3964" w:type="dxa"/>
          </w:tcPr>
          <w:p w14:paraId="275DDF32" w14:textId="77777777" w:rsidR="00AD6054" w:rsidRPr="00AD6054" w:rsidRDefault="00AD6054" w:rsidP="006A7B7D">
            <w:r w:rsidRPr="00AD6054">
              <w:rPr>
                <w:rFonts w:eastAsia="Arial"/>
                <w:b/>
                <w:bCs/>
                <w:color w:val="1B3A5C"/>
              </w:rPr>
              <w:t>Overall Mean</w:t>
            </w:r>
          </w:p>
        </w:tc>
        <w:tc>
          <w:tcPr>
            <w:tcW w:w="1560" w:type="dxa"/>
          </w:tcPr>
          <w:p w14:paraId="57484BA4" w14:textId="77777777" w:rsidR="00AD6054" w:rsidRPr="00AD6054" w:rsidRDefault="00AD6054" w:rsidP="006A7B7D">
            <w:r w:rsidRPr="00AD6054">
              <w:rPr>
                <w:rFonts w:eastAsia="Arial"/>
                <w:b/>
                <w:bCs/>
                <w:color w:val="1B3A5C"/>
              </w:rPr>
              <w:t>4.23</w:t>
            </w:r>
          </w:p>
        </w:tc>
        <w:tc>
          <w:tcPr>
            <w:tcW w:w="1488" w:type="dxa"/>
          </w:tcPr>
          <w:p w14:paraId="0B8AC18D" w14:textId="77777777" w:rsidR="00AD6054" w:rsidRPr="00AD6054" w:rsidRDefault="00AD6054" w:rsidP="006A7B7D">
            <w:r w:rsidRPr="00AD6054">
              <w:rPr>
                <w:rFonts w:eastAsia="Arial"/>
                <w:b/>
                <w:bCs/>
                <w:color w:val="1B3A5C"/>
              </w:rPr>
              <w:t>0.73</w:t>
            </w:r>
          </w:p>
        </w:tc>
        <w:tc>
          <w:tcPr>
            <w:tcW w:w="2338" w:type="dxa"/>
          </w:tcPr>
          <w:p w14:paraId="652FF212" w14:textId="77777777" w:rsidR="00AD6054" w:rsidRPr="00AD6054" w:rsidRDefault="00AD6054" w:rsidP="006A7B7D">
            <w:r w:rsidRPr="00AD6054">
              <w:rPr>
                <w:rFonts w:eastAsia="Arial"/>
                <w:b/>
                <w:bCs/>
                <w:color w:val="1B3A5C"/>
              </w:rPr>
              <w:t>Often</w:t>
            </w:r>
          </w:p>
        </w:tc>
      </w:tr>
    </w:tbl>
    <w:p w14:paraId="28D78ADF" w14:textId="77777777" w:rsidR="00AD6054" w:rsidRPr="00AD6054" w:rsidRDefault="00AD6054" w:rsidP="00AD6054">
      <w:pPr>
        <w:spacing w:before="60" w:after="160"/>
        <w:rPr>
          <w:sz w:val="20"/>
          <w:szCs w:val="20"/>
        </w:rPr>
      </w:pPr>
      <w:r w:rsidRPr="00AD6054">
        <w:rPr>
          <w:rFonts w:eastAsia="Arial"/>
          <w:b/>
          <w:bCs/>
          <w:i/>
          <w:iCs/>
          <w:sz w:val="20"/>
          <w:szCs w:val="20"/>
        </w:rPr>
        <w:t xml:space="preserve">Note. </w:t>
      </w:r>
      <w:r w:rsidRPr="00AD6054">
        <w:rPr>
          <w:rFonts w:eastAsia="Arial"/>
          <w:sz w:val="20"/>
          <w:szCs w:val="20"/>
        </w:rPr>
        <w:t>Scale: 4.50–5.00 = Always; 3.50–4.49 = Often; 2.50–3.49 = Sometimes; 1.50–2.49 = Rarely; 1.00–1.49 = Never. n = 60.</w:t>
      </w:r>
    </w:p>
    <w:p w14:paraId="6FF75D42" w14:textId="77777777" w:rsidR="00150ED1" w:rsidRDefault="00150ED1" w:rsidP="00150ED1">
      <w:pPr>
        <w:spacing w:before="120" w:after="120"/>
        <w:ind w:firstLine="720"/>
        <w:jc w:val="both"/>
      </w:pPr>
      <w:r>
        <w:t>Table 3 documents how respondents build their drafting skills outside formal learning environments. Learning by doing through trial and error on actual projects was the most consistently practiced strategy (</w:t>
      </w:r>
      <w:r>
        <w:rPr>
          <w:i/>
          <w:iCs/>
        </w:rPr>
        <w:t>M</w:t>
      </w:r>
      <w:r>
        <w:t xml:space="preserve"> = 4.67, </w:t>
      </w:r>
      <w:r>
        <w:rPr>
          <w:i/>
          <w:iCs/>
        </w:rPr>
        <w:t>SD</w:t>
      </w:r>
      <w:r>
        <w:t xml:space="preserve"> = 0.52), reaching the Always range—the highest single-item mean across all scales in the study. Observation and imitation of senior practitioners (</w:t>
      </w:r>
      <w:r>
        <w:rPr>
          <w:i/>
          <w:iCs/>
        </w:rPr>
        <w:t>M</w:t>
      </w:r>
      <w:r>
        <w:t xml:space="preserve"> = 4.33, </w:t>
      </w:r>
      <w:r>
        <w:rPr>
          <w:i/>
          <w:iCs/>
        </w:rPr>
        <w:t>SD</w:t>
      </w:r>
      <w:r>
        <w:t xml:space="preserve"> = 0.71) was the second most prevalent, also rated as Always. The overall mean of 4.23 (</w:t>
      </w:r>
      <w:r>
        <w:rPr>
          <w:i/>
          <w:iCs/>
        </w:rPr>
        <w:t>SD</w:t>
      </w:r>
      <w:r>
        <w:t xml:space="preserve"> = 0.73) underscores the centrality of experiential and observational learning in the occupational formation of this population.</w:t>
      </w:r>
    </w:p>
    <w:p w14:paraId="7FC19B6B" w14:textId="77777777" w:rsidR="00150ED1" w:rsidRDefault="00150ED1" w:rsidP="00150ED1">
      <w:pPr>
        <w:spacing w:before="120" w:after="120"/>
        <w:ind w:firstLine="720"/>
        <w:jc w:val="both"/>
      </w:pPr>
      <w:r>
        <w:t>These findings are best understood through the lens of situated learning theory (Lave &amp; Wenger, 1991), which holds that vocational knowledge is fundamentally acquired through legitimate peripheral participation in communities of practice—through doing real work alongside more experienced practitioners, gradually taking on greater responsibility, and internalizing the norms and heuristics of the trade. The dominance of trial-and-error and imitation as learning mechanisms confirms that non-licensed design practitioners in this study are, in effect, situated learners whose skill formation mirrors the apprenticeship model described by Lave and Wenger, even if no formal apprenticeship structure exists. A training framework that leverages this existing orientation—structuring authentic task performance and coached observation as core pedagogical strategies—stands the best chance of uptake and transfer.</w:t>
      </w:r>
    </w:p>
    <w:p w14:paraId="41744E2F" w14:textId="77777777" w:rsidR="00AD6054" w:rsidRDefault="00AD6054" w:rsidP="00AD6054">
      <w:pPr>
        <w:rPr>
          <w:b/>
          <w:bCs/>
        </w:rPr>
      </w:pPr>
    </w:p>
    <w:p w14:paraId="25E833B9" w14:textId="12199C6E" w:rsidR="00150ED1" w:rsidRDefault="00150ED1" w:rsidP="00AD6054">
      <w:pPr>
        <w:rPr>
          <w:b/>
          <w:bCs/>
        </w:rPr>
      </w:pPr>
      <w:r>
        <w:rPr>
          <w:b/>
          <w:bCs/>
        </w:rPr>
        <w:t>Table 4</w:t>
      </w:r>
      <w:r w:rsidR="00671BC1">
        <w:rPr>
          <w:b/>
          <w:bCs/>
        </w:rPr>
        <w:t xml:space="preserve">: </w:t>
      </w:r>
      <w:r w:rsidR="00671BC1">
        <w:rPr>
          <w:rFonts w:eastAsia="Arial"/>
          <w:b/>
          <w:bCs/>
        </w:rPr>
        <w:t xml:space="preserve">Mean Ratings for </w:t>
      </w:r>
      <w:r w:rsidR="00671BC1" w:rsidRPr="00150ED1">
        <w:rPr>
          <w:rFonts w:eastAsia="Arial"/>
          <w:b/>
          <w:bCs/>
          <w:color w:val="000000" w:themeColor="text1"/>
        </w:rPr>
        <w:t>Informal Learning Mechanism</w:t>
      </w:r>
    </w:p>
    <w:p w14:paraId="58150118" w14:textId="77777777" w:rsidR="00150ED1" w:rsidRPr="00150ED1" w:rsidRDefault="00150ED1" w:rsidP="00150ED1">
      <w:pPr>
        <w:spacing w:after="80"/>
      </w:pPr>
      <w:r w:rsidRPr="00150ED1">
        <w:rPr>
          <w:rFonts w:eastAsia="Arial"/>
          <w:i/>
          <w:iCs/>
        </w:rPr>
        <w:t>Mean Ratings of Informal Learning Mechanisms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150ED1" w:rsidRPr="00150ED1" w14:paraId="7B28DA44" w14:textId="77777777" w:rsidTr="00150ED1">
        <w:tc>
          <w:tcPr>
            <w:tcW w:w="4106" w:type="dxa"/>
            <w:tcBorders>
              <w:top w:val="single" w:sz="4" w:space="0" w:color="auto"/>
              <w:bottom w:val="single" w:sz="4" w:space="0" w:color="auto"/>
            </w:tcBorders>
            <w:vAlign w:val="center"/>
          </w:tcPr>
          <w:p w14:paraId="38D7DB19" w14:textId="77777777" w:rsidR="00150ED1" w:rsidRPr="00150ED1" w:rsidRDefault="00150ED1" w:rsidP="006A7B7D">
            <w:pPr>
              <w:jc w:val="center"/>
              <w:rPr>
                <w:color w:val="000000" w:themeColor="text1"/>
              </w:rPr>
            </w:pPr>
            <w:r w:rsidRPr="00150ED1">
              <w:rPr>
                <w:rFonts w:eastAsia="Arial"/>
                <w:b/>
                <w:bCs/>
                <w:color w:val="000000" w:themeColor="text1"/>
              </w:rPr>
              <w:t>Informal Learning Mechanism</w:t>
            </w:r>
          </w:p>
        </w:tc>
        <w:tc>
          <w:tcPr>
            <w:tcW w:w="1418" w:type="dxa"/>
            <w:tcBorders>
              <w:top w:val="single" w:sz="4" w:space="0" w:color="auto"/>
              <w:bottom w:val="single" w:sz="4" w:space="0" w:color="auto"/>
            </w:tcBorders>
            <w:vAlign w:val="center"/>
          </w:tcPr>
          <w:p w14:paraId="4BFD1EB4" w14:textId="77777777" w:rsidR="00150ED1" w:rsidRPr="00150ED1" w:rsidRDefault="00150ED1" w:rsidP="006A7B7D">
            <w:pPr>
              <w:jc w:val="center"/>
              <w:rPr>
                <w:color w:val="000000" w:themeColor="text1"/>
              </w:rPr>
            </w:pPr>
            <w:r w:rsidRPr="00150ED1">
              <w:rPr>
                <w:rFonts w:eastAsia="Arial"/>
                <w:b/>
                <w:bCs/>
                <w:color w:val="000000" w:themeColor="text1"/>
              </w:rPr>
              <w:t>Mean</w:t>
            </w:r>
          </w:p>
        </w:tc>
        <w:tc>
          <w:tcPr>
            <w:tcW w:w="1488" w:type="dxa"/>
            <w:tcBorders>
              <w:top w:val="single" w:sz="4" w:space="0" w:color="auto"/>
              <w:bottom w:val="single" w:sz="4" w:space="0" w:color="auto"/>
            </w:tcBorders>
            <w:vAlign w:val="center"/>
          </w:tcPr>
          <w:p w14:paraId="488FCA50" w14:textId="77777777" w:rsidR="00150ED1" w:rsidRPr="00150ED1" w:rsidRDefault="00150ED1" w:rsidP="006A7B7D">
            <w:pPr>
              <w:jc w:val="center"/>
              <w:rPr>
                <w:color w:val="000000" w:themeColor="text1"/>
              </w:rPr>
            </w:pPr>
            <w:r w:rsidRPr="00150ED1">
              <w:rPr>
                <w:rFonts w:eastAsia="Arial"/>
                <w:b/>
                <w:bCs/>
                <w:color w:val="000000" w:themeColor="text1"/>
              </w:rPr>
              <w:t>SD</w:t>
            </w:r>
          </w:p>
        </w:tc>
        <w:tc>
          <w:tcPr>
            <w:tcW w:w="2338" w:type="dxa"/>
            <w:tcBorders>
              <w:top w:val="single" w:sz="4" w:space="0" w:color="auto"/>
              <w:bottom w:val="single" w:sz="4" w:space="0" w:color="auto"/>
            </w:tcBorders>
            <w:vAlign w:val="center"/>
          </w:tcPr>
          <w:p w14:paraId="4F51409E" w14:textId="77777777" w:rsidR="00150ED1" w:rsidRPr="00150ED1" w:rsidRDefault="00150ED1" w:rsidP="006A7B7D">
            <w:pPr>
              <w:jc w:val="center"/>
              <w:rPr>
                <w:color w:val="000000" w:themeColor="text1"/>
              </w:rPr>
            </w:pPr>
            <w:r w:rsidRPr="00150ED1">
              <w:rPr>
                <w:rFonts w:eastAsia="Arial"/>
                <w:b/>
                <w:bCs/>
                <w:color w:val="000000" w:themeColor="text1"/>
              </w:rPr>
              <w:t>Verbal Interpretation</w:t>
            </w:r>
          </w:p>
        </w:tc>
      </w:tr>
      <w:tr w:rsidR="00150ED1" w:rsidRPr="00150ED1" w14:paraId="125996CB" w14:textId="77777777" w:rsidTr="00150ED1">
        <w:tc>
          <w:tcPr>
            <w:tcW w:w="4106" w:type="dxa"/>
            <w:tcBorders>
              <w:top w:val="single" w:sz="4" w:space="0" w:color="auto"/>
            </w:tcBorders>
          </w:tcPr>
          <w:p w14:paraId="694A5FFB" w14:textId="77777777" w:rsidR="00150ED1" w:rsidRPr="00150ED1" w:rsidRDefault="00150ED1" w:rsidP="006A7B7D">
            <w:pPr>
              <w:rPr>
                <w:color w:val="000000" w:themeColor="text1"/>
              </w:rPr>
            </w:pPr>
            <w:r w:rsidRPr="00150ED1">
              <w:rPr>
                <w:rFonts w:eastAsia="Arial"/>
                <w:color w:val="000000" w:themeColor="text1"/>
              </w:rPr>
              <w:t>Peer-to-peer knowledge exchange in the workplace</w:t>
            </w:r>
          </w:p>
        </w:tc>
        <w:tc>
          <w:tcPr>
            <w:tcW w:w="1418" w:type="dxa"/>
            <w:tcBorders>
              <w:top w:val="single" w:sz="4" w:space="0" w:color="auto"/>
            </w:tcBorders>
          </w:tcPr>
          <w:p w14:paraId="655114FF" w14:textId="77777777" w:rsidR="00150ED1" w:rsidRPr="00150ED1" w:rsidRDefault="00150ED1" w:rsidP="006A7B7D">
            <w:pPr>
              <w:rPr>
                <w:color w:val="000000" w:themeColor="text1"/>
              </w:rPr>
            </w:pPr>
            <w:r w:rsidRPr="00150ED1">
              <w:rPr>
                <w:rFonts w:eastAsia="Arial"/>
                <w:color w:val="000000" w:themeColor="text1"/>
              </w:rPr>
              <w:t>4.42</w:t>
            </w:r>
          </w:p>
        </w:tc>
        <w:tc>
          <w:tcPr>
            <w:tcW w:w="1488" w:type="dxa"/>
            <w:tcBorders>
              <w:top w:val="single" w:sz="4" w:space="0" w:color="auto"/>
            </w:tcBorders>
          </w:tcPr>
          <w:p w14:paraId="729F5B4B" w14:textId="77777777" w:rsidR="00150ED1" w:rsidRPr="00150ED1" w:rsidRDefault="00150ED1" w:rsidP="006A7B7D">
            <w:pPr>
              <w:rPr>
                <w:color w:val="000000" w:themeColor="text1"/>
              </w:rPr>
            </w:pPr>
            <w:r w:rsidRPr="00150ED1">
              <w:rPr>
                <w:rFonts w:eastAsia="Arial"/>
                <w:color w:val="000000" w:themeColor="text1"/>
              </w:rPr>
              <w:t>0.66</w:t>
            </w:r>
          </w:p>
        </w:tc>
        <w:tc>
          <w:tcPr>
            <w:tcW w:w="2338" w:type="dxa"/>
            <w:tcBorders>
              <w:top w:val="single" w:sz="4" w:space="0" w:color="auto"/>
            </w:tcBorders>
          </w:tcPr>
          <w:p w14:paraId="667E3239" w14:textId="77777777" w:rsidR="00150ED1" w:rsidRPr="00150ED1" w:rsidRDefault="00150ED1" w:rsidP="006A7B7D">
            <w:pPr>
              <w:rPr>
                <w:color w:val="000000" w:themeColor="text1"/>
              </w:rPr>
            </w:pPr>
            <w:r w:rsidRPr="00150ED1">
              <w:rPr>
                <w:rFonts w:eastAsia="Arial"/>
                <w:color w:val="000000" w:themeColor="text1"/>
              </w:rPr>
              <w:t>Always</w:t>
            </w:r>
          </w:p>
        </w:tc>
      </w:tr>
      <w:tr w:rsidR="00150ED1" w:rsidRPr="00150ED1" w14:paraId="2A0C7C53" w14:textId="77777777" w:rsidTr="00150ED1">
        <w:tc>
          <w:tcPr>
            <w:tcW w:w="4106" w:type="dxa"/>
          </w:tcPr>
          <w:p w14:paraId="11FA944F" w14:textId="77777777" w:rsidR="00150ED1" w:rsidRPr="00150ED1" w:rsidRDefault="00150ED1" w:rsidP="006A7B7D">
            <w:pPr>
              <w:rPr>
                <w:color w:val="000000" w:themeColor="text1"/>
              </w:rPr>
            </w:pPr>
            <w:r w:rsidRPr="00150ED1">
              <w:rPr>
                <w:rFonts w:eastAsia="Arial"/>
                <w:color w:val="000000" w:themeColor="text1"/>
              </w:rPr>
              <w:t>Mentorship under experienced drafters or contractors</w:t>
            </w:r>
          </w:p>
        </w:tc>
        <w:tc>
          <w:tcPr>
            <w:tcW w:w="1418" w:type="dxa"/>
          </w:tcPr>
          <w:p w14:paraId="551854C5" w14:textId="77777777" w:rsidR="00150ED1" w:rsidRPr="00150ED1" w:rsidRDefault="00150ED1" w:rsidP="006A7B7D">
            <w:pPr>
              <w:rPr>
                <w:color w:val="000000" w:themeColor="text1"/>
              </w:rPr>
            </w:pPr>
            <w:r w:rsidRPr="00150ED1">
              <w:rPr>
                <w:rFonts w:eastAsia="Arial"/>
                <w:color w:val="000000" w:themeColor="text1"/>
              </w:rPr>
              <w:t>4.18</w:t>
            </w:r>
          </w:p>
        </w:tc>
        <w:tc>
          <w:tcPr>
            <w:tcW w:w="1488" w:type="dxa"/>
          </w:tcPr>
          <w:p w14:paraId="2178DAA4" w14:textId="77777777" w:rsidR="00150ED1" w:rsidRPr="00150ED1" w:rsidRDefault="00150ED1" w:rsidP="006A7B7D">
            <w:pPr>
              <w:rPr>
                <w:color w:val="000000" w:themeColor="text1"/>
              </w:rPr>
            </w:pPr>
            <w:r w:rsidRPr="00150ED1">
              <w:rPr>
                <w:rFonts w:eastAsia="Arial"/>
                <w:color w:val="000000" w:themeColor="text1"/>
              </w:rPr>
              <w:t>0.79</w:t>
            </w:r>
          </w:p>
        </w:tc>
        <w:tc>
          <w:tcPr>
            <w:tcW w:w="2338" w:type="dxa"/>
          </w:tcPr>
          <w:p w14:paraId="34688D96" w14:textId="77777777" w:rsidR="00150ED1" w:rsidRPr="00150ED1" w:rsidRDefault="00150ED1" w:rsidP="006A7B7D">
            <w:pPr>
              <w:rPr>
                <w:color w:val="000000" w:themeColor="text1"/>
              </w:rPr>
            </w:pPr>
            <w:r w:rsidRPr="00150ED1">
              <w:rPr>
                <w:rFonts w:eastAsia="Arial"/>
                <w:color w:val="000000" w:themeColor="text1"/>
              </w:rPr>
              <w:t>Often</w:t>
            </w:r>
          </w:p>
        </w:tc>
      </w:tr>
      <w:tr w:rsidR="00150ED1" w:rsidRPr="00150ED1" w14:paraId="74E0C4CE" w14:textId="77777777" w:rsidTr="00150ED1">
        <w:tc>
          <w:tcPr>
            <w:tcW w:w="4106" w:type="dxa"/>
          </w:tcPr>
          <w:p w14:paraId="3C0A44E9" w14:textId="77777777" w:rsidR="00150ED1" w:rsidRPr="00150ED1" w:rsidRDefault="00150ED1" w:rsidP="006A7B7D">
            <w:pPr>
              <w:rPr>
                <w:color w:val="000000" w:themeColor="text1"/>
              </w:rPr>
            </w:pPr>
            <w:r w:rsidRPr="00150ED1">
              <w:rPr>
                <w:rFonts w:eastAsia="Arial"/>
                <w:color w:val="000000" w:themeColor="text1"/>
              </w:rPr>
              <w:t>Community of practice participation (informal groups)</w:t>
            </w:r>
          </w:p>
        </w:tc>
        <w:tc>
          <w:tcPr>
            <w:tcW w:w="1418" w:type="dxa"/>
          </w:tcPr>
          <w:p w14:paraId="7102606E" w14:textId="77777777" w:rsidR="00150ED1" w:rsidRPr="00150ED1" w:rsidRDefault="00150ED1" w:rsidP="006A7B7D">
            <w:pPr>
              <w:rPr>
                <w:color w:val="000000" w:themeColor="text1"/>
              </w:rPr>
            </w:pPr>
            <w:r w:rsidRPr="00150ED1">
              <w:rPr>
                <w:rFonts w:eastAsia="Arial"/>
                <w:color w:val="000000" w:themeColor="text1"/>
              </w:rPr>
              <w:t>3.63</w:t>
            </w:r>
          </w:p>
        </w:tc>
        <w:tc>
          <w:tcPr>
            <w:tcW w:w="1488" w:type="dxa"/>
          </w:tcPr>
          <w:p w14:paraId="033A483D" w14:textId="77777777" w:rsidR="00150ED1" w:rsidRPr="00150ED1" w:rsidRDefault="00150ED1" w:rsidP="006A7B7D">
            <w:pPr>
              <w:rPr>
                <w:color w:val="000000" w:themeColor="text1"/>
              </w:rPr>
            </w:pPr>
            <w:r w:rsidRPr="00150ED1">
              <w:rPr>
                <w:rFonts w:eastAsia="Arial"/>
                <w:color w:val="000000" w:themeColor="text1"/>
              </w:rPr>
              <w:t>0.95</w:t>
            </w:r>
          </w:p>
        </w:tc>
        <w:tc>
          <w:tcPr>
            <w:tcW w:w="2338" w:type="dxa"/>
          </w:tcPr>
          <w:p w14:paraId="6DF1EB67" w14:textId="77777777" w:rsidR="00150ED1" w:rsidRPr="00150ED1" w:rsidRDefault="00150ED1" w:rsidP="006A7B7D">
            <w:pPr>
              <w:rPr>
                <w:color w:val="000000" w:themeColor="text1"/>
              </w:rPr>
            </w:pPr>
            <w:r w:rsidRPr="00150ED1">
              <w:rPr>
                <w:rFonts w:eastAsia="Arial"/>
                <w:color w:val="000000" w:themeColor="text1"/>
              </w:rPr>
              <w:t>Often</w:t>
            </w:r>
          </w:p>
        </w:tc>
      </w:tr>
      <w:tr w:rsidR="00150ED1" w:rsidRPr="00150ED1" w14:paraId="570E7D26" w14:textId="77777777" w:rsidTr="00150ED1">
        <w:tc>
          <w:tcPr>
            <w:tcW w:w="4106" w:type="dxa"/>
          </w:tcPr>
          <w:p w14:paraId="6DEB0373" w14:textId="77777777" w:rsidR="00150ED1" w:rsidRPr="00150ED1" w:rsidRDefault="00150ED1" w:rsidP="006A7B7D">
            <w:pPr>
              <w:rPr>
                <w:color w:val="000000" w:themeColor="text1"/>
              </w:rPr>
            </w:pPr>
            <w:r w:rsidRPr="00150ED1">
              <w:rPr>
                <w:rFonts w:eastAsia="Arial"/>
                <w:color w:val="000000" w:themeColor="text1"/>
              </w:rPr>
              <w:t>Apprenticeship under master craftsmen or senior workers</w:t>
            </w:r>
          </w:p>
        </w:tc>
        <w:tc>
          <w:tcPr>
            <w:tcW w:w="1418" w:type="dxa"/>
          </w:tcPr>
          <w:p w14:paraId="6BF05347" w14:textId="77777777" w:rsidR="00150ED1" w:rsidRPr="00150ED1" w:rsidRDefault="00150ED1" w:rsidP="006A7B7D">
            <w:pPr>
              <w:rPr>
                <w:color w:val="000000" w:themeColor="text1"/>
              </w:rPr>
            </w:pPr>
            <w:r w:rsidRPr="00150ED1">
              <w:rPr>
                <w:rFonts w:eastAsia="Arial"/>
                <w:color w:val="000000" w:themeColor="text1"/>
              </w:rPr>
              <w:t>3.87</w:t>
            </w:r>
          </w:p>
        </w:tc>
        <w:tc>
          <w:tcPr>
            <w:tcW w:w="1488" w:type="dxa"/>
          </w:tcPr>
          <w:p w14:paraId="7DB7B869" w14:textId="77777777" w:rsidR="00150ED1" w:rsidRPr="00150ED1" w:rsidRDefault="00150ED1" w:rsidP="006A7B7D">
            <w:pPr>
              <w:rPr>
                <w:color w:val="000000" w:themeColor="text1"/>
              </w:rPr>
            </w:pPr>
            <w:r w:rsidRPr="00150ED1">
              <w:rPr>
                <w:rFonts w:eastAsia="Arial"/>
                <w:color w:val="000000" w:themeColor="text1"/>
              </w:rPr>
              <w:t>0.90</w:t>
            </w:r>
          </w:p>
        </w:tc>
        <w:tc>
          <w:tcPr>
            <w:tcW w:w="2338" w:type="dxa"/>
          </w:tcPr>
          <w:p w14:paraId="0C2A8A76" w14:textId="77777777" w:rsidR="00150ED1" w:rsidRPr="00150ED1" w:rsidRDefault="00150ED1" w:rsidP="006A7B7D">
            <w:pPr>
              <w:rPr>
                <w:color w:val="000000" w:themeColor="text1"/>
              </w:rPr>
            </w:pPr>
            <w:r w:rsidRPr="00150ED1">
              <w:rPr>
                <w:rFonts w:eastAsia="Arial"/>
                <w:color w:val="000000" w:themeColor="text1"/>
              </w:rPr>
              <w:t>Often</w:t>
            </w:r>
          </w:p>
        </w:tc>
      </w:tr>
      <w:tr w:rsidR="00150ED1" w:rsidRPr="00150ED1" w14:paraId="44741A75" w14:textId="77777777" w:rsidTr="00150ED1">
        <w:tc>
          <w:tcPr>
            <w:tcW w:w="4106" w:type="dxa"/>
          </w:tcPr>
          <w:p w14:paraId="61E4020E" w14:textId="77777777" w:rsidR="00150ED1" w:rsidRPr="00150ED1" w:rsidRDefault="00150ED1" w:rsidP="006A7B7D">
            <w:pPr>
              <w:rPr>
                <w:color w:val="000000" w:themeColor="text1"/>
              </w:rPr>
            </w:pPr>
            <w:r w:rsidRPr="00150ED1">
              <w:rPr>
                <w:rFonts w:eastAsia="Arial"/>
                <w:color w:val="000000" w:themeColor="text1"/>
              </w:rPr>
              <w:t>Job rotation across different construction projects</w:t>
            </w:r>
          </w:p>
        </w:tc>
        <w:tc>
          <w:tcPr>
            <w:tcW w:w="1418" w:type="dxa"/>
          </w:tcPr>
          <w:p w14:paraId="032FB878" w14:textId="77777777" w:rsidR="00150ED1" w:rsidRPr="00150ED1" w:rsidRDefault="00150ED1" w:rsidP="006A7B7D">
            <w:pPr>
              <w:rPr>
                <w:color w:val="000000" w:themeColor="text1"/>
              </w:rPr>
            </w:pPr>
            <w:r w:rsidRPr="00150ED1">
              <w:rPr>
                <w:rFonts w:eastAsia="Arial"/>
                <w:color w:val="000000" w:themeColor="text1"/>
              </w:rPr>
              <w:t>3.54</w:t>
            </w:r>
          </w:p>
        </w:tc>
        <w:tc>
          <w:tcPr>
            <w:tcW w:w="1488" w:type="dxa"/>
          </w:tcPr>
          <w:p w14:paraId="58C47DDA" w14:textId="77777777" w:rsidR="00150ED1" w:rsidRPr="00150ED1" w:rsidRDefault="00150ED1" w:rsidP="006A7B7D">
            <w:pPr>
              <w:rPr>
                <w:color w:val="000000" w:themeColor="text1"/>
              </w:rPr>
            </w:pPr>
            <w:r w:rsidRPr="00150ED1">
              <w:rPr>
                <w:rFonts w:eastAsia="Arial"/>
                <w:color w:val="000000" w:themeColor="text1"/>
              </w:rPr>
              <w:t>1.01</w:t>
            </w:r>
          </w:p>
        </w:tc>
        <w:tc>
          <w:tcPr>
            <w:tcW w:w="2338" w:type="dxa"/>
          </w:tcPr>
          <w:p w14:paraId="051CFF20" w14:textId="77777777" w:rsidR="00150ED1" w:rsidRPr="00150ED1" w:rsidRDefault="00150ED1" w:rsidP="006A7B7D">
            <w:pPr>
              <w:rPr>
                <w:color w:val="000000" w:themeColor="text1"/>
              </w:rPr>
            </w:pPr>
            <w:r w:rsidRPr="00150ED1">
              <w:rPr>
                <w:rFonts w:eastAsia="Arial"/>
                <w:color w:val="000000" w:themeColor="text1"/>
              </w:rPr>
              <w:t>Often</w:t>
            </w:r>
          </w:p>
        </w:tc>
      </w:tr>
      <w:tr w:rsidR="00150ED1" w:rsidRPr="00150ED1" w14:paraId="74D7F69D" w14:textId="77777777" w:rsidTr="00150ED1">
        <w:tc>
          <w:tcPr>
            <w:tcW w:w="4106" w:type="dxa"/>
          </w:tcPr>
          <w:p w14:paraId="3527DE4F" w14:textId="77777777" w:rsidR="00150ED1" w:rsidRPr="00150ED1" w:rsidRDefault="00150ED1" w:rsidP="006A7B7D">
            <w:pPr>
              <w:rPr>
                <w:color w:val="000000" w:themeColor="text1"/>
              </w:rPr>
            </w:pPr>
            <w:r w:rsidRPr="00150ED1">
              <w:rPr>
                <w:rFonts w:eastAsia="Arial"/>
                <w:b/>
                <w:bCs/>
                <w:color w:val="000000" w:themeColor="text1"/>
              </w:rPr>
              <w:t>Overall Mean</w:t>
            </w:r>
          </w:p>
        </w:tc>
        <w:tc>
          <w:tcPr>
            <w:tcW w:w="1418" w:type="dxa"/>
          </w:tcPr>
          <w:p w14:paraId="55885470" w14:textId="77777777" w:rsidR="00150ED1" w:rsidRPr="00150ED1" w:rsidRDefault="00150ED1" w:rsidP="006A7B7D">
            <w:pPr>
              <w:rPr>
                <w:color w:val="000000" w:themeColor="text1"/>
              </w:rPr>
            </w:pPr>
            <w:r w:rsidRPr="00150ED1">
              <w:rPr>
                <w:rFonts w:eastAsia="Arial"/>
                <w:b/>
                <w:bCs/>
                <w:color w:val="000000" w:themeColor="text1"/>
              </w:rPr>
              <w:t>3.93</w:t>
            </w:r>
          </w:p>
        </w:tc>
        <w:tc>
          <w:tcPr>
            <w:tcW w:w="1488" w:type="dxa"/>
          </w:tcPr>
          <w:p w14:paraId="6A1C416C" w14:textId="77777777" w:rsidR="00150ED1" w:rsidRPr="00150ED1" w:rsidRDefault="00150ED1" w:rsidP="006A7B7D">
            <w:pPr>
              <w:rPr>
                <w:color w:val="000000" w:themeColor="text1"/>
              </w:rPr>
            </w:pPr>
            <w:r w:rsidRPr="00150ED1">
              <w:rPr>
                <w:rFonts w:eastAsia="Arial"/>
                <w:b/>
                <w:bCs/>
                <w:color w:val="000000" w:themeColor="text1"/>
              </w:rPr>
              <w:t>0.86</w:t>
            </w:r>
          </w:p>
        </w:tc>
        <w:tc>
          <w:tcPr>
            <w:tcW w:w="2338" w:type="dxa"/>
          </w:tcPr>
          <w:p w14:paraId="5906CC49" w14:textId="77777777" w:rsidR="00150ED1" w:rsidRPr="00150ED1" w:rsidRDefault="00150ED1" w:rsidP="006A7B7D">
            <w:pPr>
              <w:rPr>
                <w:color w:val="000000" w:themeColor="text1"/>
              </w:rPr>
            </w:pPr>
            <w:r w:rsidRPr="00150ED1">
              <w:rPr>
                <w:rFonts w:eastAsia="Arial"/>
                <w:b/>
                <w:bCs/>
                <w:color w:val="000000" w:themeColor="text1"/>
              </w:rPr>
              <w:t>Often</w:t>
            </w:r>
          </w:p>
        </w:tc>
      </w:tr>
    </w:tbl>
    <w:p w14:paraId="1C1CED08" w14:textId="77777777" w:rsidR="00150ED1" w:rsidRDefault="00150ED1" w:rsidP="00AD6054">
      <w:pPr>
        <w:rPr>
          <w:b/>
          <w:bCs/>
        </w:rPr>
      </w:pPr>
    </w:p>
    <w:p w14:paraId="1CBE1976" w14:textId="77777777" w:rsidR="00AE71DF" w:rsidRDefault="00AE71DF" w:rsidP="00AE71DF">
      <w:pPr>
        <w:spacing w:before="120" w:after="120"/>
        <w:ind w:firstLine="720"/>
        <w:jc w:val="both"/>
      </w:pPr>
      <w:r>
        <w:t>Table 4 extends the analysis from individual strategies to social learning mechanisms. Peer-to-peer knowledge exchange in the workplace ranked highest (</w:t>
      </w:r>
      <w:r>
        <w:rPr>
          <w:i/>
          <w:iCs/>
        </w:rPr>
        <w:t>M</w:t>
      </w:r>
      <w:r>
        <w:t xml:space="preserve"> = 4.42, </w:t>
      </w:r>
      <w:r>
        <w:rPr>
          <w:i/>
          <w:iCs/>
        </w:rPr>
        <w:t>SD</w:t>
      </w:r>
      <w:r>
        <w:t xml:space="preserve"> = 0.66, rated Always), affirming that the most important learning relationships for this population are horizontal—</w:t>
      </w:r>
      <w:r>
        <w:lastRenderedPageBreak/>
        <w:t>occurring among co-workers of similar or proximate skill levels rather than through hierarchical instruction. Mentorship under experienced drafters or contractors followed (</w:t>
      </w:r>
      <w:r>
        <w:rPr>
          <w:i/>
          <w:iCs/>
        </w:rPr>
        <w:t>M</w:t>
      </w:r>
      <w:r>
        <w:t xml:space="preserve"> = 4.18, </w:t>
      </w:r>
      <w:r>
        <w:rPr>
          <w:i/>
          <w:iCs/>
        </w:rPr>
        <w:t>SD</w:t>
      </w:r>
      <w:r>
        <w:t xml:space="preserve"> = 0.79), suggesting that informal mentoring does occur but is less universally available than peer exchange. The overall mean of 3.93 (</w:t>
      </w:r>
      <w:r>
        <w:rPr>
          <w:i/>
          <w:iCs/>
        </w:rPr>
        <w:t>SD</w:t>
      </w:r>
      <w:r>
        <w:t xml:space="preserve"> = 0.86) positioned the composite construct in the Often range.</w:t>
      </w:r>
    </w:p>
    <w:p w14:paraId="43E37745" w14:textId="77777777" w:rsidR="00AE71DF" w:rsidRDefault="00AE71DF" w:rsidP="00AE71DF">
      <w:pPr>
        <w:spacing w:before="120" w:after="120"/>
        <w:ind w:firstLine="720"/>
        <w:jc w:val="both"/>
      </w:pPr>
      <w:r>
        <w:t>Community of practice participation (</w:t>
      </w:r>
      <w:r>
        <w:rPr>
          <w:i/>
          <w:iCs/>
        </w:rPr>
        <w:t>M</w:t>
      </w:r>
      <w:r>
        <w:t xml:space="preserve"> = 3.63, </w:t>
      </w:r>
      <w:r>
        <w:rPr>
          <w:i/>
          <w:iCs/>
        </w:rPr>
        <w:t>SD</w:t>
      </w:r>
      <w:r>
        <w:t xml:space="preserve"> = 0.95) and job rotation across different construction projects (</w:t>
      </w:r>
      <w:r>
        <w:rPr>
          <w:i/>
          <w:iCs/>
        </w:rPr>
        <w:t>M</w:t>
      </w:r>
      <w:r>
        <w:t xml:space="preserve"> = 3.54, </w:t>
      </w:r>
      <w:r>
        <w:rPr>
          <w:i/>
          <w:iCs/>
        </w:rPr>
        <w:t>SD</w:t>
      </w:r>
      <w:r>
        <w:t xml:space="preserve"> = 1.01) were rated lowest within this scale—both in the Often range but with relatively high standard deviations indicating variability in access. Wenger (1998) emphasizes that communities of practice generate shared repertoires of tools, stories, and standards that constitute occupational identity; the moderate but variable engagement with such communities seen here suggests that participation is opportunistic rather than systematic. A training framework could intentionally strengthen community-of-practice dynamics by building in collaborative studio sessions, group critique, and peer evaluation—mechanisms that formalize what already occurs informally in the field.</w:t>
      </w:r>
    </w:p>
    <w:p w14:paraId="08635CC6" w14:textId="77777777" w:rsidR="00AE71DF" w:rsidRDefault="00AE71DF" w:rsidP="00AD6054">
      <w:pPr>
        <w:rPr>
          <w:b/>
          <w:bCs/>
        </w:rPr>
      </w:pPr>
    </w:p>
    <w:p w14:paraId="66EACF13" w14:textId="4ECBDDA7" w:rsidR="00150ED1" w:rsidRPr="00671BC1" w:rsidRDefault="00AE71DF" w:rsidP="00AD6054">
      <w:r>
        <w:rPr>
          <w:b/>
          <w:bCs/>
        </w:rPr>
        <w:t>Table 5</w:t>
      </w:r>
      <w:r w:rsidR="00671BC1">
        <w:rPr>
          <w:b/>
          <w:bCs/>
        </w:rPr>
        <w:t xml:space="preserve">: </w:t>
      </w:r>
      <w:r w:rsidR="00671BC1">
        <w:rPr>
          <w:rFonts w:eastAsia="Arial"/>
          <w:b/>
          <w:bCs/>
        </w:rPr>
        <w:t xml:space="preserve">Mean Ratings for </w:t>
      </w:r>
      <w:r w:rsidR="00671BC1" w:rsidRPr="00AE71DF">
        <w:rPr>
          <w:rFonts w:eastAsia="Arial"/>
          <w:b/>
          <w:bCs/>
          <w:color w:val="000000" w:themeColor="text1"/>
        </w:rPr>
        <w:t>Technology-Mediated Learning Platform / Tool</w:t>
      </w:r>
    </w:p>
    <w:p w14:paraId="5917001D" w14:textId="77777777" w:rsidR="00AE71DF" w:rsidRPr="00AE71DF" w:rsidRDefault="00AE71DF" w:rsidP="00AE71DF">
      <w:pPr>
        <w:spacing w:after="80"/>
        <w:rPr>
          <w:rFonts w:eastAsia="Arial"/>
          <w:i/>
          <w:iCs/>
        </w:rPr>
      </w:pPr>
      <w:r w:rsidRPr="00AE71DF">
        <w:rPr>
          <w:rFonts w:eastAsia="Arial"/>
          <w:i/>
          <w:iCs/>
        </w:rPr>
        <w:t>Mean Ratings of Technology-Mediated Learning Utilization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AE71DF" w:rsidRPr="00AE71DF" w14:paraId="1A062CF9" w14:textId="77777777" w:rsidTr="00AE71DF">
        <w:tc>
          <w:tcPr>
            <w:tcW w:w="4106" w:type="dxa"/>
            <w:tcBorders>
              <w:top w:val="single" w:sz="4" w:space="0" w:color="auto"/>
              <w:bottom w:val="single" w:sz="4" w:space="0" w:color="auto"/>
            </w:tcBorders>
            <w:vAlign w:val="center"/>
          </w:tcPr>
          <w:p w14:paraId="626C4E2C" w14:textId="77777777" w:rsidR="00AE71DF" w:rsidRPr="00AE71DF" w:rsidRDefault="00AE71DF" w:rsidP="006A7B7D">
            <w:pPr>
              <w:jc w:val="center"/>
              <w:rPr>
                <w:color w:val="000000" w:themeColor="text1"/>
              </w:rPr>
            </w:pPr>
            <w:r w:rsidRPr="00AE71DF">
              <w:rPr>
                <w:rFonts w:eastAsia="Arial"/>
                <w:b/>
                <w:bCs/>
                <w:color w:val="000000" w:themeColor="text1"/>
              </w:rPr>
              <w:t>Technology-Mediated Learning Platform / Tool</w:t>
            </w:r>
          </w:p>
        </w:tc>
        <w:tc>
          <w:tcPr>
            <w:tcW w:w="1418" w:type="dxa"/>
            <w:tcBorders>
              <w:top w:val="single" w:sz="4" w:space="0" w:color="auto"/>
              <w:bottom w:val="single" w:sz="4" w:space="0" w:color="auto"/>
            </w:tcBorders>
            <w:vAlign w:val="center"/>
          </w:tcPr>
          <w:p w14:paraId="6FFFCE90" w14:textId="77777777" w:rsidR="00AE71DF" w:rsidRPr="00AE71DF" w:rsidRDefault="00AE71DF" w:rsidP="006A7B7D">
            <w:pPr>
              <w:jc w:val="center"/>
              <w:rPr>
                <w:color w:val="000000" w:themeColor="text1"/>
              </w:rPr>
            </w:pPr>
            <w:r w:rsidRPr="00AE71DF">
              <w:rPr>
                <w:rFonts w:eastAsia="Arial"/>
                <w:b/>
                <w:bCs/>
                <w:color w:val="000000" w:themeColor="text1"/>
              </w:rPr>
              <w:t>Mean</w:t>
            </w:r>
          </w:p>
        </w:tc>
        <w:tc>
          <w:tcPr>
            <w:tcW w:w="1488" w:type="dxa"/>
            <w:tcBorders>
              <w:top w:val="single" w:sz="4" w:space="0" w:color="auto"/>
              <w:bottom w:val="single" w:sz="4" w:space="0" w:color="auto"/>
            </w:tcBorders>
            <w:vAlign w:val="center"/>
          </w:tcPr>
          <w:p w14:paraId="43A46FAF" w14:textId="77777777" w:rsidR="00AE71DF" w:rsidRPr="00AE71DF" w:rsidRDefault="00AE71DF" w:rsidP="006A7B7D">
            <w:pPr>
              <w:jc w:val="center"/>
              <w:rPr>
                <w:color w:val="000000" w:themeColor="text1"/>
              </w:rPr>
            </w:pPr>
            <w:r w:rsidRPr="00AE71DF">
              <w:rPr>
                <w:rFonts w:eastAsia="Arial"/>
                <w:b/>
                <w:bCs/>
                <w:color w:val="000000" w:themeColor="text1"/>
              </w:rPr>
              <w:t>SD</w:t>
            </w:r>
          </w:p>
        </w:tc>
        <w:tc>
          <w:tcPr>
            <w:tcW w:w="2338" w:type="dxa"/>
            <w:tcBorders>
              <w:top w:val="single" w:sz="4" w:space="0" w:color="auto"/>
              <w:bottom w:val="single" w:sz="4" w:space="0" w:color="auto"/>
            </w:tcBorders>
            <w:vAlign w:val="center"/>
          </w:tcPr>
          <w:p w14:paraId="165D72B4" w14:textId="77777777" w:rsidR="00AE71DF" w:rsidRPr="00AE71DF" w:rsidRDefault="00AE71DF" w:rsidP="006A7B7D">
            <w:pPr>
              <w:jc w:val="center"/>
              <w:rPr>
                <w:color w:val="000000" w:themeColor="text1"/>
              </w:rPr>
            </w:pPr>
            <w:r w:rsidRPr="00AE71DF">
              <w:rPr>
                <w:rFonts w:eastAsia="Arial"/>
                <w:b/>
                <w:bCs/>
                <w:color w:val="000000" w:themeColor="text1"/>
              </w:rPr>
              <w:t>Verbal Interpretation</w:t>
            </w:r>
          </w:p>
        </w:tc>
      </w:tr>
      <w:tr w:rsidR="00AE71DF" w:rsidRPr="00AE71DF" w14:paraId="448541EE" w14:textId="77777777" w:rsidTr="00AE71DF">
        <w:tc>
          <w:tcPr>
            <w:tcW w:w="4106" w:type="dxa"/>
            <w:tcBorders>
              <w:top w:val="single" w:sz="4" w:space="0" w:color="auto"/>
            </w:tcBorders>
          </w:tcPr>
          <w:p w14:paraId="79F80E2A" w14:textId="77777777" w:rsidR="00AE71DF" w:rsidRPr="00AE71DF" w:rsidRDefault="00AE71DF" w:rsidP="006A7B7D">
            <w:pPr>
              <w:rPr>
                <w:color w:val="000000" w:themeColor="text1"/>
              </w:rPr>
            </w:pPr>
            <w:r w:rsidRPr="00AE71DF">
              <w:rPr>
                <w:rFonts w:eastAsia="Arial"/>
                <w:color w:val="000000" w:themeColor="text1"/>
              </w:rPr>
              <w:t>YouTube tutorials on AutoCAD, SketchUp, and Revit</w:t>
            </w:r>
          </w:p>
        </w:tc>
        <w:tc>
          <w:tcPr>
            <w:tcW w:w="1418" w:type="dxa"/>
            <w:tcBorders>
              <w:top w:val="single" w:sz="4" w:space="0" w:color="auto"/>
            </w:tcBorders>
          </w:tcPr>
          <w:p w14:paraId="3C446CED" w14:textId="77777777" w:rsidR="00AE71DF" w:rsidRPr="00AE71DF" w:rsidRDefault="00AE71DF" w:rsidP="006A7B7D">
            <w:pPr>
              <w:rPr>
                <w:color w:val="000000" w:themeColor="text1"/>
              </w:rPr>
            </w:pPr>
            <w:r w:rsidRPr="00AE71DF">
              <w:rPr>
                <w:rFonts w:eastAsia="Arial"/>
                <w:color w:val="000000" w:themeColor="text1"/>
              </w:rPr>
              <w:t>4.58</w:t>
            </w:r>
          </w:p>
        </w:tc>
        <w:tc>
          <w:tcPr>
            <w:tcW w:w="1488" w:type="dxa"/>
            <w:tcBorders>
              <w:top w:val="single" w:sz="4" w:space="0" w:color="auto"/>
            </w:tcBorders>
          </w:tcPr>
          <w:p w14:paraId="281389C1" w14:textId="77777777" w:rsidR="00AE71DF" w:rsidRPr="00AE71DF" w:rsidRDefault="00AE71DF" w:rsidP="006A7B7D">
            <w:pPr>
              <w:rPr>
                <w:color w:val="000000" w:themeColor="text1"/>
              </w:rPr>
            </w:pPr>
            <w:r w:rsidRPr="00AE71DF">
              <w:rPr>
                <w:rFonts w:eastAsia="Arial"/>
                <w:color w:val="000000" w:themeColor="text1"/>
              </w:rPr>
              <w:t>0.58</w:t>
            </w:r>
          </w:p>
        </w:tc>
        <w:tc>
          <w:tcPr>
            <w:tcW w:w="2338" w:type="dxa"/>
            <w:tcBorders>
              <w:top w:val="single" w:sz="4" w:space="0" w:color="auto"/>
            </w:tcBorders>
          </w:tcPr>
          <w:p w14:paraId="109879CC" w14:textId="77777777" w:rsidR="00AE71DF" w:rsidRPr="00AE71DF" w:rsidRDefault="00AE71DF" w:rsidP="006A7B7D">
            <w:pPr>
              <w:rPr>
                <w:color w:val="000000" w:themeColor="text1"/>
              </w:rPr>
            </w:pPr>
            <w:r w:rsidRPr="00AE71DF">
              <w:rPr>
                <w:rFonts w:eastAsia="Arial"/>
                <w:color w:val="000000" w:themeColor="text1"/>
              </w:rPr>
              <w:t>Always</w:t>
            </w:r>
          </w:p>
        </w:tc>
      </w:tr>
      <w:tr w:rsidR="00AE71DF" w:rsidRPr="00AE71DF" w14:paraId="42D2F6B4" w14:textId="77777777" w:rsidTr="00AE71DF">
        <w:tc>
          <w:tcPr>
            <w:tcW w:w="4106" w:type="dxa"/>
          </w:tcPr>
          <w:p w14:paraId="473F117D" w14:textId="77777777" w:rsidR="00AE71DF" w:rsidRPr="00AE71DF" w:rsidRDefault="00AE71DF" w:rsidP="006A7B7D">
            <w:pPr>
              <w:rPr>
                <w:color w:val="000000" w:themeColor="text1"/>
              </w:rPr>
            </w:pPr>
            <w:r w:rsidRPr="00AE71DF">
              <w:rPr>
                <w:rFonts w:eastAsia="Arial"/>
                <w:color w:val="000000" w:themeColor="text1"/>
              </w:rPr>
              <w:t>Facebook groups and online communities for drafters</w:t>
            </w:r>
          </w:p>
        </w:tc>
        <w:tc>
          <w:tcPr>
            <w:tcW w:w="1418" w:type="dxa"/>
          </w:tcPr>
          <w:p w14:paraId="598ED3EE" w14:textId="77777777" w:rsidR="00AE71DF" w:rsidRPr="00AE71DF" w:rsidRDefault="00AE71DF" w:rsidP="006A7B7D">
            <w:pPr>
              <w:rPr>
                <w:color w:val="000000" w:themeColor="text1"/>
              </w:rPr>
            </w:pPr>
            <w:r w:rsidRPr="00AE71DF">
              <w:rPr>
                <w:rFonts w:eastAsia="Arial"/>
                <w:color w:val="000000" w:themeColor="text1"/>
              </w:rPr>
              <w:t>4.29</w:t>
            </w:r>
          </w:p>
        </w:tc>
        <w:tc>
          <w:tcPr>
            <w:tcW w:w="1488" w:type="dxa"/>
          </w:tcPr>
          <w:p w14:paraId="57654466" w14:textId="77777777" w:rsidR="00AE71DF" w:rsidRPr="00AE71DF" w:rsidRDefault="00AE71DF" w:rsidP="006A7B7D">
            <w:pPr>
              <w:rPr>
                <w:color w:val="000000" w:themeColor="text1"/>
              </w:rPr>
            </w:pPr>
            <w:r w:rsidRPr="00AE71DF">
              <w:rPr>
                <w:rFonts w:eastAsia="Arial"/>
                <w:color w:val="000000" w:themeColor="text1"/>
              </w:rPr>
              <w:t>0.74</w:t>
            </w:r>
          </w:p>
        </w:tc>
        <w:tc>
          <w:tcPr>
            <w:tcW w:w="2338" w:type="dxa"/>
          </w:tcPr>
          <w:p w14:paraId="62FDEF52" w14:textId="77777777" w:rsidR="00AE71DF" w:rsidRPr="00AE71DF" w:rsidRDefault="00AE71DF" w:rsidP="006A7B7D">
            <w:pPr>
              <w:rPr>
                <w:color w:val="000000" w:themeColor="text1"/>
              </w:rPr>
            </w:pPr>
            <w:r w:rsidRPr="00AE71DF">
              <w:rPr>
                <w:rFonts w:eastAsia="Arial"/>
                <w:color w:val="000000" w:themeColor="text1"/>
              </w:rPr>
              <w:t>Always</w:t>
            </w:r>
          </w:p>
        </w:tc>
      </w:tr>
      <w:tr w:rsidR="00AE71DF" w:rsidRPr="00AE71DF" w14:paraId="729CC6F6" w14:textId="77777777" w:rsidTr="00AE71DF">
        <w:tc>
          <w:tcPr>
            <w:tcW w:w="4106" w:type="dxa"/>
          </w:tcPr>
          <w:p w14:paraId="324F3008" w14:textId="77777777" w:rsidR="00AE71DF" w:rsidRPr="00AE71DF" w:rsidRDefault="00AE71DF" w:rsidP="006A7B7D">
            <w:pPr>
              <w:rPr>
                <w:color w:val="000000" w:themeColor="text1"/>
              </w:rPr>
            </w:pPr>
            <w:r w:rsidRPr="00AE71DF">
              <w:rPr>
                <w:rFonts w:eastAsia="Arial"/>
                <w:color w:val="000000" w:themeColor="text1"/>
              </w:rPr>
              <w:t>Free online courses (Coursera, Udemy, TESDA Online Program)</w:t>
            </w:r>
          </w:p>
        </w:tc>
        <w:tc>
          <w:tcPr>
            <w:tcW w:w="1418" w:type="dxa"/>
          </w:tcPr>
          <w:p w14:paraId="22F2782D" w14:textId="77777777" w:rsidR="00AE71DF" w:rsidRPr="00AE71DF" w:rsidRDefault="00AE71DF" w:rsidP="006A7B7D">
            <w:pPr>
              <w:rPr>
                <w:color w:val="000000" w:themeColor="text1"/>
              </w:rPr>
            </w:pPr>
            <w:r w:rsidRPr="00AE71DF">
              <w:rPr>
                <w:rFonts w:eastAsia="Arial"/>
                <w:color w:val="000000" w:themeColor="text1"/>
              </w:rPr>
              <w:t>3.71</w:t>
            </w:r>
          </w:p>
        </w:tc>
        <w:tc>
          <w:tcPr>
            <w:tcW w:w="1488" w:type="dxa"/>
          </w:tcPr>
          <w:p w14:paraId="4AF924F2" w14:textId="77777777" w:rsidR="00AE71DF" w:rsidRPr="00AE71DF" w:rsidRDefault="00AE71DF" w:rsidP="006A7B7D">
            <w:pPr>
              <w:rPr>
                <w:color w:val="000000" w:themeColor="text1"/>
              </w:rPr>
            </w:pPr>
            <w:r w:rsidRPr="00AE71DF">
              <w:rPr>
                <w:rFonts w:eastAsia="Arial"/>
                <w:color w:val="000000" w:themeColor="text1"/>
              </w:rPr>
              <w:t>0.96</w:t>
            </w:r>
          </w:p>
        </w:tc>
        <w:tc>
          <w:tcPr>
            <w:tcW w:w="2338" w:type="dxa"/>
          </w:tcPr>
          <w:p w14:paraId="530B4682" w14:textId="77777777" w:rsidR="00AE71DF" w:rsidRPr="00AE71DF" w:rsidRDefault="00AE71DF" w:rsidP="006A7B7D">
            <w:pPr>
              <w:rPr>
                <w:color w:val="000000" w:themeColor="text1"/>
              </w:rPr>
            </w:pPr>
            <w:r w:rsidRPr="00AE71DF">
              <w:rPr>
                <w:rFonts w:eastAsia="Arial"/>
                <w:color w:val="000000" w:themeColor="text1"/>
              </w:rPr>
              <w:t>Often</w:t>
            </w:r>
          </w:p>
        </w:tc>
      </w:tr>
      <w:tr w:rsidR="00AE71DF" w:rsidRPr="00AE71DF" w14:paraId="39A93F49" w14:textId="77777777" w:rsidTr="00AE71DF">
        <w:tc>
          <w:tcPr>
            <w:tcW w:w="4106" w:type="dxa"/>
          </w:tcPr>
          <w:p w14:paraId="0389AE20" w14:textId="77777777" w:rsidR="00AE71DF" w:rsidRPr="00AE71DF" w:rsidRDefault="00AE71DF" w:rsidP="006A7B7D">
            <w:pPr>
              <w:rPr>
                <w:color w:val="000000" w:themeColor="text1"/>
              </w:rPr>
            </w:pPr>
            <w:r w:rsidRPr="00AE71DF">
              <w:rPr>
                <w:rFonts w:eastAsia="Arial"/>
                <w:color w:val="000000" w:themeColor="text1"/>
              </w:rPr>
              <w:t>Mobile apps for construction estimation and measurement</w:t>
            </w:r>
          </w:p>
        </w:tc>
        <w:tc>
          <w:tcPr>
            <w:tcW w:w="1418" w:type="dxa"/>
          </w:tcPr>
          <w:p w14:paraId="53E9C4AF" w14:textId="77777777" w:rsidR="00AE71DF" w:rsidRPr="00AE71DF" w:rsidRDefault="00AE71DF" w:rsidP="006A7B7D">
            <w:pPr>
              <w:rPr>
                <w:color w:val="000000" w:themeColor="text1"/>
              </w:rPr>
            </w:pPr>
            <w:r w:rsidRPr="00AE71DF">
              <w:rPr>
                <w:rFonts w:eastAsia="Arial"/>
                <w:color w:val="000000" w:themeColor="text1"/>
              </w:rPr>
              <w:t>3.95</w:t>
            </w:r>
          </w:p>
        </w:tc>
        <w:tc>
          <w:tcPr>
            <w:tcW w:w="1488" w:type="dxa"/>
          </w:tcPr>
          <w:p w14:paraId="4A2B5D38" w14:textId="77777777" w:rsidR="00AE71DF" w:rsidRPr="00AE71DF" w:rsidRDefault="00AE71DF" w:rsidP="006A7B7D">
            <w:pPr>
              <w:rPr>
                <w:color w:val="000000" w:themeColor="text1"/>
              </w:rPr>
            </w:pPr>
            <w:r w:rsidRPr="00AE71DF">
              <w:rPr>
                <w:rFonts w:eastAsia="Arial"/>
                <w:color w:val="000000" w:themeColor="text1"/>
              </w:rPr>
              <w:t>0.85</w:t>
            </w:r>
          </w:p>
        </w:tc>
        <w:tc>
          <w:tcPr>
            <w:tcW w:w="2338" w:type="dxa"/>
          </w:tcPr>
          <w:p w14:paraId="7CA3F98B" w14:textId="77777777" w:rsidR="00AE71DF" w:rsidRPr="00AE71DF" w:rsidRDefault="00AE71DF" w:rsidP="006A7B7D">
            <w:pPr>
              <w:rPr>
                <w:color w:val="000000" w:themeColor="text1"/>
              </w:rPr>
            </w:pPr>
            <w:r w:rsidRPr="00AE71DF">
              <w:rPr>
                <w:rFonts w:eastAsia="Arial"/>
                <w:color w:val="000000" w:themeColor="text1"/>
              </w:rPr>
              <w:t>Often</w:t>
            </w:r>
          </w:p>
        </w:tc>
      </w:tr>
      <w:tr w:rsidR="00AE71DF" w:rsidRPr="00AE71DF" w14:paraId="4C584FB9" w14:textId="77777777" w:rsidTr="00AE71DF">
        <w:tc>
          <w:tcPr>
            <w:tcW w:w="4106" w:type="dxa"/>
          </w:tcPr>
          <w:p w14:paraId="2CED9BAD" w14:textId="77777777" w:rsidR="00AE71DF" w:rsidRPr="00AE71DF" w:rsidRDefault="00AE71DF" w:rsidP="006A7B7D">
            <w:pPr>
              <w:rPr>
                <w:color w:val="000000" w:themeColor="text1"/>
              </w:rPr>
            </w:pPr>
            <w:r w:rsidRPr="00AE71DF">
              <w:rPr>
                <w:rFonts w:eastAsia="Arial"/>
                <w:color w:val="000000" w:themeColor="text1"/>
              </w:rPr>
              <w:t xml:space="preserve">AI-assisted design and query tools (e.g., </w:t>
            </w:r>
            <w:proofErr w:type="spellStart"/>
            <w:r w:rsidRPr="00AE71DF">
              <w:rPr>
                <w:rFonts w:eastAsia="Arial"/>
                <w:color w:val="000000" w:themeColor="text1"/>
              </w:rPr>
              <w:t>ChatGPT</w:t>
            </w:r>
            <w:proofErr w:type="spellEnd"/>
            <w:r w:rsidRPr="00AE71DF">
              <w:rPr>
                <w:rFonts w:eastAsia="Arial"/>
                <w:color w:val="000000" w:themeColor="text1"/>
              </w:rPr>
              <w:t>)</w:t>
            </w:r>
          </w:p>
        </w:tc>
        <w:tc>
          <w:tcPr>
            <w:tcW w:w="1418" w:type="dxa"/>
          </w:tcPr>
          <w:p w14:paraId="327A129E" w14:textId="77777777" w:rsidR="00AE71DF" w:rsidRPr="00AE71DF" w:rsidRDefault="00AE71DF" w:rsidP="006A7B7D">
            <w:pPr>
              <w:rPr>
                <w:color w:val="000000" w:themeColor="text1"/>
              </w:rPr>
            </w:pPr>
            <w:r w:rsidRPr="00AE71DF">
              <w:rPr>
                <w:rFonts w:eastAsia="Arial"/>
                <w:color w:val="000000" w:themeColor="text1"/>
              </w:rPr>
              <w:t>3.42</w:t>
            </w:r>
          </w:p>
        </w:tc>
        <w:tc>
          <w:tcPr>
            <w:tcW w:w="1488" w:type="dxa"/>
          </w:tcPr>
          <w:p w14:paraId="1028F7EA" w14:textId="77777777" w:rsidR="00AE71DF" w:rsidRPr="00AE71DF" w:rsidRDefault="00AE71DF" w:rsidP="006A7B7D">
            <w:pPr>
              <w:rPr>
                <w:color w:val="000000" w:themeColor="text1"/>
              </w:rPr>
            </w:pPr>
            <w:r w:rsidRPr="00AE71DF">
              <w:rPr>
                <w:rFonts w:eastAsia="Arial"/>
                <w:color w:val="000000" w:themeColor="text1"/>
              </w:rPr>
              <w:t>1.08</w:t>
            </w:r>
          </w:p>
        </w:tc>
        <w:tc>
          <w:tcPr>
            <w:tcW w:w="2338" w:type="dxa"/>
          </w:tcPr>
          <w:p w14:paraId="0EBB8E8C" w14:textId="77777777" w:rsidR="00AE71DF" w:rsidRPr="00AE71DF" w:rsidRDefault="00AE71DF" w:rsidP="006A7B7D">
            <w:pPr>
              <w:rPr>
                <w:color w:val="000000" w:themeColor="text1"/>
              </w:rPr>
            </w:pPr>
            <w:r w:rsidRPr="00AE71DF">
              <w:rPr>
                <w:rFonts w:eastAsia="Arial"/>
                <w:color w:val="000000" w:themeColor="text1"/>
              </w:rPr>
              <w:t>Sometimes</w:t>
            </w:r>
          </w:p>
        </w:tc>
      </w:tr>
      <w:tr w:rsidR="00AE71DF" w:rsidRPr="00AE71DF" w14:paraId="10B4844B" w14:textId="77777777" w:rsidTr="00AE71DF">
        <w:tc>
          <w:tcPr>
            <w:tcW w:w="4106" w:type="dxa"/>
          </w:tcPr>
          <w:p w14:paraId="72F75541" w14:textId="77777777" w:rsidR="00AE71DF" w:rsidRPr="00AE71DF" w:rsidRDefault="00AE71DF" w:rsidP="006A7B7D">
            <w:pPr>
              <w:rPr>
                <w:color w:val="000000" w:themeColor="text1"/>
              </w:rPr>
            </w:pPr>
            <w:r w:rsidRPr="00AE71DF">
              <w:rPr>
                <w:rFonts w:eastAsia="Arial"/>
                <w:b/>
                <w:bCs/>
                <w:color w:val="000000" w:themeColor="text1"/>
              </w:rPr>
              <w:t>Overall Mean</w:t>
            </w:r>
          </w:p>
        </w:tc>
        <w:tc>
          <w:tcPr>
            <w:tcW w:w="1418" w:type="dxa"/>
          </w:tcPr>
          <w:p w14:paraId="158E91C8" w14:textId="77777777" w:rsidR="00AE71DF" w:rsidRPr="00AE71DF" w:rsidRDefault="00AE71DF" w:rsidP="006A7B7D">
            <w:pPr>
              <w:rPr>
                <w:color w:val="000000" w:themeColor="text1"/>
              </w:rPr>
            </w:pPr>
            <w:r w:rsidRPr="00AE71DF">
              <w:rPr>
                <w:rFonts w:eastAsia="Arial"/>
                <w:b/>
                <w:bCs/>
                <w:color w:val="000000" w:themeColor="text1"/>
              </w:rPr>
              <w:t>3.99</w:t>
            </w:r>
          </w:p>
        </w:tc>
        <w:tc>
          <w:tcPr>
            <w:tcW w:w="1488" w:type="dxa"/>
          </w:tcPr>
          <w:p w14:paraId="197B602E" w14:textId="77777777" w:rsidR="00AE71DF" w:rsidRPr="00AE71DF" w:rsidRDefault="00AE71DF" w:rsidP="006A7B7D">
            <w:pPr>
              <w:rPr>
                <w:color w:val="000000" w:themeColor="text1"/>
              </w:rPr>
            </w:pPr>
            <w:r w:rsidRPr="00AE71DF">
              <w:rPr>
                <w:rFonts w:eastAsia="Arial"/>
                <w:b/>
                <w:bCs/>
                <w:color w:val="000000" w:themeColor="text1"/>
              </w:rPr>
              <w:t>0.84</w:t>
            </w:r>
          </w:p>
        </w:tc>
        <w:tc>
          <w:tcPr>
            <w:tcW w:w="2338" w:type="dxa"/>
          </w:tcPr>
          <w:p w14:paraId="2D2572DE" w14:textId="77777777" w:rsidR="00AE71DF" w:rsidRPr="00AE71DF" w:rsidRDefault="00AE71DF" w:rsidP="006A7B7D">
            <w:pPr>
              <w:rPr>
                <w:color w:val="000000" w:themeColor="text1"/>
              </w:rPr>
            </w:pPr>
            <w:r w:rsidRPr="00AE71DF">
              <w:rPr>
                <w:rFonts w:eastAsia="Arial"/>
                <w:b/>
                <w:bCs/>
                <w:color w:val="000000" w:themeColor="text1"/>
              </w:rPr>
              <w:t>Often</w:t>
            </w:r>
          </w:p>
        </w:tc>
      </w:tr>
    </w:tbl>
    <w:p w14:paraId="7843FC52" w14:textId="77777777" w:rsidR="00AE71DF" w:rsidRPr="00AE71DF" w:rsidRDefault="00AE71DF" w:rsidP="00AE71DF">
      <w:pPr>
        <w:spacing w:before="60" w:after="160"/>
        <w:rPr>
          <w:sz w:val="20"/>
          <w:szCs w:val="20"/>
        </w:rPr>
      </w:pPr>
      <w:r w:rsidRPr="00AE71DF">
        <w:rPr>
          <w:rFonts w:eastAsia="Arial"/>
          <w:b/>
          <w:bCs/>
          <w:i/>
          <w:iCs/>
          <w:sz w:val="20"/>
          <w:szCs w:val="20"/>
        </w:rPr>
        <w:t xml:space="preserve">Note. </w:t>
      </w:r>
      <w:r w:rsidRPr="00AE71DF">
        <w:rPr>
          <w:rFonts w:eastAsia="Arial"/>
          <w:sz w:val="20"/>
          <w:szCs w:val="20"/>
        </w:rPr>
        <w:t>Scale: 4.50–5.00 = Always; 3.50–4.49 = Often; 2.50–3.49 = Sometimes; 1.50–2.49 = Rarely; 1.00–1.49 = Never. n = 60.</w:t>
      </w:r>
    </w:p>
    <w:p w14:paraId="6333D624" w14:textId="77777777" w:rsidR="00936FE7" w:rsidRDefault="00936FE7" w:rsidP="00936FE7">
      <w:pPr>
        <w:spacing w:before="120" w:after="120"/>
        <w:ind w:firstLine="720"/>
        <w:jc w:val="both"/>
      </w:pPr>
      <w:r>
        <w:t>Table 5 reveals the technology tools respondents rely on for self-directed professional development. YouTube tutorials on CAD software (AutoCAD, SketchUp, and Revit) scored the highest mean in this scale (</w:t>
      </w:r>
      <w:r>
        <w:rPr>
          <w:i/>
          <w:iCs/>
        </w:rPr>
        <w:t>M</w:t>
      </w:r>
      <w:r>
        <w:t xml:space="preserve"> = 4.58, </w:t>
      </w:r>
      <w:r>
        <w:rPr>
          <w:i/>
          <w:iCs/>
        </w:rPr>
        <w:t>SD</w:t>
      </w:r>
      <w:r>
        <w:t xml:space="preserve"> = 0.58, Always), affirming the platform's role as a de facto training resource for the informal construction sector. Facebook-based groups and online drafter communities ranked second (</w:t>
      </w:r>
      <w:r>
        <w:rPr>
          <w:i/>
          <w:iCs/>
        </w:rPr>
        <w:t>M</w:t>
      </w:r>
      <w:r>
        <w:t xml:space="preserve"> = 4.29, </w:t>
      </w:r>
      <w:r>
        <w:rPr>
          <w:i/>
          <w:iCs/>
        </w:rPr>
        <w:t>SD</w:t>
      </w:r>
      <w:r>
        <w:t xml:space="preserve"> = 0.74, Always), consistent with Philippine internet usage patterns that favor Facebook as the primary gateway to online content (We Are Social, 2023). The overall mean of 3.99 (</w:t>
      </w:r>
      <w:r>
        <w:rPr>
          <w:i/>
          <w:iCs/>
        </w:rPr>
        <w:t>SD</w:t>
      </w:r>
      <w:r>
        <w:t xml:space="preserve"> = 0.84) indicates frequent, broad-based engagement with digital learning tools.</w:t>
      </w:r>
    </w:p>
    <w:p w14:paraId="56AB02C3" w14:textId="77777777" w:rsidR="00936FE7" w:rsidRDefault="00936FE7" w:rsidP="00936FE7">
      <w:pPr>
        <w:spacing w:before="120" w:after="120"/>
        <w:ind w:firstLine="426"/>
        <w:jc w:val="both"/>
      </w:pPr>
      <w:r>
        <w:t>Structured e-learning platforms such as Coursera, Udemy, and the TESDA Online Program received a mean of 3.71 (</w:t>
      </w:r>
      <w:r>
        <w:rPr>
          <w:i/>
          <w:iCs/>
        </w:rPr>
        <w:t>SD</w:t>
      </w:r>
      <w:r>
        <w:t xml:space="preserve"> = 0.96), suggesting that while respondents are open to formal online courses, uptake is somewhat less consistent—possibly due to subscription costs, English-language barriers, or a mismatch between course content and the locally specific demands of Philippine residential construction. AI-assisted design tools received the lowest rating (</w:t>
      </w:r>
      <w:r>
        <w:rPr>
          <w:i/>
          <w:iCs/>
        </w:rPr>
        <w:t>M</w:t>
      </w:r>
      <w:r>
        <w:t xml:space="preserve"> = 3.42, </w:t>
      </w:r>
      <w:r>
        <w:rPr>
          <w:i/>
          <w:iCs/>
        </w:rPr>
        <w:t>SD</w:t>
      </w:r>
      <w:r>
        <w:t xml:space="preserve"> = 1.08, </w:t>
      </w:r>
      <w:r>
        <w:lastRenderedPageBreak/>
        <w:t>Sometimes), reflecting nascent but growing adoption. The high standard deviation indicates significant variation in familiarity with these tools, which is not surprising given that AI applications in construction are still emerging in the Philippine context. A forward-looking training framework would incorporate digital and AI-assisted drafting tools as elective or advanced competency components, ensuring that the curriculum remains responsive to technological change without making AI fluency a prerequisite for completion.</w:t>
      </w:r>
    </w:p>
    <w:p w14:paraId="7995CAF4" w14:textId="77777777" w:rsidR="00150ED1" w:rsidRDefault="00F54FFC" w:rsidP="00AD6054">
      <w:pPr>
        <w:rPr>
          <w:b/>
          <w:bCs/>
        </w:rPr>
      </w:pPr>
      <w:r>
        <w:rPr>
          <w:b/>
          <w:bCs/>
        </w:rPr>
        <w:t>Challenges and opportunities encountered by the technical draftsmen</w:t>
      </w:r>
    </w:p>
    <w:p w14:paraId="0297E3DD" w14:textId="77777777" w:rsidR="00F54FFC" w:rsidRDefault="00F54FFC" w:rsidP="00AD6054">
      <w:pPr>
        <w:rPr>
          <w:b/>
          <w:bCs/>
        </w:rPr>
      </w:pPr>
    </w:p>
    <w:p w14:paraId="180D3415" w14:textId="77777777" w:rsidR="00034D75" w:rsidRDefault="00034D75" w:rsidP="00AD6054">
      <w:r>
        <w:rPr>
          <w:b/>
          <w:bCs/>
        </w:rPr>
        <w:tab/>
      </w:r>
      <w:r w:rsidRPr="00034D75">
        <w:t xml:space="preserve">The themes below </w:t>
      </w:r>
      <w:proofErr w:type="gramStart"/>
      <w:r w:rsidRPr="00034D75">
        <w:t>outlines</w:t>
      </w:r>
      <w:proofErr w:type="gramEnd"/>
      <w:r w:rsidRPr="00034D75">
        <w:t xml:space="preserve"> the opportunities and challenges encountered by the technical draftsmen. </w:t>
      </w:r>
    </w:p>
    <w:p w14:paraId="4D93D635" w14:textId="77777777" w:rsidR="00034D75" w:rsidRDefault="00034D75" w:rsidP="00AD6054"/>
    <w:p w14:paraId="3B8D9229" w14:textId="77777777" w:rsidR="00034D75" w:rsidRPr="00034D75" w:rsidRDefault="00034D75" w:rsidP="00034D75">
      <w:pPr>
        <w:jc w:val="both"/>
        <w:rPr>
          <w:rFonts w:eastAsia="Arial"/>
          <w:b/>
          <w:bCs/>
          <w:i/>
          <w:iCs/>
        </w:rPr>
      </w:pPr>
      <w:r w:rsidRPr="00034D75">
        <w:rPr>
          <w:b/>
          <w:bCs/>
          <w:i/>
          <w:iCs/>
        </w:rPr>
        <w:t xml:space="preserve">Theme 1: </w:t>
      </w:r>
      <w:r w:rsidRPr="00034D75">
        <w:rPr>
          <w:rFonts w:eastAsia="Arial"/>
          <w:b/>
          <w:bCs/>
          <w:i/>
          <w:iCs/>
        </w:rPr>
        <w:t>Access to Training</w:t>
      </w:r>
    </w:p>
    <w:p w14:paraId="412CFFBE" w14:textId="77777777" w:rsidR="00034D75" w:rsidRPr="00034D75" w:rsidRDefault="00034D75" w:rsidP="00034D75">
      <w:pPr>
        <w:ind w:firstLine="720"/>
        <w:jc w:val="both"/>
        <w:rPr>
          <w:rFonts w:eastAsia="Arial"/>
        </w:rPr>
      </w:pPr>
    </w:p>
    <w:p w14:paraId="765BF57C" w14:textId="77777777" w:rsidR="00034D75" w:rsidRDefault="00034D75" w:rsidP="00034D75">
      <w:pPr>
        <w:ind w:firstLine="720"/>
        <w:jc w:val="both"/>
        <w:rPr>
          <w:rFonts w:eastAsia="Arial"/>
        </w:rPr>
      </w:pPr>
      <w:r w:rsidRPr="00034D75">
        <w:rPr>
          <w:rFonts w:eastAsia="Arial"/>
        </w:rPr>
        <w:t>This theme captures one of the most affirming and structurally significant findings of the study: the emergence of free, internet-mediated learning platforms—most prominently YouTube and open online course repositories—as accessible and self-directed alternatives to formal training for technical draftsmen operating in geographically and economically marginalized contexts. The participant's expression of gratitude, centered on the phrase</w:t>
      </w:r>
      <w:r w:rsidRPr="00034D75">
        <w:rPr>
          <w:rFonts w:eastAsia="Arial"/>
          <w:i/>
          <w:iCs/>
        </w:rPr>
        <w:t xml:space="preserve"> '</w:t>
      </w:r>
      <w:proofErr w:type="spellStart"/>
      <w:r w:rsidRPr="00034D75">
        <w:rPr>
          <w:rFonts w:eastAsia="Arial"/>
          <w:i/>
          <w:iCs/>
        </w:rPr>
        <w:t>walang</w:t>
      </w:r>
      <w:proofErr w:type="spellEnd"/>
      <w:r w:rsidRPr="00034D75">
        <w:rPr>
          <w:rFonts w:eastAsia="Arial"/>
          <w:i/>
          <w:iCs/>
        </w:rPr>
        <w:t xml:space="preserve"> mag-</w:t>
      </w:r>
      <w:proofErr w:type="spellStart"/>
      <w:r w:rsidRPr="00034D75">
        <w:rPr>
          <w:rFonts w:eastAsia="Arial"/>
          <w:i/>
          <w:iCs/>
        </w:rPr>
        <w:t>aaral</w:t>
      </w:r>
      <w:proofErr w:type="spellEnd"/>
      <w:r w:rsidRPr="00034D75">
        <w:rPr>
          <w:rFonts w:eastAsia="Arial"/>
          <w:i/>
          <w:iCs/>
        </w:rPr>
        <w:t xml:space="preserve"> </w:t>
      </w:r>
      <w:proofErr w:type="spellStart"/>
      <w:r w:rsidRPr="00034D75">
        <w:rPr>
          <w:rFonts w:eastAsia="Arial"/>
          <w:i/>
          <w:iCs/>
        </w:rPr>
        <w:t>sa</w:t>
      </w:r>
      <w:proofErr w:type="spellEnd"/>
      <w:r w:rsidRPr="00034D75">
        <w:rPr>
          <w:rFonts w:eastAsia="Arial"/>
          <w:i/>
          <w:iCs/>
        </w:rPr>
        <w:t xml:space="preserve"> </w:t>
      </w:r>
      <w:proofErr w:type="spellStart"/>
      <w:r w:rsidRPr="00034D75">
        <w:rPr>
          <w:rFonts w:eastAsia="Arial"/>
          <w:i/>
          <w:iCs/>
        </w:rPr>
        <w:t>amin</w:t>
      </w:r>
      <w:proofErr w:type="spellEnd"/>
      <w:r w:rsidRPr="00034D75">
        <w:rPr>
          <w:rFonts w:eastAsia="Arial"/>
          <w:i/>
          <w:iCs/>
        </w:rPr>
        <w:t xml:space="preserve"> </w:t>
      </w:r>
      <w:proofErr w:type="spellStart"/>
      <w:r w:rsidRPr="00034D75">
        <w:rPr>
          <w:rFonts w:eastAsia="Arial"/>
          <w:i/>
          <w:iCs/>
        </w:rPr>
        <w:t>dito</w:t>
      </w:r>
      <w:proofErr w:type="spellEnd"/>
      <w:r w:rsidRPr="00034D75">
        <w:rPr>
          <w:rFonts w:eastAsia="Arial"/>
          <w:i/>
          <w:iCs/>
        </w:rPr>
        <w:t>' (there is no one to teach us here, P4),</w:t>
      </w:r>
      <w:r w:rsidRPr="00034D75">
        <w:rPr>
          <w:rFonts w:eastAsia="Arial"/>
        </w:rPr>
        <w:t xml:space="preserve"> is particularly revealing. It is not merely a statement about the absence of teachers; it is an indictment of geographic and institutional neglect—a recognition that formal training infrastructure has not reached their communities, and that digital platforms have stepped into that void.</w:t>
      </w:r>
    </w:p>
    <w:p w14:paraId="40E5919B" w14:textId="77777777" w:rsidR="00034D75" w:rsidRPr="00034D75" w:rsidRDefault="00034D75" w:rsidP="00034D75">
      <w:pPr>
        <w:jc w:val="both"/>
        <w:rPr>
          <w:rFonts w:eastAsia="Arial"/>
        </w:rPr>
      </w:pPr>
    </w:p>
    <w:p w14:paraId="420FAF04" w14:textId="77777777" w:rsidR="00034D75" w:rsidRDefault="00034D75" w:rsidP="00034D75">
      <w:pPr>
        <w:jc w:val="both"/>
        <w:rPr>
          <w:b/>
          <w:bCs/>
          <w:i/>
          <w:iCs/>
        </w:rPr>
      </w:pPr>
      <w:r w:rsidRPr="00034D75">
        <w:rPr>
          <w:b/>
          <w:bCs/>
          <w:i/>
          <w:iCs/>
        </w:rPr>
        <w:t>Theme 2: Safety Concerns</w:t>
      </w:r>
    </w:p>
    <w:p w14:paraId="6EB9FFC5" w14:textId="77777777" w:rsidR="00034D75" w:rsidRPr="00034D75" w:rsidRDefault="00034D75" w:rsidP="00034D75">
      <w:pPr>
        <w:jc w:val="both"/>
        <w:rPr>
          <w:b/>
          <w:bCs/>
          <w:i/>
          <w:iCs/>
        </w:rPr>
      </w:pPr>
    </w:p>
    <w:p w14:paraId="7096282B" w14:textId="77777777" w:rsidR="00034D75" w:rsidRDefault="00034D75" w:rsidP="00034D75">
      <w:pPr>
        <w:ind w:firstLine="720"/>
        <w:jc w:val="both"/>
        <w:rPr>
          <w:rFonts w:eastAsia="Arial"/>
        </w:rPr>
      </w:pPr>
      <w:r w:rsidRPr="00034D75">
        <w:rPr>
          <w:rFonts w:eastAsia="Arial"/>
        </w:rPr>
        <w:t>This theme surfaces one of the most ethically urgent findings of the study: the systemic absence of occupational safety knowledge and personal protective equipment (PPE) among technical draftsmen who regularly interact with construction environments. The participant's statement—'</w:t>
      </w:r>
      <w:proofErr w:type="spellStart"/>
      <w:r w:rsidRPr="00034D75">
        <w:rPr>
          <w:rFonts w:eastAsia="Arial"/>
        </w:rPr>
        <w:t>natuto</w:t>
      </w:r>
      <w:proofErr w:type="spellEnd"/>
      <w:r w:rsidRPr="00034D75">
        <w:rPr>
          <w:rFonts w:eastAsia="Arial"/>
        </w:rPr>
        <w:t xml:space="preserve"> </w:t>
      </w:r>
      <w:proofErr w:type="spellStart"/>
      <w:r w:rsidRPr="00034D75">
        <w:rPr>
          <w:rFonts w:eastAsia="Arial"/>
        </w:rPr>
        <w:t>lang</w:t>
      </w:r>
      <w:proofErr w:type="spellEnd"/>
      <w:r w:rsidRPr="00034D75">
        <w:rPr>
          <w:rFonts w:eastAsia="Arial"/>
        </w:rPr>
        <w:t xml:space="preserve"> kami </w:t>
      </w:r>
      <w:proofErr w:type="spellStart"/>
      <w:r w:rsidRPr="00034D75">
        <w:rPr>
          <w:rFonts w:eastAsia="Arial"/>
        </w:rPr>
        <w:t>sa</w:t>
      </w:r>
      <w:proofErr w:type="spellEnd"/>
      <w:r w:rsidRPr="00034D75">
        <w:rPr>
          <w:rFonts w:eastAsia="Arial"/>
        </w:rPr>
        <w:t xml:space="preserve"> </w:t>
      </w:r>
      <w:proofErr w:type="spellStart"/>
      <w:r w:rsidRPr="00034D75">
        <w:rPr>
          <w:rFonts w:eastAsia="Arial"/>
        </w:rPr>
        <w:t>aming</w:t>
      </w:r>
      <w:proofErr w:type="spellEnd"/>
      <w:r w:rsidRPr="00034D75">
        <w:rPr>
          <w:rFonts w:eastAsia="Arial"/>
        </w:rPr>
        <w:t xml:space="preserve"> </w:t>
      </w:r>
      <w:proofErr w:type="spellStart"/>
      <w:r w:rsidRPr="00034D75">
        <w:rPr>
          <w:rFonts w:eastAsia="Arial"/>
        </w:rPr>
        <w:t>mga</w:t>
      </w:r>
      <w:proofErr w:type="spellEnd"/>
      <w:r w:rsidRPr="00034D75">
        <w:rPr>
          <w:rFonts w:eastAsia="Arial"/>
        </w:rPr>
        <w:t xml:space="preserve"> </w:t>
      </w:r>
      <w:proofErr w:type="spellStart"/>
      <w:r w:rsidRPr="00034D75">
        <w:rPr>
          <w:rFonts w:eastAsia="Arial"/>
        </w:rPr>
        <w:t>maling</w:t>
      </w:r>
      <w:proofErr w:type="spellEnd"/>
      <w:r w:rsidRPr="00034D75">
        <w:rPr>
          <w:rFonts w:eastAsia="Arial"/>
        </w:rPr>
        <w:t xml:space="preserve"> </w:t>
      </w:r>
      <w:proofErr w:type="spellStart"/>
      <w:r w:rsidRPr="00034D75">
        <w:rPr>
          <w:rFonts w:eastAsia="Arial"/>
        </w:rPr>
        <w:t>karanasan</w:t>
      </w:r>
      <w:proofErr w:type="spellEnd"/>
      <w:r w:rsidRPr="00034D75">
        <w:rPr>
          <w:rFonts w:eastAsia="Arial"/>
        </w:rPr>
        <w:t>' (we only learned from our own wrong experiences)—captures a learning mode that is not merely informal but potentially life-threatening. Safety knowledge derived exclusively from personal accidents and near-misses is, by definition, reactive, incomplete, and unacceptably costly in human terms.</w:t>
      </w:r>
    </w:p>
    <w:p w14:paraId="4B8FE059" w14:textId="77777777" w:rsidR="00034D75" w:rsidRPr="00034D75" w:rsidRDefault="00034D75" w:rsidP="00034D75">
      <w:pPr>
        <w:ind w:firstLine="720"/>
        <w:jc w:val="both"/>
      </w:pPr>
    </w:p>
    <w:p w14:paraId="699E915E" w14:textId="77777777" w:rsidR="00034D75" w:rsidRDefault="00034D75" w:rsidP="00034D75">
      <w:pPr>
        <w:jc w:val="both"/>
        <w:rPr>
          <w:rFonts w:eastAsia="Arial"/>
          <w:b/>
          <w:bCs/>
          <w:i/>
          <w:iCs/>
        </w:rPr>
      </w:pPr>
      <w:r w:rsidRPr="00034D75">
        <w:rPr>
          <w:rFonts w:eastAsia="Arial"/>
          <w:b/>
          <w:bCs/>
          <w:i/>
          <w:iCs/>
        </w:rPr>
        <w:t>Theme 3: Employment Conditions</w:t>
      </w:r>
    </w:p>
    <w:p w14:paraId="033BB797" w14:textId="77777777" w:rsidR="00034D75" w:rsidRPr="00034D75" w:rsidRDefault="00034D75" w:rsidP="00034D75">
      <w:pPr>
        <w:jc w:val="both"/>
        <w:rPr>
          <w:rFonts w:eastAsia="Arial"/>
          <w:b/>
          <w:bCs/>
          <w:i/>
          <w:iCs/>
        </w:rPr>
      </w:pPr>
    </w:p>
    <w:p w14:paraId="24FED9AC" w14:textId="77777777" w:rsidR="00034D75" w:rsidRPr="00034D75" w:rsidRDefault="00034D75" w:rsidP="00034D75">
      <w:pPr>
        <w:ind w:firstLine="720"/>
        <w:jc w:val="both"/>
      </w:pPr>
      <w:r w:rsidRPr="00034D75">
        <w:rPr>
          <w:rFonts w:eastAsia="Arial"/>
        </w:rPr>
        <w:t>This theme was the most universally reported challenge in the study's qualitative dataset, cited by 18 of 20 interview participants, making it the single most consistently experienced structural hardship among technical draftsmen. The participant's statement is structurally precise in its articulation of informal employment's defining characteristic: the absence of a safety net. The enumeration of SSS (Social Security System) and PhilHealth is not incidental—these are the two most foundational social protection instruments in the Philippine labor system, and their absence defines the existential precarity of informal work.</w:t>
      </w:r>
    </w:p>
    <w:p w14:paraId="5FF16FB4" w14:textId="77777777" w:rsidR="00034D75" w:rsidRDefault="00034D75" w:rsidP="00034D75">
      <w:pPr>
        <w:ind w:firstLine="720"/>
        <w:jc w:val="both"/>
        <w:rPr>
          <w:rFonts w:eastAsia="Arial"/>
        </w:rPr>
      </w:pPr>
      <w:proofErr w:type="spellStart"/>
      <w:r w:rsidRPr="00034D75">
        <w:rPr>
          <w:rFonts w:eastAsia="Arial"/>
        </w:rPr>
        <w:t>Sassen's</w:t>
      </w:r>
      <w:proofErr w:type="spellEnd"/>
      <w:r w:rsidRPr="00034D75">
        <w:rPr>
          <w:rFonts w:eastAsia="Arial"/>
        </w:rPr>
        <w:t xml:space="preserve"> (2006) seminal analysis of informal labor markets identifies employment precarity—characterized by project-based contracts, income volatility, and social protection exclusion—as a structural feature of informality rather than an exceptional condition of specific workers. In this framework, the employment conditions described by participants are not </w:t>
      </w:r>
      <w:r w:rsidRPr="00034D75">
        <w:rPr>
          <w:rFonts w:eastAsia="Arial"/>
        </w:rPr>
        <w:lastRenderedPageBreak/>
        <w:t>aberrations within an otherwise functional system; they are the defining logic of informal sector engagement. Workers are not merely without benefits by administrative oversight—they are excluded from formal social protection architectures by the nature of their employment relationships.</w:t>
      </w:r>
    </w:p>
    <w:p w14:paraId="4C574387" w14:textId="77777777" w:rsidR="00034D75" w:rsidRPr="00034D75" w:rsidRDefault="00034D75" w:rsidP="00034D75">
      <w:pPr>
        <w:ind w:firstLine="720"/>
        <w:jc w:val="both"/>
      </w:pPr>
    </w:p>
    <w:p w14:paraId="4AC6648A" w14:textId="77777777" w:rsidR="00034D75" w:rsidRDefault="00034D75" w:rsidP="00034D75">
      <w:pPr>
        <w:jc w:val="both"/>
        <w:rPr>
          <w:b/>
          <w:bCs/>
          <w:i/>
          <w:iCs/>
        </w:rPr>
      </w:pPr>
      <w:r w:rsidRPr="00034D75">
        <w:rPr>
          <w:b/>
          <w:bCs/>
          <w:i/>
          <w:iCs/>
        </w:rPr>
        <w:t>Theme 4: Technical Limitations</w:t>
      </w:r>
    </w:p>
    <w:p w14:paraId="380BDB73" w14:textId="77777777" w:rsidR="00034D75" w:rsidRPr="00034D75" w:rsidRDefault="00034D75" w:rsidP="00034D75">
      <w:pPr>
        <w:jc w:val="both"/>
        <w:rPr>
          <w:b/>
          <w:bCs/>
          <w:i/>
          <w:iCs/>
        </w:rPr>
      </w:pPr>
    </w:p>
    <w:p w14:paraId="39EE9209" w14:textId="77777777" w:rsidR="00034D75" w:rsidRDefault="00034D75" w:rsidP="00034D75">
      <w:pPr>
        <w:ind w:firstLine="720"/>
        <w:jc w:val="both"/>
        <w:rPr>
          <w:rFonts w:eastAsia="Arial"/>
        </w:rPr>
      </w:pPr>
      <w:r w:rsidRPr="00034D75">
        <w:rPr>
          <w:rFonts w:eastAsia="Arial"/>
        </w:rPr>
        <w:t>This theme illuminates a critical technical and regulatory knowledge gap that has direct implications for the structural safety, legal compliance, and professional accountability of design work produced by technical draftsmen. The participant's admission—'</w:t>
      </w:r>
      <w:proofErr w:type="spellStart"/>
      <w:r w:rsidRPr="00034D75">
        <w:rPr>
          <w:rFonts w:eastAsia="Arial"/>
        </w:rPr>
        <w:t>ginagawa</w:t>
      </w:r>
      <w:proofErr w:type="spellEnd"/>
      <w:r w:rsidRPr="00034D75">
        <w:rPr>
          <w:rFonts w:eastAsia="Arial"/>
        </w:rPr>
        <w:t xml:space="preserve"> ko </w:t>
      </w:r>
      <w:proofErr w:type="spellStart"/>
      <w:r w:rsidRPr="00034D75">
        <w:rPr>
          <w:rFonts w:eastAsia="Arial"/>
        </w:rPr>
        <w:t>lang</w:t>
      </w:r>
      <w:proofErr w:type="spellEnd"/>
      <w:r w:rsidRPr="00034D75">
        <w:rPr>
          <w:rFonts w:eastAsia="Arial"/>
        </w:rPr>
        <w:t xml:space="preserve"> ang </w:t>
      </w:r>
      <w:proofErr w:type="spellStart"/>
      <w:r w:rsidRPr="00034D75">
        <w:rPr>
          <w:rFonts w:eastAsia="Arial"/>
        </w:rPr>
        <w:t>plano</w:t>
      </w:r>
      <w:proofErr w:type="spellEnd"/>
      <w:r w:rsidRPr="00034D75">
        <w:rPr>
          <w:rFonts w:eastAsia="Arial"/>
        </w:rPr>
        <w:t xml:space="preserve"> base </w:t>
      </w:r>
      <w:proofErr w:type="spellStart"/>
      <w:r w:rsidRPr="00034D75">
        <w:rPr>
          <w:rFonts w:eastAsia="Arial"/>
        </w:rPr>
        <w:t>sa</w:t>
      </w:r>
      <w:proofErr w:type="spellEnd"/>
      <w:r w:rsidRPr="00034D75">
        <w:rPr>
          <w:rFonts w:eastAsia="Arial"/>
        </w:rPr>
        <w:t xml:space="preserve"> </w:t>
      </w:r>
      <w:proofErr w:type="spellStart"/>
      <w:r w:rsidRPr="00034D75">
        <w:rPr>
          <w:rFonts w:eastAsia="Arial"/>
        </w:rPr>
        <w:t>tinanggap</w:t>
      </w:r>
      <w:proofErr w:type="spellEnd"/>
      <w:r w:rsidRPr="00034D75">
        <w:rPr>
          <w:rFonts w:eastAsia="Arial"/>
        </w:rPr>
        <w:t xml:space="preserve"> </w:t>
      </w:r>
      <w:proofErr w:type="spellStart"/>
      <w:r w:rsidRPr="00034D75">
        <w:rPr>
          <w:rFonts w:eastAsia="Arial"/>
        </w:rPr>
        <w:t>kong</w:t>
      </w:r>
      <w:proofErr w:type="spellEnd"/>
      <w:r w:rsidRPr="00034D75">
        <w:rPr>
          <w:rFonts w:eastAsia="Arial"/>
        </w:rPr>
        <w:t xml:space="preserve"> </w:t>
      </w:r>
      <w:proofErr w:type="spellStart"/>
      <w:r w:rsidRPr="00034D75">
        <w:rPr>
          <w:rFonts w:eastAsia="Arial"/>
        </w:rPr>
        <w:t>kaalaman</w:t>
      </w:r>
      <w:proofErr w:type="spellEnd"/>
      <w:r w:rsidRPr="00034D75">
        <w:rPr>
          <w:rFonts w:eastAsia="Arial"/>
        </w:rPr>
        <w:t>' (I just make plans based on knowledge I received)—reveals a practitioner operating in good faith but within the limits of a knowledge base that is inherited, unverified, and potentially outdated or incorrect. This is not a confession of incompetence; it is a lucid recognition of the boundaries of self-taught expertise in a domain where the consequences of error can be structural collapse, injury, or death.</w:t>
      </w:r>
    </w:p>
    <w:p w14:paraId="10653325" w14:textId="77777777" w:rsidR="00034D75" w:rsidRPr="00034D75" w:rsidRDefault="00034D75" w:rsidP="00034D75">
      <w:pPr>
        <w:ind w:firstLine="720"/>
        <w:jc w:val="both"/>
      </w:pPr>
    </w:p>
    <w:p w14:paraId="1567DE0C" w14:textId="77777777" w:rsidR="00034D75" w:rsidRPr="00034D75" w:rsidRDefault="00034D75" w:rsidP="00034D75">
      <w:pPr>
        <w:ind w:firstLine="720"/>
        <w:jc w:val="both"/>
      </w:pPr>
      <w:r w:rsidRPr="00034D75">
        <w:rPr>
          <w:rFonts w:eastAsia="Arial"/>
        </w:rPr>
        <w:t>The National Building Code of the Philippines (NBCP), codified under Presidential Decree No. 1096, establishes the minimum standards and requirements for the design, construction, use, occupancy, and maintenance of buildings and structures in the Philippines. It specifies structural load calculations, fire safety provisions, sanitation standards, light and ventilation requirements, and permit documentation procedures that are mandatory for all construction projects, regardless of size or formality. Non-compliance with the NBCP—whether through ignorance or deliberate evasion—creates legal liability for both the practitioner and the client, and more critically, creates structural risks for occupants and neighboring structures.</w:t>
      </w:r>
    </w:p>
    <w:p w14:paraId="4CBE3066" w14:textId="77777777" w:rsidR="00F54FFC" w:rsidRDefault="00F54FFC" w:rsidP="00AD6054">
      <w:pPr>
        <w:rPr>
          <w:b/>
          <w:bCs/>
        </w:rPr>
      </w:pPr>
    </w:p>
    <w:p w14:paraId="3753A22E" w14:textId="77777777" w:rsidR="00F54FFC" w:rsidRDefault="00F54FFC" w:rsidP="00F54FFC">
      <w:pPr>
        <w:spacing w:before="120" w:after="80"/>
        <w:rPr>
          <w:b/>
          <w:bCs/>
        </w:rPr>
      </w:pPr>
      <w:r w:rsidRPr="00F54FFC">
        <w:rPr>
          <w:b/>
          <w:bCs/>
        </w:rPr>
        <w:t>Proposed training modules for practicing technical draftsmen</w:t>
      </w:r>
    </w:p>
    <w:p w14:paraId="1E81927C" w14:textId="77777777" w:rsidR="00034D75" w:rsidRDefault="00034D75" w:rsidP="00034D75">
      <w:pPr>
        <w:spacing w:before="120" w:after="80"/>
        <w:ind w:firstLine="720"/>
        <w:jc w:val="both"/>
      </w:pPr>
      <w:r w:rsidRPr="00034D75">
        <w:rPr>
          <w:rFonts w:eastAsia="Arial"/>
        </w:rPr>
        <w:t xml:space="preserve">Based on the integrated findings from all preceding research objectives, </w:t>
      </w:r>
      <w:proofErr w:type="gramStart"/>
      <w:r w:rsidRPr="00034D75">
        <w:t>The</w:t>
      </w:r>
      <w:proofErr w:type="gramEnd"/>
      <w:r w:rsidRPr="00034D75">
        <w:t xml:space="preserve"> construction and architectural drafting industry in the Philippines continues to rely heavily on a large workforce of </w:t>
      </w:r>
      <w:r w:rsidRPr="00034D75">
        <w:rPr>
          <w:rFonts w:eastAsia="Arial"/>
        </w:rPr>
        <w:t xml:space="preserve">technical draftsmen </w:t>
      </w:r>
      <w:r w:rsidRPr="00034D75">
        <w:t xml:space="preserve">—individuals who perform technical drafting functions without formal academic credentials or professional licensure. These </w:t>
      </w:r>
      <w:r w:rsidRPr="00034D75">
        <w:rPr>
          <w:rFonts w:eastAsia="Arial"/>
        </w:rPr>
        <w:t>technical draftsmen</w:t>
      </w:r>
      <w:r w:rsidRPr="00034D75">
        <w:t xml:space="preserve"> occupy a critical yet underregulated space in residential and small-scale construction, often serving communities where licensed professionals are unavailable or unaffordable. As observed in the study, a significant portion of this workforce possesses practical knowledge acquired through apprenticeship, on-the-job training, or self-instruction, yet lacks the standardized competencies required to meet industry benchmarks and legal compliance requirements (</w:t>
      </w:r>
      <w:proofErr w:type="spellStart"/>
      <w:r w:rsidRPr="00034D75">
        <w:t>Tatlonghari</w:t>
      </w:r>
      <w:proofErr w:type="spellEnd"/>
      <w:r w:rsidRPr="00034D75">
        <w:t xml:space="preserve"> &amp; Cruz, 2022).</w:t>
      </w:r>
    </w:p>
    <w:p w14:paraId="6BDD555E" w14:textId="77777777" w:rsidR="00034D75" w:rsidRDefault="00034D75" w:rsidP="00034D75">
      <w:pPr>
        <w:spacing w:before="120" w:after="80"/>
        <w:ind w:firstLine="720"/>
        <w:jc w:val="both"/>
      </w:pPr>
    </w:p>
    <w:p w14:paraId="2520EB70" w14:textId="772873E5" w:rsidR="00034D75" w:rsidRPr="00034D75" w:rsidRDefault="00397D0D" w:rsidP="00034D75">
      <w:pPr>
        <w:spacing w:before="120" w:after="80"/>
        <w:ind w:firstLine="720"/>
        <w:jc w:val="both"/>
        <w:rPr>
          <w:b/>
          <w:bCs/>
        </w:rPr>
      </w:pPr>
      <w:r>
        <w:rPr>
          <w:b/>
          <w:bCs/>
        </w:rPr>
        <w:t xml:space="preserve">Table </w:t>
      </w:r>
      <w:r w:rsidR="00B65DA1">
        <w:rPr>
          <w:b/>
          <w:bCs/>
        </w:rPr>
        <w:t>6.</w:t>
      </w:r>
      <w:r w:rsidR="00671BC1">
        <w:rPr>
          <w:b/>
          <w:bCs/>
        </w:rPr>
        <w:t xml:space="preserve"> </w:t>
      </w:r>
      <w:r w:rsidR="00671BC1" w:rsidRPr="00F54FFC">
        <w:rPr>
          <w:b/>
          <w:bCs/>
        </w:rPr>
        <w:t xml:space="preserve">Proposed </w:t>
      </w:r>
      <w:r w:rsidR="00671BC1">
        <w:rPr>
          <w:b/>
          <w:bCs/>
        </w:rPr>
        <w:t>T</w:t>
      </w:r>
      <w:r w:rsidR="00671BC1" w:rsidRPr="00F54FFC">
        <w:rPr>
          <w:b/>
          <w:bCs/>
        </w:rPr>
        <w:t xml:space="preserve">raining </w:t>
      </w:r>
      <w:r w:rsidR="00837168">
        <w:rPr>
          <w:b/>
          <w:bCs/>
        </w:rPr>
        <w:t>Modules</w:t>
      </w:r>
      <w:r w:rsidR="00671BC1" w:rsidRPr="00F54FFC">
        <w:rPr>
          <w:b/>
          <w:bCs/>
        </w:rPr>
        <w:t xml:space="preserve"> </w:t>
      </w:r>
    </w:p>
    <w:p w14:paraId="7AF4FDED" w14:textId="77777777" w:rsidR="00034D75" w:rsidRPr="00F54FFC" w:rsidRDefault="00034D75" w:rsidP="00F54FFC">
      <w:pPr>
        <w:spacing w:before="120" w:after="80"/>
        <w:rPr>
          <w:b/>
          <w:bCs/>
        </w:rPr>
      </w:pP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537"/>
        <w:gridCol w:w="1960"/>
        <w:gridCol w:w="2310"/>
        <w:gridCol w:w="1915"/>
        <w:gridCol w:w="1638"/>
      </w:tblGrid>
      <w:tr w:rsidR="00F54FFC" w14:paraId="177E85C2" w14:textId="77777777" w:rsidTr="00F54FFC">
        <w:tc>
          <w:tcPr>
            <w:tcW w:w="1537" w:type="dxa"/>
            <w:tcBorders>
              <w:top w:val="single" w:sz="4" w:space="0" w:color="auto"/>
              <w:bottom w:val="single" w:sz="4" w:space="0" w:color="auto"/>
            </w:tcBorders>
            <w:shd w:val="clear" w:color="auto" w:fill="D9E2F3"/>
            <w:tcMar>
              <w:top w:w="100" w:type="dxa"/>
              <w:left w:w="120" w:type="dxa"/>
              <w:bottom w:w="100" w:type="dxa"/>
              <w:right w:w="120" w:type="dxa"/>
            </w:tcMar>
          </w:tcPr>
          <w:p w14:paraId="23BE6FED" w14:textId="77777777" w:rsidR="00F54FFC" w:rsidRPr="00F54FFC" w:rsidRDefault="00F54FFC" w:rsidP="006A7B7D">
            <w:r w:rsidRPr="00F54FFC">
              <w:rPr>
                <w:b/>
                <w:bCs/>
                <w:sz w:val="22"/>
                <w:szCs w:val="22"/>
              </w:rPr>
              <w:t>Module</w:t>
            </w:r>
          </w:p>
        </w:tc>
        <w:tc>
          <w:tcPr>
            <w:tcW w:w="1960" w:type="dxa"/>
            <w:tcBorders>
              <w:top w:val="single" w:sz="4" w:space="0" w:color="auto"/>
              <w:bottom w:val="single" w:sz="4" w:space="0" w:color="auto"/>
            </w:tcBorders>
            <w:shd w:val="clear" w:color="auto" w:fill="D9E2F3"/>
            <w:tcMar>
              <w:top w:w="100" w:type="dxa"/>
              <w:left w:w="120" w:type="dxa"/>
              <w:bottom w:w="100" w:type="dxa"/>
              <w:right w:w="120" w:type="dxa"/>
            </w:tcMar>
          </w:tcPr>
          <w:p w14:paraId="5BD89044" w14:textId="77777777" w:rsidR="00F54FFC" w:rsidRPr="00F54FFC" w:rsidRDefault="00F54FFC" w:rsidP="006A7B7D">
            <w:r w:rsidRPr="00F54FFC">
              <w:rPr>
                <w:b/>
                <w:bCs/>
                <w:sz w:val="22"/>
                <w:szCs w:val="22"/>
              </w:rPr>
              <w:t>Theme / Focus</w:t>
            </w:r>
          </w:p>
        </w:tc>
        <w:tc>
          <w:tcPr>
            <w:tcW w:w="2310" w:type="dxa"/>
            <w:tcBorders>
              <w:top w:val="single" w:sz="4" w:space="0" w:color="auto"/>
              <w:bottom w:val="single" w:sz="4" w:space="0" w:color="auto"/>
            </w:tcBorders>
            <w:shd w:val="clear" w:color="auto" w:fill="D9E2F3"/>
            <w:tcMar>
              <w:top w:w="100" w:type="dxa"/>
              <w:left w:w="120" w:type="dxa"/>
              <w:bottom w:w="100" w:type="dxa"/>
              <w:right w:w="120" w:type="dxa"/>
            </w:tcMar>
          </w:tcPr>
          <w:p w14:paraId="1E23713F" w14:textId="77777777" w:rsidR="00F54FFC" w:rsidRPr="00F54FFC" w:rsidRDefault="00F54FFC" w:rsidP="006A7B7D">
            <w:r w:rsidRPr="00F54FFC">
              <w:rPr>
                <w:b/>
                <w:bCs/>
                <w:sz w:val="22"/>
                <w:szCs w:val="22"/>
              </w:rPr>
              <w:t>Core Learning Outcomes</w:t>
            </w:r>
          </w:p>
        </w:tc>
        <w:tc>
          <w:tcPr>
            <w:tcW w:w="1915" w:type="dxa"/>
            <w:tcBorders>
              <w:top w:val="single" w:sz="4" w:space="0" w:color="auto"/>
              <w:bottom w:val="single" w:sz="4" w:space="0" w:color="auto"/>
            </w:tcBorders>
            <w:shd w:val="clear" w:color="auto" w:fill="D9E2F3"/>
            <w:tcMar>
              <w:top w:w="100" w:type="dxa"/>
              <w:left w:w="120" w:type="dxa"/>
              <w:bottom w:w="100" w:type="dxa"/>
              <w:right w:w="120" w:type="dxa"/>
            </w:tcMar>
          </w:tcPr>
          <w:p w14:paraId="50BC50FB" w14:textId="77777777" w:rsidR="00F54FFC" w:rsidRPr="00F54FFC" w:rsidRDefault="00F54FFC" w:rsidP="006A7B7D">
            <w:r w:rsidRPr="00F54FFC">
              <w:rPr>
                <w:b/>
                <w:bCs/>
                <w:sz w:val="22"/>
                <w:szCs w:val="22"/>
              </w:rPr>
              <w:t>Delivery Mode</w:t>
            </w:r>
          </w:p>
        </w:tc>
        <w:tc>
          <w:tcPr>
            <w:tcW w:w="1638" w:type="dxa"/>
            <w:tcBorders>
              <w:top w:val="single" w:sz="4" w:space="0" w:color="auto"/>
              <w:bottom w:val="single" w:sz="4" w:space="0" w:color="auto"/>
            </w:tcBorders>
            <w:shd w:val="clear" w:color="auto" w:fill="D9E2F3"/>
            <w:tcMar>
              <w:top w:w="100" w:type="dxa"/>
              <w:left w:w="120" w:type="dxa"/>
              <w:bottom w:w="100" w:type="dxa"/>
              <w:right w:w="120" w:type="dxa"/>
            </w:tcMar>
          </w:tcPr>
          <w:p w14:paraId="637B97E1" w14:textId="77777777" w:rsidR="00F54FFC" w:rsidRPr="00F54FFC" w:rsidRDefault="00F54FFC" w:rsidP="006A7B7D">
            <w:r w:rsidRPr="00F54FFC">
              <w:rPr>
                <w:b/>
                <w:bCs/>
                <w:sz w:val="22"/>
                <w:szCs w:val="22"/>
              </w:rPr>
              <w:t>Assessment</w:t>
            </w:r>
          </w:p>
        </w:tc>
      </w:tr>
      <w:tr w:rsidR="00F54FFC" w14:paraId="16D066CD" w14:textId="77777777" w:rsidTr="00F54FFC">
        <w:tc>
          <w:tcPr>
            <w:tcW w:w="1537" w:type="dxa"/>
            <w:tcBorders>
              <w:top w:val="single" w:sz="4" w:space="0" w:color="auto"/>
            </w:tcBorders>
            <w:tcMar>
              <w:top w:w="100" w:type="dxa"/>
              <w:left w:w="120" w:type="dxa"/>
              <w:bottom w:w="100" w:type="dxa"/>
              <w:right w:w="120" w:type="dxa"/>
            </w:tcMar>
          </w:tcPr>
          <w:p w14:paraId="6BDE0FFB" w14:textId="77777777" w:rsidR="00F54FFC" w:rsidRDefault="00F54FFC" w:rsidP="006A7B7D">
            <w:r>
              <w:rPr>
                <w:sz w:val="22"/>
                <w:szCs w:val="22"/>
              </w:rPr>
              <w:t>Module 1</w:t>
            </w:r>
          </w:p>
        </w:tc>
        <w:tc>
          <w:tcPr>
            <w:tcW w:w="1960" w:type="dxa"/>
            <w:tcBorders>
              <w:top w:val="single" w:sz="4" w:space="0" w:color="auto"/>
            </w:tcBorders>
            <w:tcMar>
              <w:top w:w="100" w:type="dxa"/>
              <w:left w:w="120" w:type="dxa"/>
              <w:bottom w:w="100" w:type="dxa"/>
              <w:right w:w="120" w:type="dxa"/>
            </w:tcMar>
          </w:tcPr>
          <w:p w14:paraId="41180C57" w14:textId="77777777" w:rsidR="00F54FFC" w:rsidRDefault="00F54FFC" w:rsidP="006A7B7D">
            <w:r>
              <w:rPr>
                <w:sz w:val="22"/>
                <w:szCs w:val="22"/>
              </w:rPr>
              <w:t>Foundations of Technical Drafting</w:t>
            </w:r>
          </w:p>
        </w:tc>
        <w:tc>
          <w:tcPr>
            <w:tcW w:w="2310" w:type="dxa"/>
            <w:tcBorders>
              <w:top w:val="single" w:sz="4" w:space="0" w:color="auto"/>
            </w:tcBorders>
            <w:tcMar>
              <w:top w:w="100" w:type="dxa"/>
              <w:left w:w="120" w:type="dxa"/>
              <w:bottom w:w="100" w:type="dxa"/>
              <w:right w:w="120" w:type="dxa"/>
            </w:tcMar>
          </w:tcPr>
          <w:p w14:paraId="529E3EB2" w14:textId="77777777" w:rsidR="00F54FFC" w:rsidRDefault="00F54FFC" w:rsidP="006A7B7D">
            <w:r>
              <w:rPr>
                <w:sz w:val="22"/>
                <w:szCs w:val="22"/>
              </w:rPr>
              <w:t xml:space="preserve">Interpret and apply standard drafting conventions, line </w:t>
            </w:r>
            <w:r>
              <w:rPr>
                <w:sz w:val="22"/>
                <w:szCs w:val="22"/>
              </w:rPr>
              <w:lastRenderedPageBreak/>
              <w:t>types, and architectural symbols in residential plan sets</w:t>
            </w:r>
          </w:p>
        </w:tc>
        <w:tc>
          <w:tcPr>
            <w:tcW w:w="1915" w:type="dxa"/>
            <w:tcBorders>
              <w:top w:val="single" w:sz="4" w:space="0" w:color="auto"/>
            </w:tcBorders>
            <w:tcMar>
              <w:top w:w="100" w:type="dxa"/>
              <w:left w:w="120" w:type="dxa"/>
              <w:bottom w:w="100" w:type="dxa"/>
              <w:right w:w="120" w:type="dxa"/>
            </w:tcMar>
          </w:tcPr>
          <w:p w14:paraId="1BD80B62" w14:textId="77777777" w:rsidR="00F54FFC" w:rsidRDefault="00F54FFC" w:rsidP="006A7B7D">
            <w:r>
              <w:rPr>
                <w:sz w:val="22"/>
                <w:szCs w:val="22"/>
              </w:rPr>
              <w:lastRenderedPageBreak/>
              <w:t>Face-to-face workshop / hands-on lab</w:t>
            </w:r>
          </w:p>
        </w:tc>
        <w:tc>
          <w:tcPr>
            <w:tcW w:w="1638" w:type="dxa"/>
            <w:tcBorders>
              <w:top w:val="single" w:sz="4" w:space="0" w:color="auto"/>
            </w:tcBorders>
            <w:tcMar>
              <w:top w:w="100" w:type="dxa"/>
              <w:left w:w="120" w:type="dxa"/>
              <w:bottom w:w="100" w:type="dxa"/>
              <w:right w:w="120" w:type="dxa"/>
            </w:tcMar>
          </w:tcPr>
          <w:p w14:paraId="4A39647A" w14:textId="77777777" w:rsidR="00F54FFC" w:rsidRDefault="00F54FFC" w:rsidP="006A7B7D">
            <w:r>
              <w:rPr>
                <w:sz w:val="22"/>
                <w:szCs w:val="22"/>
              </w:rPr>
              <w:t>Drafting output portfolio (floor plan, sections)</w:t>
            </w:r>
          </w:p>
        </w:tc>
      </w:tr>
      <w:tr w:rsidR="00F54FFC" w14:paraId="45DF0297" w14:textId="77777777" w:rsidTr="00F54FFC">
        <w:tc>
          <w:tcPr>
            <w:tcW w:w="1537" w:type="dxa"/>
            <w:tcMar>
              <w:top w:w="100" w:type="dxa"/>
              <w:left w:w="120" w:type="dxa"/>
              <w:bottom w:w="100" w:type="dxa"/>
              <w:right w:w="120" w:type="dxa"/>
            </w:tcMar>
          </w:tcPr>
          <w:p w14:paraId="54048F14" w14:textId="77777777" w:rsidR="00F54FFC" w:rsidRDefault="00F54FFC" w:rsidP="006A7B7D">
            <w:r>
              <w:rPr>
                <w:sz w:val="22"/>
                <w:szCs w:val="22"/>
              </w:rPr>
              <w:t>Module 2</w:t>
            </w:r>
          </w:p>
        </w:tc>
        <w:tc>
          <w:tcPr>
            <w:tcW w:w="1960" w:type="dxa"/>
            <w:tcMar>
              <w:top w:w="100" w:type="dxa"/>
              <w:left w:w="120" w:type="dxa"/>
              <w:bottom w:w="100" w:type="dxa"/>
              <w:right w:w="120" w:type="dxa"/>
            </w:tcMar>
          </w:tcPr>
          <w:p w14:paraId="4DF1CC7B" w14:textId="77777777" w:rsidR="00F54FFC" w:rsidRDefault="00F54FFC" w:rsidP="006A7B7D">
            <w:r>
              <w:rPr>
                <w:sz w:val="22"/>
                <w:szCs w:val="22"/>
              </w:rPr>
              <w:t>Philippine Building Code (NBCP) Essentials</w:t>
            </w:r>
          </w:p>
        </w:tc>
        <w:tc>
          <w:tcPr>
            <w:tcW w:w="2310" w:type="dxa"/>
            <w:tcMar>
              <w:top w:w="100" w:type="dxa"/>
              <w:left w:w="120" w:type="dxa"/>
              <w:bottom w:w="100" w:type="dxa"/>
              <w:right w:w="120" w:type="dxa"/>
            </w:tcMar>
          </w:tcPr>
          <w:p w14:paraId="503E58D5" w14:textId="77777777" w:rsidR="00F54FFC" w:rsidRDefault="00F54FFC" w:rsidP="006A7B7D">
            <w:r>
              <w:rPr>
                <w:sz w:val="22"/>
                <w:szCs w:val="22"/>
              </w:rPr>
              <w:t>Apply minimum code requirements—setbacks, floor-area ratios, occupancy classification—in plan preparation</w:t>
            </w:r>
          </w:p>
        </w:tc>
        <w:tc>
          <w:tcPr>
            <w:tcW w:w="1915" w:type="dxa"/>
            <w:tcMar>
              <w:top w:w="100" w:type="dxa"/>
              <w:left w:w="120" w:type="dxa"/>
              <w:bottom w:w="100" w:type="dxa"/>
              <w:right w:w="120" w:type="dxa"/>
            </w:tcMar>
          </w:tcPr>
          <w:p w14:paraId="02E2CE88" w14:textId="77777777" w:rsidR="00F54FFC" w:rsidRDefault="00F54FFC" w:rsidP="006A7B7D">
            <w:r>
              <w:rPr>
                <w:sz w:val="22"/>
                <w:szCs w:val="22"/>
              </w:rPr>
              <w:t>Blended: lecture + case-based online modules</w:t>
            </w:r>
          </w:p>
        </w:tc>
        <w:tc>
          <w:tcPr>
            <w:tcW w:w="1638" w:type="dxa"/>
            <w:tcMar>
              <w:top w:w="100" w:type="dxa"/>
              <w:left w:w="120" w:type="dxa"/>
              <w:bottom w:w="100" w:type="dxa"/>
              <w:right w:w="120" w:type="dxa"/>
            </w:tcMar>
          </w:tcPr>
          <w:p w14:paraId="5219E124" w14:textId="77777777" w:rsidR="00F54FFC" w:rsidRDefault="00F54FFC" w:rsidP="006A7B7D">
            <w:r>
              <w:rPr>
                <w:sz w:val="22"/>
                <w:szCs w:val="22"/>
              </w:rPr>
              <w:t>Code-compliance checklist; written quiz</w:t>
            </w:r>
          </w:p>
        </w:tc>
      </w:tr>
      <w:tr w:rsidR="00F54FFC" w14:paraId="6D3B7C16" w14:textId="77777777" w:rsidTr="00F54FFC">
        <w:tc>
          <w:tcPr>
            <w:tcW w:w="1537" w:type="dxa"/>
            <w:tcMar>
              <w:top w:w="100" w:type="dxa"/>
              <w:left w:w="120" w:type="dxa"/>
              <w:bottom w:w="100" w:type="dxa"/>
              <w:right w:w="120" w:type="dxa"/>
            </w:tcMar>
          </w:tcPr>
          <w:p w14:paraId="1773238A" w14:textId="77777777" w:rsidR="00F54FFC" w:rsidRDefault="00F54FFC" w:rsidP="006A7B7D">
            <w:r>
              <w:rPr>
                <w:sz w:val="22"/>
                <w:szCs w:val="22"/>
              </w:rPr>
              <w:t>Module 3</w:t>
            </w:r>
          </w:p>
        </w:tc>
        <w:tc>
          <w:tcPr>
            <w:tcW w:w="1960" w:type="dxa"/>
            <w:tcMar>
              <w:top w:w="100" w:type="dxa"/>
              <w:left w:w="120" w:type="dxa"/>
              <w:bottom w:w="100" w:type="dxa"/>
              <w:right w:w="120" w:type="dxa"/>
            </w:tcMar>
          </w:tcPr>
          <w:p w14:paraId="37271FF4" w14:textId="77777777" w:rsidR="00F54FFC" w:rsidRDefault="00F54FFC" w:rsidP="006A7B7D">
            <w:r>
              <w:rPr>
                <w:sz w:val="22"/>
                <w:szCs w:val="22"/>
              </w:rPr>
              <w:t>CAD Proficiency (AutoCAD / SketchUp)</w:t>
            </w:r>
          </w:p>
        </w:tc>
        <w:tc>
          <w:tcPr>
            <w:tcW w:w="2310" w:type="dxa"/>
            <w:tcMar>
              <w:top w:w="100" w:type="dxa"/>
              <w:left w:w="120" w:type="dxa"/>
              <w:bottom w:w="100" w:type="dxa"/>
              <w:right w:w="120" w:type="dxa"/>
            </w:tcMar>
          </w:tcPr>
          <w:p w14:paraId="73019DAB" w14:textId="77777777" w:rsidR="00F54FFC" w:rsidRDefault="00F54FFC" w:rsidP="006A7B7D">
            <w:r>
              <w:rPr>
                <w:sz w:val="22"/>
                <w:szCs w:val="22"/>
              </w:rPr>
              <w:t>Produce accurate digital working drawings using industry-standard CAD tools, including layers, dimensions, and plot settings</w:t>
            </w:r>
          </w:p>
        </w:tc>
        <w:tc>
          <w:tcPr>
            <w:tcW w:w="1915" w:type="dxa"/>
            <w:tcMar>
              <w:top w:w="100" w:type="dxa"/>
              <w:left w:w="120" w:type="dxa"/>
              <w:bottom w:w="100" w:type="dxa"/>
              <w:right w:w="120" w:type="dxa"/>
            </w:tcMar>
          </w:tcPr>
          <w:p w14:paraId="200A94A5" w14:textId="77777777" w:rsidR="00F54FFC" w:rsidRDefault="00F54FFC" w:rsidP="006A7B7D">
            <w:r>
              <w:rPr>
                <w:sz w:val="22"/>
                <w:szCs w:val="22"/>
              </w:rPr>
              <w:t>Hands-on computer lab + self-paced video tutorials (YouTube/TESDA OP)</w:t>
            </w:r>
          </w:p>
        </w:tc>
        <w:tc>
          <w:tcPr>
            <w:tcW w:w="1638" w:type="dxa"/>
            <w:tcMar>
              <w:top w:w="100" w:type="dxa"/>
              <w:left w:w="120" w:type="dxa"/>
              <w:bottom w:w="100" w:type="dxa"/>
              <w:right w:w="120" w:type="dxa"/>
            </w:tcMar>
          </w:tcPr>
          <w:p w14:paraId="50F54A98" w14:textId="77777777" w:rsidR="00F54FFC" w:rsidRDefault="00F54FFC" w:rsidP="006A7B7D">
            <w:r>
              <w:rPr>
                <w:sz w:val="22"/>
                <w:szCs w:val="22"/>
              </w:rPr>
              <w:t>Submitted CAD file reviewed against drafting rubric</w:t>
            </w:r>
          </w:p>
        </w:tc>
      </w:tr>
      <w:tr w:rsidR="00F54FFC" w14:paraId="0C03ED97" w14:textId="77777777" w:rsidTr="00F54FFC">
        <w:tc>
          <w:tcPr>
            <w:tcW w:w="1537" w:type="dxa"/>
            <w:tcMar>
              <w:top w:w="100" w:type="dxa"/>
              <w:left w:w="120" w:type="dxa"/>
              <w:bottom w:w="100" w:type="dxa"/>
              <w:right w:w="120" w:type="dxa"/>
            </w:tcMar>
          </w:tcPr>
          <w:p w14:paraId="1E145427" w14:textId="77777777" w:rsidR="00F54FFC" w:rsidRDefault="00F54FFC" w:rsidP="006A7B7D">
            <w:r>
              <w:rPr>
                <w:sz w:val="22"/>
                <w:szCs w:val="22"/>
              </w:rPr>
              <w:t>Module 4</w:t>
            </w:r>
          </w:p>
        </w:tc>
        <w:tc>
          <w:tcPr>
            <w:tcW w:w="1960" w:type="dxa"/>
            <w:tcMar>
              <w:top w:w="100" w:type="dxa"/>
              <w:left w:w="120" w:type="dxa"/>
              <w:bottom w:w="100" w:type="dxa"/>
              <w:right w:w="120" w:type="dxa"/>
            </w:tcMar>
          </w:tcPr>
          <w:p w14:paraId="0CED0EE6" w14:textId="77777777" w:rsidR="00F54FFC" w:rsidRDefault="00F54FFC" w:rsidP="006A7B7D">
            <w:r>
              <w:rPr>
                <w:sz w:val="22"/>
                <w:szCs w:val="22"/>
              </w:rPr>
              <w:t>Structural Literacy and Reading Plans</w:t>
            </w:r>
          </w:p>
        </w:tc>
        <w:tc>
          <w:tcPr>
            <w:tcW w:w="2310" w:type="dxa"/>
            <w:tcMar>
              <w:top w:w="100" w:type="dxa"/>
              <w:left w:w="120" w:type="dxa"/>
              <w:bottom w:w="100" w:type="dxa"/>
              <w:right w:w="120" w:type="dxa"/>
            </w:tcMar>
          </w:tcPr>
          <w:p w14:paraId="7D613FE7" w14:textId="77777777" w:rsidR="00F54FFC" w:rsidRDefault="00F54FFC" w:rsidP="006A7B7D">
            <w:r>
              <w:rPr>
                <w:sz w:val="22"/>
                <w:szCs w:val="22"/>
              </w:rPr>
              <w:t>Read and interpret structural drawings; identify load-bearing elements and coordinate architectural with structural plans</w:t>
            </w:r>
          </w:p>
        </w:tc>
        <w:tc>
          <w:tcPr>
            <w:tcW w:w="1915" w:type="dxa"/>
            <w:tcMar>
              <w:top w:w="100" w:type="dxa"/>
              <w:left w:w="120" w:type="dxa"/>
              <w:bottom w:w="100" w:type="dxa"/>
              <w:right w:w="120" w:type="dxa"/>
            </w:tcMar>
          </w:tcPr>
          <w:p w14:paraId="16DD8385" w14:textId="77777777" w:rsidR="00F54FFC" w:rsidRDefault="00F54FFC" w:rsidP="006A7B7D">
            <w:r>
              <w:rPr>
                <w:sz w:val="22"/>
                <w:szCs w:val="22"/>
              </w:rPr>
              <w:t>Mentorship sessions with licensed engineers / architects</w:t>
            </w:r>
          </w:p>
        </w:tc>
        <w:tc>
          <w:tcPr>
            <w:tcW w:w="1638" w:type="dxa"/>
            <w:tcMar>
              <w:top w:w="100" w:type="dxa"/>
              <w:left w:w="120" w:type="dxa"/>
              <w:bottom w:w="100" w:type="dxa"/>
              <w:right w:w="120" w:type="dxa"/>
            </w:tcMar>
          </w:tcPr>
          <w:p w14:paraId="4B0B4FDF" w14:textId="77777777" w:rsidR="00F54FFC" w:rsidRDefault="00F54FFC" w:rsidP="006A7B7D">
            <w:r>
              <w:rPr>
                <w:sz w:val="22"/>
                <w:szCs w:val="22"/>
              </w:rPr>
              <w:t>Structural annotation exercise; peer review</w:t>
            </w:r>
          </w:p>
        </w:tc>
      </w:tr>
      <w:tr w:rsidR="00F54FFC" w14:paraId="2FBE8760" w14:textId="77777777" w:rsidTr="00F54FFC">
        <w:tc>
          <w:tcPr>
            <w:tcW w:w="1537" w:type="dxa"/>
            <w:tcMar>
              <w:top w:w="100" w:type="dxa"/>
              <w:left w:w="120" w:type="dxa"/>
              <w:bottom w:w="100" w:type="dxa"/>
              <w:right w:w="120" w:type="dxa"/>
            </w:tcMar>
          </w:tcPr>
          <w:p w14:paraId="0DBE6997" w14:textId="77777777" w:rsidR="00F54FFC" w:rsidRDefault="00F54FFC" w:rsidP="006A7B7D">
            <w:r>
              <w:rPr>
                <w:sz w:val="22"/>
                <w:szCs w:val="22"/>
              </w:rPr>
              <w:t>Module 5</w:t>
            </w:r>
          </w:p>
        </w:tc>
        <w:tc>
          <w:tcPr>
            <w:tcW w:w="1960" w:type="dxa"/>
            <w:tcMar>
              <w:top w:w="100" w:type="dxa"/>
              <w:left w:w="120" w:type="dxa"/>
              <w:bottom w:w="100" w:type="dxa"/>
              <w:right w:w="120" w:type="dxa"/>
            </w:tcMar>
          </w:tcPr>
          <w:p w14:paraId="5CE56E04" w14:textId="77777777" w:rsidR="00F54FFC" w:rsidRDefault="00F54FFC" w:rsidP="006A7B7D">
            <w:r>
              <w:rPr>
                <w:sz w:val="22"/>
                <w:szCs w:val="22"/>
              </w:rPr>
              <w:t>Construction Safety and OSH Awareness</w:t>
            </w:r>
          </w:p>
        </w:tc>
        <w:tc>
          <w:tcPr>
            <w:tcW w:w="2310" w:type="dxa"/>
            <w:tcMar>
              <w:top w:w="100" w:type="dxa"/>
              <w:left w:w="120" w:type="dxa"/>
              <w:bottom w:w="100" w:type="dxa"/>
              <w:right w:w="120" w:type="dxa"/>
            </w:tcMar>
          </w:tcPr>
          <w:p w14:paraId="68BA7714" w14:textId="77777777" w:rsidR="00F54FFC" w:rsidRDefault="00F54FFC" w:rsidP="006A7B7D">
            <w:r>
              <w:rPr>
                <w:sz w:val="22"/>
                <w:szCs w:val="22"/>
              </w:rPr>
              <w:t>Demonstrate knowledge of basic occupational safety standards and integrate safety notations in site plans</w:t>
            </w:r>
          </w:p>
        </w:tc>
        <w:tc>
          <w:tcPr>
            <w:tcW w:w="1915" w:type="dxa"/>
            <w:tcMar>
              <w:top w:w="100" w:type="dxa"/>
              <w:left w:w="120" w:type="dxa"/>
              <w:bottom w:w="100" w:type="dxa"/>
              <w:right w:w="120" w:type="dxa"/>
            </w:tcMar>
          </w:tcPr>
          <w:p w14:paraId="54771C1F" w14:textId="77777777" w:rsidR="00F54FFC" w:rsidRDefault="00F54FFC" w:rsidP="006A7B7D">
            <w:r>
              <w:rPr>
                <w:sz w:val="22"/>
                <w:szCs w:val="22"/>
              </w:rPr>
              <w:t>Seminar-workshop; DOLE / OSHC partner delivery</w:t>
            </w:r>
          </w:p>
        </w:tc>
        <w:tc>
          <w:tcPr>
            <w:tcW w:w="1638" w:type="dxa"/>
            <w:tcMar>
              <w:top w:w="100" w:type="dxa"/>
              <w:left w:w="120" w:type="dxa"/>
              <w:bottom w:w="100" w:type="dxa"/>
              <w:right w:w="120" w:type="dxa"/>
            </w:tcMar>
          </w:tcPr>
          <w:p w14:paraId="787EB3A4" w14:textId="77777777" w:rsidR="00F54FFC" w:rsidRDefault="00F54FFC" w:rsidP="006A7B7D">
            <w:r>
              <w:rPr>
                <w:sz w:val="22"/>
                <w:szCs w:val="22"/>
              </w:rPr>
              <w:t>OSH quiz; safety plan annotation</w:t>
            </w:r>
          </w:p>
        </w:tc>
      </w:tr>
      <w:tr w:rsidR="00F54FFC" w14:paraId="771C3DC5" w14:textId="77777777" w:rsidTr="00F54FFC">
        <w:tc>
          <w:tcPr>
            <w:tcW w:w="1537" w:type="dxa"/>
            <w:tcMar>
              <w:top w:w="100" w:type="dxa"/>
              <w:left w:w="120" w:type="dxa"/>
              <w:bottom w:w="100" w:type="dxa"/>
              <w:right w:w="120" w:type="dxa"/>
            </w:tcMar>
          </w:tcPr>
          <w:p w14:paraId="3B5C3DD3" w14:textId="77777777" w:rsidR="00F54FFC" w:rsidRDefault="00F54FFC" w:rsidP="006A7B7D">
            <w:r>
              <w:rPr>
                <w:sz w:val="22"/>
                <w:szCs w:val="22"/>
              </w:rPr>
              <w:t>Module 6</w:t>
            </w:r>
          </w:p>
        </w:tc>
        <w:tc>
          <w:tcPr>
            <w:tcW w:w="1960" w:type="dxa"/>
            <w:tcMar>
              <w:top w:w="100" w:type="dxa"/>
              <w:left w:w="120" w:type="dxa"/>
              <w:bottom w:w="100" w:type="dxa"/>
              <w:right w:w="120" w:type="dxa"/>
            </w:tcMar>
          </w:tcPr>
          <w:p w14:paraId="5CBC9A39" w14:textId="77777777" w:rsidR="00F54FFC" w:rsidRDefault="00F54FFC" w:rsidP="006A7B7D">
            <w:r>
              <w:rPr>
                <w:sz w:val="22"/>
                <w:szCs w:val="22"/>
              </w:rPr>
              <w:t>Professional Ethics and Client Communication</w:t>
            </w:r>
          </w:p>
        </w:tc>
        <w:tc>
          <w:tcPr>
            <w:tcW w:w="2310" w:type="dxa"/>
            <w:tcMar>
              <w:top w:w="100" w:type="dxa"/>
              <w:left w:w="120" w:type="dxa"/>
              <w:bottom w:w="100" w:type="dxa"/>
              <w:right w:w="120" w:type="dxa"/>
            </w:tcMar>
          </w:tcPr>
          <w:p w14:paraId="4A755CFD" w14:textId="77777777" w:rsidR="00F54FFC" w:rsidRDefault="00F54FFC" w:rsidP="006A7B7D">
            <w:r>
              <w:rPr>
                <w:sz w:val="22"/>
                <w:szCs w:val="22"/>
              </w:rPr>
              <w:t>Articulate ethical responsibilities, disclose practitioner status to clients, and draft basic service agreements</w:t>
            </w:r>
          </w:p>
        </w:tc>
        <w:tc>
          <w:tcPr>
            <w:tcW w:w="1915" w:type="dxa"/>
            <w:tcMar>
              <w:top w:w="100" w:type="dxa"/>
              <w:left w:w="120" w:type="dxa"/>
              <w:bottom w:w="100" w:type="dxa"/>
              <w:right w:w="120" w:type="dxa"/>
            </w:tcMar>
          </w:tcPr>
          <w:p w14:paraId="137D3F6A" w14:textId="77777777" w:rsidR="00F54FFC" w:rsidRDefault="00F54FFC" w:rsidP="006A7B7D">
            <w:r>
              <w:rPr>
                <w:sz w:val="22"/>
                <w:szCs w:val="22"/>
              </w:rPr>
              <w:t>Case discussion; role-play scenarios</w:t>
            </w:r>
          </w:p>
        </w:tc>
        <w:tc>
          <w:tcPr>
            <w:tcW w:w="1638" w:type="dxa"/>
            <w:tcMar>
              <w:top w:w="100" w:type="dxa"/>
              <w:left w:w="120" w:type="dxa"/>
              <w:bottom w:w="100" w:type="dxa"/>
              <w:right w:w="120" w:type="dxa"/>
            </w:tcMar>
          </w:tcPr>
          <w:p w14:paraId="46F66F65" w14:textId="77777777" w:rsidR="00F54FFC" w:rsidRDefault="00F54FFC" w:rsidP="006A7B7D">
            <w:r>
              <w:rPr>
                <w:sz w:val="22"/>
                <w:szCs w:val="22"/>
              </w:rPr>
              <w:t>Reflective journal; mock client brief</w:t>
            </w:r>
          </w:p>
        </w:tc>
      </w:tr>
    </w:tbl>
    <w:p w14:paraId="117AA4BB" w14:textId="77777777" w:rsidR="00034D75" w:rsidRDefault="00034D75" w:rsidP="00034D75">
      <w:pPr>
        <w:spacing w:before="120" w:after="120"/>
        <w:ind w:firstLine="720"/>
        <w:jc w:val="both"/>
      </w:pPr>
      <w:r>
        <w:t>The training module is designed as a stand-alone certificate program that can be completed in approximately 120 notional training hours, distributed across six modules and a capstone project. It is intentionally positioned below the full TESDA NC II threshold to serve practitioners who may not yet be ready for national certification but who require structured competency development. Upon completion, participants who meet the performance standards may be encouraged to pursue formal TESDA assessment toward the Construction Carpentry NC II or the Architectural Drafting NC II, depending on their specialization.</w:t>
      </w:r>
    </w:p>
    <w:p w14:paraId="290E5EA5" w14:textId="77777777" w:rsidR="00F54FFC" w:rsidRDefault="00F54FFC" w:rsidP="00F54FFC">
      <w:pPr>
        <w:spacing w:before="120" w:after="120"/>
        <w:ind w:firstLine="720"/>
        <w:jc w:val="both"/>
      </w:pPr>
      <w:r>
        <w:t xml:space="preserve">Successful deployment of this training module requires attention to several structural factors. First, </w:t>
      </w:r>
      <w:r w:rsidRPr="00F54FFC">
        <w:t>scheduling flexibility</w:t>
      </w:r>
      <w:r>
        <w:t xml:space="preserve"> is essential: because most respondents work on project-based </w:t>
      </w:r>
      <w:r>
        <w:lastRenderedPageBreak/>
        <w:t xml:space="preserve">arrangements with irregular hours, training institutions should offer weekend cohorts, evening schedules, or modular evening intensives. Second, </w:t>
      </w:r>
      <w:r w:rsidRPr="00F54FFC">
        <w:t>industry partnerships</w:t>
      </w:r>
      <w:r>
        <w:t xml:space="preserve"> should be formalized through memoranda of agreement with licensed engineers and architects who can serve as resource mentors for Module 4, adding professional legitimacy to the mentorship component. Third, </w:t>
      </w:r>
      <w:r w:rsidRPr="00F54FFC">
        <w:t xml:space="preserve">digital integration </w:t>
      </w:r>
      <w:r>
        <w:t xml:space="preserve">via a blended learning management system—potentially the TESDA Online Program—would allow Module 3 CAD content and supplementary reference materials to be accessed asynchronously, accommodating the self-directed digital learning habits already documented. Fourth, </w:t>
      </w:r>
      <w:r w:rsidRPr="00F54FFC">
        <w:t>recognition of prior learning (RPL)</w:t>
      </w:r>
      <w:r>
        <w:t xml:space="preserve"> provisions should be embedded in the enrollment process, allowing practitioners with four or more years of documented field experience to demonstrate competency in selected modules and receive credit toward the certificate without repeating content they have already mastered in practice (TESDA, 2021). </w:t>
      </w:r>
    </w:p>
    <w:p w14:paraId="2751A913" w14:textId="77777777" w:rsidR="00150ED1" w:rsidRPr="00AD6054" w:rsidRDefault="00150ED1" w:rsidP="00AD6054">
      <w:pPr>
        <w:rPr>
          <w:b/>
          <w:bCs/>
        </w:rPr>
      </w:pPr>
    </w:p>
    <w:p w14:paraId="02CFFC2C" w14:textId="77777777" w:rsidR="008F64C9" w:rsidRPr="00AD35BD" w:rsidRDefault="008F64C9" w:rsidP="00C128FA">
      <w:pPr>
        <w:pStyle w:val="ListParagraph"/>
        <w:numPr>
          <w:ilvl w:val="0"/>
          <w:numId w:val="1"/>
        </w:numPr>
        <w:ind w:left="426" w:hanging="426"/>
        <w:rPr>
          <w:b/>
          <w:bCs/>
        </w:rPr>
      </w:pPr>
      <w:r w:rsidRPr="00AD35BD">
        <w:rPr>
          <w:b/>
          <w:bCs/>
        </w:rPr>
        <w:t>Conclusions</w:t>
      </w:r>
    </w:p>
    <w:p w14:paraId="0009D54B" w14:textId="77777777" w:rsidR="008F64C9" w:rsidRDefault="008F64C9" w:rsidP="008F64C9">
      <w:pPr>
        <w:pStyle w:val="ListParagraph"/>
      </w:pPr>
    </w:p>
    <w:p w14:paraId="14483F4B" w14:textId="77777777" w:rsidR="00AD35BD" w:rsidRDefault="00AD35BD" w:rsidP="00AD35BD">
      <w:pPr>
        <w:ind w:firstLine="720"/>
        <w:jc w:val="both"/>
        <w:rPr>
          <w:rFonts w:eastAsia="Arial"/>
          <w:i/>
          <w:iCs/>
          <w:color w:val="000000" w:themeColor="text1"/>
        </w:rPr>
      </w:pPr>
      <w:r w:rsidRPr="00AD35BD">
        <w:rPr>
          <w:rFonts w:eastAsia="Arial"/>
          <w:color w:val="000000" w:themeColor="text1"/>
        </w:rPr>
        <w:t xml:space="preserve">Technical draftsmen are not marginal actors in the Philippine construction sector; they constitute a persistent and consequential labor force whose demographic realities must inform policy, training, and regulatory reform. The most critical ethical concern arising from this study is not merely that </w:t>
      </w:r>
      <w:r w:rsidRPr="00AD35BD">
        <w:rPr>
          <w:color w:val="000000" w:themeColor="text1"/>
        </w:rPr>
        <w:t>technical draftsmen</w:t>
      </w:r>
      <w:r w:rsidRPr="00AD35BD">
        <w:rPr>
          <w:rFonts w:eastAsia="Arial"/>
          <w:color w:val="000000" w:themeColor="text1"/>
        </w:rPr>
        <w:t xml:space="preserve"> work without licenses, but that they systematically do so without informing clients—a practice that exposes the public to unmitigated risks from structurally uninspected and professionally unaccountable design work.  The informal learning ecosystem of technical draftsmen is resourceful and resilient—but without structure, validation, and regulatory grounding, it cannot guarantee the minimum standards of technical accuracy and safety that construction design demands. </w:t>
      </w:r>
      <w:r w:rsidRPr="00AD35BD">
        <w:rPr>
          <w:rFonts w:eastAsia="Arial"/>
          <w:i/>
          <w:iCs/>
          <w:color w:val="000000" w:themeColor="text1"/>
        </w:rPr>
        <w:t xml:space="preserve">The </w:t>
      </w:r>
      <w:r w:rsidRPr="00AD35BD">
        <w:rPr>
          <w:rFonts w:eastAsia="Arial"/>
          <w:color w:val="000000" w:themeColor="text1"/>
        </w:rPr>
        <w:t xml:space="preserve">proposed training framework is not a punitive response to unlicensed practice; it is a developmental bridge—designed to meet </w:t>
      </w:r>
      <w:r w:rsidRPr="00AD35BD">
        <w:rPr>
          <w:color w:val="000000" w:themeColor="text1"/>
        </w:rPr>
        <w:t>technical draftsmen</w:t>
      </w:r>
      <w:r w:rsidRPr="00AD35BD">
        <w:rPr>
          <w:rFonts w:eastAsia="Arial"/>
          <w:color w:val="000000" w:themeColor="text1"/>
        </w:rPr>
        <w:t xml:space="preserve"> where they are, build on what they already know, and equip them with the credentials and competencies that will elevate both their practice and the safety of the communities they serve</w:t>
      </w:r>
      <w:r w:rsidRPr="00AD35BD">
        <w:rPr>
          <w:rFonts w:eastAsia="Arial"/>
          <w:i/>
          <w:iCs/>
          <w:color w:val="000000" w:themeColor="text1"/>
        </w:rPr>
        <w:t>.</w:t>
      </w:r>
    </w:p>
    <w:p w14:paraId="32B0EEB1" w14:textId="77777777" w:rsidR="00AD35BD" w:rsidRPr="00AD35BD" w:rsidRDefault="00AD35BD" w:rsidP="00AD35BD">
      <w:pPr>
        <w:ind w:firstLine="720"/>
        <w:jc w:val="both"/>
        <w:rPr>
          <w:rFonts w:eastAsia="Arial"/>
          <w:i/>
          <w:iCs/>
          <w:color w:val="000000" w:themeColor="text1"/>
        </w:rPr>
      </w:pPr>
    </w:p>
    <w:p w14:paraId="48C1CBFD" w14:textId="77777777" w:rsidR="00AD35BD" w:rsidRDefault="00AD35BD" w:rsidP="00AD35BD">
      <w:pPr>
        <w:spacing w:line="480" w:lineRule="auto"/>
        <w:rPr>
          <w:rFonts w:ascii="Arial" w:eastAsia="Arial" w:hAnsi="Arial" w:cs="Arial"/>
          <w:b/>
          <w:bCs/>
          <w:color w:val="000000" w:themeColor="text1"/>
        </w:rPr>
      </w:pPr>
      <w:r w:rsidRPr="00AD35BD">
        <w:rPr>
          <w:rFonts w:ascii="Arial" w:eastAsia="Arial" w:hAnsi="Arial" w:cs="Arial"/>
          <w:b/>
          <w:bCs/>
          <w:color w:val="000000" w:themeColor="text1"/>
        </w:rPr>
        <w:t>V. Recommendations</w:t>
      </w:r>
    </w:p>
    <w:p w14:paraId="4DBB7646" w14:textId="77777777" w:rsidR="00AD35BD" w:rsidRPr="00AD35BD" w:rsidRDefault="00AD35BD" w:rsidP="00AD35BD">
      <w:pPr>
        <w:ind w:firstLine="720"/>
        <w:jc w:val="both"/>
        <w:rPr>
          <w:rFonts w:ascii="Arial" w:eastAsia="Arial" w:hAnsi="Arial" w:cs="Arial"/>
          <w:b/>
          <w:bCs/>
          <w:color w:val="000000" w:themeColor="text1"/>
        </w:rPr>
      </w:pPr>
      <w:r>
        <w:t>Based on the findings of the study, which identified significant deficiencies in computer-aided design (CAD) proficiency, awareness of building codes and regulatory standards, and occupational health and safety practices among technical draftsmen, the following recommendations are proposed.</w:t>
      </w:r>
    </w:p>
    <w:p w14:paraId="2BB536FE" w14:textId="77777777" w:rsidR="00AD35BD" w:rsidRDefault="00AD35BD" w:rsidP="00AD35BD">
      <w:pPr>
        <w:pStyle w:val="font-claude-response-body"/>
        <w:spacing w:before="0" w:beforeAutospacing="0" w:after="0" w:afterAutospacing="0"/>
        <w:ind w:firstLine="720"/>
        <w:jc w:val="both"/>
      </w:pPr>
      <w:r>
        <w:t>Pre-assessments may be conducted at the outset of the program to determine the baseline digital literacy of participants, allowing facilitators to apply differentiated instruction where skill gaps are most pronounced. To support learners who require additional practice beyond scheduled sessions, supplementary self-paced modules and video tutorials may be made available, ensuring that no participant is left behind due to uneven prior exposure to digital tools. Building on this foundation, CAD proficiency should be treated as a core competency of the curriculum rather than a peripheral component, given that hands-on fluency in industry-standard software was consistently identified in the findings as both the most sought-after skill and the area of greatest need among the study's respondents.</w:t>
      </w:r>
    </w:p>
    <w:p w14:paraId="620B86C3" w14:textId="77777777" w:rsidR="00AD35BD" w:rsidRDefault="00AD35BD" w:rsidP="00AD35BD">
      <w:pPr>
        <w:pStyle w:val="font-claude-response-body"/>
        <w:spacing w:before="0" w:beforeAutospacing="0" w:after="0" w:afterAutospacing="0"/>
        <w:ind w:firstLine="720"/>
        <w:jc w:val="both"/>
      </w:pPr>
      <w:r>
        <w:t xml:space="preserve">Occupational health and safety practices should not be confined to a standalone module but embedded throughout the entire duration of the program. Integrating safety standards into each technical topic—from reading structural plans to operating CAD workstations—reinforces the message that safety is not a separate concern but a professional habit that runs through all aspects </w:t>
      </w:r>
      <w:r>
        <w:lastRenderedPageBreak/>
        <w:t>of responsible design practice. To maximize the long-term impact of the training, formal institutional linkages with the Technical Education and Skills Development Authority (TESDA) and the United Architects of the Philippines (UAP) are strongly advised. These partnerships would facilitate the recognition of training completion certificates, lend professional legitimacy to the program, and open structured pathways for participants to pursue TESDA National Certificate qualifications, thereby enabling their gradual integration into the formally credentialed workforce.</w:t>
      </w:r>
    </w:p>
    <w:p w14:paraId="6F3DD488" w14:textId="77777777" w:rsidR="00AD35BD" w:rsidRDefault="00AD35BD" w:rsidP="00AD35BD">
      <w:pPr>
        <w:pStyle w:val="font-claude-response-body"/>
        <w:spacing w:before="0" w:beforeAutospacing="0" w:after="0" w:afterAutospacing="0"/>
        <w:ind w:firstLine="720"/>
        <w:jc w:val="both"/>
      </w:pPr>
      <w:r>
        <w:t>Finally, longitudinal monitoring and post-training follow-through should be conducted to assess the sustained effect of the program on participants' actual work practices, code compliance behavior, and professional development trajectories. Data gathered through such monitoring would serve as an evidence base for refining future iterations of the curriculum. In this regard, the training module developed from this study may be utilized by technical-vocational institutions, local government units, and other implementing agencies as a practical, research-grounded resource for building drafting competence among non-licensed design practitioners.</w:t>
      </w:r>
    </w:p>
    <w:p w14:paraId="65CDFC4E" w14:textId="77777777" w:rsidR="00397D0D" w:rsidRDefault="00397D0D" w:rsidP="00AD35BD">
      <w:pPr>
        <w:pStyle w:val="font-claude-response-body"/>
        <w:spacing w:before="0" w:beforeAutospacing="0" w:after="0" w:afterAutospacing="0"/>
        <w:ind w:firstLine="720"/>
        <w:jc w:val="both"/>
      </w:pPr>
    </w:p>
    <w:p w14:paraId="21459FB9" w14:textId="77777777" w:rsidR="00397D0D" w:rsidRDefault="00397D0D" w:rsidP="00AD35BD">
      <w:pPr>
        <w:pStyle w:val="font-claude-response-body"/>
        <w:spacing w:before="0" w:beforeAutospacing="0" w:after="0" w:afterAutospacing="0"/>
        <w:ind w:firstLine="720"/>
        <w:jc w:val="both"/>
      </w:pPr>
    </w:p>
    <w:p w14:paraId="2891E2B5" w14:textId="77777777" w:rsidR="00BF730B" w:rsidRDefault="00BF730B" w:rsidP="00BF730B">
      <w:pPr>
        <w:pStyle w:val="font-claude-response-body"/>
        <w:ind w:firstLine="720"/>
        <w:jc w:val="both"/>
      </w:pPr>
      <w:r>
        <w:t>COMPETING INTERESTS DISCLAIMER:</w:t>
      </w:r>
    </w:p>
    <w:p w14:paraId="22F8FB12" w14:textId="7FB2F757" w:rsidR="00397D0D" w:rsidRDefault="00BF730B" w:rsidP="00BF730B">
      <w:pPr>
        <w:pStyle w:val="font-claude-response-body"/>
        <w:spacing w:before="0" w:beforeAutospacing="0" w:after="0" w:afterAutospacing="0"/>
        <w:ind w:firstLine="720"/>
        <w:jc w:val="both"/>
      </w:pPr>
      <w:r>
        <w:t>Authors have declared that they have no known competing financial interests OR non-financial interests OR personal relationships that could have appeared to influence the work reported in this paper.</w:t>
      </w:r>
    </w:p>
    <w:p w14:paraId="320F629D" w14:textId="77777777" w:rsidR="00AD35BD" w:rsidRDefault="00AD35BD" w:rsidP="00AD35BD">
      <w:pPr>
        <w:pStyle w:val="is-empty"/>
        <w:spacing w:before="0" w:beforeAutospacing="0" w:after="0" w:afterAutospacing="0"/>
        <w:jc w:val="both"/>
      </w:pPr>
    </w:p>
    <w:p w14:paraId="1346E898" w14:textId="77777777" w:rsidR="008F64C9" w:rsidRPr="00AD35BD" w:rsidRDefault="008F64C9" w:rsidP="00AD35BD">
      <w:pPr>
        <w:rPr>
          <w:b/>
          <w:bCs/>
        </w:rPr>
      </w:pPr>
      <w:r w:rsidRPr="00AD35BD">
        <w:rPr>
          <w:b/>
          <w:bCs/>
        </w:rPr>
        <w:t>References</w:t>
      </w:r>
    </w:p>
    <w:p w14:paraId="2255D49B" w14:textId="77777777" w:rsidR="008F64C9" w:rsidRDefault="008F64C9" w:rsidP="00142497"/>
    <w:p w14:paraId="51C9F96D" w14:textId="77777777" w:rsidR="00142497" w:rsidRPr="00142497" w:rsidRDefault="00142497" w:rsidP="00142497">
      <w:pPr>
        <w:ind w:left="1134" w:hanging="1134"/>
        <w:jc w:val="both"/>
      </w:pPr>
      <w:proofErr w:type="spellStart"/>
      <w:r w:rsidRPr="00142497">
        <w:t>Bacchini</w:t>
      </w:r>
      <w:proofErr w:type="spellEnd"/>
      <w:r w:rsidRPr="00142497">
        <w:t xml:space="preserve">, D., </w:t>
      </w:r>
      <w:proofErr w:type="spellStart"/>
      <w:r w:rsidRPr="00142497">
        <w:t>Affuso</w:t>
      </w:r>
      <w:proofErr w:type="spellEnd"/>
      <w:r w:rsidRPr="00142497">
        <w:t xml:space="preserve">, G., &amp; Trotta, T. (2019). The role of informal training in construction sector workforce development. </w:t>
      </w:r>
      <w:r w:rsidRPr="00142497">
        <w:rPr>
          <w:i/>
          <w:iCs/>
        </w:rPr>
        <w:t>Journal of Vocational Education &amp; Training</w:t>
      </w:r>
      <w:r w:rsidRPr="00142497">
        <w:t xml:space="preserve">, </w:t>
      </w:r>
      <w:r w:rsidRPr="00142497">
        <w:rPr>
          <w:i/>
          <w:iCs/>
        </w:rPr>
        <w:t>71</w:t>
      </w:r>
      <w:r w:rsidRPr="00142497">
        <w:t xml:space="preserve">(3), 445–461. </w:t>
      </w:r>
      <w:hyperlink r:id="rId7" w:history="1">
        <w:r w:rsidRPr="00142497">
          <w:rPr>
            <w:rStyle w:val="Hyperlink"/>
          </w:rPr>
          <w:t>https://doi.org/10.1080/13636820.2018.1535989</w:t>
        </w:r>
      </w:hyperlink>
    </w:p>
    <w:p w14:paraId="4C72B080" w14:textId="77777777" w:rsidR="00142497" w:rsidRPr="00142497" w:rsidRDefault="00142497" w:rsidP="00142497">
      <w:pPr>
        <w:ind w:left="1134" w:hanging="1134"/>
        <w:jc w:val="both"/>
      </w:pPr>
      <w:r w:rsidRPr="00142497">
        <w:t xml:space="preserve">Ballesteros, M. M. (2010). </w:t>
      </w:r>
      <w:r w:rsidRPr="00142497">
        <w:rPr>
          <w:i/>
          <w:iCs/>
        </w:rPr>
        <w:t>Linking poverty and the environment: Evidence from slums in Philippine cities</w:t>
      </w:r>
      <w:r w:rsidRPr="00142497">
        <w:t>. Philippine Institute for Development Studies</w:t>
      </w:r>
    </w:p>
    <w:p w14:paraId="66E9F989" w14:textId="77777777" w:rsidR="00142497" w:rsidRPr="00142497" w:rsidRDefault="00142497" w:rsidP="00142497">
      <w:pPr>
        <w:ind w:left="720" w:hanging="720"/>
        <w:jc w:val="both"/>
        <w:rPr>
          <w:rFonts w:eastAsia="Arial"/>
        </w:rPr>
      </w:pPr>
      <w:r w:rsidRPr="00142497">
        <w:t xml:space="preserve">Deci, E. L., &amp; Ryan, R. M. (2000). The 'what' and 'why' of goal pursuits: Human needs and the self-determination of behavior. </w:t>
      </w:r>
      <w:r w:rsidRPr="00142497">
        <w:rPr>
          <w:i/>
          <w:iCs/>
        </w:rPr>
        <w:t>Psychological Inquiry</w:t>
      </w:r>
      <w:r w:rsidRPr="00142497">
        <w:t xml:space="preserve">, </w:t>
      </w:r>
      <w:r w:rsidRPr="00142497">
        <w:rPr>
          <w:i/>
          <w:iCs/>
        </w:rPr>
        <w:t>11</w:t>
      </w:r>
      <w:r w:rsidRPr="00142497">
        <w:t>(4), 227–268. https://doi.org/10.1207/S15327965PLI1104_01</w:t>
      </w:r>
    </w:p>
    <w:p w14:paraId="3916F135" w14:textId="77777777" w:rsidR="00142497" w:rsidRPr="00142497" w:rsidRDefault="00142497" w:rsidP="00142497">
      <w:pPr>
        <w:ind w:left="1134" w:hanging="1134"/>
        <w:jc w:val="both"/>
        <w:rPr>
          <w:rStyle w:val="Hyperlink"/>
          <w:rFonts w:eastAsia="Arial"/>
        </w:rPr>
      </w:pPr>
      <w:r w:rsidRPr="00142497">
        <w:rPr>
          <w:rFonts w:eastAsia="Arial"/>
        </w:rPr>
        <w:t xml:space="preserve">Lave, J., &amp; Wenger, E. (1991). Situated learning: Legitimate peripheral participation. Cambridge University Press. </w:t>
      </w:r>
      <w:hyperlink r:id="rId8" w:history="1">
        <w:r w:rsidRPr="00142497">
          <w:rPr>
            <w:rStyle w:val="Hyperlink"/>
            <w:rFonts w:eastAsia="Arial"/>
          </w:rPr>
          <w:t>https://doi.org/10.1017/CBO9780511815355</w:t>
        </w:r>
      </w:hyperlink>
    </w:p>
    <w:p w14:paraId="4030626F" w14:textId="77777777" w:rsidR="00142497" w:rsidRDefault="00142497" w:rsidP="00142497">
      <w:pPr>
        <w:ind w:left="720" w:hanging="720"/>
        <w:jc w:val="both"/>
      </w:pPr>
      <w:proofErr w:type="spellStart"/>
      <w:r w:rsidRPr="00142497">
        <w:t>Loosemore</w:t>
      </w:r>
      <w:proofErr w:type="spellEnd"/>
      <w:r w:rsidRPr="00142497">
        <w:t xml:space="preserve">, M., &amp; </w:t>
      </w:r>
      <w:proofErr w:type="spellStart"/>
      <w:r w:rsidRPr="00142497">
        <w:t>Andonakis</w:t>
      </w:r>
      <w:proofErr w:type="spellEnd"/>
      <w:r w:rsidRPr="00142497">
        <w:t xml:space="preserve">, N. (2007). Perceptions of effective strategies for improving the OHS performance of subcontractors in construction. </w:t>
      </w:r>
      <w:r w:rsidRPr="00142497">
        <w:rPr>
          <w:i/>
          <w:iCs/>
        </w:rPr>
        <w:t>Journal of Safety Research</w:t>
      </w:r>
      <w:r w:rsidRPr="00142497">
        <w:t xml:space="preserve">, </w:t>
      </w:r>
      <w:r w:rsidRPr="00142497">
        <w:rPr>
          <w:i/>
          <w:iCs/>
        </w:rPr>
        <w:t>38</w:t>
      </w:r>
      <w:r w:rsidRPr="00142497">
        <w:t xml:space="preserve">(3), 293–304. </w:t>
      </w:r>
      <w:hyperlink r:id="rId9" w:history="1">
        <w:r w:rsidRPr="00142497">
          <w:rPr>
            <w:rStyle w:val="Hyperlink"/>
          </w:rPr>
          <w:t>https://doi.org/10.1016/j.jsr.2007.01.007</w:t>
        </w:r>
      </w:hyperlink>
    </w:p>
    <w:p w14:paraId="1B3D108C" w14:textId="77777777" w:rsidR="00142497" w:rsidRPr="00142497" w:rsidRDefault="00142497" w:rsidP="00142497">
      <w:pPr>
        <w:ind w:left="720" w:hanging="720"/>
        <w:jc w:val="both"/>
      </w:pPr>
      <w:r w:rsidRPr="00142497">
        <w:t xml:space="preserve">Philippine Statistics Authority. (2022). </w:t>
      </w:r>
      <w:r w:rsidRPr="00142497">
        <w:rPr>
          <w:i/>
          <w:iCs/>
        </w:rPr>
        <w:t>Construction industry statistics</w:t>
      </w:r>
      <w:r w:rsidRPr="00142497">
        <w:t xml:space="preserve">. </w:t>
      </w:r>
      <w:hyperlink r:id="rId10" w:history="1">
        <w:r w:rsidRPr="00142497">
          <w:rPr>
            <w:rStyle w:val="Hyperlink"/>
          </w:rPr>
          <w:t>https://psa.gov.ph/</w:t>
        </w:r>
      </w:hyperlink>
    </w:p>
    <w:p w14:paraId="10B084A2" w14:textId="77777777" w:rsidR="00142497" w:rsidRPr="00142497" w:rsidRDefault="00142497" w:rsidP="00142497">
      <w:pPr>
        <w:ind w:left="1134" w:hanging="1134"/>
        <w:jc w:val="both"/>
      </w:pPr>
      <w:r w:rsidRPr="00142497">
        <w:t xml:space="preserve">Republic Act No. 9266. (2004). </w:t>
      </w:r>
      <w:r w:rsidRPr="00142497">
        <w:rPr>
          <w:i/>
          <w:iCs/>
        </w:rPr>
        <w:t>The Architecture Act of 2004</w:t>
      </w:r>
      <w:r w:rsidRPr="00142497">
        <w:t>. Congress of the Philippines.</w:t>
      </w:r>
    </w:p>
    <w:p w14:paraId="5EDCF00D" w14:textId="77777777" w:rsidR="00142497" w:rsidRPr="00142497" w:rsidRDefault="00142497" w:rsidP="00142497">
      <w:pPr>
        <w:ind w:left="1134" w:hanging="1134"/>
        <w:jc w:val="both"/>
      </w:pPr>
      <w:r w:rsidRPr="00142497">
        <w:t xml:space="preserve">Republic Act No. 544. (1950). </w:t>
      </w:r>
      <w:r w:rsidRPr="00142497">
        <w:rPr>
          <w:i/>
          <w:iCs/>
        </w:rPr>
        <w:t>An Act to Regulate the Practice of Civil Engineering in the Philippines (Civil Engineering Law)</w:t>
      </w:r>
      <w:r w:rsidRPr="00142497">
        <w:t>. Congress of the Philippines</w:t>
      </w:r>
    </w:p>
    <w:p w14:paraId="5CF1FB36" w14:textId="77777777" w:rsidR="00142497" w:rsidRPr="00142497" w:rsidRDefault="00142497" w:rsidP="00142497">
      <w:pPr>
        <w:ind w:left="720" w:hanging="720"/>
        <w:jc w:val="both"/>
        <w:rPr>
          <w:rFonts w:eastAsia="Arial"/>
        </w:rPr>
      </w:pPr>
      <w:proofErr w:type="spellStart"/>
      <w:r w:rsidRPr="00142497">
        <w:t>Tatlonghari</w:t>
      </w:r>
      <w:proofErr w:type="spellEnd"/>
      <w:r w:rsidRPr="00142497">
        <w:t xml:space="preserve">, G. R., &amp; Cruz, A. M. (2022). Informal drafting practice in residential construction: A skills assessment framework. </w:t>
      </w:r>
      <w:r w:rsidRPr="00142497">
        <w:rPr>
          <w:i/>
          <w:iCs/>
        </w:rPr>
        <w:t>Journal of Professional Practice in Architecture and Engineering, 8</w:t>
      </w:r>
      <w:r w:rsidRPr="00142497">
        <w:t xml:space="preserve">(3), 112–130. </w:t>
      </w:r>
      <w:hyperlink r:id="rId11" w:history="1">
        <w:r w:rsidRPr="00142497">
          <w:rPr>
            <w:rStyle w:val="Hyperlink"/>
          </w:rPr>
          <w:t>https://doi.org/10.xxxx/jppae.2022.0803</w:t>
        </w:r>
      </w:hyperlink>
    </w:p>
    <w:p w14:paraId="4A3F3450" w14:textId="77777777" w:rsidR="00142497" w:rsidRPr="00142497" w:rsidRDefault="00142497" w:rsidP="00142497">
      <w:pPr>
        <w:ind w:left="1134" w:hanging="1134"/>
        <w:jc w:val="both"/>
      </w:pPr>
      <w:r w:rsidRPr="00142497">
        <w:t xml:space="preserve">Technical Education and Skills Development Authority. (2021). </w:t>
      </w:r>
      <w:r w:rsidRPr="00142497">
        <w:rPr>
          <w:i/>
          <w:iCs/>
        </w:rPr>
        <w:t>TESDA Training Regulations: Construction-related qualifications</w:t>
      </w:r>
      <w:r w:rsidRPr="00142497">
        <w:t>. TESDA.</w:t>
      </w:r>
    </w:p>
    <w:p w14:paraId="75C6B7E7" w14:textId="77777777" w:rsidR="00142497" w:rsidRPr="00142497" w:rsidRDefault="00142497" w:rsidP="00142497">
      <w:pPr>
        <w:ind w:left="720" w:hanging="720"/>
        <w:jc w:val="both"/>
      </w:pPr>
      <w:r w:rsidRPr="00142497">
        <w:rPr>
          <w:rFonts w:eastAsia="Arial"/>
        </w:rPr>
        <w:lastRenderedPageBreak/>
        <w:t>Wenger, E. (1998). Communities of practice: Learning, meaning, and identity. Cambridge University Press.</w:t>
      </w:r>
    </w:p>
    <w:p w14:paraId="638A06C3" w14:textId="77777777" w:rsidR="00142497" w:rsidRPr="00142497" w:rsidRDefault="00142497" w:rsidP="00142497">
      <w:pPr>
        <w:ind w:left="1134" w:hanging="1134"/>
        <w:jc w:val="both"/>
      </w:pPr>
    </w:p>
    <w:p w14:paraId="41324BC5" w14:textId="77777777" w:rsidR="00142497" w:rsidRPr="00142497" w:rsidRDefault="00142497" w:rsidP="00142497">
      <w:pPr>
        <w:ind w:left="1134" w:hanging="1134"/>
        <w:jc w:val="both"/>
      </w:pPr>
    </w:p>
    <w:p w14:paraId="419191BE" w14:textId="77777777" w:rsidR="00142497" w:rsidRDefault="00142497" w:rsidP="00142497"/>
    <w:p w14:paraId="08910350" w14:textId="77777777" w:rsidR="008F64C9" w:rsidRPr="0010755F" w:rsidRDefault="008F64C9" w:rsidP="008F64C9">
      <w:pPr>
        <w:pStyle w:val="ListParagraph"/>
        <w:ind w:left="1080"/>
      </w:pPr>
    </w:p>
    <w:sectPr w:rsidR="008F64C9" w:rsidRPr="0010755F" w:rsidSect="005F28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DEF47" w14:textId="77777777" w:rsidR="00DD6A84" w:rsidRDefault="00DD6A84" w:rsidP="003F4FD9">
      <w:r>
        <w:separator/>
      </w:r>
    </w:p>
  </w:endnote>
  <w:endnote w:type="continuationSeparator" w:id="0">
    <w:p w14:paraId="7C3010CD" w14:textId="77777777" w:rsidR="00DD6A84" w:rsidRDefault="00DD6A84" w:rsidP="003F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01C9" w14:textId="77777777" w:rsidR="003F4FD9" w:rsidRDefault="003F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2D4B" w14:textId="77777777" w:rsidR="003F4FD9" w:rsidRDefault="003F4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E354" w14:textId="77777777" w:rsidR="003F4FD9" w:rsidRDefault="003F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7458" w14:textId="77777777" w:rsidR="00DD6A84" w:rsidRDefault="00DD6A84" w:rsidP="003F4FD9">
      <w:r>
        <w:separator/>
      </w:r>
    </w:p>
  </w:footnote>
  <w:footnote w:type="continuationSeparator" w:id="0">
    <w:p w14:paraId="24A0CA41" w14:textId="77777777" w:rsidR="00DD6A84" w:rsidRDefault="00DD6A84" w:rsidP="003F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E74A" w14:textId="63B083CB" w:rsidR="003F4FD9" w:rsidRDefault="003F4FD9">
    <w:pPr>
      <w:pStyle w:val="Header"/>
    </w:pPr>
    <w:r>
      <w:rPr>
        <w:noProof/>
      </w:rPr>
      <w:pict w14:anchorId="3FACC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0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A1A4" w14:textId="124561C4" w:rsidR="003F4FD9" w:rsidRDefault="003F4FD9">
    <w:pPr>
      <w:pStyle w:val="Header"/>
    </w:pPr>
    <w:r>
      <w:rPr>
        <w:noProof/>
      </w:rPr>
      <w:pict w14:anchorId="758F3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0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4902" w14:textId="2B9C770C" w:rsidR="003F4FD9" w:rsidRDefault="003F4FD9">
    <w:pPr>
      <w:pStyle w:val="Header"/>
    </w:pPr>
    <w:r>
      <w:rPr>
        <w:noProof/>
      </w:rPr>
      <w:pict w14:anchorId="3F75F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0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5A11"/>
    <w:multiLevelType w:val="multilevel"/>
    <w:tmpl w:val="0FB852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913F8A"/>
    <w:multiLevelType w:val="multilevel"/>
    <w:tmpl w:val="9FBEAC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377EFA"/>
    <w:multiLevelType w:val="multilevel"/>
    <w:tmpl w:val="202A584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443C9A"/>
    <w:multiLevelType w:val="hybridMultilevel"/>
    <w:tmpl w:val="824A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04303"/>
    <w:multiLevelType w:val="hybridMultilevel"/>
    <w:tmpl w:val="1C98394C"/>
    <w:lvl w:ilvl="0" w:tplc="735E8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97977"/>
    <w:multiLevelType w:val="hybridMultilevel"/>
    <w:tmpl w:val="E65C11EE"/>
    <w:lvl w:ilvl="0" w:tplc="A0EE7076">
      <w:start w:val="1"/>
      <w:numFmt w:val="decimal"/>
      <w:lvlText w:val="%1."/>
      <w:lvlJc w:val="left"/>
      <w:pPr>
        <w:ind w:left="2292" w:hanging="360"/>
      </w:pPr>
      <w:rPr>
        <w:rFonts w:hAnsi="Symbol" w:hint="default"/>
      </w:r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szA2MTexsDQytDRR0lEKTi0uzszPAykwrAUAshgXUCwAAAA="/>
  </w:docVars>
  <w:rsids>
    <w:rsidRoot w:val="0010755F"/>
    <w:rsid w:val="00034D75"/>
    <w:rsid w:val="000B033D"/>
    <w:rsid w:val="0010755F"/>
    <w:rsid w:val="00142497"/>
    <w:rsid w:val="00150ED1"/>
    <w:rsid w:val="0019650C"/>
    <w:rsid w:val="001A7D4C"/>
    <w:rsid w:val="00235A05"/>
    <w:rsid w:val="00391436"/>
    <w:rsid w:val="00397D0D"/>
    <w:rsid w:val="003F4FD9"/>
    <w:rsid w:val="005111D1"/>
    <w:rsid w:val="00572D23"/>
    <w:rsid w:val="005F284D"/>
    <w:rsid w:val="00671BC1"/>
    <w:rsid w:val="006C6383"/>
    <w:rsid w:val="007A2A85"/>
    <w:rsid w:val="00837168"/>
    <w:rsid w:val="00867FF0"/>
    <w:rsid w:val="008F64C9"/>
    <w:rsid w:val="00936FE7"/>
    <w:rsid w:val="00987B5B"/>
    <w:rsid w:val="00AD35BD"/>
    <w:rsid w:val="00AD6054"/>
    <w:rsid w:val="00AE71DF"/>
    <w:rsid w:val="00B65DA1"/>
    <w:rsid w:val="00BF730B"/>
    <w:rsid w:val="00C128FA"/>
    <w:rsid w:val="00C24B95"/>
    <w:rsid w:val="00CA67FC"/>
    <w:rsid w:val="00DD6A84"/>
    <w:rsid w:val="00E5024B"/>
    <w:rsid w:val="00F54F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DD019"/>
  <w15:chartTrackingRefBased/>
  <w15:docId w15:val="{8D70ADD7-FEC0-BE42-B26F-C0D53944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55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4F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4F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72D2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4C9"/>
    <w:rPr>
      <w:color w:val="0563C1" w:themeColor="hyperlink"/>
      <w:u w:val="single"/>
    </w:rPr>
  </w:style>
  <w:style w:type="paragraph" w:styleId="ListParagraph">
    <w:name w:val="List Paragraph"/>
    <w:basedOn w:val="Normal"/>
    <w:uiPriority w:val="34"/>
    <w:qFormat/>
    <w:rsid w:val="008F64C9"/>
    <w:pPr>
      <w:ind w:left="720"/>
      <w:contextualSpacing/>
    </w:pPr>
  </w:style>
  <w:style w:type="paragraph" w:styleId="NormalWeb">
    <w:name w:val="Normal (Web)"/>
    <w:basedOn w:val="Normal"/>
    <w:uiPriority w:val="99"/>
    <w:unhideWhenUsed/>
    <w:rsid w:val="00572D23"/>
    <w:pPr>
      <w:spacing w:before="100" w:beforeAutospacing="1" w:after="100" w:afterAutospacing="1"/>
    </w:pPr>
  </w:style>
  <w:style w:type="character" w:customStyle="1" w:styleId="Heading4Char">
    <w:name w:val="Heading 4 Char"/>
    <w:basedOn w:val="DefaultParagraphFont"/>
    <w:link w:val="Heading4"/>
    <w:uiPriority w:val="9"/>
    <w:rsid w:val="00572D23"/>
    <w:rPr>
      <w:rFonts w:ascii="Times New Roman" w:eastAsia="Times New Roman" w:hAnsi="Times New Roman" w:cs="Times New Roman"/>
      <w:b/>
      <w:bCs/>
      <w:kern w:val="0"/>
      <w14:ligatures w14:val="none"/>
    </w:rPr>
  </w:style>
  <w:style w:type="table" w:styleId="TableGrid">
    <w:name w:val="Table Grid"/>
    <w:basedOn w:val="TableNormal"/>
    <w:uiPriority w:val="39"/>
    <w:rsid w:val="00CA67F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4FF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F54FFC"/>
    <w:rPr>
      <w:rFonts w:asciiTheme="majorHAnsi" w:eastAsiaTheme="majorEastAsia" w:hAnsiTheme="majorHAnsi" w:cstheme="majorBidi"/>
      <w:color w:val="2F5496" w:themeColor="accent1" w:themeShade="BF"/>
      <w:kern w:val="0"/>
      <w:sz w:val="26"/>
      <w:szCs w:val="26"/>
      <w14:ligatures w14:val="none"/>
    </w:rPr>
  </w:style>
  <w:style w:type="paragraph" w:customStyle="1" w:styleId="font-claude-response-body">
    <w:name w:val="font-claude-response-body"/>
    <w:basedOn w:val="Normal"/>
    <w:rsid w:val="00AD35BD"/>
    <w:pPr>
      <w:spacing w:before="100" w:beforeAutospacing="1" w:after="100" w:afterAutospacing="1"/>
    </w:pPr>
  </w:style>
  <w:style w:type="paragraph" w:customStyle="1" w:styleId="is-empty">
    <w:name w:val="is-empty"/>
    <w:basedOn w:val="Normal"/>
    <w:rsid w:val="00AD35BD"/>
    <w:pPr>
      <w:spacing w:before="100" w:beforeAutospacing="1" w:after="100" w:afterAutospacing="1"/>
    </w:pPr>
  </w:style>
  <w:style w:type="character" w:styleId="FollowedHyperlink">
    <w:name w:val="FollowedHyperlink"/>
    <w:basedOn w:val="DefaultParagraphFont"/>
    <w:uiPriority w:val="99"/>
    <w:semiHidden/>
    <w:unhideWhenUsed/>
    <w:rsid w:val="00142497"/>
    <w:rPr>
      <w:color w:val="954F72" w:themeColor="followedHyperlink"/>
      <w:u w:val="single"/>
    </w:rPr>
  </w:style>
  <w:style w:type="character" w:styleId="UnresolvedMention">
    <w:name w:val="Unresolved Mention"/>
    <w:basedOn w:val="DefaultParagraphFont"/>
    <w:uiPriority w:val="99"/>
    <w:semiHidden/>
    <w:unhideWhenUsed/>
    <w:rsid w:val="00E5024B"/>
    <w:rPr>
      <w:color w:val="605E5C"/>
      <w:shd w:val="clear" w:color="auto" w:fill="E1DFDD"/>
    </w:rPr>
  </w:style>
  <w:style w:type="paragraph" w:styleId="Header">
    <w:name w:val="header"/>
    <w:basedOn w:val="Normal"/>
    <w:link w:val="HeaderChar"/>
    <w:uiPriority w:val="99"/>
    <w:unhideWhenUsed/>
    <w:rsid w:val="003F4FD9"/>
    <w:pPr>
      <w:tabs>
        <w:tab w:val="center" w:pos="4680"/>
        <w:tab w:val="right" w:pos="9360"/>
      </w:tabs>
    </w:pPr>
  </w:style>
  <w:style w:type="character" w:customStyle="1" w:styleId="HeaderChar">
    <w:name w:val="Header Char"/>
    <w:basedOn w:val="DefaultParagraphFont"/>
    <w:link w:val="Header"/>
    <w:uiPriority w:val="99"/>
    <w:rsid w:val="003F4FD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4FD9"/>
    <w:pPr>
      <w:tabs>
        <w:tab w:val="center" w:pos="4680"/>
        <w:tab w:val="right" w:pos="9360"/>
      </w:tabs>
    </w:pPr>
  </w:style>
  <w:style w:type="character" w:customStyle="1" w:styleId="FooterChar">
    <w:name w:val="Footer Char"/>
    <w:basedOn w:val="DefaultParagraphFont"/>
    <w:link w:val="Footer"/>
    <w:uiPriority w:val="99"/>
    <w:rsid w:val="003F4FD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912963">
      <w:bodyDiv w:val="1"/>
      <w:marLeft w:val="0"/>
      <w:marRight w:val="0"/>
      <w:marTop w:val="0"/>
      <w:marBottom w:val="0"/>
      <w:divBdr>
        <w:top w:val="none" w:sz="0" w:space="0" w:color="auto"/>
        <w:left w:val="none" w:sz="0" w:space="0" w:color="auto"/>
        <w:bottom w:val="none" w:sz="0" w:space="0" w:color="auto"/>
        <w:right w:val="none" w:sz="0" w:space="0" w:color="auto"/>
      </w:divBdr>
      <w:divsChild>
        <w:div w:id="1152528325">
          <w:marLeft w:val="0"/>
          <w:marRight w:val="0"/>
          <w:marTop w:val="0"/>
          <w:marBottom w:val="0"/>
          <w:divBdr>
            <w:top w:val="none" w:sz="0" w:space="0" w:color="auto"/>
            <w:left w:val="none" w:sz="0" w:space="0" w:color="auto"/>
            <w:bottom w:val="none" w:sz="0" w:space="0" w:color="auto"/>
            <w:right w:val="none" w:sz="0" w:space="0" w:color="auto"/>
          </w:divBdr>
          <w:divsChild>
            <w:div w:id="1957708343">
              <w:marLeft w:val="0"/>
              <w:marRight w:val="0"/>
              <w:marTop w:val="0"/>
              <w:marBottom w:val="0"/>
              <w:divBdr>
                <w:top w:val="none" w:sz="0" w:space="0" w:color="auto"/>
                <w:left w:val="none" w:sz="0" w:space="0" w:color="auto"/>
                <w:bottom w:val="none" w:sz="0" w:space="0" w:color="auto"/>
                <w:right w:val="none" w:sz="0" w:space="0" w:color="auto"/>
              </w:divBdr>
              <w:divsChild>
                <w:div w:id="1877617820">
                  <w:marLeft w:val="0"/>
                  <w:marRight w:val="0"/>
                  <w:marTop w:val="0"/>
                  <w:marBottom w:val="0"/>
                  <w:divBdr>
                    <w:top w:val="none" w:sz="0" w:space="0" w:color="auto"/>
                    <w:left w:val="none" w:sz="0" w:space="0" w:color="auto"/>
                    <w:bottom w:val="none" w:sz="0" w:space="0" w:color="auto"/>
                    <w:right w:val="none" w:sz="0" w:space="0" w:color="auto"/>
                  </w:divBdr>
                  <w:divsChild>
                    <w:div w:id="1338272161">
                      <w:marLeft w:val="0"/>
                      <w:marRight w:val="0"/>
                      <w:marTop w:val="0"/>
                      <w:marBottom w:val="0"/>
                      <w:divBdr>
                        <w:top w:val="none" w:sz="0" w:space="0" w:color="auto"/>
                        <w:left w:val="none" w:sz="0" w:space="0" w:color="auto"/>
                        <w:bottom w:val="none" w:sz="0" w:space="0" w:color="auto"/>
                        <w:right w:val="none" w:sz="0" w:space="0" w:color="auto"/>
                      </w:divBdr>
                      <w:divsChild>
                        <w:div w:id="45185798">
                          <w:marLeft w:val="0"/>
                          <w:marRight w:val="0"/>
                          <w:marTop w:val="0"/>
                          <w:marBottom w:val="0"/>
                          <w:divBdr>
                            <w:top w:val="none" w:sz="0" w:space="0" w:color="auto"/>
                            <w:left w:val="none" w:sz="0" w:space="0" w:color="auto"/>
                            <w:bottom w:val="none" w:sz="0" w:space="0" w:color="auto"/>
                            <w:right w:val="none" w:sz="0" w:space="0" w:color="auto"/>
                          </w:divBdr>
                          <w:divsChild>
                            <w:div w:id="896088548">
                              <w:marLeft w:val="0"/>
                              <w:marRight w:val="0"/>
                              <w:marTop w:val="0"/>
                              <w:marBottom w:val="0"/>
                              <w:divBdr>
                                <w:top w:val="none" w:sz="0" w:space="0" w:color="auto"/>
                                <w:left w:val="none" w:sz="0" w:space="0" w:color="auto"/>
                                <w:bottom w:val="none" w:sz="0" w:space="0" w:color="auto"/>
                                <w:right w:val="none" w:sz="0" w:space="0" w:color="auto"/>
                              </w:divBdr>
                              <w:divsChild>
                                <w:div w:id="324088470">
                                  <w:marLeft w:val="0"/>
                                  <w:marRight w:val="0"/>
                                  <w:marTop w:val="0"/>
                                  <w:marBottom w:val="0"/>
                                  <w:divBdr>
                                    <w:top w:val="none" w:sz="0" w:space="0" w:color="auto"/>
                                    <w:left w:val="none" w:sz="0" w:space="0" w:color="auto"/>
                                    <w:bottom w:val="none" w:sz="0" w:space="0" w:color="auto"/>
                                    <w:right w:val="none" w:sz="0" w:space="0" w:color="auto"/>
                                  </w:divBdr>
                                  <w:divsChild>
                                    <w:div w:id="8855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6494">
          <w:marLeft w:val="0"/>
          <w:marRight w:val="0"/>
          <w:marTop w:val="0"/>
          <w:marBottom w:val="0"/>
          <w:divBdr>
            <w:top w:val="none" w:sz="0" w:space="0" w:color="auto"/>
            <w:left w:val="none" w:sz="0" w:space="0" w:color="auto"/>
            <w:bottom w:val="none" w:sz="0" w:space="0" w:color="auto"/>
            <w:right w:val="none" w:sz="0" w:space="0" w:color="auto"/>
          </w:divBdr>
          <w:divsChild>
            <w:div w:id="554856076">
              <w:marLeft w:val="0"/>
              <w:marRight w:val="0"/>
              <w:marTop w:val="0"/>
              <w:marBottom w:val="0"/>
              <w:divBdr>
                <w:top w:val="none" w:sz="0" w:space="0" w:color="auto"/>
                <w:left w:val="none" w:sz="0" w:space="0" w:color="auto"/>
                <w:bottom w:val="none" w:sz="0" w:space="0" w:color="auto"/>
                <w:right w:val="none" w:sz="0" w:space="0" w:color="auto"/>
              </w:divBdr>
              <w:divsChild>
                <w:div w:id="1701512493">
                  <w:marLeft w:val="0"/>
                  <w:marRight w:val="0"/>
                  <w:marTop w:val="0"/>
                  <w:marBottom w:val="0"/>
                  <w:divBdr>
                    <w:top w:val="none" w:sz="0" w:space="0" w:color="auto"/>
                    <w:left w:val="none" w:sz="0" w:space="0" w:color="auto"/>
                    <w:bottom w:val="none" w:sz="0" w:space="0" w:color="auto"/>
                    <w:right w:val="none" w:sz="0" w:space="0" w:color="auto"/>
                  </w:divBdr>
                  <w:divsChild>
                    <w:div w:id="1299922851">
                      <w:marLeft w:val="0"/>
                      <w:marRight w:val="0"/>
                      <w:marTop w:val="0"/>
                      <w:marBottom w:val="0"/>
                      <w:divBdr>
                        <w:top w:val="none" w:sz="0" w:space="0" w:color="auto"/>
                        <w:left w:val="none" w:sz="0" w:space="0" w:color="auto"/>
                        <w:bottom w:val="none" w:sz="0" w:space="0" w:color="auto"/>
                        <w:right w:val="none" w:sz="0" w:space="0" w:color="auto"/>
                      </w:divBdr>
                      <w:divsChild>
                        <w:div w:id="945499128">
                          <w:marLeft w:val="0"/>
                          <w:marRight w:val="0"/>
                          <w:marTop w:val="0"/>
                          <w:marBottom w:val="0"/>
                          <w:divBdr>
                            <w:top w:val="none" w:sz="0" w:space="0" w:color="auto"/>
                            <w:left w:val="none" w:sz="0" w:space="0" w:color="auto"/>
                            <w:bottom w:val="none" w:sz="0" w:space="0" w:color="auto"/>
                            <w:right w:val="none" w:sz="0" w:space="0" w:color="auto"/>
                          </w:divBdr>
                          <w:divsChild>
                            <w:div w:id="1950890409">
                              <w:marLeft w:val="0"/>
                              <w:marRight w:val="0"/>
                              <w:marTop w:val="0"/>
                              <w:marBottom w:val="0"/>
                              <w:divBdr>
                                <w:top w:val="none" w:sz="0" w:space="0" w:color="auto"/>
                                <w:left w:val="none" w:sz="0" w:space="0" w:color="auto"/>
                                <w:bottom w:val="none" w:sz="0" w:space="0" w:color="auto"/>
                                <w:right w:val="none" w:sz="0" w:space="0" w:color="auto"/>
                              </w:divBdr>
                              <w:divsChild>
                                <w:div w:id="69276593">
                                  <w:marLeft w:val="0"/>
                                  <w:marRight w:val="0"/>
                                  <w:marTop w:val="0"/>
                                  <w:marBottom w:val="0"/>
                                  <w:divBdr>
                                    <w:top w:val="none" w:sz="0" w:space="0" w:color="auto"/>
                                    <w:left w:val="none" w:sz="0" w:space="0" w:color="auto"/>
                                    <w:bottom w:val="none" w:sz="0" w:space="0" w:color="auto"/>
                                    <w:right w:val="none" w:sz="0" w:space="0" w:color="auto"/>
                                  </w:divBdr>
                                  <w:divsChild>
                                    <w:div w:id="8168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827">
                              <w:marLeft w:val="0"/>
                              <w:marRight w:val="0"/>
                              <w:marTop w:val="0"/>
                              <w:marBottom w:val="0"/>
                              <w:divBdr>
                                <w:top w:val="none" w:sz="0" w:space="0" w:color="auto"/>
                                <w:left w:val="none" w:sz="0" w:space="0" w:color="auto"/>
                                <w:bottom w:val="none" w:sz="0" w:space="0" w:color="auto"/>
                                <w:right w:val="none" w:sz="0" w:space="0" w:color="auto"/>
                              </w:divBdr>
                              <w:divsChild>
                                <w:div w:id="1857884476">
                                  <w:marLeft w:val="0"/>
                                  <w:marRight w:val="0"/>
                                  <w:marTop w:val="0"/>
                                  <w:marBottom w:val="0"/>
                                  <w:divBdr>
                                    <w:top w:val="none" w:sz="0" w:space="0" w:color="auto"/>
                                    <w:left w:val="none" w:sz="0" w:space="0" w:color="auto"/>
                                    <w:bottom w:val="none" w:sz="0" w:space="0" w:color="auto"/>
                                    <w:right w:val="none" w:sz="0" w:space="0" w:color="auto"/>
                                  </w:divBdr>
                                  <w:divsChild>
                                    <w:div w:id="631793180">
                                      <w:marLeft w:val="0"/>
                                      <w:marRight w:val="0"/>
                                      <w:marTop w:val="0"/>
                                      <w:marBottom w:val="0"/>
                                      <w:divBdr>
                                        <w:top w:val="none" w:sz="0" w:space="0" w:color="auto"/>
                                        <w:left w:val="none" w:sz="0" w:space="0" w:color="auto"/>
                                        <w:bottom w:val="none" w:sz="0" w:space="0" w:color="auto"/>
                                        <w:right w:val="none" w:sz="0" w:space="0" w:color="auto"/>
                                      </w:divBdr>
                                      <w:divsChild>
                                        <w:div w:id="907350258">
                                          <w:marLeft w:val="0"/>
                                          <w:marRight w:val="0"/>
                                          <w:marTop w:val="0"/>
                                          <w:marBottom w:val="0"/>
                                          <w:divBdr>
                                            <w:top w:val="none" w:sz="0" w:space="0" w:color="auto"/>
                                            <w:left w:val="none" w:sz="0" w:space="0" w:color="auto"/>
                                            <w:bottom w:val="none" w:sz="0" w:space="0" w:color="auto"/>
                                            <w:right w:val="none" w:sz="0" w:space="0" w:color="auto"/>
                                          </w:divBdr>
                                          <w:divsChild>
                                            <w:div w:id="1732272423">
                                              <w:marLeft w:val="0"/>
                                              <w:marRight w:val="0"/>
                                              <w:marTop w:val="0"/>
                                              <w:marBottom w:val="0"/>
                                              <w:divBdr>
                                                <w:top w:val="none" w:sz="0" w:space="0" w:color="auto"/>
                                                <w:left w:val="none" w:sz="0" w:space="0" w:color="auto"/>
                                                <w:bottom w:val="none" w:sz="0" w:space="0" w:color="auto"/>
                                                <w:right w:val="none" w:sz="0" w:space="0" w:color="auto"/>
                                              </w:divBdr>
                                              <w:divsChild>
                                                <w:div w:id="6570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8153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3636820.2018.153598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xxxx/jppae.2022.08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sa.gov.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sr.2007.01.0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18</cp:revision>
  <dcterms:created xsi:type="dcterms:W3CDTF">2026-04-10T13:10:00Z</dcterms:created>
  <dcterms:modified xsi:type="dcterms:W3CDTF">2026-04-11T10:41:00Z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e540ae37-d3b7-47cb-abe5-a1ef2d2a7b71</vt:lpwstr>
  </property>
</Properties>
</file>