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7DA8A163" w:rsidR="00754C9A" w:rsidRPr="001943C7" w:rsidRDefault="001943C7" w:rsidP="00441B6F">
      <w:pPr>
        <w:pStyle w:val="Title"/>
        <w:spacing w:after="0"/>
        <w:jc w:val="both"/>
        <w:rPr>
          <w:rFonts w:ascii="Arial" w:hAnsi="Arial" w:cs="Arial"/>
          <w:sz w:val="28"/>
          <w:szCs w:val="16"/>
          <w:u w:val="single"/>
        </w:rPr>
      </w:pPr>
      <w:r w:rsidRPr="001943C7">
        <w:rPr>
          <w:rFonts w:ascii="Arial" w:hAnsi="Arial" w:cs="Arial"/>
          <w:sz w:val="28"/>
          <w:szCs w:val="16"/>
          <w:u w:val="single"/>
        </w:rPr>
        <w:t>Original Research Article</w:t>
      </w:r>
    </w:p>
    <w:p w14:paraId="0A91C0E6" w14:textId="77777777" w:rsidR="001943C7" w:rsidRDefault="001943C7" w:rsidP="009E612A">
      <w:pPr>
        <w:jc w:val="right"/>
        <w:rPr>
          <w:rFonts w:ascii="Arial" w:hAnsi="Arial" w:cs="Arial"/>
          <w:b/>
          <w:bCs/>
          <w:kern w:val="2"/>
          <w:sz w:val="36"/>
          <w:szCs w:val="36"/>
          <w:lang w:val="en-PH" w:eastAsia="ja-JP"/>
          <w14:ligatures w14:val="standardContextual"/>
        </w:rPr>
      </w:pPr>
      <w:bookmarkStart w:id="0" w:name="_Toc6566"/>
    </w:p>
    <w:p w14:paraId="3F692751" w14:textId="7AD2F86F" w:rsidR="00894080" w:rsidRPr="009E612A" w:rsidRDefault="00894080" w:rsidP="009E612A">
      <w:pPr>
        <w:jc w:val="right"/>
        <w:rPr>
          <w:rFonts w:ascii="Arial" w:hAnsi="Arial" w:cs="Arial"/>
          <w:b/>
          <w:bCs/>
          <w:kern w:val="2"/>
          <w:sz w:val="36"/>
          <w:szCs w:val="36"/>
          <w:lang w:val="en-PH" w:eastAsia="ja-JP"/>
          <w14:ligatures w14:val="standardContextual"/>
        </w:rPr>
      </w:pPr>
      <w:r w:rsidRPr="005845FA">
        <w:rPr>
          <w:rFonts w:ascii="Arial" w:hAnsi="Arial" w:cs="Arial"/>
          <w:b/>
          <w:bCs/>
          <w:kern w:val="2"/>
          <w:sz w:val="36"/>
          <w:szCs w:val="36"/>
          <w:lang w:val="en-PH" w:eastAsia="ja-JP"/>
          <w14:ligatures w14:val="standardContextual"/>
        </w:rPr>
        <w:t xml:space="preserve">The Relationship Between </w:t>
      </w:r>
      <w:bookmarkEnd w:id="0"/>
      <w:r w:rsidR="009E612A">
        <w:rPr>
          <w:rFonts w:ascii="Arial" w:hAnsi="Arial" w:cs="Arial"/>
          <w:b/>
          <w:bCs/>
          <w:kern w:val="2"/>
          <w:sz w:val="36"/>
          <w:szCs w:val="36"/>
          <w:lang w:val="en-PH" w:eastAsia="ja-JP"/>
          <w14:ligatures w14:val="standardContextual"/>
        </w:rPr>
        <w:t xml:space="preserve">Market Competition and Sellers Performance Among Merchandising Businesses in </w:t>
      </w:r>
      <w:proofErr w:type="spellStart"/>
      <w:r w:rsidR="009E612A">
        <w:rPr>
          <w:rFonts w:ascii="Arial" w:hAnsi="Arial" w:cs="Arial"/>
          <w:b/>
          <w:bCs/>
          <w:kern w:val="2"/>
          <w:sz w:val="36"/>
          <w:szCs w:val="36"/>
          <w:lang w:val="en-PH" w:eastAsia="ja-JP"/>
          <w14:ligatures w14:val="standardContextual"/>
        </w:rPr>
        <w:t>Cateel</w:t>
      </w:r>
      <w:proofErr w:type="spellEnd"/>
      <w:r w:rsidR="009E612A">
        <w:rPr>
          <w:rFonts w:ascii="Arial" w:hAnsi="Arial" w:cs="Arial"/>
          <w:b/>
          <w:bCs/>
          <w:kern w:val="2"/>
          <w:sz w:val="36"/>
          <w:szCs w:val="36"/>
          <w:lang w:val="en-PH" w:eastAsia="ja-JP"/>
          <w14:ligatures w14:val="standardContextual"/>
        </w:rPr>
        <w:t>, Davao Oriental</w:t>
      </w:r>
    </w:p>
    <w:p w14:paraId="40161AC7" w14:textId="77777777" w:rsidR="00894080" w:rsidRPr="005845FA" w:rsidRDefault="00894080" w:rsidP="00894080">
      <w:pPr>
        <w:jc w:val="right"/>
        <w:rPr>
          <w:rFonts w:ascii="Arial" w:eastAsia="Arial" w:hAnsi="Arial" w:cs="Arial"/>
          <w:bCs/>
          <w:color w:val="000000"/>
          <w:sz w:val="36"/>
          <w:szCs w:val="36"/>
          <w:lang w:val="en-PH" w:eastAsia="en-PH"/>
        </w:rPr>
      </w:pPr>
    </w:p>
    <w:p w14:paraId="5ADD3C05" w14:textId="77777777" w:rsidR="00790ADA" w:rsidRPr="005845FA" w:rsidRDefault="00790ADA" w:rsidP="000805DD">
      <w:pPr>
        <w:pStyle w:val="Affiliation"/>
        <w:spacing w:after="0" w:line="240" w:lineRule="auto"/>
        <w:rPr>
          <w:rFonts w:ascii="Arial" w:hAnsi="Arial" w:cs="Arial"/>
        </w:rPr>
      </w:pPr>
    </w:p>
    <w:p w14:paraId="7454850C" w14:textId="77777777" w:rsidR="002C57D2" w:rsidRPr="005845FA" w:rsidRDefault="002C57D2" w:rsidP="00441B6F">
      <w:pPr>
        <w:pStyle w:val="Affiliation"/>
        <w:spacing w:after="0" w:line="240" w:lineRule="auto"/>
        <w:jc w:val="both"/>
        <w:rPr>
          <w:rFonts w:ascii="Arial" w:hAnsi="Arial" w:cs="Arial"/>
        </w:rPr>
      </w:pPr>
    </w:p>
    <w:p w14:paraId="69811983" w14:textId="2BF00A0A" w:rsidR="00B01FCD" w:rsidRPr="005845FA" w:rsidRDefault="00472FB9" w:rsidP="00441B6F">
      <w:pPr>
        <w:pStyle w:val="Copyright"/>
        <w:spacing w:after="0" w:line="240" w:lineRule="auto"/>
        <w:jc w:val="both"/>
        <w:rPr>
          <w:rFonts w:ascii="Arial" w:hAnsi="Arial" w:cs="Arial"/>
        </w:rPr>
        <w:sectPr w:rsidR="00B01FCD" w:rsidRPr="005845FA" w:rsidSect="00372B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845FA">
        <w:rPr>
          <w:rFonts w:ascii="Arial" w:hAnsi="Arial" w:cs="Arial"/>
          <w:noProof/>
        </w:rPr>
        <mc:AlternateContent>
          <mc:Choice Requires="wps">
            <w:drawing>
              <wp:inline distT="0" distB="0" distL="0" distR="0" wp14:anchorId="76493919" wp14:editId="7C10CF5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A3B50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sidRPr="005845FA">
        <w:rPr>
          <w:rFonts w:ascii="Arial" w:hAnsi="Arial" w:cs="Arial"/>
        </w:rPr>
        <w:t>.</w:t>
      </w:r>
    </w:p>
    <w:p w14:paraId="18BCB60C" w14:textId="390E9C96" w:rsidR="00B01FCD" w:rsidRPr="005845FA" w:rsidRDefault="00B01FCD" w:rsidP="00441B6F">
      <w:pPr>
        <w:pStyle w:val="AbstHead"/>
        <w:spacing w:after="0"/>
        <w:jc w:val="both"/>
        <w:rPr>
          <w:rFonts w:ascii="Arial" w:hAnsi="Arial" w:cs="Arial"/>
        </w:rPr>
      </w:pPr>
      <w:r w:rsidRPr="005845FA">
        <w:rPr>
          <w:rFonts w:ascii="Arial" w:hAnsi="Arial" w:cs="Arial"/>
        </w:rPr>
        <w:t>ABSTRACT</w:t>
      </w:r>
    </w:p>
    <w:p w14:paraId="1AA09CB7" w14:textId="77777777" w:rsidR="00790ADA" w:rsidRPr="005845F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845FA" w14:paraId="0F23228E" w14:textId="77777777" w:rsidTr="001E44FE">
        <w:tc>
          <w:tcPr>
            <w:tcW w:w="9576" w:type="dxa"/>
            <w:shd w:val="clear" w:color="auto" w:fill="F2F2F2"/>
          </w:tcPr>
          <w:p w14:paraId="72E77B48" w14:textId="77777777" w:rsidR="00245E9B" w:rsidRPr="005845FA" w:rsidRDefault="00245E9B" w:rsidP="00245E9B">
            <w:pPr>
              <w:spacing w:before="240"/>
              <w:jc w:val="both"/>
              <w:rPr>
                <w:rFonts w:ascii="Arial" w:hAnsi="Arial" w:cs="Arial"/>
              </w:rPr>
            </w:pPr>
            <w:r w:rsidRPr="005845FA">
              <w:rPr>
                <w:rFonts w:ascii="Arial" w:hAnsi="Arial" w:cs="Arial"/>
              </w:rPr>
              <w:t xml:space="preserve">This study investigates the relationship between market competition and sellers’ performance among merchandising businesses in </w:t>
            </w:r>
            <w:proofErr w:type="spellStart"/>
            <w:r w:rsidRPr="005845FA">
              <w:rPr>
                <w:rFonts w:ascii="Arial" w:hAnsi="Arial" w:cs="Arial"/>
              </w:rPr>
              <w:t>Cateel</w:t>
            </w:r>
            <w:proofErr w:type="spellEnd"/>
            <w:r w:rsidRPr="005845FA">
              <w:rPr>
                <w:rFonts w:ascii="Arial" w:hAnsi="Arial" w:cs="Arial"/>
              </w:rPr>
              <w:t>, Davao Oriental. Using a quantitative-correlational design, it examined how the number of competitors, market share, pricing strategies, and product differentiation influence sellers’ performance, measured in terms of strategies, sales revenue, profits earned, and customer satisfaction. A survey was conducted among 236 merchandising businesses through quota sampling. Findings revealed a very high level of market competition (overall mean = 4.36) and sellers’ performance (overall mean = 4.42). Pearson correlation analysis showed a moderate but significant relationship between overall market competition and sellers’ performance (r = 0.637, p &lt; 0.05). The number of competitors and market share displayed weak to moderately significant correlations, while pricing strategies and product differentiation indicated weak but significant associations. These results suggest that competitive pressures encourage businesses to adopt innovative approaches to sustain performance and competitiveness.</w:t>
            </w:r>
          </w:p>
          <w:p w14:paraId="725056E9" w14:textId="2081EB59" w:rsidR="00505F06" w:rsidRPr="005845FA" w:rsidRDefault="00505F06" w:rsidP="00E218F7">
            <w:pPr>
              <w:jc w:val="both"/>
              <w:rPr>
                <w:rFonts w:ascii="Arial" w:hAnsi="Arial" w:cs="Arial"/>
              </w:rPr>
            </w:pPr>
          </w:p>
        </w:tc>
      </w:tr>
    </w:tbl>
    <w:p w14:paraId="51F16971" w14:textId="77777777" w:rsidR="00636EB2" w:rsidRPr="005845FA" w:rsidRDefault="00636EB2" w:rsidP="00441B6F">
      <w:pPr>
        <w:pStyle w:val="Body"/>
        <w:spacing w:after="0"/>
        <w:rPr>
          <w:rFonts w:ascii="Arial" w:hAnsi="Arial" w:cs="Arial"/>
          <w:i/>
        </w:rPr>
      </w:pPr>
    </w:p>
    <w:p w14:paraId="4CAFC4E0" w14:textId="4A13C66B" w:rsidR="009C4675" w:rsidRPr="005845FA" w:rsidRDefault="009C4675" w:rsidP="009C4675">
      <w:pPr>
        <w:jc w:val="both"/>
        <w:rPr>
          <w:rFonts w:ascii="Arial" w:hAnsi="Arial" w:cs="Arial"/>
        </w:rPr>
      </w:pPr>
      <w:r w:rsidRPr="005845FA">
        <w:rPr>
          <w:rFonts w:ascii="Arial" w:hAnsi="Arial" w:cs="Arial"/>
        </w:rPr>
        <w:t xml:space="preserve">Keywords: </w:t>
      </w:r>
      <w:r w:rsidR="001D414D">
        <w:rPr>
          <w:rFonts w:ascii="Arial" w:hAnsi="Arial" w:cs="Arial"/>
        </w:rPr>
        <w:t>market competition, sellers’ performance, merchandising business, pricing strategies, product differentiation, competitive advantage.</w:t>
      </w:r>
    </w:p>
    <w:p w14:paraId="64A3D2CD" w14:textId="77777777" w:rsidR="00505F06" w:rsidRPr="005845FA" w:rsidRDefault="00505F06" w:rsidP="00441B6F">
      <w:pPr>
        <w:pStyle w:val="Body"/>
        <w:spacing w:after="0"/>
        <w:rPr>
          <w:rFonts w:ascii="Arial" w:hAnsi="Arial" w:cs="Arial"/>
          <w:i/>
        </w:rPr>
      </w:pPr>
    </w:p>
    <w:p w14:paraId="18AF9ECD" w14:textId="40FBC616" w:rsidR="00790ADA" w:rsidRPr="005845FA" w:rsidRDefault="00902823" w:rsidP="00441B6F">
      <w:pPr>
        <w:pStyle w:val="AbstHead"/>
        <w:spacing w:after="0"/>
        <w:jc w:val="both"/>
        <w:rPr>
          <w:rFonts w:ascii="Arial" w:hAnsi="Arial" w:cs="Arial"/>
        </w:rPr>
      </w:pPr>
      <w:r w:rsidRPr="005845FA">
        <w:rPr>
          <w:rFonts w:ascii="Arial" w:hAnsi="Arial" w:cs="Arial"/>
        </w:rPr>
        <w:t xml:space="preserve">1. </w:t>
      </w:r>
      <w:r w:rsidR="00B01FCD" w:rsidRPr="005845FA">
        <w:rPr>
          <w:rFonts w:ascii="Arial" w:hAnsi="Arial" w:cs="Arial"/>
        </w:rPr>
        <w:t>INTRODUCTION</w:t>
      </w:r>
    </w:p>
    <w:p w14:paraId="58D7E9E1" w14:textId="77777777" w:rsidR="00FD6C2A" w:rsidRPr="005845FA" w:rsidRDefault="00FD6C2A" w:rsidP="00441B6F">
      <w:pPr>
        <w:pStyle w:val="AbstHead"/>
        <w:spacing w:after="0"/>
        <w:jc w:val="both"/>
        <w:rPr>
          <w:rFonts w:ascii="Arial" w:hAnsi="Arial" w:cs="Arial"/>
        </w:rPr>
      </w:pPr>
    </w:p>
    <w:p w14:paraId="6DA2783E" w14:textId="769AA5D2" w:rsidR="00245E9B" w:rsidRPr="005845FA" w:rsidRDefault="00245E9B" w:rsidP="00245E9B">
      <w:pPr>
        <w:jc w:val="both"/>
        <w:rPr>
          <w:rFonts w:ascii="Arial" w:hAnsi="Arial" w:cs="Arial"/>
        </w:rPr>
      </w:pPr>
      <w:r w:rsidRPr="005845FA">
        <w:rPr>
          <w:rFonts w:ascii="Arial" w:hAnsi="Arial" w:cs="Arial"/>
        </w:rPr>
        <w:t>Globally, Merchandising businesses primarily defined by their focus on purchasing goods for resale to consumers operate as intermediaries between manufacturers and end-users (Ribeiro-Duthie et al., 2021). Merchandising business plays an important role in the economy, forming a bridge between manufacturers and consumers by distributing goods to a wide market (Antony, 2024). The merchandising sector, especially in developing economies, has proven essential for employment and economic stability (</w:t>
      </w:r>
      <w:proofErr w:type="spellStart"/>
      <w:r w:rsidRPr="005845FA">
        <w:rPr>
          <w:rFonts w:ascii="Arial" w:hAnsi="Arial" w:cs="Arial"/>
        </w:rPr>
        <w:t>Estmann</w:t>
      </w:r>
      <w:proofErr w:type="spellEnd"/>
      <w:r w:rsidRPr="005845FA">
        <w:rPr>
          <w:rFonts w:ascii="Arial" w:hAnsi="Arial" w:cs="Arial"/>
        </w:rPr>
        <w:t xml:space="preserve"> et al., 2022). As distribution and retail channels expand, the need for competitiveness in pricing, convenience, and service has become a central focus in merchandising strategies (</w:t>
      </w:r>
      <w:proofErr w:type="spellStart"/>
      <w:r w:rsidRPr="005845FA">
        <w:rPr>
          <w:rFonts w:ascii="Arial" w:hAnsi="Arial" w:cs="Arial"/>
        </w:rPr>
        <w:t>Ertekin</w:t>
      </w:r>
      <w:proofErr w:type="spellEnd"/>
      <w:r w:rsidRPr="005845FA">
        <w:rPr>
          <w:rFonts w:ascii="Arial" w:hAnsi="Arial" w:cs="Arial"/>
        </w:rPr>
        <w:t xml:space="preserve"> et al., 2021). This demand has pushed sellers to continuously enhance their operations and innovate, driving a competitive atmosphere that can directly influence performance. As they operate in competitive environments, these businesses focus on strategies to meet consumer needs while remaining profitable (</w:t>
      </w:r>
      <w:proofErr w:type="spellStart"/>
      <w:r w:rsidRPr="005845FA">
        <w:rPr>
          <w:rFonts w:ascii="Arial" w:hAnsi="Arial" w:cs="Arial"/>
        </w:rPr>
        <w:t>Bist</w:t>
      </w:r>
      <w:proofErr w:type="spellEnd"/>
      <w:r w:rsidRPr="005845FA">
        <w:rPr>
          <w:rFonts w:ascii="Arial" w:hAnsi="Arial" w:cs="Arial"/>
        </w:rPr>
        <w:t xml:space="preserve"> &amp; Mehta, 2022). In the Philippines, the merchandising business faces complex challenges that hinder its growth and sustainability. One of the most persistent problems is fierce competition with so many sellers in the market; price wars always erupt, forcing businesses to strategize their market at the expense of profit margins (Crotty, 2017). This competitive environment creates immense pressure, particularly for small and medium enterprises, which already operate on limited resources (Lim, 2022). </w:t>
      </w:r>
      <w:r w:rsidR="00AD1329">
        <w:rPr>
          <w:rFonts w:ascii="Arial" w:hAnsi="Arial" w:cs="Arial"/>
        </w:rPr>
        <w:t xml:space="preserve"> </w:t>
      </w:r>
      <w:r w:rsidRPr="005845FA">
        <w:rPr>
          <w:rFonts w:ascii="Arial" w:hAnsi="Arial" w:cs="Arial"/>
        </w:rPr>
        <w:t xml:space="preserve">The intense competition within local markets presents significant challenges for merchandising businesses, directly impacting their overall seller performance. Studies of Tallman et al. (2017) reveal that small retailers often struggle to maintain profitability in highly competitive markets due to pricing pressures, where larger competitors can leverage economies of scale to offer lower prices, making it challenging for smaller merchants to compete effectively. Additionally, the demand for customer loyalty schemes and unique products is increased by the growing number of competitors in the market, which can be costly and challenging for local firms to </w:t>
      </w:r>
      <w:r w:rsidRPr="005845FA">
        <w:rPr>
          <w:rFonts w:ascii="Arial" w:hAnsi="Arial" w:cs="Arial"/>
        </w:rPr>
        <w:lastRenderedPageBreak/>
        <w:t>effectively manage sales (</w:t>
      </w:r>
      <w:proofErr w:type="spellStart"/>
      <w:r w:rsidRPr="005845FA">
        <w:rPr>
          <w:rFonts w:ascii="Arial" w:hAnsi="Arial" w:cs="Arial"/>
        </w:rPr>
        <w:t>Nastasoiu</w:t>
      </w:r>
      <w:proofErr w:type="spellEnd"/>
      <w:r w:rsidRPr="005845FA">
        <w:rPr>
          <w:rFonts w:ascii="Arial" w:hAnsi="Arial" w:cs="Arial"/>
        </w:rPr>
        <w:t xml:space="preserve"> &amp; </w:t>
      </w:r>
      <w:proofErr w:type="spellStart"/>
      <w:r w:rsidRPr="005845FA">
        <w:rPr>
          <w:rFonts w:ascii="Arial" w:hAnsi="Arial" w:cs="Arial"/>
        </w:rPr>
        <w:t>Vandenbosch</w:t>
      </w:r>
      <w:proofErr w:type="spellEnd"/>
      <w:r w:rsidRPr="005845FA">
        <w:rPr>
          <w:rFonts w:ascii="Arial" w:hAnsi="Arial" w:cs="Arial"/>
        </w:rPr>
        <w:t>, 2018).</w:t>
      </w:r>
      <w:r w:rsidR="00AD1329">
        <w:rPr>
          <w:rFonts w:ascii="Arial" w:hAnsi="Arial" w:cs="Arial"/>
        </w:rPr>
        <w:t xml:space="preserve"> </w:t>
      </w:r>
      <w:r w:rsidRPr="005845FA">
        <w:rPr>
          <w:rFonts w:ascii="Arial" w:hAnsi="Arial" w:cs="Arial"/>
        </w:rPr>
        <w:t xml:space="preserve">The promotional actions of competitors can cause sales performance to fluctuate in places where several similar businesses operate, which further adds uncertainty to the revenue streams of smaller merchants (Zhao et al., 2019). Furthermore, studies examining community dynamics have shown that competition in localized areas results in smaller customer bases per merchant, particularly when competitors target the same customer demographics (Kitchens et al., 2018).  In </w:t>
      </w:r>
      <w:proofErr w:type="spellStart"/>
      <w:r w:rsidRPr="005845FA">
        <w:rPr>
          <w:rFonts w:ascii="Arial" w:hAnsi="Arial" w:cs="Arial"/>
        </w:rPr>
        <w:t>Cateel</w:t>
      </w:r>
      <w:proofErr w:type="spellEnd"/>
      <w:r w:rsidRPr="005845FA">
        <w:rPr>
          <w:rFonts w:ascii="Arial" w:hAnsi="Arial" w:cs="Arial"/>
        </w:rPr>
        <w:t>, Davao Oriental, this phenomenon puts pressure on retailers to improve their business processes through strategic pricing and customized marketing in order to maintain consumer interest.</w:t>
      </w:r>
      <w:r w:rsidR="00AD1329">
        <w:rPr>
          <w:rFonts w:ascii="Arial" w:hAnsi="Arial" w:cs="Arial"/>
        </w:rPr>
        <w:t xml:space="preserve"> </w:t>
      </w:r>
      <w:r w:rsidRPr="005845FA">
        <w:rPr>
          <w:rFonts w:ascii="Arial" w:hAnsi="Arial" w:cs="Arial"/>
        </w:rPr>
        <w:t xml:space="preserve">On the other hand, market competition has many aspects and impacts economic growth, innovation, and business behavior. In order to preserve or increase their market share, businesses are compelled by competition to innovate, save expenses, and increase efficiency (Van Loo, 2017). Concerns over lower competitive intensity have been raised by growing market concentration, especially as larger businesses may acquire the market power necessary to set prices and discourage new competitors (Van Reenen, 2018). In addition, businesses are encouraged to implement new techniques in highly competitive contexts, which boost economic growth and help consumers by offering a wider range of more reasonably priced items (Liu &amp; </w:t>
      </w:r>
      <w:proofErr w:type="spellStart"/>
      <w:r w:rsidRPr="005845FA">
        <w:rPr>
          <w:rFonts w:ascii="Arial" w:hAnsi="Arial" w:cs="Arial"/>
        </w:rPr>
        <w:t>Atuahene-Gima</w:t>
      </w:r>
      <w:proofErr w:type="spellEnd"/>
      <w:r w:rsidRPr="005845FA">
        <w:rPr>
          <w:rFonts w:ascii="Arial" w:hAnsi="Arial" w:cs="Arial"/>
        </w:rPr>
        <w:t>, 2018). However, too much competition can put pressure on resources and force businesses to put short-term profits ahead of sustainable innovation, which can affect their long-term survival and the health of the market as a whole (</w:t>
      </w:r>
      <w:proofErr w:type="spellStart"/>
      <w:r w:rsidRPr="005845FA">
        <w:rPr>
          <w:rFonts w:ascii="Arial" w:hAnsi="Arial" w:cs="Arial"/>
        </w:rPr>
        <w:t>Bocken</w:t>
      </w:r>
      <w:proofErr w:type="spellEnd"/>
      <w:r w:rsidRPr="005845FA">
        <w:rPr>
          <w:rFonts w:ascii="Arial" w:hAnsi="Arial" w:cs="Arial"/>
        </w:rPr>
        <w:t xml:space="preserve"> &amp; </w:t>
      </w:r>
      <w:proofErr w:type="spellStart"/>
      <w:r w:rsidRPr="005845FA">
        <w:rPr>
          <w:rFonts w:ascii="Arial" w:hAnsi="Arial" w:cs="Arial"/>
        </w:rPr>
        <w:t>Geradts</w:t>
      </w:r>
      <w:proofErr w:type="spellEnd"/>
      <w:r w:rsidRPr="005845FA">
        <w:rPr>
          <w:rFonts w:ascii="Arial" w:hAnsi="Arial" w:cs="Arial"/>
        </w:rPr>
        <w:t>, 2019).</w:t>
      </w:r>
      <w:r w:rsidR="00AD1329">
        <w:rPr>
          <w:rFonts w:ascii="Arial" w:hAnsi="Arial" w:cs="Arial"/>
        </w:rPr>
        <w:t xml:space="preserve"> </w:t>
      </w:r>
      <w:r w:rsidRPr="005845FA">
        <w:rPr>
          <w:rFonts w:ascii="Arial" w:hAnsi="Arial" w:cs="Arial"/>
        </w:rPr>
        <w:t xml:space="preserve">The influence of market competition on pricing strategies, market share, product differentiation, sales revenue, profits, and seller performance </w:t>
      </w:r>
      <w:proofErr w:type="gramStart"/>
      <w:r w:rsidRPr="005845FA">
        <w:rPr>
          <w:rFonts w:ascii="Arial" w:hAnsi="Arial" w:cs="Arial"/>
        </w:rPr>
        <w:t>is</w:t>
      </w:r>
      <w:proofErr w:type="gramEnd"/>
      <w:r w:rsidRPr="005845FA">
        <w:rPr>
          <w:rFonts w:ascii="Arial" w:hAnsi="Arial" w:cs="Arial"/>
        </w:rPr>
        <w:t xml:space="preserve"> substantial when it comes to merchandising enterprises. Price tactics that work draw in budget-conscious customers without reducing profit margins, guaranteeing long-term financial viability (Kamal et al., 2022). Competitive strategies in the merchandising sector significantly impact sales revenue and profits. Regular competitive analysis helps businesses monitor rivals, adjust offerings, and respond to competitor actions. Continuous evaluation of sellers' performance optimizes sales techniques and customer interactions (Kamal et al., 2022).</w:t>
      </w:r>
      <w:r w:rsidR="00AD1329">
        <w:rPr>
          <w:rFonts w:ascii="Arial" w:hAnsi="Arial" w:cs="Arial"/>
        </w:rPr>
        <w:t xml:space="preserve"> </w:t>
      </w:r>
      <w:r w:rsidRPr="005845FA">
        <w:rPr>
          <w:rFonts w:ascii="Arial" w:hAnsi="Arial" w:cs="Arial"/>
        </w:rPr>
        <w:t>In contrast, the study addresses the impact of market competition on merchandising businesses, particularly for small and medium enterprises (SMEs), but there are specific problems and gaps that could be addressed to strengthen it. First, the general competitive strategies like pricing and product differentiation, but lack analysis of specific tactics such as cost leadership, differentiation, or focus strategies that businesses use to stay competitive (</w:t>
      </w:r>
      <w:proofErr w:type="spellStart"/>
      <w:r w:rsidRPr="005845FA">
        <w:rPr>
          <w:rFonts w:ascii="Arial" w:hAnsi="Arial" w:cs="Arial"/>
        </w:rPr>
        <w:t>Lapersonne</w:t>
      </w:r>
      <w:proofErr w:type="spellEnd"/>
      <w:r w:rsidRPr="005845FA">
        <w:rPr>
          <w:rFonts w:ascii="Arial" w:hAnsi="Arial" w:cs="Arial"/>
        </w:rPr>
        <w:t xml:space="preserve">, 2018). Additionally, it acknowledges the challenges of intense competition but doesn’t fully explore how businesses might balance short-term profitability with long-term sustainability, such as through resource management and sustainable innovation (Van </w:t>
      </w:r>
      <w:proofErr w:type="spellStart"/>
      <w:r w:rsidRPr="005845FA">
        <w:rPr>
          <w:rFonts w:ascii="Arial" w:hAnsi="Arial" w:cs="Arial"/>
        </w:rPr>
        <w:t>Bommel</w:t>
      </w:r>
      <w:proofErr w:type="spellEnd"/>
      <w:r w:rsidRPr="005845FA">
        <w:rPr>
          <w:rFonts w:ascii="Arial" w:hAnsi="Arial" w:cs="Arial"/>
        </w:rPr>
        <w:t>, 2018). Another gap is the lack of emphasis on the impact of digital transformation. E-commerce and digital platforms have reshaped competition by both broadening reach and introducing new pressures on pricing and efficiency, especially for SMEs competing with larger retailers online (</w:t>
      </w:r>
      <w:proofErr w:type="spellStart"/>
      <w:r w:rsidRPr="005845FA">
        <w:rPr>
          <w:rFonts w:ascii="Arial" w:hAnsi="Arial" w:cs="Arial"/>
        </w:rPr>
        <w:t>Mwaga</w:t>
      </w:r>
      <w:proofErr w:type="spellEnd"/>
      <w:r w:rsidRPr="005845FA">
        <w:rPr>
          <w:rFonts w:ascii="Arial" w:hAnsi="Arial" w:cs="Arial"/>
        </w:rPr>
        <w:t xml:space="preserve"> &amp; </w:t>
      </w:r>
      <w:proofErr w:type="spellStart"/>
      <w:r w:rsidRPr="005845FA">
        <w:rPr>
          <w:rFonts w:ascii="Arial" w:hAnsi="Arial" w:cs="Arial"/>
        </w:rPr>
        <w:t>Omwenga</w:t>
      </w:r>
      <w:proofErr w:type="spellEnd"/>
      <w:r w:rsidRPr="005845FA">
        <w:rPr>
          <w:rFonts w:ascii="Arial" w:hAnsi="Arial" w:cs="Arial"/>
        </w:rPr>
        <w:t>, 2017).</w:t>
      </w:r>
      <w:r w:rsidR="00AD1329">
        <w:rPr>
          <w:rFonts w:ascii="Arial" w:hAnsi="Arial" w:cs="Arial"/>
        </w:rPr>
        <w:t xml:space="preserve"> </w:t>
      </w:r>
      <w:r w:rsidRPr="005845FA">
        <w:rPr>
          <w:rFonts w:ascii="Arial" w:hAnsi="Arial" w:cs="Arial"/>
        </w:rPr>
        <w:t xml:space="preserve">The localized competition in </w:t>
      </w:r>
      <w:proofErr w:type="spellStart"/>
      <w:r w:rsidRPr="005845FA">
        <w:rPr>
          <w:rFonts w:ascii="Arial" w:hAnsi="Arial" w:cs="Arial"/>
        </w:rPr>
        <w:t>Cateel</w:t>
      </w:r>
      <w:proofErr w:type="spellEnd"/>
      <w:r w:rsidRPr="005845FA">
        <w:rPr>
          <w:rFonts w:ascii="Arial" w:hAnsi="Arial" w:cs="Arial"/>
        </w:rPr>
        <w:t>, Davao Oriental, is promising, but it could go further by analyzing how regional dynamics and demographics influence competitive approaches. Tailoring strategies to regional consumer behavior could provide critical insights for local businesses (Kumar &amp; Smith, 2017). Furthermore, while customer loyalty challenges are noted, a more comprehensive exploration of loyalty programs and customer relationship management could improve understanding of how merchandising businesses retain customers in competitive markets (Wirtz, 2017). The economic impact of market concentration on merchandising business is underexplored. Larger companies with economies of scale can set lower prices, creating higher entry barriers for smaller businesses, which may stifle competition and affect market dynamics for new entrants (Bento, 2020). Taking in these gaps would offer an additional point of view on the role of competition in the merchandising industry, specifically with relation to tactics, obstacles, and financial impacts on the selling industry.</w:t>
      </w:r>
      <w:r w:rsidR="00AD1329">
        <w:rPr>
          <w:rFonts w:ascii="Arial" w:hAnsi="Arial" w:cs="Arial"/>
        </w:rPr>
        <w:t xml:space="preserve"> </w:t>
      </w:r>
      <w:r w:rsidRPr="005845FA">
        <w:rPr>
          <w:rFonts w:ascii="Arial" w:hAnsi="Arial" w:cs="Arial"/>
        </w:rPr>
        <w:t>Studying the relationship between market competition and sellers' performance in merchandising businesses is essential due to the persistent challenges these businesses face in sustaining profitability and growth. By examining how competition shapes pricing strategies, market share, and customer loyalty, this research can uncover critical insights that help businesses optimize their competitive approaches. The intense competition within the merchandising sector often forces sellers to adopt strategies that may compromise profit margins or push them toward unsustainable practices. However, by understanding these dynamics in depth, this study aims to identify strategic ways for merchandising businesses to enhance their performance and address these prevalent challenges. This focus on the interplay between competition and seller performance ultimately provided actionable recommendations to improve resilience and profitability within the merchandising industry.</w:t>
      </w:r>
    </w:p>
    <w:p w14:paraId="3F800E1C" w14:textId="77777777" w:rsidR="00245E9B" w:rsidRPr="005845FA" w:rsidRDefault="00245E9B" w:rsidP="00245E9B">
      <w:pPr>
        <w:ind w:firstLine="720"/>
        <w:jc w:val="both"/>
        <w:rPr>
          <w:rFonts w:ascii="Arial" w:hAnsi="Arial" w:cs="Arial"/>
        </w:rPr>
      </w:pPr>
    </w:p>
    <w:p w14:paraId="0210950F" w14:textId="75238850" w:rsidR="00790ADA" w:rsidRPr="005845FA" w:rsidRDefault="00E87B96" w:rsidP="000C53F7">
      <w:pPr>
        <w:pStyle w:val="AbstHead"/>
        <w:spacing w:after="0"/>
        <w:jc w:val="both"/>
        <w:rPr>
          <w:rFonts w:ascii="Arial" w:hAnsi="Arial" w:cs="Arial"/>
        </w:rPr>
      </w:pPr>
      <w:r w:rsidRPr="005845FA">
        <w:rPr>
          <w:rFonts w:ascii="Arial" w:hAnsi="Arial" w:cs="Arial"/>
        </w:rPr>
        <w:t>2</w:t>
      </w:r>
      <w:r w:rsidR="00902823" w:rsidRPr="005845FA">
        <w:rPr>
          <w:rFonts w:ascii="Arial" w:hAnsi="Arial" w:cs="Arial"/>
        </w:rPr>
        <w:t xml:space="preserve">. </w:t>
      </w:r>
      <w:r w:rsidR="006B57D0" w:rsidRPr="005845FA">
        <w:rPr>
          <w:rFonts w:ascii="Arial" w:hAnsi="Arial" w:cs="Arial"/>
        </w:rPr>
        <w:t>methodolog</w:t>
      </w:r>
      <w:r w:rsidR="00FD6C2A" w:rsidRPr="005845FA">
        <w:rPr>
          <w:rFonts w:ascii="Arial" w:hAnsi="Arial" w:cs="Arial"/>
        </w:rPr>
        <w:t>Y</w:t>
      </w:r>
    </w:p>
    <w:p w14:paraId="1352207E" w14:textId="77777777" w:rsidR="000C53F7" w:rsidRPr="005845FA" w:rsidRDefault="000C53F7" w:rsidP="000C53F7">
      <w:pPr>
        <w:pStyle w:val="AbstHead"/>
        <w:spacing w:after="0"/>
        <w:jc w:val="both"/>
        <w:rPr>
          <w:rFonts w:ascii="Arial" w:hAnsi="Arial" w:cs="Arial"/>
        </w:rPr>
      </w:pPr>
    </w:p>
    <w:p w14:paraId="51330D68" w14:textId="2093D202" w:rsidR="00AA74E0" w:rsidRPr="005845FA" w:rsidRDefault="00E87B96" w:rsidP="00441B6F">
      <w:pPr>
        <w:pStyle w:val="Body"/>
        <w:spacing w:after="0"/>
        <w:rPr>
          <w:rFonts w:ascii="Arial" w:hAnsi="Arial" w:cs="Arial"/>
          <w:b/>
          <w:sz w:val="22"/>
        </w:rPr>
      </w:pPr>
      <w:r w:rsidRPr="005845FA">
        <w:rPr>
          <w:rFonts w:ascii="Arial" w:hAnsi="Arial" w:cs="Arial"/>
          <w:b/>
          <w:caps/>
          <w:sz w:val="22"/>
        </w:rPr>
        <w:t>2</w:t>
      </w:r>
      <w:r w:rsidR="00AA74E0" w:rsidRPr="005845FA">
        <w:rPr>
          <w:rFonts w:ascii="Arial" w:hAnsi="Arial" w:cs="Arial"/>
          <w:b/>
          <w:caps/>
          <w:sz w:val="22"/>
        </w:rPr>
        <w:t xml:space="preserve">.1 </w:t>
      </w:r>
      <w:r w:rsidR="00103862" w:rsidRPr="005845FA">
        <w:rPr>
          <w:rFonts w:ascii="Arial" w:hAnsi="Arial" w:cs="Arial"/>
          <w:b/>
          <w:sz w:val="22"/>
        </w:rPr>
        <w:t>Research Design</w:t>
      </w:r>
    </w:p>
    <w:p w14:paraId="03288710" w14:textId="77777777" w:rsidR="00103862" w:rsidRPr="005845FA" w:rsidRDefault="00103862" w:rsidP="00441B6F">
      <w:pPr>
        <w:pStyle w:val="Body"/>
        <w:spacing w:after="0"/>
        <w:rPr>
          <w:rFonts w:ascii="Arial" w:hAnsi="Arial" w:cs="Arial"/>
        </w:rPr>
      </w:pPr>
    </w:p>
    <w:p w14:paraId="55176DB6" w14:textId="0EE21A83" w:rsidR="00245E9B" w:rsidRPr="005845FA" w:rsidRDefault="00245E9B" w:rsidP="00245E9B">
      <w:pPr>
        <w:ind w:firstLine="720"/>
        <w:jc w:val="both"/>
        <w:rPr>
          <w:rFonts w:ascii="Arial" w:hAnsi="Arial" w:cs="Arial"/>
        </w:rPr>
      </w:pPr>
      <w:r w:rsidRPr="005845FA">
        <w:rPr>
          <w:rFonts w:ascii="Arial" w:hAnsi="Arial" w:cs="Arial"/>
        </w:rPr>
        <w:t>This study used a correlational quantitative research design. It is one of the wide-ranging categories of research design, in which the researchers investigate the relationship between variables as they occur in natural settings (</w:t>
      </w:r>
      <w:proofErr w:type="spellStart"/>
      <w:r w:rsidRPr="005845FA">
        <w:rPr>
          <w:rFonts w:ascii="Arial" w:hAnsi="Arial" w:cs="Arial"/>
        </w:rPr>
        <w:t>Seeram</w:t>
      </w:r>
      <w:proofErr w:type="spellEnd"/>
      <w:r w:rsidRPr="005845FA">
        <w:rPr>
          <w:rFonts w:ascii="Arial" w:hAnsi="Arial" w:cs="Arial"/>
        </w:rPr>
        <w:t>, 2019). Sellers’ performance is dependent on market competition, as it can be influenced by exposure to market competition (Siam et al., 2022). Likewise, this study employed descriptive-correlational methods to describe the two variables and determine whether the single independent variable and the single dependent variable have a significant relationship (</w:t>
      </w:r>
      <w:proofErr w:type="spellStart"/>
      <w:r w:rsidRPr="005845FA">
        <w:rPr>
          <w:rFonts w:ascii="Arial" w:hAnsi="Arial" w:cs="Arial"/>
        </w:rPr>
        <w:t>Seeram</w:t>
      </w:r>
      <w:proofErr w:type="spellEnd"/>
      <w:r w:rsidRPr="005845FA">
        <w:rPr>
          <w:rFonts w:ascii="Arial" w:hAnsi="Arial" w:cs="Arial"/>
        </w:rPr>
        <w:t>, 2019). In short, this method refers to a study in which the researcher is primarily interested in describing the relationships among variables that occur naturally (</w:t>
      </w:r>
      <w:proofErr w:type="spellStart"/>
      <w:r w:rsidRPr="005845FA">
        <w:rPr>
          <w:rFonts w:ascii="Arial" w:hAnsi="Arial" w:cs="Arial"/>
        </w:rPr>
        <w:t>Herdian</w:t>
      </w:r>
      <w:proofErr w:type="spellEnd"/>
      <w:r w:rsidRPr="005845FA">
        <w:rPr>
          <w:rFonts w:ascii="Arial" w:hAnsi="Arial" w:cs="Arial"/>
        </w:rPr>
        <w:t xml:space="preserve"> et al., 2022). This research design is suitable for this topic </w:t>
      </w:r>
      <w:r w:rsidRPr="005845FA">
        <w:rPr>
          <w:rFonts w:ascii="Arial" w:hAnsi="Arial" w:cs="Arial"/>
        </w:rPr>
        <w:lastRenderedPageBreak/>
        <w:t xml:space="preserve">because it examines the relationship between two or more key determinants, such as the impact of market competition on sellers’ performance in </w:t>
      </w:r>
      <w:proofErr w:type="spellStart"/>
      <w:r w:rsidRPr="005845FA">
        <w:rPr>
          <w:rFonts w:ascii="Arial" w:hAnsi="Arial" w:cs="Arial"/>
        </w:rPr>
        <w:t>Cateel</w:t>
      </w:r>
      <w:proofErr w:type="spellEnd"/>
      <w:r w:rsidRPr="005845FA">
        <w:rPr>
          <w:rFonts w:ascii="Arial" w:hAnsi="Arial" w:cs="Arial"/>
        </w:rPr>
        <w:t>, Davao Oriental.</w:t>
      </w:r>
    </w:p>
    <w:p w14:paraId="06770C27" w14:textId="77777777" w:rsidR="00103862" w:rsidRPr="005845FA" w:rsidRDefault="00103862" w:rsidP="00103862">
      <w:pPr>
        <w:pStyle w:val="Body"/>
        <w:spacing w:after="0"/>
        <w:rPr>
          <w:rFonts w:ascii="Arial" w:hAnsi="Arial" w:cs="Arial"/>
        </w:rPr>
      </w:pPr>
    </w:p>
    <w:p w14:paraId="5D8C9386" w14:textId="5BB0D339" w:rsidR="00103862" w:rsidRPr="005845FA" w:rsidRDefault="00E87B96" w:rsidP="00103862">
      <w:pPr>
        <w:pStyle w:val="Body"/>
        <w:spacing w:after="0"/>
        <w:rPr>
          <w:rFonts w:ascii="Arial" w:hAnsi="Arial" w:cs="Arial"/>
          <w:b/>
          <w:sz w:val="22"/>
        </w:rPr>
      </w:pPr>
      <w:r w:rsidRPr="005845FA">
        <w:rPr>
          <w:rFonts w:ascii="Arial" w:hAnsi="Arial" w:cs="Arial"/>
          <w:b/>
          <w:caps/>
          <w:sz w:val="22"/>
        </w:rPr>
        <w:t>2</w:t>
      </w:r>
      <w:r w:rsidR="00103862" w:rsidRPr="005845FA">
        <w:rPr>
          <w:rFonts w:ascii="Arial" w:hAnsi="Arial" w:cs="Arial"/>
          <w:b/>
          <w:caps/>
          <w:sz w:val="22"/>
        </w:rPr>
        <w:t xml:space="preserve">.2 </w:t>
      </w:r>
      <w:r w:rsidR="00103862" w:rsidRPr="005845FA">
        <w:rPr>
          <w:rFonts w:ascii="Arial" w:hAnsi="Arial" w:cs="Arial"/>
          <w:b/>
          <w:sz w:val="22"/>
        </w:rPr>
        <w:t>Research Instrument</w:t>
      </w:r>
    </w:p>
    <w:p w14:paraId="652EB9C3" w14:textId="77777777" w:rsidR="00103862" w:rsidRPr="005845FA" w:rsidRDefault="00103862" w:rsidP="00103862">
      <w:pPr>
        <w:pStyle w:val="Body"/>
        <w:spacing w:after="0"/>
        <w:rPr>
          <w:rFonts w:ascii="Arial" w:hAnsi="Arial" w:cs="Arial"/>
          <w:b/>
          <w:sz w:val="22"/>
        </w:rPr>
      </w:pPr>
    </w:p>
    <w:p w14:paraId="767C9780" w14:textId="2AED41AA" w:rsidR="00245E9B" w:rsidRPr="005845FA" w:rsidRDefault="00245E9B" w:rsidP="00245E9B">
      <w:pPr>
        <w:jc w:val="both"/>
        <w:rPr>
          <w:rFonts w:ascii="Arial" w:hAnsi="Arial" w:cs="Arial"/>
          <w:b/>
          <w:bCs/>
        </w:rPr>
      </w:pPr>
      <w:r w:rsidRPr="005845FA">
        <w:rPr>
          <w:rFonts w:ascii="Arial" w:hAnsi="Arial" w:cs="Arial"/>
        </w:rPr>
        <w:t>The research instruments utilized by the researchers in the gathering of data were</w:t>
      </w:r>
      <w:bookmarkStart w:id="1" w:name="_Hlk181597865"/>
      <w:r w:rsidRPr="005845FA">
        <w:rPr>
          <w:rFonts w:ascii="Arial" w:hAnsi="Arial" w:cs="Arial"/>
          <w:b/>
          <w:bCs/>
        </w:rPr>
        <w:t xml:space="preserve"> </w:t>
      </w:r>
      <w:r w:rsidRPr="005845FA">
        <w:rPr>
          <w:rFonts w:ascii="Arial" w:hAnsi="Arial" w:cs="Arial"/>
        </w:rPr>
        <w:t xml:space="preserve">Adopted from (Aguilar et al., 2024; </w:t>
      </w:r>
      <w:proofErr w:type="spellStart"/>
      <w:r w:rsidRPr="005845FA">
        <w:rPr>
          <w:rFonts w:ascii="Arial" w:hAnsi="Arial" w:cs="Arial"/>
        </w:rPr>
        <w:t>Araño</w:t>
      </w:r>
      <w:proofErr w:type="spellEnd"/>
      <w:r w:rsidRPr="005845FA">
        <w:rPr>
          <w:rFonts w:ascii="Arial" w:hAnsi="Arial" w:cs="Arial"/>
        </w:rPr>
        <w:t xml:space="preserve"> et al., 2024; </w:t>
      </w:r>
      <w:proofErr w:type="spellStart"/>
      <w:r w:rsidRPr="005845FA">
        <w:rPr>
          <w:rFonts w:ascii="Arial" w:hAnsi="Arial" w:cs="Arial"/>
        </w:rPr>
        <w:t>Nono</w:t>
      </w:r>
      <w:proofErr w:type="spellEnd"/>
      <w:r w:rsidRPr="005845FA">
        <w:rPr>
          <w:rFonts w:ascii="Arial" w:hAnsi="Arial" w:cs="Arial"/>
        </w:rPr>
        <w:t xml:space="preserve"> et al., 2022; WAMIORI, 2000; </w:t>
      </w:r>
      <w:proofErr w:type="spellStart"/>
      <w:r w:rsidRPr="005845FA">
        <w:rPr>
          <w:rFonts w:ascii="Arial" w:hAnsi="Arial" w:cs="Arial"/>
        </w:rPr>
        <w:t>Adimo</w:t>
      </w:r>
      <w:proofErr w:type="spellEnd"/>
      <w:r w:rsidRPr="005845FA">
        <w:rPr>
          <w:rFonts w:ascii="Arial" w:hAnsi="Arial" w:cs="Arial"/>
        </w:rPr>
        <w:t>, 2018).</w:t>
      </w:r>
      <w:bookmarkEnd w:id="1"/>
      <w:r w:rsidRPr="005845FA">
        <w:rPr>
          <w:rFonts w:ascii="Arial" w:hAnsi="Arial" w:cs="Arial"/>
        </w:rPr>
        <w:t xml:space="preserve"> The first instrument was used to measure the level of market competition. This comprises 20 items that measure four domains, namely: number of competitors with five items is adopted from (Aguilar et al., 2024); market share with five items is also adopted from (Aguilar et al., 2024); pricing strategies with five items is adopted from (</w:t>
      </w:r>
      <w:proofErr w:type="spellStart"/>
      <w:r w:rsidRPr="005845FA">
        <w:rPr>
          <w:rFonts w:ascii="Arial" w:hAnsi="Arial" w:cs="Arial"/>
        </w:rPr>
        <w:t>Araño</w:t>
      </w:r>
      <w:proofErr w:type="spellEnd"/>
      <w:r w:rsidRPr="005845FA">
        <w:rPr>
          <w:rFonts w:ascii="Arial" w:hAnsi="Arial" w:cs="Arial"/>
        </w:rPr>
        <w:t xml:space="preserve"> et al., 2024; </w:t>
      </w:r>
      <w:proofErr w:type="spellStart"/>
      <w:r w:rsidRPr="005845FA">
        <w:rPr>
          <w:rFonts w:ascii="Arial" w:hAnsi="Arial" w:cs="Arial"/>
        </w:rPr>
        <w:t>Nono</w:t>
      </w:r>
      <w:proofErr w:type="spellEnd"/>
      <w:r w:rsidRPr="005845FA">
        <w:rPr>
          <w:rFonts w:ascii="Arial" w:hAnsi="Arial" w:cs="Arial"/>
        </w:rPr>
        <w:t xml:space="preserve"> et al., 2022; WAMIORI, 2000); and product differentiation with five items from (</w:t>
      </w:r>
      <w:proofErr w:type="spellStart"/>
      <w:r w:rsidRPr="005845FA">
        <w:rPr>
          <w:rFonts w:ascii="Arial" w:hAnsi="Arial" w:cs="Arial"/>
        </w:rPr>
        <w:t>Adimo</w:t>
      </w:r>
      <w:proofErr w:type="spellEnd"/>
      <w:r w:rsidRPr="005845FA">
        <w:rPr>
          <w:rFonts w:ascii="Arial" w:hAnsi="Arial" w:cs="Arial"/>
        </w:rPr>
        <w:t>, 2018). The respondents were asked to rate each item along a five-point scale ranging from 5 (strongly agree) to 1 (strongly disagree). To determine the level of market competition, the scale below was used to interpret the answers. On the other hand, the second instrument that was adopted also from various study where the instrument was used to measure the level of sellers’ performance compromising 20 items: sellers’ strategies with five items adopted from (</w:t>
      </w:r>
      <w:proofErr w:type="spellStart"/>
      <w:r w:rsidRPr="005845FA">
        <w:rPr>
          <w:rFonts w:ascii="Arial" w:hAnsi="Arial" w:cs="Arial"/>
        </w:rPr>
        <w:t>Donassolo</w:t>
      </w:r>
      <w:proofErr w:type="spellEnd"/>
      <w:r w:rsidRPr="005845FA">
        <w:rPr>
          <w:rFonts w:ascii="Arial" w:hAnsi="Arial" w:cs="Arial"/>
        </w:rPr>
        <w:t xml:space="preserve"> &amp; De Matos, 2014); sales revenue with five items from (Aguilar et al., 2024; </w:t>
      </w:r>
      <w:proofErr w:type="spellStart"/>
      <w:r w:rsidRPr="005845FA">
        <w:rPr>
          <w:rFonts w:ascii="Arial" w:hAnsi="Arial" w:cs="Arial"/>
        </w:rPr>
        <w:t>Donassolo</w:t>
      </w:r>
      <w:proofErr w:type="spellEnd"/>
      <w:r w:rsidRPr="005845FA">
        <w:rPr>
          <w:rFonts w:ascii="Arial" w:hAnsi="Arial" w:cs="Arial"/>
        </w:rPr>
        <w:t xml:space="preserve"> &amp; De Matos, 2014); profits earned with five items from (</w:t>
      </w:r>
      <w:proofErr w:type="spellStart"/>
      <w:r w:rsidRPr="005845FA">
        <w:rPr>
          <w:rFonts w:ascii="Arial" w:hAnsi="Arial" w:cs="Arial"/>
        </w:rPr>
        <w:t>Asilo</w:t>
      </w:r>
      <w:proofErr w:type="spellEnd"/>
      <w:r w:rsidRPr="005845FA">
        <w:rPr>
          <w:rFonts w:ascii="Arial" w:hAnsi="Arial" w:cs="Arial"/>
        </w:rPr>
        <w:t xml:space="preserve"> et al., 2022); and customer satisfaction with five items from (Aguilar et al., 2024; </w:t>
      </w:r>
      <w:proofErr w:type="spellStart"/>
      <w:r w:rsidRPr="005845FA">
        <w:rPr>
          <w:rFonts w:ascii="Arial" w:hAnsi="Arial" w:cs="Arial"/>
        </w:rPr>
        <w:t>Araño</w:t>
      </w:r>
      <w:proofErr w:type="spellEnd"/>
      <w:r w:rsidRPr="005845FA">
        <w:rPr>
          <w:rFonts w:ascii="Arial" w:hAnsi="Arial" w:cs="Arial"/>
        </w:rPr>
        <w:t xml:space="preserve"> et al., 2024). The respondents were asked to rate each item along a five-point scale ranging from 5 (strongly agree) to 1 (strongly disagree). To determine the level of sellers’ performance, the scale below was used to interpret the answers.</w:t>
      </w:r>
    </w:p>
    <w:p w14:paraId="6600821B" w14:textId="5DEE2E06" w:rsidR="0001037D" w:rsidRPr="005845FA" w:rsidRDefault="0001037D" w:rsidP="00245E9B">
      <w:pPr>
        <w:spacing w:after="160"/>
        <w:jc w:val="both"/>
        <w:rPr>
          <w:rFonts w:ascii="Arial" w:eastAsia="Aptos" w:hAnsi="Arial" w:cs="Arial"/>
          <w:kern w:val="2"/>
          <w14:ligatures w14:val="standardContextual"/>
        </w:rPr>
      </w:pPr>
      <w:r w:rsidRPr="005845FA">
        <w:rPr>
          <w:rFonts w:ascii="Arial" w:eastAsia="Aptos" w:hAnsi="Arial" w:cs="Arial"/>
          <w:kern w:val="2"/>
          <w14:ligatures w14:val="standardContextual"/>
        </w:rPr>
        <w:t>p between compensation and job performance among health workers, the matrix below was used to interpret the answers.</w:t>
      </w:r>
    </w:p>
    <w:p w14:paraId="1CC258AE" w14:textId="751E8B90" w:rsidR="00103862" w:rsidRPr="005845FA" w:rsidRDefault="00E87B96" w:rsidP="00103862">
      <w:pPr>
        <w:pStyle w:val="Body"/>
        <w:spacing w:after="0"/>
        <w:rPr>
          <w:rFonts w:ascii="Arial" w:hAnsi="Arial" w:cs="Arial"/>
          <w:b/>
          <w:sz w:val="22"/>
        </w:rPr>
      </w:pPr>
      <w:r w:rsidRPr="005845FA">
        <w:rPr>
          <w:rFonts w:ascii="Arial" w:hAnsi="Arial" w:cs="Arial"/>
          <w:b/>
          <w:caps/>
          <w:sz w:val="22"/>
        </w:rPr>
        <w:t>2</w:t>
      </w:r>
      <w:r w:rsidR="00103862" w:rsidRPr="005845FA">
        <w:rPr>
          <w:rFonts w:ascii="Arial" w:hAnsi="Arial" w:cs="Arial"/>
          <w:b/>
          <w:caps/>
          <w:sz w:val="22"/>
        </w:rPr>
        <w:t xml:space="preserve">.3 </w:t>
      </w:r>
      <w:r w:rsidR="00103862" w:rsidRPr="005845FA">
        <w:rPr>
          <w:rFonts w:ascii="Arial" w:hAnsi="Arial" w:cs="Arial"/>
          <w:b/>
          <w:sz w:val="22"/>
        </w:rPr>
        <w:t>Respondents of the Study</w:t>
      </w:r>
    </w:p>
    <w:p w14:paraId="63A3235F" w14:textId="77777777" w:rsidR="0057535D" w:rsidRPr="005845FA" w:rsidRDefault="0057535D" w:rsidP="00103862">
      <w:pPr>
        <w:pStyle w:val="Body"/>
        <w:spacing w:after="0"/>
        <w:rPr>
          <w:rFonts w:ascii="Arial" w:hAnsi="Arial" w:cs="Arial"/>
        </w:rPr>
      </w:pPr>
    </w:p>
    <w:p w14:paraId="0AD8F27C" w14:textId="23CD2E1B" w:rsidR="00245E9B" w:rsidRPr="005845FA" w:rsidRDefault="00245E9B" w:rsidP="00245E9B">
      <w:pPr>
        <w:ind w:firstLine="720"/>
        <w:jc w:val="both"/>
        <w:rPr>
          <w:rFonts w:ascii="Arial" w:hAnsi="Arial" w:cs="Arial"/>
        </w:rPr>
      </w:pPr>
      <w:r w:rsidRPr="005845FA">
        <w:rPr>
          <w:rFonts w:ascii="Arial" w:hAnsi="Arial" w:cs="Arial"/>
        </w:rPr>
        <w:t xml:space="preserve">The target population of this research consisted of 572 merchandising businesses in Barangay </w:t>
      </w:r>
      <w:proofErr w:type="spellStart"/>
      <w:r w:rsidRPr="005845FA">
        <w:rPr>
          <w:rFonts w:ascii="Arial" w:hAnsi="Arial" w:cs="Arial"/>
        </w:rPr>
        <w:t>Poblacion</w:t>
      </w:r>
      <w:proofErr w:type="spellEnd"/>
      <w:r w:rsidRPr="005845FA">
        <w:rPr>
          <w:rFonts w:ascii="Arial" w:hAnsi="Arial" w:cs="Arial"/>
        </w:rPr>
        <w:t xml:space="preserve">, </w:t>
      </w:r>
      <w:proofErr w:type="spellStart"/>
      <w:r w:rsidRPr="005845FA">
        <w:rPr>
          <w:rFonts w:ascii="Arial" w:hAnsi="Arial" w:cs="Arial"/>
        </w:rPr>
        <w:t>Cateel</w:t>
      </w:r>
      <w:proofErr w:type="spellEnd"/>
      <w:r w:rsidRPr="005845FA">
        <w:rPr>
          <w:rFonts w:ascii="Arial" w:hAnsi="Arial" w:cs="Arial"/>
        </w:rPr>
        <w:t xml:space="preserve">, Davao Oriental. Due to time and accessibility constraints, it was not possible to survey the entire population. With that, the researchers used </w:t>
      </w:r>
      <w:proofErr w:type="spellStart"/>
      <w:r w:rsidRPr="005845FA">
        <w:rPr>
          <w:rFonts w:ascii="Arial" w:hAnsi="Arial" w:cs="Arial"/>
        </w:rPr>
        <w:t>Slovin's</w:t>
      </w:r>
      <w:proofErr w:type="spellEnd"/>
      <w:r w:rsidRPr="005845FA">
        <w:rPr>
          <w:rFonts w:ascii="Arial" w:hAnsi="Arial" w:cs="Arial"/>
        </w:rPr>
        <w:t xml:space="preserve"> formula to determine the appropriate sample size. From a population size of 572, a sample size of 236 merchandising businesses was chosen to represent the population with 5% margin of error, and this sample was taken from each seller. The owner of a merchandising business was selected as a respondent to contribute to the formulation of hypotheses in the study. This study, titled the Relationship between Market Competition and Sellers' Performance in </w:t>
      </w:r>
      <w:proofErr w:type="spellStart"/>
      <w:r w:rsidRPr="005845FA">
        <w:rPr>
          <w:rFonts w:ascii="Arial" w:hAnsi="Arial" w:cs="Arial"/>
        </w:rPr>
        <w:t>Cateel</w:t>
      </w:r>
      <w:proofErr w:type="spellEnd"/>
      <w:r w:rsidRPr="005845FA">
        <w:rPr>
          <w:rFonts w:ascii="Arial" w:hAnsi="Arial" w:cs="Arial"/>
        </w:rPr>
        <w:t xml:space="preserve">, Davao Oriental, utilized quota sampling as the primary method for selecting respondents. The target population for this research consists of merchandising businesses operating in Barangay </w:t>
      </w:r>
      <w:proofErr w:type="spellStart"/>
      <w:r w:rsidRPr="005845FA">
        <w:rPr>
          <w:rFonts w:ascii="Arial" w:hAnsi="Arial" w:cs="Arial"/>
        </w:rPr>
        <w:t>Poblacion</w:t>
      </w:r>
      <w:proofErr w:type="spellEnd"/>
      <w:r w:rsidRPr="005845FA">
        <w:rPr>
          <w:rFonts w:ascii="Arial" w:hAnsi="Arial" w:cs="Arial"/>
        </w:rPr>
        <w:t xml:space="preserve">, </w:t>
      </w:r>
      <w:proofErr w:type="spellStart"/>
      <w:r w:rsidRPr="005845FA">
        <w:rPr>
          <w:rFonts w:ascii="Arial" w:hAnsi="Arial" w:cs="Arial"/>
        </w:rPr>
        <w:t>Cateel</w:t>
      </w:r>
      <w:proofErr w:type="spellEnd"/>
      <w:r w:rsidRPr="005845FA">
        <w:rPr>
          <w:rFonts w:ascii="Arial" w:hAnsi="Arial" w:cs="Arial"/>
        </w:rPr>
        <w:t xml:space="preserve">, Davao Oriental. According to local records, there are 572 registered merchandising businesses in the area. To ensure that the sample is representative and adheres to practical limitations of time and resources, a total of 236 respondents were selected using quota sampling. The sample was divided based on key characteristics to ensure that various types of merchandising businesses are adequately represented. Additional quotas were applied based on business types, such as grocery stores, clothing shops, and hardware stores, as well as the number of years these businesses had been in operation. The selection process involved visiting businesses in Barangay </w:t>
      </w:r>
      <w:proofErr w:type="spellStart"/>
      <w:r w:rsidRPr="005845FA">
        <w:rPr>
          <w:rFonts w:ascii="Arial" w:hAnsi="Arial" w:cs="Arial"/>
        </w:rPr>
        <w:t>Poblacion</w:t>
      </w:r>
      <w:proofErr w:type="spellEnd"/>
      <w:r w:rsidRPr="005845FA">
        <w:rPr>
          <w:rFonts w:ascii="Arial" w:hAnsi="Arial" w:cs="Arial"/>
        </w:rPr>
        <w:t xml:space="preserve">, </w:t>
      </w:r>
      <w:proofErr w:type="spellStart"/>
      <w:r w:rsidRPr="005845FA">
        <w:rPr>
          <w:rFonts w:ascii="Arial" w:hAnsi="Arial" w:cs="Arial"/>
        </w:rPr>
        <w:t>Cateel</w:t>
      </w:r>
      <w:proofErr w:type="spellEnd"/>
      <w:r w:rsidRPr="005845FA">
        <w:rPr>
          <w:rFonts w:ascii="Arial" w:hAnsi="Arial" w:cs="Arial"/>
        </w:rPr>
        <w:t>, and selecting respondents based on their alignment with the pre-established quota. Once the quota for a specific category is reached, no additional respondents from that category are included in the study.</w:t>
      </w:r>
    </w:p>
    <w:p w14:paraId="50D67840" w14:textId="77777777" w:rsidR="0057535D" w:rsidRPr="005845FA" w:rsidRDefault="0057535D" w:rsidP="0057535D">
      <w:pPr>
        <w:pStyle w:val="Body"/>
        <w:spacing w:after="0"/>
        <w:rPr>
          <w:rFonts w:ascii="Arial" w:hAnsi="Arial" w:cs="Arial"/>
        </w:rPr>
      </w:pPr>
    </w:p>
    <w:p w14:paraId="6EF6833B" w14:textId="4EC62412" w:rsidR="00902823" w:rsidRPr="005845FA" w:rsidRDefault="00E253E0" w:rsidP="00441B6F">
      <w:pPr>
        <w:pStyle w:val="Head1"/>
        <w:spacing w:after="0"/>
        <w:jc w:val="both"/>
        <w:rPr>
          <w:rFonts w:ascii="Arial" w:hAnsi="Arial" w:cs="Arial"/>
        </w:rPr>
      </w:pPr>
      <w:r w:rsidRPr="005845FA">
        <w:rPr>
          <w:rFonts w:ascii="Arial" w:hAnsi="Arial" w:cs="Arial"/>
        </w:rPr>
        <w:t>3</w:t>
      </w:r>
      <w:r w:rsidR="00902823" w:rsidRPr="005845FA">
        <w:rPr>
          <w:rFonts w:ascii="Arial" w:hAnsi="Arial" w:cs="Arial"/>
        </w:rPr>
        <w:t xml:space="preserve">. </w:t>
      </w:r>
      <w:r w:rsidR="00000F8F" w:rsidRPr="005845FA">
        <w:rPr>
          <w:rFonts w:ascii="Arial" w:hAnsi="Arial" w:cs="Arial"/>
        </w:rPr>
        <w:t>results and discussion</w:t>
      </w:r>
    </w:p>
    <w:p w14:paraId="633E0CF3" w14:textId="77777777" w:rsidR="00851412" w:rsidRPr="005845FA" w:rsidRDefault="00851412" w:rsidP="00851412">
      <w:pPr>
        <w:pStyle w:val="Body"/>
        <w:spacing w:after="0"/>
        <w:rPr>
          <w:rFonts w:ascii="Arial" w:hAnsi="Arial" w:cs="Arial"/>
          <w:b/>
          <w:caps/>
          <w:sz w:val="22"/>
        </w:rPr>
      </w:pPr>
    </w:p>
    <w:p w14:paraId="71C28B4E" w14:textId="0F08027D" w:rsidR="0089211D" w:rsidRPr="005845FA" w:rsidRDefault="00E253E0" w:rsidP="00245E9B">
      <w:pPr>
        <w:spacing w:line="480" w:lineRule="auto"/>
        <w:jc w:val="both"/>
        <w:rPr>
          <w:rFonts w:ascii="Arial" w:hAnsi="Arial" w:cs="Arial"/>
          <w:b/>
          <w:bCs/>
        </w:rPr>
      </w:pPr>
      <w:r w:rsidRPr="005845FA">
        <w:rPr>
          <w:rFonts w:ascii="Arial" w:hAnsi="Arial" w:cs="Arial"/>
          <w:b/>
          <w:caps/>
          <w:sz w:val="22"/>
        </w:rPr>
        <w:t>3</w:t>
      </w:r>
      <w:r w:rsidR="00851412" w:rsidRPr="005845FA">
        <w:rPr>
          <w:rFonts w:ascii="Arial" w:hAnsi="Arial" w:cs="Arial"/>
          <w:b/>
          <w:caps/>
          <w:sz w:val="22"/>
        </w:rPr>
        <w:t xml:space="preserve">.1 </w:t>
      </w:r>
      <w:r w:rsidR="00245E9B" w:rsidRPr="005845FA">
        <w:rPr>
          <w:rFonts w:ascii="Arial" w:hAnsi="Arial" w:cs="Arial"/>
          <w:b/>
          <w:bCs/>
        </w:rPr>
        <w:t>Level of Market Competition</w:t>
      </w:r>
    </w:p>
    <w:p w14:paraId="27A84568" w14:textId="5E2ACCD5" w:rsidR="00245E9B" w:rsidRPr="005845FA" w:rsidRDefault="00245E9B" w:rsidP="00245E9B">
      <w:pPr>
        <w:jc w:val="both"/>
        <w:rPr>
          <w:rFonts w:ascii="Arial" w:hAnsi="Arial" w:cs="Arial"/>
        </w:rPr>
      </w:pPr>
      <w:r w:rsidRPr="005845FA">
        <w:rPr>
          <w:rFonts w:ascii="Arial" w:hAnsi="Arial" w:cs="Arial"/>
        </w:rPr>
        <w:t xml:space="preserve">The study assessed market competition based on four dimensions: number of competitors, market share, pricing strategies, and product differentiation. Respondents rated their level of agreement using a 5-point Likert scale, with results presented as mean scores and standard deviations. Among the factors influencing market competition, market share received the lowest mean score of 4.31, though still interpreted as Very High. This suggests that merchandising businesses in </w:t>
      </w:r>
      <w:proofErr w:type="spellStart"/>
      <w:r w:rsidRPr="005845FA">
        <w:rPr>
          <w:rFonts w:ascii="Arial" w:hAnsi="Arial" w:cs="Arial"/>
        </w:rPr>
        <w:t>Cateel</w:t>
      </w:r>
      <w:proofErr w:type="spellEnd"/>
      <w:r w:rsidRPr="005845FA">
        <w:rPr>
          <w:rFonts w:ascii="Arial" w:hAnsi="Arial" w:cs="Arial"/>
        </w:rPr>
        <w:t xml:space="preserve">, Davao Oriental, may find it more challenging to maintain or grow their customer base compared to excelling in other competitive areas. </w:t>
      </w:r>
      <w:proofErr w:type="spellStart"/>
      <w:r w:rsidRPr="005845FA">
        <w:rPr>
          <w:rFonts w:ascii="Arial" w:hAnsi="Arial" w:cs="Arial"/>
        </w:rPr>
        <w:t>Aharoni</w:t>
      </w:r>
      <w:proofErr w:type="spellEnd"/>
      <w:r w:rsidRPr="005845FA">
        <w:rPr>
          <w:rFonts w:ascii="Arial" w:hAnsi="Arial" w:cs="Arial"/>
        </w:rPr>
        <w:t xml:space="preserve"> (2024) emphasized that businesses with limited resources often struggle to compete for market share against more established or larger firms with stronger branding and distribution. Bhattacharya et al. (2022) noted that capturing a greater market share often requires significant investments in marketing and innovation, which smaller businesses may struggle to sustain. Additionally, Liu and </w:t>
      </w:r>
      <w:proofErr w:type="spellStart"/>
      <w:r w:rsidRPr="005845FA">
        <w:rPr>
          <w:rFonts w:ascii="Arial" w:hAnsi="Arial" w:cs="Arial"/>
        </w:rPr>
        <w:t>Atuahene-Gima</w:t>
      </w:r>
      <w:proofErr w:type="spellEnd"/>
      <w:r w:rsidRPr="005845FA">
        <w:rPr>
          <w:rFonts w:ascii="Arial" w:hAnsi="Arial" w:cs="Arial"/>
        </w:rPr>
        <w:t xml:space="preserve"> (2018) noted that securing a stable market share in competitive markets is dependent not only on pricing but also on how effectively a firm differentiates itself and retains customers. Thus, while market share is strong, it remains the most constrained among the measured indicators. The factor with the highest mean score is pricing strategies at 4.43, indicating that respondents consistently apply pricing mechanisms as a primary competitive tool. According to Wood et al. (2021), pricing is often the first response to competition because it directly influences customer choice. Aman (2022) supports this by noting that merchandising businesses often adopt dynamic pricing to respond quickly to competitors' moves. Furthermore, Nagle et al. (2023) found that competitive pricing is one of the most effective strategies for attracting and retaining budget-conscious consumers in a saturated market. These findings suggest that sellers in </w:t>
      </w:r>
      <w:proofErr w:type="spellStart"/>
      <w:r w:rsidRPr="005845FA">
        <w:rPr>
          <w:rFonts w:ascii="Arial" w:hAnsi="Arial" w:cs="Arial"/>
        </w:rPr>
        <w:t>Cateel</w:t>
      </w:r>
      <w:proofErr w:type="spellEnd"/>
      <w:r w:rsidRPr="005845FA">
        <w:rPr>
          <w:rFonts w:ascii="Arial" w:hAnsi="Arial" w:cs="Arial"/>
        </w:rPr>
        <w:t xml:space="preserve"> strategically leverage their pricing to influence market behavior and stay relevant </w:t>
      </w:r>
      <w:r w:rsidRPr="005845FA">
        <w:rPr>
          <w:rFonts w:ascii="Arial" w:hAnsi="Arial" w:cs="Arial"/>
        </w:rPr>
        <w:lastRenderedPageBreak/>
        <w:t xml:space="preserve">amidst local </w:t>
      </w:r>
      <w:proofErr w:type="spellStart"/>
      <w:proofErr w:type="gramStart"/>
      <w:r w:rsidRPr="005845FA">
        <w:rPr>
          <w:rFonts w:ascii="Arial" w:hAnsi="Arial" w:cs="Arial"/>
        </w:rPr>
        <w:t>competition.The</w:t>
      </w:r>
      <w:proofErr w:type="spellEnd"/>
      <w:proofErr w:type="gramEnd"/>
      <w:r w:rsidRPr="005845FA">
        <w:rPr>
          <w:rFonts w:ascii="Arial" w:hAnsi="Arial" w:cs="Arial"/>
        </w:rPr>
        <w:t xml:space="preserve"> overall mean of 4.36 confirms that market competition in </w:t>
      </w:r>
      <w:proofErr w:type="spellStart"/>
      <w:r w:rsidRPr="005845FA">
        <w:rPr>
          <w:rFonts w:ascii="Arial" w:hAnsi="Arial" w:cs="Arial"/>
        </w:rPr>
        <w:t>Cateel</w:t>
      </w:r>
      <w:proofErr w:type="spellEnd"/>
      <w:r w:rsidRPr="005845FA">
        <w:rPr>
          <w:rFonts w:ascii="Arial" w:hAnsi="Arial" w:cs="Arial"/>
        </w:rPr>
        <w:t xml:space="preserve"> is extremely high, indicating a consistently competitive environment across all measured dimensions. As discussed by Akbari and Hopkins (2022), such a high level of competition demands that businesses continuously innovate and enhance operational efficiency to remain viable. Shi et al. (2021) also emphasized that businesses operating in highly competitive settings must regularly assess market trends and consumer behavior to stay responsive and relevant. Lastly, Van Loo (2017) emphasized that while competition fosters innovation and economic efficiency, it can also strain small businesses if not managed strategically. This finding validates the intense market dynamics present in the local context and the necessity for robust competitive strategies. In summary, the results indicate that all domains of market competition are very highly evident in </w:t>
      </w:r>
      <w:proofErr w:type="spellStart"/>
      <w:r w:rsidRPr="005845FA">
        <w:rPr>
          <w:rFonts w:ascii="Arial" w:hAnsi="Arial" w:cs="Arial"/>
        </w:rPr>
        <w:t>Cateel</w:t>
      </w:r>
      <w:proofErr w:type="spellEnd"/>
      <w:r w:rsidRPr="005845FA">
        <w:rPr>
          <w:rFonts w:ascii="Arial" w:hAnsi="Arial" w:cs="Arial"/>
        </w:rPr>
        <w:t>, Davao Oriental. While pricing strategies are the most emphasized, maintaining market share remains the greatest challenge. The consistent high means across all areas reveal that businesses are engaged in aggressive competition, which may both drive innovation and strain operational capacities. Understanding these dynamics is crucial for sustaining competitiveness, particularly among small and medium-sized merchandising enterprises.</w:t>
      </w:r>
    </w:p>
    <w:p w14:paraId="79B05A6B" w14:textId="77777777" w:rsidR="00245E9B" w:rsidRPr="005845FA" w:rsidRDefault="00245E9B" w:rsidP="00245E9B">
      <w:pPr>
        <w:jc w:val="both"/>
        <w:rPr>
          <w:rFonts w:ascii="Arial" w:hAnsi="Arial" w:cs="Arial"/>
        </w:rPr>
      </w:pPr>
    </w:p>
    <w:p w14:paraId="7D7B78D3" w14:textId="66021A1B" w:rsidR="00245E9B" w:rsidRPr="005845FA" w:rsidRDefault="00245E9B" w:rsidP="00245E9B">
      <w:pPr>
        <w:jc w:val="both"/>
        <w:rPr>
          <w:rFonts w:ascii="Arial" w:hAnsi="Arial" w:cs="Arial"/>
        </w:rPr>
      </w:pPr>
      <w:r w:rsidRPr="005845FA">
        <w:rPr>
          <w:rFonts w:ascii="Arial" w:hAnsi="Arial" w:cs="Arial"/>
        </w:rPr>
        <w:t>Table 1. Level of Market Competition</w:t>
      </w:r>
    </w:p>
    <w:tbl>
      <w:tblPr>
        <w:tblStyle w:val="PlainTable2"/>
        <w:tblW w:w="8580" w:type="dxa"/>
        <w:tblLook w:val="04A0" w:firstRow="1" w:lastRow="0" w:firstColumn="1" w:lastColumn="0" w:noHBand="0" w:noVBand="1"/>
      </w:tblPr>
      <w:tblGrid>
        <w:gridCol w:w="4653"/>
        <w:gridCol w:w="960"/>
        <w:gridCol w:w="1207"/>
        <w:gridCol w:w="1760"/>
      </w:tblGrid>
      <w:tr w:rsidR="00245E9B" w:rsidRPr="005845FA" w14:paraId="23463E57" w14:textId="77777777" w:rsidTr="005845FA">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653" w:type="dxa"/>
            <w:hideMark/>
          </w:tcPr>
          <w:p w14:paraId="04D732E3" w14:textId="77777777" w:rsidR="00245E9B" w:rsidRPr="005845FA" w:rsidRDefault="00245E9B" w:rsidP="005A223B">
            <w:pPr>
              <w:jc w:val="center"/>
              <w:rPr>
                <w:rFonts w:ascii="Arial" w:hAnsi="Arial" w:cs="Arial"/>
                <w:b w:val="0"/>
                <w:bCs w:val="0"/>
              </w:rPr>
            </w:pPr>
            <w:r w:rsidRPr="005845FA">
              <w:rPr>
                <w:rFonts w:ascii="Arial" w:hAnsi="Arial" w:cs="Arial"/>
              </w:rPr>
              <w:t>Factors of Market Competition</w:t>
            </w:r>
          </w:p>
        </w:tc>
        <w:tc>
          <w:tcPr>
            <w:tcW w:w="960" w:type="dxa"/>
            <w:hideMark/>
          </w:tcPr>
          <w:p w14:paraId="4EC7E83C" w14:textId="77777777" w:rsidR="00245E9B" w:rsidRPr="005845FA" w:rsidRDefault="00245E9B"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845FA">
              <w:rPr>
                <w:rFonts w:ascii="Arial" w:hAnsi="Arial" w:cs="Arial"/>
              </w:rPr>
              <w:t>Mean</w:t>
            </w:r>
          </w:p>
        </w:tc>
        <w:tc>
          <w:tcPr>
            <w:tcW w:w="1207" w:type="dxa"/>
            <w:hideMark/>
          </w:tcPr>
          <w:p w14:paraId="6625215B" w14:textId="77777777" w:rsidR="00245E9B" w:rsidRPr="005845FA" w:rsidRDefault="00245E9B"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845FA">
              <w:rPr>
                <w:rFonts w:ascii="Arial" w:hAnsi="Arial" w:cs="Arial"/>
              </w:rPr>
              <w:t>Std. Deviation</w:t>
            </w:r>
          </w:p>
        </w:tc>
        <w:tc>
          <w:tcPr>
            <w:tcW w:w="1760" w:type="dxa"/>
            <w:noWrap/>
            <w:hideMark/>
          </w:tcPr>
          <w:p w14:paraId="397D9EEA" w14:textId="77777777" w:rsidR="00245E9B" w:rsidRPr="005845FA" w:rsidRDefault="00245E9B"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845FA">
              <w:rPr>
                <w:rFonts w:ascii="Arial" w:hAnsi="Arial" w:cs="Arial"/>
              </w:rPr>
              <w:t>Interpretation</w:t>
            </w:r>
          </w:p>
        </w:tc>
      </w:tr>
      <w:tr w:rsidR="00245E9B" w:rsidRPr="005845FA" w14:paraId="5AA79C02"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58D26672" w14:textId="77777777" w:rsidR="00245E9B" w:rsidRPr="005845FA" w:rsidRDefault="00245E9B" w:rsidP="005A223B">
            <w:pPr>
              <w:jc w:val="both"/>
              <w:rPr>
                <w:rFonts w:ascii="Arial" w:hAnsi="Arial" w:cs="Arial"/>
              </w:rPr>
            </w:pPr>
            <w:r w:rsidRPr="005845FA">
              <w:rPr>
                <w:rFonts w:ascii="Arial" w:hAnsi="Arial" w:cs="Arial"/>
              </w:rPr>
              <w:t>Number of Competitors</w:t>
            </w:r>
          </w:p>
        </w:tc>
        <w:tc>
          <w:tcPr>
            <w:tcW w:w="960" w:type="dxa"/>
            <w:noWrap/>
            <w:hideMark/>
          </w:tcPr>
          <w:p w14:paraId="1AB11143"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4.32</w:t>
            </w:r>
          </w:p>
        </w:tc>
        <w:tc>
          <w:tcPr>
            <w:tcW w:w="1207" w:type="dxa"/>
            <w:noWrap/>
            <w:hideMark/>
          </w:tcPr>
          <w:p w14:paraId="15EFF5C2"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0.42</w:t>
            </w:r>
          </w:p>
        </w:tc>
        <w:tc>
          <w:tcPr>
            <w:tcW w:w="1760" w:type="dxa"/>
            <w:noWrap/>
            <w:hideMark/>
          </w:tcPr>
          <w:p w14:paraId="31B3D2B8"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4ECBF837"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6B18D749" w14:textId="77777777" w:rsidR="00245E9B" w:rsidRPr="005845FA" w:rsidRDefault="00245E9B" w:rsidP="005A223B">
            <w:pPr>
              <w:jc w:val="both"/>
              <w:rPr>
                <w:rFonts w:ascii="Arial" w:hAnsi="Arial" w:cs="Arial"/>
              </w:rPr>
            </w:pPr>
            <w:r w:rsidRPr="005845FA">
              <w:rPr>
                <w:rFonts w:ascii="Arial" w:hAnsi="Arial" w:cs="Arial"/>
              </w:rPr>
              <w:t>Market Share</w:t>
            </w:r>
          </w:p>
        </w:tc>
        <w:tc>
          <w:tcPr>
            <w:tcW w:w="960" w:type="dxa"/>
            <w:noWrap/>
            <w:hideMark/>
          </w:tcPr>
          <w:p w14:paraId="3307EE34"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4.31</w:t>
            </w:r>
          </w:p>
        </w:tc>
        <w:tc>
          <w:tcPr>
            <w:tcW w:w="1207" w:type="dxa"/>
            <w:noWrap/>
            <w:hideMark/>
          </w:tcPr>
          <w:p w14:paraId="5249FCE8"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0.40</w:t>
            </w:r>
          </w:p>
        </w:tc>
        <w:tc>
          <w:tcPr>
            <w:tcW w:w="1760" w:type="dxa"/>
            <w:noWrap/>
            <w:hideMark/>
          </w:tcPr>
          <w:p w14:paraId="7B783D13"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20788C18"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01FE28A1" w14:textId="77777777" w:rsidR="00245E9B" w:rsidRPr="005845FA" w:rsidRDefault="00245E9B" w:rsidP="005A223B">
            <w:pPr>
              <w:jc w:val="both"/>
              <w:rPr>
                <w:rFonts w:ascii="Arial" w:hAnsi="Arial" w:cs="Arial"/>
              </w:rPr>
            </w:pPr>
            <w:r w:rsidRPr="005845FA">
              <w:rPr>
                <w:rFonts w:ascii="Arial" w:hAnsi="Arial" w:cs="Arial"/>
              </w:rPr>
              <w:t>Pricing Strategies</w:t>
            </w:r>
          </w:p>
        </w:tc>
        <w:tc>
          <w:tcPr>
            <w:tcW w:w="960" w:type="dxa"/>
            <w:noWrap/>
            <w:hideMark/>
          </w:tcPr>
          <w:p w14:paraId="0E696961"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4.43</w:t>
            </w:r>
          </w:p>
        </w:tc>
        <w:tc>
          <w:tcPr>
            <w:tcW w:w="1207" w:type="dxa"/>
            <w:noWrap/>
            <w:hideMark/>
          </w:tcPr>
          <w:p w14:paraId="7CFC6D40"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0.43</w:t>
            </w:r>
          </w:p>
        </w:tc>
        <w:tc>
          <w:tcPr>
            <w:tcW w:w="1760" w:type="dxa"/>
            <w:noWrap/>
            <w:hideMark/>
          </w:tcPr>
          <w:p w14:paraId="7AF83E3C"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37A33A45"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4BA337C7" w14:textId="77777777" w:rsidR="00245E9B" w:rsidRPr="005845FA" w:rsidRDefault="00245E9B" w:rsidP="005A223B">
            <w:pPr>
              <w:jc w:val="both"/>
              <w:rPr>
                <w:rFonts w:ascii="Arial" w:hAnsi="Arial" w:cs="Arial"/>
              </w:rPr>
            </w:pPr>
            <w:r w:rsidRPr="005845FA">
              <w:rPr>
                <w:rFonts w:ascii="Arial" w:hAnsi="Arial" w:cs="Arial"/>
              </w:rPr>
              <w:t>Product Differentiation</w:t>
            </w:r>
          </w:p>
        </w:tc>
        <w:tc>
          <w:tcPr>
            <w:tcW w:w="960" w:type="dxa"/>
            <w:noWrap/>
            <w:hideMark/>
          </w:tcPr>
          <w:p w14:paraId="4F9FBCEF"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4.40</w:t>
            </w:r>
          </w:p>
        </w:tc>
        <w:tc>
          <w:tcPr>
            <w:tcW w:w="1207" w:type="dxa"/>
            <w:noWrap/>
            <w:hideMark/>
          </w:tcPr>
          <w:p w14:paraId="3E200F64"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0.46</w:t>
            </w:r>
          </w:p>
        </w:tc>
        <w:tc>
          <w:tcPr>
            <w:tcW w:w="1760" w:type="dxa"/>
            <w:noWrap/>
            <w:hideMark/>
          </w:tcPr>
          <w:p w14:paraId="6EFB3EC0"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27839F59"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0BFF3FE9" w14:textId="77777777" w:rsidR="00245E9B" w:rsidRPr="005845FA" w:rsidRDefault="00245E9B" w:rsidP="005A223B">
            <w:pPr>
              <w:jc w:val="both"/>
              <w:rPr>
                <w:rFonts w:ascii="Arial" w:hAnsi="Arial" w:cs="Arial"/>
              </w:rPr>
            </w:pPr>
            <w:r w:rsidRPr="005845FA">
              <w:rPr>
                <w:rFonts w:ascii="Arial" w:hAnsi="Arial" w:cs="Arial"/>
              </w:rPr>
              <w:t>Overall Market Competition</w:t>
            </w:r>
          </w:p>
        </w:tc>
        <w:tc>
          <w:tcPr>
            <w:tcW w:w="960" w:type="dxa"/>
            <w:noWrap/>
            <w:hideMark/>
          </w:tcPr>
          <w:p w14:paraId="5A439520"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4.36</w:t>
            </w:r>
          </w:p>
        </w:tc>
        <w:tc>
          <w:tcPr>
            <w:tcW w:w="1207" w:type="dxa"/>
            <w:noWrap/>
            <w:hideMark/>
          </w:tcPr>
          <w:p w14:paraId="6DBCD167"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0.31</w:t>
            </w:r>
          </w:p>
        </w:tc>
        <w:tc>
          <w:tcPr>
            <w:tcW w:w="1760" w:type="dxa"/>
            <w:noWrap/>
            <w:hideMark/>
          </w:tcPr>
          <w:p w14:paraId="7FBA4204"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Very High</w:t>
            </w:r>
          </w:p>
        </w:tc>
      </w:tr>
    </w:tbl>
    <w:p w14:paraId="4F2BAA6B" w14:textId="7F84D19A" w:rsidR="00F54792" w:rsidRPr="005845FA" w:rsidRDefault="00F54792" w:rsidP="00245E9B">
      <w:pPr>
        <w:jc w:val="both"/>
        <w:rPr>
          <w:rFonts w:ascii="Arial" w:eastAsia="Calibri" w:hAnsi="Arial" w:cs="Arial"/>
        </w:rPr>
      </w:pPr>
    </w:p>
    <w:p w14:paraId="09063778" w14:textId="6532D3C9" w:rsidR="00790ADA" w:rsidRPr="005845FA" w:rsidRDefault="00445A61" w:rsidP="00245E9B">
      <w:pPr>
        <w:spacing w:line="480" w:lineRule="auto"/>
        <w:jc w:val="both"/>
        <w:rPr>
          <w:rFonts w:ascii="Arial" w:hAnsi="Arial" w:cs="Arial"/>
          <w:b/>
          <w:bCs/>
        </w:rPr>
      </w:pPr>
      <w:r w:rsidRPr="005845FA">
        <w:rPr>
          <w:rFonts w:ascii="Arial" w:eastAsia="Calibri" w:hAnsi="Arial" w:cs="Arial"/>
          <w:b/>
          <w:bCs/>
          <w:sz w:val="22"/>
          <w:szCs w:val="22"/>
        </w:rPr>
        <w:t xml:space="preserve">3.2 </w:t>
      </w:r>
      <w:r w:rsidR="00245E9B" w:rsidRPr="005845FA">
        <w:rPr>
          <w:rFonts w:ascii="Arial" w:hAnsi="Arial" w:cs="Arial"/>
          <w:b/>
          <w:bCs/>
        </w:rPr>
        <w:t>Level of Sellers’ Performance</w:t>
      </w:r>
    </w:p>
    <w:p w14:paraId="77F1C20D" w14:textId="0DAA764D" w:rsidR="00245E9B" w:rsidRPr="005845FA" w:rsidRDefault="00245E9B" w:rsidP="005845FA">
      <w:pPr>
        <w:jc w:val="both"/>
        <w:rPr>
          <w:rFonts w:ascii="Arial" w:hAnsi="Arial" w:cs="Arial"/>
        </w:rPr>
      </w:pPr>
      <w:r w:rsidRPr="005845FA">
        <w:rPr>
          <w:rFonts w:ascii="Arial" w:hAnsi="Arial" w:cs="Arial"/>
        </w:rPr>
        <w:t>The study assessed sellers’ performance based on four key dimensions: sales strategies, sales revenue, profits earned, and customer satisfaction. Respondents rated their level of agreement using a 5-point Likert scale, with results presented as mean scores and standard deviations.</w:t>
      </w:r>
      <w:r w:rsidR="005845FA" w:rsidRPr="005845FA">
        <w:rPr>
          <w:rFonts w:ascii="Arial" w:hAnsi="Arial" w:cs="Arial"/>
        </w:rPr>
        <w:t xml:space="preserve"> </w:t>
      </w:r>
      <w:r w:rsidRPr="005845FA">
        <w:rPr>
          <w:rFonts w:ascii="Arial" w:hAnsi="Arial" w:cs="Arial"/>
        </w:rPr>
        <w:t xml:space="preserve">Among the seller performance factors, seller strategies obtained the lowest mean score of 4.40, although they were still classified as “Very High.” This suggests that while sellers are actively employing strategies, there is still room for further refinement. According to </w:t>
      </w:r>
      <w:proofErr w:type="spellStart"/>
      <w:r w:rsidRPr="005845FA">
        <w:rPr>
          <w:rFonts w:ascii="Arial" w:hAnsi="Arial" w:cs="Arial"/>
        </w:rPr>
        <w:t>Trirahayu</w:t>
      </w:r>
      <w:proofErr w:type="spellEnd"/>
      <w:r w:rsidRPr="005845FA">
        <w:rPr>
          <w:rFonts w:ascii="Arial" w:hAnsi="Arial" w:cs="Arial"/>
        </w:rPr>
        <w:t xml:space="preserve"> (2023), seller strategies are most effective when tailored to specific market dynamics and customer preferences, yet many local businesses may rely on traditional methods that limit their effectiveness. </w:t>
      </w:r>
      <w:proofErr w:type="spellStart"/>
      <w:r w:rsidRPr="005845FA">
        <w:rPr>
          <w:rFonts w:ascii="Arial" w:hAnsi="Arial" w:cs="Arial"/>
        </w:rPr>
        <w:t>Alshurideh</w:t>
      </w:r>
      <w:proofErr w:type="spellEnd"/>
      <w:r w:rsidRPr="005845FA">
        <w:rPr>
          <w:rFonts w:ascii="Arial" w:hAnsi="Arial" w:cs="Arial"/>
        </w:rPr>
        <w:t xml:space="preserve"> et al. (2022) emphasized the importance of performance metrics and structured goal-setting in developing more effective strategies. Additionally, </w:t>
      </w:r>
      <w:proofErr w:type="spellStart"/>
      <w:r w:rsidRPr="005845FA">
        <w:rPr>
          <w:rFonts w:ascii="Arial" w:hAnsi="Arial" w:cs="Arial"/>
        </w:rPr>
        <w:t>Blazey</w:t>
      </w:r>
      <w:proofErr w:type="spellEnd"/>
      <w:r w:rsidRPr="005845FA">
        <w:rPr>
          <w:rFonts w:ascii="Arial" w:hAnsi="Arial" w:cs="Arial"/>
        </w:rPr>
        <w:t xml:space="preserve"> and </w:t>
      </w:r>
      <w:proofErr w:type="spellStart"/>
      <w:r w:rsidRPr="005845FA">
        <w:rPr>
          <w:rFonts w:ascii="Arial" w:hAnsi="Arial" w:cs="Arial"/>
        </w:rPr>
        <w:t>Grizzell</w:t>
      </w:r>
      <w:proofErr w:type="spellEnd"/>
      <w:r w:rsidRPr="005845FA">
        <w:rPr>
          <w:rFonts w:ascii="Arial" w:hAnsi="Arial" w:cs="Arial"/>
        </w:rPr>
        <w:t xml:space="preserve"> (2021) emphasized that aligning performance incentives with sales targets leads to improved outcomes for sellers. The relatively lower mean suggests that sellers may benefit from more data-driven and innovative strategy development.</w:t>
      </w:r>
      <w:r w:rsidR="005845FA" w:rsidRPr="005845FA">
        <w:rPr>
          <w:rFonts w:ascii="Arial" w:hAnsi="Arial" w:cs="Arial"/>
        </w:rPr>
        <w:t xml:space="preserve"> </w:t>
      </w:r>
      <w:r w:rsidRPr="005845FA">
        <w:rPr>
          <w:rFonts w:ascii="Arial" w:hAnsi="Arial" w:cs="Arial"/>
        </w:rPr>
        <w:t xml:space="preserve">Customer satisfaction received the highest mean rating, suggesting that businesses are excelling in maintaining strong customer relationships. Dam and Dam (2021) assert that high customer satisfaction is closely tied to repeated purchases, positive word-of-mouth, and long-term brand loyalty. Rane et al. (2023) likewise highlighted the influence of superior customer service and emotional connection in sustaining customer satisfaction, even in competitive markets. Moreover, </w:t>
      </w:r>
      <w:proofErr w:type="spellStart"/>
      <w:r w:rsidRPr="005845FA">
        <w:rPr>
          <w:rFonts w:ascii="Arial" w:hAnsi="Arial" w:cs="Arial"/>
        </w:rPr>
        <w:t>Leonidou</w:t>
      </w:r>
      <w:proofErr w:type="spellEnd"/>
      <w:r w:rsidRPr="005845FA">
        <w:rPr>
          <w:rFonts w:ascii="Arial" w:hAnsi="Arial" w:cs="Arial"/>
        </w:rPr>
        <w:t xml:space="preserve"> et al. (2021) found that sellers with high emotional intelligence and relationship-building skills are more likely to foster loyalty and long-term engagement. These findings suggest that merchandising businesses in </w:t>
      </w:r>
      <w:proofErr w:type="spellStart"/>
      <w:r w:rsidRPr="005845FA">
        <w:rPr>
          <w:rFonts w:ascii="Arial" w:hAnsi="Arial" w:cs="Arial"/>
        </w:rPr>
        <w:t>Cateel</w:t>
      </w:r>
      <w:proofErr w:type="spellEnd"/>
      <w:r w:rsidRPr="005845FA">
        <w:rPr>
          <w:rFonts w:ascii="Arial" w:hAnsi="Arial" w:cs="Arial"/>
        </w:rPr>
        <w:t xml:space="preserve"> are effectively fostering consumer trust and loyalty, which is crucial in a highly competitive local market.</w:t>
      </w:r>
      <w:r w:rsidR="005845FA" w:rsidRPr="005845FA">
        <w:rPr>
          <w:rFonts w:ascii="Arial" w:hAnsi="Arial" w:cs="Arial"/>
        </w:rPr>
        <w:t xml:space="preserve"> </w:t>
      </w:r>
      <w:r w:rsidRPr="005845FA">
        <w:rPr>
          <w:rFonts w:ascii="Arial" w:hAnsi="Arial" w:cs="Arial"/>
        </w:rPr>
        <w:t xml:space="preserve">The overall mean of 4.42 confirms that seller performance is very high across all indicators. As noted by </w:t>
      </w:r>
      <w:proofErr w:type="spellStart"/>
      <w:r w:rsidRPr="005845FA">
        <w:rPr>
          <w:rFonts w:ascii="Arial" w:hAnsi="Arial" w:cs="Arial"/>
        </w:rPr>
        <w:t>Alonge</w:t>
      </w:r>
      <w:proofErr w:type="spellEnd"/>
      <w:r w:rsidRPr="005845FA">
        <w:rPr>
          <w:rFonts w:ascii="Arial" w:hAnsi="Arial" w:cs="Arial"/>
        </w:rPr>
        <w:t xml:space="preserve"> et al. (2024), consistently high performance reflects a business’s ability to align its internal processes with external market demands. </w:t>
      </w:r>
      <w:proofErr w:type="spellStart"/>
      <w:r w:rsidRPr="005845FA">
        <w:rPr>
          <w:rFonts w:ascii="Arial" w:hAnsi="Arial" w:cs="Arial"/>
        </w:rPr>
        <w:t>Agustian</w:t>
      </w:r>
      <w:proofErr w:type="spellEnd"/>
      <w:r w:rsidRPr="005845FA">
        <w:rPr>
          <w:rFonts w:ascii="Arial" w:hAnsi="Arial" w:cs="Arial"/>
        </w:rPr>
        <w:t xml:space="preserve"> et al. (2023) further argue that the integration of customer relationship management (CRM) tools plays a significant role in improving seller performance through personalized service and efficient sales tracking. Meanwhile, Lopez (2020) found that businesses with robust sales strategies and strong customer engagement models tend to perform well financially and operationally. The high overall mean affirms the effectiveness of the practices adopted by the respondents in maintaining performance despite the challenges posed by market competition.</w:t>
      </w:r>
      <w:r w:rsidR="005845FA" w:rsidRPr="005845FA">
        <w:rPr>
          <w:rFonts w:ascii="Arial" w:hAnsi="Arial" w:cs="Arial"/>
        </w:rPr>
        <w:t xml:space="preserve"> </w:t>
      </w:r>
      <w:r w:rsidRPr="005845FA">
        <w:rPr>
          <w:rFonts w:ascii="Arial" w:hAnsi="Arial" w:cs="Arial"/>
        </w:rPr>
        <w:t xml:space="preserve">Moreover, the level of seller performance among merchandising businesses in </w:t>
      </w:r>
      <w:proofErr w:type="spellStart"/>
      <w:r w:rsidRPr="005845FA">
        <w:rPr>
          <w:rFonts w:ascii="Arial" w:hAnsi="Arial" w:cs="Arial"/>
        </w:rPr>
        <w:t>Cateel</w:t>
      </w:r>
      <w:proofErr w:type="spellEnd"/>
      <w:r w:rsidRPr="005845FA">
        <w:rPr>
          <w:rFonts w:ascii="Arial" w:hAnsi="Arial" w:cs="Arial"/>
        </w:rPr>
        <w:t>, Davao Oriental, is remarkably high across all domains. Although seller strategies lag slightly behind other indicators, they still demonstrate strength, with the highest performance being achieved in ensuring customer satisfaction. The data suggest that while businesses are succeeding in engaging their market, refining internal strategies could further enhance their competitive advantage and operational resilience.</w:t>
      </w:r>
    </w:p>
    <w:p w14:paraId="5F8914EE" w14:textId="77777777" w:rsidR="005845FA" w:rsidRPr="005845FA" w:rsidRDefault="005845FA" w:rsidP="005845FA">
      <w:pPr>
        <w:jc w:val="both"/>
        <w:rPr>
          <w:rFonts w:ascii="Arial" w:hAnsi="Arial" w:cs="Arial"/>
        </w:rPr>
      </w:pPr>
    </w:p>
    <w:p w14:paraId="10AE6F07" w14:textId="70E6A93B" w:rsidR="00245E9B" w:rsidRPr="005845FA" w:rsidRDefault="00245E9B" w:rsidP="00245E9B">
      <w:pPr>
        <w:jc w:val="both"/>
        <w:rPr>
          <w:rFonts w:ascii="Arial" w:hAnsi="Arial" w:cs="Arial"/>
        </w:rPr>
      </w:pPr>
      <w:r w:rsidRPr="005845FA">
        <w:rPr>
          <w:rFonts w:ascii="Arial" w:hAnsi="Arial" w:cs="Arial"/>
        </w:rPr>
        <w:t xml:space="preserve">Table </w:t>
      </w:r>
      <w:r w:rsidR="005845FA" w:rsidRPr="005845FA">
        <w:rPr>
          <w:rFonts w:ascii="Arial" w:hAnsi="Arial" w:cs="Arial"/>
        </w:rPr>
        <w:t>2</w:t>
      </w:r>
      <w:r w:rsidRPr="005845FA">
        <w:rPr>
          <w:rFonts w:ascii="Arial" w:hAnsi="Arial" w:cs="Arial"/>
        </w:rPr>
        <w:t>. Level of Sellers Performance</w:t>
      </w:r>
    </w:p>
    <w:tbl>
      <w:tblPr>
        <w:tblStyle w:val="PlainTable2"/>
        <w:tblW w:w="8580" w:type="dxa"/>
        <w:tblLook w:val="04A0" w:firstRow="1" w:lastRow="0" w:firstColumn="1" w:lastColumn="0" w:noHBand="0" w:noVBand="1"/>
      </w:tblPr>
      <w:tblGrid>
        <w:gridCol w:w="4653"/>
        <w:gridCol w:w="960"/>
        <w:gridCol w:w="1207"/>
        <w:gridCol w:w="1760"/>
      </w:tblGrid>
      <w:tr w:rsidR="00245E9B" w:rsidRPr="005845FA" w14:paraId="0EBB012B" w14:textId="77777777" w:rsidTr="005845FA">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653" w:type="dxa"/>
            <w:hideMark/>
          </w:tcPr>
          <w:p w14:paraId="0EE60E3A" w14:textId="77777777" w:rsidR="00245E9B" w:rsidRPr="005845FA" w:rsidRDefault="00245E9B" w:rsidP="005A223B">
            <w:pPr>
              <w:jc w:val="center"/>
              <w:rPr>
                <w:rFonts w:ascii="Arial" w:hAnsi="Arial" w:cs="Arial"/>
                <w:b w:val="0"/>
                <w:bCs w:val="0"/>
              </w:rPr>
            </w:pPr>
            <w:r w:rsidRPr="005845FA">
              <w:rPr>
                <w:rFonts w:ascii="Arial" w:hAnsi="Arial" w:cs="Arial"/>
              </w:rPr>
              <w:t>Factors Affecting Seller's Performance</w:t>
            </w:r>
          </w:p>
        </w:tc>
        <w:tc>
          <w:tcPr>
            <w:tcW w:w="960" w:type="dxa"/>
            <w:hideMark/>
          </w:tcPr>
          <w:p w14:paraId="2ABC80C4" w14:textId="77777777" w:rsidR="00245E9B" w:rsidRPr="005845FA" w:rsidRDefault="00245E9B"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845FA">
              <w:rPr>
                <w:rFonts w:ascii="Arial" w:hAnsi="Arial" w:cs="Arial"/>
              </w:rPr>
              <w:t>Mean</w:t>
            </w:r>
          </w:p>
        </w:tc>
        <w:tc>
          <w:tcPr>
            <w:tcW w:w="1207" w:type="dxa"/>
            <w:hideMark/>
          </w:tcPr>
          <w:p w14:paraId="1CA4B3CD" w14:textId="77777777" w:rsidR="00245E9B" w:rsidRPr="005845FA" w:rsidRDefault="00245E9B"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845FA">
              <w:rPr>
                <w:rFonts w:ascii="Arial" w:hAnsi="Arial" w:cs="Arial"/>
              </w:rPr>
              <w:t>Std. Deviation</w:t>
            </w:r>
          </w:p>
        </w:tc>
        <w:tc>
          <w:tcPr>
            <w:tcW w:w="1760" w:type="dxa"/>
            <w:noWrap/>
            <w:hideMark/>
          </w:tcPr>
          <w:p w14:paraId="759275B8" w14:textId="77777777" w:rsidR="00245E9B" w:rsidRPr="005845FA" w:rsidRDefault="00245E9B"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845FA">
              <w:rPr>
                <w:rFonts w:ascii="Arial" w:hAnsi="Arial" w:cs="Arial"/>
              </w:rPr>
              <w:t>Interpretation</w:t>
            </w:r>
          </w:p>
        </w:tc>
      </w:tr>
      <w:tr w:rsidR="00245E9B" w:rsidRPr="005845FA" w14:paraId="51654F0F"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372882B2" w14:textId="77777777" w:rsidR="00245E9B" w:rsidRPr="005845FA" w:rsidRDefault="00245E9B" w:rsidP="005A223B">
            <w:pPr>
              <w:jc w:val="both"/>
              <w:rPr>
                <w:rFonts w:ascii="Arial" w:hAnsi="Arial" w:cs="Arial"/>
              </w:rPr>
            </w:pPr>
            <w:r w:rsidRPr="005845FA">
              <w:rPr>
                <w:rFonts w:ascii="Arial" w:hAnsi="Arial" w:cs="Arial"/>
              </w:rPr>
              <w:t>Seller Strategies</w:t>
            </w:r>
          </w:p>
        </w:tc>
        <w:tc>
          <w:tcPr>
            <w:tcW w:w="960" w:type="dxa"/>
            <w:noWrap/>
            <w:hideMark/>
          </w:tcPr>
          <w:p w14:paraId="282AC9B9"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4.40</w:t>
            </w:r>
          </w:p>
        </w:tc>
        <w:tc>
          <w:tcPr>
            <w:tcW w:w="1207" w:type="dxa"/>
            <w:noWrap/>
            <w:hideMark/>
          </w:tcPr>
          <w:p w14:paraId="0C8976A2"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0.45</w:t>
            </w:r>
          </w:p>
        </w:tc>
        <w:tc>
          <w:tcPr>
            <w:tcW w:w="1760" w:type="dxa"/>
            <w:noWrap/>
            <w:hideMark/>
          </w:tcPr>
          <w:p w14:paraId="1098CFB7"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03D616B1"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3696D967" w14:textId="77777777" w:rsidR="00245E9B" w:rsidRPr="005845FA" w:rsidRDefault="00245E9B" w:rsidP="005A223B">
            <w:pPr>
              <w:jc w:val="both"/>
              <w:rPr>
                <w:rFonts w:ascii="Arial" w:hAnsi="Arial" w:cs="Arial"/>
              </w:rPr>
            </w:pPr>
            <w:r w:rsidRPr="005845FA">
              <w:rPr>
                <w:rFonts w:ascii="Arial" w:hAnsi="Arial" w:cs="Arial"/>
              </w:rPr>
              <w:lastRenderedPageBreak/>
              <w:t>Sales Revenue</w:t>
            </w:r>
          </w:p>
        </w:tc>
        <w:tc>
          <w:tcPr>
            <w:tcW w:w="960" w:type="dxa"/>
            <w:noWrap/>
            <w:hideMark/>
          </w:tcPr>
          <w:p w14:paraId="541F0DEC"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4.41</w:t>
            </w:r>
          </w:p>
        </w:tc>
        <w:tc>
          <w:tcPr>
            <w:tcW w:w="1207" w:type="dxa"/>
            <w:noWrap/>
            <w:hideMark/>
          </w:tcPr>
          <w:p w14:paraId="4665F7D7"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0.47</w:t>
            </w:r>
          </w:p>
        </w:tc>
        <w:tc>
          <w:tcPr>
            <w:tcW w:w="1760" w:type="dxa"/>
            <w:noWrap/>
            <w:hideMark/>
          </w:tcPr>
          <w:p w14:paraId="50E1DC87"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5AFACC01"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47312A24" w14:textId="77777777" w:rsidR="00245E9B" w:rsidRPr="005845FA" w:rsidRDefault="00245E9B" w:rsidP="005A223B">
            <w:pPr>
              <w:jc w:val="both"/>
              <w:rPr>
                <w:rFonts w:ascii="Arial" w:hAnsi="Arial" w:cs="Arial"/>
              </w:rPr>
            </w:pPr>
            <w:r w:rsidRPr="005845FA">
              <w:rPr>
                <w:rFonts w:ascii="Arial" w:hAnsi="Arial" w:cs="Arial"/>
              </w:rPr>
              <w:t>Profits Earned</w:t>
            </w:r>
          </w:p>
        </w:tc>
        <w:tc>
          <w:tcPr>
            <w:tcW w:w="960" w:type="dxa"/>
            <w:noWrap/>
            <w:hideMark/>
          </w:tcPr>
          <w:p w14:paraId="442A7681"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4.41</w:t>
            </w:r>
          </w:p>
        </w:tc>
        <w:tc>
          <w:tcPr>
            <w:tcW w:w="1207" w:type="dxa"/>
            <w:noWrap/>
            <w:hideMark/>
          </w:tcPr>
          <w:p w14:paraId="2C10FB05"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0.50</w:t>
            </w:r>
          </w:p>
        </w:tc>
        <w:tc>
          <w:tcPr>
            <w:tcW w:w="1760" w:type="dxa"/>
            <w:noWrap/>
            <w:hideMark/>
          </w:tcPr>
          <w:p w14:paraId="227AC596"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35CE5A52"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62712B43" w14:textId="77777777" w:rsidR="00245E9B" w:rsidRPr="005845FA" w:rsidRDefault="00245E9B" w:rsidP="005A223B">
            <w:pPr>
              <w:jc w:val="both"/>
              <w:rPr>
                <w:rFonts w:ascii="Arial" w:hAnsi="Arial" w:cs="Arial"/>
              </w:rPr>
            </w:pPr>
            <w:r w:rsidRPr="005845FA">
              <w:rPr>
                <w:rFonts w:ascii="Arial" w:hAnsi="Arial" w:cs="Arial"/>
              </w:rPr>
              <w:t>Customer Satisfaction</w:t>
            </w:r>
          </w:p>
        </w:tc>
        <w:tc>
          <w:tcPr>
            <w:tcW w:w="960" w:type="dxa"/>
            <w:noWrap/>
            <w:hideMark/>
          </w:tcPr>
          <w:p w14:paraId="2A958E92"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4.47</w:t>
            </w:r>
          </w:p>
        </w:tc>
        <w:tc>
          <w:tcPr>
            <w:tcW w:w="1207" w:type="dxa"/>
            <w:noWrap/>
            <w:hideMark/>
          </w:tcPr>
          <w:p w14:paraId="468B39BA"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0.48</w:t>
            </w:r>
          </w:p>
        </w:tc>
        <w:tc>
          <w:tcPr>
            <w:tcW w:w="1760" w:type="dxa"/>
            <w:noWrap/>
            <w:hideMark/>
          </w:tcPr>
          <w:p w14:paraId="6632615F" w14:textId="77777777" w:rsidR="00245E9B" w:rsidRPr="005845FA" w:rsidRDefault="00245E9B"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45FA">
              <w:rPr>
                <w:rFonts w:ascii="Arial" w:hAnsi="Arial" w:cs="Arial"/>
              </w:rPr>
              <w:t>Very High</w:t>
            </w:r>
          </w:p>
        </w:tc>
      </w:tr>
      <w:tr w:rsidR="00245E9B" w:rsidRPr="005845FA" w14:paraId="00E785A1"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53" w:type="dxa"/>
            <w:hideMark/>
          </w:tcPr>
          <w:p w14:paraId="486BC957" w14:textId="77777777" w:rsidR="00245E9B" w:rsidRPr="005845FA" w:rsidRDefault="00245E9B" w:rsidP="005A223B">
            <w:pPr>
              <w:jc w:val="both"/>
              <w:rPr>
                <w:rFonts w:ascii="Arial" w:hAnsi="Arial" w:cs="Arial"/>
              </w:rPr>
            </w:pPr>
            <w:r w:rsidRPr="005845FA">
              <w:rPr>
                <w:rFonts w:ascii="Arial" w:hAnsi="Arial" w:cs="Arial"/>
              </w:rPr>
              <w:t>Overall Sellers Performance</w:t>
            </w:r>
          </w:p>
        </w:tc>
        <w:tc>
          <w:tcPr>
            <w:tcW w:w="960" w:type="dxa"/>
            <w:noWrap/>
            <w:hideMark/>
          </w:tcPr>
          <w:p w14:paraId="6A17E85E"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4.42</w:t>
            </w:r>
          </w:p>
        </w:tc>
        <w:tc>
          <w:tcPr>
            <w:tcW w:w="1207" w:type="dxa"/>
            <w:noWrap/>
            <w:hideMark/>
          </w:tcPr>
          <w:p w14:paraId="323A4F37"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0.36</w:t>
            </w:r>
          </w:p>
        </w:tc>
        <w:tc>
          <w:tcPr>
            <w:tcW w:w="1760" w:type="dxa"/>
            <w:noWrap/>
            <w:hideMark/>
          </w:tcPr>
          <w:p w14:paraId="01FDCE7F" w14:textId="77777777" w:rsidR="00245E9B" w:rsidRPr="005845FA" w:rsidRDefault="00245E9B"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845FA">
              <w:rPr>
                <w:rFonts w:ascii="Arial" w:hAnsi="Arial" w:cs="Arial"/>
              </w:rPr>
              <w:t>Very High</w:t>
            </w:r>
          </w:p>
        </w:tc>
      </w:tr>
      <w:tr w:rsidR="005845FA" w:rsidRPr="005845FA" w14:paraId="7C60DEF4"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4653" w:type="dxa"/>
          </w:tcPr>
          <w:p w14:paraId="31D17B51" w14:textId="77777777" w:rsidR="005845FA" w:rsidRPr="005845FA" w:rsidRDefault="005845FA" w:rsidP="005A223B">
            <w:pPr>
              <w:jc w:val="both"/>
              <w:rPr>
                <w:rFonts w:ascii="Arial" w:hAnsi="Arial" w:cs="Arial"/>
              </w:rPr>
            </w:pPr>
          </w:p>
        </w:tc>
        <w:tc>
          <w:tcPr>
            <w:tcW w:w="960" w:type="dxa"/>
            <w:noWrap/>
          </w:tcPr>
          <w:p w14:paraId="4C749CC1"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7" w:type="dxa"/>
            <w:noWrap/>
          </w:tcPr>
          <w:p w14:paraId="30AE7926"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60" w:type="dxa"/>
            <w:noWrap/>
          </w:tcPr>
          <w:p w14:paraId="306A62E6"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F03AACB" w14:textId="77777777" w:rsidR="005845FA" w:rsidRPr="005845FA" w:rsidRDefault="005845FA" w:rsidP="00245E9B">
      <w:pPr>
        <w:jc w:val="both"/>
        <w:rPr>
          <w:rFonts w:ascii="Arial" w:eastAsia="Calibri" w:hAnsi="Arial" w:cs="Arial"/>
          <w:b/>
          <w:sz w:val="22"/>
          <w:szCs w:val="22"/>
        </w:rPr>
      </w:pPr>
    </w:p>
    <w:p w14:paraId="7BABE26F" w14:textId="77777777" w:rsidR="005845FA" w:rsidRPr="005845FA" w:rsidRDefault="009A6800" w:rsidP="005845FA">
      <w:pPr>
        <w:jc w:val="both"/>
        <w:rPr>
          <w:rFonts w:ascii="Arial" w:hAnsi="Arial" w:cs="Arial"/>
          <w:b/>
          <w:bCs/>
        </w:rPr>
      </w:pPr>
      <w:r w:rsidRPr="005845FA">
        <w:rPr>
          <w:rFonts w:ascii="Arial" w:eastAsia="Calibri" w:hAnsi="Arial" w:cs="Arial"/>
          <w:b/>
          <w:sz w:val="22"/>
          <w:szCs w:val="22"/>
        </w:rPr>
        <w:t>3.</w:t>
      </w:r>
      <w:r w:rsidR="00680596" w:rsidRPr="005845FA">
        <w:rPr>
          <w:rFonts w:ascii="Arial" w:eastAsia="Calibri" w:hAnsi="Arial" w:cs="Arial"/>
          <w:b/>
          <w:sz w:val="22"/>
          <w:szCs w:val="22"/>
        </w:rPr>
        <w:t xml:space="preserve"> </w:t>
      </w:r>
      <w:r w:rsidRPr="005845FA">
        <w:rPr>
          <w:rFonts w:ascii="Arial" w:eastAsia="Calibri" w:hAnsi="Arial" w:cs="Arial"/>
          <w:b/>
          <w:sz w:val="22"/>
          <w:szCs w:val="22"/>
        </w:rPr>
        <w:t>3</w:t>
      </w:r>
      <w:r w:rsidR="00680596" w:rsidRPr="005845FA">
        <w:rPr>
          <w:rFonts w:ascii="Arial" w:eastAsia="Calibri" w:hAnsi="Arial" w:cs="Arial"/>
          <w:b/>
          <w:sz w:val="22"/>
          <w:szCs w:val="22"/>
        </w:rPr>
        <w:t xml:space="preserve">. </w:t>
      </w:r>
      <w:r w:rsidR="005845FA" w:rsidRPr="005845FA">
        <w:rPr>
          <w:rFonts w:ascii="Arial" w:hAnsi="Arial" w:cs="Arial"/>
          <w:b/>
          <w:bCs/>
        </w:rPr>
        <w:t xml:space="preserve">The Relationship Between Market Competition and Sellers’ Performance Among Merchandising Businesses in </w:t>
      </w:r>
      <w:proofErr w:type="spellStart"/>
      <w:r w:rsidR="005845FA" w:rsidRPr="005845FA">
        <w:rPr>
          <w:rFonts w:ascii="Arial" w:hAnsi="Arial" w:cs="Arial"/>
          <w:b/>
          <w:bCs/>
        </w:rPr>
        <w:t>Cateel</w:t>
      </w:r>
      <w:proofErr w:type="spellEnd"/>
      <w:r w:rsidR="005845FA" w:rsidRPr="005845FA">
        <w:rPr>
          <w:rFonts w:ascii="Arial" w:hAnsi="Arial" w:cs="Arial"/>
          <w:b/>
          <w:bCs/>
        </w:rPr>
        <w:t>.</w:t>
      </w:r>
    </w:p>
    <w:p w14:paraId="5ADFE0DC" w14:textId="0C1AC273" w:rsidR="00680596" w:rsidRPr="005845FA" w:rsidRDefault="00680596" w:rsidP="00245E9B">
      <w:pPr>
        <w:jc w:val="both"/>
        <w:rPr>
          <w:rFonts w:ascii="Arial" w:eastAsia="Calibri" w:hAnsi="Arial" w:cs="Arial"/>
          <w:b/>
          <w:sz w:val="22"/>
          <w:szCs w:val="22"/>
        </w:rPr>
      </w:pPr>
    </w:p>
    <w:p w14:paraId="014F8D2F" w14:textId="79A5BA33" w:rsidR="005845FA" w:rsidRPr="005845FA" w:rsidRDefault="005845FA" w:rsidP="005845FA">
      <w:pPr>
        <w:jc w:val="both"/>
        <w:rPr>
          <w:rFonts w:ascii="Arial" w:hAnsi="Arial" w:cs="Arial"/>
        </w:rPr>
      </w:pPr>
      <w:r w:rsidRPr="005845FA">
        <w:rPr>
          <w:rFonts w:ascii="Arial" w:hAnsi="Arial" w:cs="Arial"/>
        </w:rPr>
        <w:t xml:space="preserve">The following analysis presents the correlation between market competition and sellers’ performance. This section examines whether there is a statistically significant relationship between the intensity of competition among merchandising businesses and their performance outcomes, including strategies, revenue, profits, and customer satisfaction. Understanding this relationship provides valuable insights into how competitive forces influence the success and sustainability of businesses in </w:t>
      </w:r>
      <w:proofErr w:type="spellStart"/>
      <w:r w:rsidRPr="005845FA">
        <w:rPr>
          <w:rFonts w:ascii="Arial" w:hAnsi="Arial" w:cs="Arial"/>
        </w:rPr>
        <w:t>Cateel</w:t>
      </w:r>
      <w:proofErr w:type="spellEnd"/>
      <w:r w:rsidRPr="005845FA">
        <w:rPr>
          <w:rFonts w:ascii="Arial" w:hAnsi="Arial" w:cs="Arial"/>
        </w:rPr>
        <w:t xml:space="preserve">, Davao Oriental. The weakest relationship identified in the correlation matrix is between market share and seller strategies, with a Pearson r value of 0.241, indicating a weak but statistically significant correlation. According to </w:t>
      </w:r>
      <w:proofErr w:type="spellStart"/>
      <w:r w:rsidRPr="005845FA">
        <w:rPr>
          <w:rFonts w:ascii="Arial" w:hAnsi="Arial" w:cs="Arial"/>
        </w:rPr>
        <w:t>Aharoni</w:t>
      </w:r>
      <w:proofErr w:type="spellEnd"/>
      <w:r w:rsidRPr="005845FA">
        <w:rPr>
          <w:rFonts w:ascii="Arial" w:hAnsi="Arial" w:cs="Arial"/>
        </w:rPr>
        <w:t xml:space="preserve"> (2024), capturing market share often requires substantial marketing and brand-building investments, which may not align directly with the internal operational strategies of smaller sellers. Bhattacharya et al. (2022) also noted that while a strong market share can drive firm performance, the development of seller strategies often depends more on internal capacities, such as training, performance monitoring, and technology adoption. Furthermore, Parker-</w:t>
      </w:r>
      <w:proofErr w:type="spellStart"/>
      <w:r w:rsidRPr="005845FA">
        <w:rPr>
          <w:rFonts w:ascii="Arial" w:hAnsi="Arial" w:cs="Arial"/>
        </w:rPr>
        <w:t>Strak</w:t>
      </w:r>
      <w:proofErr w:type="spellEnd"/>
      <w:r w:rsidRPr="005845FA">
        <w:rPr>
          <w:rFonts w:ascii="Arial" w:hAnsi="Arial" w:cs="Arial"/>
        </w:rPr>
        <w:t xml:space="preserve"> et al. (2022) observed that some sellers focus narrowly on tactical decisions without integrating broader market positioning, thereby weakening the strategic link to market share. These insights suggest that although market share is crucial, it does not automatically lead to strong internal seller strategies. The strongest and most significant correlation in the matrix is between overall market competition and overall seller performance (r = 0.637), indicating a moderate and positive relationship. As emphasized by Van Loo (2017), heightened competition often forces firms to optimize efficiency, improve quality, and innovate, ultimately boosting their performance. Akbari and Hopkins (2022) supported this by noting that a dynamic market environment stimulates businesses to continually assess and improve their processes. Similarly, Shi et al. (2021) found that businesses in highly competitive environments tend to experience enhanced performance when they align their operations with competitive demands such as pricing, product variety, and customer experience. This result reinforces that intense market competition in </w:t>
      </w:r>
      <w:proofErr w:type="spellStart"/>
      <w:r w:rsidRPr="005845FA">
        <w:rPr>
          <w:rFonts w:ascii="Arial" w:hAnsi="Arial" w:cs="Arial"/>
        </w:rPr>
        <w:t>Cateel</w:t>
      </w:r>
      <w:proofErr w:type="spellEnd"/>
      <w:r w:rsidRPr="005845FA">
        <w:rPr>
          <w:rFonts w:ascii="Arial" w:hAnsi="Arial" w:cs="Arial"/>
        </w:rPr>
        <w:t xml:space="preserve">, Davao Oriental, positively drives sellers to refine their strategies and improve overall outcomes. Several relationships fall in the moderate-to-weak range, suggesting that individual dimensions of competition (e.g., pricing strategies, product differentiation) have varying levels of influence on different aspects of performance. For instance, Liu and </w:t>
      </w:r>
      <w:proofErr w:type="spellStart"/>
      <w:r w:rsidRPr="005845FA">
        <w:rPr>
          <w:rFonts w:ascii="Arial" w:hAnsi="Arial" w:cs="Arial"/>
        </w:rPr>
        <w:t>Atuahene-Gima</w:t>
      </w:r>
      <w:proofErr w:type="spellEnd"/>
      <w:r w:rsidRPr="005845FA">
        <w:rPr>
          <w:rFonts w:ascii="Arial" w:hAnsi="Arial" w:cs="Arial"/>
        </w:rPr>
        <w:t xml:space="preserve"> (2018) explained that product differentiation enables businesses to target niche markets, resulting in improved profitability through premium pricing. Similarly, </w:t>
      </w:r>
      <w:proofErr w:type="spellStart"/>
      <w:r w:rsidRPr="005845FA">
        <w:rPr>
          <w:rFonts w:ascii="Arial" w:hAnsi="Arial" w:cs="Arial"/>
        </w:rPr>
        <w:t>Abrate</w:t>
      </w:r>
      <w:proofErr w:type="spellEnd"/>
      <w:r w:rsidRPr="005845FA">
        <w:rPr>
          <w:rFonts w:ascii="Arial" w:hAnsi="Arial" w:cs="Arial"/>
        </w:rPr>
        <w:t xml:space="preserve"> et al. (2019) and Schindler (2023) noted that pricing strategies have a significant impact on customer satisfaction by creating a perceived value. Moreover, Putra and Pane (2022) highlighted that differentiated offerings not only increase sales but also contribute to brand loyalty and long-term profitability. These relationships show how each domain of competition uniquely contributes to different performance outcomes. The results reveal that overall market competition has a significant influence on seller performance in </w:t>
      </w:r>
      <w:proofErr w:type="spellStart"/>
      <w:r w:rsidRPr="005845FA">
        <w:rPr>
          <w:rFonts w:ascii="Arial" w:hAnsi="Arial" w:cs="Arial"/>
        </w:rPr>
        <w:t>Cateel</w:t>
      </w:r>
      <w:proofErr w:type="spellEnd"/>
      <w:r w:rsidRPr="005845FA">
        <w:rPr>
          <w:rFonts w:ascii="Arial" w:hAnsi="Arial" w:cs="Arial"/>
        </w:rPr>
        <w:t>, Davao Oriental. While the relationship between specific factors, such as market share and seller strategies, is weaker, the overall pattern reveals moderate and statistically significant correlations, particularly between overall competition and performance. This suggests that businesses that respond actively to competition tend to perform better. Thus, a well-rounded approach that integrates pricing, differentiation, and strategic positioning is essential for sustaining performance in a highly competitive market environment.</w:t>
      </w:r>
    </w:p>
    <w:p w14:paraId="65E53AA0" w14:textId="56C712D1" w:rsidR="005845FA" w:rsidRPr="005845FA" w:rsidRDefault="005845FA" w:rsidP="005845FA">
      <w:pPr>
        <w:jc w:val="both"/>
        <w:rPr>
          <w:rFonts w:ascii="Arial" w:hAnsi="Arial" w:cs="Arial"/>
        </w:rPr>
      </w:pPr>
    </w:p>
    <w:p w14:paraId="2E29BD7C" w14:textId="39416A8E" w:rsidR="005845FA" w:rsidRPr="005845FA" w:rsidRDefault="005845FA" w:rsidP="005845FA">
      <w:pPr>
        <w:jc w:val="both"/>
        <w:rPr>
          <w:rFonts w:ascii="Arial" w:hAnsi="Arial" w:cs="Arial"/>
        </w:rPr>
      </w:pPr>
    </w:p>
    <w:p w14:paraId="1DA19EDB" w14:textId="5B3FA3EB" w:rsidR="005845FA" w:rsidRPr="005845FA" w:rsidRDefault="005845FA" w:rsidP="005845FA">
      <w:pPr>
        <w:jc w:val="both"/>
        <w:rPr>
          <w:rFonts w:ascii="Arial" w:hAnsi="Arial" w:cs="Arial"/>
        </w:rPr>
      </w:pPr>
    </w:p>
    <w:p w14:paraId="33806775" w14:textId="09CD5D34" w:rsidR="005845FA" w:rsidRPr="005845FA" w:rsidRDefault="005845FA" w:rsidP="005845FA">
      <w:pPr>
        <w:jc w:val="both"/>
        <w:rPr>
          <w:rFonts w:ascii="Arial" w:hAnsi="Arial" w:cs="Arial"/>
        </w:rPr>
      </w:pPr>
    </w:p>
    <w:p w14:paraId="267D5275" w14:textId="743EB837" w:rsidR="005845FA" w:rsidRPr="005845FA" w:rsidRDefault="005845FA" w:rsidP="005845FA">
      <w:pPr>
        <w:jc w:val="both"/>
        <w:rPr>
          <w:rFonts w:ascii="Arial" w:hAnsi="Arial" w:cs="Arial"/>
        </w:rPr>
      </w:pPr>
    </w:p>
    <w:p w14:paraId="252E1E6D" w14:textId="77777777" w:rsidR="005845FA" w:rsidRPr="005845FA" w:rsidRDefault="005845FA" w:rsidP="005845FA">
      <w:pPr>
        <w:jc w:val="both"/>
        <w:rPr>
          <w:rFonts w:ascii="Arial" w:hAnsi="Arial" w:cs="Arial"/>
        </w:rPr>
      </w:pPr>
    </w:p>
    <w:p w14:paraId="2A552277" w14:textId="77777777" w:rsidR="005845FA" w:rsidRPr="005845FA" w:rsidRDefault="005845FA" w:rsidP="005845FA">
      <w:pPr>
        <w:jc w:val="both"/>
        <w:rPr>
          <w:rFonts w:ascii="Arial" w:hAnsi="Arial" w:cs="Arial"/>
        </w:rPr>
      </w:pPr>
    </w:p>
    <w:p w14:paraId="63E7F321" w14:textId="730DB063" w:rsidR="005845FA" w:rsidRPr="005845FA" w:rsidRDefault="005845FA" w:rsidP="005845FA">
      <w:pPr>
        <w:jc w:val="both"/>
        <w:rPr>
          <w:rFonts w:ascii="Arial" w:hAnsi="Arial" w:cs="Arial"/>
        </w:rPr>
      </w:pPr>
      <w:r w:rsidRPr="005845FA">
        <w:rPr>
          <w:rFonts w:ascii="Arial" w:hAnsi="Arial" w:cs="Arial"/>
        </w:rPr>
        <w:t xml:space="preserve">Table </w:t>
      </w:r>
      <w:r w:rsidR="00C26998">
        <w:rPr>
          <w:rFonts w:ascii="Arial" w:hAnsi="Arial" w:cs="Arial"/>
        </w:rPr>
        <w:t>3</w:t>
      </w:r>
      <w:r w:rsidRPr="005845FA">
        <w:rPr>
          <w:rFonts w:ascii="Arial" w:hAnsi="Arial" w:cs="Arial"/>
        </w:rPr>
        <w:t>. Correlation of Market Competition and Sellers’ Performance.</w:t>
      </w:r>
    </w:p>
    <w:tbl>
      <w:tblPr>
        <w:tblStyle w:val="PlainTable2"/>
        <w:tblW w:w="8691" w:type="dxa"/>
        <w:tblLayout w:type="fixed"/>
        <w:tblLook w:val="04A0" w:firstRow="1" w:lastRow="0" w:firstColumn="1" w:lastColumn="0" w:noHBand="0" w:noVBand="1"/>
      </w:tblPr>
      <w:tblGrid>
        <w:gridCol w:w="1320"/>
        <w:gridCol w:w="1417"/>
        <w:gridCol w:w="1134"/>
        <w:gridCol w:w="1134"/>
        <w:gridCol w:w="1134"/>
        <w:gridCol w:w="1134"/>
        <w:gridCol w:w="1418"/>
      </w:tblGrid>
      <w:tr w:rsidR="005845FA" w:rsidRPr="005845FA" w14:paraId="755D2131" w14:textId="77777777" w:rsidTr="005845FA">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737" w:type="dxa"/>
            <w:gridSpan w:val="2"/>
            <w:hideMark/>
          </w:tcPr>
          <w:p w14:paraId="54671586" w14:textId="77777777" w:rsidR="005845FA" w:rsidRPr="005845FA" w:rsidRDefault="005845FA" w:rsidP="005A223B">
            <w:pPr>
              <w:jc w:val="center"/>
              <w:rPr>
                <w:rFonts w:ascii="Arial" w:hAnsi="Arial" w:cs="Arial"/>
                <w:sz w:val="18"/>
                <w:szCs w:val="18"/>
              </w:rPr>
            </w:pPr>
            <w:r w:rsidRPr="005845FA">
              <w:rPr>
                <w:rFonts w:ascii="Arial" w:hAnsi="Arial" w:cs="Arial"/>
                <w:sz w:val="18"/>
                <w:szCs w:val="18"/>
              </w:rPr>
              <w:t>Variables</w:t>
            </w:r>
          </w:p>
        </w:tc>
        <w:tc>
          <w:tcPr>
            <w:tcW w:w="1134" w:type="dxa"/>
            <w:hideMark/>
          </w:tcPr>
          <w:p w14:paraId="11B1A780" w14:textId="77777777" w:rsidR="005845FA" w:rsidRPr="005845FA" w:rsidRDefault="005845FA"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Seller Strategies</w:t>
            </w:r>
          </w:p>
        </w:tc>
        <w:tc>
          <w:tcPr>
            <w:tcW w:w="1134" w:type="dxa"/>
            <w:hideMark/>
          </w:tcPr>
          <w:p w14:paraId="6773899A" w14:textId="77777777" w:rsidR="005845FA" w:rsidRPr="005845FA" w:rsidRDefault="005845FA"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Sales Revenue</w:t>
            </w:r>
          </w:p>
        </w:tc>
        <w:tc>
          <w:tcPr>
            <w:tcW w:w="1134" w:type="dxa"/>
            <w:hideMark/>
          </w:tcPr>
          <w:p w14:paraId="5672CA50" w14:textId="77777777" w:rsidR="005845FA" w:rsidRPr="005845FA" w:rsidRDefault="005845FA"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Profits Earned</w:t>
            </w:r>
          </w:p>
        </w:tc>
        <w:tc>
          <w:tcPr>
            <w:tcW w:w="1134" w:type="dxa"/>
            <w:hideMark/>
          </w:tcPr>
          <w:p w14:paraId="0CC83216" w14:textId="77777777" w:rsidR="005845FA" w:rsidRPr="005845FA" w:rsidRDefault="005845FA"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 xml:space="preserve">Customer </w:t>
            </w:r>
            <w:r w:rsidRPr="005845FA">
              <w:rPr>
                <w:rFonts w:ascii="Arial" w:hAnsi="Arial" w:cs="Arial"/>
                <w:sz w:val="16"/>
                <w:szCs w:val="16"/>
              </w:rPr>
              <w:t>Satisfaction</w:t>
            </w:r>
          </w:p>
        </w:tc>
        <w:tc>
          <w:tcPr>
            <w:tcW w:w="1418" w:type="dxa"/>
            <w:hideMark/>
          </w:tcPr>
          <w:p w14:paraId="7736335B" w14:textId="77777777" w:rsidR="005845FA" w:rsidRPr="005845FA" w:rsidRDefault="005845FA" w:rsidP="005A223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5845FA">
              <w:rPr>
                <w:rFonts w:ascii="Arial" w:hAnsi="Arial" w:cs="Arial"/>
                <w:sz w:val="18"/>
                <w:szCs w:val="18"/>
              </w:rPr>
              <w:t>Overall Seller Performance</w:t>
            </w:r>
          </w:p>
        </w:tc>
      </w:tr>
      <w:tr w:rsidR="005845FA" w:rsidRPr="005845FA" w14:paraId="1EAFDFB2" w14:textId="77777777" w:rsidTr="005845F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10CF4DD0" w14:textId="77777777" w:rsidR="005845FA" w:rsidRPr="005845FA" w:rsidRDefault="005845FA" w:rsidP="005A223B">
            <w:pPr>
              <w:rPr>
                <w:rFonts w:ascii="Arial" w:hAnsi="Arial" w:cs="Arial"/>
                <w:sz w:val="18"/>
                <w:szCs w:val="18"/>
              </w:rPr>
            </w:pPr>
            <w:r w:rsidRPr="005845FA">
              <w:rPr>
                <w:rFonts w:ascii="Arial" w:hAnsi="Arial" w:cs="Arial"/>
                <w:sz w:val="18"/>
                <w:szCs w:val="18"/>
              </w:rPr>
              <w:t>Number of Competitors</w:t>
            </w:r>
          </w:p>
        </w:tc>
        <w:tc>
          <w:tcPr>
            <w:tcW w:w="1417" w:type="dxa"/>
            <w:hideMark/>
          </w:tcPr>
          <w:p w14:paraId="7BE8E586"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Pearson Correlation</w:t>
            </w:r>
          </w:p>
        </w:tc>
        <w:tc>
          <w:tcPr>
            <w:tcW w:w="1134" w:type="dxa"/>
            <w:hideMark/>
          </w:tcPr>
          <w:p w14:paraId="30BA3207"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0.325</w:t>
            </w:r>
          </w:p>
        </w:tc>
        <w:tc>
          <w:tcPr>
            <w:tcW w:w="1134" w:type="dxa"/>
            <w:hideMark/>
          </w:tcPr>
          <w:p w14:paraId="721E0331"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0.368</w:t>
            </w:r>
          </w:p>
        </w:tc>
        <w:tc>
          <w:tcPr>
            <w:tcW w:w="1134" w:type="dxa"/>
            <w:hideMark/>
          </w:tcPr>
          <w:p w14:paraId="046D680A"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0.412</w:t>
            </w:r>
          </w:p>
        </w:tc>
        <w:tc>
          <w:tcPr>
            <w:tcW w:w="1134" w:type="dxa"/>
            <w:hideMark/>
          </w:tcPr>
          <w:p w14:paraId="743CF736"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0.404</w:t>
            </w:r>
          </w:p>
        </w:tc>
        <w:tc>
          <w:tcPr>
            <w:tcW w:w="1418" w:type="dxa"/>
            <w:hideMark/>
          </w:tcPr>
          <w:p w14:paraId="61E4B991"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0.491</w:t>
            </w:r>
          </w:p>
        </w:tc>
      </w:tr>
      <w:tr w:rsidR="005845FA" w:rsidRPr="005845FA" w14:paraId="42ED9499"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C257858" w14:textId="77777777" w:rsidR="005845FA" w:rsidRPr="005845FA" w:rsidRDefault="005845FA" w:rsidP="005A223B">
            <w:pPr>
              <w:jc w:val="both"/>
              <w:rPr>
                <w:rFonts w:ascii="Arial" w:hAnsi="Arial" w:cs="Arial"/>
                <w:sz w:val="18"/>
                <w:szCs w:val="18"/>
              </w:rPr>
            </w:pPr>
          </w:p>
        </w:tc>
        <w:tc>
          <w:tcPr>
            <w:tcW w:w="1417" w:type="dxa"/>
            <w:hideMark/>
          </w:tcPr>
          <w:p w14:paraId="2486A927"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Sig. (2-tailed)</w:t>
            </w:r>
          </w:p>
        </w:tc>
        <w:tc>
          <w:tcPr>
            <w:tcW w:w="1134" w:type="dxa"/>
            <w:hideMark/>
          </w:tcPr>
          <w:p w14:paraId="5D140732"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6464F4AF"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100BD084"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304B23DB"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418" w:type="dxa"/>
            <w:hideMark/>
          </w:tcPr>
          <w:p w14:paraId="4DAB6279"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r>
      <w:tr w:rsidR="005845FA" w:rsidRPr="005845FA" w14:paraId="3DF7BCF5" w14:textId="77777777" w:rsidTr="005845F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F6A86DA" w14:textId="77777777" w:rsidR="005845FA" w:rsidRPr="005845FA" w:rsidRDefault="005845FA" w:rsidP="005A223B">
            <w:pPr>
              <w:jc w:val="both"/>
              <w:rPr>
                <w:rFonts w:ascii="Arial" w:hAnsi="Arial" w:cs="Arial"/>
                <w:sz w:val="18"/>
                <w:szCs w:val="18"/>
              </w:rPr>
            </w:pPr>
          </w:p>
        </w:tc>
        <w:tc>
          <w:tcPr>
            <w:tcW w:w="1417" w:type="dxa"/>
            <w:hideMark/>
          </w:tcPr>
          <w:p w14:paraId="24C427CC"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Interpretation</w:t>
            </w:r>
          </w:p>
        </w:tc>
        <w:tc>
          <w:tcPr>
            <w:tcW w:w="1134" w:type="dxa"/>
            <w:hideMark/>
          </w:tcPr>
          <w:p w14:paraId="14378558"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31033858"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6395445C"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Moderate, significant</w:t>
            </w:r>
          </w:p>
        </w:tc>
        <w:tc>
          <w:tcPr>
            <w:tcW w:w="1134" w:type="dxa"/>
            <w:hideMark/>
          </w:tcPr>
          <w:p w14:paraId="706C66B2"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Moderate, significant</w:t>
            </w:r>
          </w:p>
        </w:tc>
        <w:tc>
          <w:tcPr>
            <w:tcW w:w="1418" w:type="dxa"/>
            <w:hideMark/>
          </w:tcPr>
          <w:p w14:paraId="09AC9C60"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r>
      <w:tr w:rsidR="005845FA" w:rsidRPr="005845FA" w14:paraId="6C8E215C" w14:textId="77777777" w:rsidTr="005845FA">
        <w:trPr>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6418D1AD" w14:textId="77777777" w:rsidR="005845FA" w:rsidRPr="005845FA" w:rsidRDefault="005845FA" w:rsidP="005A223B">
            <w:pPr>
              <w:jc w:val="both"/>
              <w:rPr>
                <w:rFonts w:ascii="Arial" w:hAnsi="Arial" w:cs="Arial"/>
                <w:sz w:val="18"/>
                <w:szCs w:val="18"/>
              </w:rPr>
            </w:pPr>
            <w:r w:rsidRPr="005845FA">
              <w:rPr>
                <w:rFonts w:ascii="Arial" w:hAnsi="Arial" w:cs="Arial"/>
                <w:sz w:val="18"/>
                <w:szCs w:val="18"/>
              </w:rPr>
              <w:lastRenderedPageBreak/>
              <w:t>Market Share</w:t>
            </w:r>
          </w:p>
        </w:tc>
        <w:tc>
          <w:tcPr>
            <w:tcW w:w="1417" w:type="dxa"/>
            <w:hideMark/>
          </w:tcPr>
          <w:p w14:paraId="2730CF69"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Pearson Correlation</w:t>
            </w:r>
          </w:p>
        </w:tc>
        <w:tc>
          <w:tcPr>
            <w:tcW w:w="1134" w:type="dxa"/>
            <w:hideMark/>
          </w:tcPr>
          <w:p w14:paraId="1691C8C3"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0.241</w:t>
            </w:r>
          </w:p>
        </w:tc>
        <w:tc>
          <w:tcPr>
            <w:tcW w:w="1134" w:type="dxa"/>
            <w:hideMark/>
          </w:tcPr>
          <w:p w14:paraId="71CF9D9B"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0.349</w:t>
            </w:r>
          </w:p>
        </w:tc>
        <w:tc>
          <w:tcPr>
            <w:tcW w:w="1134" w:type="dxa"/>
            <w:hideMark/>
          </w:tcPr>
          <w:p w14:paraId="44DE2910"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0.452</w:t>
            </w:r>
          </w:p>
        </w:tc>
        <w:tc>
          <w:tcPr>
            <w:tcW w:w="1134" w:type="dxa"/>
            <w:hideMark/>
          </w:tcPr>
          <w:p w14:paraId="19DA1811"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0.28</w:t>
            </w:r>
          </w:p>
        </w:tc>
        <w:tc>
          <w:tcPr>
            <w:tcW w:w="1418" w:type="dxa"/>
            <w:hideMark/>
          </w:tcPr>
          <w:p w14:paraId="5EDA0211"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0.432</w:t>
            </w:r>
          </w:p>
        </w:tc>
      </w:tr>
      <w:tr w:rsidR="005845FA" w:rsidRPr="005845FA" w14:paraId="725C6F4C"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3A2C8CD" w14:textId="77777777" w:rsidR="005845FA" w:rsidRPr="005845FA" w:rsidRDefault="005845FA" w:rsidP="005A223B">
            <w:pPr>
              <w:jc w:val="both"/>
              <w:rPr>
                <w:rFonts w:ascii="Arial" w:hAnsi="Arial" w:cs="Arial"/>
                <w:sz w:val="18"/>
                <w:szCs w:val="18"/>
              </w:rPr>
            </w:pPr>
          </w:p>
        </w:tc>
        <w:tc>
          <w:tcPr>
            <w:tcW w:w="1417" w:type="dxa"/>
            <w:hideMark/>
          </w:tcPr>
          <w:p w14:paraId="36FE160C"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Sig. (2-tailed)</w:t>
            </w:r>
          </w:p>
        </w:tc>
        <w:tc>
          <w:tcPr>
            <w:tcW w:w="1134" w:type="dxa"/>
            <w:hideMark/>
          </w:tcPr>
          <w:p w14:paraId="4CA09F54"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490D329B"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1A5B3D07"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3940EB6B"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418" w:type="dxa"/>
            <w:hideMark/>
          </w:tcPr>
          <w:p w14:paraId="0A94325A"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r>
      <w:tr w:rsidR="005845FA" w:rsidRPr="005845FA" w14:paraId="33A43F9B" w14:textId="77777777" w:rsidTr="005845FA">
        <w:trPr>
          <w:trHeight w:val="48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F26B72F" w14:textId="77777777" w:rsidR="005845FA" w:rsidRPr="005845FA" w:rsidRDefault="005845FA" w:rsidP="005A223B">
            <w:pPr>
              <w:jc w:val="both"/>
              <w:rPr>
                <w:rFonts w:ascii="Arial" w:hAnsi="Arial" w:cs="Arial"/>
                <w:sz w:val="18"/>
                <w:szCs w:val="18"/>
              </w:rPr>
            </w:pPr>
          </w:p>
        </w:tc>
        <w:tc>
          <w:tcPr>
            <w:tcW w:w="1417" w:type="dxa"/>
            <w:hideMark/>
          </w:tcPr>
          <w:p w14:paraId="6B4E7A96"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Interpretation</w:t>
            </w:r>
          </w:p>
        </w:tc>
        <w:tc>
          <w:tcPr>
            <w:tcW w:w="1134" w:type="dxa"/>
            <w:hideMark/>
          </w:tcPr>
          <w:p w14:paraId="3CC1B7A4"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6EAEDED3"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45A73319"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Moderate, significant</w:t>
            </w:r>
          </w:p>
        </w:tc>
        <w:tc>
          <w:tcPr>
            <w:tcW w:w="1134" w:type="dxa"/>
            <w:hideMark/>
          </w:tcPr>
          <w:p w14:paraId="3A601608"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418" w:type="dxa"/>
            <w:hideMark/>
          </w:tcPr>
          <w:p w14:paraId="133A037B"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r>
      <w:tr w:rsidR="005845FA" w:rsidRPr="005845FA" w14:paraId="7E0381D2" w14:textId="77777777" w:rsidTr="005845F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3F28E072" w14:textId="77777777" w:rsidR="005845FA" w:rsidRPr="005845FA" w:rsidRDefault="005845FA" w:rsidP="005A223B">
            <w:pPr>
              <w:jc w:val="both"/>
              <w:rPr>
                <w:rFonts w:ascii="Arial" w:hAnsi="Arial" w:cs="Arial"/>
                <w:sz w:val="18"/>
                <w:szCs w:val="18"/>
              </w:rPr>
            </w:pPr>
            <w:r w:rsidRPr="005845FA">
              <w:rPr>
                <w:rFonts w:ascii="Arial" w:hAnsi="Arial" w:cs="Arial"/>
                <w:sz w:val="18"/>
                <w:szCs w:val="18"/>
              </w:rPr>
              <w:t>Pricing Strategies</w:t>
            </w:r>
          </w:p>
        </w:tc>
        <w:tc>
          <w:tcPr>
            <w:tcW w:w="1417" w:type="dxa"/>
            <w:hideMark/>
          </w:tcPr>
          <w:p w14:paraId="1E3745AA"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Pearson Correlation</w:t>
            </w:r>
          </w:p>
        </w:tc>
        <w:tc>
          <w:tcPr>
            <w:tcW w:w="1134" w:type="dxa"/>
            <w:hideMark/>
          </w:tcPr>
          <w:p w14:paraId="497852D7"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0.321</w:t>
            </w:r>
          </w:p>
        </w:tc>
        <w:tc>
          <w:tcPr>
            <w:tcW w:w="1134" w:type="dxa"/>
            <w:hideMark/>
          </w:tcPr>
          <w:p w14:paraId="280ED1E8"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0.388</w:t>
            </w:r>
          </w:p>
        </w:tc>
        <w:tc>
          <w:tcPr>
            <w:tcW w:w="1134" w:type="dxa"/>
            <w:hideMark/>
          </w:tcPr>
          <w:p w14:paraId="5B9775EA"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0.317</w:t>
            </w:r>
          </w:p>
        </w:tc>
        <w:tc>
          <w:tcPr>
            <w:tcW w:w="1134" w:type="dxa"/>
            <w:hideMark/>
          </w:tcPr>
          <w:p w14:paraId="5C937A88"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0.322</w:t>
            </w:r>
          </w:p>
        </w:tc>
        <w:tc>
          <w:tcPr>
            <w:tcW w:w="1418" w:type="dxa"/>
            <w:hideMark/>
          </w:tcPr>
          <w:p w14:paraId="20D09C29"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0.437</w:t>
            </w:r>
          </w:p>
        </w:tc>
      </w:tr>
      <w:tr w:rsidR="005845FA" w:rsidRPr="005845FA" w14:paraId="6FA1A731"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67984694" w14:textId="77777777" w:rsidR="005845FA" w:rsidRPr="005845FA" w:rsidRDefault="005845FA" w:rsidP="005A223B">
            <w:pPr>
              <w:jc w:val="both"/>
              <w:rPr>
                <w:rFonts w:ascii="Arial" w:hAnsi="Arial" w:cs="Arial"/>
                <w:sz w:val="18"/>
                <w:szCs w:val="18"/>
              </w:rPr>
            </w:pPr>
          </w:p>
        </w:tc>
        <w:tc>
          <w:tcPr>
            <w:tcW w:w="1417" w:type="dxa"/>
            <w:hideMark/>
          </w:tcPr>
          <w:p w14:paraId="57D88E2E"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Sig. (2-tailed)</w:t>
            </w:r>
          </w:p>
        </w:tc>
        <w:tc>
          <w:tcPr>
            <w:tcW w:w="1134" w:type="dxa"/>
            <w:hideMark/>
          </w:tcPr>
          <w:p w14:paraId="29D36290"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2D78FEB6"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15D06223"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7651A045"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418" w:type="dxa"/>
            <w:hideMark/>
          </w:tcPr>
          <w:p w14:paraId="347E62D0"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r>
      <w:tr w:rsidR="005845FA" w:rsidRPr="005845FA" w14:paraId="40E4C77C" w14:textId="77777777" w:rsidTr="005845F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20" w:type="dxa"/>
            <w:vMerge/>
            <w:hideMark/>
          </w:tcPr>
          <w:p w14:paraId="2797F6A4" w14:textId="77777777" w:rsidR="005845FA" w:rsidRPr="005845FA" w:rsidRDefault="005845FA" w:rsidP="005A223B">
            <w:pPr>
              <w:jc w:val="both"/>
              <w:rPr>
                <w:rFonts w:ascii="Arial" w:hAnsi="Arial" w:cs="Arial"/>
                <w:sz w:val="18"/>
                <w:szCs w:val="18"/>
              </w:rPr>
            </w:pPr>
          </w:p>
        </w:tc>
        <w:tc>
          <w:tcPr>
            <w:tcW w:w="1417" w:type="dxa"/>
            <w:hideMark/>
          </w:tcPr>
          <w:p w14:paraId="0BDDC487"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Interpretation</w:t>
            </w:r>
          </w:p>
        </w:tc>
        <w:tc>
          <w:tcPr>
            <w:tcW w:w="1134" w:type="dxa"/>
            <w:hideMark/>
          </w:tcPr>
          <w:p w14:paraId="55C92571"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20AE34F2"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5631FA09"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5652081B"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418" w:type="dxa"/>
            <w:hideMark/>
          </w:tcPr>
          <w:p w14:paraId="240DCFAC"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236</w:t>
            </w:r>
          </w:p>
        </w:tc>
      </w:tr>
      <w:tr w:rsidR="005845FA" w:rsidRPr="005845FA" w14:paraId="35957917" w14:textId="77777777" w:rsidTr="005845FA">
        <w:trPr>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23C5BD42" w14:textId="77777777" w:rsidR="005845FA" w:rsidRPr="005845FA" w:rsidRDefault="005845FA" w:rsidP="005A223B">
            <w:pPr>
              <w:jc w:val="both"/>
              <w:rPr>
                <w:rFonts w:ascii="Arial" w:hAnsi="Arial" w:cs="Arial"/>
                <w:sz w:val="18"/>
                <w:szCs w:val="18"/>
              </w:rPr>
            </w:pPr>
            <w:r w:rsidRPr="005845FA">
              <w:rPr>
                <w:rFonts w:ascii="Arial" w:hAnsi="Arial" w:cs="Arial"/>
                <w:sz w:val="18"/>
                <w:szCs w:val="18"/>
              </w:rPr>
              <w:t xml:space="preserve">Product </w:t>
            </w:r>
            <w:r w:rsidRPr="005845FA">
              <w:rPr>
                <w:rFonts w:ascii="Arial" w:hAnsi="Arial" w:cs="Arial"/>
                <w:sz w:val="16"/>
                <w:szCs w:val="16"/>
              </w:rPr>
              <w:t>Differentiation</w:t>
            </w:r>
          </w:p>
        </w:tc>
        <w:tc>
          <w:tcPr>
            <w:tcW w:w="1417" w:type="dxa"/>
            <w:hideMark/>
          </w:tcPr>
          <w:p w14:paraId="73FA6550"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Pearson Correlation</w:t>
            </w:r>
          </w:p>
        </w:tc>
        <w:tc>
          <w:tcPr>
            <w:tcW w:w="1134" w:type="dxa"/>
            <w:hideMark/>
          </w:tcPr>
          <w:p w14:paraId="680DB42F"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0.362</w:t>
            </w:r>
          </w:p>
        </w:tc>
        <w:tc>
          <w:tcPr>
            <w:tcW w:w="1134" w:type="dxa"/>
            <w:hideMark/>
          </w:tcPr>
          <w:p w14:paraId="70C64E4E"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0.374</w:t>
            </w:r>
          </w:p>
        </w:tc>
        <w:tc>
          <w:tcPr>
            <w:tcW w:w="1134" w:type="dxa"/>
            <w:hideMark/>
          </w:tcPr>
          <w:p w14:paraId="02B7015F"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0.387</w:t>
            </w:r>
          </w:p>
        </w:tc>
        <w:tc>
          <w:tcPr>
            <w:tcW w:w="1134" w:type="dxa"/>
            <w:hideMark/>
          </w:tcPr>
          <w:p w14:paraId="41BC56E1"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0.265</w:t>
            </w:r>
          </w:p>
        </w:tc>
        <w:tc>
          <w:tcPr>
            <w:tcW w:w="1418" w:type="dxa"/>
            <w:hideMark/>
          </w:tcPr>
          <w:p w14:paraId="715DC683"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0.45</w:t>
            </w:r>
          </w:p>
        </w:tc>
      </w:tr>
      <w:tr w:rsidR="005845FA" w:rsidRPr="005845FA" w14:paraId="0F0C7E5A" w14:textId="77777777" w:rsidTr="005845F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4253379B" w14:textId="77777777" w:rsidR="005845FA" w:rsidRPr="005845FA" w:rsidRDefault="005845FA" w:rsidP="005A223B">
            <w:pPr>
              <w:jc w:val="both"/>
              <w:rPr>
                <w:rFonts w:ascii="Arial" w:hAnsi="Arial" w:cs="Arial"/>
                <w:sz w:val="18"/>
                <w:szCs w:val="18"/>
              </w:rPr>
            </w:pPr>
          </w:p>
        </w:tc>
        <w:tc>
          <w:tcPr>
            <w:tcW w:w="1417" w:type="dxa"/>
            <w:hideMark/>
          </w:tcPr>
          <w:p w14:paraId="0D88FD65"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Sig. (2-tailed)</w:t>
            </w:r>
          </w:p>
        </w:tc>
        <w:tc>
          <w:tcPr>
            <w:tcW w:w="1134" w:type="dxa"/>
            <w:hideMark/>
          </w:tcPr>
          <w:p w14:paraId="5B6DB520"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1ACA77A0"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645BF749"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134" w:type="dxa"/>
            <w:hideMark/>
          </w:tcPr>
          <w:p w14:paraId="372A9445"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845FA">
              <w:rPr>
                <w:rFonts w:ascii="Arial" w:hAnsi="Arial" w:cs="Arial"/>
                <w:sz w:val="18"/>
                <w:szCs w:val="18"/>
              </w:rPr>
              <w:t>.000</w:t>
            </w:r>
          </w:p>
        </w:tc>
        <w:tc>
          <w:tcPr>
            <w:tcW w:w="1418" w:type="dxa"/>
            <w:hideMark/>
          </w:tcPr>
          <w:p w14:paraId="7786F25B"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r>
      <w:tr w:rsidR="005845FA" w:rsidRPr="005845FA" w14:paraId="5C99A816" w14:textId="77777777" w:rsidTr="005845FA">
        <w:trPr>
          <w:trHeight w:val="48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6D580EBF" w14:textId="77777777" w:rsidR="005845FA" w:rsidRPr="005845FA" w:rsidRDefault="005845FA" w:rsidP="005A223B">
            <w:pPr>
              <w:jc w:val="both"/>
              <w:rPr>
                <w:rFonts w:ascii="Arial" w:hAnsi="Arial" w:cs="Arial"/>
                <w:sz w:val="18"/>
                <w:szCs w:val="18"/>
              </w:rPr>
            </w:pPr>
          </w:p>
        </w:tc>
        <w:tc>
          <w:tcPr>
            <w:tcW w:w="1417" w:type="dxa"/>
            <w:hideMark/>
          </w:tcPr>
          <w:p w14:paraId="663A9D3C"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Interpretation</w:t>
            </w:r>
          </w:p>
        </w:tc>
        <w:tc>
          <w:tcPr>
            <w:tcW w:w="1134" w:type="dxa"/>
            <w:hideMark/>
          </w:tcPr>
          <w:p w14:paraId="71AEFDB5"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6147ECB5"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1F50C195"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134" w:type="dxa"/>
            <w:hideMark/>
          </w:tcPr>
          <w:p w14:paraId="781F4532"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845FA">
              <w:rPr>
                <w:rFonts w:ascii="Arial" w:hAnsi="Arial" w:cs="Arial"/>
                <w:sz w:val="18"/>
                <w:szCs w:val="18"/>
              </w:rPr>
              <w:t>Weak, significant</w:t>
            </w:r>
          </w:p>
        </w:tc>
        <w:tc>
          <w:tcPr>
            <w:tcW w:w="1418" w:type="dxa"/>
            <w:hideMark/>
          </w:tcPr>
          <w:p w14:paraId="62AE87B9"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r>
      <w:tr w:rsidR="005845FA" w:rsidRPr="005845FA" w14:paraId="6ECD92E1" w14:textId="77777777" w:rsidTr="005845F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20" w:type="dxa"/>
            <w:vMerge w:val="restart"/>
            <w:hideMark/>
          </w:tcPr>
          <w:p w14:paraId="0DD232B4" w14:textId="77777777" w:rsidR="005845FA" w:rsidRPr="005845FA" w:rsidRDefault="005845FA" w:rsidP="005A223B">
            <w:pPr>
              <w:jc w:val="both"/>
              <w:rPr>
                <w:rFonts w:ascii="Arial" w:hAnsi="Arial" w:cs="Arial"/>
                <w:b w:val="0"/>
                <w:bCs w:val="0"/>
                <w:sz w:val="18"/>
                <w:szCs w:val="18"/>
              </w:rPr>
            </w:pPr>
            <w:r w:rsidRPr="005845FA">
              <w:rPr>
                <w:rFonts w:ascii="Arial" w:hAnsi="Arial" w:cs="Arial"/>
                <w:sz w:val="18"/>
                <w:szCs w:val="18"/>
              </w:rPr>
              <w:t>Overall Market Competition</w:t>
            </w:r>
          </w:p>
        </w:tc>
        <w:tc>
          <w:tcPr>
            <w:tcW w:w="1417" w:type="dxa"/>
            <w:hideMark/>
          </w:tcPr>
          <w:p w14:paraId="53EFEDA5"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Pearson Correlation</w:t>
            </w:r>
          </w:p>
        </w:tc>
        <w:tc>
          <w:tcPr>
            <w:tcW w:w="1134" w:type="dxa"/>
            <w:hideMark/>
          </w:tcPr>
          <w:p w14:paraId="367CAD02"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0.442</w:t>
            </w:r>
          </w:p>
        </w:tc>
        <w:tc>
          <w:tcPr>
            <w:tcW w:w="1134" w:type="dxa"/>
            <w:hideMark/>
          </w:tcPr>
          <w:p w14:paraId="6805E5F0"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0.521</w:t>
            </w:r>
          </w:p>
        </w:tc>
        <w:tc>
          <w:tcPr>
            <w:tcW w:w="1134" w:type="dxa"/>
            <w:hideMark/>
          </w:tcPr>
          <w:p w14:paraId="45531B94"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0.549</w:t>
            </w:r>
          </w:p>
        </w:tc>
        <w:tc>
          <w:tcPr>
            <w:tcW w:w="1134" w:type="dxa"/>
            <w:hideMark/>
          </w:tcPr>
          <w:p w14:paraId="2055CC1E"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0.446</w:t>
            </w:r>
          </w:p>
        </w:tc>
        <w:tc>
          <w:tcPr>
            <w:tcW w:w="1418" w:type="dxa"/>
            <w:hideMark/>
          </w:tcPr>
          <w:p w14:paraId="16845C17" w14:textId="77777777" w:rsidR="005845FA" w:rsidRPr="005845FA" w:rsidRDefault="005845FA" w:rsidP="005A223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0.637</w:t>
            </w:r>
          </w:p>
        </w:tc>
      </w:tr>
      <w:tr w:rsidR="005845FA" w:rsidRPr="005845FA" w14:paraId="66CD14C0" w14:textId="77777777" w:rsidTr="005845FA">
        <w:trPr>
          <w:trHeight w:val="30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5F88A83D" w14:textId="77777777" w:rsidR="005845FA" w:rsidRPr="005845FA" w:rsidRDefault="005845FA" w:rsidP="005A223B">
            <w:pPr>
              <w:jc w:val="both"/>
              <w:rPr>
                <w:rFonts w:ascii="Arial" w:hAnsi="Arial" w:cs="Arial"/>
                <w:b w:val="0"/>
                <w:bCs w:val="0"/>
                <w:sz w:val="18"/>
                <w:szCs w:val="18"/>
              </w:rPr>
            </w:pPr>
          </w:p>
        </w:tc>
        <w:tc>
          <w:tcPr>
            <w:tcW w:w="1417" w:type="dxa"/>
            <w:hideMark/>
          </w:tcPr>
          <w:p w14:paraId="18AB1896"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Sig. (2-tailed)</w:t>
            </w:r>
          </w:p>
        </w:tc>
        <w:tc>
          <w:tcPr>
            <w:tcW w:w="1134" w:type="dxa"/>
            <w:hideMark/>
          </w:tcPr>
          <w:p w14:paraId="76DADF99"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c>
          <w:tcPr>
            <w:tcW w:w="1134" w:type="dxa"/>
            <w:hideMark/>
          </w:tcPr>
          <w:p w14:paraId="45C0D7C2"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c>
          <w:tcPr>
            <w:tcW w:w="1134" w:type="dxa"/>
            <w:hideMark/>
          </w:tcPr>
          <w:p w14:paraId="12220BF7"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c>
          <w:tcPr>
            <w:tcW w:w="1134" w:type="dxa"/>
            <w:hideMark/>
          </w:tcPr>
          <w:p w14:paraId="3F31B814"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c>
          <w:tcPr>
            <w:tcW w:w="1418" w:type="dxa"/>
            <w:hideMark/>
          </w:tcPr>
          <w:p w14:paraId="716FBDB1" w14:textId="77777777" w:rsidR="005845FA" w:rsidRPr="005845FA" w:rsidRDefault="005845FA" w:rsidP="005A223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.000</w:t>
            </w:r>
          </w:p>
        </w:tc>
      </w:tr>
      <w:tr w:rsidR="005845FA" w:rsidRPr="005845FA" w14:paraId="74966092" w14:textId="77777777" w:rsidTr="005845F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20" w:type="dxa"/>
            <w:vMerge/>
            <w:hideMark/>
          </w:tcPr>
          <w:p w14:paraId="64A207DA" w14:textId="77777777" w:rsidR="005845FA" w:rsidRPr="005845FA" w:rsidRDefault="005845FA" w:rsidP="005A223B">
            <w:pPr>
              <w:jc w:val="both"/>
              <w:rPr>
                <w:rFonts w:ascii="Arial" w:hAnsi="Arial" w:cs="Arial"/>
                <w:b w:val="0"/>
                <w:bCs w:val="0"/>
                <w:sz w:val="18"/>
                <w:szCs w:val="18"/>
              </w:rPr>
            </w:pPr>
          </w:p>
        </w:tc>
        <w:tc>
          <w:tcPr>
            <w:tcW w:w="1417" w:type="dxa"/>
            <w:hideMark/>
          </w:tcPr>
          <w:p w14:paraId="37142AEF" w14:textId="77777777" w:rsidR="005845FA" w:rsidRPr="005845FA" w:rsidRDefault="005845FA" w:rsidP="005A223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Interpretation</w:t>
            </w:r>
          </w:p>
        </w:tc>
        <w:tc>
          <w:tcPr>
            <w:tcW w:w="1134" w:type="dxa"/>
            <w:hideMark/>
          </w:tcPr>
          <w:p w14:paraId="1BBFEC84" w14:textId="77777777" w:rsidR="005845FA" w:rsidRPr="005845FA" w:rsidRDefault="005845FA" w:rsidP="005A223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c>
          <w:tcPr>
            <w:tcW w:w="1134" w:type="dxa"/>
            <w:hideMark/>
          </w:tcPr>
          <w:p w14:paraId="2CE147B1" w14:textId="77777777" w:rsidR="005845FA" w:rsidRPr="005845FA" w:rsidRDefault="005845FA" w:rsidP="005A223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c>
          <w:tcPr>
            <w:tcW w:w="1134" w:type="dxa"/>
            <w:hideMark/>
          </w:tcPr>
          <w:p w14:paraId="59880C91" w14:textId="77777777" w:rsidR="005845FA" w:rsidRPr="005845FA" w:rsidRDefault="005845FA" w:rsidP="005A223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c>
          <w:tcPr>
            <w:tcW w:w="1134" w:type="dxa"/>
            <w:hideMark/>
          </w:tcPr>
          <w:p w14:paraId="53570A84" w14:textId="77777777" w:rsidR="005845FA" w:rsidRPr="005845FA" w:rsidRDefault="005845FA" w:rsidP="005A223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c>
          <w:tcPr>
            <w:tcW w:w="1418" w:type="dxa"/>
            <w:hideMark/>
          </w:tcPr>
          <w:p w14:paraId="4D3B3CC0" w14:textId="77777777" w:rsidR="005845FA" w:rsidRPr="005845FA" w:rsidRDefault="005845FA" w:rsidP="005A223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845FA">
              <w:rPr>
                <w:rFonts w:ascii="Arial" w:hAnsi="Arial" w:cs="Arial"/>
                <w:b/>
                <w:bCs/>
                <w:sz w:val="18"/>
                <w:szCs w:val="18"/>
              </w:rPr>
              <w:t>Moderate, significant</w:t>
            </w:r>
          </w:p>
        </w:tc>
      </w:tr>
    </w:tbl>
    <w:p w14:paraId="34E46728" w14:textId="4A46C8F3" w:rsidR="007A7912" w:rsidRPr="005845FA" w:rsidRDefault="007A7912" w:rsidP="0050564D">
      <w:pPr>
        <w:autoSpaceDE w:val="0"/>
        <w:autoSpaceDN w:val="0"/>
        <w:adjustRightInd w:val="0"/>
        <w:jc w:val="both"/>
        <w:rPr>
          <w:rFonts w:ascii="Arial" w:eastAsia="Calibri" w:hAnsi="Arial" w:cs="Arial"/>
          <w:bCs/>
        </w:rPr>
      </w:pPr>
    </w:p>
    <w:p w14:paraId="48891E9B" w14:textId="77777777" w:rsidR="007A7912" w:rsidRPr="005845FA" w:rsidRDefault="007A7912" w:rsidP="00441B6F">
      <w:pPr>
        <w:pStyle w:val="ConcHead"/>
        <w:spacing w:after="0"/>
        <w:jc w:val="both"/>
        <w:rPr>
          <w:rFonts w:ascii="Arial" w:hAnsi="Arial" w:cs="Arial"/>
        </w:rPr>
      </w:pPr>
    </w:p>
    <w:p w14:paraId="2D4EB7D0" w14:textId="4CA3F209" w:rsidR="00B01FCD" w:rsidRPr="005845FA" w:rsidRDefault="00000F8F" w:rsidP="00441B6F">
      <w:pPr>
        <w:pStyle w:val="ConcHead"/>
        <w:spacing w:after="0"/>
        <w:jc w:val="both"/>
        <w:rPr>
          <w:rFonts w:ascii="Arial" w:hAnsi="Arial" w:cs="Arial"/>
        </w:rPr>
      </w:pPr>
      <w:r w:rsidRPr="005845FA">
        <w:rPr>
          <w:rFonts w:ascii="Arial" w:hAnsi="Arial" w:cs="Arial"/>
        </w:rPr>
        <w:t xml:space="preserve">4. </w:t>
      </w:r>
      <w:r w:rsidR="00A802A4" w:rsidRPr="005845FA">
        <w:rPr>
          <w:rFonts w:ascii="Arial" w:hAnsi="Arial" w:cs="Arial"/>
        </w:rPr>
        <w:t>CONCLUSION</w:t>
      </w:r>
      <w:r w:rsidR="00D90F61" w:rsidRPr="005845FA">
        <w:rPr>
          <w:rFonts w:ascii="Arial" w:hAnsi="Arial" w:cs="Arial"/>
        </w:rPr>
        <w:t>S</w:t>
      </w:r>
      <w:r w:rsidR="00A802A4" w:rsidRPr="005845FA">
        <w:rPr>
          <w:rFonts w:ascii="Arial" w:hAnsi="Arial" w:cs="Arial"/>
        </w:rPr>
        <w:t xml:space="preserve"> AND RECOMMENDATIONS</w:t>
      </w:r>
    </w:p>
    <w:p w14:paraId="7BCAF046" w14:textId="77777777" w:rsidR="009D4DFF" w:rsidRPr="005845FA" w:rsidRDefault="009D4DFF" w:rsidP="00441B6F">
      <w:pPr>
        <w:pStyle w:val="ConcHead"/>
        <w:spacing w:after="0"/>
        <w:jc w:val="both"/>
        <w:rPr>
          <w:rFonts w:ascii="Arial" w:hAnsi="Arial" w:cs="Arial"/>
        </w:rPr>
      </w:pPr>
    </w:p>
    <w:p w14:paraId="2F4AF49F" w14:textId="4DCAF076" w:rsidR="009D4DFF" w:rsidRPr="005845FA" w:rsidRDefault="009D4DFF" w:rsidP="00441B6F">
      <w:pPr>
        <w:pStyle w:val="ConcHead"/>
        <w:spacing w:after="0"/>
        <w:jc w:val="both"/>
        <w:rPr>
          <w:rFonts w:ascii="Arial" w:hAnsi="Arial" w:cs="Arial"/>
        </w:rPr>
      </w:pPr>
      <w:r w:rsidRPr="005845FA">
        <w:rPr>
          <w:rFonts w:ascii="Arial" w:hAnsi="Arial" w:cs="Arial"/>
        </w:rPr>
        <w:t xml:space="preserve">4.1 </w:t>
      </w:r>
      <w:r w:rsidRPr="005845FA">
        <w:rPr>
          <w:rFonts w:ascii="Arial" w:hAnsi="Arial" w:cs="Arial"/>
          <w:caps w:val="0"/>
        </w:rPr>
        <w:t>Conclusion</w:t>
      </w:r>
      <w:r w:rsidR="00D90F61" w:rsidRPr="005845FA">
        <w:rPr>
          <w:rFonts w:ascii="Arial" w:hAnsi="Arial" w:cs="Arial"/>
          <w:caps w:val="0"/>
        </w:rPr>
        <w:t>s</w:t>
      </w:r>
    </w:p>
    <w:p w14:paraId="3FEE8280" w14:textId="77777777" w:rsidR="00790ADA" w:rsidRPr="005845FA" w:rsidRDefault="00790ADA" w:rsidP="00441B6F">
      <w:pPr>
        <w:pStyle w:val="ConcHead"/>
        <w:spacing w:after="0"/>
        <w:jc w:val="both"/>
        <w:rPr>
          <w:rFonts w:ascii="Arial" w:hAnsi="Arial" w:cs="Arial"/>
        </w:rPr>
      </w:pPr>
    </w:p>
    <w:p w14:paraId="41A9C5BE" w14:textId="1D701871" w:rsidR="005845FA" w:rsidRPr="005845FA" w:rsidRDefault="005845FA" w:rsidP="005845FA">
      <w:pPr>
        <w:jc w:val="both"/>
        <w:rPr>
          <w:rFonts w:ascii="Arial" w:hAnsi="Arial" w:cs="Arial"/>
        </w:rPr>
      </w:pPr>
      <w:r w:rsidRPr="005845FA">
        <w:rPr>
          <w:rFonts w:ascii="Arial" w:hAnsi="Arial" w:cs="Arial"/>
        </w:rPr>
        <w:t xml:space="preserve">Through the findings of the present study, the researcher concludes the following: On the level of market competition among merchandising businesses in </w:t>
      </w:r>
      <w:proofErr w:type="spellStart"/>
      <w:r w:rsidRPr="005845FA">
        <w:rPr>
          <w:rFonts w:ascii="Arial" w:hAnsi="Arial" w:cs="Arial"/>
        </w:rPr>
        <w:t>Cateel</w:t>
      </w:r>
      <w:proofErr w:type="spellEnd"/>
      <w:r w:rsidRPr="005845FA">
        <w:rPr>
          <w:rFonts w:ascii="Arial" w:hAnsi="Arial" w:cs="Arial"/>
        </w:rPr>
        <w:t xml:space="preserve">, Davao Oriental, experience a very high level of market competition in terms of number of competitors (x̅, s=), market share (x̅, s=), pricing strategies (x̅, s=), and product differentiation (x̅, s=). This suggests a highly saturated and dynamic business environment where sellers actively adjust their strategies to remain competitive. On the level of sellers’ performance in </w:t>
      </w:r>
      <w:proofErr w:type="spellStart"/>
      <w:r w:rsidRPr="005845FA">
        <w:rPr>
          <w:rFonts w:ascii="Arial" w:hAnsi="Arial" w:cs="Arial"/>
        </w:rPr>
        <w:t>Cateel</w:t>
      </w:r>
      <w:proofErr w:type="spellEnd"/>
      <w:r w:rsidRPr="005845FA">
        <w:rPr>
          <w:rFonts w:ascii="Arial" w:hAnsi="Arial" w:cs="Arial"/>
        </w:rPr>
        <w:t>, they demonstrate a very high level of performance based on their strategies (x̅, s=), sales revenue (x̅, s=), profits earned (x̅, s=), and customer satisfaction (x̅, s=). This suggests that, despite intense market competition, sellers can maintain strong performance through effective business practices and customer engagement. On the relationship between market competition and sellers’ performance (r=, p=), there is a moderate positive relationship between market competition and sellers’ performance. This implies that higher levels of competition encourage sellers to improve their operations, resulting in improved performance outcomes.</w:t>
      </w:r>
    </w:p>
    <w:p w14:paraId="1A5990FB" w14:textId="77777777" w:rsidR="00804885" w:rsidRPr="005845FA" w:rsidRDefault="00804885" w:rsidP="00804885">
      <w:pPr>
        <w:ind w:firstLine="720"/>
        <w:jc w:val="both"/>
        <w:rPr>
          <w:rFonts w:ascii="Arial" w:hAnsi="Arial" w:cs="Arial"/>
        </w:rPr>
      </w:pPr>
    </w:p>
    <w:p w14:paraId="317F0A8E" w14:textId="672DE446" w:rsidR="009D4DFF" w:rsidRPr="005845FA" w:rsidRDefault="009D4DFF" w:rsidP="009D4DFF">
      <w:pPr>
        <w:pStyle w:val="ConcHead"/>
        <w:spacing w:after="0"/>
        <w:jc w:val="both"/>
        <w:rPr>
          <w:rFonts w:ascii="Arial" w:hAnsi="Arial" w:cs="Arial"/>
        </w:rPr>
      </w:pPr>
      <w:r w:rsidRPr="005845FA">
        <w:rPr>
          <w:rFonts w:ascii="Arial" w:hAnsi="Arial" w:cs="Arial"/>
        </w:rPr>
        <w:t xml:space="preserve">4.2 </w:t>
      </w:r>
      <w:r w:rsidRPr="005845FA">
        <w:rPr>
          <w:rFonts w:ascii="Arial" w:hAnsi="Arial" w:cs="Arial"/>
          <w:caps w:val="0"/>
        </w:rPr>
        <w:t>Recommendations</w:t>
      </w:r>
    </w:p>
    <w:p w14:paraId="04AF4A78" w14:textId="7A2903B0" w:rsidR="00C405D5" w:rsidRPr="005845FA" w:rsidRDefault="00C405D5" w:rsidP="005845FA">
      <w:pPr>
        <w:jc w:val="both"/>
        <w:rPr>
          <w:rFonts w:ascii="Arial" w:hAnsi="Arial" w:cs="Arial"/>
        </w:rPr>
      </w:pPr>
    </w:p>
    <w:p w14:paraId="25D57E20" w14:textId="77777777" w:rsidR="005845FA" w:rsidRPr="005845FA" w:rsidRDefault="005845FA" w:rsidP="005845FA">
      <w:pPr>
        <w:jc w:val="both"/>
        <w:rPr>
          <w:rFonts w:ascii="Arial" w:hAnsi="Arial" w:cs="Arial"/>
        </w:rPr>
      </w:pPr>
      <w:r w:rsidRPr="005845FA">
        <w:rPr>
          <w:rFonts w:ascii="Arial" w:hAnsi="Arial" w:cs="Arial"/>
        </w:rPr>
        <w:t xml:space="preserve">To ensure the continued growth and competitiveness of merchandising businesses in </w:t>
      </w:r>
      <w:proofErr w:type="spellStart"/>
      <w:r w:rsidRPr="005845FA">
        <w:rPr>
          <w:rFonts w:ascii="Arial" w:hAnsi="Arial" w:cs="Arial"/>
        </w:rPr>
        <w:t>Cateel</w:t>
      </w:r>
      <w:proofErr w:type="spellEnd"/>
      <w:r w:rsidRPr="005845FA">
        <w:rPr>
          <w:rFonts w:ascii="Arial" w:hAnsi="Arial" w:cs="Arial"/>
        </w:rPr>
        <w:t>, Davao Oriental, the following recommendations are proposed. These findings align with the study's results and are grounded in the specific research questions regarding the levels of competition, performance, and their relationship.</w:t>
      </w:r>
    </w:p>
    <w:p w14:paraId="0A54645A" w14:textId="77777777" w:rsidR="005845FA" w:rsidRPr="005845FA" w:rsidRDefault="005845FA" w:rsidP="005845FA">
      <w:pPr>
        <w:ind w:firstLine="720"/>
        <w:jc w:val="both"/>
        <w:rPr>
          <w:rFonts w:ascii="Arial" w:hAnsi="Arial" w:cs="Arial"/>
        </w:rPr>
      </w:pPr>
      <w:r w:rsidRPr="005845FA">
        <w:rPr>
          <w:rFonts w:ascii="Arial" w:hAnsi="Arial" w:cs="Arial"/>
          <w:b/>
          <w:bCs/>
          <w:i/>
          <w:iCs/>
        </w:rPr>
        <w:t xml:space="preserve">Strengthen Market Share and Customer Retention Strategies. </w:t>
      </w:r>
      <w:r w:rsidRPr="005845FA">
        <w:rPr>
          <w:rFonts w:ascii="Arial" w:hAnsi="Arial" w:cs="Arial"/>
        </w:rPr>
        <w:t>Since market share received the lowest mean among competition indicators, sellers should intensify efforts to expand their customer base. This may include adopting customer loyalty programs, seasonal discounts, and targeted promotional campaigns to retain existing clients while attracting new ones. Local sellers can also partner with other businesses for joint marketing and bundling strategies. Strengthening digital presence through social media and e-commerce platforms can further enhance reach and engagement, especially in a geographically limited local market.</w:t>
      </w:r>
    </w:p>
    <w:p w14:paraId="629A8931" w14:textId="77777777" w:rsidR="005845FA" w:rsidRPr="005845FA" w:rsidRDefault="005845FA" w:rsidP="005845FA">
      <w:pPr>
        <w:ind w:firstLine="720"/>
        <w:jc w:val="both"/>
        <w:rPr>
          <w:rFonts w:ascii="Arial" w:hAnsi="Arial" w:cs="Arial"/>
          <w:b/>
          <w:bCs/>
          <w:i/>
          <w:iCs/>
        </w:rPr>
      </w:pPr>
      <w:r w:rsidRPr="005845FA">
        <w:rPr>
          <w:rFonts w:ascii="Arial" w:hAnsi="Arial" w:cs="Arial"/>
          <w:b/>
          <w:bCs/>
          <w:i/>
          <w:iCs/>
        </w:rPr>
        <w:t xml:space="preserve">Enhance Seller Strategies through Continuous Innovation and Capacity Building. </w:t>
      </w:r>
      <w:r w:rsidRPr="005845FA">
        <w:rPr>
          <w:rFonts w:ascii="Arial" w:hAnsi="Arial" w:cs="Arial"/>
        </w:rPr>
        <w:t>Given that seller strategies were rated the lowest among performance indicators, business owners should regularly conduct training on salesmanship, market analysis, and financial management. They should adopt data-driven strategies, such as utilizing customer relationship management (CRM) tools, to better analyze purchasing patterns and enhance customer targeting. Encouraging innovation, such as introducing new sales channels or product bundles, can improve adaptability to competitive pressures.</w:t>
      </w:r>
    </w:p>
    <w:p w14:paraId="5D8DF4FD" w14:textId="77777777" w:rsidR="005845FA" w:rsidRPr="005845FA" w:rsidRDefault="005845FA" w:rsidP="005845FA">
      <w:pPr>
        <w:ind w:firstLine="720"/>
        <w:jc w:val="both"/>
        <w:rPr>
          <w:rFonts w:ascii="Arial" w:hAnsi="Arial" w:cs="Arial"/>
          <w:b/>
          <w:bCs/>
          <w:i/>
          <w:iCs/>
        </w:rPr>
      </w:pPr>
      <w:r w:rsidRPr="005845FA">
        <w:rPr>
          <w:rFonts w:ascii="Arial" w:hAnsi="Arial" w:cs="Arial"/>
          <w:b/>
          <w:bCs/>
          <w:i/>
          <w:iCs/>
        </w:rPr>
        <w:t xml:space="preserve">Maintain Strong Customer Satisfaction as a Competitive Advantage. </w:t>
      </w:r>
      <w:r w:rsidRPr="005845FA">
        <w:rPr>
          <w:rFonts w:ascii="Arial" w:hAnsi="Arial" w:cs="Arial"/>
        </w:rPr>
        <w:t xml:space="preserve">Customer satisfaction was identified as the highest-performing dimension of sellers’ performance. To maintain this strength, businesses should consistently deliver high-quality products, prompt service, and personalized customer care. Establishing a structured customer feedback system </w:t>
      </w:r>
      <w:r w:rsidRPr="005845FA">
        <w:rPr>
          <w:rFonts w:ascii="Arial" w:hAnsi="Arial" w:cs="Arial"/>
        </w:rPr>
        <w:lastRenderedPageBreak/>
        <w:t>can help identify service gaps and ensure continual improvement. Sustaining high satisfaction will promote repeat purchases, brand loyalty, and positive word of mouth, which are essential advantages in a competitive environment.</w:t>
      </w:r>
    </w:p>
    <w:p w14:paraId="29FC8619" w14:textId="77777777" w:rsidR="005845FA" w:rsidRPr="005845FA" w:rsidRDefault="005845FA" w:rsidP="005845FA">
      <w:pPr>
        <w:ind w:firstLine="720"/>
        <w:jc w:val="both"/>
        <w:rPr>
          <w:rFonts w:ascii="Arial" w:hAnsi="Arial" w:cs="Arial"/>
          <w:b/>
          <w:bCs/>
          <w:i/>
          <w:iCs/>
        </w:rPr>
      </w:pPr>
      <w:r w:rsidRPr="005845FA">
        <w:rPr>
          <w:rFonts w:ascii="Arial" w:hAnsi="Arial" w:cs="Arial"/>
          <w:b/>
          <w:bCs/>
          <w:i/>
          <w:iCs/>
        </w:rPr>
        <w:t xml:space="preserve">Optimize Pricing Strategies Responsibly. </w:t>
      </w:r>
      <w:r w:rsidRPr="005845FA">
        <w:rPr>
          <w:rFonts w:ascii="Arial" w:hAnsi="Arial" w:cs="Arial"/>
        </w:rPr>
        <w:t>Since pricing strategies were the highest-rated competitive factor, sellers must continue to use flexible and value-based pricing without engaging in harmful price wars. Regularly monitoring competitor prices while ensuring profitability is vital. Sellers should adopt dynamic pricing strategies based on demand, costs, and customer segments, allowing them to stay competitive while maintaining financial stability.</w:t>
      </w:r>
    </w:p>
    <w:p w14:paraId="57B12E0B" w14:textId="77777777" w:rsidR="005845FA" w:rsidRPr="005845FA" w:rsidRDefault="005845FA" w:rsidP="005845FA">
      <w:pPr>
        <w:ind w:firstLine="720"/>
        <w:jc w:val="both"/>
        <w:rPr>
          <w:rFonts w:ascii="Arial" w:hAnsi="Arial" w:cs="Arial"/>
          <w:b/>
          <w:bCs/>
          <w:i/>
          <w:iCs/>
        </w:rPr>
      </w:pPr>
      <w:r w:rsidRPr="005845FA">
        <w:rPr>
          <w:rFonts w:ascii="Arial" w:hAnsi="Arial" w:cs="Arial"/>
          <w:b/>
          <w:bCs/>
          <w:i/>
          <w:iCs/>
        </w:rPr>
        <w:t xml:space="preserve">Strengthen Product Differentiation to Build Market Identity. </w:t>
      </w:r>
      <w:r w:rsidRPr="005845FA">
        <w:rPr>
          <w:rFonts w:ascii="Arial" w:hAnsi="Arial" w:cs="Arial"/>
        </w:rPr>
        <w:t>Although product differentiation showed a moderately significant relationship with sellers’ performance, further investment in unique and high-quality offerings can strengthen brand identity. Businesses should focus on product innovation, packaging, branding, and after-sales service to stand out from competitors. Partnering with local producers to develop distinctive, locally inspired products may also attract loyal customers who value authenticity and quality.</w:t>
      </w:r>
    </w:p>
    <w:p w14:paraId="43404858" w14:textId="77777777" w:rsidR="005845FA" w:rsidRPr="005845FA" w:rsidRDefault="005845FA" w:rsidP="005845FA">
      <w:pPr>
        <w:ind w:firstLine="720"/>
        <w:jc w:val="both"/>
        <w:rPr>
          <w:rFonts w:ascii="Arial" w:hAnsi="Arial" w:cs="Arial"/>
        </w:rPr>
      </w:pPr>
      <w:r w:rsidRPr="005845FA">
        <w:rPr>
          <w:rFonts w:ascii="Arial" w:hAnsi="Arial" w:cs="Arial"/>
          <w:b/>
          <w:bCs/>
          <w:i/>
          <w:iCs/>
        </w:rPr>
        <w:t xml:space="preserve">Foster Collaboration and Fair Competition Among Local Businesses. </w:t>
      </w:r>
      <w:r w:rsidRPr="005845FA">
        <w:rPr>
          <w:rFonts w:ascii="Arial" w:hAnsi="Arial" w:cs="Arial"/>
        </w:rPr>
        <w:t>Given the high number of competitors, merchants and local authorities should establish cooperative associations or trade groups that promote fair competition, shared marketing events, and supplier networking. This approach will enable small and medium-sized sellers to access shared resources, reduce costs, and establish a stronger collective presence in the market.</w:t>
      </w:r>
    </w:p>
    <w:p w14:paraId="14242479" w14:textId="77777777" w:rsidR="005845FA" w:rsidRPr="005845FA" w:rsidRDefault="005845FA" w:rsidP="005845FA">
      <w:pPr>
        <w:ind w:firstLine="720"/>
        <w:jc w:val="both"/>
        <w:rPr>
          <w:rFonts w:ascii="Arial" w:hAnsi="Arial" w:cs="Arial"/>
        </w:rPr>
      </w:pPr>
      <w:r w:rsidRPr="005845FA">
        <w:rPr>
          <w:rFonts w:ascii="Arial" w:hAnsi="Arial" w:cs="Arial"/>
          <w:b/>
          <w:bCs/>
          <w:i/>
          <w:iCs/>
        </w:rPr>
        <w:t>Policy Support for Small and Medium Merchandising Enterprises.</w:t>
      </w:r>
      <w:r w:rsidRPr="005845FA">
        <w:rPr>
          <w:rFonts w:ascii="Arial" w:hAnsi="Arial" w:cs="Arial"/>
        </w:rPr>
        <w:t xml:space="preserve"> The local government and business development offices should create programs that address the weaker aspects identified in the study, particularly market share and seller strategy. Training seminars, financial literacy workshops, and access to digital marketing tools can help SMEs remain competitive. Additionally, policies that prevent monopolistic practices and promote equitable market access can sustain a healthy competitive environment.</w:t>
      </w:r>
    </w:p>
    <w:p w14:paraId="127F7AF7" w14:textId="77777777" w:rsidR="005845FA" w:rsidRPr="005845FA" w:rsidRDefault="005845FA" w:rsidP="005845FA">
      <w:pPr>
        <w:jc w:val="both"/>
        <w:rPr>
          <w:rFonts w:ascii="Arial" w:hAnsi="Arial" w:cs="Arial"/>
        </w:rPr>
      </w:pPr>
    </w:p>
    <w:p w14:paraId="316F7119" w14:textId="5366C471" w:rsidR="00E0142C" w:rsidRPr="005845FA" w:rsidRDefault="00E0142C" w:rsidP="00737A24">
      <w:pPr>
        <w:pStyle w:val="AcknHead"/>
        <w:spacing w:after="0"/>
        <w:jc w:val="both"/>
        <w:rPr>
          <w:rFonts w:ascii="Arial" w:hAnsi="Arial" w:cs="Arial"/>
        </w:rPr>
      </w:pPr>
      <w:r w:rsidRPr="005845FA">
        <w:rPr>
          <w:rFonts w:ascii="Arial" w:hAnsi="Arial" w:cs="Arial"/>
        </w:rPr>
        <w:t>DISCLAIMER (ARTIFICIAL INTELLIGENCE)</w:t>
      </w:r>
    </w:p>
    <w:p w14:paraId="6ABFF9E9" w14:textId="77777777" w:rsidR="00E0142C" w:rsidRPr="005845FA" w:rsidRDefault="00E0142C" w:rsidP="00737A24">
      <w:pPr>
        <w:pStyle w:val="AcknHead"/>
        <w:spacing w:after="0"/>
        <w:jc w:val="both"/>
        <w:rPr>
          <w:rFonts w:ascii="Arial" w:hAnsi="Arial" w:cs="Arial"/>
        </w:rPr>
      </w:pPr>
    </w:p>
    <w:p w14:paraId="50902C83" w14:textId="6749D195" w:rsidR="00E0142C" w:rsidRPr="005845FA" w:rsidRDefault="00E0142C" w:rsidP="00737A24">
      <w:pPr>
        <w:pStyle w:val="AcknHead"/>
        <w:jc w:val="both"/>
        <w:rPr>
          <w:rFonts w:ascii="Arial" w:hAnsi="Arial" w:cs="Arial"/>
          <w:b w:val="0"/>
          <w:caps w:val="0"/>
          <w:color w:val="000000" w:themeColor="text1"/>
          <w:sz w:val="20"/>
        </w:rPr>
      </w:pPr>
      <w:r w:rsidRPr="005845FA">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5845FA" w:rsidRDefault="00E0142C" w:rsidP="00E0142C">
      <w:pPr>
        <w:pStyle w:val="AcknHead"/>
        <w:jc w:val="both"/>
        <w:rPr>
          <w:rFonts w:ascii="Arial" w:hAnsi="Arial" w:cs="Arial"/>
          <w:bCs/>
          <w:caps w:val="0"/>
          <w:color w:val="000000" w:themeColor="text1"/>
          <w:sz w:val="20"/>
        </w:rPr>
      </w:pPr>
      <w:r w:rsidRPr="005845FA">
        <w:rPr>
          <w:rFonts w:ascii="Arial" w:hAnsi="Arial" w:cs="Arial"/>
          <w:bCs/>
          <w:caps w:val="0"/>
          <w:color w:val="000000" w:themeColor="text1"/>
          <w:sz w:val="20"/>
        </w:rPr>
        <w:t>The details of AI usage are as follows:</w:t>
      </w:r>
    </w:p>
    <w:p w14:paraId="69244815" w14:textId="3484B050" w:rsidR="00E0142C" w:rsidRPr="005845FA" w:rsidRDefault="00E0142C" w:rsidP="006F6CF2">
      <w:pPr>
        <w:pStyle w:val="AcknHead"/>
        <w:numPr>
          <w:ilvl w:val="0"/>
          <w:numId w:val="10"/>
        </w:numPr>
        <w:jc w:val="both"/>
        <w:rPr>
          <w:rFonts w:ascii="Arial" w:hAnsi="Arial" w:cs="Arial"/>
          <w:b w:val="0"/>
          <w:caps w:val="0"/>
          <w:color w:val="000000" w:themeColor="text1"/>
          <w:sz w:val="20"/>
        </w:rPr>
      </w:pPr>
      <w:r w:rsidRPr="005845FA">
        <w:rPr>
          <w:rFonts w:ascii="Arial" w:hAnsi="Arial" w:cs="Arial"/>
          <w:b w:val="0"/>
          <w:caps w:val="0"/>
          <w:color w:val="000000" w:themeColor="text1"/>
          <w:sz w:val="20"/>
        </w:rPr>
        <w:t xml:space="preserve">AI Tools Used: </w:t>
      </w:r>
      <w:proofErr w:type="spellStart"/>
      <w:r w:rsidRPr="005845FA">
        <w:rPr>
          <w:rFonts w:ascii="Arial" w:hAnsi="Arial" w:cs="Arial"/>
          <w:b w:val="0"/>
          <w:caps w:val="0"/>
          <w:color w:val="000000" w:themeColor="text1"/>
          <w:sz w:val="20"/>
        </w:rPr>
        <w:t>ChatGPT</w:t>
      </w:r>
      <w:proofErr w:type="spellEnd"/>
      <w:r w:rsidRPr="005845FA">
        <w:rPr>
          <w:rFonts w:ascii="Arial" w:hAnsi="Arial" w:cs="Arial"/>
          <w:b w:val="0"/>
          <w:caps w:val="0"/>
          <w:color w:val="000000" w:themeColor="text1"/>
          <w:sz w:val="20"/>
        </w:rPr>
        <w:t xml:space="preserve">, developed by </w:t>
      </w:r>
      <w:proofErr w:type="spellStart"/>
      <w:r w:rsidRPr="005845FA">
        <w:rPr>
          <w:rFonts w:ascii="Arial" w:hAnsi="Arial" w:cs="Arial"/>
          <w:b w:val="0"/>
          <w:caps w:val="0"/>
          <w:color w:val="000000" w:themeColor="text1"/>
          <w:sz w:val="20"/>
        </w:rPr>
        <w:t>OpenAI</w:t>
      </w:r>
      <w:proofErr w:type="spellEnd"/>
      <w:r w:rsidRPr="005845FA">
        <w:rPr>
          <w:rFonts w:ascii="Arial" w:hAnsi="Arial" w:cs="Arial"/>
          <w:b w:val="0"/>
          <w:caps w:val="0"/>
          <w:color w:val="000000" w:themeColor="text1"/>
          <w:sz w:val="20"/>
        </w:rPr>
        <w:t>, and Copilot, developed by Microsoft.</w:t>
      </w:r>
    </w:p>
    <w:p w14:paraId="632A01B0" w14:textId="57DA8CBC" w:rsidR="00E0142C" w:rsidRPr="005845FA" w:rsidRDefault="00E0142C" w:rsidP="006F6CF2">
      <w:pPr>
        <w:pStyle w:val="AcknHead"/>
        <w:numPr>
          <w:ilvl w:val="0"/>
          <w:numId w:val="10"/>
        </w:numPr>
        <w:jc w:val="both"/>
        <w:rPr>
          <w:rFonts w:ascii="Arial" w:hAnsi="Arial" w:cs="Arial"/>
          <w:b w:val="0"/>
          <w:caps w:val="0"/>
          <w:color w:val="000000" w:themeColor="text1"/>
          <w:sz w:val="20"/>
        </w:rPr>
      </w:pPr>
      <w:r w:rsidRPr="005845FA">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Pr="005845FA" w:rsidRDefault="00E0142C" w:rsidP="006F6CF2">
      <w:pPr>
        <w:pStyle w:val="AcknHead"/>
        <w:numPr>
          <w:ilvl w:val="0"/>
          <w:numId w:val="10"/>
        </w:numPr>
        <w:spacing w:after="0"/>
        <w:jc w:val="both"/>
        <w:rPr>
          <w:rFonts w:ascii="Arial" w:hAnsi="Arial" w:cs="Arial"/>
          <w:b w:val="0"/>
          <w:caps w:val="0"/>
          <w:color w:val="000000" w:themeColor="text1"/>
          <w:sz w:val="20"/>
        </w:rPr>
      </w:pPr>
      <w:r w:rsidRPr="005845FA">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5845FA" w:rsidRDefault="00E0142C" w:rsidP="00E0142C">
      <w:pPr>
        <w:pStyle w:val="AcknHead"/>
        <w:spacing w:after="0"/>
        <w:jc w:val="both"/>
        <w:rPr>
          <w:rFonts w:ascii="Arial" w:hAnsi="Arial" w:cs="Arial"/>
          <w:b w:val="0"/>
          <w:caps w:val="0"/>
          <w:color w:val="000000" w:themeColor="text1"/>
          <w:sz w:val="20"/>
        </w:rPr>
      </w:pPr>
    </w:p>
    <w:p w14:paraId="0B6948E3" w14:textId="77777777" w:rsidR="00686190" w:rsidRPr="005845FA" w:rsidRDefault="00686190" w:rsidP="00441B6F">
      <w:pPr>
        <w:pStyle w:val="ReferHead"/>
        <w:spacing w:after="0"/>
        <w:jc w:val="both"/>
        <w:rPr>
          <w:rFonts w:ascii="Arial" w:hAnsi="Arial" w:cs="Arial"/>
          <w:b w:val="0"/>
          <w:caps w:val="0"/>
          <w:sz w:val="20"/>
        </w:rPr>
      </w:pPr>
      <w:bookmarkStart w:id="2" w:name="_GoBack"/>
      <w:bookmarkEnd w:id="2"/>
    </w:p>
    <w:p w14:paraId="44598199" w14:textId="77777777" w:rsidR="002B685A" w:rsidRPr="005845FA" w:rsidRDefault="002B685A" w:rsidP="00441B6F">
      <w:pPr>
        <w:pStyle w:val="ReferHead"/>
        <w:spacing w:after="0"/>
        <w:jc w:val="both"/>
        <w:rPr>
          <w:rFonts w:ascii="Arial" w:hAnsi="Arial" w:cs="Arial"/>
          <w:bCs/>
        </w:rPr>
      </w:pPr>
      <w:r w:rsidRPr="005845FA">
        <w:rPr>
          <w:rFonts w:ascii="Arial" w:hAnsi="Arial" w:cs="Arial"/>
          <w:bCs/>
        </w:rPr>
        <w:t>Consent (where</w:t>
      </w:r>
      <w:r w:rsidR="007369E6" w:rsidRPr="005845FA">
        <w:rPr>
          <w:rFonts w:ascii="Arial" w:hAnsi="Arial" w:cs="Arial"/>
          <w:bCs/>
        </w:rPr>
        <w:t xml:space="preserve"> </w:t>
      </w:r>
      <w:r w:rsidRPr="005845FA">
        <w:rPr>
          <w:rFonts w:ascii="Arial" w:hAnsi="Arial" w:cs="Arial"/>
          <w:bCs/>
        </w:rPr>
        <w:t>ever applicable)</w:t>
      </w:r>
    </w:p>
    <w:p w14:paraId="38CDB07C" w14:textId="77777777" w:rsidR="002B685A" w:rsidRPr="005845FA" w:rsidRDefault="002B685A" w:rsidP="00441B6F">
      <w:pPr>
        <w:pStyle w:val="ReferHead"/>
        <w:spacing w:after="0"/>
        <w:jc w:val="both"/>
        <w:rPr>
          <w:rFonts w:ascii="Arial" w:hAnsi="Arial" w:cs="Arial"/>
          <w:bCs/>
        </w:rPr>
      </w:pPr>
    </w:p>
    <w:p w14:paraId="5779391F" w14:textId="6E10EE49" w:rsidR="005C784C" w:rsidRPr="005845FA" w:rsidRDefault="00D077DD" w:rsidP="00441B6F">
      <w:pPr>
        <w:pStyle w:val="ReferHead"/>
        <w:spacing w:after="0"/>
        <w:jc w:val="both"/>
        <w:rPr>
          <w:rFonts w:ascii="Arial" w:hAnsi="Arial" w:cs="Arial"/>
          <w:b w:val="0"/>
          <w:caps w:val="0"/>
          <w:color w:val="000000" w:themeColor="text1"/>
          <w:sz w:val="20"/>
        </w:rPr>
      </w:pPr>
      <w:r w:rsidRPr="005845FA">
        <w:rPr>
          <w:rFonts w:ascii="Arial" w:hAnsi="Arial" w:cs="Arial"/>
          <w:b w:val="0"/>
          <w:caps w:val="0"/>
          <w:color w:val="000000" w:themeColor="text1"/>
          <w:sz w:val="20"/>
        </w:rPr>
        <w:t>As per international standards or university standards, Participants’ written consent has been collected and preserved by the author(s).</w:t>
      </w:r>
    </w:p>
    <w:p w14:paraId="26E19FB2" w14:textId="77777777" w:rsidR="00D077DD" w:rsidRPr="005845FA" w:rsidRDefault="00D077DD" w:rsidP="00441B6F">
      <w:pPr>
        <w:pStyle w:val="ReferHead"/>
        <w:spacing w:after="0"/>
        <w:jc w:val="both"/>
        <w:rPr>
          <w:rFonts w:ascii="Arial" w:hAnsi="Arial" w:cs="Arial"/>
          <w:b w:val="0"/>
          <w:caps w:val="0"/>
          <w:sz w:val="20"/>
        </w:rPr>
      </w:pPr>
    </w:p>
    <w:p w14:paraId="60913F30" w14:textId="77777777" w:rsidR="005C784C" w:rsidRPr="005845FA" w:rsidRDefault="005C784C" w:rsidP="00441B6F">
      <w:pPr>
        <w:pStyle w:val="ReferHead"/>
        <w:spacing w:after="0"/>
        <w:jc w:val="both"/>
        <w:rPr>
          <w:rFonts w:ascii="Arial" w:hAnsi="Arial" w:cs="Arial"/>
          <w:bCs/>
        </w:rPr>
      </w:pPr>
      <w:r w:rsidRPr="005845FA">
        <w:rPr>
          <w:rFonts w:ascii="Arial" w:hAnsi="Arial" w:cs="Arial"/>
          <w:bCs/>
        </w:rPr>
        <w:t>Ethical approval (where</w:t>
      </w:r>
      <w:r w:rsidR="007369E6" w:rsidRPr="005845FA">
        <w:rPr>
          <w:rFonts w:ascii="Arial" w:hAnsi="Arial" w:cs="Arial"/>
          <w:bCs/>
        </w:rPr>
        <w:t xml:space="preserve"> </w:t>
      </w:r>
      <w:r w:rsidRPr="005845FA">
        <w:rPr>
          <w:rFonts w:ascii="Arial" w:hAnsi="Arial" w:cs="Arial"/>
          <w:bCs/>
        </w:rPr>
        <w:t>ever applicable)</w:t>
      </w:r>
    </w:p>
    <w:p w14:paraId="3F3207FA" w14:textId="77777777" w:rsidR="005C784C" w:rsidRPr="005845FA" w:rsidRDefault="005C784C" w:rsidP="00441B6F">
      <w:pPr>
        <w:pStyle w:val="ReferHead"/>
        <w:spacing w:after="0"/>
        <w:jc w:val="both"/>
        <w:rPr>
          <w:rFonts w:ascii="Arial" w:hAnsi="Arial" w:cs="Arial"/>
          <w:bCs/>
        </w:rPr>
      </w:pPr>
    </w:p>
    <w:p w14:paraId="6E3FAC10" w14:textId="1A90CC52" w:rsidR="00860000" w:rsidRDefault="00D077DD" w:rsidP="00441B6F">
      <w:pPr>
        <w:pStyle w:val="ReferHead"/>
        <w:spacing w:after="0"/>
        <w:jc w:val="both"/>
        <w:rPr>
          <w:rFonts w:ascii="Arial" w:hAnsi="Arial" w:cs="Arial"/>
          <w:b w:val="0"/>
          <w:caps w:val="0"/>
          <w:color w:val="000000" w:themeColor="text1"/>
          <w:sz w:val="20"/>
        </w:rPr>
      </w:pPr>
      <w:r w:rsidRPr="005845FA">
        <w:rPr>
          <w:rFonts w:ascii="Arial" w:hAnsi="Arial" w:cs="Arial"/>
          <w:b w:val="0"/>
          <w:caps w:val="0"/>
          <w:color w:val="000000" w:themeColor="text1"/>
          <w:sz w:val="20"/>
        </w:rPr>
        <w:t>As per international standards or university standards written ethical approval has been collected and preserved by the author(s).</w:t>
      </w:r>
    </w:p>
    <w:p w14:paraId="6F211BDB" w14:textId="77777777" w:rsidR="00AD07F3" w:rsidRDefault="00AD07F3" w:rsidP="00441B6F">
      <w:pPr>
        <w:pStyle w:val="ReferHead"/>
        <w:spacing w:after="0"/>
        <w:jc w:val="both"/>
        <w:rPr>
          <w:rFonts w:ascii="Arial" w:hAnsi="Arial" w:cs="Arial"/>
          <w:b w:val="0"/>
          <w:caps w:val="0"/>
          <w:color w:val="000000" w:themeColor="text1"/>
          <w:sz w:val="20"/>
        </w:rPr>
      </w:pPr>
    </w:p>
    <w:p w14:paraId="048BA6A7" w14:textId="77777777" w:rsidR="00AD07F3" w:rsidRPr="00AD07F3" w:rsidRDefault="00AD07F3" w:rsidP="00AD07F3">
      <w:pPr>
        <w:pStyle w:val="ReferHead"/>
        <w:jc w:val="both"/>
        <w:rPr>
          <w:rFonts w:ascii="Arial" w:hAnsi="Arial" w:cs="Arial"/>
          <w:b w:val="0"/>
          <w:caps w:val="0"/>
          <w:color w:val="000000" w:themeColor="text1"/>
          <w:sz w:val="20"/>
        </w:rPr>
      </w:pPr>
      <w:r w:rsidRPr="00AD07F3">
        <w:rPr>
          <w:rFonts w:ascii="Arial" w:hAnsi="Arial" w:cs="Arial"/>
          <w:b w:val="0"/>
          <w:caps w:val="0"/>
          <w:color w:val="000000" w:themeColor="text1"/>
          <w:sz w:val="20"/>
        </w:rPr>
        <w:t>COMPETING INTERESTS DISCLAIMER:</w:t>
      </w:r>
    </w:p>
    <w:p w14:paraId="7BEAA3D6" w14:textId="7C84F6AF" w:rsidR="00AD07F3" w:rsidRPr="005845FA" w:rsidRDefault="00AD07F3" w:rsidP="00AD07F3">
      <w:pPr>
        <w:pStyle w:val="ReferHead"/>
        <w:spacing w:after="0"/>
        <w:jc w:val="both"/>
        <w:rPr>
          <w:rFonts w:ascii="Arial" w:hAnsi="Arial" w:cs="Arial"/>
          <w:b w:val="0"/>
          <w:caps w:val="0"/>
          <w:color w:val="000000" w:themeColor="text1"/>
          <w:sz w:val="20"/>
        </w:rPr>
      </w:pPr>
      <w:r w:rsidRPr="00AD07F3">
        <w:rPr>
          <w:rFonts w:ascii="Arial" w:hAnsi="Arial" w:cs="Arial"/>
          <w:b w:val="0"/>
          <w:caps w:val="0"/>
          <w:color w:val="000000" w:themeColor="text1"/>
          <w:sz w:val="20"/>
        </w:rPr>
        <w:t>Authors have declared that they have no known competing financial interests OR non-financial interests OR personal relationships that could have appeared to influence the work reported in this paper.</w:t>
      </w:r>
    </w:p>
    <w:p w14:paraId="05C77D3A" w14:textId="77777777" w:rsidR="00D077DD" w:rsidRPr="005845FA" w:rsidRDefault="00D077DD" w:rsidP="00441B6F">
      <w:pPr>
        <w:pStyle w:val="ReferHead"/>
        <w:spacing w:after="0"/>
        <w:jc w:val="both"/>
        <w:rPr>
          <w:rFonts w:ascii="Arial" w:hAnsi="Arial" w:cs="Arial"/>
        </w:rPr>
      </w:pPr>
    </w:p>
    <w:p w14:paraId="1BB8CC70" w14:textId="77777777" w:rsidR="00B01FCD" w:rsidRPr="005845FA" w:rsidRDefault="00B01FCD" w:rsidP="00441B6F">
      <w:pPr>
        <w:pStyle w:val="ReferHead"/>
        <w:spacing w:after="0"/>
        <w:jc w:val="both"/>
        <w:rPr>
          <w:rFonts w:ascii="Arial" w:hAnsi="Arial" w:cs="Arial"/>
        </w:rPr>
      </w:pPr>
      <w:r w:rsidRPr="005845FA">
        <w:rPr>
          <w:rFonts w:ascii="Arial" w:hAnsi="Arial" w:cs="Arial"/>
        </w:rPr>
        <w:t>References</w:t>
      </w:r>
    </w:p>
    <w:p w14:paraId="7B483941" w14:textId="77777777" w:rsidR="00A5201E" w:rsidRPr="005845FA" w:rsidRDefault="00A5201E" w:rsidP="00A5201E">
      <w:pPr>
        <w:jc w:val="both"/>
        <w:rPr>
          <w:rFonts w:ascii="Arial" w:hAnsi="Arial" w:cs="Arial"/>
        </w:rPr>
      </w:pPr>
    </w:p>
    <w:p w14:paraId="5BA40B27" w14:textId="15FAC3ED" w:rsidR="009E612A" w:rsidRDefault="009E612A" w:rsidP="009E612A">
      <w:pPr>
        <w:ind w:left="720" w:hanging="720"/>
      </w:pPr>
    </w:p>
    <w:p w14:paraId="39E1C28C" w14:textId="2DE3C2FE" w:rsidR="009E612A" w:rsidRDefault="009E612A" w:rsidP="009E612A">
      <w:pPr>
        <w:ind w:left="720" w:hanging="720"/>
      </w:pPr>
      <w:r>
        <w:lastRenderedPageBreak/>
        <w:t xml:space="preserve"> </w:t>
      </w:r>
      <w:proofErr w:type="spellStart"/>
      <w:r>
        <w:t>Agustian</w:t>
      </w:r>
      <w:proofErr w:type="spellEnd"/>
      <w:r>
        <w:t xml:space="preserve">, K., </w:t>
      </w:r>
      <w:proofErr w:type="spellStart"/>
      <w:r>
        <w:t>Mubarok</w:t>
      </w:r>
      <w:proofErr w:type="spellEnd"/>
      <w:r>
        <w:t xml:space="preserve">, E. S., Zen, A., </w:t>
      </w:r>
      <w:proofErr w:type="spellStart"/>
      <w:r>
        <w:t>Wiwin</w:t>
      </w:r>
      <w:proofErr w:type="spellEnd"/>
      <w:r>
        <w:t xml:space="preserve">, W., &amp; Malik, A. J. (2023). The Impact </w:t>
      </w:r>
      <w:proofErr w:type="gramStart"/>
      <w:r>
        <w:t>of  Digital</w:t>
      </w:r>
      <w:proofErr w:type="gramEnd"/>
      <w:r>
        <w:t xml:space="preserve"> Transformation on Business Models and Competitive Advantage. </w:t>
      </w:r>
      <w:proofErr w:type="gramStart"/>
      <w:r>
        <w:t>Technology  and</w:t>
      </w:r>
      <w:proofErr w:type="gramEnd"/>
      <w:r>
        <w:t xml:space="preserve"> Society Perspectives (TACIT), 1(2), 79–93.https://doi.org/10.61100/tacit.v1i2.55 </w:t>
      </w:r>
    </w:p>
    <w:p w14:paraId="24F15299" w14:textId="77777777" w:rsidR="009E612A" w:rsidRDefault="009E612A" w:rsidP="009E612A">
      <w:pPr>
        <w:ind w:left="720" w:hanging="720"/>
      </w:pPr>
      <w:proofErr w:type="spellStart"/>
      <w:r>
        <w:t>Aharoni</w:t>
      </w:r>
      <w:proofErr w:type="spellEnd"/>
      <w:r>
        <w:t>, Y. (2024). The role of small firms in an interdependent world. In Standing on the Shoulders of International Business Giants (pp. 237-261).</w:t>
      </w:r>
    </w:p>
    <w:p w14:paraId="58FA73F9" w14:textId="77777777" w:rsidR="009E612A" w:rsidRDefault="009E612A" w:rsidP="009E612A">
      <w:pPr>
        <w:ind w:left="720" w:hanging="720"/>
      </w:pPr>
      <w:r>
        <w:t xml:space="preserve">Akbari, M., &amp; Hopkins, J. L. (2022). Digital technologies as enablers of </w:t>
      </w:r>
      <w:proofErr w:type="gramStart"/>
      <w:r>
        <w:t>supply  chain</w:t>
      </w:r>
      <w:proofErr w:type="gramEnd"/>
      <w:r>
        <w:t xml:space="preserve"> sustainability in an emerging economy. Operations Management Research, 15(3–4), 689–710.  </w:t>
      </w:r>
    </w:p>
    <w:p w14:paraId="1B4000BC" w14:textId="77777777" w:rsidR="009E612A" w:rsidRDefault="009E612A" w:rsidP="009E612A">
      <w:pPr>
        <w:ind w:left="720" w:hanging="720"/>
      </w:pPr>
      <w:proofErr w:type="spellStart"/>
      <w:r>
        <w:t>Alshurideh</w:t>
      </w:r>
      <w:proofErr w:type="spellEnd"/>
      <w:r>
        <w:t xml:space="preserve">, M. T., Kurdi, B. A., </w:t>
      </w:r>
      <w:proofErr w:type="spellStart"/>
      <w:r>
        <w:t>Alzoubi</w:t>
      </w:r>
      <w:proofErr w:type="spellEnd"/>
      <w:r>
        <w:t xml:space="preserve">, H. M., </w:t>
      </w:r>
      <w:proofErr w:type="spellStart"/>
      <w:r>
        <w:t>Obeidat</w:t>
      </w:r>
      <w:proofErr w:type="spellEnd"/>
      <w:r>
        <w:t xml:space="preserve">, B., </w:t>
      </w:r>
      <w:proofErr w:type="spellStart"/>
      <w:r>
        <w:t>Hamadneh</w:t>
      </w:r>
      <w:proofErr w:type="spellEnd"/>
      <w:r>
        <w:t xml:space="preserve">, S., &amp; Ahmad, A. (2022). The influence of supply chain partners’ integrations on organizational performance: The moderating role of trust. Uncertain Supply Chain </w:t>
      </w:r>
      <w:proofErr w:type="gramStart"/>
      <w:r>
        <w:t>Management,  10</w:t>
      </w:r>
      <w:proofErr w:type="gramEnd"/>
      <w:r>
        <w:t xml:space="preserve">(4), 1191–1202. https://doi.org/10.5267/j.uscm.2022.8.009 </w:t>
      </w:r>
    </w:p>
    <w:p w14:paraId="0168E7A5" w14:textId="77777777" w:rsidR="009E612A" w:rsidRDefault="009E612A" w:rsidP="009E612A">
      <w:pPr>
        <w:ind w:left="720" w:hanging="720"/>
      </w:pPr>
      <w:r>
        <w:t xml:space="preserve">Aman, A. H. (2022). S Systematic Literatures Review on Marketing Pricing Strategies.  </w:t>
      </w:r>
    </w:p>
    <w:p w14:paraId="308B5306" w14:textId="77777777" w:rsidR="009E612A" w:rsidRDefault="009E612A" w:rsidP="009E612A">
      <w:pPr>
        <w:ind w:left="720" w:hanging="720"/>
      </w:pPr>
      <w:r>
        <w:t xml:space="preserve">Bhattacharya, A., Morgan, N. A., &amp; </w:t>
      </w:r>
      <w:proofErr w:type="spellStart"/>
      <w:r>
        <w:t>Rego</w:t>
      </w:r>
      <w:proofErr w:type="spellEnd"/>
      <w:r>
        <w:t xml:space="preserve">, L. L. (2022). Examining why and when market share drives firm profit. Journal of Marketing, 86(4), 73-94. </w:t>
      </w:r>
    </w:p>
    <w:p w14:paraId="6BFCDBDA" w14:textId="77777777" w:rsidR="009E612A" w:rsidRDefault="009E612A" w:rsidP="009E612A">
      <w:pPr>
        <w:ind w:left="720" w:hanging="720"/>
      </w:pPr>
      <w:r>
        <w:t xml:space="preserve">Dam, S. M., &amp; Dam, T. C. (2021). Relationships between Service Quality, Brand Image, Customer Satisfaction, and Customer Loyalty. Journal of Asian Finance Economics and Business, 8(3), 585 593.https://doi.org/10.13106/jafeb.2021.vol8.no3.0585 </w:t>
      </w:r>
    </w:p>
    <w:p w14:paraId="5E8B3B42" w14:textId="77777777" w:rsidR="009E612A" w:rsidRDefault="009E612A" w:rsidP="009E612A">
      <w:pPr>
        <w:ind w:left="720" w:hanging="720"/>
      </w:pPr>
      <w:proofErr w:type="spellStart"/>
      <w:r>
        <w:t>Ertekin</w:t>
      </w:r>
      <w:proofErr w:type="spellEnd"/>
      <w:r>
        <w:t xml:space="preserve">, N., </w:t>
      </w:r>
      <w:proofErr w:type="spellStart"/>
      <w:r>
        <w:t>Gümüş</w:t>
      </w:r>
      <w:proofErr w:type="spellEnd"/>
      <w:r>
        <w:t xml:space="preserve">, M., &amp; </w:t>
      </w:r>
      <w:proofErr w:type="spellStart"/>
      <w:r>
        <w:t>Nikoofal</w:t>
      </w:r>
      <w:proofErr w:type="spellEnd"/>
      <w:r>
        <w:t>, M. E. (2021). Online-Exclusive or Hybrid?</w:t>
      </w:r>
    </w:p>
    <w:p w14:paraId="1E6D3B5B" w14:textId="77777777" w:rsidR="009E612A" w:rsidRDefault="009E612A" w:rsidP="009E612A">
      <w:pPr>
        <w:ind w:left="720" w:hanging="720"/>
      </w:pPr>
      <w:proofErr w:type="spellStart"/>
      <w:r>
        <w:t>Leonidou</w:t>
      </w:r>
      <w:proofErr w:type="spellEnd"/>
      <w:r>
        <w:t xml:space="preserve">, L. C., </w:t>
      </w:r>
      <w:proofErr w:type="spellStart"/>
      <w:r>
        <w:t>Aykol</w:t>
      </w:r>
      <w:proofErr w:type="spellEnd"/>
      <w:r>
        <w:t xml:space="preserve">, B., </w:t>
      </w:r>
      <w:proofErr w:type="spellStart"/>
      <w:r>
        <w:t>Larimo</w:t>
      </w:r>
      <w:proofErr w:type="spellEnd"/>
      <w:r>
        <w:t xml:space="preserve">, J., </w:t>
      </w:r>
      <w:proofErr w:type="spellStart"/>
      <w:r>
        <w:t>Kyrgidou</w:t>
      </w:r>
      <w:proofErr w:type="spellEnd"/>
      <w:r>
        <w:t xml:space="preserve">, L., &amp; </w:t>
      </w:r>
      <w:proofErr w:type="spellStart"/>
      <w:r>
        <w:t>Christodoulides</w:t>
      </w:r>
      <w:proofErr w:type="spellEnd"/>
      <w:r>
        <w:t>, P. (2021). Enhancing International Buyer-Seller Relationship Quality and Long-Term Orientation Using Emotional Intelligence: The Moderating Role of Foreign Culture. Management International Review, 61(3), 365–402. https://doi.org/10.1007/s11575-021-00447-w</w:t>
      </w:r>
    </w:p>
    <w:p w14:paraId="5F8AC682" w14:textId="77777777" w:rsidR="009E612A" w:rsidRDefault="009E612A" w:rsidP="009E612A">
      <w:pPr>
        <w:ind w:left="720" w:hanging="720"/>
      </w:pPr>
      <w:r>
        <w:t xml:space="preserve">Liu, W., &amp; </w:t>
      </w:r>
      <w:proofErr w:type="spellStart"/>
      <w:r>
        <w:t>Atuahene-Gima</w:t>
      </w:r>
      <w:proofErr w:type="spellEnd"/>
      <w:r>
        <w:t>, K. (2018a). Enhancing product innovation performance in a dysfunctional competitive environment: The roles of competitive strategies and market-based assets. Industrial Marketing Management, 73,</w:t>
      </w:r>
    </w:p>
    <w:p w14:paraId="69EE48C2" w14:textId="77777777" w:rsidR="009E612A" w:rsidRDefault="009E612A" w:rsidP="009E612A">
      <w:pPr>
        <w:ind w:left="720" w:hanging="720"/>
      </w:pPr>
      <w:r>
        <w:t xml:space="preserve">Nagle, T. T., Müller, G., &amp; </w:t>
      </w:r>
      <w:proofErr w:type="spellStart"/>
      <w:r>
        <w:t>Gruyaert</w:t>
      </w:r>
      <w:proofErr w:type="spellEnd"/>
      <w:r>
        <w:t xml:space="preserve">, E. (2023). The Strategy and Tactics of Pricing: A Guide to Growing More Profitably. Product development, fashion buying and merchandising. Textile </w:t>
      </w:r>
      <w:proofErr w:type="gramStart"/>
      <w:r>
        <w:t>Progress,  54</w:t>
      </w:r>
      <w:proofErr w:type="gramEnd"/>
      <w:r>
        <w:t xml:space="preserve">(4), 247–403.  </w:t>
      </w:r>
    </w:p>
    <w:p w14:paraId="756A2B04" w14:textId="77777777" w:rsidR="009E612A" w:rsidRDefault="009E612A" w:rsidP="009E612A">
      <w:pPr>
        <w:ind w:left="720" w:hanging="720"/>
      </w:pPr>
      <w:r>
        <w:t xml:space="preserve">Putra, E. Y., &amp; Pane, M. P. (2022). Analysis Of Factors Affecting Brand Loyalty </w:t>
      </w:r>
      <w:proofErr w:type="gramStart"/>
      <w:r>
        <w:t>On  Cosmetic</w:t>
      </w:r>
      <w:proofErr w:type="gramEnd"/>
      <w:r>
        <w:t xml:space="preserve"> Products In </w:t>
      </w:r>
      <w:proofErr w:type="spellStart"/>
      <w:r>
        <w:t>Batam</w:t>
      </w:r>
      <w:proofErr w:type="spellEnd"/>
      <w:r>
        <w:t xml:space="preserve">. International Journal of Social Science and </w:t>
      </w:r>
      <w:proofErr w:type="gramStart"/>
      <w:r>
        <w:t>Religion  (</w:t>
      </w:r>
      <w:proofErr w:type="gramEnd"/>
      <w:r>
        <w:t xml:space="preserve">IJSSR), 231–250.  </w:t>
      </w:r>
    </w:p>
    <w:p w14:paraId="050131EA" w14:textId="77777777" w:rsidR="009E612A" w:rsidRDefault="009E612A" w:rsidP="009E612A">
      <w:pPr>
        <w:ind w:left="720" w:hanging="720"/>
      </w:pPr>
      <w:r>
        <w:t xml:space="preserve">Rane, N. L., </w:t>
      </w:r>
      <w:proofErr w:type="spellStart"/>
      <w:r>
        <w:t>Achari</w:t>
      </w:r>
      <w:proofErr w:type="spellEnd"/>
      <w:r>
        <w:t xml:space="preserve">, A., &amp; Choudhary, S. (2023). ENHANCING CUSTOMER </w:t>
      </w:r>
      <w:proofErr w:type="gramStart"/>
      <w:r>
        <w:t>LOYALTY  THROUGH</w:t>
      </w:r>
      <w:proofErr w:type="gramEnd"/>
      <w:r>
        <w:t xml:space="preserve"> QUALITY OF SERVICE: EFFECTIVE STRATEGIES TO IMPROVE  CUSTOMER SATISFACTION, EXPERIENCE, RELATIONSHIP, AND ENGAGEMENT. International Research Journal of Modernization in Engineering. Technology and Science.  </w:t>
      </w:r>
    </w:p>
    <w:p w14:paraId="19E4A26C" w14:textId="77777777" w:rsidR="009E612A" w:rsidRDefault="009E612A" w:rsidP="009E612A">
      <w:pPr>
        <w:ind w:left="720" w:hanging="720"/>
      </w:pPr>
      <w:r>
        <w:t>Schindler, R. M. (2023). Pricing Strategies: Harvesting Product Value. SAGE</w:t>
      </w:r>
    </w:p>
    <w:p w14:paraId="7337B67D" w14:textId="77777777" w:rsidR="009E612A" w:rsidRDefault="009E612A" w:rsidP="009E612A">
      <w:pPr>
        <w:ind w:left="720" w:hanging="720"/>
      </w:pPr>
      <w:r>
        <w:t xml:space="preserve">Shi, F., Shi, D., Weaver, D., &amp; Chavez, C. E. S. (2021). Adapt to not just survive </w:t>
      </w:r>
      <w:proofErr w:type="gramStart"/>
      <w:r>
        <w:t>but  thrive</w:t>
      </w:r>
      <w:proofErr w:type="gramEnd"/>
      <w:r>
        <w:t xml:space="preserve">: resilience strategies of five-star hotels at difficult times. </w:t>
      </w:r>
      <w:proofErr w:type="gramStart"/>
      <w:r>
        <w:t>International  Journal</w:t>
      </w:r>
      <w:proofErr w:type="gramEnd"/>
      <w:r>
        <w:t xml:space="preserve"> of Contemporary Hospitality Management, 33(9), 2886–2906.  </w:t>
      </w:r>
    </w:p>
    <w:p w14:paraId="3B60CE86" w14:textId="77777777" w:rsidR="009E612A" w:rsidRDefault="009E612A" w:rsidP="009E612A">
      <w:pPr>
        <w:ind w:left="720" w:hanging="720"/>
      </w:pPr>
      <w:proofErr w:type="spellStart"/>
      <w:r>
        <w:t>Trirahayu</w:t>
      </w:r>
      <w:proofErr w:type="spellEnd"/>
      <w:r>
        <w:t xml:space="preserve">, D. (2023). Effects of Employee Training and Development Programs </w:t>
      </w:r>
      <w:proofErr w:type="gramStart"/>
      <w:r>
        <w:t>on  Corporate</w:t>
      </w:r>
      <w:proofErr w:type="gramEnd"/>
      <w:r>
        <w:t xml:space="preserve"> Financial Performance. ATESTASI </w:t>
      </w:r>
      <w:proofErr w:type="spellStart"/>
      <w:r>
        <w:t>Jurnal</w:t>
      </w:r>
      <w:proofErr w:type="spellEnd"/>
      <w:r>
        <w:t xml:space="preserve"> </w:t>
      </w:r>
      <w:proofErr w:type="spellStart"/>
      <w:r>
        <w:t>Ilmiah</w:t>
      </w:r>
      <w:proofErr w:type="spellEnd"/>
      <w:r>
        <w:t xml:space="preserve"> </w:t>
      </w:r>
      <w:proofErr w:type="spellStart"/>
      <w:r>
        <w:t>Akuntansi</w:t>
      </w:r>
      <w:proofErr w:type="spellEnd"/>
      <w:r>
        <w:t xml:space="preserve">, 6(1), 511–527. </w:t>
      </w:r>
    </w:p>
    <w:p w14:paraId="0BDFC0ED" w14:textId="77777777" w:rsidR="009E612A" w:rsidRDefault="009E612A" w:rsidP="009E612A">
      <w:pPr>
        <w:ind w:left="720" w:hanging="720"/>
      </w:pPr>
      <w:r>
        <w:t xml:space="preserve">Wirtz, J. (2017). Managing Customer Relationships and Building Loyalty. </w:t>
      </w:r>
    </w:p>
    <w:p w14:paraId="21F8FA33" w14:textId="77777777" w:rsidR="009E612A" w:rsidRPr="009E612A" w:rsidRDefault="009E612A" w:rsidP="009E612A">
      <w:pPr>
        <w:ind w:left="720" w:hanging="720"/>
      </w:pPr>
      <w:r>
        <w:t xml:space="preserve">Wood, S., Watson, I., &amp; Teller, C. (2021). Pricing in online fashion </w:t>
      </w:r>
      <w:proofErr w:type="spellStart"/>
      <w:proofErr w:type="gramStart"/>
      <w:r>
        <w:t>retailing:implications</w:t>
      </w:r>
      <w:proofErr w:type="spellEnd"/>
      <w:proofErr w:type="gramEnd"/>
      <w:r>
        <w:t xml:space="preserve">  for research and practice. Journal of Marketing Management, 37(11-12), 1219</w:t>
      </w:r>
    </w:p>
    <w:sectPr w:rsidR="009E612A" w:rsidRPr="009E612A" w:rsidSect="00372B3A">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B7C0" w14:textId="77777777" w:rsidR="00774938" w:rsidRDefault="00774938" w:rsidP="00C37E61">
      <w:r>
        <w:separator/>
      </w:r>
    </w:p>
  </w:endnote>
  <w:endnote w:type="continuationSeparator" w:id="0">
    <w:p w14:paraId="205D388F" w14:textId="77777777" w:rsidR="00774938" w:rsidRDefault="007749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1833F" w14:textId="77777777" w:rsidR="00372B3A" w:rsidRDefault="00372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DA12" w14:textId="77777777" w:rsidR="00372B3A" w:rsidRDefault="00372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CF2195" w:rsidRDefault="00CF2195">
    <w:pPr>
      <w:pStyle w:val="Footer"/>
      <w:rPr>
        <w:rFonts w:ascii="Arial" w:hAnsi="Arial" w:cs="Arial"/>
        <w:sz w:val="16"/>
      </w:rPr>
    </w:pPr>
  </w:p>
  <w:p w14:paraId="6EDBC4F1" w14:textId="77777777" w:rsidR="00CF2195" w:rsidRDefault="00CF219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1F494A" w14:textId="77777777" w:rsidR="00CF2195" w:rsidRDefault="00CF2195">
    <w:pPr>
      <w:pStyle w:val="Footer"/>
      <w:rPr>
        <w:rFonts w:ascii="Arial" w:hAnsi="Arial" w:cs="Arial"/>
        <w:sz w:val="16"/>
      </w:rPr>
    </w:pPr>
  </w:p>
  <w:p w14:paraId="4B4B598C" w14:textId="77777777" w:rsidR="00CF2195" w:rsidRPr="009E048A" w:rsidRDefault="00CF219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F2195" w:rsidRPr="00C37E61" w:rsidRDefault="00CF21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A9D95" w14:textId="77777777" w:rsidR="00774938" w:rsidRDefault="00774938" w:rsidP="00C37E61">
      <w:r>
        <w:separator/>
      </w:r>
    </w:p>
  </w:footnote>
  <w:footnote w:type="continuationSeparator" w:id="0">
    <w:p w14:paraId="1C36BE09" w14:textId="77777777" w:rsidR="00774938" w:rsidRDefault="007749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1060" w14:textId="1D81DAE2" w:rsidR="00372B3A" w:rsidRDefault="00372B3A">
    <w:pPr>
      <w:pStyle w:val="Header"/>
    </w:pPr>
    <w:r>
      <w:rPr>
        <w:noProof/>
      </w:rPr>
      <w:pict w14:anchorId="6FAEB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76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E18A" w14:textId="21543A73" w:rsidR="00372B3A" w:rsidRDefault="00372B3A">
    <w:pPr>
      <w:pStyle w:val="Header"/>
    </w:pPr>
    <w:r>
      <w:rPr>
        <w:noProof/>
      </w:rPr>
      <w:pict w14:anchorId="440F7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76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06CC008E" w:rsidR="00CF2195" w:rsidRPr="00296529" w:rsidRDefault="00372B3A" w:rsidP="00296529">
    <w:pPr>
      <w:ind w:left="2160"/>
      <w:jc w:val="center"/>
      <w:rPr>
        <w:rFonts w:ascii="Times New Roman" w:eastAsia="Calibri" w:hAnsi="Times New Roman"/>
        <w:i/>
        <w:sz w:val="18"/>
        <w:szCs w:val="22"/>
      </w:rPr>
    </w:pPr>
    <w:r>
      <w:rPr>
        <w:noProof/>
      </w:rPr>
      <w:pict w14:anchorId="0CAA9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76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EA744" w14:textId="77777777" w:rsidR="00CF2195" w:rsidRPr="00296529" w:rsidRDefault="00CF21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9383B8" w14:textId="77777777" w:rsidR="00CF2195" w:rsidRPr="00296529" w:rsidRDefault="00CF21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CF2195" w:rsidRPr="00296529" w:rsidRDefault="00CF21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CF2195" w:rsidRDefault="00CF21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CF2195" w:rsidRDefault="00CF21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6FDCC" w14:textId="77777777" w:rsidR="00CF2195" w:rsidRDefault="00CF21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B9A4" w14:textId="70EC33F6" w:rsidR="00372B3A" w:rsidRDefault="00372B3A">
    <w:pPr>
      <w:pStyle w:val="Header"/>
    </w:pPr>
    <w:r>
      <w:rPr>
        <w:noProof/>
      </w:rPr>
      <w:pict w14:anchorId="26C50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76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AFA6" w14:textId="5E4C1FD7" w:rsidR="00372B3A" w:rsidRDefault="00372B3A">
    <w:pPr>
      <w:pStyle w:val="Header"/>
    </w:pPr>
    <w:r>
      <w:rPr>
        <w:noProof/>
      </w:rPr>
      <w:pict w14:anchorId="6CE9B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77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19ED" w14:textId="66A77ABC" w:rsidR="00372B3A" w:rsidRDefault="00372B3A">
    <w:pPr>
      <w:pStyle w:val="Header"/>
    </w:pPr>
    <w:r>
      <w:rPr>
        <w:noProof/>
      </w:rPr>
      <w:pict w14:anchorId="21AF8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76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E7AD8"/>
    <w:multiLevelType w:val="hybridMultilevel"/>
    <w:tmpl w:val="F168A2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DB677B"/>
    <w:multiLevelType w:val="hybridMultilevel"/>
    <w:tmpl w:val="7086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F10183"/>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8195929"/>
    <w:multiLevelType w:val="hybridMultilevel"/>
    <w:tmpl w:val="708645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8F158F0"/>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56668B"/>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FE0D25"/>
    <w:multiLevelType w:val="hybridMultilevel"/>
    <w:tmpl w:val="81E2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0"/>
  </w:num>
  <w:num w:numId="5">
    <w:abstractNumId w:val="7"/>
  </w:num>
  <w:num w:numId="6">
    <w:abstractNumId w:val="1"/>
  </w:num>
  <w:num w:numId="7">
    <w:abstractNumId w:val="2"/>
  </w:num>
  <w:num w:numId="8">
    <w:abstractNumId w:val="6"/>
  </w:num>
  <w:num w:numId="9">
    <w:abstractNumId w:val="5"/>
  </w:num>
  <w:num w:numId="10">
    <w:abstractNumId w:val="1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8E8"/>
    <w:rsid w:val="0001037D"/>
    <w:rsid w:val="00010EE0"/>
    <w:rsid w:val="000172A3"/>
    <w:rsid w:val="00030174"/>
    <w:rsid w:val="0003785A"/>
    <w:rsid w:val="0004579C"/>
    <w:rsid w:val="00057884"/>
    <w:rsid w:val="000805DD"/>
    <w:rsid w:val="00082EE1"/>
    <w:rsid w:val="000909EB"/>
    <w:rsid w:val="00097315"/>
    <w:rsid w:val="000A47FA"/>
    <w:rsid w:val="000A65D3"/>
    <w:rsid w:val="000B1E33"/>
    <w:rsid w:val="000B6ADC"/>
    <w:rsid w:val="000C53F7"/>
    <w:rsid w:val="000D689F"/>
    <w:rsid w:val="000E7B7B"/>
    <w:rsid w:val="000E7D62"/>
    <w:rsid w:val="000F363C"/>
    <w:rsid w:val="000F419E"/>
    <w:rsid w:val="00103357"/>
    <w:rsid w:val="00103862"/>
    <w:rsid w:val="00123C9F"/>
    <w:rsid w:val="00126190"/>
    <w:rsid w:val="00130F17"/>
    <w:rsid w:val="001320BF"/>
    <w:rsid w:val="00163BC4"/>
    <w:rsid w:val="00170A94"/>
    <w:rsid w:val="00174751"/>
    <w:rsid w:val="00174D4F"/>
    <w:rsid w:val="001751F4"/>
    <w:rsid w:val="00176D4D"/>
    <w:rsid w:val="00183EE3"/>
    <w:rsid w:val="00191062"/>
    <w:rsid w:val="00192B72"/>
    <w:rsid w:val="00192C02"/>
    <w:rsid w:val="001943C7"/>
    <w:rsid w:val="001A29D8"/>
    <w:rsid w:val="001A5CAA"/>
    <w:rsid w:val="001B0427"/>
    <w:rsid w:val="001B2A82"/>
    <w:rsid w:val="001C70F4"/>
    <w:rsid w:val="001D3A51"/>
    <w:rsid w:val="001D414D"/>
    <w:rsid w:val="001D48CA"/>
    <w:rsid w:val="001E10D2"/>
    <w:rsid w:val="001E25B4"/>
    <w:rsid w:val="001E2BAD"/>
    <w:rsid w:val="001E2CF0"/>
    <w:rsid w:val="001E3517"/>
    <w:rsid w:val="001E44FE"/>
    <w:rsid w:val="001E6931"/>
    <w:rsid w:val="00200595"/>
    <w:rsid w:val="002007C6"/>
    <w:rsid w:val="00204835"/>
    <w:rsid w:val="00204C4A"/>
    <w:rsid w:val="0022554F"/>
    <w:rsid w:val="00231920"/>
    <w:rsid w:val="0023195C"/>
    <w:rsid w:val="002338F0"/>
    <w:rsid w:val="00235D89"/>
    <w:rsid w:val="00235D8C"/>
    <w:rsid w:val="0024282C"/>
    <w:rsid w:val="00245E9B"/>
    <w:rsid w:val="002460DC"/>
    <w:rsid w:val="00250985"/>
    <w:rsid w:val="00253A53"/>
    <w:rsid w:val="00253D62"/>
    <w:rsid w:val="002550FC"/>
    <w:rsid w:val="002556F6"/>
    <w:rsid w:val="00262B92"/>
    <w:rsid w:val="00271202"/>
    <w:rsid w:val="00277A07"/>
    <w:rsid w:val="00282DC4"/>
    <w:rsid w:val="00283105"/>
    <w:rsid w:val="00284C4C"/>
    <w:rsid w:val="00287E68"/>
    <w:rsid w:val="00296529"/>
    <w:rsid w:val="002A1033"/>
    <w:rsid w:val="002B27FB"/>
    <w:rsid w:val="002B685A"/>
    <w:rsid w:val="002B6F65"/>
    <w:rsid w:val="002C2357"/>
    <w:rsid w:val="002C57D2"/>
    <w:rsid w:val="002D0589"/>
    <w:rsid w:val="002E0D56"/>
    <w:rsid w:val="002F64E3"/>
    <w:rsid w:val="003101A5"/>
    <w:rsid w:val="00315186"/>
    <w:rsid w:val="00323E82"/>
    <w:rsid w:val="00323EDE"/>
    <w:rsid w:val="003308E3"/>
    <w:rsid w:val="0033343E"/>
    <w:rsid w:val="003428D4"/>
    <w:rsid w:val="00344803"/>
    <w:rsid w:val="003512C2"/>
    <w:rsid w:val="00357687"/>
    <w:rsid w:val="00364C17"/>
    <w:rsid w:val="0036557D"/>
    <w:rsid w:val="00365D42"/>
    <w:rsid w:val="00371FB6"/>
    <w:rsid w:val="00372B3A"/>
    <w:rsid w:val="003745CD"/>
    <w:rsid w:val="003763C1"/>
    <w:rsid w:val="00376BBE"/>
    <w:rsid w:val="00384677"/>
    <w:rsid w:val="0039224F"/>
    <w:rsid w:val="00394DAE"/>
    <w:rsid w:val="003A43A4"/>
    <w:rsid w:val="003A4A75"/>
    <w:rsid w:val="003A7E18"/>
    <w:rsid w:val="003B0832"/>
    <w:rsid w:val="003B4A7A"/>
    <w:rsid w:val="003C4C86"/>
    <w:rsid w:val="003C6258"/>
    <w:rsid w:val="003D2900"/>
    <w:rsid w:val="003E2904"/>
    <w:rsid w:val="00401927"/>
    <w:rsid w:val="00407686"/>
    <w:rsid w:val="0041027F"/>
    <w:rsid w:val="00412475"/>
    <w:rsid w:val="00417724"/>
    <w:rsid w:val="004208F9"/>
    <w:rsid w:val="00421CC7"/>
    <w:rsid w:val="00423789"/>
    <w:rsid w:val="00424B1A"/>
    <w:rsid w:val="00440F43"/>
    <w:rsid w:val="00441B6F"/>
    <w:rsid w:val="00445A61"/>
    <w:rsid w:val="00446221"/>
    <w:rsid w:val="00450E62"/>
    <w:rsid w:val="00450EB1"/>
    <w:rsid w:val="004539DB"/>
    <w:rsid w:val="00471A80"/>
    <w:rsid w:val="00472FB9"/>
    <w:rsid w:val="00494B66"/>
    <w:rsid w:val="004B3EC9"/>
    <w:rsid w:val="004C01A7"/>
    <w:rsid w:val="004C0234"/>
    <w:rsid w:val="004D25AC"/>
    <w:rsid w:val="004D2947"/>
    <w:rsid w:val="004D305E"/>
    <w:rsid w:val="004D4277"/>
    <w:rsid w:val="004F02E5"/>
    <w:rsid w:val="004F241A"/>
    <w:rsid w:val="004F28BA"/>
    <w:rsid w:val="004F3E72"/>
    <w:rsid w:val="00502516"/>
    <w:rsid w:val="0050564D"/>
    <w:rsid w:val="00505F06"/>
    <w:rsid w:val="00506828"/>
    <w:rsid w:val="00510840"/>
    <w:rsid w:val="00514701"/>
    <w:rsid w:val="0053056E"/>
    <w:rsid w:val="00532E90"/>
    <w:rsid w:val="00550972"/>
    <w:rsid w:val="00554FDA"/>
    <w:rsid w:val="0057535D"/>
    <w:rsid w:val="00581549"/>
    <w:rsid w:val="005845FA"/>
    <w:rsid w:val="00596CE0"/>
    <w:rsid w:val="005A652D"/>
    <w:rsid w:val="005A7976"/>
    <w:rsid w:val="005B0B28"/>
    <w:rsid w:val="005B2F8B"/>
    <w:rsid w:val="005C0B25"/>
    <w:rsid w:val="005C784C"/>
    <w:rsid w:val="005D17F6"/>
    <w:rsid w:val="005E5539"/>
    <w:rsid w:val="005F15A6"/>
    <w:rsid w:val="005F1EB3"/>
    <w:rsid w:val="00602BF5"/>
    <w:rsid w:val="00614AA8"/>
    <w:rsid w:val="00617FDD"/>
    <w:rsid w:val="00624BA7"/>
    <w:rsid w:val="00625717"/>
    <w:rsid w:val="00633614"/>
    <w:rsid w:val="00633F68"/>
    <w:rsid w:val="00636EB2"/>
    <w:rsid w:val="006375B8"/>
    <w:rsid w:val="00644DF2"/>
    <w:rsid w:val="0066510A"/>
    <w:rsid w:val="00673F9F"/>
    <w:rsid w:val="00680596"/>
    <w:rsid w:val="0068608F"/>
    <w:rsid w:val="00686190"/>
    <w:rsid w:val="00686547"/>
    <w:rsid w:val="00686953"/>
    <w:rsid w:val="00687DEA"/>
    <w:rsid w:val="00687E67"/>
    <w:rsid w:val="006945D4"/>
    <w:rsid w:val="006967F7"/>
    <w:rsid w:val="00697956"/>
    <w:rsid w:val="006A250C"/>
    <w:rsid w:val="006A3873"/>
    <w:rsid w:val="006B21D3"/>
    <w:rsid w:val="006B57D0"/>
    <w:rsid w:val="006C06FF"/>
    <w:rsid w:val="006C659D"/>
    <w:rsid w:val="006D190C"/>
    <w:rsid w:val="006D30FF"/>
    <w:rsid w:val="006D6115"/>
    <w:rsid w:val="006D64C5"/>
    <w:rsid w:val="006D6940"/>
    <w:rsid w:val="006D7AEE"/>
    <w:rsid w:val="006F11EC"/>
    <w:rsid w:val="006F6CF2"/>
    <w:rsid w:val="0070082C"/>
    <w:rsid w:val="00704ADA"/>
    <w:rsid w:val="0071053A"/>
    <w:rsid w:val="007225B9"/>
    <w:rsid w:val="00723EFD"/>
    <w:rsid w:val="007310CE"/>
    <w:rsid w:val="007356CE"/>
    <w:rsid w:val="007369E6"/>
    <w:rsid w:val="00737A24"/>
    <w:rsid w:val="00746E59"/>
    <w:rsid w:val="00754C9A"/>
    <w:rsid w:val="00755212"/>
    <w:rsid w:val="0075599A"/>
    <w:rsid w:val="00761D52"/>
    <w:rsid w:val="00765965"/>
    <w:rsid w:val="00774938"/>
    <w:rsid w:val="0077749E"/>
    <w:rsid w:val="00790ADA"/>
    <w:rsid w:val="00790B5C"/>
    <w:rsid w:val="007A6922"/>
    <w:rsid w:val="007A7912"/>
    <w:rsid w:val="007B21FC"/>
    <w:rsid w:val="007B4FDE"/>
    <w:rsid w:val="007B535D"/>
    <w:rsid w:val="007D11F2"/>
    <w:rsid w:val="007D19C3"/>
    <w:rsid w:val="007D2288"/>
    <w:rsid w:val="007E088F"/>
    <w:rsid w:val="007E6D8F"/>
    <w:rsid w:val="007F7B32"/>
    <w:rsid w:val="00804885"/>
    <w:rsid w:val="00804BC2"/>
    <w:rsid w:val="00812951"/>
    <w:rsid w:val="0081431A"/>
    <w:rsid w:val="00817CAF"/>
    <w:rsid w:val="00820220"/>
    <w:rsid w:val="0083216F"/>
    <w:rsid w:val="00843C44"/>
    <w:rsid w:val="00850122"/>
    <w:rsid w:val="00851412"/>
    <w:rsid w:val="00854971"/>
    <w:rsid w:val="00856264"/>
    <w:rsid w:val="00860000"/>
    <w:rsid w:val="00863BD3"/>
    <w:rsid w:val="008641ED"/>
    <w:rsid w:val="00864CCE"/>
    <w:rsid w:val="00866D66"/>
    <w:rsid w:val="008671C6"/>
    <w:rsid w:val="00867871"/>
    <w:rsid w:val="00875803"/>
    <w:rsid w:val="008902D9"/>
    <w:rsid w:val="0089211D"/>
    <w:rsid w:val="00894080"/>
    <w:rsid w:val="00895E56"/>
    <w:rsid w:val="008A4E4C"/>
    <w:rsid w:val="008B3067"/>
    <w:rsid w:val="008B459E"/>
    <w:rsid w:val="008C0BA4"/>
    <w:rsid w:val="008C6C97"/>
    <w:rsid w:val="008E13AE"/>
    <w:rsid w:val="008E1506"/>
    <w:rsid w:val="008E710C"/>
    <w:rsid w:val="008F0713"/>
    <w:rsid w:val="008F69D6"/>
    <w:rsid w:val="00902823"/>
    <w:rsid w:val="009052F2"/>
    <w:rsid w:val="00912131"/>
    <w:rsid w:val="00915CA6"/>
    <w:rsid w:val="00927834"/>
    <w:rsid w:val="00936460"/>
    <w:rsid w:val="00945BCC"/>
    <w:rsid w:val="009500A6"/>
    <w:rsid w:val="0095330A"/>
    <w:rsid w:val="00957C18"/>
    <w:rsid w:val="009659BA"/>
    <w:rsid w:val="00971077"/>
    <w:rsid w:val="00983040"/>
    <w:rsid w:val="00986217"/>
    <w:rsid w:val="009A15E9"/>
    <w:rsid w:val="009A6800"/>
    <w:rsid w:val="009B3FB9"/>
    <w:rsid w:val="009B4623"/>
    <w:rsid w:val="009C1614"/>
    <w:rsid w:val="009C2465"/>
    <w:rsid w:val="009C4675"/>
    <w:rsid w:val="009D28D9"/>
    <w:rsid w:val="009D35A0"/>
    <w:rsid w:val="009D4DFF"/>
    <w:rsid w:val="009D7EB7"/>
    <w:rsid w:val="009E048A"/>
    <w:rsid w:val="009E08E9"/>
    <w:rsid w:val="009E3DB9"/>
    <w:rsid w:val="009E44C6"/>
    <w:rsid w:val="009E612A"/>
    <w:rsid w:val="009E6E35"/>
    <w:rsid w:val="009F0EDA"/>
    <w:rsid w:val="00A03B96"/>
    <w:rsid w:val="00A0571C"/>
    <w:rsid w:val="00A05B19"/>
    <w:rsid w:val="00A070D5"/>
    <w:rsid w:val="00A10D07"/>
    <w:rsid w:val="00A1134E"/>
    <w:rsid w:val="00A22CA3"/>
    <w:rsid w:val="00A24E7E"/>
    <w:rsid w:val="00A258C3"/>
    <w:rsid w:val="00A27DAA"/>
    <w:rsid w:val="00A30060"/>
    <w:rsid w:val="00A347C0"/>
    <w:rsid w:val="00A471FC"/>
    <w:rsid w:val="00A4790D"/>
    <w:rsid w:val="00A51431"/>
    <w:rsid w:val="00A5201E"/>
    <w:rsid w:val="00A539AD"/>
    <w:rsid w:val="00A55194"/>
    <w:rsid w:val="00A55EE2"/>
    <w:rsid w:val="00A62DA2"/>
    <w:rsid w:val="00A633F9"/>
    <w:rsid w:val="00A70806"/>
    <w:rsid w:val="00A71726"/>
    <w:rsid w:val="00A802A4"/>
    <w:rsid w:val="00A86158"/>
    <w:rsid w:val="00A94063"/>
    <w:rsid w:val="00AA4430"/>
    <w:rsid w:val="00AA6219"/>
    <w:rsid w:val="00AA74E0"/>
    <w:rsid w:val="00AB00E6"/>
    <w:rsid w:val="00AB65BC"/>
    <w:rsid w:val="00AB703F"/>
    <w:rsid w:val="00AC3FFF"/>
    <w:rsid w:val="00AC601D"/>
    <w:rsid w:val="00AC6BB8"/>
    <w:rsid w:val="00AD07F3"/>
    <w:rsid w:val="00AD1329"/>
    <w:rsid w:val="00AD53E0"/>
    <w:rsid w:val="00AE008F"/>
    <w:rsid w:val="00AE1448"/>
    <w:rsid w:val="00AE7FEC"/>
    <w:rsid w:val="00B01FCD"/>
    <w:rsid w:val="00B067C3"/>
    <w:rsid w:val="00B1776C"/>
    <w:rsid w:val="00B2026A"/>
    <w:rsid w:val="00B31FD6"/>
    <w:rsid w:val="00B328FC"/>
    <w:rsid w:val="00B35299"/>
    <w:rsid w:val="00B44A5F"/>
    <w:rsid w:val="00B46BE5"/>
    <w:rsid w:val="00B47687"/>
    <w:rsid w:val="00B52583"/>
    <w:rsid w:val="00B52896"/>
    <w:rsid w:val="00B60D0C"/>
    <w:rsid w:val="00B62479"/>
    <w:rsid w:val="00B6322E"/>
    <w:rsid w:val="00B80966"/>
    <w:rsid w:val="00B917FD"/>
    <w:rsid w:val="00B95236"/>
    <w:rsid w:val="00B96BD9"/>
    <w:rsid w:val="00BA1B01"/>
    <w:rsid w:val="00BA1F35"/>
    <w:rsid w:val="00BA2641"/>
    <w:rsid w:val="00BA27E0"/>
    <w:rsid w:val="00BB37AA"/>
    <w:rsid w:val="00BC53A0"/>
    <w:rsid w:val="00BC63A6"/>
    <w:rsid w:val="00BE251E"/>
    <w:rsid w:val="00BE62AD"/>
    <w:rsid w:val="00BF121F"/>
    <w:rsid w:val="00BF1EB9"/>
    <w:rsid w:val="00BF1F80"/>
    <w:rsid w:val="00BF1FC8"/>
    <w:rsid w:val="00BF572E"/>
    <w:rsid w:val="00BF5B74"/>
    <w:rsid w:val="00BF7C95"/>
    <w:rsid w:val="00C024EC"/>
    <w:rsid w:val="00C06909"/>
    <w:rsid w:val="00C1314A"/>
    <w:rsid w:val="00C166EF"/>
    <w:rsid w:val="00C17EB0"/>
    <w:rsid w:val="00C26998"/>
    <w:rsid w:val="00C27F5F"/>
    <w:rsid w:val="00C30A0F"/>
    <w:rsid w:val="00C37E61"/>
    <w:rsid w:val="00C405D5"/>
    <w:rsid w:val="00C45636"/>
    <w:rsid w:val="00C45C18"/>
    <w:rsid w:val="00C521A3"/>
    <w:rsid w:val="00C52352"/>
    <w:rsid w:val="00C52EA5"/>
    <w:rsid w:val="00C70F1B"/>
    <w:rsid w:val="00C71A47"/>
    <w:rsid w:val="00C71BC0"/>
    <w:rsid w:val="00C7464C"/>
    <w:rsid w:val="00C85588"/>
    <w:rsid w:val="00C85F03"/>
    <w:rsid w:val="00C916C9"/>
    <w:rsid w:val="00CB01AF"/>
    <w:rsid w:val="00CB4199"/>
    <w:rsid w:val="00CB4E9B"/>
    <w:rsid w:val="00CD0D50"/>
    <w:rsid w:val="00CD6755"/>
    <w:rsid w:val="00CD6856"/>
    <w:rsid w:val="00CE0089"/>
    <w:rsid w:val="00CE356C"/>
    <w:rsid w:val="00CE3589"/>
    <w:rsid w:val="00CE3BED"/>
    <w:rsid w:val="00CE67DE"/>
    <w:rsid w:val="00CE793C"/>
    <w:rsid w:val="00CF193C"/>
    <w:rsid w:val="00CF2195"/>
    <w:rsid w:val="00D05294"/>
    <w:rsid w:val="00D05B95"/>
    <w:rsid w:val="00D0695E"/>
    <w:rsid w:val="00D077DD"/>
    <w:rsid w:val="00D1148A"/>
    <w:rsid w:val="00D173F1"/>
    <w:rsid w:val="00D21CE6"/>
    <w:rsid w:val="00D25BED"/>
    <w:rsid w:val="00D3229C"/>
    <w:rsid w:val="00D44901"/>
    <w:rsid w:val="00D55684"/>
    <w:rsid w:val="00D56B0C"/>
    <w:rsid w:val="00D67A03"/>
    <w:rsid w:val="00D74CB0"/>
    <w:rsid w:val="00D7585A"/>
    <w:rsid w:val="00D81FE0"/>
    <w:rsid w:val="00D8295D"/>
    <w:rsid w:val="00D90F61"/>
    <w:rsid w:val="00D97626"/>
    <w:rsid w:val="00DA350C"/>
    <w:rsid w:val="00DA6E47"/>
    <w:rsid w:val="00DB2999"/>
    <w:rsid w:val="00DC2A65"/>
    <w:rsid w:val="00DC3624"/>
    <w:rsid w:val="00DE00A8"/>
    <w:rsid w:val="00DE15F0"/>
    <w:rsid w:val="00DE5663"/>
    <w:rsid w:val="00DE78AA"/>
    <w:rsid w:val="00E0142C"/>
    <w:rsid w:val="00E03D57"/>
    <w:rsid w:val="00E053D0"/>
    <w:rsid w:val="00E07C43"/>
    <w:rsid w:val="00E15994"/>
    <w:rsid w:val="00E215A6"/>
    <w:rsid w:val="00E218F7"/>
    <w:rsid w:val="00E253E0"/>
    <w:rsid w:val="00E26087"/>
    <w:rsid w:val="00E3114E"/>
    <w:rsid w:val="00E3197F"/>
    <w:rsid w:val="00E31A70"/>
    <w:rsid w:val="00E3208B"/>
    <w:rsid w:val="00E33B65"/>
    <w:rsid w:val="00E35B02"/>
    <w:rsid w:val="00E4187D"/>
    <w:rsid w:val="00E507DD"/>
    <w:rsid w:val="00E53D22"/>
    <w:rsid w:val="00E5674D"/>
    <w:rsid w:val="00E66496"/>
    <w:rsid w:val="00E66B35"/>
    <w:rsid w:val="00E66E10"/>
    <w:rsid w:val="00E702D5"/>
    <w:rsid w:val="00E769F6"/>
    <w:rsid w:val="00E8407C"/>
    <w:rsid w:val="00E84F3C"/>
    <w:rsid w:val="00E85EA2"/>
    <w:rsid w:val="00E87B96"/>
    <w:rsid w:val="00E940E6"/>
    <w:rsid w:val="00E947F6"/>
    <w:rsid w:val="00EA012C"/>
    <w:rsid w:val="00EC1B25"/>
    <w:rsid w:val="00EC6A55"/>
    <w:rsid w:val="00ED0288"/>
    <w:rsid w:val="00EE52CB"/>
    <w:rsid w:val="00EF581D"/>
    <w:rsid w:val="00EF7FD8"/>
    <w:rsid w:val="00F06F59"/>
    <w:rsid w:val="00F10260"/>
    <w:rsid w:val="00F1113F"/>
    <w:rsid w:val="00F17988"/>
    <w:rsid w:val="00F20867"/>
    <w:rsid w:val="00F4433B"/>
    <w:rsid w:val="00F469F0"/>
    <w:rsid w:val="00F53273"/>
    <w:rsid w:val="00F54792"/>
    <w:rsid w:val="00F5786E"/>
    <w:rsid w:val="00F755E4"/>
    <w:rsid w:val="00F77D02"/>
    <w:rsid w:val="00F832DC"/>
    <w:rsid w:val="00FB0E71"/>
    <w:rsid w:val="00FB3A86"/>
    <w:rsid w:val="00FC7B34"/>
    <w:rsid w:val="00FD2685"/>
    <w:rsid w:val="00FD36C8"/>
    <w:rsid w:val="00FD6C2A"/>
    <w:rsid w:val="00FE4D38"/>
    <w:rsid w:val="00FF1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D50F744F-AB23-4470-B7C6-62A22FFD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533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315"/>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95330A"/>
    <w:rPr>
      <w:rFonts w:asciiTheme="majorHAnsi" w:eastAsiaTheme="majorEastAsia" w:hAnsiTheme="majorHAnsi" w:cstheme="majorBidi"/>
      <w:b/>
      <w:bCs/>
      <w:color w:val="4F81BD" w:themeColor="accent1"/>
      <w:sz w:val="26"/>
      <w:szCs w:val="26"/>
    </w:rPr>
  </w:style>
  <w:style w:type="table" w:styleId="PlainTable2">
    <w:name w:val="Plain Table 2"/>
    <w:basedOn w:val="TableNormal"/>
    <w:uiPriority w:val="42"/>
    <w:rsid w:val="00D556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9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1DB0-EF8F-4336-8B58-6014830B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8</Pages>
  <Words>5493</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2026-04-04T10:47:00Z</dcterms:created>
  <dcterms:modified xsi:type="dcterms:W3CDTF">2026-04-04T13:35:00Z</dcterms:modified>
</cp:coreProperties>
</file>