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04A39" w14:textId="39A36840" w:rsidR="00240A8C" w:rsidRPr="00240A8C" w:rsidRDefault="00240A8C" w:rsidP="00240A8C">
      <w:pPr>
        <w:spacing w:line="360" w:lineRule="auto"/>
        <w:rPr>
          <w:rFonts w:ascii="Times New Roman" w:hAnsi="Times New Roman" w:cs="Times New Roman"/>
          <w:b/>
          <w:bCs/>
          <w:sz w:val="32"/>
          <w:szCs w:val="32"/>
          <w:u w:val="single"/>
        </w:rPr>
      </w:pPr>
      <w:r w:rsidRPr="00240A8C">
        <w:rPr>
          <w:rFonts w:ascii="Times New Roman" w:hAnsi="Times New Roman" w:cs="Times New Roman"/>
          <w:b/>
          <w:bCs/>
          <w:sz w:val="32"/>
          <w:szCs w:val="32"/>
          <w:u w:val="single"/>
        </w:rPr>
        <w:t>Review Article</w:t>
      </w:r>
    </w:p>
    <w:p w14:paraId="0BAA85B7" w14:textId="781A0A0B" w:rsidR="00F45915" w:rsidRPr="000B6CDD" w:rsidRDefault="00F45915" w:rsidP="009B257F">
      <w:pPr>
        <w:spacing w:line="360" w:lineRule="auto"/>
        <w:jc w:val="center"/>
        <w:rPr>
          <w:rFonts w:ascii="Times New Roman" w:hAnsi="Times New Roman" w:cs="Times New Roman"/>
          <w:b/>
          <w:bCs/>
          <w:sz w:val="32"/>
          <w:szCs w:val="32"/>
        </w:rPr>
      </w:pPr>
      <w:r w:rsidRPr="000B6CDD">
        <w:rPr>
          <w:rFonts w:ascii="Times New Roman" w:hAnsi="Times New Roman" w:cs="Times New Roman"/>
          <w:b/>
          <w:bCs/>
          <w:sz w:val="32"/>
          <w:szCs w:val="32"/>
        </w:rPr>
        <w:t>AI-</w:t>
      </w:r>
      <w:r w:rsidR="009B257F" w:rsidRPr="000B6CDD">
        <w:rPr>
          <w:rFonts w:ascii="Times New Roman" w:hAnsi="Times New Roman" w:cs="Times New Roman"/>
          <w:b/>
          <w:bCs/>
          <w:sz w:val="32"/>
          <w:szCs w:val="32"/>
        </w:rPr>
        <w:t>Supported</w:t>
      </w:r>
      <w:r w:rsidRPr="000B6CDD">
        <w:rPr>
          <w:rFonts w:ascii="Times New Roman" w:hAnsi="Times New Roman" w:cs="Times New Roman"/>
          <w:b/>
          <w:bCs/>
          <w:sz w:val="32"/>
          <w:szCs w:val="32"/>
        </w:rPr>
        <w:t xml:space="preserve"> Computational Thinking: An In-Depth </w:t>
      </w:r>
      <w:r w:rsidR="009B257F" w:rsidRPr="000B6CDD">
        <w:rPr>
          <w:rFonts w:ascii="Times New Roman" w:hAnsi="Times New Roman" w:cs="Times New Roman"/>
          <w:b/>
          <w:bCs/>
          <w:sz w:val="32"/>
          <w:szCs w:val="32"/>
        </w:rPr>
        <w:t>Analysis for</w:t>
      </w:r>
      <w:r w:rsidRPr="000B6CDD">
        <w:rPr>
          <w:rFonts w:ascii="Times New Roman" w:hAnsi="Times New Roman" w:cs="Times New Roman"/>
          <w:b/>
          <w:bCs/>
          <w:sz w:val="32"/>
          <w:szCs w:val="32"/>
        </w:rPr>
        <w:t xml:space="preserve"> Higher Education</w:t>
      </w:r>
    </w:p>
    <w:p w14:paraId="31C8B77B" w14:textId="77777777" w:rsidR="00F50387" w:rsidRPr="000B6CDD" w:rsidRDefault="00407662" w:rsidP="00F5208B">
      <w:pPr>
        <w:spacing w:line="360" w:lineRule="auto"/>
        <w:jc w:val="both"/>
        <w:rPr>
          <w:rFonts w:ascii="Times New Roman" w:hAnsi="Times New Roman" w:cs="Times New Roman"/>
          <w:b/>
          <w:bCs/>
          <w:sz w:val="24"/>
          <w:szCs w:val="24"/>
          <w:lang w:val="en-US"/>
        </w:rPr>
      </w:pPr>
      <w:r w:rsidRPr="000B6CDD">
        <w:rPr>
          <w:rFonts w:ascii="Times New Roman" w:hAnsi="Times New Roman" w:cs="Times New Roman"/>
          <w:b/>
          <w:bCs/>
          <w:sz w:val="24"/>
          <w:szCs w:val="24"/>
          <w:lang w:val="en-US"/>
        </w:rPr>
        <w:t>Abstract:</w:t>
      </w:r>
      <w:r w:rsidR="009B257F" w:rsidRPr="000B6CDD">
        <w:rPr>
          <w:rFonts w:ascii="Times New Roman" w:hAnsi="Times New Roman" w:cs="Times New Roman"/>
          <w:b/>
          <w:bCs/>
          <w:sz w:val="24"/>
          <w:szCs w:val="24"/>
          <w:lang w:val="en-US"/>
        </w:rPr>
        <w:t xml:space="preserve"> </w:t>
      </w:r>
    </w:p>
    <w:p w14:paraId="4D6A1AFB" w14:textId="7350821A" w:rsidR="009B257F" w:rsidRPr="000B6CDD" w:rsidRDefault="009B257F" w:rsidP="00801712">
      <w:pPr>
        <w:spacing w:after="0"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The rapid adoption of artificial </w:t>
      </w:r>
      <w:r w:rsidRPr="00785C03">
        <w:rPr>
          <w:rFonts w:ascii="Times New Roman" w:hAnsi="Times New Roman" w:cs="Times New Roman"/>
          <w:sz w:val="24"/>
          <w:szCs w:val="24"/>
        </w:rPr>
        <w:t xml:space="preserve">intelligence </w:t>
      </w:r>
      <w:r w:rsidR="009F4418" w:rsidRPr="00785C03">
        <w:rPr>
          <w:rFonts w:ascii="Times New Roman" w:hAnsi="Times New Roman" w:cs="Times New Roman"/>
          <w:sz w:val="24"/>
          <w:szCs w:val="24"/>
        </w:rPr>
        <w:t xml:space="preserve">(AI) </w:t>
      </w:r>
      <w:r w:rsidRPr="00785C03">
        <w:rPr>
          <w:rFonts w:ascii="Times New Roman" w:hAnsi="Times New Roman" w:cs="Times New Roman"/>
          <w:sz w:val="24"/>
          <w:szCs w:val="24"/>
        </w:rPr>
        <w:t>technologies in higher education offers exceptional prospects for advancing computational thinking</w:t>
      </w:r>
      <w:r w:rsidR="00537243" w:rsidRPr="00785C03">
        <w:rPr>
          <w:rFonts w:ascii="Times New Roman" w:hAnsi="Times New Roman" w:cs="Times New Roman"/>
          <w:sz w:val="24"/>
          <w:szCs w:val="24"/>
        </w:rPr>
        <w:t xml:space="preserve"> (CT)</w:t>
      </w:r>
      <w:r w:rsidRPr="00785C03">
        <w:rPr>
          <w:rFonts w:ascii="Times New Roman" w:hAnsi="Times New Roman" w:cs="Times New Roman"/>
          <w:sz w:val="24"/>
          <w:szCs w:val="24"/>
        </w:rPr>
        <w:t xml:space="preserve"> growth.</w:t>
      </w:r>
      <w:r w:rsidRPr="000B6CDD">
        <w:rPr>
          <w:rFonts w:ascii="Times New Roman" w:hAnsi="Times New Roman" w:cs="Times New Roman"/>
          <w:b/>
          <w:bCs/>
          <w:sz w:val="24"/>
          <w:szCs w:val="24"/>
        </w:rPr>
        <w:t xml:space="preserve"> </w:t>
      </w:r>
      <w:r w:rsidRPr="000B6CDD">
        <w:rPr>
          <w:rFonts w:ascii="Times New Roman" w:hAnsi="Times New Roman" w:cs="Times New Roman"/>
          <w:sz w:val="24"/>
          <w:szCs w:val="24"/>
        </w:rPr>
        <w:t xml:space="preserve">The utilisation </w:t>
      </w:r>
      <w:r w:rsidR="00F44817" w:rsidRPr="000B6CDD">
        <w:rPr>
          <w:rFonts w:ascii="Times New Roman" w:hAnsi="Times New Roman" w:cs="Times New Roman"/>
          <w:sz w:val="24"/>
          <w:szCs w:val="24"/>
        </w:rPr>
        <w:t xml:space="preserve">of </w:t>
      </w:r>
      <w:r w:rsidR="00F44817">
        <w:rPr>
          <w:rFonts w:ascii="Times New Roman" w:hAnsi="Times New Roman" w:cs="Times New Roman"/>
          <w:sz w:val="24"/>
          <w:szCs w:val="24"/>
        </w:rPr>
        <w:t>AI</w:t>
      </w:r>
      <w:r w:rsidRPr="000B6CDD">
        <w:rPr>
          <w:rFonts w:ascii="Times New Roman" w:hAnsi="Times New Roman" w:cs="Times New Roman"/>
          <w:sz w:val="24"/>
          <w:szCs w:val="24"/>
        </w:rPr>
        <w:t xml:space="preserve"> in education is increasingly recognised as a pivotal catalyst for educational innovation. Although substantial literature addresses the incorporation of AI technology in educational environments, little attention has been directed to the essential role of educators and their professional development requirements. This </w:t>
      </w:r>
      <w:r w:rsidR="00720663" w:rsidRPr="000B6CDD">
        <w:rPr>
          <w:rFonts w:ascii="Times New Roman" w:hAnsi="Times New Roman" w:cs="Times New Roman"/>
          <w:sz w:val="24"/>
          <w:szCs w:val="24"/>
        </w:rPr>
        <w:t>study</w:t>
      </w:r>
      <w:r w:rsidRPr="000B6CDD">
        <w:rPr>
          <w:rFonts w:ascii="Times New Roman" w:hAnsi="Times New Roman" w:cs="Times New Roman"/>
          <w:sz w:val="24"/>
          <w:szCs w:val="24"/>
        </w:rPr>
        <w:t xml:space="preserve"> </w:t>
      </w:r>
      <w:r w:rsidR="00720663" w:rsidRPr="000B6CDD">
        <w:rPr>
          <w:rFonts w:ascii="Times New Roman" w:hAnsi="Times New Roman" w:cs="Times New Roman"/>
          <w:sz w:val="24"/>
          <w:szCs w:val="24"/>
        </w:rPr>
        <w:t xml:space="preserve">selected the reviews from five databases—Web of Science, Scopus, ERIC (Education Resources Information Centre), ACM Digital Library, and IEEE Xplore, which cover subjects like educational technology, computer science education, and AI ethics literature, to conduct the literature review from the </w:t>
      </w:r>
      <w:r w:rsidR="001C31CD">
        <w:rPr>
          <w:rFonts w:ascii="Times New Roman" w:hAnsi="Times New Roman" w:cs="Times New Roman"/>
          <w:sz w:val="24"/>
          <w:szCs w:val="24"/>
        </w:rPr>
        <w:t>last ten years</w:t>
      </w:r>
      <w:r w:rsidR="00720663" w:rsidRPr="000B6CDD">
        <w:rPr>
          <w:rFonts w:ascii="Times New Roman" w:hAnsi="Times New Roman" w:cs="Times New Roman"/>
          <w:sz w:val="24"/>
          <w:szCs w:val="24"/>
        </w:rPr>
        <w:t xml:space="preserve"> to find more recent articles. The findings reveal how computational thinking education can incorporate AI technologies without compromising educational equity, and the main barriers and opportunities for AI inclusion in computational thinking curricula at higher education.</w:t>
      </w:r>
      <w:r w:rsidR="00801712" w:rsidRPr="000B6CDD">
        <w:rPr>
          <w:rFonts w:ascii="Times New Roman" w:hAnsi="Times New Roman" w:cs="Times New Roman"/>
          <w:sz w:val="24"/>
          <w:szCs w:val="24"/>
        </w:rPr>
        <w:t xml:space="preserve"> This review enhances the existing knowledge on the responsible use of AI in educational contexts and offers actionable recommendations for educators, researchers, and policymakers aiming to develop more effective, engaging, and accessible AI-enhanced learning environments.</w:t>
      </w:r>
    </w:p>
    <w:p w14:paraId="6A3B7BC5" w14:textId="493E3EEF" w:rsidR="00407662" w:rsidRPr="000B6CDD" w:rsidRDefault="00801712" w:rsidP="00605A72">
      <w:pPr>
        <w:spacing w:line="360" w:lineRule="auto"/>
        <w:jc w:val="both"/>
        <w:rPr>
          <w:rFonts w:ascii="Times New Roman" w:hAnsi="Times New Roman" w:cs="Times New Roman"/>
          <w:sz w:val="24"/>
          <w:szCs w:val="24"/>
          <w:lang w:val="en-US"/>
        </w:rPr>
      </w:pPr>
      <w:r w:rsidRPr="000B6CDD">
        <w:rPr>
          <w:rFonts w:ascii="Times New Roman" w:hAnsi="Times New Roman" w:cs="Times New Roman"/>
          <w:b/>
          <w:bCs/>
          <w:sz w:val="24"/>
          <w:szCs w:val="24"/>
          <w:lang w:val="en-US"/>
        </w:rPr>
        <w:t>Keywords</w:t>
      </w:r>
      <w:r w:rsidR="00407662" w:rsidRPr="000B6CDD">
        <w:rPr>
          <w:rFonts w:ascii="Times New Roman" w:hAnsi="Times New Roman" w:cs="Times New Roman"/>
          <w:b/>
          <w:bCs/>
          <w:sz w:val="24"/>
          <w:szCs w:val="24"/>
          <w:lang w:val="en-US"/>
        </w:rPr>
        <w:t>:</w:t>
      </w:r>
      <w:r w:rsidRPr="000B6CDD">
        <w:rPr>
          <w:rFonts w:ascii="Times New Roman" w:hAnsi="Times New Roman" w:cs="Times New Roman"/>
          <w:b/>
          <w:bCs/>
          <w:sz w:val="24"/>
          <w:szCs w:val="24"/>
          <w:lang w:val="en-US"/>
        </w:rPr>
        <w:t xml:space="preserve"> </w:t>
      </w:r>
      <w:r w:rsidRPr="000B6CDD">
        <w:rPr>
          <w:rFonts w:ascii="Times New Roman" w:hAnsi="Times New Roman" w:cs="Times New Roman"/>
          <w:sz w:val="24"/>
          <w:szCs w:val="24"/>
          <w:lang w:val="en-US"/>
        </w:rPr>
        <w:t xml:space="preserve">Artificial Intelligence, Computational Thinking, AI in Education, </w:t>
      </w:r>
      <w:r w:rsidRPr="00B77499">
        <w:rPr>
          <w:rFonts w:ascii="Times New Roman" w:hAnsi="Times New Roman" w:cs="Times New Roman"/>
          <w:sz w:val="24"/>
          <w:szCs w:val="24"/>
          <w:lang w:val="en-US"/>
        </w:rPr>
        <w:t xml:space="preserve">AI </w:t>
      </w:r>
      <w:r w:rsidR="00706FF4" w:rsidRPr="00B77499">
        <w:rPr>
          <w:rFonts w:ascii="Times New Roman" w:hAnsi="Times New Roman" w:cs="Times New Roman"/>
          <w:sz w:val="24"/>
          <w:szCs w:val="24"/>
          <w:lang w:val="en-US"/>
        </w:rPr>
        <w:t>Integrated</w:t>
      </w:r>
      <w:r w:rsidRPr="00B77499">
        <w:rPr>
          <w:rFonts w:ascii="Times New Roman" w:hAnsi="Times New Roman" w:cs="Times New Roman"/>
          <w:sz w:val="24"/>
          <w:szCs w:val="24"/>
          <w:lang w:val="en-US"/>
        </w:rPr>
        <w:t xml:space="preserve"> Pedagogy,</w:t>
      </w:r>
      <w:r w:rsidRPr="000B6CDD">
        <w:rPr>
          <w:rFonts w:ascii="Times New Roman" w:hAnsi="Times New Roman" w:cs="Times New Roman"/>
          <w:sz w:val="24"/>
          <w:szCs w:val="24"/>
          <w:lang w:val="en-US"/>
        </w:rPr>
        <w:t xml:space="preserve"> Higher Education, I</w:t>
      </w:r>
      <w:r w:rsidRPr="000B6CDD">
        <w:rPr>
          <w:rFonts w:ascii="Times New Roman" w:hAnsi="Times New Roman" w:cs="Times New Roman"/>
          <w:sz w:val="24"/>
          <w:szCs w:val="24"/>
        </w:rPr>
        <w:t>ntelligent Tutoring Systems.</w:t>
      </w:r>
    </w:p>
    <w:p w14:paraId="122D3D10" w14:textId="00A2B5DD" w:rsidR="00407662" w:rsidRPr="000B6CDD" w:rsidRDefault="00407662" w:rsidP="00605A72">
      <w:pPr>
        <w:spacing w:line="360" w:lineRule="auto"/>
        <w:jc w:val="both"/>
        <w:rPr>
          <w:rFonts w:ascii="Times New Roman" w:hAnsi="Times New Roman" w:cs="Times New Roman"/>
          <w:b/>
          <w:bCs/>
          <w:sz w:val="24"/>
          <w:szCs w:val="24"/>
          <w:lang w:val="en-US"/>
        </w:rPr>
      </w:pPr>
      <w:r w:rsidRPr="000B6CDD">
        <w:rPr>
          <w:rFonts w:ascii="Times New Roman" w:hAnsi="Times New Roman" w:cs="Times New Roman"/>
          <w:b/>
          <w:bCs/>
          <w:sz w:val="24"/>
          <w:szCs w:val="24"/>
          <w:lang w:val="en-US"/>
        </w:rPr>
        <w:t>Introduction</w:t>
      </w:r>
    </w:p>
    <w:p w14:paraId="024F0952" w14:textId="3548BFCE" w:rsidR="00762D45" w:rsidRPr="000B6CDD" w:rsidRDefault="00633C97"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The higher education landscape has </w:t>
      </w:r>
      <w:r w:rsidR="005432FB" w:rsidRPr="000B6CDD">
        <w:rPr>
          <w:rFonts w:ascii="Times New Roman" w:hAnsi="Times New Roman" w:cs="Times New Roman"/>
          <w:sz w:val="24"/>
          <w:szCs w:val="24"/>
        </w:rPr>
        <w:t>undergone significant change as artificial intelligence technologies are increasingly incorporated into teaching and learning processes, substantially shaping</w:t>
      </w:r>
      <w:r w:rsidRPr="000B6CDD">
        <w:rPr>
          <w:rFonts w:ascii="Times New Roman" w:hAnsi="Times New Roman" w:cs="Times New Roman"/>
          <w:sz w:val="24"/>
          <w:szCs w:val="24"/>
        </w:rPr>
        <w:t xml:space="preserve"> the development of students' computational thinking skills (Chassignol et al., 2018; Chen et al., 2020; Zawacki-Richter et al., 2019). </w:t>
      </w:r>
      <w:r w:rsidR="00762D45" w:rsidRPr="000B6CDD">
        <w:rPr>
          <w:rFonts w:ascii="Times New Roman" w:hAnsi="Times New Roman" w:cs="Times New Roman"/>
          <w:sz w:val="24"/>
          <w:szCs w:val="24"/>
        </w:rPr>
        <w:t xml:space="preserve">This integration is more than a </w:t>
      </w:r>
      <w:r w:rsidR="005432FB" w:rsidRPr="000B6CDD">
        <w:rPr>
          <w:rFonts w:ascii="Times New Roman" w:hAnsi="Times New Roman" w:cs="Times New Roman"/>
          <w:sz w:val="24"/>
          <w:szCs w:val="24"/>
        </w:rPr>
        <w:t>technological enhancement; it embodies a fundamental transformation that requires meticulous evaluation of both educational efficacy and equity implications</w:t>
      </w:r>
      <w:r w:rsidR="00762D45" w:rsidRPr="000B6CDD">
        <w:rPr>
          <w:rFonts w:ascii="Times New Roman" w:hAnsi="Times New Roman" w:cs="Times New Roman"/>
          <w:sz w:val="24"/>
          <w:szCs w:val="24"/>
        </w:rPr>
        <w:t xml:space="preserve"> (Holmes et al., 2019; Reich &amp; Mehta, 2020). As Wing's foundational concept of computational thinking progresses with technological advancements, educators and researchers confront the intricate challenge of utilizing AI's </w:t>
      </w:r>
      <w:r w:rsidR="00762D45" w:rsidRPr="000B6CDD">
        <w:rPr>
          <w:rFonts w:ascii="Times New Roman" w:hAnsi="Times New Roman" w:cs="Times New Roman"/>
          <w:sz w:val="24"/>
          <w:szCs w:val="24"/>
        </w:rPr>
        <w:lastRenderedPageBreak/>
        <w:t xml:space="preserve">potential while ensuring these technologies promote educational equity rather than exacerbate disparities (Wing, 2006; Yadav et al., 2016; Selwyn, 2019). </w:t>
      </w:r>
    </w:p>
    <w:p w14:paraId="196468BC" w14:textId="52A90774" w:rsidR="00762D45" w:rsidRPr="000B6CDD" w:rsidRDefault="00762D45"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The advent of intelligent tutoring systems, adaptive learning platforms, and AI-driven evaluation tools has </w:t>
      </w:r>
      <w:r w:rsidR="002C1A3A" w:rsidRPr="000B6CDD">
        <w:rPr>
          <w:rFonts w:ascii="Times New Roman" w:hAnsi="Times New Roman" w:cs="Times New Roman"/>
          <w:sz w:val="24"/>
          <w:szCs w:val="24"/>
        </w:rPr>
        <w:t>created new opportunities to foster the growth of computational thinking across diverse</w:t>
      </w:r>
      <w:r w:rsidRPr="000B6CDD">
        <w:rPr>
          <w:rFonts w:ascii="Times New Roman" w:hAnsi="Times New Roman" w:cs="Times New Roman"/>
          <w:sz w:val="24"/>
          <w:szCs w:val="24"/>
        </w:rPr>
        <w:t xml:space="preserve"> student demographics (</w:t>
      </w:r>
      <w:r w:rsidR="008B167C" w:rsidRPr="000B6CDD">
        <w:rPr>
          <w:rFonts w:ascii="Times New Roman" w:hAnsi="Times New Roman" w:cs="Times New Roman"/>
          <w:sz w:val="24"/>
          <w:szCs w:val="24"/>
        </w:rPr>
        <w:t>Luckin &amp; Holmes, 2016</w:t>
      </w:r>
      <w:r w:rsidRPr="000B6CDD">
        <w:rPr>
          <w:rFonts w:ascii="Times New Roman" w:hAnsi="Times New Roman" w:cs="Times New Roman"/>
          <w:sz w:val="24"/>
          <w:szCs w:val="24"/>
        </w:rPr>
        <w:t xml:space="preserve">; Roll &amp; Wylie, 2016). These technologies </w:t>
      </w:r>
      <w:r w:rsidR="006670CC" w:rsidRPr="000B6CDD">
        <w:rPr>
          <w:rFonts w:ascii="Times New Roman" w:hAnsi="Times New Roman" w:cs="Times New Roman"/>
          <w:sz w:val="24"/>
          <w:szCs w:val="24"/>
        </w:rPr>
        <w:t>offer unparalleled capabilities for customisation, immediate feedback, and data-informed instructional decision-making that may effectively address enduring challenges</w:t>
      </w:r>
      <w:r w:rsidRPr="000B6CDD">
        <w:rPr>
          <w:rFonts w:ascii="Times New Roman" w:hAnsi="Times New Roman" w:cs="Times New Roman"/>
          <w:sz w:val="24"/>
          <w:szCs w:val="24"/>
        </w:rPr>
        <w:t xml:space="preserve"> in computational education (Gaševi´c et al., 2017; Clark &amp; Mayer, 2016). </w:t>
      </w:r>
      <w:r w:rsidR="00CB1EB4" w:rsidRPr="000B6CDD">
        <w:rPr>
          <w:rFonts w:ascii="Times New Roman" w:hAnsi="Times New Roman" w:cs="Times New Roman"/>
          <w:sz w:val="24"/>
          <w:szCs w:val="24"/>
        </w:rPr>
        <w:t>A recent study has uncovered alarming trends of algorithmic bias that can systematically penalise</w:t>
      </w:r>
      <w:r w:rsidRPr="000B6CDD">
        <w:rPr>
          <w:rFonts w:ascii="Times New Roman" w:hAnsi="Times New Roman" w:cs="Times New Roman"/>
          <w:sz w:val="24"/>
          <w:szCs w:val="24"/>
        </w:rPr>
        <w:t xml:space="preserve"> specific student populations, especially those from historically underrepresented communities in STEM disciplines (Akgun &amp; Greenhow, 2022; Baker &amp; Hawn, 2022; Barocas &amp; Selbst, 2016).</w:t>
      </w:r>
    </w:p>
    <w:p w14:paraId="300F8EAC" w14:textId="77BD7125" w:rsidR="007F732E" w:rsidRPr="000B6CDD" w:rsidRDefault="007F732E"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The implications of this technological integration reach above individual educational experiences to include larger issues of participation in computing disciplines, technological advancement, and democratic involvement in an increasingly digital world (Williamson, 2019; Knox, 2020). Educational institutions, as principal venues for the generation of computational knowledge and human advancement, hold a significant obligation to exemplify ethical AI utilization while equipping diverse student cohorts to engage proficiently in computational professions and impact an AI-driven future (Holmes et al., 2019; Dignum, 2019). The difficulty is not solely in the adoption of AI tools, but in establishing educational environments where human cognitive processes and artificial intelligence synergistically improve, rather than supplant, essential computational thinking skills (Weller, 2020; Veletsianos, 2022).</w:t>
      </w:r>
    </w:p>
    <w:p w14:paraId="00FCB3BF" w14:textId="725C4E5F" w:rsidR="007318EA" w:rsidRPr="000B6CDD" w:rsidRDefault="00F57196" w:rsidP="00605A72">
      <w:pPr>
        <w:spacing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Methodology</w:t>
      </w:r>
    </w:p>
    <w:p w14:paraId="5CD7D51D" w14:textId="3AE9EDC9" w:rsidR="00F57196" w:rsidRPr="000B6CDD" w:rsidRDefault="00F57196"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Five databases—Web of Science (Core Collection), Scopus, ERIC (Education Resources Information Centre), ACM Digital Library, and IEEE Xplore—were </w:t>
      </w:r>
      <w:r w:rsidR="002C1A3A" w:rsidRPr="000B6CDD">
        <w:rPr>
          <w:rFonts w:ascii="Times New Roman" w:hAnsi="Times New Roman" w:cs="Times New Roman"/>
          <w:sz w:val="24"/>
          <w:szCs w:val="24"/>
        </w:rPr>
        <w:t xml:space="preserve">selected for their coverage of educational technology, computer science education, and AI ethics literature to conduct </w:t>
      </w:r>
      <w:r w:rsidR="00720663" w:rsidRPr="000B6CDD">
        <w:rPr>
          <w:rFonts w:ascii="Times New Roman" w:hAnsi="Times New Roman" w:cs="Times New Roman"/>
          <w:sz w:val="24"/>
          <w:szCs w:val="24"/>
        </w:rPr>
        <w:t>the</w:t>
      </w:r>
      <w:r w:rsidR="002C1A3A" w:rsidRPr="000B6CDD">
        <w:rPr>
          <w:rFonts w:ascii="Times New Roman" w:hAnsi="Times New Roman" w:cs="Times New Roman"/>
          <w:sz w:val="24"/>
          <w:szCs w:val="24"/>
        </w:rPr>
        <w:t xml:space="preserve"> </w:t>
      </w:r>
      <w:r w:rsidRPr="000B6CDD">
        <w:rPr>
          <w:rFonts w:ascii="Times New Roman" w:hAnsi="Times New Roman" w:cs="Times New Roman"/>
          <w:sz w:val="24"/>
          <w:szCs w:val="24"/>
        </w:rPr>
        <w:t>literature review</w:t>
      </w:r>
      <w:r w:rsidRPr="0069166F">
        <w:rPr>
          <w:rFonts w:ascii="Times New Roman" w:hAnsi="Times New Roman" w:cs="Times New Roman"/>
          <w:sz w:val="24"/>
          <w:szCs w:val="24"/>
        </w:rPr>
        <w:t xml:space="preserve">. </w:t>
      </w:r>
      <w:r w:rsidRPr="00CF3EB4">
        <w:rPr>
          <w:rFonts w:ascii="Times New Roman" w:hAnsi="Times New Roman" w:cs="Times New Roman"/>
          <w:sz w:val="24"/>
          <w:szCs w:val="24"/>
        </w:rPr>
        <w:t xml:space="preserve">The search was carried out </w:t>
      </w:r>
      <w:r w:rsidR="0069166F" w:rsidRPr="00CF3EB4">
        <w:rPr>
          <w:rFonts w:ascii="Times New Roman" w:hAnsi="Times New Roman" w:cs="Times New Roman"/>
          <w:sz w:val="24"/>
          <w:szCs w:val="24"/>
        </w:rPr>
        <w:t xml:space="preserve">to find the recent articles </w:t>
      </w:r>
      <w:r w:rsidR="006E533B" w:rsidRPr="00CF3EB4">
        <w:rPr>
          <w:rFonts w:ascii="Times New Roman" w:hAnsi="Times New Roman" w:cs="Times New Roman"/>
          <w:sz w:val="24"/>
          <w:szCs w:val="24"/>
        </w:rPr>
        <w:t xml:space="preserve">in the area of AI and CT </w:t>
      </w:r>
      <w:r w:rsidR="0069166F" w:rsidRPr="00CF3EB4">
        <w:rPr>
          <w:rFonts w:ascii="Times New Roman" w:hAnsi="Times New Roman" w:cs="Times New Roman"/>
          <w:sz w:val="24"/>
          <w:szCs w:val="24"/>
        </w:rPr>
        <w:t>and articles from the last ten years were considered for this study.</w:t>
      </w:r>
    </w:p>
    <w:p w14:paraId="2AF3BA6A" w14:textId="63824154" w:rsidR="00F57196" w:rsidRPr="000B6CDD" w:rsidRDefault="00F57196"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Boolean combinations of the concept clusters were used in search strings.</w:t>
      </w:r>
    </w:p>
    <w:p w14:paraId="2EB533F9" w14:textId="1034D704" w:rsidR="00F57196" w:rsidRPr="000B6CDD" w:rsidRDefault="00F57196" w:rsidP="00605A72">
      <w:pPr>
        <w:pStyle w:val="ListParagraph"/>
        <w:numPr>
          <w:ilvl w:val="0"/>
          <w:numId w:val="1"/>
        </w:num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AI concepts: (“artificial intelligence” OR “machine learning” OR “AI” OR “intelligent tutoring” OR “adaptive learning” OR “large language model” OR “LLM” OR “generative AI”)</w:t>
      </w:r>
    </w:p>
    <w:p w14:paraId="552951AC" w14:textId="56295F8A" w:rsidR="00F57196" w:rsidRPr="000B6CDD" w:rsidRDefault="00F57196" w:rsidP="00605A72">
      <w:pPr>
        <w:pStyle w:val="ListParagraph"/>
        <w:numPr>
          <w:ilvl w:val="0"/>
          <w:numId w:val="1"/>
        </w:num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lastRenderedPageBreak/>
        <w:t xml:space="preserve">CT concepts: (“computational thinking” OR “programming education” OR “computer science education” OR “coding education” OR “algorithm learning”) </w:t>
      </w:r>
    </w:p>
    <w:p w14:paraId="2790DD2B" w14:textId="2A9D3FFA" w:rsidR="004234D6" w:rsidRPr="000B6CDD" w:rsidRDefault="004234D6" w:rsidP="00605A72">
      <w:pPr>
        <w:spacing w:after="0" w:line="360" w:lineRule="auto"/>
        <w:jc w:val="both"/>
        <w:rPr>
          <w:rFonts w:ascii="Times New Roman" w:eastAsia="Times New Roman" w:hAnsi="Times New Roman" w:cs="Times New Roman"/>
          <w:kern w:val="0"/>
          <w:sz w:val="24"/>
          <w:szCs w:val="24"/>
          <w:lang w:eastAsia="en-IN"/>
          <w14:ligatures w14:val="none"/>
        </w:rPr>
      </w:pPr>
      <w:r w:rsidRPr="000B6CDD">
        <w:rPr>
          <w:rFonts w:ascii="Times New Roman" w:eastAsia="Times New Roman" w:hAnsi="Times New Roman" w:cs="Times New Roman"/>
          <w:kern w:val="0"/>
          <w:sz w:val="24"/>
          <w:szCs w:val="24"/>
          <w:lang w:eastAsia="en-IN"/>
          <w14:ligatures w14:val="none"/>
        </w:rPr>
        <w:t>The comprehensive narrative review examines the relationship among AI integration, computational thinking pedagogy, and educational equity in higher education. In contrast to a systematic review, this all-encompassing method incorporates a variety of sources, including institutional frameworks, policy documents, and peer-reviewed literature, to enable a more thorough investigation and mapping of this emerging interdisciplinary topic.</w:t>
      </w:r>
    </w:p>
    <w:p w14:paraId="5C42B8A2" w14:textId="77777777" w:rsidR="00A11261" w:rsidRPr="000B6CDD" w:rsidRDefault="00A11261" w:rsidP="00F5208B">
      <w:pPr>
        <w:spacing w:before="240"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 xml:space="preserve">Research Questions </w:t>
      </w:r>
    </w:p>
    <w:p w14:paraId="6C62E72B" w14:textId="77777777" w:rsidR="00BB7DCE" w:rsidRPr="000B6CDD" w:rsidRDefault="004234D6" w:rsidP="00605A72">
      <w:pPr>
        <w:pStyle w:val="ListParagraph"/>
        <w:numPr>
          <w:ilvl w:val="0"/>
          <w:numId w:val="2"/>
        </w:numPr>
        <w:spacing w:after="0" w:line="360" w:lineRule="auto"/>
        <w:jc w:val="both"/>
        <w:rPr>
          <w:rFonts w:ascii="Times New Roman" w:eastAsia="Times New Roman" w:hAnsi="Times New Roman" w:cs="Times New Roman"/>
          <w:kern w:val="0"/>
          <w:sz w:val="24"/>
          <w:szCs w:val="24"/>
          <w:lang w:eastAsia="en-IN"/>
          <w14:ligatures w14:val="none"/>
        </w:rPr>
      </w:pPr>
      <w:r w:rsidRPr="000B6CDD">
        <w:rPr>
          <w:rFonts w:ascii="Times New Roman" w:eastAsia="Times New Roman" w:hAnsi="Times New Roman" w:cs="Times New Roman"/>
          <w:kern w:val="0"/>
          <w:sz w:val="24"/>
          <w:szCs w:val="24"/>
          <w:lang w:eastAsia="en-IN"/>
          <w14:ligatures w14:val="none"/>
        </w:rPr>
        <w:t xml:space="preserve">How </w:t>
      </w:r>
      <w:r w:rsidR="006258CF" w:rsidRPr="000B6CDD">
        <w:rPr>
          <w:rFonts w:ascii="Times New Roman" w:eastAsia="Times New Roman" w:hAnsi="Times New Roman" w:cs="Times New Roman"/>
          <w:kern w:val="0"/>
          <w:sz w:val="24"/>
          <w:szCs w:val="24"/>
          <w:lang w:eastAsia="en-IN"/>
          <w14:ligatures w14:val="none"/>
        </w:rPr>
        <w:t xml:space="preserve">can computational thinking education </w:t>
      </w:r>
      <w:r w:rsidRPr="000B6CDD">
        <w:rPr>
          <w:rFonts w:ascii="Times New Roman" w:eastAsia="Times New Roman" w:hAnsi="Times New Roman" w:cs="Times New Roman"/>
          <w:kern w:val="0"/>
          <w:sz w:val="24"/>
          <w:szCs w:val="24"/>
          <w:lang w:eastAsia="en-IN"/>
          <w14:ligatures w14:val="none"/>
        </w:rPr>
        <w:t>incorporate AI technologies without compromising educational equity?</w:t>
      </w:r>
    </w:p>
    <w:p w14:paraId="6E559EE0" w14:textId="2D4B6965" w:rsidR="004009B3" w:rsidRPr="000B6CDD" w:rsidRDefault="004234D6" w:rsidP="00605A72">
      <w:pPr>
        <w:pStyle w:val="ListParagraph"/>
        <w:numPr>
          <w:ilvl w:val="0"/>
          <w:numId w:val="2"/>
        </w:numPr>
        <w:spacing w:after="0" w:line="360" w:lineRule="auto"/>
        <w:jc w:val="both"/>
        <w:rPr>
          <w:rFonts w:ascii="Times New Roman" w:eastAsia="Times New Roman" w:hAnsi="Times New Roman" w:cs="Times New Roman"/>
          <w:kern w:val="0"/>
          <w:sz w:val="24"/>
          <w:szCs w:val="24"/>
          <w:lang w:eastAsia="en-IN"/>
          <w14:ligatures w14:val="none"/>
        </w:rPr>
      </w:pPr>
      <w:r w:rsidRPr="000B6CDD">
        <w:rPr>
          <w:rFonts w:ascii="Times New Roman" w:eastAsia="Times New Roman" w:hAnsi="Times New Roman" w:cs="Times New Roman"/>
          <w:kern w:val="0"/>
          <w:sz w:val="24"/>
          <w:szCs w:val="24"/>
          <w:lang w:eastAsia="en-IN"/>
          <w14:ligatures w14:val="none"/>
        </w:rPr>
        <w:t xml:space="preserve">What are the main barriers and opportunities for AI inclusion in computational thinking curricula at higher education? </w:t>
      </w:r>
    </w:p>
    <w:p w14:paraId="084978D2" w14:textId="77777777" w:rsidR="005A434A" w:rsidRPr="000B6CDD" w:rsidRDefault="005A434A" w:rsidP="00F5208B">
      <w:pPr>
        <w:spacing w:before="240"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Rationale for the Extensive Review Method</w:t>
      </w:r>
    </w:p>
    <w:p w14:paraId="1A8314E2" w14:textId="3CAFDBD3" w:rsidR="00762D45" w:rsidRPr="000B6CDD" w:rsidRDefault="006B5258" w:rsidP="00605A72">
      <w:pPr>
        <w:spacing w:line="360" w:lineRule="auto"/>
        <w:jc w:val="both"/>
        <w:rPr>
          <w:rFonts w:ascii="Times New Roman" w:hAnsi="Times New Roman" w:cs="Times New Roman"/>
          <w:sz w:val="24"/>
          <w:szCs w:val="24"/>
        </w:rPr>
      </w:pPr>
      <w:r w:rsidRPr="00134C3D">
        <w:rPr>
          <w:rFonts w:ascii="Times New Roman" w:hAnsi="Times New Roman" w:cs="Times New Roman"/>
          <w:sz w:val="24"/>
          <w:szCs w:val="24"/>
        </w:rPr>
        <w:t>The broad scope of AI-enhanced computational thinking education encompasses computer science education, learning sciences, AI ethics, and policy studies, necessitating synthesis using numerous methodological strategies;</w:t>
      </w:r>
      <w:r w:rsidRPr="00845091">
        <w:rPr>
          <w:rFonts w:ascii="Times New Roman" w:hAnsi="Times New Roman" w:cs="Times New Roman"/>
          <w:color w:val="EE0000"/>
          <w:sz w:val="24"/>
          <w:szCs w:val="24"/>
        </w:rPr>
        <w:t xml:space="preserve"> </w:t>
      </w:r>
      <w:r w:rsidRPr="000B6CDD">
        <w:rPr>
          <w:rFonts w:ascii="Times New Roman" w:hAnsi="Times New Roman" w:cs="Times New Roman"/>
          <w:sz w:val="24"/>
          <w:szCs w:val="24"/>
        </w:rPr>
        <w:t xml:space="preserve">he fast growth of AI technologies implies that much relevant data exists in professional reports, policy documents, and latest conference proceedings that are not yet captured in systematic databases; the developing nature of this area demands exploratory mapping instead of definitive effect size estimates; and the equity focus necessitates flexible synthesis approaches that can accommodate various types of evidence </w:t>
      </w:r>
      <w:r w:rsidR="00E36D1C" w:rsidRPr="000B6CDD">
        <w:rPr>
          <w:rFonts w:ascii="Times New Roman" w:hAnsi="Times New Roman" w:cs="Times New Roman"/>
          <w:sz w:val="24"/>
          <w:szCs w:val="24"/>
        </w:rPr>
        <w:t>(</w:t>
      </w:r>
      <w:r w:rsidRPr="000B6CDD">
        <w:rPr>
          <w:rFonts w:ascii="Times New Roman" w:hAnsi="Times New Roman" w:cs="Times New Roman"/>
          <w:sz w:val="24"/>
          <w:szCs w:val="24"/>
        </w:rPr>
        <w:t>Grant &amp; Booth, 2009; Paré et al., 2015).</w:t>
      </w:r>
    </w:p>
    <w:p w14:paraId="47568C45" w14:textId="70AA40ED" w:rsidR="00254B3C" w:rsidRPr="000B6CDD" w:rsidRDefault="00254B3C" w:rsidP="00605A72">
      <w:pPr>
        <w:spacing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Theoretical Background of AI-Enhanced Computational</w:t>
      </w:r>
      <w:r w:rsidR="00361062">
        <w:rPr>
          <w:rFonts w:ascii="Times New Roman" w:hAnsi="Times New Roman" w:cs="Times New Roman"/>
          <w:b/>
          <w:bCs/>
          <w:sz w:val="24"/>
          <w:szCs w:val="24"/>
        </w:rPr>
        <w:t xml:space="preserve"> </w:t>
      </w:r>
      <w:r w:rsidR="00361062" w:rsidRPr="001C31CD">
        <w:rPr>
          <w:rFonts w:ascii="Times New Roman" w:hAnsi="Times New Roman" w:cs="Times New Roman"/>
          <w:b/>
          <w:bCs/>
          <w:color w:val="000000" w:themeColor="text1"/>
          <w:sz w:val="24"/>
          <w:szCs w:val="24"/>
        </w:rPr>
        <w:t>Thinking</w:t>
      </w:r>
    </w:p>
    <w:p w14:paraId="5E501BBD" w14:textId="25C8E01C" w:rsidR="00254B3C" w:rsidRPr="00A75E6A" w:rsidRDefault="00254B3C" w:rsidP="00A75E6A">
      <w:pPr>
        <w:pStyle w:val="ListParagraph"/>
        <w:numPr>
          <w:ilvl w:val="0"/>
          <w:numId w:val="3"/>
        </w:numPr>
        <w:spacing w:line="360" w:lineRule="auto"/>
        <w:jc w:val="both"/>
        <w:rPr>
          <w:rFonts w:ascii="Times New Roman" w:hAnsi="Times New Roman" w:cs="Times New Roman"/>
          <w:b/>
          <w:bCs/>
          <w:sz w:val="24"/>
          <w:szCs w:val="24"/>
        </w:rPr>
      </w:pPr>
      <w:r w:rsidRPr="00A75E6A">
        <w:rPr>
          <w:rFonts w:ascii="Times New Roman" w:hAnsi="Times New Roman" w:cs="Times New Roman"/>
          <w:b/>
          <w:bCs/>
          <w:sz w:val="24"/>
          <w:szCs w:val="24"/>
        </w:rPr>
        <w:t xml:space="preserve">Historical Development of Computational Thinking </w:t>
      </w:r>
    </w:p>
    <w:p w14:paraId="42451859" w14:textId="3B0B5C24"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Computational </w:t>
      </w:r>
      <w:r w:rsidR="00361062">
        <w:rPr>
          <w:rFonts w:ascii="Times New Roman" w:hAnsi="Times New Roman" w:cs="Times New Roman"/>
          <w:sz w:val="24"/>
          <w:szCs w:val="24"/>
        </w:rPr>
        <w:t>thinking's</w:t>
      </w:r>
      <w:r w:rsidRPr="000B6CDD">
        <w:rPr>
          <w:rFonts w:ascii="Times New Roman" w:hAnsi="Times New Roman" w:cs="Times New Roman"/>
          <w:sz w:val="24"/>
          <w:szCs w:val="24"/>
        </w:rPr>
        <w:t xml:space="preserve"> conceptual framework has also changed a lot since the initial definition of the concept by Wing, especially with the improvement of educational technologies, no longer being computer-assisted instruction but artificial intelligence-powered learning platforms (Wing, 2006; Yadav et al., 2016; Grover &amp; Pea, 2013). Conventionally, the CT models have been centred on four core capabilities, namely, decomposition, pattern recognition, abstraction, and algorithm design. As AI-based resources, like intelligent code </w:t>
      </w:r>
      <w:r w:rsidRPr="000B6CDD">
        <w:rPr>
          <w:rFonts w:ascii="Times New Roman" w:hAnsi="Times New Roman" w:cs="Times New Roman"/>
          <w:sz w:val="24"/>
          <w:szCs w:val="24"/>
        </w:rPr>
        <w:lastRenderedPageBreak/>
        <w:t>completion and automated debugging assistants, have appeared, these competencies are supplemented with technology, which provides instant feedback and personal assistance.</w:t>
      </w:r>
    </w:p>
    <w:p w14:paraId="6FC3DD61" w14:textId="77777777"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Nevertheless, there can be a risk of such outcomes as the loss of independent ability to solve problems, possible biases in the assessment, and the lack of metacognitive knowledge of students about how they compute (Holstein et al., 2019; Roll &amp; Wylie, 2016). In order to handle such issues, the existing paradigms of education have to re-evaluate these competencies to make people and AI cooperate effectively, as the issues of intelligent systems work are being transformed (Chiu &amp; Chai, 2020; Tondeur et al., 2017).</w:t>
      </w:r>
    </w:p>
    <w:p w14:paraId="4810C447" w14:textId="5F5FB855"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Enhanced decomposition within AI-mediated settings is now the issue of how to best distribute tasks among human and artificial intelligence agents (Holstein et al., 2019</w:t>
      </w:r>
      <w:r w:rsidR="00B1466A">
        <w:rPr>
          <w:rFonts w:ascii="Times New Roman" w:hAnsi="Times New Roman" w:cs="Times New Roman"/>
          <w:sz w:val="24"/>
          <w:szCs w:val="24"/>
        </w:rPr>
        <w:t>).</w:t>
      </w:r>
      <w:r w:rsidRPr="000B6CDD">
        <w:rPr>
          <w:rFonts w:ascii="Times New Roman" w:hAnsi="Times New Roman" w:cs="Times New Roman"/>
          <w:sz w:val="24"/>
          <w:szCs w:val="24"/>
        </w:rPr>
        <w:t xml:space="preserve">  Students have to learn how to break down problems </w:t>
      </w:r>
      <w:r w:rsidR="00611435" w:rsidRPr="000B6CDD">
        <w:rPr>
          <w:rFonts w:ascii="Times New Roman" w:hAnsi="Times New Roman" w:cs="Times New Roman"/>
          <w:sz w:val="24"/>
          <w:szCs w:val="24"/>
        </w:rPr>
        <w:t xml:space="preserve">so that they utilise the synergistic capabilities of human innovation and AI processing power, and learn </w:t>
      </w:r>
      <w:r w:rsidRPr="000B6CDD">
        <w:rPr>
          <w:rFonts w:ascii="Times New Roman" w:hAnsi="Times New Roman" w:cs="Times New Roman"/>
          <w:sz w:val="24"/>
          <w:szCs w:val="24"/>
        </w:rPr>
        <w:t xml:space="preserve">when they should retain human control and regulation. This is </w:t>
      </w:r>
      <w:r w:rsidR="00611435" w:rsidRPr="000B6CDD">
        <w:rPr>
          <w:rFonts w:ascii="Times New Roman" w:hAnsi="Times New Roman" w:cs="Times New Roman"/>
          <w:sz w:val="24"/>
          <w:szCs w:val="24"/>
        </w:rPr>
        <w:t>more</w:t>
      </w:r>
      <w:r w:rsidRPr="000B6CDD">
        <w:rPr>
          <w:rFonts w:ascii="Times New Roman" w:hAnsi="Times New Roman" w:cs="Times New Roman"/>
          <w:sz w:val="24"/>
          <w:szCs w:val="24"/>
        </w:rPr>
        <w:t xml:space="preserve"> important </w:t>
      </w:r>
      <w:r w:rsidR="00611435" w:rsidRPr="000B6CDD">
        <w:rPr>
          <w:rFonts w:ascii="Times New Roman" w:hAnsi="Times New Roman" w:cs="Times New Roman"/>
          <w:sz w:val="24"/>
          <w:szCs w:val="24"/>
        </w:rPr>
        <w:t>because AI systems can perform more advanced, complex, and computationally demanding tasks that were once handled solely by humans</w:t>
      </w:r>
      <w:r w:rsidRPr="000B6CDD">
        <w:rPr>
          <w:rFonts w:ascii="Times New Roman" w:hAnsi="Times New Roman" w:cs="Times New Roman"/>
          <w:sz w:val="24"/>
          <w:szCs w:val="24"/>
        </w:rPr>
        <w:t xml:space="preserve"> (Floridi et al., 2018; Winfield &amp; </w:t>
      </w:r>
      <w:proofErr w:type="spellStart"/>
      <w:r w:rsidRPr="000B6CDD">
        <w:rPr>
          <w:rFonts w:ascii="Times New Roman" w:hAnsi="Times New Roman" w:cs="Times New Roman"/>
          <w:sz w:val="24"/>
          <w:szCs w:val="24"/>
        </w:rPr>
        <w:t>Jirotka</w:t>
      </w:r>
      <w:proofErr w:type="spellEnd"/>
      <w:r w:rsidRPr="000B6CDD">
        <w:rPr>
          <w:rFonts w:ascii="Times New Roman" w:hAnsi="Times New Roman" w:cs="Times New Roman"/>
          <w:sz w:val="24"/>
          <w:szCs w:val="24"/>
        </w:rPr>
        <w:t>, 2018).</w:t>
      </w:r>
    </w:p>
    <w:p w14:paraId="4646C351" w14:textId="4823C98D"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Hsu (2025) shows that the development of successful AI prompts is a CT skill that will have to be decomposed, abstracted, and algorithmically thought. Such a view </w:t>
      </w:r>
      <w:r w:rsidR="00CE693B" w:rsidRPr="000B6CDD">
        <w:rPr>
          <w:rFonts w:ascii="Times New Roman" w:hAnsi="Times New Roman" w:cs="Times New Roman"/>
          <w:sz w:val="24"/>
          <w:szCs w:val="24"/>
        </w:rPr>
        <w:t>shifts the question of whether to use AI tools to how students can gain CT competencies with the help of AI through purposeful interaction with it,</w:t>
      </w:r>
      <w:r w:rsidRPr="000B6CDD">
        <w:rPr>
          <w:rFonts w:ascii="Times New Roman" w:hAnsi="Times New Roman" w:cs="Times New Roman"/>
          <w:sz w:val="24"/>
          <w:szCs w:val="24"/>
        </w:rPr>
        <w:t xml:space="preserve"> in the case of the specific scaffold.</w:t>
      </w:r>
    </w:p>
    <w:p w14:paraId="23BFC701" w14:textId="4FBB8A55"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The impact of AI on computing is not limited to computing</w:t>
      </w:r>
      <w:r w:rsidR="00CE693B" w:rsidRPr="000B6CDD">
        <w:rPr>
          <w:rFonts w:ascii="Times New Roman" w:hAnsi="Times New Roman" w:cs="Times New Roman"/>
          <w:sz w:val="24"/>
          <w:szCs w:val="24"/>
        </w:rPr>
        <w:t>; disciplines like mathematics, data science, and digital arts can use AI to enhance pattern recognition, data analysis, and artistic expression, and to prioritise</w:t>
      </w:r>
      <w:r w:rsidRPr="000B6CDD">
        <w:rPr>
          <w:rFonts w:ascii="Times New Roman" w:hAnsi="Times New Roman" w:cs="Times New Roman"/>
          <w:sz w:val="24"/>
          <w:szCs w:val="24"/>
        </w:rPr>
        <w:t xml:space="preserve"> cultural appropriateness and equity (Wing, 2006; Grover &amp; Pea, 2013; Yadav et al., 2016).</w:t>
      </w:r>
    </w:p>
    <w:p w14:paraId="4AD0B5B1" w14:textId="77777777" w:rsidR="002B1BD7"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Learners will have to gain competencies in interpreting AI-generated outputs, being aware of the constraints of algorithmic pattern recognition, and combining the patterns found by AI with human contextual knowledge and domain knowledge. This development can be interpreted as an expansion of understanding that to make computational thinking in AI-immersed settings effective, a person needs both technical skills and critical thinking abilities (Jobin et al., 2019; Taddeo &amp; Floridi, 2018).</w:t>
      </w:r>
    </w:p>
    <w:p w14:paraId="73A30DF9" w14:textId="2E5A7868" w:rsidR="00254B3C" w:rsidRPr="00A75E6A" w:rsidRDefault="00254B3C" w:rsidP="00A75E6A">
      <w:pPr>
        <w:pStyle w:val="ListParagraph"/>
        <w:numPr>
          <w:ilvl w:val="0"/>
          <w:numId w:val="3"/>
        </w:numPr>
        <w:spacing w:line="360" w:lineRule="auto"/>
        <w:jc w:val="both"/>
        <w:rPr>
          <w:rFonts w:ascii="Times New Roman" w:hAnsi="Times New Roman" w:cs="Times New Roman"/>
          <w:b/>
          <w:bCs/>
          <w:sz w:val="24"/>
          <w:szCs w:val="24"/>
        </w:rPr>
      </w:pPr>
      <w:r w:rsidRPr="00A75E6A">
        <w:rPr>
          <w:rFonts w:ascii="Times New Roman" w:hAnsi="Times New Roman" w:cs="Times New Roman"/>
          <w:b/>
          <w:bCs/>
          <w:sz w:val="24"/>
          <w:szCs w:val="24"/>
        </w:rPr>
        <w:t>Human-AI Symbiotic Theory (HAIST) of Education</w:t>
      </w:r>
    </w:p>
    <w:p w14:paraId="515C0563" w14:textId="0D4536D6"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lastRenderedPageBreak/>
        <w:t xml:space="preserve">The HAIST suggests a set of principles to improve </w:t>
      </w:r>
      <w:r w:rsidR="00DE3D2A" w:rsidRPr="000B6CDD">
        <w:rPr>
          <w:rFonts w:ascii="Times New Roman" w:hAnsi="Times New Roman" w:cs="Times New Roman"/>
          <w:sz w:val="24"/>
          <w:szCs w:val="24"/>
        </w:rPr>
        <w:t>human-AI cognitive relationships in education that build on existing models, including Technological Pedagogical Content Knowledge (TPACK) and Universal Design for</w:t>
      </w:r>
      <w:r w:rsidRPr="000B6CDD">
        <w:rPr>
          <w:rFonts w:ascii="Times New Roman" w:hAnsi="Times New Roman" w:cs="Times New Roman"/>
          <w:sz w:val="24"/>
          <w:szCs w:val="24"/>
        </w:rPr>
        <w:t xml:space="preserve"> Learning (UDL). HAIST,</w:t>
      </w:r>
      <w:r w:rsidR="00DE3D2A" w:rsidRPr="000B6CDD">
        <w:rPr>
          <w:rFonts w:ascii="Times New Roman" w:hAnsi="Times New Roman" w:cs="Times New Roman"/>
          <w:sz w:val="24"/>
          <w:szCs w:val="24"/>
        </w:rPr>
        <w:t xml:space="preserve"> to overcome the shortcomings of conventional methods, failed to properly support human cognitive development in </w:t>
      </w:r>
      <w:r w:rsidRPr="000B6CDD">
        <w:rPr>
          <w:rFonts w:ascii="Times New Roman" w:hAnsi="Times New Roman" w:cs="Times New Roman"/>
          <w:sz w:val="24"/>
          <w:szCs w:val="24"/>
        </w:rPr>
        <w:t xml:space="preserve">learning activities with the introduction of AI. </w:t>
      </w:r>
      <w:r w:rsidR="00DE3D2A" w:rsidRPr="000B6CDD">
        <w:rPr>
          <w:rFonts w:ascii="Times New Roman" w:hAnsi="Times New Roman" w:cs="Times New Roman"/>
          <w:sz w:val="24"/>
          <w:szCs w:val="24"/>
        </w:rPr>
        <w:t>Rather than replacing existing frameworks, HAIST is an extension of TPACK and UDL, offering detailed guidance on maintaining human agency and leveraging AI capabilities</w:t>
      </w:r>
      <w:r w:rsidRPr="000B6CDD">
        <w:rPr>
          <w:rFonts w:ascii="Times New Roman" w:hAnsi="Times New Roman" w:cs="Times New Roman"/>
          <w:sz w:val="24"/>
          <w:szCs w:val="24"/>
        </w:rPr>
        <w:t xml:space="preserve">. The theoretical contribution is based on the integration of educational technology </w:t>
      </w:r>
      <w:r w:rsidR="00DE3D2A" w:rsidRPr="000B6CDD">
        <w:rPr>
          <w:rFonts w:ascii="Times New Roman" w:hAnsi="Times New Roman" w:cs="Times New Roman"/>
          <w:sz w:val="24"/>
          <w:szCs w:val="24"/>
        </w:rPr>
        <w:t>to address contemporary challenges specific to AI implementation (Koehler &amp; Mishra, 2009; CAST, 201</w:t>
      </w:r>
      <w:r w:rsidR="00DE3D2A" w:rsidRPr="000304D1">
        <w:rPr>
          <w:rFonts w:ascii="Times New Roman" w:hAnsi="Times New Roman" w:cs="Times New Roman"/>
          <w:sz w:val="24"/>
          <w:szCs w:val="24"/>
        </w:rPr>
        <w:t>8</w:t>
      </w:r>
      <w:r w:rsidR="000304D1" w:rsidRPr="000304D1">
        <w:rPr>
          <w:rFonts w:ascii="Times New Roman" w:hAnsi="Times New Roman" w:cs="Times New Roman"/>
          <w:sz w:val="24"/>
          <w:szCs w:val="24"/>
        </w:rPr>
        <w:t>)</w:t>
      </w:r>
      <w:r w:rsidRPr="000304D1">
        <w:rPr>
          <w:rFonts w:ascii="Times New Roman" w:hAnsi="Times New Roman" w:cs="Times New Roman"/>
          <w:sz w:val="24"/>
          <w:szCs w:val="24"/>
        </w:rPr>
        <w:t>.</w:t>
      </w:r>
    </w:p>
    <w:p w14:paraId="1EA9138B" w14:textId="276E0E3D"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Computational agency preservation upholds the idea that AI systems do not eliminate but only augment student decision-making power in computational processes of problem solving, especially in students who have been historically marginalized in STEM education </w:t>
      </w:r>
      <w:r w:rsidR="000304D1">
        <w:rPr>
          <w:rFonts w:ascii="Times New Roman" w:hAnsi="Times New Roman" w:cs="Times New Roman"/>
          <w:sz w:val="24"/>
          <w:szCs w:val="24"/>
        </w:rPr>
        <w:t>(</w:t>
      </w:r>
      <w:r w:rsidRPr="000B6CDD">
        <w:rPr>
          <w:rFonts w:ascii="Times New Roman" w:hAnsi="Times New Roman" w:cs="Times New Roman"/>
          <w:sz w:val="24"/>
          <w:szCs w:val="24"/>
        </w:rPr>
        <w:t>Wachter et al., 2017). This preservation involves offering significant options regarding AI interaction levels and modalities, ensuring transparency regarding the influence of AI systems on the experiences of computational learning, and offering an effective opt-out that would not punish students who decide in other ways to engage in the experiences of computational learning. Student agency is essential in maintaining student capabilities to make sure that AI augmentation does not turn into AI substitution of the human ability to compute (Danaher et al., 2017; Binns et al., 2018).</w:t>
      </w:r>
    </w:p>
    <w:p w14:paraId="575F6C20" w14:textId="57C96362" w:rsidR="00254B3C" w:rsidRPr="00A75E6A" w:rsidRDefault="00254B3C" w:rsidP="00A75E6A">
      <w:pPr>
        <w:pStyle w:val="ListParagraph"/>
        <w:numPr>
          <w:ilvl w:val="0"/>
          <w:numId w:val="3"/>
        </w:numPr>
        <w:spacing w:line="360" w:lineRule="auto"/>
        <w:jc w:val="both"/>
        <w:rPr>
          <w:rFonts w:ascii="Times New Roman" w:hAnsi="Times New Roman" w:cs="Times New Roman"/>
          <w:b/>
          <w:bCs/>
          <w:sz w:val="24"/>
          <w:szCs w:val="24"/>
        </w:rPr>
      </w:pPr>
      <w:r w:rsidRPr="00A75E6A">
        <w:rPr>
          <w:rFonts w:ascii="Times New Roman" w:hAnsi="Times New Roman" w:cs="Times New Roman"/>
          <w:b/>
          <w:bCs/>
          <w:sz w:val="24"/>
          <w:szCs w:val="24"/>
        </w:rPr>
        <w:t>Assimilation with Familiar Pedagogical Systems</w:t>
      </w:r>
    </w:p>
    <w:p w14:paraId="02C3DD0C" w14:textId="46152DE0"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Effective use of AI in the teaching of computational thinking requires careful alignment with the current pedagogical frameworks (Meyer et al., 2014; Rogers, 2003). Universal Design for Learning has been </w:t>
      </w:r>
      <w:r w:rsidR="00830A3B" w:rsidRPr="000B6CDD">
        <w:rPr>
          <w:rFonts w:ascii="Times New Roman" w:hAnsi="Times New Roman" w:cs="Times New Roman"/>
          <w:sz w:val="24"/>
          <w:szCs w:val="24"/>
        </w:rPr>
        <w:t xml:space="preserve">identified as a key to developing AI-enhanced learning environments that support diverse learners without compromising academic quality (CAST, 2018; </w:t>
      </w:r>
      <w:proofErr w:type="spellStart"/>
      <w:r w:rsidR="00830A3B" w:rsidRPr="000B6CDD">
        <w:rPr>
          <w:rFonts w:ascii="Times New Roman" w:hAnsi="Times New Roman" w:cs="Times New Roman"/>
          <w:sz w:val="24"/>
          <w:szCs w:val="24"/>
        </w:rPr>
        <w:t>Ifenthaler</w:t>
      </w:r>
      <w:proofErr w:type="spellEnd"/>
      <w:r w:rsidR="00830A3B" w:rsidRPr="000B6CDD">
        <w:rPr>
          <w:rFonts w:ascii="Times New Roman" w:hAnsi="Times New Roman" w:cs="Times New Roman"/>
          <w:sz w:val="24"/>
          <w:szCs w:val="24"/>
        </w:rPr>
        <w:t xml:space="preserve"> &amp; </w:t>
      </w:r>
      <w:r w:rsidRPr="000B6CDD">
        <w:rPr>
          <w:rFonts w:ascii="Times New Roman" w:hAnsi="Times New Roman" w:cs="Times New Roman"/>
          <w:sz w:val="24"/>
          <w:szCs w:val="24"/>
        </w:rPr>
        <w:t xml:space="preserve">Schumacher, 2016). Through </w:t>
      </w:r>
      <w:r w:rsidR="00830A3B" w:rsidRPr="000B6CDD">
        <w:rPr>
          <w:rFonts w:ascii="Times New Roman" w:hAnsi="Times New Roman" w:cs="Times New Roman"/>
          <w:sz w:val="24"/>
          <w:szCs w:val="24"/>
        </w:rPr>
        <w:t>diverse representational capabilities, engagement practices, and expression, AI systems may support computational problem-solving across different learning approaches</w:t>
      </w:r>
      <w:r w:rsidRPr="000B6CDD">
        <w:rPr>
          <w:rFonts w:ascii="Times New Roman" w:hAnsi="Times New Roman" w:cs="Times New Roman"/>
          <w:sz w:val="24"/>
          <w:szCs w:val="24"/>
        </w:rPr>
        <w:t>.</w:t>
      </w:r>
    </w:p>
    <w:p w14:paraId="2F03CB89" w14:textId="453B8FBE"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Cognitive Load Theory gives the necessary knowledge on how AI systems can improve and not overload students' cognitive abilities when engaged in activities of computational thinking. (Chandler &amp;</w:t>
      </w:r>
      <w:proofErr w:type="spellStart"/>
      <w:r w:rsidRPr="000B6CDD">
        <w:rPr>
          <w:rFonts w:ascii="Times New Roman" w:hAnsi="Times New Roman" w:cs="Times New Roman"/>
          <w:sz w:val="24"/>
          <w:szCs w:val="24"/>
        </w:rPr>
        <w:t>Sweller</w:t>
      </w:r>
      <w:proofErr w:type="spellEnd"/>
      <w:r w:rsidRPr="000B6CDD">
        <w:rPr>
          <w:rFonts w:ascii="Times New Roman" w:hAnsi="Times New Roman" w:cs="Times New Roman"/>
          <w:sz w:val="24"/>
          <w:szCs w:val="24"/>
        </w:rPr>
        <w:t xml:space="preserve">, 1991; </w:t>
      </w:r>
      <w:proofErr w:type="spellStart"/>
      <w:r w:rsidRPr="000B6CDD">
        <w:rPr>
          <w:rFonts w:ascii="Times New Roman" w:hAnsi="Times New Roman" w:cs="Times New Roman"/>
          <w:sz w:val="24"/>
          <w:szCs w:val="24"/>
        </w:rPr>
        <w:t>Sweller</w:t>
      </w:r>
      <w:proofErr w:type="spellEnd"/>
      <w:r w:rsidRPr="000B6CDD">
        <w:rPr>
          <w:rFonts w:ascii="Times New Roman" w:hAnsi="Times New Roman" w:cs="Times New Roman"/>
          <w:sz w:val="24"/>
          <w:szCs w:val="24"/>
        </w:rPr>
        <w:t xml:space="preserve">, 1988; Clark &amp;Mayer, 2016). The cognitive resources of AI-enhanced learning environments can be effectively controlled, which means that teachers can provide students with the necessary cognitive resources to acquire the basic skills of </w:t>
      </w:r>
      <w:r w:rsidRPr="000B6CDD">
        <w:rPr>
          <w:rFonts w:ascii="Times New Roman" w:hAnsi="Times New Roman" w:cs="Times New Roman"/>
          <w:sz w:val="24"/>
          <w:szCs w:val="24"/>
        </w:rPr>
        <w:lastRenderedPageBreak/>
        <w:t>computational thinking</w:t>
      </w:r>
      <w:r w:rsidR="00830A3B" w:rsidRPr="000B6CDD">
        <w:rPr>
          <w:rFonts w:ascii="Times New Roman" w:hAnsi="Times New Roman" w:cs="Times New Roman"/>
          <w:sz w:val="24"/>
          <w:szCs w:val="24"/>
        </w:rPr>
        <w:t xml:space="preserve">, rather than students being confused by the interface of artificial intelligence or </w:t>
      </w:r>
      <w:r w:rsidRPr="000B6CDD">
        <w:rPr>
          <w:rFonts w:ascii="Times New Roman" w:hAnsi="Times New Roman" w:cs="Times New Roman"/>
          <w:sz w:val="24"/>
          <w:szCs w:val="24"/>
        </w:rPr>
        <w:t xml:space="preserve">flooded by the abundance of AI-generated information. This aspect is especially significant when it comes to teaching students whose technological proficiency </w:t>
      </w:r>
      <w:r w:rsidR="00830A3B" w:rsidRPr="000B6CDD">
        <w:rPr>
          <w:rFonts w:ascii="Times New Roman" w:hAnsi="Times New Roman" w:cs="Times New Roman"/>
          <w:sz w:val="24"/>
          <w:szCs w:val="24"/>
        </w:rPr>
        <w:t>may differ, as well as to acquiring the ability to think computationally while simultaneously becoming AI-literate (</w:t>
      </w:r>
      <w:proofErr w:type="spellStart"/>
      <w:r w:rsidR="00830A3B" w:rsidRPr="000B6CDD">
        <w:rPr>
          <w:rFonts w:ascii="Times New Roman" w:hAnsi="Times New Roman" w:cs="Times New Roman"/>
          <w:sz w:val="24"/>
          <w:szCs w:val="24"/>
        </w:rPr>
        <w:t>Gaševic</w:t>
      </w:r>
      <w:proofErr w:type="spellEnd"/>
      <w:r w:rsidR="00830A3B" w:rsidRPr="000B6CDD">
        <w:rPr>
          <w:rFonts w:ascii="Times New Roman" w:hAnsi="Times New Roman" w:cs="Times New Roman"/>
          <w:sz w:val="24"/>
          <w:szCs w:val="24"/>
        </w:rPr>
        <w:t xml:space="preserve"> et al., 2016; Schumacher &amp; </w:t>
      </w:r>
      <w:proofErr w:type="spellStart"/>
      <w:r w:rsidRPr="000B6CDD">
        <w:rPr>
          <w:rFonts w:ascii="Times New Roman" w:hAnsi="Times New Roman" w:cs="Times New Roman"/>
          <w:sz w:val="24"/>
          <w:szCs w:val="24"/>
        </w:rPr>
        <w:t>Ifenthaler</w:t>
      </w:r>
      <w:proofErr w:type="spellEnd"/>
      <w:r w:rsidRPr="000B6CDD">
        <w:rPr>
          <w:rFonts w:ascii="Times New Roman" w:hAnsi="Times New Roman" w:cs="Times New Roman"/>
          <w:sz w:val="24"/>
          <w:szCs w:val="24"/>
        </w:rPr>
        <w:t>, 2018).</w:t>
      </w:r>
    </w:p>
    <w:p w14:paraId="6BBD0790" w14:textId="4B72929F" w:rsidR="0075014C"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The concept of culturally responsive teaching is indispensable in </w:t>
      </w:r>
      <w:r w:rsidR="009B7DD6" w:rsidRPr="000B6CDD">
        <w:rPr>
          <w:rFonts w:ascii="Times New Roman" w:hAnsi="Times New Roman" w:cs="Times New Roman"/>
          <w:sz w:val="24"/>
          <w:szCs w:val="24"/>
        </w:rPr>
        <w:t>legitimising</w:t>
      </w:r>
      <w:r w:rsidRPr="000B6CDD">
        <w:rPr>
          <w:rFonts w:ascii="Times New Roman" w:hAnsi="Times New Roman" w:cs="Times New Roman"/>
          <w:sz w:val="24"/>
          <w:szCs w:val="24"/>
        </w:rPr>
        <w:t xml:space="preserve"> a variety of experiences that students contribute to the educational practices (Gay, 2018</w:t>
      </w:r>
      <w:r w:rsidR="000304D1">
        <w:rPr>
          <w:rFonts w:ascii="Times New Roman" w:hAnsi="Times New Roman" w:cs="Times New Roman"/>
          <w:sz w:val="24"/>
          <w:szCs w:val="24"/>
        </w:rPr>
        <w:t>)</w:t>
      </w:r>
      <w:r w:rsidRPr="000304D1">
        <w:rPr>
          <w:rFonts w:ascii="Times New Roman" w:hAnsi="Times New Roman" w:cs="Times New Roman"/>
          <w:sz w:val="24"/>
          <w:szCs w:val="24"/>
        </w:rPr>
        <w:t>.</w:t>
      </w:r>
    </w:p>
    <w:p w14:paraId="6FAC84BA" w14:textId="60E92854" w:rsidR="00E246C9"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 The inclusion of elements that have been culturally relevant in AI-enhanced teaching has proven to be an effective way of enhancing student engagement and learning outcomes, especially among underrepresented students. The sensitivity of the reflection of diverse cultural views and approaches to problem-solving issues by AI systems will be crucial in making sure that education practices are inclusive. The combination of the culturally responsive approach and AI-enhanced instruction should be </w:t>
      </w:r>
      <w:r w:rsidR="00E246C9" w:rsidRPr="000B6CDD">
        <w:rPr>
          <w:rFonts w:ascii="Times New Roman" w:hAnsi="Times New Roman" w:cs="Times New Roman"/>
          <w:sz w:val="24"/>
          <w:szCs w:val="24"/>
        </w:rPr>
        <w:t>considered in light of how algorithmic systems can embody diverse cultural views and problem-solving strategies when addressing</w:t>
      </w:r>
      <w:r w:rsidRPr="000B6CDD">
        <w:rPr>
          <w:rFonts w:ascii="Times New Roman" w:hAnsi="Times New Roman" w:cs="Times New Roman"/>
          <w:sz w:val="24"/>
          <w:szCs w:val="24"/>
        </w:rPr>
        <w:t xml:space="preserve"> computational issues (Tondeur et al., 2017; </w:t>
      </w:r>
      <w:r w:rsidR="002B11BB" w:rsidRPr="000B6CDD">
        <w:rPr>
          <w:rFonts w:ascii="Times New Roman" w:hAnsi="Times New Roman" w:cs="Times New Roman"/>
          <w:sz w:val="24"/>
          <w:szCs w:val="24"/>
        </w:rPr>
        <w:t>Parmar et al., 2010).</w:t>
      </w:r>
    </w:p>
    <w:p w14:paraId="12A435F8" w14:textId="664262F4" w:rsidR="00254B3C" w:rsidRPr="000B6CDD" w:rsidRDefault="00254B3C" w:rsidP="00605A72">
      <w:pPr>
        <w:spacing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 xml:space="preserve">AI integration in the </w:t>
      </w:r>
      <w:r w:rsidR="000F3D0B" w:rsidRPr="000B6CDD">
        <w:rPr>
          <w:rFonts w:ascii="Times New Roman" w:hAnsi="Times New Roman" w:cs="Times New Roman"/>
          <w:b/>
          <w:bCs/>
          <w:sz w:val="24"/>
          <w:szCs w:val="24"/>
        </w:rPr>
        <w:t>T</w:t>
      </w:r>
      <w:r w:rsidRPr="000B6CDD">
        <w:rPr>
          <w:rFonts w:ascii="Times New Roman" w:hAnsi="Times New Roman" w:cs="Times New Roman"/>
          <w:b/>
          <w:bCs/>
          <w:sz w:val="24"/>
          <w:szCs w:val="24"/>
        </w:rPr>
        <w:t xml:space="preserve">eaching of </w:t>
      </w:r>
      <w:r w:rsidR="000F3D0B" w:rsidRPr="000B6CDD">
        <w:rPr>
          <w:rFonts w:ascii="Times New Roman" w:hAnsi="Times New Roman" w:cs="Times New Roman"/>
          <w:b/>
          <w:bCs/>
          <w:sz w:val="24"/>
          <w:szCs w:val="24"/>
        </w:rPr>
        <w:t>C</w:t>
      </w:r>
      <w:r w:rsidRPr="000B6CDD">
        <w:rPr>
          <w:rFonts w:ascii="Times New Roman" w:hAnsi="Times New Roman" w:cs="Times New Roman"/>
          <w:b/>
          <w:bCs/>
          <w:sz w:val="24"/>
          <w:szCs w:val="24"/>
        </w:rPr>
        <w:t xml:space="preserve">omputational </w:t>
      </w:r>
      <w:r w:rsidR="000F3D0B" w:rsidRPr="000B6CDD">
        <w:rPr>
          <w:rFonts w:ascii="Times New Roman" w:hAnsi="Times New Roman" w:cs="Times New Roman"/>
          <w:b/>
          <w:bCs/>
          <w:sz w:val="24"/>
          <w:szCs w:val="24"/>
        </w:rPr>
        <w:t>T</w:t>
      </w:r>
      <w:r w:rsidRPr="000B6CDD">
        <w:rPr>
          <w:rFonts w:ascii="Times New Roman" w:hAnsi="Times New Roman" w:cs="Times New Roman"/>
          <w:b/>
          <w:bCs/>
          <w:sz w:val="24"/>
          <w:szCs w:val="24"/>
        </w:rPr>
        <w:t>hinking</w:t>
      </w:r>
    </w:p>
    <w:p w14:paraId="3B1056B0" w14:textId="0853CA45" w:rsidR="00F226C3"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The latest trend of AI integration in the content of teaching computational thinking demonstrates the dynamic nature and complexity of the technological environment, with multiple advanced methods, each with its unique opportunities and drawbacks related to the need to implement it fairly (Zawacki-Richter et al., 2019; Zawacki-Richter &amp;</w:t>
      </w:r>
      <w:r w:rsidR="00632BC6">
        <w:rPr>
          <w:rFonts w:ascii="Times New Roman" w:hAnsi="Times New Roman" w:cs="Times New Roman"/>
          <w:sz w:val="24"/>
          <w:szCs w:val="24"/>
        </w:rPr>
        <w:t xml:space="preserve"> </w:t>
      </w:r>
      <w:r w:rsidRPr="000B6CDD">
        <w:rPr>
          <w:rFonts w:ascii="Times New Roman" w:hAnsi="Times New Roman" w:cs="Times New Roman"/>
          <w:sz w:val="24"/>
          <w:szCs w:val="24"/>
        </w:rPr>
        <w:t xml:space="preserve">Latchem, 2018; Anthology, 2024). Intelligent tutoring systems are one of the most developed applications of using this technology and are designed to deliver customized instructions and feedback based on the needs and learning styles of the students and update them in real-time </w:t>
      </w:r>
      <w:r w:rsidR="009F2D76" w:rsidRPr="000B6CDD">
        <w:rPr>
          <w:rFonts w:ascii="Times New Roman" w:hAnsi="Times New Roman" w:cs="Times New Roman"/>
          <w:sz w:val="24"/>
          <w:szCs w:val="24"/>
        </w:rPr>
        <w:t>(Luckin &amp; Holmes, 2016</w:t>
      </w:r>
      <w:r w:rsidRPr="000B6CDD">
        <w:rPr>
          <w:rFonts w:ascii="Times New Roman" w:hAnsi="Times New Roman" w:cs="Times New Roman"/>
          <w:sz w:val="24"/>
          <w:szCs w:val="24"/>
        </w:rPr>
        <w:t xml:space="preserve">; California State University, 2024). </w:t>
      </w:r>
    </w:p>
    <w:p w14:paraId="672FA39A" w14:textId="77777777" w:rsidR="00701A39"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Adaptive learning platforms are based on machine learning algorithms that </w:t>
      </w:r>
      <w:proofErr w:type="spellStart"/>
      <w:r w:rsidRPr="000B6CDD">
        <w:rPr>
          <w:rFonts w:ascii="Times New Roman" w:hAnsi="Times New Roman" w:cs="Times New Roman"/>
          <w:sz w:val="24"/>
          <w:szCs w:val="24"/>
        </w:rPr>
        <w:t>analyze</w:t>
      </w:r>
      <w:proofErr w:type="spellEnd"/>
      <w:r w:rsidRPr="000B6CDD">
        <w:rPr>
          <w:rFonts w:ascii="Times New Roman" w:hAnsi="Times New Roman" w:cs="Times New Roman"/>
          <w:sz w:val="24"/>
          <w:szCs w:val="24"/>
        </w:rPr>
        <w:t xml:space="preserve"> the data on student performance and can make changes to the instructional content, pace, and difficulty to optimize learning among all students (Gaševi´c et al., 2016; EDUCAUSE, 2024). Investigations show that these platforms have the potential to considerably enhance student engagement and </w:t>
      </w:r>
      <w:r w:rsidR="00F226C3" w:rsidRPr="000B6CDD">
        <w:rPr>
          <w:rFonts w:ascii="Times New Roman" w:hAnsi="Times New Roman" w:cs="Times New Roman"/>
          <w:sz w:val="24"/>
          <w:szCs w:val="24"/>
        </w:rPr>
        <w:t>achievement in computational thinking skills and provide educators with valuable insights into learning patterns and students'</w:t>
      </w:r>
      <w:r w:rsidRPr="000B6CDD">
        <w:rPr>
          <w:rFonts w:ascii="Times New Roman" w:hAnsi="Times New Roman" w:cs="Times New Roman"/>
          <w:sz w:val="24"/>
          <w:szCs w:val="24"/>
        </w:rPr>
        <w:t xml:space="preserve"> areas of weakness when properly designed and implemented (Chen et al., 2020; Faculty Focus, 2025). </w:t>
      </w:r>
    </w:p>
    <w:p w14:paraId="5A298257" w14:textId="77777777" w:rsidR="002F1C00" w:rsidRPr="000B6CDD" w:rsidRDefault="00D808F5"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lastRenderedPageBreak/>
        <w:t>An additional advantage of AI-based assessment tools is their ability to provide instant and precise feedback on tasks involving computational thinking, which human evaluators could not otherwise handle in large student samples</w:t>
      </w:r>
      <w:r w:rsidR="00254B3C" w:rsidRPr="000B6CDD">
        <w:rPr>
          <w:rFonts w:ascii="Times New Roman" w:hAnsi="Times New Roman" w:cs="Times New Roman"/>
          <w:sz w:val="24"/>
          <w:szCs w:val="24"/>
        </w:rPr>
        <w:t xml:space="preserve"> (Perkins et al., 2024; Cotton et al., 2024). Those tools may examine </w:t>
      </w:r>
      <w:r w:rsidRPr="000B6CDD">
        <w:rPr>
          <w:rFonts w:ascii="Times New Roman" w:hAnsi="Times New Roman" w:cs="Times New Roman"/>
          <w:sz w:val="24"/>
          <w:szCs w:val="24"/>
        </w:rPr>
        <w:t>students' code, problem-solving methods, and reasoning patterns to identify areas for improvement and propose specific actions</w:t>
      </w:r>
      <w:r w:rsidR="00254B3C" w:rsidRPr="000B6CDD">
        <w:rPr>
          <w:rFonts w:ascii="Times New Roman" w:hAnsi="Times New Roman" w:cs="Times New Roman"/>
          <w:sz w:val="24"/>
          <w:szCs w:val="24"/>
        </w:rPr>
        <w:t xml:space="preserve">. </w:t>
      </w:r>
    </w:p>
    <w:p w14:paraId="72103E78" w14:textId="1D5BC875" w:rsidR="00254B3C" w:rsidRPr="000B6CDD" w:rsidRDefault="00254B3C" w:rsidP="00605A72">
      <w:pPr>
        <w:spacing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Advantages and Prospects of Enhanced Learning</w:t>
      </w:r>
    </w:p>
    <w:p w14:paraId="74396339" w14:textId="06B449A4"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When applied appropriately, the introduction of AI technologies into computational thinking education has significant advantages that can be used to improve learning experiences of a wide range of student populations (Chen et al., 2020; Chiu, 2021). It is also worth mentioning that the ability of personalization is a considerable strength, and educational experiences can be customized to the personal style of learning, background knowledge, and cultural contexts in a previously unheard-of manner. This individualization is especially beneficial to students who struggle to fit into a one-size-fits-all education system (Roberts et al., 2016; Gaševi´c et al., 2016). Moreover, AI applications provide teachers with rational information about the learning process of students, which allows them to make informed choices in education and implement more specific interventions (Drachsler &amp;</w:t>
      </w:r>
      <w:r w:rsidR="00632BC6">
        <w:rPr>
          <w:rFonts w:ascii="Times New Roman" w:hAnsi="Times New Roman" w:cs="Times New Roman"/>
          <w:sz w:val="24"/>
          <w:szCs w:val="24"/>
        </w:rPr>
        <w:t xml:space="preserve"> </w:t>
      </w:r>
      <w:r w:rsidRPr="000B6CDD">
        <w:rPr>
          <w:rFonts w:ascii="Times New Roman" w:hAnsi="Times New Roman" w:cs="Times New Roman"/>
          <w:sz w:val="24"/>
          <w:szCs w:val="24"/>
        </w:rPr>
        <w:t>Greller, 2016; Pardo &amp;</w:t>
      </w:r>
      <w:r w:rsidR="00632BC6">
        <w:rPr>
          <w:rFonts w:ascii="Times New Roman" w:hAnsi="Times New Roman" w:cs="Times New Roman"/>
          <w:sz w:val="24"/>
          <w:szCs w:val="24"/>
        </w:rPr>
        <w:t xml:space="preserve"> </w:t>
      </w:r>
      <w:r w:rsidRPr="000B6CDD">
        <w:rPr>
          <w:rFonts w:ascii="Times New Roman" w:hAnsi="Times New Roman" w:cs="Times New Roman"/>
          <w:sz w:val="24"/>
          <w:szCs w:val="24"/>
        </w:rPr>
        <w:t xml:space="preserve">Siemens, 2014). Such understandings can spot struggling students before they are left behind, clarify the existing myths among learners, and also help in the curriculum reforms on the basis of real evidence of learning patterns, which will eventually bring about more equitable education. If applied correctly, these abilities can facilitate </w:t>
      </w:r>
      <w:r w:rsidR="001309C1" w:rsidRPr="000B6CDD">
        <w:rPr>
          <w:rFonts w:ascii="Times New Roman" w:hAnsi="Times New Roman" w:cs="Times New Roman"/>
          <w:sz w:val="24"/>
          <w:szCs w:val="24"/>
        </w:rPr>
        <w:t xml:space="preserve">fairer learning outcomes, since each student will have the </w:t>
      </w:r>
      <w:r w:rsidR="00632BC6" w:rsidRPr="000B6CDD">
        <w:rPr>
          <w:rFonts w:ascii="Times New Roman" w:hAnsi="Times New Roman" w:cs="Times New Roman"/>
          <w:sz w:val="24"/>
          <w:szCs w:val="24"/>
        </w:rPr>
        <w:t>assistance</w:t>
      </w:r>
      <w:r w:rsidR="001309C1" w:rsidRPr="000B6CDD">
        <w:rPr>
          <w:rFonts w:ascii="Times New Roman" w:hAnsi="Times New Roman" w:cs="Times New Roman"/>
          <w:sz w:val="24"/>
          <w:szCs w:val="24"/>
        </w:rPr>
        <w:t xml:space="preserve"> they require to succeed in developing</w:t>
      </w:r>
      <w:r w:rsidRPr="000B6CDD">
        <w:rPr>
          <w:rFonts w:ascii="Times New Roman" w:hAnsi="Times New Roman" w:cs="Times New Roman"/>
          <w:sz w:val="24"/>
          <w:szCs w:val="24"/>
        </w:rPr>
        <w:t xml:space="preserve"> computational reasoning (Jones &amp; McCoy, 2019; Prinsloo &amp; Slade, 2017).</w:t>
      </w:r>
    </w:p>
    <w:p w14:paraId="58A0759F" w14:textId="4C00E6E3" w:rsidR="00254B3C" w:rsidRPr="000B6CDD" w:rsidRDefault="00254B3C" w:rsidP="00605A72">
      <w:pPr>
        <w:spacing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Difficulties and Constraints in</w:t>
      </w:r>
      <w:r w:rsidR="00A9495B" w:rsidRPr="000B6CDD">
        <w:rPr>
          <w:rFonts w:ascii="Times New Roman" w:hAnsi="Times New Roman" w:cs="Times New Roman"/>
          <w:b/>
          <w:bCs/>
          <w:sz w:val="24"/>
          <w:szCs w:val="24"/>
        </w:rPr>
        <w:t xml:space="preserve"> AI</w:t>
      </w:r>
      <w:r w:rsidRPr="000B6CDD">
        <w:rPr>
          <w:rFonts w:ascii="Times New Roman" w:hAnsi="Times New Roman" w:cs="Times New Roman"/>
          <w:b/>
          <w:bCs/>
          <w:sz w:val="24"/>
          <w:szCs w:val="24"/>
        </w:rPr>
        <w:t xml:space="preserve"> Implementations</w:t>
      </w:r>
    </w:p>
    <w:p w14:paraId="72C44EF1" w14:textId="77777777" w:rsidR="001309C1"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Although the opportunities of AI-enhanced computational thinking education are high, the existing applications are fraught with serious issues, which need to be mitigated to achieve fair educational results (Baker &amp; Hawn, 2022; Adiguzel et al., 2023). </w:t>
      </w:r>
    </w:p>
    <w:p w14:paraId="40819B9E" w14:textId="01D8BC81"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Moreover, the current AI systems have technical disadvantages that make their implementation an unequal process (O’Neill, 2016; King et al., 2020). Most of these systems have difficulty with situational comprehension and the subtle reasoning of the social and ethical aspects of computational thinking, which results in poor coverage of the key aspects of the education process, particularly in the area of ethical reasoning and culturally sensitive problem-solving (European Commission, 2021; Malgieri &amp; Comandé, 2017).</w:t>
      </w:r>
    </w:p>
    <w:p w14:paraId="473BD5CA" w14:textId="77777777" w:rsidR="00254B3C"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lastRenderedPageBreak/>
        <w:t xml:space="preserve">A meta-analysis of AI tutoring systems in STEM education, including several contexts of computational thinking (VanLehn, 2011), demonstrated inconsistencies in effectiveness, especially when the systems were not culturally responsive and did not benefit the first-generation college students and underrepresented minorities. </w:t>
      </w:r>
    </w:p>
    <w:p w14:paraId="4B02D4B6" w14:textId="3F9EFB0E" w:rsidR="004234D6" w:rsidRPr="000B6CDD" w:rsidRDefault="00254B3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The resistance of faculty members to the integration of AI is another issue that is worth discussing and being tackled within the framework of the provided system of professional development and institutional assistance (Adiguzel et al., 2023; Tondeur et al., 2017). Most teachers are worried about the effects of AI on academic honesty, whether AI can substitute human education, and how difficult it is to learn to use AI-related products and remain focused on educational objectives (Bretag et al., 2019; Dawson &amp; Sutherland-Smith, 2018). The effective implementation of AI would involve long-term faculty development, which must deal with the technical skills of AI use in education and the pedagogical consequences of AI (Kotter, 2012; Lancaster &amp; Clarke, 2016).</w:t>
      </w:r>
    </w:p>
    <w:p w14:paraId="17343637" w14:textId="286D7475" w:rsidR="006369B0" w:rsidRPr="000B6CDD" w:rsidRDefault="006369B0" w:rsidP="00605A72">
      <w:pPr>
        <w:spacing w:line="360" w:lineRule="auto"/>
        <w:jc w:val="both"/>
        <w:rPr>
          <w:rFonts w:ascii="Times New Roman" w:hAnsi="Times New Roman" w:cs="Times New Roman"/>
          <w:b/>
          <w:bCs/>
          <w:color w:val="000000" w:themeColor="text1"/>
          <w:sz w:val="24"/>
          <w:szCs w:val="24"/>
        </w:rPr>
      </w:pPr>
      <w:r w:rsidRPr="000B6CDD">
        <w:rPr>
          <w:rFonts w:ascii="Times New Roman" w:hAnsi="Times New Roman" w:cs="Times New Roman"/>
          <w:b/>
          <w:bCs/>
          <w:color w:val="000000" w:themeColor="text1"/>
          <w:sz w:val="24"/>
          <w:szCs w:val="24"/>
        </w:rPr>
        <w:t xml:space="preserve">Frameworks for </w:t>
      </w:r>
      <w:r w:rsidR="00FE2335" w:rsidRPr="000B6CDD">
        <w:rPr>
          <w:rFonts w:ascii="Times New Roman" w:hAnsi="Times New Roman" w:cs="Times New Roman"/>
          <w:b/>
          <w:bCs/>
          <w:color w:val="000000" w:themeColor="text1"/>
          <w:sz w:val="24"/>
          <w:szCs w:val="24"/>
        </w:rPr>
        <w:t>the Integration of</w:t>
      </w:r>
      <w:r w:rsidRPr="000B6CDD">
        <w:rPr>
          <w:rFonts w:ascii="Times New Roman" w:hAnsi="Times New Roman" w:cs="Times New Roman"/>
          <w:b/>
          <w:bCs/>
          <w:color w:val="000000" w:themeColor="text1"/>
          <w:sz w:val="24"/>
          <w:szCs w:val="24"/>
        </w:rPr>
        <w:t xml:space="preserve"> AI Implementation</w:t>
      </w:r>
    </w:p>
    <w:p w14:paraId="6FE137BB" w14:textId="142CAA6A" w:rsidR="005266DD" w:rsidRPr="000B6CDD" w:rsidRDefault="005266DD"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The transformation of ethical concepts into practical application necessitates systematic frameworks that tackle the complicated nature of educational settings while prioritizing equity outcomes (American Association of University Professors, 2023; California State University, 2024). A thorough context analysis (Table 2) underpins ethical AI implementation, </w:t>
      </w:r>
      <w:r w:rsidR="004234D6" w:rsidRPr="000B6CDD">
        <w:rPr>
          <w:rFonts w:ascii="Times New Roman" w:hAnsi="Times New Roman" w:cs="Times New Roman"/>
          <w:color w:val="000000" w:themeColor="text1"/>
          <w:sz w:val="24"/>
          <w:szCs w:val="24"/>
        </w:rPr>
        <w:t>which entails a systematic evaluation of the computational thinking learning environment</w:t>
      </w:r>
      <w:r w:rsidRPr="000B6CDD">
        <w:rPr>
          <w:rFonts w:ascii="Times New Roman" w:hAnsi="Times New Roman" w:cs="Times New Roman"/>
          <w:color w:val="000000" w:themeColor="text1"/>
          <w:sz w:val="24"/>
          <w:szCs w:val="24"/>
        </w:rPr>
        <w:t xml:space="preserve">. The following includes assessing students' computational abilities, evaluating the inclusivity of the existing curriculum, identifying cultural and contextual factors influencing computational learning, and </w:t>
      </w:r>
      <w:proofErr w:type="spellStart"/>
      <w:r w:rsidRPr="000B6CDD">
        <w:rPr>
          <w:rFonts w:ascii="Times New Roman" w:hAnsi="Times New Roman" w:cs="Times New Roman"/>
          <w:color w:val="000000" w:themeColor="text1"/>
          <w:sz w:val="24"/>
          <w:szCs w:val="24"/>
        </w:rPr>
        <w:t>analyzing</w:t>
      </w:r>
      <w:proofErr w:type="spellEnd"/>
      <w:r w:rsidRPr="000B6CDD">
        <w:rPr>
          <w:rFonts w:ascii="Times New Roman" w:hAnsi="Times New Roman" w:cs="Times New Roman"/>
          <w:color w:val="000000" w:themeColor="text1"/>
          <w:sz w:val="24"/>
          <w:szCs w:val="24"/>
        </w:rPr>
        <w:t xml:space="preserve"> institutional policies related to AI usage in educational contexts.</w:t>
      </w:r>
    </w:p>
    <w:p w14:paraId="29A0930D" w14:textId="2CCEBEFE" w:rsidR="00DF5AC0" w:rsidRPr="000B6CDD" w:rsidRDefault="00604A04"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This context-based analysis must encompass more than mere demographic data collection; it should incorporate an understanding of students' previous experiences with computational thinking, their cultural methodologies for problem resolution, their confidence with AI technologies, and their apprehensions regarding privacy and algorithmic equity </w:t>
      </w:r>
      <w:r w:rsidR="000304D1">
        <w:rPr>
          <w:rFonts w:ascii="Times New Roman" w:hAnsi="Times New Roman" w:cs="Times New Roman"/>
          <w:color w:val="000000" w:themeColor="text1"/>
          <w:sz w:val="24"/>
          <w:szCs w:val="24"/>
        </w:rPr>
        <w:t>(</w:t>
      </w:r>
      <w:r w:rsidRPr="000B6CDD">
        <w:rPr>
          <w:rFonts w:ascii="Times New Roman" w:hAnsi="Times New Roman" w:cs="Times New Roman"/>
          <w:color w:val="000000" w:themeColor="text1"/>
          <w:sz w:val="24"/>
          <w:szCs w:val="24"/>
        </w:rPr>
        <w:t xml:space="preserve">EDUCAUSE, 2024). </w:t>
      </w:r>
      <w:r w:rsidR="00DF5AC0" w:rsidRPr="000B6CDD">
        <w:rPr>
          <w:rFonts w:ascii="Times New Roman" w:hAnsi="Times New Roman" w:cs="Times New Roman"/>
          <w:color w:val="000000" w:themeColor="text1"/>
          <w:sz w:val="24"/>
          <w:szCs w:val="24"/>
        </w:rPr>
        <w:t xml:space="preserve">Thorough context analysis </w:t>
      </w:r>
      <w:r w:rsidR="00E36D1C" w:rsidRPr="000B6CDD">
        <w:rPr>
          <w:rFonts w:ascii="Times New Roman" w:hAnsi="Times New Roman" w:cs="Times New Roman"/>
          <w:color w:val="000000" w:themeColor="text1"/>
          <w:sz w:val="24"/>
          <w:szCs w:val="24"/>
        </w:rPr>
        <w:t>requires assessing institutional culture and resources, including faculty readiness for AI integration, the availability of technological support systems, and the institution's commitment</w:t>
      </w:r>
      <w:r w:rsidR="00DF5AC0" w:rsidRPr="000B6CDD">
        <w:rPr>
          <w:rFonts w:ascii="Times New Roman" w:hAnsi="Times New Roman" w:cs="Times New Roman"/>
          <w:color w:val="000000" w:themeColor="text1"/>
          <w:sz w:val="24"/>
          <w:szCs w:val="24"/>
        </w:rPr>
        <w:t xml:space="preserve"> to equal opportunity in computational education (Holmes et al., 2022; Faculty Focus, 2025). </w:t>
      </w:r>
    </w:p>
    <w:p w14:paraId="0A65D620" w14:textId="26CC9E7C" w:rsidR="00FA13A5" w:rsidRPr="000B6CDD" w:rsidRDefault="00562CC1"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Collaborative goal setting formulates learning objectives that consider individual computational thinking advancement and human–AI collaborative results, while maintaining </w:t>
      </w:r>
      <w:r w:rsidRPr="000B6CDD">
        <w:rPr>
          <w:rFonts w:ascii="Times New Roman" w:hAnsi="Times New Roman" w:cs="Times New Roman"/>
          <w:color w:val="000000" w:themeColor="text1"/>
          <w:sz w:val="24"/>
          <w:szCs w:val="24"/>
        </w:rPr>
        <w:lastRenderedPageBreak/>
        <w:t>alignment with equality objectives and institutional principles</w:t>
      </w:r>
      <w:r w:rsidR="00A174E2" w:rsidRPr="000B6CDD">
        <w:rPr>
          <w:rFonts w:ascii="Times New Roman" w:hAnsi="Times New Roman" w:cs="Times New Roman"/>
          <w:color w:val="000000" w:themeColor="text1"/>
          <w:sz w:val="24"/>
          <w:szCs w:val="24"/>
        </w:rPr>
        <w:t xml:space="preserve"> </w:t>
      </w:r>
      <w:r w:rsidRPr="000B6CDD">
        <w:rPr>
          <w:rFonts w:ascii="Times New Roman" w:hAnsi="Times New Roman" w:cs="Times New Roman"/>
          <w:color w:val="000000" w:themeColor="text1"/>
          <w:sz w:val="24"/>
          <w:szCs w:val="24"/>
        </w:rPr>
        <w:t xml:space="preserve">(Jin et al., 2025; Chan, 2023). </w:t>
      </w:r>
      <w:r w:rsidR="00FA13A5" w:rsidRPr="000B6CDD">
        <w:rPr>
          <w:rFonts w:ascii="Times New Roman" w:hAnsi="Times New Roman" w:cs="Times New Roman"/>
          <w:color w:val="000000" w:themeColor="text1"/>
          <w:sz w:val="24"/>
          <w:szCs w:val="24"/>
        </w:rPr>
        <w:t xml:space="preserve">These objectives must encompass conventional computational thinking </w:t>
      </w:r>
      <w:r w:rsidR="006E5646" w:rsidRPr="000B6CDD">
        <w:rPr>
          <w:rFonts w:ascii="Times New Roman" w:hAnsi="Times New Roman" w:cs="Times New Roman"/>
          <w:color w:val="000000" w:themeColor="text1"/>
          <w:sz w:val="24"/>
          <w:szCs w:val="24"/>
        </w:rPr>
        <w:t>competencies</w:t>
      </w:r>
      <w:r w:rsidR="00FA13A5" w:rsidRPr="000B6CDD">
        <w:rPr>
          <w:rFonts w:ascii="Times New Roman" w:hAnsi="Times New Roman" w:cs="Times New Roman"/>
          <w:color w:val="000000" w:themeColor="text1"/>
          <w:sz w:val="24"/>
          <w:szCs w:val="24"/>
        </w:rPr>
        <w:t xml:space="preserve"> while integrating AI cooperation skills, critical assessment abilities, and ethical thinking in computational decision-making. The collaborative approach to objective setting </w:t>
      </w:r>
      <w:r w:rsidR="00E36D1C" w:rsidRPr="000B6CDD">
        <w:rPr>
          <w:rFonts w:ascii="Times New Roman" w:hAnsi="Times New Roman" w:cs="Times New Roman"/>
          <w:color w:val="000000" w:themeColor="text1"/>
          <w:sz w:val="24"/>
          <w:szCs w:val="24"/>
        </w:rPr>
        <w:t>ensures that goals reflect institutional interests, student needs, and community values, fostering collective ownership of AI integration outcomes</w:t>
      </w:r>
      <w:r w:rsidR="00FA13A5" w:rsidRPr="000B6CDD">
        <w:rPr>
          <w:rFonts w:ascii="Times New Roman" w:hAnsi="Times New Roman" w:cs="Times New Roman"/>
          <w:color w:val="000000" w:themeColor="text1"/>
          <w:sz w:val="24"/>
          <w:szCs w:val="24"/>
        </w:rPr>
        <w:t xml:space="preserve"> (Ruffalo Noel Levitz, 2025; Anthology, 2024).</w:t>
      </w:r>
    </w:p>
    <w:p w14:paraId="3162AA74" w14:textId="28351985" w:rsidR="006E5646" w:rsidRPr="000B6CDD" w:rsidRDefault="00FA13A5"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Adaptive development procedures generate educational resources and activities that address varied computational learning requirements while upholding high expectations for all learners (Koehler &amp; Mishra, 2009). </w:t>
      </w:r>
      <w:r w:rsidR="00BE198E" w:rsidRPr="000B6CDD">
        <w:rPr>
          <w:rFonts w:ascii="Times New Roman" w:hAnsi="Times New Roman" w:cs="Times New Roman"/>
          <w:color w:val="000000" w:themeColor="text1"/>
          <w:sz w:val="24"/>
          <w:szCs w:val="24"/>
        </w:rPr>
        <w:t xml:space="preserve">Developing AI-compatible computational content that represents a range of viewpoints and problem domains, establishing interaction protocols that protect learner autonomy and choice, </w:t>
      </w:r>
      <w:r w:rsidR="00E36D1C" w:rsidRPr="000B6CDD">
        <w:rPr>
          <w:rFonts w:ascii="Times New Roman" w:hAnsi="Times New Roman" w:cs="Times New Roman"/>
          <w:color w:val="000000" w:themeColor="text1"/>
          <w:sz w:val="24"/>
          <w:szCs w:val="24"/>
        </w:rPr>
        <w:t>implementing quality assurance procedures for AI-generated educational content, and developing assessment tools that evaluate</w:t>
      </w:r>
      <w:r w:rsidR="00BE198E" w:rsidRPr="000B6CDD">
        <w:rPr>
          <w:rFonts w:ascii="Times New Roman" w:hAnsi="Times New Roman" w:cs="Times New Roman"/>
          <w:color w:val="000000" w:themeColor="text1"/>
          <w:sz w:val="24"/>
          <w:szCs w:val="24"/>
        </w:rPr>
        <w:t xml:space="preserve"> both individual computational thinking advancement and collaborative problem-solving outcomes are all examples of this adaptation. These procedures' adaptability </w:t>
      </w:r>
      <w:r w:rsidR="00E36D1C" w:rsidRPr="000B6CDD">
        <w:rPr>
          <w:rFonts w:ascii="Times New Roman" w:hAnsi="Times New Roman" w:cs="Times New Roman"/>
          <w:color w:val="000000" w:themeColor="text1"/>
          <w:sz w:val="24"/>
          <w:szCs w:val="24"/>
        </w:rPr>
        <w:t>ensures that AI integration can adapt to evolving student requirements and technological capabilities while maintaining fair outcomes</w:t>
      </w:r>
      <w:r w:rsidR="00BE198E" w:rsidRPr="000B6CDD">
        <w:rPr>
          <w:rFonts w:ascii="Times New Roman" w:hAnsi="Times New Roman" w:cs="Times New Roman"/>
          <w:color w:val="000000" w:themeColor="text1"/>
          <w:sz w:val="24"/>
          <w:szCs w:val="24"/>
        </w:rPr>
        <w:t xml:space="preserve"> </w:t>
      </w:r>
      <w:r w:rsidR="00BE198E" w:rsidRPr="000B6CDD">
        <w:rPr>
          <w:rFonts w:ascii="Times New Roman" w:hAnsi="Times New Roman" w:cs="Times New Roman"/>
          <w:sz w:val="24"/>
          <w:szCs w:val="24"/>
        </w:rPr>
        <w:t xml:space="preserve">(Gay, 2018; Paris &amp; Alim, 2017). </w:t>
      </w:r>
    </w:p>
    <w:p w14:paraId="70CA1525" w14:textId="77777777" w:rsidR="00E25811" w:rsidRPr="000B6CDD" w:rsidRDefault="006369B0" w:rsidP="00E25811">
      <w:pPr>
        <w:rPr>
          <w:rFonts w:ascii="Times New Roman" w:hAnsi="Times New Roman" w:cs="Times New Roman"/>
          <w:sz w:val="24"/>
          <w:szCs w:val="24"/>
          <w:lang w:val="en-US"/>
        </w:rPr>
      </w:pPr>
      <w:r w:rsidRPr="000B6CDD">
        <w:rPr>
          <w:rFonts w:ascii="Times New Roman" w:hAnsi="Times New Roman" w:cs="Times New Roman"/>
          <w:color w:val="000000" w:themeColor="text1"/>
          <w:sz w:val="24"/>
          <w:szCs w:val="24"/>
        </w:rPr>
        <w:t xml:space="preserve">Table </w:t>
      </w:r>
      <w:r w:rsidR="00F94EDE" w:rsidRPr="000B6CDD">
        <w:rPr>
          <w:rFonts w:ascii="Times New Roman" w:hAnsi="Times New Roman" w:cs="Times New Roman"/>
          <w:color w:val="000000" w:themeColor="text1"/>
          <w:sz w:val="24"/>
          <w:szCs w:val="24"/>
        </w:rPr>
        <w:t>1</w:t>
      </w:r>
      <w:r w:rsidRPr="000B6CDD">
        <w:rPr>
          <w:rFonts w:ascii="Times New Roman" w:hAnsi="Times New Roman" w:cs="Times New Roman"/>
          <w:color w:val="000000" w:themeColor="text1"/>
          <w:sz w:val="24"/>
          <w:szCs w:val="24"/>
        </w:rPr>
        <w:t xml:space="preserve">. </w:t>
      </w:r>
      <w:r w:rsidR="006E5646" w:rsidRPr="000B6CDD">
        <w:rPr>
          <w:rFonts w:ascii="Times New Roman" w:hAnsi="Times New Roman" w:cs="Times New Roman"/>
          <w:color w:val="000000" w:themeColor="text1"/>
          <w:sz w:val="24"/>
          <w:szCs w:val="24"/>
        </w:rPr>
        <w:t xml:space="preserve"> </w:t>
      </w:r>
      <w:r w:rsidRPr="000B6CDD">
        <w:rPr>
          <w:rFonts w:ascii="Times New Roman" w:hAnsi="Times New Roman" w:cs="Times New Roman"/>
          <w:color w:val="000000" w:themeColor="text1"/>
          <w:sz w:val="24"/>
          <w:szCs w:val="24"/>
        </w:rPr>
        <w:t>Framework-to-Practice Mapping for AI-Enhanced CT Education</w:t>
      </w:r>
      <w:r w:rsidR="00E25811" w:rsidRPr="000B6CDD">
        <w:rPr>
          <w:rFonts w:ascii="Times New Roman" w:hAnsi="Times New Roman" w:cs="Times New Roman"/>
          <w:color w:val="000000" w:themeColor="text1"/>
          <w:sz w:val="24"/>
          <w:szCs w:val="24"/>
        </w:rPr>
        <w:t xml:space="preserve"> </w:t>
      </w:r>
      <w:r w:rsidR="00E25811" w:rsidRPr="000B6CDD">
        <w:rPr>
          <w:rFonts w:ascii="Times New Roman" w:hAnsi="Times New Roman" w:cs="Times New Roman"/>
          <w:sz w:val="24"/>
          <w:szCs w:val="24"/>
          <w:lang w:val="en-US"/>
        </w:rPr>
        <w:fldChar w:fldCharType="begin"/>
      </w:r>
      <w:r w:rsidR="00E25811" w:rsidRPr="000B6CDD">
        <w:rPr>
          <w:rFonts w:ascii="Times New Roman" w:hAnsi="Times New Roman" w:cs="Times New Roman"/>
          <w:sz w:val="24"/>
          <w:szCs w:val="24"/>
          <w:lang w:val="en-US"/>
        </w:rPr>
        <w:instrText xml:space="preserve"> ADDIN ZOTERO_ITEM CSL_CITATION {"citationID":"3i1lOFrC","properties":{"formattedCitation":"(Chick, 2025)","plainCitation":"(Chick, 2025)","noteIndex":0},"citationItems":[{"id":994,"uris":["http://zotero.org/users/local/mGAXUzr8/items/B6B3VV2Q"],"itemData":{"id":994,"type":"article-journal","abstract":"The rapid integration of artificial intelligence technologies into higher education presents unprecedented opportunities for enhancing computational thinking development while simultaneously raising significant concerns about educational equity and algorithmic bias. This comprehensive review examines the intersection of AI integration, computational thinking pedagogy, and diversity, equity, and inclusion imperatives in higher education through a comprehensive narrative review of 167 sources of current literature and theoretical frameworks. From distilling principles from Human–AI Symbiotic Theory (HAIST) and established pedagogical integration models, this review synthesizes evidence-based strategies for ensuring that AI-enhanced computational thinking environments advance rather than undermine educational equity. The analysis reveals that effective AI integration in computational thinking education requires comprehensive frameworks that integrate ethical AI governance with pedagogical design principles, creating practical guidance for institutions seeking to harness AI’s potential while protecting historically marginalized students from algorithmic discrimination. This review contributes to the growing body of knowledge on responsible AI implementation in educational settings and provides actionable recommendations for educators, researchers, and policymakers working to create more effective, engaging, and equitable AI-enhanced learning environments.","container-title":"Education Sciences","DOI":"10.3390/educsci15111515","journalAbbreviation":"Education Sciences","page":"1515","source":"ResearchGate","title":"AI-Enhanced Computational Thinking: A Comprehensive Review of Ethical Frameworks and Pedagogical Integration for Equitable Higher Education","title-short":"AI-Enhanced Computational Thinking","volume":"15","author":[{"family":"Chick","given":"John"}],"issued":{"date-parts":[["2025",11,10]]}}}],"schema":"https://github.com/citation-style-language/schema/raw/master/csl-citation.json"} </w:instrText>
      </w:r>
      <w:r w:rsidR="00E25811" w:rsidRPr="000B6CDD">
        <w:rPr>
          <w:rFonts w:ascii="Times New Roman" w:hAnsi="Times New Roman" w:cs="Times New Roman"/>
          <w:sz w:val="24"/>
          <w:szCs w:val="24"/>
          <w:lang w:val="en-US"/>
        </w:rPr>
        <w:fldChar w:fldCharType="separate"/>
      </w:r>
      <w:r w:rsidR="00E25811" w:rsidRPr="000B6CDD">
        <w:rPr>
          <w:rFonts w:ascii="Times New Roman" w:hAnsi="Times New Roman" w:cs="Times New Roman"/>
          <w:sz w:val="24"/>
          <w:szCs w:val="24"/>
        </w:rPr>
        <w:t>(Chick, 2025)</w:t>
      </w:r>
      <w:r w:rsidR="00E25811" w:rsidRPr="000B6CDD">
        <w:rPr>
          <w:rFonts w:ascii="Times New Roman" w:hAnsi="Times New Roman" w:cs="Times New Roman"/>
          <w:sz w:val="24"/>
          <w:szCs w:val="24"/>
          <w:lang w:val="en-US"/>
        </w:rPr>
        <w:fldChar w:fldCharType="end"/>
      </w:r>
    </w:p>
    <w:p w14:paraId="4DFEF60A" w14:textId="6A928990" w:rsidR="006369B0" w:rsidRPr="000B6CDD" w:rsidRDefault="00421ED3" w:rsidP="00605A72">
      <w:pPr>
        <w:spacing w:line="360" w:lineRule="auto"/>
        <w:ind w:left="-227"/>
        <w:jc w:val="both"/>
        <w:rPr>
          <w:rFonts w:ascii="Times New Roman" w:hAnsi="Times New Roman" w:cs="Times New Roman"/>
          <w:b/>
          <w:bCs/>
          <w:color w:val="EE0000"/>
          <w:sz w:val="24"/>
          <w:szCs w:val="24"/>
        </w:rPr>
      </w:pPr>
      <w:r w:rsidRPr="000B6CDD">
        <w:rPr>
          <w:rFonts w:ascii="Times New Roman" w:hAnsi="Times New Roman" w:cs="Times New Roman"/>
          <w:b/>
          <w:bCs/>
          <w:noProof/>
          <w:color w:val="EE0000"/>
          <w:sz w:val="24"/>
          <w:szCs w:val="24"/>
        </w:rPr>
        <w:drawing>
          <wp:inline distT="0" distB="0" distL="0" distR="0" wp14:anchorId="12B445D0" wp14:editId="2D16722C">
            <wp:extent cx="5991860" cy="4105275"/>
            <wp:effectExtent l="0" t="0" r="8890" b="9525"/>
            <wp:docPr id="2042393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93275" name="Picture 20423932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1054" cy="4138980"/>
                    </a:xfrm>
                    <a:prstGeom prst="rect">
                      <a:avLst/>
                    </a:prstGeom>
                  </pic:spPr>
                </pic:pic>
              </a:graphicData>
            </a:graphic>
          </wp:inline>
        </w:drawing>
      </w:r>
    </w:p>
    <w:p w14:paraId="1CF5DCD8" w14:textId="77777777" w:rsidR="009C2B38" w:rsidRDefault="004F7988"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lastRenderedPageBreak/>
        <w:t>New methods to institutional decision-making that prioritize equitable issues while fostering educational innovation and efficacy are necessary for efficient management structures for integrating artificial intelligence in computational thinking education (</w:t>
      </w:r>
      <w:r w:rsidR="00471F35" w:rsidRPr="000B6CDD">
        <w:rPr>
          <w:rFonts w:ascii="Times New Roman" w:hAnsi="Times New Roman" w:cs="Times New Roman"/>
          <w:sz w:val="24"/>
          <w:szCs w:val="24"/>
        </w:rPr>
        <w:t>Winfield &amp;</w:t>
      </w:r>
      <w:proofErr w:type="spellStart"/>
      <w:r w:rsidR="00471F35" w:rsidRPr="000B6CDD">
        <w:rPr>
          <w:rFonts w:ascii="Times New Roman" w:hAnsi="Times New Roman" w:cs="Times New Roman"/>
          <w:sz w:val="24"/>
          <w:szCs w:val="24"/>
        </w:rPr>
        <w:t>Jirotka</w:t>
      </w:r>
      <w:proofErr w:type="spellEnd"/>
      <w:r w:rsidR="00471F35" w:rsidRPr="000B6CDD">
        <w:rPr>
          <w:rFonts w:ascii="Times New Roman" w:hAnsi="Times New Roman" w:cs="Times New Roman"/>
          <w:sz w:val="24"/>
          <w:szCs w:val="24"/>
        </w:rPr>
        <w:t>, 2018</w:t>
      </w:r>
      <w:r w:rsidRPr="000B6CDD">
        <w:rPr>
          <w:rFonts w:ascii="Times New Roman" w:hAnsi="Times New Roman" w:cs="Times New Roman"/>
          <w:color w:val="000000" w:themeColor="text1"/>
          <w:sz w:val="24"/>
          <w:szCs w:val="24"/>
        </w:rPr>
        <w:t>). For institutional management committees to successfully handle the intricate issues of fair AI integration in educational contexts, they must have a variety of viewpoints and special</w:t>
      </w:r>
      <w:r w:rsidR="00132AB3">
        <w:rPr>
          <w:rFonts w:ascii="Times New Roman" w:hAnsi="Times New Roman" w:cs="Times New Roman"/>
          <w:color w:val="000000" w:themeColor="text1"/>
          <w:sz w:val="24"/>
          <w:szCs w:val="24"/>
        </w:rPr>
        <w:t>i</w:t>
      </w:r>
      <w:r w:rsidRPr="000B6CDD">
        <w:rPr>
          <w:rFonts w:ascii="Times New Roman" w:hAnsi="Times New Roman" w:cs="Times New Roman"/>
          <w:color w:val="000000" w:themeColor="text1"/>
          <w:sz w:val="24"/>
          <w:szCs w:val="24"/>
        </w:rPr>
        <w:t>ties (American Association of University Professors, 2023; Government of Canada, 2023).</w:t>
      </w:r>
      <w:r w:rsidR="008E2A3F" w:rsidRPr="000B6CDD">
        <w:rPr>
          <w:rFonts w:ascii="Times New Roman" w:hAnsi="Times New Roman" w:cs="Times New Roman"/>
          <w:color w:val="000000" w:themeColor="text1"/>
          <w:sz w:val="24"/>
          <w:szCs w:val="24"/>
        </w:rPr>
        <w:t xml:space="preserve"> In order to safeguard student privacy and uphold acceptable confidentiality, transparency and accountability procedures must offer clear visibility into AI system operations and decision-making processes</w:t>
      </w:r>
      <w:r w:rsidR="009C2B38">
        <w:rPr>
          <w:rFonts w:ascii="Times New Roman" w:hAnsi="Times New Roman" w:cs="Times New Roman"/>
          <w:color w:val="000000" w:themeColor="text1"/>
          <w:sz w:val="24"/>
          <w:szCs w:val="24"/>
        </w:rPr>
        <w:t>.</w:t>
      </w:r>
    </w:p>
    <w:p w14:paraId="71E9D668" w14:textId="037790AD" w:rsidR="00B13EC9" w:rsidRPr="000B6CDD" w:rsidRDefault="004F7988"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b/>
          <w:bCs/>
          <w:sz w:val="24"/>
          <w:szCs w:val="24"/>
        </w:rPr>
        <w:t>Integration of AI through Pedagogical Strategies</w:t>
      </w:r>
    </w:p>
    <w:p w14:paraId="6E5B5289" w14:textId="73FEFC7D" w:rsidR="00B13EC9" w:rsidRPr="00A75E6A" w:rsidRDefault="00FE2335" w:rsidP="00A75E6A">
      <w:pPr>
        <w:pStyle w:val="ListParagraph"/>
        <w:numPr>
          <w:ilvl w:val="0"/>
          <w:numId w:val="4"/>
        </w:numPr>
        <w:spacing w:line="360" w:lineRule="auto"/>
        <w:jc w:val="both"/>
        <w:rPr>
          <w:rFonts w:ascii="Times New Roman" w:hAnsi="Times New Roman" w:cs="Times New Roman"/>
          <w:b/>
          <w:bCs/>
          <w:color w:val="000000" w:themeColor="text1"/>
          <w:sz w:val="24"/>
          <w:szCs w:val="24"/>
        </w:rPr>
      </w:pPr>
      <w:r w:rsidRPr="00A75E6A">
        <w:rPr>
          <w:rFonts w:ascii="Times New Roman" w:hAnsi="Times New Roman" w:cs="Times New Roman"/>
          <w:b/>
          <w:bCs/>
          <w:color w:val="000000" w:themeColor="text1"/>
          <w:sz w:val="24"/>
          <w:szCs w:val="24"/>
        </w:rPr>
        <w:t xml:space="preserve">Preparation of </w:t>
      </w:r>
      <w:r w:rsidR="00B13EC9" w:rsidRPr="00A75E6A">
        <w:rPr>
          <w:rFonts w:ascii="Times New Roman" w:hAnsi="Times New Roman" w:cs="Times New Roman"/>
          <w:b/>
          <w:bCs/>
          <w:color w:val="000000" w:themeColor="text1"/>
          <w:sz w:val="24"/>
          <w:szCs w:val="24"/>
        </w:rPr>
        <w:t>Faculty Development</w:t>
      </w:r>
    </w:p>
    <w:p w14:paraId="1EFAF733" w14:textId="148E0D02" w:rsidR="00007FDE" w:rsidRPr="000B6CDD" w:rsidRDefault="008E2A3F"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Effective faculty development programs that address both technical AI literacy and cultural competency regarding bias and inclusion in computational education contexts are necessary for the successful deployment of equitable AI-enhanced computational thinking education (Holmes et al., 2022; Zawacki-Richter et al., 2019</w:t>
      </w:r>
      <w:r w:rsidR="0048154B" w:rsidRPr="000B6CDD">
        <w:rPr>
          <w:rFonts w:ascii="Times New Roman" w:hAnsi="Times New Roman" w:cs="Times New Roman"/>
          <w:color w:val="000000" w:themeColor="text1"/>
          <w:sz w:val="24"/>
          <w:szCs w:val="24"/>
        </w:rPr>
        <w:t xml:space="preserve">; </w:t>
      </w:r>
      <w:r w:rsidRPr="000B6CDD">
        <w:rPr>
          <w:rFonts w:ascii="Times New Roman" w:hAnsi="Times New Roman" w:cs="Times New Roman"/>
          <w:color w:val="000000" w:themeColor="text1"/>
          <w:sz w:val="24"/>
          <w:szCs w:val="24"/>
        </w:rPr>
        <w:t xml:space="preserve">Tondeur et al., 2017; Adiguzel et al., 2023). </w:t>
      </w:r>
      <w:r w:rsidR="00007FDE" w:rsidRPr="000B6CDD">
        <w:rPr>
          <w:rFonts w:ascii="Times New Roman" w:hAnsi="Times New Roman" w:cs="Times New Roman"/>
          <w:color w:val="000000" w:themeColor="text1"/>
          <w:sz w:val="24"/>
          <w:szCs w:val="24"/>
        </w:rPr>
        <w:t xml:space="preserve">Integrated competence development must amalgamate computational AI literacy with cultural responsiveness training to enable faculty to comprehend the manifestation of bias in AI systems and to construct AI-enhanced computational learning experiences that effectively cater to various student groups (Koehler &amp; Mishra, 2009; Luckin et al., 2016; Roll &amp; Wylie, 2016). This integration must tackle unconscious prejudice in computational instruction and offer practical solutions for developing inclusive AI-enhanced computational environments that affirm different methodologies in problem-solving and learning (Dignum, 2019; O’Neill, 2016). </w:t>
      </w:r>
    </w:p>
    <w:p w14:paraId="77738888" w14:textId="32B92AF9" w:rsidR="0051361C" w:rsidRPr="000B6CDD" w:rsidRDefault="00007FDE"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Pedagogical integration assistance assists faculty in facilitating efficient human–AI collaboration in computational environments, while prioritizing essential skill development and student agency (Rogers, 2003; Weller, 2020). </w:t>
      </w:r>
      <w:r w:rsidR="0051361C" w:rsidRPr="000B6CDD">
        <w:rPr>
          <w:rFonts w:ascii="Times New Roman" w:hAnsi="Times New Roman" w:cs="Times New Roman"/>
          <w:color w:val="000000" w:themeColor="text1"/>
          <w:sz w:val="24"/>
          <w:szCs w:val="24"/>
        </w:rPr>
        <w:t xml:space="preserve">This support encompasses strategies for harmonizing AI assistance with autonomous skill development, methods for preserving student autonomy in computational problem-solving, techniques for evaluating both individual computational advancement and collaborative results, and approaches for fostering critical evaluation skills regarding AI-generated content and recommendations. Faculty growth must confront the difficulty of utilizing AI tools to augment, rather than supplant, human computational thinking, while guaranteeing that all students benefit from these advancements </w:t>
      </w:r>
      <w:r w:rsidR="0051361C" w:rsidRPr="000B6CDD">
        <w:rPr>
          <w:rFonts w:ascii="Times New Roman" w:hAnsi="Times New Roman" w:cs="Times New Roman"/>
          <w:color w:val="000000" w:themeColor="text1"/>
          <w:sz w:val="24"/>
          <w:szCs w:val="24"/>
        </w:rPr>
        <w:lastRenderedPageBreak/>
        <w:t xml:space="preserve">irrespective of their background or prior preparation Massachusetts Institute of Technology, 2023; Harvard University, 2023). </w:t>
      </w:r>
    </w:p>
    <w:p w14:paraId="3A2EBC4B" w14:textId="43B3D1B7" w:rsidR="0051361C" w:rsidRPr="000B6CDD" w:rsidRDefault="0051361C"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These systems must encompass access to technical support for AI tools and platforms, consultation on pedagogical methodologies and equity issues, resources for mitigating identified biases in classroom applications, communities of practice for exchanging experiences and strategies, and consistent updates on emerging research and best practices in equitable AI integration </w:t>
      </w:r>
      <w:r w:rsidR="001D56CA" w:rsidRPr="000B6CDD">
        <w:rPr>
          <w:rFonts w:ascii="Times New Roman" w:hAnsi="Times New Roman" w:cs="Times New Roman"/>
          <w:color w:val="000000" w:themeColor="text1"/>
          <w:sz w:val="24"/>
          <w:szCs w:val="24"/>
        </w:rPr>
        <w:t>(</w:t>
      </w:r>
      <w:r w:rsidRPr="000B6CDD">
        <w:rPr>
          <w:rFonts w:ascii="Times New Roman" w:hAnsi="Times New Roman" w:cs="Times New Roman"/>
          <w:color w:val="000000" w:themeColor="text1"/>
          <w:sz w:val="24"/>
          <w:szCs w:val="24"/>
        </w:rPr>
        <w:t>EDUCAUSE, 2024; Faculty Focus, 2025</w:t>
      </w:r>
      <w:r w:rsidR="001D56CA" w:rsidRPr="000B6CDD">
        <w:rPr>
          <w:rFonts w:ascii="Times New Roman" w:hAnsi="Times New Roman" w:cs="Times New Roman"/>
          <w:color w:val="000000" w:themeColor="text1"/>
          <w:sz w:val="24"/>
          <w:szCs w:val="24"/>
        </w:rPr>
        <w:t xml:space="preserve">; </w:t>
      </w:r>
      <w:r w:rsidRPr="000B6CDD">
        <w:rPr>
          <w:rFonts w:ascii="Times New Roman" w:hAnsi="Times New Roman" w:cs="Times New Roman"/>
          <w:color w:val="000000" w:themeColor="text1"/>
          <w:sz w:val="24"/>
          <w:szCs w:val="24"/>
        </w:rPr>
        <w:t xml:space="preserve">Anthology, 2024; California State University, 2024). </w:t>
      </w:r>
    </w:p>
    <w:p w14:paraId="0EE34844" w14:textId="7A3854B7" w:rsidR="0051361C" w:rsidRPr="00A75E6A" w:rsidRDefault="0051361C" w:rsidP="00A75E6A">
      <w:pPr>
        <w:pStyle w:val="ListParagraph"/>
        <w:numPr>
          <w:ilvl w:val="0"/>
          <w:numId w:val="4"/>
        </w:numPr>
        <w:spacing w:line="360" w:lineRule="auto"/>
        <w:jc w:val="both"/>
        <w:rPr>
          <w:rFonts w:ascii="Times New Roman" w:hAnsi="Times New Roman" w:cs="Times New Roman"/>
          <w:b/>
          <w:bCs/>
          <w:color w:val="000000" w:themeColor="text1"/>
          <w:sz w:val="24"/>
          <w:szCs w:val="24"/>
        </w:rPr>
      </w:pPr>
      <w:r w:rsidRPr="00A75E6A">
        <w:rPr>
          <w:rFonts w:ascii="Times New Roman" w:hAnsi="Times New Roman" w:cs="Times New Roman"/>
          <w:b/>
          <w:bCs/>
          <w:color w:val="000000" w:themeColor="text1"/>
          <w:sz w:val="24"/>
          <w:szCs w:val="24"/>
        </w:rPr>
        <w:t xml:space="preserve">Student-Centred AI Adoption Strategies </w:t>
      </w:r>
    </w:p>
    <w:p w14:paraId="2AB60E63" w14:textId="1F261374" w:rsidR="00CF68C4" w:rsidRPr="000B6CDD" w:rsidRDefault="0051361C"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Student collaborative design methodologies engage students as authentic collaborators in the development and enhancement of AI systems for computational thinking education, rather than merely soliciting their input on pre-established alternatives (Holstein et al., 2019; Gaševi´c et al., 2016; Sanders &amp; Stappers, 2008; Simonsen &amp; Robertson, 2012; Roberts et al., 2016; Schumacher &amp; </w:t>
      </w:r>
      <w:proofErr w:type="spellStart"/>
      <w:r w:rsidRPr="000B6CDD">
        <w:rPr>
          <w:rFonts w:ascii="Times New Roman" w:hAnsi="Times New Roman" w:cs="Times New Roman"/>
          <w:color w:val="000000" w:themeColor="text1"/>
          <w:sz w:val="24"/>
          <w:szCs w:val="24"/>
        </w:rPr>
        <w:t>Ifenthaler</w:t>
      </w:r>
      <w:proofErr w:type="spellEnd"/>
      <w:r w:rsidRPr="000B6CDD">
        <w:rPr>
          <w:rFonts w:ascii="Times New Roman" w:hAnsi="Times New Roman" w:cs="Times New Roman"/>
          <w:color w:val="000000" w:themeColor="text1"/>
          <w:sz w:val="24"/>
          <w:szCs w:val="24"/>
        </w:rPr>
        <w:t>, 2018</w:t>
      </w:r>
      <w:r w:rsidR="0018668B" w:rsidRPr="000B6CDD">
        <w:rPr>
          <w:rFonts w:ascii="Times New Roman" w:hAnsi="Times New Roman" w:cs="Times New Roman"/>
          <w:color w:val="000000" w:themeColor="text1"/>
          <w:sz w:val="24"/>
          <w:szCs w:val="24"/>
        </w:rPr>
        <w:t xml:space="preserve">; </w:t>
      </w:r>
      <w:proofErr w:type="spellStart"/>
      <w:r w:rsidRPr="000B6CDD">
        <w:rPr>
          <w:rFonts w:ascii="Times New Roman" w:hAnsi="Times New Roman" w:cs="Times New Roman"/>
          <w:color w:val="000000" w:themeColor="text1"/>
          <w:sz w:val="24"/>
          <w:szCs w:val="24"/>
        </w:rPr>
        <w:t>Ifenthaler</w:t>
      </w:r>
      <w:proofErr w:type="spellEnd"/>
      <w:r w:rsidRPr="000B6CDD">
        <w:rPr>
          <w:rFonts w:ascii="Times New Roman" w:hAnsi="Times New Roman" w:cs="Times New Roman"/>
          <w:color w:val="000000" w:themeColor="text1"/>
          <w:sz w:val="24"/>
          <w:szCs w:val="24"/>
        </w:rPr>
        <w:t xml:space="preserve"> &amp; Schumacher, 2016). </w:t>
      </w:r>
      <w:r w:rsidR="00CF68C4" w:rsidRPr="000B6CDD">
        <w:rPr>
          <w:rFonts w:ascii="Times New Roman" w:hAnsi="Times New Roman" w:cs="Times New Roman"/>
          <w:color w:val="000000" w:themeColor="text1"/>
          <w:sz w:val="24"/>
          <w:szCs w:val="24"/>
        </w:rPr>
        <w:t xml:space="preserve">This collaboration is crucial in computational settings where student insights on problem-solving methods, cultural relevance of examples and contexts, and successful learning tactics can greatly enhance system design and efficacy. Student participation in design processes ensures that AI systems embody numerous methodologies of computational thinking and cater to different learning preferences while upholding rigorous standards for all students (Jones &amp; McCoy, 2019; Kasneci et al., 2023; Prinsloo &amp; Slade, 2017; Rudolph et al., 2023). </w:t>
      </w:r>
    </w:p>
    <w:p w14:paraId="0A82E78D" w14:textId="1E379DD8" w:rsidR="00B13EC9" w:rsidRPr="000B6CDD" w:rsidRDefault="00CF68C4"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The programs must be structured to accommodate students with varying levels of prior preparation while offering avenues for all students to cultivate advanced computational thinking skills and AI collaboration competencies that will benefit them in their future academic and professional pursuits (Kasneci et al., 2023; Regan &amp; Jesse, 2019; Rudolph et al., 2023; Chiu, 2021; Akgun &amp; Greenhow, 2022; Slade &amp; Prinsloo, 2013)</w:t>
      </w:r>
      <w:r w:rsidR="005A6942" w:rsidRPr="000B6CDD">
        <w:rPr>
          <w:rFonts w:ascii="Times New Roman" w:hAnsi="Times New Roman" w:cs="Times New Roman"/>
          <w:color w:val="000000" w:themeColor="text1"/>
          <w:sz w:val="24"/>
          <w:szCs w:val="24"/>
        </w:rPr>
        <w:t>.</w:t>
      </w:r>
    </w:p>
    <w:p w14:paraId="17474B92" w14:textId="0A72391D" w:rsidR="00B13EC9" w:rsidRPr="00A75E6A" w:rsidRDefault="00111DFC" w:rsidP="00A75E6A">
      <w:pPr>
        <w:pStyle w:val="ListParagraph"/>
        <w:numPr>
          <w:ilvl w:val="0"/>
          <w:numId w:val="4"/>
        </w:numPr>
        <w:spacing w:line="360" w:lineRule="auto"/>
        <w:jc w:val="both"/>
        <w:rPr>
          <w:rFonts w:ascii="Times New Roman" w:hAnsi="Times New Roman" w:cs="Times New Roman"/>
          <w:b/>
          <w:bCs/>
          <w:color w:val="000000" w:themeColor="text1"/>
          <w:sz w:val="24"/>
          <w:szCs w:val="24"/>
        </w:rPr>
      </w:pPr>
      <w:r w:rsidRPr="00A75E6A">
        <w:rPr>
          <w:rFonts w:ascii="Times New Roman" w:hAnsi="Times New Roman" w:cs="Times New Roman"/>
          <w:b/>
          <w:bCs/>
          <w:color w:val="000000" w:themeColor="text1"/>
          <w:sz w:val="24"/>
          <w:szCs w:val="24"/>
        </w:rPr>
        <w:t xml:space="preserve">AI Implementing Strategy through </w:t>
      </w:r>
      <w:r w:rsidR="00B13EC9" w:rsidRPr="00A75E6A">
        <w:rPr>
          <w:rFonts w:ascii="Times New Roman" w:hAnsi="Times New Roman" w:cs="Times New Roman"/>
          <w:b/>
          <w:bCs/>
          <w:color w:val="000000" w:themeColor="text1"/>
          <w:sz w:val="24"/>
          <w:szCs w:val="24"/>
        </w:rPr>
        <w:t xml:space="preserve">Pedagogical </w:t>
      </w:r>
      <w:r w:rsidRPr="00A75E6A">
        <w:rPr>
          <w:rFonts w:ascii="Times New Roman" w:hAnsi="Times New Roman" w:cs="Times New Roman"/>
          <w:b/>
          <w:bCs/>
          <w:color w:val="000000" w:themeColor="text1"/>
          <w:sz w:val="24"/>
          <w:szCs w:val="24"/>
        </w:rPr>
        <w:t>Approach</w:t>
      </w:r>
    </w:p>
    <w:p w14:paraId="2E160E30" w14:textId="77777777" w:rsidR="00791FB6" w:rsidRPr="000B6CDD" w:rsidRDefault="00791FB6"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Employ a three-phase methodology wherein students initially address computational thinking challenges manually, subsequently utilize AI support for particular subtasks (such as syntax verification or optimization recommendations), and ultimately contemplate the distinctions between human and AI methodologies. This protocol guarantees the development of fundamental skills while enhancing AI collaborative capabilities.</w:t>
      </w:r>
    </w:p>
    <w:p w14:paraId="0FEA7EEB" w14:textId="79542B84" w:rsidR="00791FB6" w:rsidRPr="000B6CDD" w:rsidRDefault="00791FB6"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lastRenderedPageBreak/>
        <w:t xml:space="preserve">Studies on basic programming education indicate that the early introduction of automated tools can hinder metacognitive growth and debugging techniques (Collins et al., 1989). The three-stage procedure guarantees that students cultivate fundamental algorithmic thinking prior to utilizing AI help, aligning with constructionist ideas that emphasize learner-generated comprehension over tool-based answers (Papert &amp; Harel, 1991). Create programming projects that leverage students' cultural understanding and community experiences (Moll et al., 1992; González et al., 2005). Culturally located design tools and ethnomathematics methodologies in computing education have shown enhanced engagement and success among underrepresented students Eglash et al., 2006). </w:t>
      </w:r>
    </w:p>
    <w:p w14:paraId="0073D118" w14:textId="3026024C" w:rsidR="003747D8" w:rsidRPr="000B6CDD" w:rsidRDefault="003747D8"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Students must record interactions with AI systems, detailing the prompts utilized, responses obtained, and conclusions regarding the integration or dismissal of AI recommendations. This method cultivates metacognitive awareness and critical assessment abilities vital for ethical AI collaboration. Metacognitive scaffolding of AI interactions fosters the advancement of critical AI literacy and responsible technology utilization (Ng et al., 2021). Documentation requirements render student reasoning transparent and facilitate the formative assessment of computational thinking skills and ethical decision-making abilities (Denny et al., 2024). </w:t>
      </w:r>
    </w:p>
    <w:p w14:paraId="4B871B25" w14:textId="4AC81056" w:rsidR="003747D8" w:rsidRPr="00A75E6A" w:rsidRDefault="003747D8" w:rsidP="00A75E6A">
      <w:pPr>
        <w:pStyle w:val="ListParagraph"/>
        <w:numPr>
          <w:ilvl w:val="0"/>
          <w:numId w:val="4"/>
        </w:numPr>
        <w:spacing w:line="360" w:lineRule="auto"/>
        <w:jc w:val="both"/>
        <w:rPr>
          <w:rFonts w:ascii="Times New Roman" w:hAnsi="Times New Roman" w:cs="Times New Roman"/>
          <w:b/>
          <w:bCs/>
          <w:color w:val="000000" w:themeColor="text1"/>
          <w:sz w:val="24"/>
          <w:szCs w:val="24"/>
        </w:rPr>
      </w:pPr>
      <w:r w:rsidRPr="00A75E6A">
        <w:rPr>
          <w:rFonts w:ascii="Times New Roman" w:hAnsi="Times New Roman" w:cs="Times New Roman"/>
          <w:b/>
          <w:bCs/>
          <w:color w:val="000000" w:themeColor="text1"/>
          <w:sz w:val="24"/>
          <w:szCs w:val="24"/>
        </w:rPr>
        <w:t xml:space="preserve">Innovations in Curriculum Design and Evaluation </w:t>
      </w:r>
    </w:p>
    <w:p w14:paraId="1E0DAEFB" w14:textId="390B915F" w:rsidR="003747D8" w:rsidRPr="000B6CDD" w:rsidRDefault="003747D8"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 xml:space="preserve">The incorporation of AI technologies into computational thinking education necessitates a fundamental </w:t>
      </w:r>
      <w:proofErr w:type="spellStart"/>
      <w:r w:rsidRPr="000B6CDD">
        <w:rPr>
          <w:rFonts w:ascii="Times New Roman" w:hAnsi="Times New Roman" w:cs="Times New Roman"/>
          <w:color w:val="000000" w:themeColor="text1"/>
          <w:sz w:val="24"/>
          <w:szCs w:val="24"/>
        </w:rPr>
        <w:t>reevaluation</w:t>
      </w:r>
      <w:proofErr w:type="spellEnd"/>
      <w:r w:rsidRPr="000B6CDD">
        <w:rPr>
          <w:rFonts w:ascii="Times New Roman" w:hAnsi="Times New Roman" w:cs="Times New Roman"/>
          <w:color w:val="000000" w:themeColor="text1"/>
          <w:sz w:val="24"/>
          <w:szCs w:val="24"/>
        </w:rPr>
        <w:t xml:space="preserve"> of curriculum design and assessment methodologies Clark &amp; Mayer, 2016; </w:t>
      </w:r>
      <w:proofErr w:type="spellStart"/>
      <w:r w:rsidRPr="000B6CDD">
        <w:rPr>
          <w:rFonts w:ascii="Times New Roman" w:hAnsi="Times New Roman" w:cs="Times New Roman"/>
          <w:color w:val="000000" w:themeColor="text1"/>
          <w:sz w:val="24"/>
          <w:szCs w:val="24"/>
        </w:rPr>
        <w:t>Gašević</w:t>
      </w:r>
      <w:proofErr w:type="spellEnd"/>
      <w:r w:rsidRPr="000B6CDD">
        <w:rPr>
          <w:rFonts w:ascii="Times New Roman" w:hAnsi="Times New Roman" w:cs="Times New Roman"/>
          <w:color w:val="000000" w:themeColor="text1"/>
          <w:sz w:val="24"/>
          <w:szCs w:val="24"/>
        </w:rPr>
        <w:t xml:space="preserve"> et al., 2017). Conventional curricular frameworks may be suboptimal for AI-enhanced learning settings, especially when fairness is prioritized with educational efficacy (Williamson et al., 2020; Tondeur et al., 2017). </w:t>
      </w:r>
    </w:p>
    <w:p w14:paraId="1FCEF5A8" w14:textId="24B73A3B" w:rsidR="003747D8" w:rsidRPr="000B6CDD" w:rsidRDefault="003747D8"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Socially adapted curriculum development incorporates multiple views and problem settings into computational thinking education, utilizing AI capabilities to deliver personalized learning experiences that affirm and enhance students' cultural backgrounds and existing knowledge (Chiu &amp; Chai, 2020. This growth necessitates meticulous consideration of how computational problems are articulated and contextualized, ensuring that examples and applications represent the diversity of student experiences and interests, rather than resorting to limited technical domains that may fail to engage all students effectively. AI sy</w:t>
      </w:r>
      <w:bookmarkStart w:id="0" w:name="_GoBack"/>
      <w:bookmarkEnd w:id="0"/>
      <w:r w:rsidRPr="000B6CDD">
        <w:rPr>
          <w:rFonts w:ascii="Times New Roman" w:hAnsi="Times New Roman" w:cs="Times New Roman"/>
          <w:color w:val="000000" w:themeColor="text1"/>
          <w:sz w:val="24"/>
          <w:szCs w:val="24"/>
        </w:rPr>
        <w:t xml:space="preserve">stems could facilitate this diversification by assisting in the identification of culturally pertinent applications; however, empirical validation of these methodologies within higher education computational thinking </w:t>
      </w:r>
      <w:r w:rsidRPr="000B6CDD">
        <w:rPr>
          <w:rFonts w:ascii="Times New Roman" w:hAnsi="Times New Roman" w:cs="Times New Roman"/>
          <w:color w:val="000000" w:themeColor="text1"/>
          <w:sz w:val="24"/>
          <w:szCs w:val="24"/>
        </w:rPr>
        <w:lastRenderedPageBreak/>
        <w:t xml:space="preserve">contexts is still scarce, particularly regarding the adaptation of content presentation to various cultural contexts and learning </w:t>
      </w:r>
      <w:proofErr w:type="gramStart"/>
      <w:r w:rsidRPr="000B6CDD">
        <w:rPr>
          <w:rFonts w:ascii="Times New Roman" w:hAnsi="Times New Roman" w:cs="Times New Roman"/>
          <w:color w:val="000000" w:themeColor="text1"/>
          <w:sz w:val="24"/>
          <w:szCs w:val="24"/>
        </w:rPr>
        <w:t>preferences</w:t>
      </w:r>
      <w:r w:rsidR="00A21056" w:rsidRPr="000B6CDD">
        <w:rPr>
          <w:rFonts w:ascii="Times New Roman" w:hAnsi="Times New Roman" w:cs="Times New Roman"/>
          <w:color w:val="000000" w:themeColor="text1"/>
          <w:sz w:val="24"/>
          <w:szCs w:val="24"/>
        </w:rPr>
        <w:t>(</w:t>
      </w:r>
      <w:proofErr w:type="gramEnd"/>
      <w:r w:rsidR="00A21056" w:rsidRPr="000B6CDD">
        <w:rPr>
          <w:rFonts w:ascii="Times New Roman" w:hAnsi="Times New Roman" w:cs="Times New Roman"/>
          <w:color w:val="000000" w:themeColor="text1"/>
          <w:sz w:val="24"/>
          <w:szCs w:val="24"/>
        </w:rPr>
        <w:t xml:space="preserve">Akgun &amp; Greenhow, 2022; Holmes et al., 2019). </w:t>
      </w:r>
    </w:p>
    <w:p w14:paraId="2BEA5AC2" w14:textId="2869DD5F" w:rsidR="00A21056" w:rsidRPr="000B6CDD" w:rsidRDefault="00A21056"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color w:val="000000" w:themeColor="text1"/>
          <w:sz w:val="24"/>
          <w:szCs w:val="24"/>
        </w:rPr>
        <w:t>Assessment innovation transcends conventional testing methods to gauge individual computational thinking progression and human–AI cooperation skills, while being attuned to potential biases in evaluation procedures (Perkins et al., 2024; Cotton et al., 2024; International Centre for Academic Integrity, 2021). This innovation encompasses the creation of performance-based assessments that gauge students' proficiency in collaborating with AI systems while exhibiting computational thinking skills, portfolio methodologies that document progress in both individual and collective computational abilities, peer assessment techniques that utilize varied perspectives on the quality of computational problem-solving, and self-reflective practices that foster metacognitive awareness of students' computational learning processes (</w:t>
      </w:r>
      <w:proofErr w:type="spellStart"/>
      <w:r w:rsidRPr="000B6CDD">
        <w:rPr>
          <w:rFonts w:ascii="Times New Roman" w:hAnsi="Times New Roman" w:cs="Times New Roman"/>
          <w:color w:val="000000" w:themeColor="text1"/>
          <w:sz w:val="24"/>
          <w:szCs w:val="24"/>
        </w:rPr>
        <w:t>Amigud</w:t>
      </w:r>
      <w:proofErr w:type="spellEnd"/>
      <w:r w:rsidRPr="000B6CDD">
        <w:rPr>
          <w:rFonts w:ascii="Times New Roman" w:hAnsi="Times New Roman" w:cs="Times New Roman"/>
          <w:color w:val="000000" w:themeColor="text1"/>
          <w:sz w:val="24"/>
          <w:szCs w:val="24"/>
        </w:rPr>
        <w:t xml:space="preserve"> &amp; Lancaster, 2019; Bretag et al., 2019; Dawson &amp; Sutherland-Smith, 2018; Lancaster &amp; Clarke, 2016).</w:t>
      </w:r>
    </w:p>
    <w:p w14:paraId="31245707" w14:textId="73151685" w:rsidR="001943EB" w:rsidRPr="000B6CDD" w:rsidRDefault="001943EB" w:rsidP="00605A72">
      <w:pPr>
        <w:spacing w:line="360" w:lineRule="auto"/>
        <w:jc w:val="both"/>
        <w:rPr>
          <w:rFonts w:ascii="Times New Roman" w:hAnsi="Times New Roman" w:cs="Times New Roman"/>
          <w:color w:val="000000" w:themeColor="text1"/>
          <w:sz w:val="24"/>
          <w:szCs w:val="24"/>
        </w:rPr>
      </w:pPr>
      <w:r w:rsidRPr="000B6CDD">
        <w:rPr>
          <w:rFonts w:ascii="Times New Roman" w:hAnsi="Times New Roman" w:cs="Times New Roman"/>
          <w:b/>
          <w:bCs/>
          <w:color w:val="000000" w:themeColor="text1"/>
          <w:sz w:val="24"/>
          <w:szCs w:val="24"/>
        </w:rPr>
        <w:t>Pedagogical Frameworks for Computational Thinking in Higher Education</w:t>
      </w:r>
      <w:r w:rsidRPr="000B6CDD">
        <w:rPr>
          <w:rFonts w:ascii="Times New Roman" w:hAnsi="Times New Roman" w:cs="Times New Roman"/>
          <w:color w:val="000000" w:themeColor="text1"/>
          <w:sz w:val="24"/>
          <w:szCs w:val="24"/>
        </w:rPr>
        <w:t xml:space="preserve"> </w:t>
      </w:r>
    </w:p>
    <w:p w14:paraId="5356C166" w14:textId="7EBC049B" w:rsidR="001943EB" w:rsidRPr="000B6CDD" w:rsidRDefault="001943EB" w:rsidP="00605A72">
      <w:pPr>
        <w:spacing w:line="360" w:lineRule="auto"/>
        <w:jc w:val="both"/>
        <w:rPr>
          <w:rFonts w:ascii="Times New Roman" w:hAnsi="Times New Roman" w:cs="Times New Roman"/>
          <w:b/>
          <w:bCs/>
          <w:color w:val="000000" w:themeColor="text1"/>
          <w:sz w:val="24"/>
          <w:szCs w:val="24"/>
        </w:rPr>
      </w:pPr>
      <w:r w:rsidRPr="000B6CDD">
        <w:rPr>
          <w:rFonts w:ascii="Times New Roman" w:hAnsi="Times New Roman" w:cs="Times New Roman"/>
          <w:color w:val="000000" w:themeColor="text1"/>
          <w:sz w:val="24"/>
          <w:szCs w:val="24"/>
        </w:rPr>
        <w:t>Execute long projects in which students utilize all four computational thinking talents (decomposition, pattern recognition, abstraction, algorithm design) to address real-world situations. AI technologies can facilitate this methodology by assisting students in identifying pertinent datasets, proposing decomposition strategies, and offering feedback on algorithmic methodologies, all while preserving student autonomy in issue description and solution creation. Problem-based learning has proven successful in cultivating computational thinking abilities while enhancing conceptual grasp and transferability (Govender, 2016; Tsai et al., 2021). The incorporation of AI tools in problem-based learning environments might improve students' capacity to address intricate, real-world issues while emphasizing essential critical thinking competencies (Hsu et al., 2021).</w:t>
      </w:r>
      <w:r w:rsidRPr="000B6CDD">
        <w:rPr>
          <w:rFonts w:ascii="Times New Roman" w:hAnsi="Times New Roman" w:cs="Times New Roman"/>
          <w:b/>
          <w:bCs/>
          <w:color w:val="000000" w:themeColor="text1"/>
          <w:sz w:val="24"/>
          <w:szCs w:val="24"/>
        </w:rPr>
        <w:t xml:space="preserve"> </w:t>
      </w:r>
    </w:p>
    <w:p w14:paraId="4A9E672B" w14:textId="69250A0F" w:rsidR="00FE2335" w:rsidRPr="000B6CDD" w:rsidRDefault="00FE2335" w:rsidP="00605A72">
      <w:pPr>
        <w:spacing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Prospects for Technology Infrastructure and Implementation of AI Adoption</w:t>
      </w:r>
    </w:p>
    <w:p w14:paraId="020736FA" w14:textId="6AF658CC" w:rsidR="006526EA" w:rsidRPr="000B6CDD" w:rsidRDefault="00FE2335"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The execution of equitable AI-driven computational thinking education necessitates meticulous consideration of the technical infrastructure capable of accommodating different student demographics while upholding rigorous requirements for system performance, security, and accessibility (National Institute of Standards and Technology, 2023). </w:t>
      </w:r>
      <w:r w:rsidR="006526EA" w:rsidRPr="000B6CDD">
        <w:rPr>
          <w:rFonts w:ascii="Times New Roman" w:hAnsi="Times New Roman" w:cs="Times New Roman"/>
          <w:sz w:val="24"/>
          <w:szCs w:val="24"/>
        </w:rPr>
        <w:t xml:space="preserve">Technical criteria encompass not only fundamental functionality but also factors such as digital equity, accessibility for students with impairments, and interoperability with various technical resources available to students in their learning contexts. Platform accessibility is a crucial </w:t>
      </w:r>
      <w:r w:rsidR="006526EA" w:rsidRPr="000B6CDD">
        <w:rPr>
          <w:rFonts w:ascii="Times New Roman" w:hAnsi="Times New Roman" w:cs="Times New Roman"/>
          <w:sz w:val="24"/>
          <w:szCs w:val="24"/>
        </w:rPr>
        <w:lastRenderedPageBreak/>
        <w:t>criterion that guarantees AI-enhanced computational thinking tools may be utilized effectively by students with varying abilities and technological resources (CAST, 2018; Meyer et al., 2014</w:t>
      </w:r>
      <w:r w:rsidR="00FA7C17" w:rsidRPr="000B6CDD">
        <w:rPr>
          <w:rFonts w:ascii="Times New Roman" w:hAnsi="Times New Roman" w:cs="Times New Roman"/>
          <w:sz w:val="24"/>
          <w:szCs w:val="24"/>
        </w:rPr>
        <w:t xml:space="preserve">; </w:t>
      </w:r>
      <w:r w:rsidR="006526EA" w:rsidRPr="000B6CDD">
        <w:rPr>
          <w:rFonts w:ascii="Times New Roman" w:hAnsi="Times New Roman" w:cs="Times New Roman"/>
          <w:sz w:val="24"/>
          <w:szCs w:val="24"/>
        </w:rPr>
        <w:t>Singapore Government, 2020</w:t>
      </w:r>
      <w:r w:rsidR="00FA7C17" w:rsidRPr="000B6CDD">
        <w:rPr>
          <w:rFonts w:ascii="Times New Roman" w:hAnsi="Times New Roman" w:cs="Times New Roman"/>
          <w:sz w:val="24"/>
          <w:szCs w:val="24"/>
        </w:rPr>
        <w:t xml:space="preserve">; </w:t>
      </w:r>
      <w:r w:rsidR="006526EA" w:rsidRPr="000B6CDD">
        <w:rPr>
          <w:rFonts w:ascii="Times New Roman" w:hAnsi="Times New Roman" w:cs="Times New Roman"/>
          <w:sz w:val="24"/>
          <w:szCs w:val="24"/>
        </w:rPr>
        <w:t xml:space="preserve">Drachsler &amp; Greller, 2016; Pardo &amp; Siemens, 2014). </w:t>
      </w:r>
    </w:p>
    <w:p w14:paraId="59A7569A" w14:textId="6014D5DC" w:rsidR="006526EA" w:rsidRPr="000B6CDD" w:rsidRDefault="006526EA"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Interoperability standards guarantee that AI-augmented computational thinking instruments may seamlessly connect with current educational technology systems while preserving adaptability for future technological advancements (Government of Canada, 2023). </w:t>
      </w:r>
    </w:p>
    <w:p w14:paraId="37E16B01" w14:textId="052BD8B2" w:rsidR="00455F51" w:rsidRDefault="00F14D65" w:rsidP="00455F51">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The sustainable execution of equitable AI-enhanced computational thinking education necessitates meticulous planning for resource allocation that considers both immediate implementation demands and long-term maintenance and enhancement needs (UN ESCO, 2021; Holmes et al., 2022). Continuous enhancement methods guarantee that AI-enhanced computational thinking systems may adapt and advance over time in response to evolving student requirements, technical advancements, and insights into effective strategies for equitable implementation (Veletsianos, 2022; Dignum, 2019). </w:t>
      </w:r>
    </w:p>
    <w:p w14:paraId="727E6055" w14:textId="34E11E10" w:rsidR="00455F51" w:rsidRDefault="00455F51" w:rsidP="00455F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Table </w:t>
      </w:r>
      <w:r w:rsidRPr="000B6CDD">
        <w:rPr>
          <w:rFonts w:ascii="Times New Roman" w:hAnsi="Times New Roman" w:cs="Times New Roman"/>
          <w:sz w:val="24"/>
          <w:szCs w:val="24"/>
        </w:rPr>
        <w:t>2. Summary of Key Empirical Studies on AI-Enhanced</w:t>
      </w:r>
      <w:r>
        <w:rPr>
          <w:rFonts w:ascii="Times New Roman" w:hAnsi="Times New Roman" w:cs="Times New Roman"/>
          <w:sz w:val="24"/>
          <w:szCs w:val="24"/>
        </w:rPr>
        <w:t xml:space="preserve"> </w:t>
      </w:r>
      <w:r w:rsidRPr="000B6CDD">
        <w:rPr>
          <w:rFonts w:ascii="Times New Roman" w:hAnsi="Times New Roman" w:cs="Times New Roman"/>
          <w:sz w:val="24"/>
          <w:szCs w:val="24"/>
        </w:rPr>
        <w:t xml:space="preserve">Computational Thinking Education (2018–2025) </w:t>
      </w:r>
      <w:r w:rsidRPr="000B6CDD">
        <w:rPr>
          <w:rFonts w:ascii="Times New Roman" w:hAnsi="Times New Roman" w:cs="Times New Roman"/>
          <w:sz w:val="24"/>
          <w:szCs w:val="24"/>
          <w:lang w:val="en-US"/>
        </w:rPr>
        <w:fldChar w:fldCharType="begin"/>
      </w:r>
      <w:r w:rsidRPr="000B6CDD">
        <w:rPr>
          <w:rFonts w:ascii="Times New Roman" w:hAnsi="Times New Roman" w:cs="Times New Roman"/>
          <w:sz w:val="24"/>
          <w:szCs w:val="24"/>
          <w:lang w:val="en-US"/>
        </w:rPr>
        <w:instrText xml:space="preserve"> ADDIN ZOTERO_ITEM CSL_CITATION {"citationID":"3i1lOFrC","properties":{"formattedCitation":"(Chick, 2025)","plainCitation":"(Chick, 2025)","noteIndex":0},"citationItems":[{"id":994,"uris":["http://zotero.org/users/local/mGAXUzr8/items/B6B3VV2Q"],"itemData":{"id":994,"type":"article-journal","abstract":"The rapid integration of artificial intelligence technologies into higher education presents unprecedented opportunities for enhancing computational thinking development while simultaneously raising significant concerns about educational equity and algorithmic bias. This comprehensive review examines the intersection of AI integration, computational thinking pedagogy, and diversity, equity, and inclusion imperatives in higher education through a comprehensive narrative review of 167 sources of current literature and theoretical frameworks. From distilling principles from Human–AI Symbiotic Theory (HAIST) and established pedagogical integration models, this review synthesizes evidence-based strategies for ensuring that AI-enhanced computational thinking environments advance rather than undermine educational equity. The analysis reveals that effective AI integration in computational thinking education requires comprehensive frameworks that integrate ethical AI governance with pedagogical design principles, creating practical guidance for institutions seeking to harness AI’s potential while protecting historically marginalized students from algorithmic discrimination. This review contributes to the growing body of knowledge on responsible AI implementation in educational settings and provides actionable recommendations for educators, researchers, and policymakers working to create more effective, engaging, and equitable AI-enhanced learning environments.","container-title":"Education Sciences","DOI":"10.3390/educsci15111515","journalAbbreviation":"Education Sciences","page":"1515","source":"ResearchGate","title":"AI-Enhanced Computational Thinking: A Comprehensive Review of Ethical Frameworks and Pedagogical Integration for Equitable Higher Education","title-short":"AI-Enhanced Computational Thinking","volume":"15","author":[{"family":"Chick","given":"John"}],"issued":{"date-parts":[["2025",11,10]]}}}],"schema":"https://github.com/citation-style-language/schema/raw/master/csl-citation.json"} </w:instrText>
      </w:r>
      <w:r w:rsidRPr="000B6CDD">
        <w:rPr>
          <w:rFonts w:ascii="Times New Roman" w:hAnsi="Times New Roman" w:cs="Times New Roman"/>
          <w:sz w:val="24"/>
          <w:szCs w:val="24"/>
          <w:lang w:val="en-US"/>
        </w:rPr>
        <w:fldChar w:fldCharType="separate"/>
      </w:r>
      <w:r w:rsidRPr="000B6CDD">
        <w:rPr>
          <w:rFonts w:ascii="Times New Roman" w:hAnsi="Times New Roman" w:cs="Times New Roman"/>
          <w:sz w:val="24"/>
          <w:szCs w:val="24"/>
        </w:rPr>
        <w:t>(Chick, 2025)</w:t>
      </w:r>
      <w:r w:rsidRPr="000B6CDD">
        <w:rPr>
          <w:rFonts w:ascii="Times New Roman" w:hAnsi="Times New Roman" w:cs="Times New Roman"/>
          <w:sz w:val="24"/>
          <w:szCs w:val="24"/>
          <w:lang w:val="en-US"/>
        </w:rPr>
        <w:fldChar w:fldCharType="end"/>
      </w:r>
    </w:p>
    <w:p w14:paraId="696F6B90" w14:textId="398684CC" w:rsidR="00455F51" w:rsidRDefault="000B66F6" w:rsidP="00455F5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A16A96" wp14:editId="3EF8A3D7">
            <wp:extent cx="6096000" cy="4476750"/>
            <wp:effectExtent l="0" t="0" r="0" b="0"/>
            <wp:docPr id="120112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23329" name="Picture 12011233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000" cy="4476750"/>
                    </a:xfrm>
                    <a:prstGeom prst="rect">
                      <a:avLst/>
                    </a:prstGeom>
                  </pic:spPr>
                </pic:pic>
              </a:graphicData>
            </a:graphic>
          </wp:inline>
        </w:drawing>
      </w:r>
    </w:p>
    <w:p w14:paraId="4805B612" w14:textId="03ADC780" w:rsidR="00A0295C" w:rsidRPr="000B6CDD" w:rsidRDefault="00A0295C"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lastRenderedPageBreak/>
        <w:t>Research indicating favourable results regularly identifies numerous shared traits that correspond with equity-centred implementation strategies (</w:t>
      </w:r>
      <w:r w:rsidR="009F2D76" w:rsidRPr="000B6CDD">
        <w:rPr>
          <w:rFonts w:ascii="Times New Roman" w:hAnsi="Times New Roman" w:cs="Times New Roman"/>
          <w:sz w:val="24"/>
          <w:szCs w:val="24"/>
        </w:rPr>
        <w:t xml:space="preserve">Luckin &amp; Holmes, 2016; Reich &amp; Mehta, 2020; </w:t>
      </w:r>
      <w:r w:rsidRPr="000B6CDD">
        <w:rPr>
          <w:rFonts w:ascii="Times New Roman" w:hAnsi="Times New Roman" w:cs="Times New Roman"/>
          <w:sz w:val="24"/>
          <w:szCs w:val="24"/>
        </w:rPr>
        <w:t>Selwyn, 2019; Knox, 2020</w:t>
      </w:r>
      <w:r w:rsidR="009B24F1" w:rsidRPr="000B6CDD">
        <w:rPr>
          <w:rFonts w:ascii="Times New Roman" w:hAnsi="Times New Roman" w:cs="Times New Roman"/>
          <w:sz w:val="24"/>
          <w:szCs w:val="24"/>
        </w:rPr>
        <w:t xml:space="preserve">; </w:t>
      </w:r>
      <w:r w:rsidRPr="000B6CDD">
        <w:rPr>
          <w:rFonts w:ascii="Times New Roman" w:hAnsi="Times New Roman" w:cs="Times New Roman"/>
          <w:sz w:val="24"/>
          <w:szCs w:val="24"/>
        </w:rPr>
        <w:t xml:space="preserve">Baker &amp; Hawn, 2022; Williamson, 2019). The difference between effective and ineffective implementations emphasises how crucial it is to integrate AI in educational settings using thorough, equity-centred methods (Akgun &amp;Greenhow, 2022; Adiguzel et al., 2023). </w:t>
      </w:r>
    </w:p>
    <w:p w14:paraId="0798049A" w14:textId="1D22DCB9" w:rsidR="00716F74" w:rsidRPr="000B6CDD" w:rsidRDefault="00716F74"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Studies examining the long-term effects of AI-enhanced computational thinking instruction are very helpful for understanding the consequences of various deployment strategies (Chiu, 2021). Students who take part in well-designed AI-enhanced computational thinking programs demonstrate notable improvements in both technical skills and 21st-century competencies, such as ethical reasoning, critical thinking, and teamwork—all of which are essential for success in modern computational careers. These results imply that equity-</w:t>
      </w:r>
      <w:proofErr w:type="spellStart"/>
      <w:r w:rsidRPr="000B6CDD">
        <w:rPr>
          <w:rFonts w:ascii="Times New Roman" w:hAnsi="Times New Roman" w:cs="Times New Roman"/>
          <w:sz w:val="24"/>
          <w:szCs w:val="24"/>
        </w:rPr>
        <w:t>centered</w:t>
      </w:r>
      <w:proofErr w:type="spellEnd"/>
      <w:r w:rsidRPr="000B6CDD">
        <w:rPr>
          <w:rFonts w:ascii="Times New Roman" w:hAnsi="Times New Roman" w:cs="Times New Roman"/>
          <w:sz w:val="24"/>
          <w:szCs w:val="24"/>
        </w:rPr>
        <w:t xml:space="preserve"> AI integration can have positive effects on students' long-term educational and career paths that go considerably beyond short-term academic results (Usher &amp; Barak, 2024). The evidence base has been significantly updated by recent research conducted in 2025 on LLM-supported computational thinking. </w:t>
      </w:r>
    </w:p>
    <w:p w14:paraId="225A35E1" w14:textId="3DF74B91" w:rsidR="00716F74" w:rsidRPr="000B6CDD" w:rsidRDefault="00716F74"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Current empirical research provides evidence of the benefits and challenges of AI-enhanced computational thinking instruction. In introductory programming classes, </w:t>
      </w:r>
      <w:proofErr w:type="spellStart"/>
      <w:r w:rsidRPr="000B6CDD">
        <w:rPr>
          <w:rFonts w:ascii="Times New Roman" w:hAnsi="Times New Roman" w:cs="Times New Roman"/>
          <w:sz w:val="24"/>
          <w:szCs w:val="24"/>
        </w:rPr>
        <w:t>Weintrop</w:t>
      </w:r>
      <w:proofErr w:type="spellEnd"/>
      <w:r w:rsidR="00240FDC">
        <w:rPr>
          <w:rFonts w:ascii="Times New Roman" w:hAnsi="Times New Roman" w:cs="Times New Roman"/>
          <w:sz w:val="24"/>
          <w:szCs w:val="24"/>
        </w:rPr>
        <w:t xml:space="preserve"> </w:t>
      </w:r>
      <w:r w:rsidRPr="000B6CDD">
        <w:rPr>
          <w:rFonts w:ascii="Times New Roman" w:hAnsi="Times New Roman" w:cs="Times New Roman"/>
          <w:sz w:val="24"/>
          <w:szCs w:val="24"/>
        </w:rPr>
        <w:t>and Wilensky (2019) found that students who used AI-supported debugging tools reduced problem-solving time and possibly enhanced metacognitive awareness, with results that varied considerably across demographic groups. While overall accuracy increased, Hutchinson and Mitchell's (2019) analysis of AI-powered assessment in computational thinking tasks revealed systematic bias against students from non-English-speaking backgrounds, even though their problem-solving abilities were comparable when assessed by human instructors.</w:t>
      </w:r>
    </w:p>
    <w:p w14:paraId="528A9266" w14:textId="2BFD9C1E" w:rsidR="00716F74" w:rsidRPr="000B6CDD" w:rsidRDefault="00716F74"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Gardner et al. (2019) examined equity outcomes in AI-enhanced computational thinking courses in a long-term research study with 847 students from six different institutions. The findings demonstrated that, compared with traditional instruction, children from historically marginalised backgrounds benefited more from AI scaffolding when culturally sensitive design principles were applied, resulting in a significant reduction in achievement gaps for marginalised students. However, implementations lacking specific techniques to mitigate bias revealed growing success discrepancies, especially for first-generation college students and those with no prior programming expertise (Blikstein, 2018; Gardner et al., 2019).</w:t>
      </w:r>
    </w:p>
    <w:p w14:paraId="0DD7B911" w14:textId="64CF182A" w:rsidR="00716F74" w:rsidRPr="000B6CDD" w:rsidRDefault="00716F74"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lastRenderedPageBreak/>
        <w:t>In their efforts to integrate AI, community colleges and regional universities have created creative strategies that prioritise community involvement, cultural sensitivity, and accessibility (Harvard University, 2023; University of California System, 2023). Community college implementations of AI-enhanced computational thinking education frequently achieve equity outcomes that surpass those of more resource-intensive implementations at research universities, according to research examining skill development outcomes across various institutional types. This suggests that attention to equity and inclusion may be more crucial than technological expertise for achieving favourable educational results (EDUCAUSE, 2024; Faculty Focus, 2025).</w:t>
      </w:r>
    </w:p>
    <w:p w14:paraId="01502D2F" w14:textId="6BC0C0F0" w:rsidR="009B18B4" w:rsidRPr="000B6CDD" w:rsidRDefault="00716F74"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International comparisons show notable differences in AI integration strategies that reflect diverse educational traditions, legal frameworks, and cultural values (UNESCO, 2021). These differences offer important insights into strategies for balancing social values, educational equity concerns, and technological capabilities in AI-enhanced learning settings (Government of Canada, 2023; Singapore Government, 2020).</w:t>
      </w:r>
    </w:p>
    <w:p w14:paraId="4B6DE411" w14:textId="62754DD5" w:rsidR="00181C91" w:rsidRPr="000B6CDD" w:rsidRDefault="00181C91" w:rsidP="00605A72">
      <w:pPr>
        <w:spacing w:line="360" w:lineRule="auto"/>
        <w:jc w:val="both"/>
        <w:rPr>
          <w:rFonts w:ascii="Times New Roman" w:hAnsi="Times New Roman" w:cs="Times New Roman"/>
          <w:b/>
          <w:bCs/>
          <w:sz w:val="24"/>
          <w:szCs w:val="24"/>
        </w:rPr>
      </w:pPr>
      <w:r w:rsidRPr="000B6CDD">
        <w:rPr>
          <w:rFonts w:ascii="Times New Roman" w:hAnsi="Times New Roman" w:cs="Times New Roman"/>
          <w:b/>
          <w:bCs/>
          <w:sz w:val="24"/>
          <w:szCs w:val="24"/>
        </w:rPr>
        <w:t>Conclusions: Computational Thinking Education Enhanced by AI</w:t>
      </w:r>
    </w:p>
    <w:p w14:paraId="27C77CBD" w14:textId="77777777" w:rsidR="00757CC2" w:rsidRPr="000B6CDD" w:rsidRDefault="00757CC2"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According to Holmes et al. (2019) and Reich &amp; Mehta (2020), integrating artificial intelligence technology into computational thinking education poses both a huge challenge for guaranteeing educational fairness and inclusion as well as an unparalleled potential for educational revolution. This thorough analysis has looked at the complicated field of AI-enhanced computational thinking education from an equity-focused perspective, synthesizing data from various sources to find practical methods for utilizing AI's potential while shielding vulnerable students from bias and algorithmic discrimination (Selwyn, 2019; Knox, 2020).</w:t>
      </w:r>
    </w:p>
    <w:p w14:paraId="4413320B" w14:textId="27EB42D9" w:rsidR="00757CC2" w:rsidRPr="000B6CDD" w:rsidRDefault="00757CC2"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The data shows that successful AI integration in computational thinking education necessitates much more than just technology innovation (Weller, 2020; Veletsianos, 2022). In comparison to technically advanced but socially insensitive approaches, equity-</w:t>
      </w:r>
      <w:proofErr w:type="spellStart"/>
      <w:r w:rsidRPr="000B6CDD">
        <w:rPr>
          <w:rFonts w:ascii="Times New Roman" w:hAnsi="Times New Roman" w:cs="Times New Roman"/>
          <w:sz w:val="24"/>
          <w:szCs w:val="24"/>
        </w:rPr>
        <w:t>centered</w:t>
      </w:r>
      <w:proofErr w:type="spellEnd"/>
      <w:r w:rsidRPr="000B6CDD">
        <w:rPr>
          <w:rFonts w:ascii="Times New Roman" w:hAnsi="Times New Roman" w:cs="Times New Roman"/>
          <w:sz w:val="24"/>
          <w:szCs w:val="24"/>
        </w:rPr>
        <w:t xml:space="preserve"> implementations consistently yield better results for diverse student populations, according to an analysis of current research and practice (Baker &amp; Hawn, 2022; Adiguzel et al., 2023).</w:t>
      </w:r>
    </w:p>
    <w:p w14:paraId="66E755DE" w14:textId="65BC5231" w:rsidR="00757CC2" w:rsidRPr="000B6CDD" w:rsidRDefault="00757CC2"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 xml:space="preserve">For educational institutions, instructors, and policymakers seeking to implement AI-enhanced computational thinking education equitably, the pedagogical strategies and implementation frameworks offered provide helpful guidance (American Association of University Professors, 2023; California State University, 2024). These tactics highlight the significance of thorough faculty development, student-centred design methodologies, culturally sensitive curriculum </w:t>
      </w:r>
      <w:r w:rsidRPr="000B6CDD">
        <w:rPr>
          <w:rFonts w:ascii="Times New Roman" w:hAnsi="Times New Roman" w:cs="Times New Roman"/>
          <w:sz w:val="24"/>
          <w:szCs w:val="24"/>
        </w:rPr>
        <w:lastRenderedPageBreak/>
        <w:t>development, and reliable evaluation mechanisms that quickly identify and resolve equity issues.</w:t>
      </w:r>
    </w:p>
    <w:p w14:paraId="72D9D8A6" w14:textId="246D6002" w:rsidR="00757CC2" w:rsidRPr="000B6CDD" w:rsidRDefault="00757CC2"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For higher education institutions in the twenty-first century, implementing equity-centred approaches to AI integration in computational thinking education is both a practical requirement and a moral obligation (National Institute of Standards and Technology, 2023; Singapore Government, 2020). Educational institutions can fulfil their commitments to inclusive excellence while utilising AI's potential to create more efficient, accessible, and equitable computational thinking education for all students by putting the frameworks and strategies found in this review into practice (Gouseti et al., 2024; Faculty Focus, 2025).</w:t>
      </w:r>
    </w:p>
    <w:p w14:paraId="5FFFC030" w14:textId="2C91A31C" w:rsidR="00FF0BFE" w:rsidRDefault="005C258D" w:rsidP="00605A72">
      <w:pPr>
        <w:spacing w:line="360" w:lineRule="auto"/>
        <w:jc w:val="both"/>
        <w:rPr>
          <w:rFonts w:ascii="Times New Roman" w:hAnsi="Times New Roman" w:cs="Times New Roman"/>
          <w:sz w:val="24"/>
          <w:szCs w:val="24"/>
        </w:rPr>
      </w:pPr>
      <w:r w:rsidRPr="000B6CDD">
        <w:rPr>
          <w:rFonts w:ascii="Times New Roman" w:hAnsi="Times New Roman" w:cs="Times New Roman"/>
          <w:sz w:val="24"/>
          <w:szCs w:val="24"/>
        </w:rPr>
        <w:t>The data show that, when applied through all-encompassing, community-engaged strategies that place student agency and social justice first, AI-enhanced computational thinking education has the potential to advance rather than impede educational equity (Anthology, 2024; Jin et al., 2025</w:t>
      </w:r>
      <w:r w:rsidR="00F50C66" w:rsidRPr="000B6CDD">
        <w:rPr>
          <w:rFonts w:ascii="Times New Roman" w:hAnsi="Times New Roman" w:cs="Times New Roman"/>
          <w:sz w:val="24"/>
          <w:szCs w:val="24"/>
        </w:rPr>
        <w:t xml:space="preserve">; </w:t>
      </w:r>
      <w:r w:rsidRPr="000B6CDD">
        <w:rPr>
          <w:rFonts w:ascii="Times New Roman" w:hAnsi="Times New Roman" w:cs="Times New Roman"/>
          <w:sz w:val="24"/>
          <w:szCs w:val="24"/>
        </w:rPr>
        <w:t xml:space="preserve">Chan, 2023; Ruffalo Noel Levitz, 2025). </w:t>
      </w:r>
    </w:p>
    <w:p w14:paraId="747983A9" w14:textId="77777777" w:rsidR="00B03121" w:rsidRDefault="00B03121" w:rsidP="00605A72">
      <w:pPr>
        <w:spacing w:line="360" w:lineRule="auto"/>
        <w:jc w:val="both"/>
        <w:rPr>
          <w:rFonts w:ascii="Times New Roman" w:hAnsi="Times New Roman" w:cs="Times New Roman"/>
          <w:sz w:val="24"/>
          <w:szCs w:val="24"/>
        </w:rPr>
      </w:pPr>
    </w:p>
    <w:p w14:paraId="01A11072" w14:textId="77777777" w:rsidR="00B03121" w:rsidRPr="00B03121" w:rsidRDefault="00B03121" w:rsidP="00B03121">
      <w:pPr>
        <w:spacing w:line="360" w:lineRule="auto"/>
        <w:jc w:val="both"/>
        <w:rPr>
          <w:rFonts w:ascii="Times New Roman" w:hAnsi="Times New Roman" w:cs="Times New Roman"/>
          <w:sz w:val="24"/>
          <w:szCs w:val="24"/>
        </w:rPr>
      </w:pPr>
      <w:r w:rsidRPr="00B03121">
        <w:rPr>
          <w:rFonts w:ascii="Times New Roman" w:hAnsi="Times New Roman" w:cs="Times New Roman"/>
          <w:sz w:val="24"/>
          <w:szCs w:val="24"/>
        </w:rPr>
        <w:t>COMPETING INTERESTS DISCLAIMER:</w:t>
      </w:r>
    </w:p>
    <w:p w14:paraId="0B4D8644" w14:textId="1B009C0A" w:rsidR="00B03121" w:rsidRDefault="00B03121" w:rsidP="00B03121">
      <w:pPr>
        <w:spacing w:line="360" w:lineRule="auto"/>
        <w:jc w:val="both"/>
        <w:rPr>
          <w:rFonts w:ascii="Times New Roman" w:hAnsi="Times New Roman" w:cs="Times New Roman"/>
          <w:sz w:val="24"/>
          <w:szCs w:val="24"/>
        </w:rPr>
      </w:pPr>
      <w:r w:rsidRPr="00B03121">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231B283" w14:textId="77777777" w:rsidR="00FF0BFE" w:rsidRPr="00A702ED" w:rsidRDefault="00FF0BFE" w:rsidP="00FF0BFE">
      <w:pPr>
        <w:spacing w:line="360" w:lineRule="auto"/>
        <w:ind w:left="567" w:hanging="567"/>
        <w:rPr>
          <w:rFonts w:ascii="Times New Roman" w:hAnsi="Times New Roman" w:cs="Times New Roman"/>
          <w:b/>
          <w:bCs/>
          <w:sz w:val="24"/>
          <w:szCs w:val="24"/>
        </w:rPr>
      </w:pPr>
      <w:r w:rsidRPr="00A702ED">
        <w:rPr>
          <w:rFonts w:ascii="Times New Roman" w:hAnsi="Times New Roman" w:cs="Times New Roman"/>
          <w:b/>
          <w:bCs/>
          <w:sz w:val="24"/>
          <w:szCs w:val="24"/>
        </w:rPr>
        <w:t>References</w:t>
      </w:r>
    </w:p>
    <w:p w14:paraId="4799FA1F"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Adiguzel, T., Kaya, M. H., &amp; Cansu, F. K. (2023). Revolutionizing education with AI: Exploring the transformative potential of ChatGPT. </w:t>
      </w:r>
      <w:r w:rsidRPr="005D2321">
        <w:rPr>
          <w:rFonts w:ascii="Times New Roman" w:hAnsi="Times New Roman" w:cs="Times New Roman"/>
          <w:i/>
          <w:iCs/>
          <w:sz w:val="24"/>
          <w:szCs w:val="24"/>
        </w:rPr>
        <w:t>Contemporary Educational Technology, 15</w:t>
      </w:r>
      <w:r w:rsidRPr="00A702ED">
        <w:rPr>
          <w:rFonts w:ascii="Times New Roman" w:hAnsi="Times New Roman" w:cs="Times New Roman"/>
          <w:sz w:val="24"/>
          <w:szCs w:val="24"/>
        </w:rPr>
        <w:t xml:space="preserve">(3), ep429. </w:t>
      </w:r>
      <w:hyperlink r:id="rId10" w:history="1">
        <w:r w:rsidRPr="00A702ED">
          <w:rPr>
            <w:rStyle w:val="Hyperlink"/>
            <w:rFonts w:ascii="Times New Roman" w:hAnsi="Times New Roman" w:cs="Times New Roman"/>
            <w:sz w:val="24"/>
            <w:szCs w:val="24"/>
          </w:rPr>
          <w:t>https://doi.org/10.30935/cedtech/13152</w:t>
        </w:r>
      </w:hyperlink>
    </w:p>
    <w:p w14:paraId="791D4962"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Akgun, S., &amp; Greenhow, C. (2022). Artificial intelligence in education: Addressing ethical challenges in K-12 settings. </w:t>
      </w:r>
      <w:r w:rsidRPr="005D2321">
        <w:rPr>
          <w:rFonts w:ascii="Times New Roman" w:hAnsi="Times New Roman" w:cs="Times New Roman"/>
          <w:i/>
          <w:iCs/>
          <w:sz w:val="24"/>
          <w:szCs w:val="24"/>
        </w:rPr>
        <w:t>AI and Ethics, 2</w:t>
      </w:r>
      <w:r w:rsidRPr="00A702ED">
        <w:rPr>
          <w:rFonts w:ascii="Times New Roman" w:hAnsi="Times New Roman" w:cs="Times New Roman"/>
          <w:sz w:val="24"/>
          <w:szCs w:val="24"/>
        </w:rPr>
        <w:t xml:space="preserve">(3), 431–440. </w:t>
      </w:r>
    </w:p>
    <w:p w14:paraId="73952870" w14:textId="77777777" w:rsidR="00FF0BFE" w:rsidRPr="00A702ED" w:rsidRDefault="00FF0BFE" w:rsidP="00FF0BFE">
      <w:pPr>
        <w:spacing w:after="0" w:line="360" w:lineRule="auto"/>
        <w:ind w:left="720" w:hanging="720"/>
        <w:jc w:val="both"/>
        <w:rPr>
          <w:rFonts w:ascii="Times New Roman" w:hAnsi="Times New Roman" w:cs="Times New Roman"/>
          <w:sz w:val="24"/>
          <w:szCs w:val="24"/>
        </w:rPr>
      </w:pPr>
      <w:r w:rsidRPr="00A702ED">
        <w:rPr>
          <w:rFonts w:ascii="Times New Roman" w:hAnsi="Times New Roman" w:cs="Times New Roman"/>
          <w:sz w:val="24"/>
          <w:szCs w:val="24"/>
        </w:rPr>
        <w:t xml:space="preserve">American Association of University Professors. (2023). </w:t>
      </w:r>
      <w:r w:rsidRPr="00A702ED">
        <w:rPr>
          <w:rFonts w:ascii="Times New Roman" w:hAnsi="Times New Roman" w:cs="Times New Roman"/>
          <w:i/>
          <w:iCs/>
          <w:sz w:val="24"/>
          <w:szCs w:val="24"/>
        </w:rPr>
        <w:t>Artificial intelligence and academic professions.</w:t>
      </w:r>
      <w:r w:rsidRPr="00A702ED">
        <w:rPr>
          <w:rFonts w:ascii="Times New Roman" w:hAnsi="Times New Roman" w:cs="Times New Roman"/>
          <w:sz w:val="24"/>
          <w:szCs w:val="24"/>
        </w:rPr>
        <w:t xml:space="preserve"> Available online: </w:t>
      </w:r>
      <w:hyperlink r:id="rId11" w:history="1">
        <w:r w:rsidRPr="00A702ED">
          <w:rPr>
            <w:rStyle w:val="Hyperlink"/>
            <w:rFonts w:ascii="Times New Roman" w:hAnsi="Times New Roman" w:cs="Times New Roman"/>
            <w:sz w:val="24"/>
            <w:szCs w:val="24"/>
          </w:rPr>
          <w:t>https://www.aaup.org/reports-publications/aaup-policies-reports/topical-reports/artificial-intelligence-and-academic</w:t>
        </w:r>
      </w:hyperlink>
    </w:p>
    <w:p w14:paraId="3C3D49FF"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Amigud, A., &amp; Lancaster, T. (2019). 246 reasons to cheat: An analysis of students’ reasons for seeking to outsource academic work. </w:t>
      </w:r>
      <w:r w:rsidRPr="00A702ED">
        <w:rPr>
          <w:rFonts w:ascii="Times New Roman" w:hAnsi="Times New Roman" w:cs="Times New Roman"/>
          <w:i/>
          <w:iCs/>
          <w:sz w:val="24"/>
          <w:szCs w:val="24"/>
        </w:rPr>
        <w:t>Computers &amp; Education, 134</w:t>
      </w:r>
      <w:r w:rsidRPr="00A702ED">
        <w:rPr>
          <w:rFonts w:ascii="Times New Roman" w:hAnsi="Times New Roman" w:cs="Times New Roman"/>
          <w:sz w:val="24"/>
          <w:szCs w:val="24"/>
        </w:rPr>
        <w:t>, 98–107</w:t>
      </w:r>
    </w:p>
    <w:p w14:paraId="164C987A" w14:textId="77777777" w:rsidR="00FF0BFE" w:rsidRPr="00A702ED" w:rsidRDefault="00FF0BFE" w:rsidP="00FF0BFE">
      <w:pPr>
        <w:spacing w:line="360" w:lineRule="auto"/>
        <w:ind w:left="567" w:hanging="567"/>
        <w:rPr>
          <w:rFonts w:ascii="Times New Roman" w:hAnsi="Times New Roman" w:cs="Times New Roman"/>
          <w:color w:val="4472C4" w:themeColor="accent1"/>
          <w:sz w:val="24"/>
          <w:szCs w:val="24"/>
          <w:u w:val="single"/>
        </w:rPr>
      </w:pPr>
      <w:r w:rsidRPr="00A702ED">
        <w:rPr>
          <w:rFonts w:ascii="Times New Roman" w:hAnsi="Times New Roman" w:cs="Times New Roman"/>
          <w:sz w:val="24"/>
          <w:szCs w:val="24"/>
        </w:rPr>
        <w:lastRenderedPageBreak/>
        <w:t xml:space="preserve">Anthology. (2024). AI policy framework for higher education. Available online: </w:t>
      </w:r>
      <w:r w:rsidRPr="00A702ED">
        <w:rPr>
          <w:rFonts w:ascii="Times New Roman" w:hAnsi="Times New Roman" w:cs="Times New Roman"/>
          <w:color w:val="4472C4" w:themeColor="accent1"/>
          <w:sz w:val="24"/>
          <w:szCs w:val="24"/>
          <w:u w:val="single"/>
        </w:rPr>
        <w:t>https://www.anthology.com/news/new-ai-policy framework-from-anthology-empowers-higher-education-to-balance-the-risks-and</w:t>
      </w:r>
    </w:p>
    <w:p w14:paraId="138235D2"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Baker, R. S., &amp; Hawn, A. (2022). Algorithmic bias in education. </w:t>
      </w:r>
      <w:r w:rsidRPr="005D2321">
        <w:rPr>
          <w:rFonts w:ascii="Times New Roman" w:hAnsi="Times New Roman" w:cs="Times New Roman"/>
          <w:i/>
          <w:iCs/>
          <w:sz w:val="24"/>
          <w:szCs w:val="24"/>
        </w:rPr>
        <w:t>International Journal of Artificial Intelligence in Education, 32</w:t>
      </w:r>
      <w:r w:rsidRPr="00A702ED">
        <w:rPr>
          <w:rFonts w:ascii="Times New Roman" w:hAnsi="Times New Roman" w:cs="Times New Roman"/>
          <w:sz w:val="24"/>
          <w:szCs w:val="24"/>
        </w:rPr>
        <w:t xml:space="preserve">(4), 1052–1092. </w:t>
      </w:r>
      <w:hyperlink r:id="rId12" w:history="1">
        <w:r w:rsidRPr="00A702ED">
          <w:rPr>
            <w:rStyle w:val="Hyperlink"/>
            <w:rFonts w:ascii="Times New Roman" w:hAnsi="Times New Roman" w:cs="Times New Roman"/>
            <w:sz w:val="24"/>
            <w:szCs w:val="24"/>
          </w:rPr>
          <w:t>https://doi.org/10.1007/s40593-021-00285-9</w:t>
        </w:r>
      </w:hyperlink>
    </w:p>
    <w:p w14:paraId="0557874B"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Barocas, S., &amp; Selbst, A. D. (2016). Big data’s disparate impact. </w:t>
      </w:r>
      <w:r w:rsidRPr="001405D8">
        <w:rPr>
          <w:rFonts w:ascii="Times New Roman" w:hAnsi="Times New Roman" w:cs="Times New Roman"/>
          <w:i/>
          <w:iCs/>
          <w:sz w:val="24"/>
          <w:szCs w:val="24"/>
        </w:rPr>
        <w:t>California Law Review, 104</w:t>
      </w:r>
      <w:r w:rsidRPr="00A702ED">
        <w:rPr>
          <w:rFonts w:ascii="Times New Roman" w:hAnsi="Times New Roman" w:cs="Times New Roman"/>
          <w:sz w:val="24"/>
          <w:szCs w:val="24"/>
        </w:rPr>
        <w:t xml:space="preserve">(3), 671–732. </w:t>
      </w:r>
      <w:hyperlink r:id="rId13" w:history="1">
        <w:r w:rsidRPr="00A702ED">
          <w:rPr>
            <w:rStyle w:val="Hyperlink"/>
            <w:rFonts w:ascii="Times New Roman" w:hAnsi="Times New Roman" w:cs="Times New Roman"/>
            <w:sz w:val="24"/>
            <w:szCs w:val="24"/>
          </w:rPr>
          <w:t>https://doi.org/10.15779/z38bg31</w:t>
        </w:r>
      </w:hyperlink>
    </w:p>
    <w:p w14:paraId="09EDFF19"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Binns, R., Van </w:t>
      </w:r>
      <w:proofErr w:type="spellStart"/>
      <w:r w:rsidRPr="00A702ED">
        <w:rPr>
          <w:rFonts w:ascii="Times New Roman" w:eastAsia="Calibri" w:hAnsi="Times New Roman" w:cs="Times New Roman"/>
          <w:sz w:val="24"/>
          <w:szCs w:val="24"/>
        </w:rPr>
        <w:t>Kleek</w:t>
      </w:r>
      <w:proofErr w:type="spellEnd"/>
      <w:r w:rsidRPr="00A702ED">
        <w:rPr>
          <w:rFonts w:ascii="Times New Roman" w:eastAsia="Calibri" w:hAnsi="Times New Roman" w:cs="Times New Roman"/>
          <w:sz w:val="24"/>
          <w:szCs w:val="24"/>
        </w:rPr>
        <w:t xml:space="preserve">, M., Veale, M., Lyngs, U., Zhao, J., &amp; Shadbolt, N. (2018). </w:t>
      </w:r>
      <w:r w:rsidRPr="00A702ED">
        <w:rPr>
          <w:rFonts w:ascii="Times New Roman" w:eastAsia="Calibri" w:hAnsi="Times New Roman" w:cs="Times New Roman"/>
          <w:i/>
          <w:iCs/>
          <w:sz w:val="24"/>
          <w:szCs w:val="24"/>
        </w:rPr>
        <w:t>‘It’s reducing a human being to a percentage’: Perceptions of justice in algorithmic decisions.</w:t>
      </w:r>
      <w:r w:rsidRPr="00A702ED">
        <w:rPr>
          <w:rFonts w:ascii="Times New Roman" w:eastAsia="Calibri" w:hAnsi="Times New Roman" w:cs="Times New Roman"/>
          <w:sz w:val="24"/>
          <w:szCs w:val="24"/>
        </w:rPr>
        <w:t xml:space="preserve"> Proceedings of the 2018 CHI Conference on Human Factors in Computing Systems (pp. 1–14).</w:t>
      </w:r>
    </w:p>
    <w:p w14:paraId="0A601410"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Blikstein, P. (2018). </w:t>
      </w:r>
      <w:r w:rsidRPr="001405D8">
        <w:rPr>
          <w:rFonts w:ascii="Times New Roman" w:eastAsia="Calibri" w:hAnsi="Times New Roman" w:cs="Times New Roman"/>
          <w:i/>
          <w:iCs/>
          <w:sz w:val="24"/>
          <w:szCs w:val="24"/>
        </w:rPr>
        <w:t>Pre-college computer science education: A survey of the field.</w:t>
      </w:r>
      <w:r w:rsidRPr="00A702ED">
        <w:rPr>
          <w:rFonts w:ascii="Times New Roman" w:eastAsia="Calibri" w:hAnsi="Times New Roman" w:cs="Times New Roman"/>
          <w:sz w:val="24"/>
          <w:szCs w:val="24"/>
        </w:rPr>
        <w:t xml:space="preserve"> Google Inc. Available online: </w:t>
      </w:r>
      <w:hyperlink r:id="rId14" w:history="1">
        <w:r w:rsidRPr="00A702ED">
          <w:rPr>
            <w:rStyle w:val="Hyperlink"/>
            <w:rFonts w:ascii="Times New Roman" w:eastAsia="Calibri" w:hAnsi="Times New Roman" w:cs="Times New Roman"/>
            <w:sz w:val="24"/>
            <w:szCs w:val="24"/>
          </w:rPr>
          <w:t>https://goo.gl/gmS1Vm</w:t>
        </w:r>
      </w:hyperlink>
    </w:p>
    <w:p w14:paraId="22EE6336"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Bretag, T., Harper, R., Burton, M., Ellis, C., Newton, P., Rozenberg, P., Saddiqui, S., &amp; Van Haeringen, K. (2019). Contract cheating: a survey of Australian university students. </w:t>
      </w:r>
      <w:r w:rsidRPr="001405D8">
        <w:rPr>
          <w:rFonts w:ascii="Times New Roman" w:eastAsia="Calibri" w:hAnsi="Times New Roman" w:cs="Times New Roman"/>
          <w:i/>
          <w:iCs/>
          <w:sz w:val="24"/>
          <w:szCs w:val="24"/>
        </w:rPr>
        <w:t>Studies in Higher Education, 44(</w:t>
      </w:r>
      <w:r w:rsidRPr="00A702ED">
        <w:rPr>
          <w:rFonts w:ascii="Times New Roman" w:eastAsia="Calibri" w:hAnsi="Times New Roman" w:cs="Times New Roman"/>
          <w:sz w:val="24"/>
          <w:szCs w:val="24"/>
        </w:rPr>
        <w:t xml:space="preserve">11), 1837–1856. </w:t>
      </w:r>
      <w:hyperlink r:id="rId15" w:history="1">
        <w:r w:rsidRPr="00A702ED">
          <w:rPr>
            <w:rStyle w:val="Hyperlink"/>
            <w:rFonts w:ascii="Times New Roman" w:eastAsia="Calibri" w:hAnsi="Times New Roman" w:cs="Times New Roman"/>
            <w:sz w:val="24"/>
            <w:szCs w:val="24"/>
          </w:rPr>
          <w:t>https://doi.org/10.1080/03075079.2018.1462788</w:t>
        </w:r>
      </w:hyperlink>
    </w:p>
    <w:p w14:paraId="2E60C757" w14:textId="77777777" w:rsidR="00FF0BFE" w:rsidRPr="00A702ED" w:rsidRDefault="00FF0BFE" w:rsidP="00FF0BFE">
      <w:pPr>
        <w:spacing w:line="360" w:lineRule="auto"/>
        <w:ind w:left="567" w:hanging="567"/>
        <w:rPr>
          <w:rFonts w:ascii="Times New Roman" w:eastAsia="Calibri" w:hAnsi="Times New Roman" w:cs="Times New Roman"/>
          <w:color w:val="4472C4" w:themeColor="accent1"/>
          <w:sz w:val="24"/>
          <w:szCs w:val="24"/>
          <w:u w:val="single"/>
        </w:rPr>
      </w:pPr>
      <w:r w:rsidRPr="00A702ED">
        <w:rPr>
          <w:rFonts w:ascii="Times New Roman" w:eastAsia="Calibri" w:hAnsi="Times New Roman" w:cs="Times New Roman"/>
          <w:sz w:val="24"/>
          <w:szCs w:val="24"/>
        </w:rPr>
        <w:t xml:space="preserve">California State University. (2024). </w:t>
      </w:r>
      <w:r w:rsidRPr="00A702ED">
        <w:rPr>
          <w:rFonts w:ascii="Times New Roman" w:eastAsia="Calibri" w:hAnsi="Times New Roman" w:cs="Times New Roman"/>
          <w:i/>
          <w:iCs/>
          <w:sz w:val="24"/>
          <w:szCs w:val="24"/>
        </w:rPr>
        <w:t>ETHICAL principles AI framework for higher education.</w:t>
      </w:r>
      <w:r w:rsidRPr="00A702ED">
        <w:rPr>
          <w:rFonts w:ascii="Times New Roman" w:eastAsia="Calibri" w:hAnsi="Times New Roman" w:cs="Times New Roman"/>
          <w:sz w:val="24"/>
          <w:szCs w:val="24"/>
        </w:rPr>
        <w:t xml:space="preserve"> Available online: </w:t>
      </w:r>
      <w:hyperlink r:id="rId16" w:history="1">
        <w:r w:rsidRPr="00A702ED">
          <w:rPr>
            <w:rStyle w:val="Hyperlink"/>
            <w:rFonts w:ascii="Times New Roman" w:eastAsia="Calibri" w:hAnsi="Times New Roman" w:cs="Times New Roman"/>
            <w:sz w:val="24"/>
            <w:szCs w:val="24"/>
          </w:rPr>
          <w:t>https://genai.calstate.edu/communities/faculty/ethical-and-responsible-use-ai/ethical-principles-ai-framework-higher-education</w:t>
        </w:r>
      </w:hyperlink>
      <w:r w:rsidRPr="00A702ED">
        <w:rPr>
          <w:rFonts w:ascii="Times New Roman" w:eastAsia="Calibri" w:hAnsi="Times New Roman" w:cs="Times New Roman"/>
          <w:color w:val="4472C4" w:themeColor="accent1"/>
          <w:sz w:val="24"/>
          <w:szCs w:val="24"/>
          <w:u w:val="single"/>
        </w:rPr>
        <w:t xml:space="preserve"> </w:t>
      </w:r>
    </w:p>
    <w:p w14:paraId="51CC1B56" w14:textId="77777777" w:rsidR="00FF0BFE" w:rsidRPr="00A702ED" w:rsidRDefault="00FF0BFE" w:rsidP="00FF0BFE">
      <w:pPr>
        <w:spacing w:line="360" w:lineRule="auto"/>
        <w:ind w:left="567" w:hanging="567"/>
        <w:rPr>
          <w:rFonts w:ascii="Times New Roman" w:eastAsia="Calibri" w:hAnsi="Times New Roman" w:cs="Times New Roman"/>
          <w:color w:val="4472C4" w:themeColor="accent1"/>
          <w:sz w:val="24"/>
          <w:szCs w:val="24"/>
        </w:rPr>
      </w:pPr>
      <w:r w:rsidRPr="00A702ED">
        <w:rPr>
          <w:rFonts w:ascii="Times New Roman" w:eastAsia="Calibri" w:hAnsi="Times New Roman" w:cs="Times New Roman"/>
          <w:sz w:val="24"/>
          <w:szCs w:val="24"/>
        </w:rPr>
        <w:t xml:space="preserve">CAST. (2018). </w:t>
      </w:r>
      <w:r w:rsidRPr="00A702ED">
        <w:rPr>
          <w:rFonts w:ascii="Times New Roman" w:eastAsia="Calibri" w:hAnsi="Times New Roman" w:cs="Times New Roman"/>
          <w:i/>
          <w:iCs/>
          <w:sz w:val="24"/>
          <w:szCs w:val="24"/>
        </w:rPr>
        <w:t xml:space="preserve">Universal design for learning guidelines version </w:t>
      </w:r>
      <w:r w:rsidRPr="00A702ED">
        <w:rPr>
          <w:rFonts w:ascii="Times New Roman" w:eastAsia="Calibri" w:hAnsi="Times New Roman" w:cs="Times New Roman"/>
          <w:sz w:val="24"/>
          <w:szCs w:val="24"/>
        </w:rPr>
        <w:t xml:space="preserve">2.2. Available online: </w:t>
      </w:r>
      <w:hyperlink r:id="rId17" w:history="1">
        <w:r w:rsidRPr="00A702ED">
          <w:rPr>
            <w:rStyle w:val="Hyperlink"/>
            <w:rFonts w:ascii="Times New Roman" w:eastAsia="Calibri" w:hAnsi="Times New Roman" w:cs="Times New Roman"/>
            <w:sz w:val="24"/>
            <w:szCs w:val="24"/>
          </w:rPr>
          <w:t>http://udlguidelines.cast.org</w:t>
        </w:r>
      </w:hyperlink>
      <w:r w:rsidRPr="00A702ED">
        <w:rPr>
          <w:rFonts w:ascii="Times New Roman" w:eastAsia="Calibri" w:hAnsi="Times New Roman" w:cs="Times New Roman"/>
          <w:color w:val="4472C4" w:themeColor="accent1"/>
          <w:sz w:val="24"/>
          <w:szCs w:val="24"/>
        </w:rPr>
        <w:t xml:space="preserve"> </w:t>
      </w:r>
    </w:p>
    <w:p w14:paraId="1E419E11"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Chan, C. K. Y. (2023). A comprehensive AI policy education framework for university teaching and learning. </w:t>
      </w:r>
      <w:r w:rsidRPr="009A7300">
        <w:rPr>
          <w:rFonts w:ascii="Times New Roman" w:eastAsia="Calibri" w:hAnsi="Times New Roman" w:cs="Times New Roman"/>
          <w:i/>
          <w:iCs/>
          <w:sz w:val="24"/>
          <w:szCs w:val="24"/>
        </w:rPr>
        <w:t>International Journal of Educational Technology in Higher Education, 20</w:t>
      </w:r>
      <w:r w:rsidRPr="00A702ED">
        <w:rPr>
          <w:rFonts w:ascii="Times New Roman" w:eastAsia="Calibri" w:hAnsi="Times New Roman" w:cs="Times New Roman"/>
          <w:sz w:val="24"/>
          <w:szCs w:val="24"/>
        </w:rPr>
        <w:t xml:space="preserve">(1). </w:t>
      </w:r>
      <w:hyperlink r:id="rId18" w:history="1">
        <w:r w:rsidRPr="00A702ED">
          <w:rPr>
            <w:rStyle w:val="Hyperlink"/>
            <w:rFonts w:ascii="Times New Roman" w:eastAsia="Calibri" w:hAnsi="Times New Roman" w:cs="Times New Roman"/>
            <w:sz w:val="24"/>
            <w:szCs w:val="24"/>
          </w:rPr>
          <w:t>https://doi.org/10.1186/s41239-023-00408-3</w:t>
        </w:r>
      </w:hyperlink>
    </w:p>
    <w:p w14:paraId="5659B443"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Chandler, P., &amp; </w:t>
      </w:r>
      <w:proofErr w:type="spellStart"/>
      <w:r w:rsidRPr="00A702ED">
        <w:rPr>
          <w:rFonts w:ascii="Times New Roman" w:eastAsia="Calibri" w:hAnsi="Times New Roman" w:cs="Times New Roman"/>
          <w:sz w:val="24"/>
          <w:szCs w:val="24"/>
        </w:rPr>
        <w:t>Sweller</w:t>
      </w:r>
      <w:proofErr w:type="spellEnd"/>
      <w:r w:rsidRPr="00A702ED">
        <w:rPr>
          <w:rFonts w:ascii="Times New Roman" w:eastAsia="Calibri" w:hAnsi="Times New Roman" w:cs="Times New Roman"/>
          <w:sz w:val="24"/>
          <w:szCs w:val="24"/>
        </w:rPr>
        <w:t xml:space="preserve">, J. (1991). Cognitive load Theory and the format of instruction. </w:t>
      </w:r>
      <w:r w:rsidRPr="00CD54FB">
        <w:rPr>
          <w:rFonts w:ascii="Times New Roman" w:eastAsia="Calibri" w:hAnsi="Times New Roman" w:cs="Times New Roman"/>
          <w:i/>
          <w:iCs/>
          <w:sz w:val="24"/>
          <w:szCs w:val="24"/>
        </w:rPr>
        <w:t>Cognition and Instruction, 8</w:t>
      </w:r>
      <w:r w:rsidRPr="00A702ED">
        <w:rPr>
          <w:rFonts w:ascii="Times New Roman" w:eastAsia="Calibri" w:hAnsi="Times New Roman" w:cs="Times New Roman"/>
          <w:sz w:val="24"/>
          <w:szCs w:val="24"/>
        </w:rPr>
        <w:t xml:space="preserve">(4), 293–332. </w:t>
      </w:r>
      <w:hyperlink r:id="rId19" w:history="1">
        <w:r w:rsidRPr="00A702ED">
          <w:rPr>
            <w:rStyle w:val="Hyperlink"/>
            <w:rFonts w:ascii="Times New Roman" w:eastAsia="Calibri" w:hAnsi="Times New Roman" w:cs="Times New Roman"/>
            <w:sz w:val="24"/>
            <w:szCs w:val="24"/>
          </w:rPr>
          <w:t>https://doi.org/10.1207/s1532690xci0804_2</w:t>
        </w:r>
      </w:hyperlink>
    </w:p>
    <w:p w14:paraId="4A65501F"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EC7346">
        <w:rPr>
          <w:rFonts w:ascii="Times New Roman" w:eastAsia="Calibri" w:hAnsi="Times New Roman" w:cs="Times New Roman"/>
          <w:sz w:val="24"/>
          <w:szCs w:val="24"/>
        </w:rPr>
        <w:lastRenderedPageBreak/>
        <w:t xml:space="preserve">Chassignol, M., Khoroshavin, A., Klimova, A., &amp; Bilyatdinova, A. (2018). Artificial Intelligence trends in education: a narrative overview. </w:t>
      </w:r>
      <w:r w:rsidRPr="00EC7346">
        <w:rPr>
          <w:rFonts w:ascii="Times New Roman" w:eastAsia="Calibri" w:hAnsi="Times New Roman" w:cs="Times New Roman"/>
          <w:i/>
          <w:iCs/>
          <w:sz w:val="24"/>
          <w:szCs w:val="24"/>
        </w:rPr>
        <w:t>Procedia Computer Science, 136</w:t>
      </w:r>
      <w:r w:rsidRPr="00EC7346">
        <w:rPr>
          <w:rFonts w:ascii="Times New Roman" w:eastAsia="Calibri" w:hAnsi="Times New Roman" w:cs="Times New Roman"/>
          <w:sz w:val="24"/>
          <w:szCs w:val="24"/>
        </w:rPr>
        <w:t xml:space="preserve">, 16–24. </w:t>
      </w:r>
      <w:hyperlink r:id="rId20" w:history="1">
        <w:r w:rsidRPr="00EC7346">
          <w:rPr>
            <w:rStyle w:val="Hyperlink"/>
            <w:rFonts w:ascii="Times New Roman" w:eastAsia="Calibri" w:hAnsi="Times New Roman" w:cs="Times New Roman"/>
            <w:sz w:val="24"/>
            <w:szCs w:val="24"/>
          </w:rPr>
          <w:t>https://doi.org/10.1016/j.procs.2018.08.233</w:t>
        </w:r>
      </w:hyperlink>
    </w:p>
    <w:p w14:paraId="2BBF90AD" w14:textId="77777777" w:rsidR="00FF0BFE" w:rsidRDefault="00FF0BFE" w:rsidP="00FF0BFE">
      <w:pPr>
        <w:spacing w:line="360" w:lineRule="auto"/>
        <w:ind w:left="567" w:hanging="567"/>
      </w:pPr>
      <w:r w:rsidRPr="00A702ED">
        <w:rPr>
          <w:rFonts w:ascii="Times New Roman" w:eastAsia="Calibri" w:hAnsi="Times New Roman" w:cs="Times New Roman"/>
          <w:sz w:val="24"/>
          <w:szCs w:val="24"/>
        </w:rPr>
        <w:t xml:space="preserve">Chen, X., Zou, D., Cheng, G., &amp; Xie, H. (2020). Detecting latent topics and trends in educational technologies over four decades using structural topic modeling: A retrospective of all volumes of Computers &amp; Education. </w:t>
      </w:r>
      <w:r w:rsidRPr="00CD54FB">
        <w:rPr>
          <w:rFonts w:ascii="Times New Roman" w:eastAsia="Calibri" w:hAnsi="Times New Roman" w:cs="Times New Roman"/>
          <w:i/>
          <w:iCs/>
          <w:sz w:val="24"/>
          <w:szCs w:val="24"/>
        </w:rPr>
        <w:t>Computers &amp; Education, 151</w:t>
      </w:r>
      <w:r w:rsidRPr="00A702ED">
        <w:rPr>
          <w:rFonts w:ascii="Times New Roman" w:eastAsia="Calibri" w:hAnsi="Times New Roman" w:cs="Times New Roman"/>
          <w:sz w:val="24"/>
          <w:szCs w:val="24"/>
        </w:rPr>
        <w:t xml:space="preserve">, 103855. </w:t>
      </w:r>
      <w:hyperlink r:id="rId21" w:history="1">
        <w:r w:rsidRPr="00A702ED">
          <w:rPr>
            <w:rStyle w:val="Hyperlink"/>
            <w:rFonts w:ascii="Times New Roman" w:eastAsia="Calibri" w:hAnsi="Times New Roman" w:cs="Times New Roman"/>
            <w:sz w:val="24"/>
            <w:szCs w:val="24"/>
          </w:rPr>
          <w:t>https://doi.org/10.1016/j.compedu.2020.103855</w:t>
        </w:r>
      </w:hyperlink>
    </w:p>
    <w:p w14:paraId="6F1E0766"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Chick, J. C. (2025). AI-Enhanced Computational Thinking: A Comprehensive Review of Ethical Frameworks and Pedagogical Integration for Equitable Higher Education. </w:t>
      </w:r>
      <w:r w:rsidRPr="00A702ED">
        <w:rPr>
          <w:rFonts w:ascii="Times New Roman" w:eastAsia="Calibri" w:hAnsi="Times New Roman" w:cs="Times New Roman"/>
          <w:i/>
          <w:iCs/>
          <w:sz w:val="24"/>
          <w:szCs w:val="24"/>
        </w:rPr>
        <w:t>Education Sciences, 15</w:t>
      </w:r>
      <w:r w:rsidRPr="00A702ED">
        <w:rPr>
          <w:rFonts w:ascii="Times New Roman" w:eastAsia="Calibri" w:hAnsi="Times New Roman" w:cs="Times New Roman"/>
          <w:sz w:val="24"/>
          <w:szCs w:val="24"/>
        </w:rPr>
        <w:t xml:space="preserve">(11), 1515. </w:t>
      </w:r>
      <w:r w:rsidRPr="00A702ED">
        <w:rPr>
          <w:rFonts w:ascii="Times New Roman" w:eastAsia="Calibri" w:hAnsi="Times New Roman" w:cs="Times New Roman"/>
          <w:color w:val="4472C4" w:themeColor="accent1"/>
          <w:sz w:val="24"/>
          <w:szCs w:val="24"/>
          <w:u w:val="single"/>
        </w:rPr>
        <w:t>https://doi.org/ 10.3390/educsci15111515</w:t>
      </w:r>
    </w:p>
    <w:p w14:paraId="6E0EC9FD"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Chiu, T. K. (2021). Digital support for student engagement in blended learning based on self-determination theory. </w:t>
      </w:r>
      <w:r w:rsidRPr="00982884">
        <w:rPr>
          <w:rFonts w:ascii="Times New Roman" w:eastAsia="Calibri" w:hAnsi="Times New Roman" w:cs="Times New Roman"/>
          <w:i/>
          <w:iCs/>
          <w:sz w:val="24"/>
          <w:szCs w:val="24"/>
        </w:rPr>
        <w:t xml:space="preserve">Computers in Human </w:t>
      </w:r>
      <w:proofErr w:type="spellStart"/>
      <w:r w:rsidRPr="00982884">
        <w:rPr>
          <w:rFonts w:ascii="Times New Roman" w:eastAsia="Calibri" w:hAnsi="Times New Roman" w:cs="Times New Roman"/>
          <w:i/>
          <w:iCs/>
          <w:sz w:val="24"/>
          <w:szCs w:val="24"/>
        </w:rPr>
        <w:t>Behavior</w:t>
      </w:r>
      <w:proofErr w:type="spellEnd"/>
      <w:r w:rsidRPr="00982884">
        <w:rPr>
          <w:rFonts w:ascii="Times New Roman" w:eastAsia="Calibri" w:hAnsi="Times New Roman" w:cs="Times New Roman"/>
          <w:i/>
          <w:iCs/>
          <w:sz w:val="24"/>
          <w:szCs w:val="24"/>
        </w:rPr>
        <w:t>, 124</w:t>
      </w:r>
      <w:r w:rsidRPr="00A702ED">
        <w:rPr>
          <w:rFonts w:ascii="Times New Roman" w:eastAsia="Calibri" w:hAnsi="Times New Roman" w:cs="Times New Roman"/>
          <w:sz w:val="24"/>
          <w:szCs w:val="24"/>
        </w:rPr>
        <w:t xml:space="preserve">, 106909. </w:t>
      </w:r>
      <w:hyperlink r:id="rId22" w:history="1">
        <w:r w:rsidRPr="00A702ED">
          <w:rPr>
            <w:rStyle w:val="Hyperlink"/>
            <w:rFonts w:ascii="Times New Roman" w:eastAsia="Calibri" w:hAnsi="Times New Roman" w:cs="Times New Roman"/>
            <w:sz w:val="24"/>
            <w:szCs w:val="24"/>
          </w:rPr>
          <w:t>https://doi.org/10.1016/j.chb.2021.106909</w:t>
        </w:r>
      </w:hyperlink>
    </w:p>
    <w:p w14:paraId="4867EB84"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Chiu, T. K., &amp; Chai, C. (2020). Sustainable Curriculum Planning for Artificial Intelligence Education: A Self-Determination Theory Perspective. </w:t>
      </w:r>
      <w:r w:rsidRPr="00A16A4D">
        <w:rPr>
          <w:rFonts w:ascii="Times New Roman" w:eastAsia="Calibri" w:hAnsi="Times New Roman" w:cs="Times New Roman"/>
          <w:i/>
          <w:iCs/>
          <w:sz w:val="24"/>
          <w:szCs w:val="24"/>
        </w:rPr>
        <w:t>Sustainability, 12</w:t>
      </w:r>
      <w:r w:rsidRPr="00A702ED">
        <w:rPr>
          <w:rFonts w:ascii="Times New Roman" w:eastAsia="Calibri" w:hAnsi="Times New Roman" w:cs="Times New Roman"/>
          <w:sz w:val="24"/>
          <w:szCs w:val="24"/>
        </w:rPr>
        <w:t xml:space="preserve">(14), 5568. </w:t>
      </w:r>
      <w:hyperlink r:id="rId23" w:history="1">
        <w:r w:rsidRPr="00A702ED">
          <w:rPr>
            <w:rStyle w:val="Hyperlink"/>
            <w:rFonts w:ascii="Times New Roman" w:eastAsia="Calibri" w:hAnsi="Times New Roman" w:cs="Times New Roman"/>
            <w:sz w:val="24"/>
            <w:szCs w:val="24"/>
          </w:rPr>
          <w:t>https://doi.org/10.3390/su12145568</w:t>
        </w:r>
      </w:hyperlink>
    </w:p>
    <w:p w14:paraId="55C3037D"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Clark, R. C., &amp; Mayer, R. E. (2016). </w:t>
      </w:r>
      <w:r w:rsidRPr="00A702ED">
        <w:rPr>
          <w:rFonts w:ascii="Times New Roman" w:eastAsia="Calibri" w:hAnsi="Times New Roman" w:cs="Times New Roman"/>
          <w:i/>
          <w:iCs/>
          <w:sz w:val="24"/>
          <w:szCs w:val="24"/>
        </w:rPr>
        <w:t xml:space="preserve">E-learning and the science of instruction: Proven guidelines for consumers and designers of multimedia learning. </w:t>
      </w:r>
      <w:r w:rsidRPr="00A702ED">
        <w:rPr>
          <w:rFonts w:ascii="Times New Roman" w:eastAsia="Calibri" w:hAnsi="Times New Roman" w:cs="Times New Roman"/>
          <w:sz w:val="24"/>
          <w:szCs w:val="24"/>
        </w:rPr>
        <w:t xml:space="preserve">John Wiley &amp; Sons. </w:t>
      </w:r>
    </w:p>
    <w:p w14:paraId="3569B8C3"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Collins, A., Brown, J. S., &amp; Newman, S. E. (1989). Cognitive apprenticeship: Teaching the crafts of reading, writing, and mathematics. In L. B. Resnick (Ed.), </w:t>
      </w:r>
      <w:r w:rsidRPr="00A702ED">
        <w:rPr>
          <w:rFonts w:ascii="Times New Roman" w:eastAsia="Calibri" w:hAnsi="Times New Roman" w:cs="Times New Roman"/>
          <w:i/>
          <w:iCs/>
          <w:sz w:val="24"/>
          <w:szCs w:val="24"/>
        </w:rPr>
        <w:t xml:space="preserve">Knowing, learning, and instruction: Essays in </w:t>
      </w:r>
      <w:proofErr w:type="spellStart"/>
      <w:r w:rsidRPr="00A702ED">
        <w:rPr>
          <w:rFonts w:ascii="Times New Roman" w:eastAsia="Calibri" w:hAnsi="Times New Roman" w:cs="Times New Roman"/>
          <w:i/>
          <w:iCs/>
          <w:sz w:val="24"/>
          <w:szCs w:val="24"/>
        </w:rPr>
        <w:t>honor</w:t>
      </w:r>
      <w:proofErr w:type="spellEnd"/>
      <w:r w:rsidRPr="00A702ED">
        <w:rPr>
          <w:rFonts w:ascii="Times New Roman" w:eastAsia="Calibri" w:hAnsi="Times New Roman" w:cs="Times New Roman"/>
          <w:i/>
          <w:iCs/>
          <w:sz w:val="24"/>
          <w:szCs w:val="24"/>
        </w:rPr>
        <w:t xml:space="preserve"> of Robert Glaser </w:t>
      </w:r>
      <w:r w:rsidRPr="00A702ED">
        <w:rPr>
          <w:rFonts w:ascii="Times New Roman" w:eastAsia="Calibri" w:hAnsi="Times New Roman" w:cs="Times New Roman"/>
          <w:sz w:val="24"/>
          <w:szCs w:val="24"/>
        </w:rPr>
        <w:t xml:space="preserve">(pp. 453–494). </w:t>
      </w:r>
    </w:p>
    <w:p w14:paraId="33E1EF53"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Cotton, D. R. E., Cotton, P. A., &amp; Shipway, J. R. (2024). Chatting and cheating: Ensuring academic integrity in the era of ChatGPT. </w:t>
      </w:r>
      <w:r w:rsidRPr="0077384C">
        <w:rPr>
          <w:rFonts w:ascii="Times New Roman" w:eastAsia="Calibri" w:hAnsi="Times New Roman" w:cs="Times New Roman"/>
          <w:i/>
          <w:iCs/>
          <w:sz w:val="24"/>
          <w:szCs w:val="24"/>
        </w:rPr>
        <w:t>Innovations in Education and Teaching International, 61</w:t>
      </w:r>
      <w:r w:rsidRPr="00A702ED">
        <w:rPr>
          <w:rFonts w:ascii="Times New Roman" w:eastAsia="Calibri" w:hAnsi="Times New Roman" w:cs="Times New Roman"/>
          <w:sz w:val="24"/>
          <w:szCs w:val="24"/>
        </w:rPr>
        <w:t xml:space="preserve">(2), 228–239. </w:t>
      </w:r>
      <w:hyperlink r:id="rId24" w:history="1">
        <w:r w:rsidRPr="00A702ED">
          <w:rPr>
            <w:rStyle w:val="Hyperlink"/>
            <w:rFonts w:ascii="Times New Roman" w:eastAsia="Calibri" w:hAnsi="Times New Roman" w:cs="Times New Roman"/>
            <w:sz w:val="24"/>
            <w:szCs w:val="24"/>
          </w:rPr>
          <w:t>https://doi.org/10.1080/14703297.2023.2190148</w:t>
        </w:r>
      </w:hyperlink>
    </w:p>
    <w:p w14:paraId="7DA71EDC"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Danaher, J., Hogan, M. J., Noone, C., Kennedy, R., Behan, A., De Paor, A., Felzmann, H., </w:t>
      </w:r>
      <w:proofErr w:type="spellStart"/>
      <w:r w:rsidRPr="00A702ED">
        <w:rPr>
          <w:rFonts w:ascii="Times New Roman" w:eastAsia="Calibri" w:hAnsi="Times New Roman" w:cs="Times New Roman"/>
          <w:sz w:val="24"/>
          <w:szCs w:val="24"/>
        </w:rPr>
        <w:t>Haklay</w:t>
      </w:r>
      <w:proofErr w:type="spellEnd"/>
      <w:r w:rsidRPr="00A702ED">
        <w:rPr>
          <w:rFonts w:ascii="Times New Roman" w:eastAsia="Calibri" w:hAnsi="Times New Roman" w:cs="Times New Roman"/>
          <w:sz w:val="24"/>
          <w:szCs w:val="24"/>
        </w:rPr>
        <w:t xml:space="preserve">, M., Khoo, S., Morison, J., Murphy, M. H., </w:t>
      </w:r>
      <w:proofErr w:type="spellStart"/>
      <w:r w:rsidRPr="00A702ED">
        <w:rPr>
          <w:rFonts w:ascii="Times New Roman" w:eastAsia="Calibri" w:hAnsi="Times New Roman" w:cs="Times New Roman"/>
          <w:sz w:val="24"/>
          <w:szCs w:val="24"/>
        </w:rPr>
        <w:t>O’Brolchain</w:t>
      </w:r>
      <w:proofErr w:type="spellEnd"/>
      <w:r w:rsidRPr="00A702ED">
        <w:rPr>
          <w:rFonts w:ascii="Times New Roman" w:eastAsia="Calibri" w:hAnsi="Times New Roman" w:cs="Times New Roman"/>
          <w:sz w:val="24"/>
          <w:szCs w:val="24"/>
        </w:rPr>
        <w:t xml:space="preserve">, N., Schafer, B., &amp; Shankar, K. (2017). Algorithmic governance: Developing a research agenda through the power of collective intelligence. </w:t>
      </w:r>
      <w:r w:rsidRPr="0077384C">
        <w:rPr>
          <w:rFonts w:ascii="Times New Roman" w:eastAsia="Calibri" w:hAnsi="Times New Roman" w:cs="Times New Roman"/>
          <w:i/>
          <w:iCs/>
          <w:sz w:val="24"/>
          <w:szCs w:val="24"/>
        </w:rPr>
        <w:t>Big Data &amp; Society, 4</w:t>
      </w:r>
      <w:r w:rsidRPr="00A702ED">
        <w:rPr>
          <w:rFonts w:ascii="Times New Roman" w:eastAsia="Calibri" w:hAnsi="Times New Roman" w:cs="Times New Roman"/>
          <w:sz w:val="24"/>
          <w:szCs w:val="24"/>
        </w:rPr>
        <w:t xml:space="preserve">(2), 205395171772655. </w:t>
      </w:r>
      <w:hyperlink r:id="rId25" w:history="1">
        <w:r w:rsidRPr="00A702ED">
          <w:rPr>
            <w:rStyle w:val="Hyperlink"/>
            <w:rFonts w:ascii="Times New Roman" w:eastAsia="Calibri" w:hAnsi="Times New Roman" w:cs="Times New Roman"/>
            <w:sz w:val="24"/>
            <w:szCs w:val="24"/>
          </w:rPr>
          <w:t>https://doi.org/10.1177/2053951717726554</w:t>
        </w:r>
      </w:hyperlink>
    </w:p>
    <w:p w14:paraId="0F57EAB7"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Dawson, P., &amp; Sutherland-Smith, W. (2018). Can markers detect contract cheating? Results from a pilot study. </w:t>
      </w:r>
      <w:r w:rsidRPr="007C3D2C">
        <w:rPr>
          <w:rFonts w:ascii="Times New Roman" w:eastAsia="Calibri" w:hAnsi="Times New Roman" w:cs="Times New Roman"/>
          <w:i/>
          <w:iCs/>
          <w:sz w:val="24"/>
          <w:szCs w:val="24"/>
        </w:rPr>
        <w:t>Assessment &amp; Evaluation in Higher Education, 43</w:t>
      </w:r>
      <w:r w:rsidRPr="00A702ED">
        <w:rPr>
          <w:rFonts w:ascii="Times New Roman" w:eastAsia="Calibri" w:hAnsi="Times New Roman" w:cs="Times New Roman"/>
          <w:sz w:val="24"/>
          <w:szCs w:val="24"/>
        </w:rPr>
        <w:t xml:space="preserve">(2), 286–293. </w:t>
      </w:r>
      <w:hyperlink r:id="rId26" w:history="1">
        <w:r w:rsidRPr="00A702ED">
          <w:rPr>
            <w:rStyle w:val="Hyperlink"/>
            <w:rFonts w:ascii="Times New Roman" w:eastAsia="Calibri" w:hAnsi="Times New Roman" w:cs="Times New Roman"/>
            <w:sz w:val="24"/>
            <w:szCs w:val="24"/>
          </w:rPr>
          <w:t>https://doi.org/10.1080/02602938.2017.1336746</w:t>
        </w:r>
      </w:hyperlink>
    </w:p>
    <w:p w14:paraId="3AD42DA5"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lastRenderedPageBreak/>
        <w:t xml:space="preserve">Denny, P., Prather, J., Becker, B. A., Finnie-Ansley, J., Hellas, A., Leinonen, J., Luxton-Reilly, A., Reeves, B. N., Santos, E. A., &amp; Sarsa, S. (2024). Computing education in the era of generative AI. </w:t>
      </w:r>
      <w:r w:rsidRPr="000632B5">
        <w:rPr>
          <w:rFonts w:ascii="Times New Roman" w:eastAsia="Calibri" w:hAnsi="Times New Roman" w:cs="Times New Roman"/>
          <w:i/>
          <w:iCs/>
          <w:sz w:val="24"/>
          <w:szCs w:val="24"/>
        </w:rPr>
        <w:t>Communications of the ACM, 67</w:t>
      </w:r>
      <w:r w:rsidRPr="00A702ED">
        <w:rPr>
          <w:rFonts w:ascii="Times New Roman" w:eastAsia="Calibri" w:hAnsi="Times New Roman" w:cs="Times New Roman"/>
          <w:sz w:val="24"/>
          <w:szCs w:val="24"/>
        </w:rPr>
        <w:t xml:space="preserve">(2), 56–67. </w:t>
      </w:r>
      <w:hyperlink r:id="rId27" w:history="1">
        <w:r w:rsidRPr="00A702ED">
          <w:rPr>
            <w:rStyle w:val="Hyperlink"/>
            <w:rFonts w:ascii="Times New Roman" w:eastAsia="Calibri" w:hAnsi="Times New Roman" w:cs="Times New Roman"/>
            <w:sz w:val="24"/>
            <w:szCs w:val="24"/>
          </w:rPr>
          <w:t>https://doi.org/10.1145/3624720</w:t>
        </w:r>
      </w:hyperlink>
    </w:p>
    <w:p w14:paraId="78E7F17F"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Dignum, V. (2019). </w:t>
      </w:r>
      <w:r w:rsidRPr="000632B5">
        <w:rPr>
          <w:rFonts w:ascii="Times New Roman" w:eastAsia="Calibri" w:hAnsi="Times New Roman" w:cs="Times New Roman"/>
          <w:i/>
          <w:iCs/>
          <w:sz w:val="24"/>
          <w:szCs w:val="24"/>
        </w:rPr>
        <w:t>Responsible Artificial intelligence: How to develop and use AI in a responsible way.</w:t>
      </w:r>
      <w:r w:rsidRPr="00A702ED">
        <w:rPr>
          <w:rFonts w:ascii="Times New Roman" w:eastAsia="Calibri" w:hAnsi="Times New Roman" w:cs="Times New Roman"/>
          <w:sz w:val="24"/>
          <w:szCs w:val="24"/>
        </w:rPr>
        <w:t xml:space="preserve"> </w:t>
      </w:r>
      <w:hyperlink r:id="rId28" w:history="1">
        <w:r w:rsidRPr="00A702ED">
          <w:rPr>
            <w:rStyle w:val="Hyperlink"/>
            <w:rFonts w:ascii="Times New Roman" w:eastAsia="Calibri" w:hAnsi="Times New Roman" w:cs="Times New Roman"/>
            <w:sz w:val="24"/>
            <w:szCs w:val="24"/>
          </w:rPr>
          <w:t>https://doi.org/10.1007/978-3-030-30371-6</w:t>
        </w:r>
      </w:hyperlink>
    </w:p>
    <w:p w14:paraId="75289E2D"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Drachsler, H., &amp; Greller, W. (2016). </w:t>
      </w:r>
      <w:r w:rsidRPr="00A702ED">
        <w:rPr>
          <w:rFonts w:ascii="Times New Roman" w:eastAsia="Calibri" w:hAnsi="Times New Roman" w:cs="Times New Roman"/>
          <w:i/>
          <w:iCs/>
          <w:sz w:val="24"/>
          <w:szCs w:val="24"/>
        </w:rPr>
        <w:t>Privacy and analytics: It’s a DELICATE issue a checklist for trusted learning analytics.</w:t>
      </w:r>
      <w:r w:rsidRPr="00A702ED">
        <w:rPr>
          <w:rFonts w:ascii="Times New Roman" w:eastAsia="Calibri" w:hAnsi="Times New Roman" w:cs="Times New Roman"/>
          <w:sz w:val="24"/>
          <w:szCs w:val="24"/>
        </w:rPr>
        <w:t xml:space="preserve"> Proceedings of the Sixth International Conference on Learning Analytics &amp; Knowledge (pp. 89–98)</w:t>
      </w:r>
    </w:p>
    <w:p w14:paraId="32492D18"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EDUCAUSE. (2024). </w:t>
      </w:r>
      <w:r w:rsidRPr="00A702ED">
        <w:rPr>
          <w:rFonts w:ascii="Times New Roman" w:eastAsia="Calibri" w:hAnsi="Times New Roman" w:cs="Times New Roman"/>
          <w:i/>
          <w:iCs/>
          <w:sz w:val="24"/>
          <w:szCs w:val="24"/>
        </w:rPr>
        <w:t>2024 EDUCAUSE action plan: AI policies and guidelines.</w:t>
      </w:r>
      <w:r w:rsidRPr="00A702ED">
        <w:rPr>
          <w:rFonts w:ascii="Times New Roman" w:eastAsia="Calibri" w:hAnsi="Times New Roman" w:cs="Times New Roman"/>
          <w:sz w:val="24"/>
          <w:szCs w:val="24"/>
        </w:rPr>
        <w:t xml:space="preserve"> Available online: </w:t>
      </w:r>
      <w:r w:rsidRPr="00A702ED">
        <w:rPr>
          <w:rFonts w:ascii="Times New Roman" w:eastAsia="Calibri" w:hAnsi="Times New Roman" w:cs="Times New Roman"/>
          <w:color w:val="4472C4" w:themeColor="accent1"/>
          <w:sz w:val="24"/>
          <w:szCs w:val="24"/>
          <w:u w:val="single"/>
        </w:rPr>
        <w:t>https://www.educause.edu/research/2024/2024-educause-action-plan-ai-policies-and-guidelines</w:t>
      </w:r>
      <w:r w:rsidRPr="00A702ED">
        <w:rPr>
          <w:rFonts w:ascii="Times New Roman" w:eastAsia="Calibri" w:hAnsi="Times New Roman" w:cs="Times New Roman"/>
          <w:color w:val="4472C4" w:themeColor="accent1"/>
          <w:sz w:val="24"/>
          <w:szCs w:val="24"/>
        </w:rPr>
        <w:t xml:space="preserve"> </w:t>
      </w:r>
    </w:p>
    <w:p w14:paraId="3C53B83A" w14:textId="631D5D76"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 </w:t>
      </w:r>
      <w:proofErr w:type="spellStart"/>
      <w:r w:rsidRPr="00A702ED">
        <w:rPr>
          <w:rFonts w:ascii="Times New Roman" w:eastAsia="Calibri" w:hAnsi="Times New Roman" w:cs="Times New Roman"/>
          <w:sz w:val="24"/>
          <w:szCs w:val="24"/>
        </w:rPr>
        <w:t>Eglash</w:t>
      </w:r>
      <w:proofErr w:type="spellEnd"/>
      <w:r w:rsidRPr="00A702ED">
        <w:rPr>
          <w:rFonts w:ascii="Times New Roman" w:eastAsia="Calibri" w:hAnsi="Times New Roman" w:cs="Times New Roman"/>
          <w:sz w:val="24"/>
          <w:szCs w:val="24"/>
        </w:rPr>
        <w:t xml:space="preserve">, R., Gilbert, J. E., &amp; Foster, E. (2006). Toward culturally responsive computing education. </w:t>
      </w:r>
      <w:proofErr w:type="gramStart"/>
      <w:r w:rsidR="00FF1ECB">
        <w:rPr>
          <w:rFonts w:ascii="Times New Roman" w:eastAsia="Calibri" w:hAnsi="Times New Roman" w:cs="Times New Roman"/>
          <w:i/>
          <w:iCs/>
          <w:sz w:val="24"/>
          <w:szCs w:val="24"/>
        </w:rPr>
        <w:t>family</w:t>
      </w:r>
      <w:r w:rsidRPr="00A702ED">
        <w:rPr>
          <w:rFonts w:ascii="Times New Roman" w:eastAsia="Calibri" w:hAnsi="Times New Roman" w:cs="Times New Roman"/>
          <w:sz w:val="24"/>
          <w:szCs w:val="24"/>
        </w:rPr>
        <w:t>(</w:t>
      </w:r>
      <w:proofErr w:type="gramEnd"/>
      <w:r w:rsidRPr="00A702ED">
        <w:rPr>
          <w:rFonts w:ascii="Times New Roman" w:eastAsia="Calibri" w:hAnsi="Times New Roman" w:cs="Times New Roman"/>
          <w:sz w:val="24"/>
          <w:szCs w:val="24"/>
        </w:rPr>
        <w:t xml:space="preserve">7), 33–36. </w:t>
      </w:r>
      <w:hyperlink r:id="rId29" w:history="1">
        <w:r w:rsidRPr="00A702ED">
          <w:rPr>
            <w:rStyle w:val="Hyperlink"/>
            <w:rFonts w:ascii="Times New Roman" w:eastAsia="Calibri" w:hAnsi="Times New Roman" w:cs="Times New Roman"/>
            <w:sz w:val="24"/>
            <w:szCs w:val="24"/>
          </w:rPr>
          <w:t>https://doi.org/10.1145/2483852.2483864</w:t>
        </w:r>
      </w:hyperlink>
    </w:p>
    <w:p w14:paraId="72CF5FFC" w14:textId="77777777" w:rsidR="00FF0BFE" w:rsidRPr="00A702ED" w:rsidRDefault="00FF0BFE" w:rsidP="00FF0BFE">
      <w:pPr>
        <w:spacing w:after="0" w:line="360" w:lineRule="auto"/>
        <w:ind w:left="720" w:hanging="720"/>
        <w:jc w:val="both"/>
        <w:rPr>
          <w:rFonts w:ascii="Times New Roman" w:eastAsia="Calibri" w:hAnsi="Times New Roman" w:cs="Times New Roman"/>
          <w:color w:val="4472C4" w:themeColor="accent1"/>
          <w:sz w:val="24"/>
          <w:szCs w:val="24"/>
          <w:u w:val="single"/>
        </w:rPr>
      </w:pPr>
      <w:r w:rsidRPr="00A702ED">
        <w:rPr>
          <w:rFonts w:ascii="Times New Roman" w:eastAsia="Calibri" w:hAnsi="Times New Roman" w:cs="Times New Roman"/>
          <w:sz w:val="24"/>
          <w:szCs w:val="24"/>
        </w:rPr>
        <w:t xml:space="preserve">European Commission. (2021). </w:t>
      </w:r>
      <w:r w:rsidRPr="00A702ED">
        <w:rPr>
          <w:rFonts w:ascii="Times New Roman" w:eastAsia="Calibri" w:hAnsi="Times New Roman" w:cs="Times New Roman"/>
          <w:i/>
          <w:iCs/>
          <w:sz w:val="24"/>
          <w:szCs w:val="24"/>
        </w:rPr>
        <w:t xml:space="preserve">Proposal for a regulation of the European Parliament and of the Council laying down harmonised rules on artificial intelligence (artificial intelligence act). </w:t>
      </w:r>
      <w:proofErr w:type="gramStart"/>
      <w:r w:rsidRPr="00A702ED">
        <w:rPr>
          <w:rFonts w:ascii="Times New Roman" w:eastAsia="Calibri" w:hAnsi="Times New Roman" w:cs="Times New Roman"/>
          <w:i/>
          <w:iCs/>
          <w:sz w:val="24"/>
          <w:szCs w:val="24"/>
        </w:rPr>
        <w:t>COM(</w:t>
      </w:r>
      <w:proofErr w:type="gramEnd"/>
      <w:r w:rsidRPr="00A702ED">
        <w:rPr>
          <w:rFonts w:ascii="Times New Roman" w:eastAsia="Calibri" w:hAnsi="Times New Roman" w:cs="Times New Roman"/>
          <w:i/>
          <w:iCs/>
          <w:sz w:val="24"/>
          <w:szCs w:val="24"/>
        </w:rPr>
        <w:t>2021) 206 final.</w:t>
      </w:r>
      <w:r w:rsidRPr="00A702ED">
        <w:rPr>
          <w:rFonts w:ascii="Times New Roman" w:eastAsia="Calibri" w:hAnsi="Times New Roman" w:cs="Times New Roman"/>
          <w:sz w:val="24"/>
          <w:szCs w:val="24"/>
        </w:rPr>
        <w:t xml:space="preserve"> Available online: </w:t>
      </w:r>
      <w:r w:rsidRPr="00A702ED">
        <w:rPr>
          <w:rFonts w:ascii="Times New Roman" w:eastAsia="Calibri" w:hAnsi="Times New Roman" w:cs="Times New Roman"/>
          <w:color w:val="4472C4" w:themeColor="accent1"/>
          <w:sz w:val="24"/>
          <w:szCs w:val="24"/>
          <w:u w:val="single"/>
        </w:rPr>
        <w:t>https://eur-lex.europa.eu/legal content/EN/TXT/?</w:t>
      </w:r>
      <w:proofErr w:type="spellStart"/>
      <w:r w:rsidRPr="00A702ED">
        <w:rPr>
          <w:rFonts w:ascii="Times New Roman" w:eastAsia="Calibri" w:hAnsi="Times New Roman" w:cs="Times New Roman"/>
          <w:color w:val="4472C4" w:themeColor="accent1"/>
          <w:sz w:val="24"/>
          <w:szCs w:val="24"/>
          <w:u w:val="single"/>
        </w:rPr>
        <w:t>uri</w:t>
      </w:r>
      <w:proofErr w:type="spellEnd"/>
      <w:r w:rsidRPr="00A702ED">
        <w:rPr>
          <w:rFonts w:ascii="Times New Roman" w:eastAsia="Calibri" w:hAnsi="Times New Roman" w:cs="Times New Roman"/>
          <w:color w:val="4472C4" w:themeColor="accent1"/>
          <w:sz w:val="24"/>
          <w:szCs w:val="24"/>
          <w:u w:val="single"/>
        </w:rPr>
        <w:t xml:space="preserve">=CELEX:52021PC0206 </w:t>
      </w:r>
    </w:p>
    <w:p w14:paraId="18A23B5D" w14:textId="77777777" w:rsidR="00FF0BFE" w:rsidRPr="00A702ED" w:rsidRDefault="00FF0BFE" w:rsidP="00FF0BFE">
      <w:pPr>
        <w:spacing w:after="0" w:line="360" w:lineRule="auto"/>
        <w:ind w:left="720" w:hanging="720"/>
        <w:jc w:val="both"/>
        <w:rPr>
          <w:rFonts w:ascii="Times New Roman" w:eastAsia="Calibri" w:hAnsi="Times New Roman" w:cs="Times New Roman"/>
          <w:color w:val="4472C4" w:themeColor="accent1"/>
          <w:sz w:val="24"/>
          <w:szCs w:val="24"/>
          <w:u w:val="single"/>
        </w:rPr>
      </w:pPr>
      <w:r w:rsidRPr="00A702ED">
        <w:rPr>
          <w:rFonts w:ascii="Times New Roman" w:eastAsia="Calibri" w:hAnsi="Times New Roman" w:cs="Times New Roman"/>
          <w:sz w:val="24"/>
          <w:szCs w:val="24"/>
        </w:rPr>
        <w:t xml:space="preserve">Faculty Focus. (2025). </w:t>
      </w:r>
      <w:r w:rsidRPr="00A702ED">
        <w:rPr>
          <w:rFonts w:ascii="Times New Roman" w:eastAsia="Calibri" w:hAnsi="Times New Roman" w:cs="Times New Roman"/>
          <w:i/>
          <w:iCs/>
          <w:sz w:val="24"/>
          <w:szCs w:val="24"/>
        </w:rPr>
        <w:t>Crafting thoughtful AI policy in higher education: A guide for institutional leaders.</w:t>
      </w:r>
      <w:r w:rsidRPr="00A702ED">
        <w:rPr>
          <w:rFonts w:ascii="Times New Roman" w:eastAsia="Calibri" w:hAnsi="Times New Roman" w:cs="Times New Roman"/>
          <w:sz w:val="24"/>
          <w:szCs w:val="24"/>
        </w:rPr>
        <w:t xml:space="preserve"> Available online: </w:t>
      </w:r>
      <w:r w:rsidRPr="00A702ED">
        <w:rPr>
          <w:rFonts w:ascii="Times New Roman" w:eastAsia="Calibri" w:hAnsi="Times New Roman" w:cs="Times New Roman"/>
          <w:color w:val="4472C4" w:themeColor="accent1"/>
          <w:sz w:val="24"/>
          <w:szCs w:val="24"/>
          <w:u w:val="single"/>
        </w:rPr>
        <w:t>https://www.facultyfocus.com/articles/academic-leadership/crafting-thoughtful-ai-policy-in-higher-education-a-guide for-institutional-leaders</w:t>
      </w:r>
    </w:p>
    <w:p w14:paraId="22CC1928"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Floridi, L., Cowls, J., Beltrametti, M., Chatila, R., Chazerand, P., Dignum, V., Luetge, C., Madelin, R., Pagallo, U., Rossi, F., Schafer, B., Valcke, P., &amp; Vayena, E. (2018). AI4People—An Ethical Framework for a Good AI Society: Opportunities, risks, principles, and recommendations. </w:t>
      </w:r>
      <w:r w:rsidRPr="004B7954">
        <w:rPr>
          <w:rFonts w:ascii="Times New Roman" w:eastAsia="Calibri" w:hAnsi="Times New Roman" w:cs="Times New Roman"/>
          <w:i/>
          <w:iCs/>
          <w:sz w:val="24"/>
          <w:szCs w:val="24"/>
        </w:rPr>
        <w:t>Minds and Machines, 28</w:t>
      </w:r>
      <w:r w:rsidRPr="00A702ED">
        <w:rPr>
          <w:rFonts w:ascii="Times New Roman" w:eastAsia="Calibri" w:hAnsi="Times New Roman" w:cs="Times New Roman"/>
          <w:sz w:val="24"/>
          <w:szCs w:val="24"/>
        </w:rPr>
        <w:t xml:space="preserve">(4), 689–707. </w:t>
      </w:r>
      <w:hyperlink r:id="rId30" w:history="1">
        <w:r w:rsidRPr="00A702ED">
          <w:rPr>
            <w:rStyle w:val="Hyperlink"/>
            <w:rFonts w:ascii="Times New Roman" w:eastAsia="Calibri" w:hAnsi="Times New Roman" w:cs="Times New Roman"/>
            <w:sz w:val="24"/>
            <w:szCs w:val="24"/>
          </w:rPr>
          <w:t>https://doi.org/10.1007/s11023-018-9482-5</w:t>
        </w:r>
      </w:hyperlink>
    </w:p>
    <w:p w14:paraId="61D5686B"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Gardner, J., Brooks, C., &amp; Baker, R. (2019). </w:t>
      </w:r>
      <w:r w:rsidRPr="00A702ED">
        <w:rPr>
          <w:rFonts w:ascii="Times New Roman" w:eastAsia="Calibri" w:hAnsi="Times New Roman" w:cs="Times New Roman"/>
          <w:i/>
          <w:iCs/>
          <w:sz w:val="24"/>
          <w:szCs w:val="24"/>
        </w:rPr>
        <w:t xml:space="preserve">Evaluating the fairness of predictive student models through slicing analysis. </w:t>
      </w:r>
      <w:r w:rsidRPr="00A702ED">
        <w:rPr>
          <w:rFonts w:ascii="Times New Roman" w:eastAsia="Calibri" w:hAnsi="Times New Roman" w:cs="Times New Roman"/>
          <w:sz w:val="24"/>
          <w:szCs w:val="24"/>
        </w:rPr>
        <w:t>Proceedings of the 9th International Conference on Learning Analytics &amp; Knowledge (pp. 225–234</w:t>
      </w:r>
    </w:p>
    <w:p w14:paraId="5313C190"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proofErr w:type="spellStart"/>
      <w:r w:rsidRPr="00A702ED">
        <w:rPr>
          <w:rFonts w:ascii="Times New Roman" w:eastAsia="Calibri" w:hAnsi="Times New Roman" w:cs="Times New Roman"/>
          <w:sz w:val="24"/>
          <w:szCs w:val="24"/>
        </w:rPr>
        <w:t>Gašević</w:t>
      </w:r>
      <w:proofErr w:type="spellEnd"/>
      <w:r w:rsidRPr="00A702ED">
        <w:rPr>
          <w:rFonts w:ascii="Times New Roman" w:eastAsia="Calibri" w:hAnsi="Times New Roman" w:cs="Times New Roman"/>
          <w:sz w:val="24"/>
          <w:szCs w:val="24"/>
        </w:rPr>
        <w:t xml:space="preserve">, D., </w:t>
      </w:r>
      <w:proofErr w:type="spellStart"/>
      <w:r w:rsidRPr="00A702ED">
        <w:rPr>
          <w:rFonts w:ascii="Times New Roman" w:eastAsia="Calibri" w:hAnsi="Times New Roman" w:cs="Times New Roman"/>
          <w:sz w:val="24"/>
          <w:szCs w:val="24"/>
        </w:rPr>
        <w:t>Gašević</w:t>
      </w:r>
      <w:proofErr w:type="spellEnd"/>
      <w:r w:rsidRPr="00A702ED">
        <w:rPr>
          <w:rFonts w:ascii="Times New Roman" w:eastAsia="Calibri" w:hAnsi="Times New Roman" w:cs="Times New Roman"/>
          <w:sz w:val="24"/>
          <w:szCs w:val="24"/>
        </w:rPr>
        <w:t xml:space="preserve">, D., Dawson, S., Rogers, T., </w:t>
      </w:r>
      <w:proofErr w:type="spellStart"/>
      <w:r w:rsidRPr="00A702ED">
        <w:rPr>
          <w:rFonts w:ascii="Times New Roman" w:eastAsia="Calibri" w:hAnsi="Times New Roman" w:cs="Times New Roman"/>
          <w:sz w:val="24"/>
          <w:szCs w:val="24"/>
        </w:rPr>
        <w:t>Gasevic</w:t>
      </w:r>
      <w:proofErr w:type="spellEnd"/>
      <w:r w:rsidRPr="00A702ED">
        <w:rPr>
          <w:rFonts w:ascii="Times New Roman" w:eastAsia="Calibri" w:hAnsi="Times New Roman" w:cs="Times New Roman"/>
          <w:sz w:val="24"/>
          <w:szCs w:val="24"/>
        </w:rPr>
        <w:t xml:space="preserve">, D., &amp; </w:t>
      </w:r>
      <w:proofErr w:type="spellStart"/>
      <w:r w:rsidRPr="00A702ED">
        <w:rPr>
          <w:rFonts w:ascii="Times New Roman" w:eastAsia="Calibri" w:hAnsi="Times New Roman" w:cs="Times New Roman"/>
          <w:sz w:val="24"/>
          <w:szCs w:val="24"/>
        </w:rPr>
        <w:t>Gasevic</w:t>
      </w:r>
      <w:proofErr w:type="spellEnd"/>
      <w:r w:rsidRPr="00A702ED">
        <w:rPr>
          <w:rFonts w:ascii="Times New Roman" w:eastAsia="Calibri" w:hAnsi="Times New Roman" w:cs="Times New Roman"/>
          <w:sz w:val="24"/>
          <w:szCs w:val="24"/>
        </w:rPr>
        <w:t xml:space="preserve">, D. (2016). Learning analytics should not promote one size fits all: The effects of instructional conditions in predicting academic success. </w:t>
      </w:r>
      <w:r w:rsidRPr="006935D3">
        <w:rPr>
          <w:rFonts w:ascii="Times New Roman" w:eastAsia="Calibri" w:hAnsi="Times New Roman" w:cs="Times New Roman"/>
          <w:i/>
          <w:iCs/>
          <w:sz w:val="24"/>
          <w:szCs w:val="24"/>
        </w:rPr>
        <w:t>The Internet and Higher Education, 28,</w:t>
      </w:r>
      <w:r w:rsidRPr="00A702ED">
        <w:rPr>
          <w:rFonts w:ascii="Times New Roman" w:eastAsia="Calibri" w:hAnsi="Times New Roman" w:cs="Times New Roman"/>
          <w:sz w:val="24"/>
          <w:szCs w:val="24"/>
        </w:rPr>
        <w:t xml:space="preserve"> 68–84. </w:t>
      </w:r>
      <w:hyperlink r:id="rId31" w:history="1">
        <w:r w:rsidRPr="00A702ED">
          <w:rPr>
            <w:rStyle w:val="Hyperlink"/>
            <w:rFonts w:ascii="Times New Roman" w:eastAsia="Calibri" w:hAnsi="Times New Roman" w:cs="Times New Roman"/>
            <w:sz w:val="24"/>
            <w:szCs w:val="24"/>
          </w:rPr>
          <w:t>https://doi.org/10.1016/j.iheduc.2015.10.002</w:t>
        </w:r>
      </w:hyperlink>
    </w:p>
    <w:p w14:paraId="37F59258"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proofErr w:type="spellStart"/>
      <w:r w:rsidRPr="00A702ED">
        <w:rPr>
          <w:rFonts w:ascii="Times New Roman" w:eastAsia="Calibri" w:hAnsi="Times New Roman" w:cs="Times New Roman"/>
          <w:sz w:val="24"/>
          <w:szCs w:val="24"/>
        </w:rPr>
        <w:lastRenderedPageBreak/>
        <w:t>Gašević</w:t>
      </w:r>
      <w:proofErr w:type="spellEnd"/>
      <w:r w:rsidRPr="00A702ED">
        <w:rPr>
          <w:rFonts w:ascii="Times New Roman" w:eastAsia="Calibri" w:hAnsi="Times New Roman" w:cs="Times New Roman"/>
          <w:sz w:val="24"/>
          <w:szCs w:val="24"/>
        </w:rPr>
        <w:t xml:space="preserve">, D., </w:t>
      </w:r>
      <w:proofErr w:type="spellStart"/>
      <w:r w:rsidRPr="00A702ED">
        <w:rPr>
          <w:rFonts w:ascii="Times New Roman" w:eastAsia="Calibri" w:hAnsi="Times New Roman" w:cs="Times New Roman"/>
          <w:sz w:val="24"/>
          <w:szCs w:val="24"/>
        </w:rPr>
        <w:t>Kovanović</w:t>
      </w:r>
      <w:proofErr w:type="spellEnd"/>
      <w:r w:rsidRPr="00A702ED">
        <w:rPr>
          <w:rFonts w:ascii="Times New Roman" w:eastAsia="Calibri" w:hAnsi="Times New Roman" w:cs="Times New Roman"/>
          <w:sz w:val="24"/>
          <w:szCs w:val="24"/>
        </w:rPr>
        <w:t xml:space="preserve">, V., &amp; </w:t>
      </w:r>
      <w:proofErr w:type="spellStart"/>
      <w:r w:rsidRPr="00A702ED">
        <w:rPr>
          <w:rFonts w:ascii="Times New Roman" w:eastAsia="Calibri" w:hAnsi="Times New Roman" w:cs="Times New Roman"/>
          <w:sz w:val="24"/>
          <w:szCs w:val="24"/>
        </w:rPr>
        <w:t>Joksimović</w:t>
      </w:r>
      <w:proofErr w:type="spellEnd"/>
      <w:r w:rsidRPr="00A702ED">
        <w:rPr>
          <w:rFonts w:ascii="Times New Roman" w:eastAsia="Calibri" w:hAnsi="Times New Roman" w:cs="Times New Roman"/>
          <w:sz w:val="24"/>
          <w:szCs w:val="24"/>
        </w:rPr>
        <w:t xml:space="preserve">, S. (2017). Piecing the learning analytics puzzle: a consolidated model of a field of research and practice. </w:t>
      </w:r>
      <w:r w:rsidRPr="006935D3">
        <w:rPr>
          <w:rFonts w:ascii="Times New Roman" w:eastAsia="Calibri" w:hAnsi="Times New Roman" w:cs="Times New Roman"/>
          <w:i/>
          <w:iCs/>
          <w:sz w:val="24"/>
          <w:szCs w:val="24"/>
        </w:rPr>
        <w:t>Learning Research and Practice, 3</w:t>
      </w:r>
      <w:r w:rsidRPr="00A702ED">
        <w:rPr>
          <w:rFonts w:ascii="Times New Roman" w:eastAsia="Calibri" w:hAnsi="Times New Roman" w:cs="Times New Roman"/>
          <w:sz w:val="24"/>
          <w:szCs w:val="24"/>
        </w:rPr>
        <w:t xml:space="preserve">(1), 63–78. </w:t>
      </w:r>
      <w:hyperlink r:id="rId32" w:history="1">
        <w:r w:rsidRPr="00A702ED">
          <w:rPr>
            <w:rStyle w:val="Hyperlink"/>
            <w:rFonts w:ascii="Times New Roman" w:eastAsia="Calibri" w:hAnsi="Times New Roman" w:cs="Times New Roman"/>
            <w:sz w:val="24"/>
            <w:szCs w:val="24"/>
          </w:rPr>
          <w:t>https://doi.org/10.1080/23735082.2017.1286142</w:t>
        </w:r>
      </w:hyperlink>
    </w:p>
    <w:p w14:paraId="62FC1C6C"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Gay, G. (2018). </w:t>
      </w:r>
      <w:r w:rsidRPr="00A702ED">
        <w:rPr>
          <w:rFonts w:ascii="Times New Roman" w:eastAsia="Calibri" w:hAnsi="Times New Roman" w:cs="Times New Roman"/>
          <w:i/>
          <w:iCs/>
          <w:sz w:val="24"/>
          <w:szCs w:val="24"/>
        </w:rPr>
        <w:t>Culturally responsive teaching: Theory, research, and practice</w:t>
      </w:r>
      <w:r w:rsidRPr="00A702ED">
        <w:rPr>
          <w:rFonts w:ascii="Times New Roman" w:eastAsia="Calibri" w:hAnsi="Times New Roman" w:cs="Times New Roman"/>
          <w:sz w:val="24"/>
          <w:szCs w:val="24"/>
        </w:rPr>
        <w:t>. Teachers College Press</w:t>
      </w:r>
    </w:p>
    <w:p w14:paraId="7CDB4EFF"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González, N., Moll, L. C., &amp; Amanti, C. (2005). </w:t>
      </w:r>
      <w:r w:rsidRPr="00AE12B6">
        <w:rPr>
          <w:rFonts w:ascii="Times New Roman" w:eastAsia="Calibri" w:hAnsi="Times New Roman" w:cs="Times New Roman"/>
          <w:i/>
          <w:iCs/>
          <w:sz w:val="24"/>
          <w:szCs w:val="24"/>
        </w:rPr>
        <w:t>Funds of Knowledge: Theorizing practices in households, communities, and classrooms.</w:t>
      </w:r>
      <w:r w:rsidRPr="00A702ED">
        <w:rPr>
          <w:rFonts w:ascii="Times New Roman" w:eastAsia="Calibri" w:hAnsi="Times New Roman" w:cs="Times New Roman"/>
          <w:sz w:val="24"/>
          <w:szCs w:val="24"/>
        </w:rPr>
        <w:t xml:space="preserve"> (pp. 47–70). </w:t>
      </w:r>
      <w:hyperlink r:id="rId33" w:history="1">
        <w:r w:rsidRPr="00A702ED">
          <w:rPr>
            <w:rStyle w:val="Hyperlink"/>
            <w:rFonts w:ascii="Times New Roman" w:eastAsia="Calibri" w:hAnsi="Times New Roman" w:cs="Times New Roman"/>
            <w:sz w:val="24"/>
            <w:szCs w:val="24"/>
          </w:rPr>
          <w:t>http://bvbr.bib-bvb.de:8991/F?func=service&amp;doc_library=BVB01&amp;local_base=BVB01&amp;doc_number=025955696&amp;sequence=000002&amp;line_number=0001&amp;func_code=DB_RECORDS&amp;service_type=MEDIA</w:t>
        </w:r>
      </w:hyperlink>
    </w:p>
    <w:p w14:paraId="04727ED5" w14:textId="77777777" w:rsidR="00FF0BFE" w:rsidRPr="00A702ED" w:rsidRDefault="00FF0BFE" w:rsidP="00FF0BFE">
      <w:pPr>
        <w:spacing w:line="360" w:lineRule="auto"/>
        <w:ind w:left="567" w:hanging="567"/>
        <w:rPr>
          <w:rFonts w:ascii="Times New Roman" w:eastAsia="Calibri" w:hAnsi="Times New Roman" w:cs="Times New Roman"/>
          <w:sz w:val="24"/>
          <w:szCs w:val="24"/>
        </w:rPr>
      </w:pPr>
      <w:proofErr w:type="spellStart"/>
      <w:r w:rsidRPr="00A702ED">
        <w:rPr>
          <w:rFonts w:ascii="Times New Roman" w:eastAsia="Calibri" w:hAnsi="Times New Roman" w:cs="Times New Roman"/>
          <w:sz w:val="24"/>
          <w:szCs w:val="24"/>
        </w:rPr>
        <w:t>Gouseti</w:t>
      </w:r>
      <w:proofErr w:type="spellEnd"/>
      <w:r w:rsidRPr="00A702ED">
        <w:rPr>
          <w:rFonts w:ascii="Times New Roman" w:eastAsia="Calibri" w:hAnsi="Times New Roman" w:cs="Times New Roman"/>
          <w:sz w:val="24"/>
          <w:szCs w:val="24"/>
        </w:rPr>
        <w:t xml:space="preserve">, A., James, F., Fallin, L., &amp; Burden, K. (2024). The ethics of using AI in K-12 education: a systematic literature review. </w:t>
      </w:r>
      <w:r w:rsidRPr="00AE12B6">
        <w:rPr>
          <w:rFonts w:ascii="Times New Roman" w:eastAsia="Calibri" w:hAnsi="Times New Roman" w:cs="Times New Roman"/>
          <w:i/>
          <w:iCs/>
          <w:sz w:val="24"/>
          <w:szCs w:val="24"/>
        </w:rPr>
        <w:t>Technology Pedagogy and Education, 34</w:t>
      </w:r>
      <w:r w:rsidRPr="00A702ED">
        <w:rPr>
          <w:rFonts w:ascii="Times New Roman" w:eastAsia="Calibri" w:hAnsi="Times New Roman" w:cs="Times New Roman"/>
          <w:sz w:val="24"/>
          <w:szCs w:val="24"/>
        </w:rPr>
        <w:t xml:space="preserve">(2), 161–182. </w:t>
      </w:r>
      <w:hyperlink r:id="rId34" w:history="1">
        <w:r w:rsidRPr="00A702ED">
          <w:rPr>
            <w:rStyle w:val="Hyperlink"/>
            <w:rFonts w:ascii="Times New Roman" w:eastAsia="Calibri" w:hAnsi="Times New Roman" w:cs="Times New Roman"/>
            <w:sz w:val="24"/>
            <w:szCs w:val="24"/>
          </w:rPr>
          <w:t>https://doi.org/10.1080/1475939x.2024.2428601</w:t>
        </w:r>
      </w:hyperlink>
    </w:p>
    <w:p w14:paraId="37785DF6"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Govender, I. (2016). The learning context: Influence on learning to program. </w:t>
      </w:r>
      <w:r w:rsidRPr="00AE12B6">
        <w:rPr>
          <w:rFonts w:ascii="Times New Roman" w:eastAsia="Calibri" w:hAnsi="Times New Roman" w:cs="Times New Roman"/>
          <w:i/>
          <w:iCs/>
          <w:sz w:val="24"/>
          <w:szCs w:val="24"/>
        </w:rPr>
        <w:t>Computers &amp; Education, 53</w:t>
      </w:r>
      <w:r w:rsidRPr="00A702ED">
        <w:rPr>
          <w:rFonts w:ascii="Times New Roman" w:eastAsia="Calibri" w:hAnsi="Times New Roman" w:cs="Times New Roman"/>
          <w:sz w:val="24"/>
          <w:szCs w:val="24"/>
        </w:rPr>
        <w:t xml:space="preserve">(4), 1218–1230. </w:t>
      </w:r>
      <w:hyperlink r:id="rId35" w:history="1">
        <w:r w:rsidRPr="00A702ED">
          <w:rPr>
            <w:rStyle w:val="Hyperlink"/>
            <w:rFonts w:ascii="Times New Roman" w:eastAsia="Calibri" w:hAnsi="Times New Roman" w:cs="Times New Roman"/>
            <w:sz w:val="24"/>
            <w:szCs w:val="24"/>
          </w:rPr>
          <w:t>https://doi.org/10.1016/j.compedu.2009.06.005</w:t>
        </w:r>
      </w:hyperlink>
    </w:p>
    <w:p w14:paraId="1FB98321"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Government of Canada. (2023). </w:t>
      </w:r>
      <w:r w:rsidRPr="00A702ED">
        <w:rPr>
          <w:rFonts w:ascii="Times New Roman" w:eastAsia="Calibri" w:hAnsi="Times New Roman" w:cs="Times New Roman"/>
          <w:i/>
          <w:iCs/>
          <w:sz w:val="24"/>
          <w:szCs w:val="24"/>
        </w:rPr>
        <w:t xml:space="preserve">Artificial intelligence and data commissioner: Annual report 2023. </w:t>
      </w:r>
      <w:r w:rsidRPr="00A702ED">
        <w:rPr>
          <w:rFonts w:ascii="Times New Roman" w:eastAsia="Calibri" w:hAnsi="Times New Roman" w:cs="Times New Roman"/>
          <w:sz w:val="24"/>
          <w:szCs w:val="24"/>
        </w:rPr>
        <w:t xml:space="preserve">Available online: </w:t>
      </w:r>
      <w:r w:rsidRPr="00A702ED">
        <w:rPr>
          <w:rFonts w:ascii="Times New Roman" w:eastAsia="Calibri" w:hAnsi="Times New Roman" w:cs="Times New Roman"/>
          <w:color w:val="4472C4" w:themeColor="accent1"/>
          <w:sz w:val="24"/>
          <w:szCs w:val="24"/>
          <w:u w:val="single"/>
        </w:rPr>
        <w:t>https://www.priv.gc.ca/en/opc-actions-and-decisions/ar_index/202223/ar_202223/</w:t>
      </w:r>
      <w:r w:rsidRPr="00A702ED">
        <w:rPr>
          <w:rFonts w:ascii="Times New Roman" w:eastAsia="Calibri" w:hAnsi="Times New Roman" w:cs="Times New Roman"/>
          <w:color w:val="4472C4" w:themeColor="accent1"/>
          <w:sz w:val="24"/>
          <w:szCs w:val="24"/>
        </w:rPr>
        <w:t xml:space="preserve"> </w:t>
      </w:r>
    </w:p>
    <w:p w14:paraId="2AE85DE2" w14:textId="77777777" w:rsidR="00FF0BFE" w:rsidRPr="00A702ED" w:rsidRDefault="00FF0BFE" w:rsidP="00FF0BFE">
      <w:pPr>
        <w:spacing w:line="360" w:lineRule="auto"/>
        <w:ind w:left="567" w:hanging="567"/>
        <w:rPr>
          <w:rFonts w:ascii="Times New Roman" w:hAnsi="Times New Roman" w:cs="Times New Roman"/>
          <w:sz w:val="24"/>
          <w:szCs w:val="24"/>
        </w:rPr>
      </w:pPr>
      <w:r w:rsidRPr="00A05631">
        <w:rPr>
          <w:rFonts w:ascii="Times New Roman" w:hAnsi="Times New Roman" w:cs="Times New Roman"/>
          <w:sz w:val="24"/>
          <w:szCs w:val="24"/>
        </w:rPr>
        <w:t xml:space="preserve">Grant, M. J., &amp; Booth, A. (2009). A typology of reviews: An analysis of 14 review types and associated methodologies. </w:t>
      </w:r>
      <w:r w:rsidRPr="00A05631">
        <w:rPr>
          <w:rFonts w:ascii="Times New Roman" w:hAnsi="Times New Roman" w:cs="Times New Roman"/>
          <w:i/>
          <w:iCs/>
          <w:sz w:val="24"/>
          <w:szCs w:val="24"/>
        </w:rPr>
        <w:t>Health Information &amp;Libraries Journal, 26</w:t>
      </w:r>
      <w:r w:rsidRPr="00A05631">
        <w:rPr>
          <w:rFonts w:ascii="Times New Roman" w:hAnsi="Times New Roman" w:cs="Times New Roman"/>
          <w:sz w:val="24"/>
          <w:szCs w:val="24"/>
        </w:rPr>
        <w:t>(2), 91–108</w:t>
      </w:r>
    </w:p>
    <w:p w14:paraId="2F667939"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Grover, S., &amp; Pea, R. (2013). Computational thinking in K–12: A review of the state of the field. </w:t>
      </w:r>
      <w:r w:rsidRPr="00A702ED">
        <w:rPr>
          <w:rFonts w:ascii="Times New Roman" w:eastAsia="Calibri" w:hAnsi="Times New Roman" w:cs="Times New Roman"/>
          <w:i/>
          <w:iCs/>
          <w:sz w:val="24"/>
          <w:szCs w:val="24"/>
        </w:rPr>
        <w:t>Educational Researcher, 42</w:t>
      </w:r>
      <w:r w:rsidRPr="00A702ED">
        <w:rPr>
          <w:rFonts w:ascii="Times New Roman" w:eastAsia="Calibri" w:hAnsi="Times New Roman" w:cs="Times New Roman"/>
          <w:sz w:val="24"/>
          <w:szCs w:val="24"/>
        </w:rPr>
        <w:t xml:space="preserve">(1), 38–43. </w:t>
      </w:r>
    </w:p>
    <w:p w14:paraId="09455C8C" w14:textId="77777777" w:rsidR="00FF0BFE" w:rsidRPr="00A702ED" w:rsidRDefault="00FF0BFE" w:rsidP="00FF0BFE">
      <w:pPr>
        <w:spacing w:line="360" w:lineRule="auto"/>
        <w:ind w:left="567" w:hanging="567"/>
        <w:rPr>
          <w:rFonts w:ascii="Times New Roman" w:eastAsia="Calibri" w:hAnsi="Times New Roman" w:cs="Times New Roman"/>
          <w:color w:val="4472C4" w:themeColor="accent1"/>
          <w:sz w:val="24"/>
          <w:szCs w:val="24"/>
          <w:u w:val="single"/>
        </w:rPr>
      </w:pPr>
      <w:r w:rsidRPr="00A702ED">
        <w:rPr>
          <w:rFonts w:ascii="Times New Roman" w:eastAsia="Calibri" w:hAnsi="Times New Roman" w:cs="Times New Roman"/>
          <w:sz w:val="24"/>
          <w:szCs w:val="24"/>
        </w:rPr>
        <w:t xml:space="preserve">Harvard University. (2023). </w:t>
      </w:r>
      <w:r w:rsidRPr="00A702ED">
        <w:rPr>
          <w:rFonts w:ascii="Times New Roman" w:eastAsia="Calibri" w:hAnsi="Times New Roman" w:cs="Times New Roman"/>
          <w:i/>
          <w:iCs/>
          <w:sz w:val="24"/>
          <w:szCs w:val="24"/>
        </w:rPr>
        <w:t>Artificial intelligence at Harvard: Guidance for students.</w:t>
      </w:r>
      <w:r w:rsidRPr="00A702ED">
        <w:rPr>
          <w:rFonts w:ascii="Times New Roman" w:eastAsia="Calibri" w:hAnsi="Times New Roman" w:cs="Times New Roman"/>
          <w:sz w:val="24"/>
          <w:szCs w:val="24"/>
        </w:rPr>
        <w:t xml:space="preserve"> Available online: </w:t>
      </w:r>
      <w:r w:rsidRPr="00A702ED">
        <w:rPr>
          <w:rFonts w:ascii="Times New Roman" w:eastAsia="Calibri" w:hAnsi="Times New Roman" w:cs="Times New Roman"/>
          <w:color w:val="4472C4" w:themeColor="accent1"/>
          <w:sz w:val="24"/>
          <w:szCs w:val="24"/>
          <w:u w:val="single"/>
        </w:rPr>
        <w:t>https://provost.harvard.edu/ guidelines-using-</w:t>
      </w:r>
      <w:proofErr w:type="spellStart"/>
      <w:r w:rsidRPr="00A702ED">
        <w:rPr>
          <w:rFonts w:ascii="Times New Roman" w:eastAsia="Calibri" w:hAnsi="Times New Roman" w:cs="Times New Roman"/>
          <w:color w:val="4472C4" w:themeColor="accent1"/>
          <w:sz w:val="24"/>
          <w:szCs w:val="24"/>
          <w:u w:val="single"/>
        </w:rPr>
        <w:t>chatgpt</w:t>
      </w:r>
      <w:proofErr w:type="spellEnd"/>
      <w:r w:rsidRPr="00A702ED">
        <w:rPr>
          <w:rFonts w:ascii="Times New Roman" w:eastAsia="Calibri" w:hAnsi="Times New Roman" w:cs="Times New Roman"/>
          <w:color w:val="4472C4" w:themeColor="accent1"/>
          <w:sz w:val="24"/>
          <w:szCs w:val="24"/>
          <w:u w:val="single"/>
        </w:rPr>
        <w:t>-and-other-generative-ai-tools-</w:t>
      </w:r>
      <w:proofErr w:type="spellStart"/>
      <w:r w:rsidRPr="00A702ED">
        <w:rPr>
          <w:rFonts w:ascii="Times New Roman" w:eastAsia="Calibri" w:hAnsi="Times New Roman" w:cs="Times New Roman"/>
          <w:color w:val="4472C4" w:themeColor="accent1"/>
          <w:sz w:val="24"/>
          <w:szCs w:val="24"/>
          <w:u w:val="single"/>
        </w:rPr>
        <w:t>harvard</w:t>
      </w:r>
      <w:proofErr w:type="spellEnd"/>
      <w:r w:rsidRPr="00A702ED">
        <w:rPr>
          <w:rFonts w:ascii="Times New Roman" w:eastAsia="Calibri" w:hAnsi="Times New Roman" w:cs="Times New Roman"/>
          <w:color w:val="4472C4" w:themeColor="accent1"/>
          <w:sz w:val="24"/>
          <w:szCs w:val="24"/>
          <w:u w:val="single"/>
        </w:rPr>
        <w:t xml:space="preserve"> </w:t>
      </w:r>
    </w:p>
    <w:p w14:paraId="44FC1C5C"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Holmes, W., Bialik, M., &amp; Fadel, C. (2019). </w:t>
      </w:r>
      <w:r w:rsidRPr="00B21771">
        <w:rPr>
          <w:rFonts w:ascii="Times New Roman" w:eastAsia="Calibri" w:hAnsi="Times New Roman" w:cs="Times New Roman"/>
          <w:i/>
          <w:iCs/>
          <w:sz w:val="24"/>
          <w:szCs w:val="24"/>
        </w:rPr>
        <w:t>Artificial intelligence in Education: Promises and implications for teaching and learning.</w:t>
      </w:r>
      <w:r w:rsidRPr="00A702ED">
        <w:rPr>
          <w:rFonts w:ascii="Times New Roman" w:eastAsia="Calibri" w:hAnsi="Times New Roman" w:cs="Times New Roman"/>
          <w:sz w:val="24"/>
          <w:szCs w:val="24"/>
        </w:rPr>
        <w:t xml:space="preserve"> In Open Research Online (The Open University).</w:t>
      </w:r>
    </w:p>
    <w:p w14:paraId="16D8C36D"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Holmes, W., </w:t>
      </w:r>
      <w:proofErr w:type="spellStart"/>
      <w:r w:rsidRPr="00A702ED">
        <w:rPr>
          <w:rFonts w:ascii="Times New Roman" w:eastAsia="Calibri" w:hAnsi="Times New Roman" w:cs="Times New Roman"/>
          <w:sz w:val="24"/>
          <w:szCs w:val="24"/>
        </w:rPr>
        <w:t>Porayska-Pomsta</w:t>
      </w:r>
      <w:proofErr w:type="spellEnd"/>
      <w:r w:rsidRPr="00A702ED">
        <w:rPr>
          <w:rFonts w:ascii="Times New Roman" w:eastAsia="Calibri" w:hAnsi="Times New Roman" w:cs="Times New Roman"/>
          <w:sz w:val="24"/>
          <w:szCs w:val="24"/>
        </w:rPr>
        <w:t xml:space="preserve">, K., Holstein, K., Sutherland, E., Baker, T., Shum, S. B., Santos, O. C., Rodrigo, M. T., </w:t>
      </w:r>
      <w:proofErr w:type="spellStart"/>
      <w:r w:rsidRPr="00A702ED">
        <w:rPr>
          <w:rFonts w:ascii="Times New Roman" w:eastAsia="Calibri" w:hAnsi="Times New Roman" w:cs="Times New Roman"/>
          <w:sz w:val="24"/>
          <w:szCs w:val="24"/>
        </w:rPr>
        <w:t>Cukurova</w:t>
      </w:r>
      <w:proofErr w:type="spellEnd"/>
      <w:r w:rsidRPr="00A702ED">
        <w:rPr>
          <w:rFonts w:ascii="Times New Roman" w:eastAsia="Calibri" w:hAnsi="Times New Roman" w:cs="Times New Roman"/>
          <w:sz w:val="24"/>
          <w:szCs w:val="24"/>
        </w:rPr>
        <w:t xml:space="preserve">, M., Bittencourt, I. I., &amp; Koedinger, K. R. (2022). Ethics of AI in Education: Towards a Community-Wide framework. </w:t>
      </w:r>
      <w:r w:rsidRPr="00B21771">
        <w:rPr>
          <w:rFonts w:ascii="Times New Roman" w:eastAsia="Calibri" w:hAnsi="Times New Roman" w:cs="Times New Roman"/>
          <w:i/>
          <w:iCs/>
          <w:sz w:val="24"/>
          <w:szCs w:val="24"/>
        </w:rPr>
        <w:lastRenderedPageBreak/>
        <w:t>International Journal of Artificial Intelligence in Education, 32</w:t>
      </w:r>
      <w:r w:rsidRPr="00A702ED">
        <w:rPr>
          <w:rFonts w:ascii="Times New Roman" w:eastAsia="Calibri" w:hAnsi="Times New Roman" w:cs="Times New Roman"/>
          <w:sz w:val="24"/>
          <w:szCs w:val="24"/>
        </w:rPr>
        <w:t xml:space="preserve">(3), 504–526. </w:t>
      </w:r>
      <w:hyperlink r:id="rId36" w:history="1">
        <w:r w:rsidRPr="00A702ED">
          <w:rPr>
            <w:rStyle w:val="Hyperlink"/>
            <w:rFonts w:ascii="Times New Roman" w:eastAsia="Calibri" w:hAnsi="Times New Roman" w:cs="Times New Roman"/>
            <w:sz w:val="24"/>
            <w:szCs w:val="24"/>
          </w:rPr>
          <w:t>https://doi.org/10.1007/s40593-021-00239-1</w:t>
        </w:r>
      </w:hyperlink>
    </w:p>
    <w:p w14:paraId="14CDE373"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Holstein, K., McLaren, B. M., &amp; </w:t>
      </w:r>
      <w:proofErr w:type="spellStart"/>
      <w:r w:rsidRPr="00A702ED">
        <w:rPr>
          <w:rFonts w:ascii="Times New Roman" w:eastAsia="Calibri" w:hAnsi="Times New Roman" w:cs="Times New Roman"/>
          <w:sz w:val="24"/>
          <w:szCs w:val="24"/>
        </w:rPr>
        <w:t>Aleven</w:t>
      </w:r>
      <w:proofErr w:type="spellEnd"/>
      <w:r w:rsidRPr="00A702ED">
        <w:rPr>
          <w:rFonts w:ascii="Times New Roman" w:eastAsia="Calibri" w:hAnsi="Times New Roman" w:cs="Times New Roman"/>
          <w:sz w:val="24"/>
          <w:szCs w:val="24"/>
        </w:rPr>
        <w:t xml:space="preserve">, V. (2019). Co-Designing a Real-Time classroom orchestration tool to support Teacher–AI complementarity. </w:t>
      </w:r>
      <w:r w:rsidRPr="00B21771">
        <w:rPr>
          <w:rFonts w:ascii="Times New Roman" w:eastAsia="Calibri" w:hAnsi="Times New Roman" w:cs="Times New Roman"/>
          <w:i/>
          <w:iCs/>
          <w:sz w:val="24"/>
          <w:szCs w:val="24"/>
        </w:rPr>
        <w:t>Journal of Learning Analytics, 6</w:t>
      </w:r>
      <w:r w:rsidRPr="00A702ED">
        <w:rPr>
          <w:rFonts w:ascii="Times New Roman" w:eastAsia="Calibri" w:hAnsi="Times New Roman" w:cs="Times New Roman"/>
          <w:sz w:val="24"/>
          <w:szCs w:val="24"/>
        </w:rPr>
        <w:t xml:space="preserve">(2). </w:t>
      </w:r>
      <w:hyperlink r:id="rId37" w:history="1">
        <w:r w:rsidRPr="00A702ED">
          <w:rPr>
            <w:rStyle w:val="Hyperlink"/>
            <w:rFonts w:ascii="Times New Roman" w:eastAsia="Calibri" w:hAnsi="Times New Roman" w:cs="Times New Roman"/>
            <w:sz w:val="24"/>
            <w:szCs w:val="24"/>
          </w:rPr>
          <w:t>https://doi.org/10.18608/jla.2019.62.3</w:t>
        </w:r>
      </w:hyperlink>
    </w:p>
    <w:p w14:paraId="399B64C1"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53214D">
        <w:rPr>
          <w:rFonts w:ascii="Times New Roman" w:eastAsia="Calibri" w:hAnsi="Times New Roman" w:cs="Times New Roman"/>
          <w:sz w:val="24"/>
          <w:szCs w:val="24"/>
        </w:rPr>
        <w:t xml:space="preserve">Hsu, H. (2025). From Programming to Prompting: Developing Computational Thinking through Large Language Model-Based Generative Artificial Intelligence. </w:t>
      </w:r>
      <w:proofErr w:type="spellStart"/>
      <w:r w:rsidRPr="0053214D">
        <w:rPr>
          <w:rFonts w:ascii="Times New Roman" w:eastAsia="Calibri" w:hAnsi="Times New Roman" w:cs="Times New Roman"/>
          <w:i/>
          <w:iCs/>
          <w:sz w:val="24"/>
          <w:szCs w:val="24"/>
        </w:rPr>
        <w:t>TechTrends</w:t>
      </w:r>
      <w:proofErr w:type="spellEnd"/>
      <w:r w:rsidRPr="0053214D">
        <w:rPr>
          <w:rFonts w:ascii="Times New Roman" w:eastAsia="Calibri" w:hAnsi="Times New Roman" w:cs="Times New Roman"/>
          <w:i/>
          <w:iCs/>
          <w:sz w:val="24"/>
          <w:szCs w:val="24"/>
        </w:rPr>
        <w:t>, 69</w:t>
      </w:r>
      <w:r w:rsidRPr="0053214D">
        <w:rPr>
          <w:rFonts w:ascii="Times New Roman" w:eastAsia="Calibri" w:hAnsi="Times New Roman" w:cs="Times New Roman"/>
          <w:sz w:val="24"/>
          <w:szCs w:val="24"/>
        </w:rPr>
        <w:t xml:space="preserve">(3), 485–506. </w:t>
      </w:r>
      <w:hyperlink r:id="rId38" w:history="1">
        <w:r w:rsidRPr="0053214D">
          <w:rPr>
            <w:rStyle w:val="Hyperlink"/>
            <w:rFonts w:ascii="Times New Roman" w:eastAsia="Calibri" w:hAnsi="Times New Roman" w:cs="Times New Roman"/>
            <w:sz w:val="24"/>
            <w:szCs w:val="24"/>
          </w:rPr>
          <w:t>https://doi.org/10.1007/s11528-025-01052-6</w:t>
        </w:r>
      </w:hyperlink>
    </w:p>
    <w:p w14:paraId="19751FE0"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Hsu, T., Abelson, H., Lao, N., Tseng, Y., &amp; Lin, Y. (2021). </w:t>
      </w:r>
      <w:proofErr w:type="spellStart"/>
      <w:r w:rsidRPr="00A702ED">
        <w:rPr>
          <w:rFonts w:ascii="Times New Roman" w:eastAsia="Calibri" w:hAnsi="Times New Roman" w:cs="Times New Roman"/>
          <w:sz w:val="24"/>
          <w:szCs w:val="24"/>
        </w:rPr>
        <w:t>Behavioral</w:t>
      </w:r>
      <w:proofErr w:type="spellEnd"/>
      <w:r w:rsidRPr="00A702ED">
        <w:rPr>
          <w:rFonts w:ascii="Times New Roman" w:eastAsia="Calibri" w:hAnsi="Times New Roman" w:cs="Times New Roman"/>
          <w:sz w:val="24"/>
          <w:szCs w:val="24"/>
        </w:rPr>
        <w:t xml:space="preserve">-pattern exploration and development of an instructional tool for young children to learn AI. </w:t>
      </w:r>
      <w:r w:rsidRPr="00010BC4">
        <w:rPr>
          <w:rFonts w:ascii="Times New Roman" w:eastAsia="Calibri" w:hAnsi="Times New Roman" w:cs="Times New Roman"/>
          <w:i/>
          <w:iCs/>
          <w:sz w:val="24"/>
          <w:szCs w:val="24"/>
        </w:rPr>
        <w:t>Computers and Education Artificial Intelligence, 2,</w:t>
      </w:r>
      <w:r w:rsidRPr="00A702ED">
        <w:rPr>
          <w:rFonts w:ascii="Times New Roman" w:eastAsia="Calibri" w:hAnsi="Times New Roman" w:cs="Times New Roman"/>
          <w:sz w:val="24"/>
          <w:szCs w:val="24"/>
        </w:rPr>
        <w:t xml:space="preserve"> 100012. </w:t>
      </w:r>
      <w:hyperlink r:id="rId39" w:history="1">
        <w:r w:rsidRPr="00A702ED">
          <w:rPr>
            <w:rStyle w:val="Hyperlink"/>
            <w:rFonts w:ascii="Times New Roman" w:eastAsia="Calibri" w:hAnsi="Times New Roman" w:cs="Times New Roman"/>
            <w:sz w:val="24"/>
            <w:szCs w:val="24"/>
          </w:rPr>
          <w:t>https://doi.org/10.1016/j.caeai.2021.100012</w:t>
        </w:r>
      </w:hyperlink>
    </w:p>
    <w:p w14:paraId="3D548D19"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Hutchinson, B., &amp; Mitchell, M. (2019). </w:t>
      </w:r>
      <w:r w:rsidRPr="00503352">
        <w:rPr>
          <w:rFonts w:ascii="Times New Roman" w:eastAsia="Calibri" w:hAnsi="Times New Roman" w:cs="Times New Roman"/>
          <w:sz w:val="24"/>
          <w:szCs w:val="24"/>
        </w:rPr>
        <w:t xml:space="preserve">50 years of test (un)fairness: Lessons for machine learning. </w:t>
      </w:r>
      <w:r w:rsidRPr="00503352">
        <w:rPr>
          <w:rFonts w:ascii="Times New Roman" w:eastAsia="Calibri" w:hAnsi="Times New Roman" w:cs="Times New Roman"/>
          <w:i/>
          <w:iCs/>
          <w:sz w:val="24"/>
          <w:szCs w:val="24"/>
        </w:rPr>
        <w:t>Proceedings of the Conference on Fairness, Accountability, and Transparency</w:t>
      </w:r>
      <w:r w:rsidRPr="00A702ED">
        <w:rPr>
          <w:rFonts w:ascii="Times New Roman" w:eastAsia="Calibri" w:hAnsi="Times New Roman" w:cs="Times New Roman"/>
          <w:sz w:val="24"/>
          <w:szCs w:val="24"/>
        </w:rPr>
        <w:t xml:space="preserve"> (pp. 49–58)</w:t>
      </w:r>
    </w:p>
    <w:p w14:paraId="6FB5BED0" w14:textId="77777777" w:rsidR="00FF0BFE" w:rsidRPr="00A702ED" w:rsidRDefault="00FF0BFE" w:rsidP="00FF0BFE">
      <w:pPr>
        <w:spacing w:line="360" w:lineRule="auto"/>
        <w:ind w:left="567" w:hanging="567"/>
        <w:rPr>
          <w:rFonts w:ascii="Times New Roman" w:hAnsi="Times New Roman" w:cs="Times New Roman"/>
          <w:sz w:val="24"/>
          <w:szCs w:val="24"/>
        </w:rPr>
      </w:pPr>
      <w:proofErr w:type="spellStart"/>
      <w:r w:rsidRPr="00A702ED">
        <w:rPr>
          <w:rFonts w:ascii="Times New Roman" w:hAnsi="Times New Roman" w:cs="Times New Roman"/>
          <w:sz w:val="24"/>
          <w:szCs w:val="24"/>
        </w:rPr>
        <w:t>Ifenthaler</w:t>
      </w:r>
      <w:proofErr w:type="spellEnd"/>
      <w:r w:rsidRPr="00A702ED">
        <w:rPr>
          <w:rFonts w:ascii="Times New Roman" w:hAnsi="Times New Roman" w:cs="Times New Roman"/>
          <w:sz w:val="24"/>
          <w:szCs w:val="24"/>
        </w:rPr>
        <w:t xml:space="preserve">, D., &amp; Schumacher, C. (2016). Student perceptions of privacy principles for learning analytics. </w:t>
      </w:r>
      <w:r w:rsidRPr="00010BC4">
        <w:rPr>
          <w:rFonts w:ascii="Times New Roman" w:hAnsi="Times New Roman" w:cs="Times New Roman"/>
          <w:i/>
          <w:iCs/>
          <w:sz w:val="24"/>
          <w:szCs w:val="24"/>
        </w:rPr>
        <w:t>Educational Technology Research and Development, 64</w:t>
      </w:r>
      <w:r w:rsidRPr="00A702ED">
        <w:rPr>
          <w:rFonts w:ascii="Times New Roman" w:hAnsi="Times New Roman" w:cs="Times New Roman"/>
          <w:sz w:val="24"/>
          <w:szCs w:val="24"/>
        </w:rPr>
        <w:t xml:space="preserve">(5), 923–938. </w:t>
      </w:r>
      <w:hyperlink r:id="rId40" w:history="1">
        <w:r w:rsidRPr="00A702ED">
          <w:rPr>
            <w:rStyle w:val="Hyperlink"/>
            <w:rFonts w:ascii="Times New Roman" w:hAnsi="Times New Roman" w:cs="Times New Roman"/>
            <w:sz w:val="24"/>
            <w:szCs w:val="24"/>
          </w:rPr>
          <w:t>https://doi.org/10.1007/s11423-016-9477-y</w:t>
        </w:r>
      </w:hyperlink>
    </w:p>
    <w:p w14:paraId="2A661D63"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International </w:t>
      </w:r>
      <w:proofErr w:type="spellStart"/>
      <w:r w:rsidRPr="00A702ED">
        <w:rPr>
          <w:rFonts w:ascii="Times New Roman" w:eastAsia="Calibri" w:hAnsi="Times New Roman" w:cs="Times New Roman"/>
          <w:sz w:val="24"/>
          <w:szCs w:val="24"/>
        </w:rPr>
        <w:t>Center</w:t>
      </w:r>
      <w:proofErr w:type="spellEnd"/>
      <w:r w:rsidRPr="00A702ED">
        <w:rPr>
          <w:rFonts w:ascii="Times New Roman" w:eastAsia="Calibri" w:hAnsi="Times New Roman" w:cs="Times New Roman"/>
          <w:sz w:val="24"/>
          <w:szCs w:val="24"/>
        </w:rPr>
        <w:t xml:space="preserve"> for Academic Integrity. (2021). </w:t>
      </w:r>
      <w:r w:rsidRPr="00A702ED">
        <w:rPr>
          <w:rFonts w:ascii="Times New Roman" w:eastAsia="Calibri" w:hAnsi="Times New Roman" w:cs="Times New Roman"/>
          <w:i/>
          <w:iCs/>
          <w:sz w:val="24"/>
          <w:szCs w:val="24"/>
        </w:rPr>
        <w:t>The fundamental values of academic integrity</w:t>
      </w:r>
      <w:r w:rsidRPr="00A702ED">
        <w:rPr>
          <w:rFonts w:ascii="Times New Roman" w:eastAsia="Calibri" w:hAnsi="Times New Roman" w:cs="Times New Roman"/>
          <w:sz w:val="24"/>
          <w:szCs w:val="24"/>
        </w:rPr>
        <w:t xml:space="preserve"> (3rd ed.). International </w:t>
      </w:r>
      <w:proofErr w:type="spellStart"/>
      <w:r w:rsidRPr="00A702ED">
        <w:rPr>
          <w:rFonts w:ascii="Times New Roman" w:eastAsia="Calibri" w:hAnsi="Times New Roman" w:cs="Times New Roman"/>
          <w:sz w:val="24"/>
          <w:szCs w:val="24"/>
        </w:rPr>
        <w:t>Center</w:t>
      </w:r>
      <w:proofErr w:type="spellEnd"/>
      <w:r w:rsidRPr="00A702ED">
        <w:rPr>
          <w:rFonts w:ascii="Times New Roman" w:eastAsia="Calibri" w:hAnsi="Times New Roman" w:cs="Times New Roman"/>
          <w:sz w:val="24"/>
          <w:szCs w:val="24"/>
        </w:rPr>
        <w:t xml:space="preserve"> for Academic Integrity. Available online: </w:t>
      </w:r>
      <w:hyperlink r:id="rId41" w:history="1">
        <w:r w:rsidRPr="00A702ED">
          <w:rPr>
            <w:rStyle w:val="Hyperlink"/>
            <w:rFonts w:ascii="Times New Roman" w:eastAsia="Calibri" w:hAnsi="Times New Roman" w:cs="Times New Roman"/>
            <w:sz w:val="24"/>
            <w:szCs w:val="24"/>
          </w:rPr>
          <w:t>https://academicintegrity.org/images/pdfs/20019_ICAI-Fundamental-Values_R12.pdf</w:t>
        </w:r>
      </w:hyperlink>
    </w:p>
    <w:p w14:paraId="2A822121"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Jin, Y., Yan, L., Echeverria, V., Gašević, D., &amp; Martinez-Maldonado, R. (2024). Generative AI in higher education: A global perspective of institutional adoption policies and guidelines. </w:t>
      </w:r>
      <w:r w:rsidRPr="00510B76">
        <w:rPr>
          <w:rFonts w:ascii="Times New Roman" w:eastAsia="Calibri" w:hAnsi="Times New Roman" w:cs="Times New Roman"/>
          <w:i/>
          <w:iCs/>
          <w:sz w:val="24"/>
          <w:szCs w:val="24"/>
        </w:rPr>
        <w:t>Computers and Education Artificial Intelligence, 8,</w:t>
      </w:r>
      <w:r w:rsidRPr="00A702ED">
        <w:rPr>
          <w:rFonts w:ascii="Times New Roman" w:eastAsia="Calibri" w:hAnsi="Times New Roman" w:cs="Times New Roman"/>
          <w:sz w:val="24"/>
          <w:szCs w:val="24"/>
        </w:rPr>
        <w:t xml:space="preserve"> 100348. </w:t>
      </w:r>
      <w:hyperlink r:id="rId42" w:history="1">
        <w:r w:rsidRPr="00A702ED">
          <w:rPr>
            <w:rStyle w:val="Hyperlink"/>
            <w:rFonts w:ascii="Times New Roman" w:eastAsia="Calibri" w:hAnsi="Times New Roman" w:cs="Times New Roman"/>
            <w:sz w:val="24"/>
            <w:szCs w:val="24"/>
          </w:rPr>
          <w:t>https://doi.org/10.1016/j.caeai.2024.100348</w:t>
        </w:r>
      </w:hyperlink>
    </w:p>
    <w:p w14:paraId="5D3DB160"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Jobin, A., Ienca, M., &amp; Vayena, E. (2019). The global landscape of AI ethics guidelines. </w:t>
      </w:r>
      <w:r w:rsidRPr="007F2EFF">
        <w:rPr>
          <w:rFonts w:ascii="Times New Roman" w:eastAsia="Calibri" w:hAnsi="Times New Roman" w:cs="Times New Roman"/>
          <w:i/>
          <w:iCs/>
          <w:sz w:val="24"/>
          <w:szCs w:val="24"/>
        </w:rPr>
        <w:t>Nature Machine Intelligence, 1</w:t>
      </w:r>
      <w:r w:rsidRPr="00A702ED">
        <w:rPr>
          <w:rFonts w:ascii="Times New Roman" w:eastAsia="Calibri" w:hAnsi="Times New Roman" w:cs="Times New Roman"/>
          <w:sz w:val="24"/>
          <w:szCs w:val="24"/>
        </w:rPr>
        <w:t xml:space="preserve">(9), 389–399. </w:t>
      </w:r>
      <w:hyperlink r:id="rId43" w:history="1">
        <w:r w:rsidRPr="00A702ED">
          <w:rPr>
            <w:rStyle w:val="Hyperlink"/>
            <w:rFonts w:ascii="Times New Roman" w:eastAsia="Calibri" w:hAnsi="Times New Roman" w:cs="Times New Roman"/>
            <w:sz w:val="24"/>
            <w:szCs w:val="24"/>
          </w:rPr>
          <w:t>https://doi.org/10.1038/s42256-019-0088-2</w:t>
        </w:r>
      </w:hyperlink>
    </w:p>
    <w:p w14:paraId="22CA872B" w14:textId="77777777" w:rsidR="00FF0BFE" w:rsidRDefault="00FF0BFE" w:rsidP="00FF0BFE">
      <w:pPr>
        <w:spacing w:line="360" w:lineRule="auto"/>
        <w:ind w:left="567" w:hanging="567"/>
      </w:pPr>
      <w:r w:rsidRPr="00A702ED">
        <w:rPr>
          <w:rFonts w:ascii="Times New Roman" w:eastAsia="Calibri" w:hAnsi="Times New Roman" w:cs="Times New Roman"/>
          <w:sz w:val="24"/>
          <w:szCs w:val="24"/>
        </w:rPr>
        <w:lastRenderedPageBreak/>
        <w:t xml:space="preserve">Jones, K. M. L., &amp; McCoy, C. (2018). Reconsidering data in learning analytics: opportunities for critical research using a documentation studies framework. </w:t>
      </w:r>
      <w:r w:rsidRPr="00186975">
        <w:rPr>
          <w:rFonts w:ascii="Times New Roman" w:eastAsia="Calibri" w:hAnsi="Times New Roman" w:cs="Times New Roman"/>
          <w:i/>
          <w:iCs/>
          <w:sz w:val="24"/>
          <w:szCs w:val="24"/>
        </w:rPr>
        <w:t>Learning Media and Technology, 44</w:t>
      </w:r>
      <w:r w:rsidRPr="00A702ED">
        <w:rPr>
          <w:rFonts w:ascii="Times New Roman" w:eastAsia="Calibri" w:hAnsi="Times New Roman" w:cs="Times New Roman"/>
          <w:sz w:val="24"/>
          <w:szCs w:val="24"/>
        </w:rPr>
        <w:t xml:space="preserve">(1), 52–63. </w:t>
      </w:r>
      <w:hyperlink r:id="rId44" w:history="1">
        <w:r w:rsidRPr="00A702ED">
          <w:rPr>
            <w:rStyle w:val="Hyperlink"/>
            <w:rFonts w:ascii="Times New Roman" w:eastAsia="Calibri" w:hAnsi="Times New Roman" w:cs="Times New Roman"/>
            <w:sz w:val="24"/>
            <w:szCs w:val="24"/>
          </w:rPr>
          <w:t>https://doi.org/10.1080/17439884.2018.1556216</w:t>
        </w:r>
      </w:hyperlink>
    </w:p>
    <w:p w14:paraId="59BCC106" w14:textId="77777777" w:rsidR="00187D3C" w:rsidRDefault="00187D3C" w:rsidP="00FF0BFE">
      <w:pPr>
        <w:spacing w:line="360" w:lineRule="auto"/>
        <w:ind w:left="567" w:hanging="567"/>
      </w:pPr>
    </w:p>
    <w:p w14:paraId="48C3F469" w14:textId="77777777" w:rsidR="00187D3C" w:rsidRDefault="00187D3C" w:rsidP="00FF0BFE">
      <w:pPr>
        <w:spacing w:line="360" w:lineRule="auto"/>
        <w:ind w:left="567" w:hanging="567"/>
      </w:pPr>
    </w:p>
    <w:p w14:paraId="0B582E3B" w14:textId="77777777" w:rsidR="00187D3C" w:rsidRPr="00A702ED" w:rsidRDefault="00187D3C" w:rsidP="00FF0BFE">
      <w:pPr>
        <w:spacing w:line="360" w:lineRule="auto"/>
        <w:ind w:left="567" w:hanging="567"/>
        <w:rPr>
          <w:rFonts w:ascii="Times New Roman" w:eastAsia="Calibri" w:hAnsi="Times New Roman" w:cs="Times New Roman"/>
          <w:sz w:val="24"/>
          <w:szCs w:val="24"/>
        </w:rPr>
      </w:pPr>
    </w:p>
    <w:p w14:paraId="4EB0478C"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Kasneci, E., Sessler, K., </w:t>
      </w:r>
      <w:proofErr w:type="spellStart"/>
      <w:r w:rsidRPr="00A702ED">
        <w:rPr>
          <w:rFonts w:ascii="Times New Roman" w:eastAsia="Calibri" w:hAnsi="Times New Roman" w:cs="Times New Roman"/>
          <w:sz w:val="24"/>
          <w:szCs w:val="24"/>
        </w:rPr>
        <w:t>Küchemann</w:t>
      </w:r>
      <w:proofErr w:type="spellEnd"/>
      <w:r w:rsidRPr="00A702ED">
        <w:rPr>
          <w:rFonts w:ascii="Times New Roman" w:eastAsia="Calibri" w:hAnsi="Times New Roman" w:cs="Times New Roman"/>
          <w:sz w:val="24"/>
          <w:szCs w:val="24"/>
        </w:rPr>
        <w:t xml:space="preserve">, S., Bannert, M., Dementieva, D., Fischer, F., Gasser, U., Groh, G., Günnemann, S., </w:t>
      </w:r>
      <w:proofErr w:type="spellStart"/>
      <w:r w:rsidRPr="00A702ED">
        <w:rPr>
          <w:rFonts w:ascii="Times New Roman" w:eastAsia="Calibri" w:hAnsi="Times New Roman" w:cs="Times New Roman"/>
          <w:sz w:val="24"/>
          <w:szCs w:val="24"/>
        </w:rPr>
        <w:t>Hüllermeier</w:t>
      </w:r>
      <w:proofErr w:type="spellEnd"/>
      <w:r w:rsidRPr="00A702ED">
        <w:rPr>
          <w:rFonts w:ascii="Times New Roman" w:eastAsia="Calibri" w:hAnsi="Times New Roman" w:cs="Times New Roman"/>
          <w:sz w:val="24"/>
          <w:szCs w:val="24"/>
        </w:rPr>
        <w:t xml:space="preserve">, E., </w:t>
      </w:r>
      <w:proofErr w:type="spellStart"/>
      <w:r w:rsidRPr="00A702ED">
        <w:rPr>
          <w:rFonts w:ascii="Times New Roman" w:eastAsia="Calibri" w:hAnsi="Times New Roman" w:cs="Times New Roman"/>
          <w:sz w:val="24"/>
          <w:szCs w:val="24"/>
        </w:rPr>
        <w:t>Krusche</w:t>
      </w:r>
      <w:proofErr w:type="spellEnd"/>
      <w:r w:rsidRPr="00A702ED">
        <w:rPr>
          <w:rFonts w:ascii="Times New Roman" w:eastAsia="Calibri" w:hAnsi="Times New Roman" w:cs="Times New Roman"/>
          <w:sz w:val="24"/>
          <w:szCs w:val="24"/>
        </w:rPr>
        <w:t xml:space="preserve">, S., </w:t>
      </w:r>
      <w:proofErr w:type="spellStart"/>
      <w:r w:rsidRPr="00A702ED">
        <w:rPr>
          <w:rFonts w:ascii="Times New Roman" w:eastAsia="Calibri" w:hAnsi="Times New Roman" w:cs="Times New Roman"/>
          <w:sz w:val="24"/>
          <w:szCs w:val="24"/>
        </w:rPr>
        <w:t>Kutyniok</w:t>
      </w:r>
      <w:proofErr w:type="spellEnd"/>
      <w:r w:rsidRPr="00A702ED">
        <w:rPr>
          <w:rFonts w:ascii="Times New Roman" w:eastAsia="Calibri" w:hAnsi="Times New Roman" w:cs="Times New Roman"/>
          <w:sz w:val="24"/>
          <w:szCs w:val="24"/>
        </w:rPr>
        <w:t xml:space="preserve">, G., Michaeli, T., </w:t>
      </w:r>
      <w:proofErr w:type="spellStart"/>
      <w:r w:rsidRPr="00A702ED">
        <w:rPr>
          <w:rFonts w:ascii="Times New Roman" w:eastAsia="Calibri" w:hAnsi="Times New Roman" w:cs="Times New Roman"/>
          <w:sz w:val="24"/>
          <w:szCs w:val="24"/>
        </w:rPr>
        <w:t>Nerdel</w:t>
      </w:r>
      <w:proofErr w:type="spellEnd"/>
      <w:r w:rsidRPr="00A702ED">
        <w:rPr>
          <w:rFonts w:ascii="Times New Roman" w:eastAsia="Calibri" w:hAnsi="Times New Roman" w:cs="Times New Roman"/>
          <w:sz w:val="24"/>
          <w:szCs w:val="24"/>
        </w:rPr>
        <w:t xml:space="preserve">, C., Pfeffer, J., </w:t>
      </w:r>
      <w:proofErr w:type="spellStart"/>
      <w:r w:rsidRPr="00A702ED">
        <w:rPr>
          <w:rFonts w:ascii="Times New Roman" w:eastAsia="Calibri" w:hAnsi="Times New Roman" w:cs="Times New Roman"/>
          <w:sz w:val="24"/>
          <w:szCs w:val="24"/>
        </w:rPr>
        <w:t>Poquet</w:t>
      </w:r>
      <w:proofErr w:type="spellEnd"/>
      <w:r w:rsidRPr="00A702ED">
        <w:rPr>
          <w:rFonts w:ascii="Times New Roman" w:eastAsia="Calibri" w:hAnsi="Times New Roman" w:cs="Times New Roman"/>
          <w:sz w:val="24"/>
          <w:szCs w:val="24"/>
        </w:rPr>
        <w:t xml:space="preserve">, O., Sailer, M., Schmidt, A., Seidel, T., . . . Kasneci, G. (2023). ChatGPT for good? On opportunities and challenges of large language models for education. </w:t>
      </w:r>
      <w:r w:rsidRPr="00186975">
        <w:rPr>
          <w:rFonts w:ascii="Times New Roman" w:eastAsia="Calibri" w:hAnsi="Times New Roman" w:cs="Times New Roman"/>
          <w:i/>
          <w:iCs/>
          <w:sz w:val="24"/>
          <w:szCs w:val="24"/>
        </w:rPr>
        <w:t>Learning and Individual Differences, 103,</w:t>
      </w:r>
      <w:r w:rsidRPr="00A702ED">
        <w:rPr>
          <w:rFonts w:ascii="Times New Roman" w:eastAsia="Calibri" w:hAnsi="Times New Roman" w:cs="Times New Roman"/>
          <w:sz w:val="24"/>
          <w:szCs w:val="24"/>
        </w:rPr>
        <w:t xml:space="preserve"> 102274. </w:t>
      </w:r>
      <w:hyperlink r:id="rId45" w:history="1">
        <w:r w:rsidRPr="00A702ED">
          <w:rPr>
            <w:rStyle w:val="Hyperlink"/>
            <w:rFonts w:ascii="Times New Roman" w:eastAsia="Calibri" w:hAnsi="Times New Roman" w:cs="Times New Roman"/>
            <w:sz w:val="24"/>
            <w:szCs w:val="24"/>
          </w:rPr>
          <w:t>https://doi.org/10.1016/j.lindif.2023.102274</w:t>
        </w:r>
      </w:hyperlink>
    </w:p>
    <w:p w14:paraId="5BB5B846"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53214D">
        <w:rPr>
          <w:rFonts w:ascii="Times New Roman" w:eastAsia="Calibri" w:hAnsi="Times New Roman" w:cs="Times New Roman"/>
          <w:sz w:val="24"/>
          <w:szCs w:val="24"/>
        </w:rPr>
        <w:t xml:space="preserve">King, T. C., Aggarwal, N., Taddeo, M., &amp; Floridi, L. (2020). Artificial Intelligence Crime: an interdisciplinary analysis of foreseeable threats and solutions. In Philosophical studies series (pp. 251–282). </w:t>
      </w:r>
      <w:hyperlink r:id="rId46" w:history="1">
        <w:r w:rsidRPr="0053214D">
          <w:rPr>
            <w:rStyle w:val="Hyperlink"/>
            <w:rFonts w:ascii="Times New Roman" w:eastAsia="Calibri" w:hAnsi="Times New Roman" w:cs="Times New Roman"/>
            <w:sz w:val="24"/>
            <w:szCs w:val="24"/>
          </w:rPr>
          <w:t>https://doi.org/10.1007/978-3-030-81907-1_13</w:t>
        </w:r>
      </w:hyperlink>
      <w:r w:rsidRPr="00A702ED">
        <w:rPr>
          <w:rFonts w:ascii="Times New Roman" w:eastAsia="Calibri" w:hAnsi="Times New Roman" w:cs="Times New Roman"/>
          <w:sz w:val="24"/>
          <w:szCs w:val="24"/>
        </w:rPr>
        <w:t xml:space="preserve"> </w:t>
      </w:r>
    </w:p>
    <w:p w14:paraId="656B3D47"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Knox, J. (2020). Artificial intelligence and education in China. </w:t>
      </w:r>
      <w:r w:rsidRPr="00C847B5">
        <w:rPr>
          <w:rFonts w:ascii="Times New Roman" w:eastAsia="Calibri" w:hAnsi="Times New Roman" w:cs="Times New Roman"/>
          <w:i/>
          <w:iCs/>
          <w:sz w:val="24"/>
          <w:szCs w:val="24"/>
        </w:rPr>
        <w:t>Learning Media and Technology, 45</w:t>
      </w:r>
      <w:r w:rsidRPr="00A702ED">
        <w:rPr>
          <w:rFonts w:ascii="Times New Roman" w:eastAsia="Calibri" w:hAnsi="Times New Roman" w:cs="Times New Roman"/>
          <w:sz w:val="24"/>
          <w:szCs w:val="24"/>
        </w:rPr>
        <w:t xml:space="preserve">(3), 298–311. </w:t>
      </w:r>
      <w:hyperlink r:id="rId47" w:history="1">
        <w:r w:rsidRPr="00A702ED">
          <w:rPr>
            <w:rStyle w:val="Hyperlink"/>
            <w:rFonts w:ascii="Times New Roman" w:eastAsia="Calibri" w:hAnsi="Times New Roman" w:cs="Times New Roman"/>
            <w:sz w:val="24"/>
            <w:szCs w:val="24"/>
          </w:rPr>
          <w:t>https://doi.org/10.1080/17439884.2020.1754236</w:t>
        </w:r>
      </w:hyperlink>
    </w:p>
    <w:p w14:paraId="5E1AC38E"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Koehler, M. J., &amp; Mishra, P. (2009). What is Technological Pedagogical Content knowledge. </w:t>
      </w:r>
      <w:r w:rsidRPr="00C847B5">
        <w:rPr>
          <w:rFonts w:ascii="Times New Roman" w:eastAsia="Calibri" w:hAnsi="Times New Roman" w:cs="Times New Roman"/>
          <w:i/>
          <w:iCs/>
          <w:sz w:val="24"/>
          <w:szCs w:val="24"/>
        </w:rPr>
        <w:t>Contemporary Issues in Technology and Teacher Education Journal, 9</w:t>
      </w:r>
      <w:r w:rsidRPr="00A702ED">
        <w:rPr>
          <w:rFonts w:ascii="Times New Roman" w:eastAsia="Calibri" w:hAnsi="Times New Roman" w:cs="Times New Roman"/>
          <w:sz w:val="24"/>
          <w:szCs w:val="24"/>
        </w:rPr>
        <w:t xml:space="preserve">(1), 60–70. </w:t>
      </w:r>
      <w:hyperlink r:id="rId48" w:history="1">
        <w:r w:rsidRPr="00A702ED">
          <w:rPr>
            <w:rStyle w:val="Hyperlink"/>
            <w:rFonts w:ascii="Times New Roman" w:eastAsia="Calibri" w:hAnsi="Times New Roman" w:cs="Times New Roman"/>
            <w:sz w:val="24"/>
            <w:szCs w:val="24"/>
          </w:rPr>
          <w:t>http://jwilson.coe.uga.edu/EMAT7050/articles/KoehlerMishra.pdf</w:t>
        </w:r>
      </w:hyperlink>
    </w:p>
    <w:p w14:paraId="43CCF49B"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Kotter, J. P. (2012). </w:t>
      </w:r>
      <w:r w:rsidRPr="00A702ED">
        <w:rPr>
          <w:rFonts w:ascii="Times New Roman" w:eastAsia="Calibri" w:hAnsi="Times New Roman" w:cs="Times New Roman"/>
          <w:i/>
          <w:iCs/>
          <w:sz w:val="24"/>
          <w:szCs w:val="24"/>
        </w:rPr>
        <w:t>Leading change</w:t>
      </w:r>
      <w:r w:rsidRPr="00A702ED">
        <w:rPr>
          <w:rFonts w:ascii="Times New Roman" w:eastAsia="Calibri" w:hAnsi="Times New Roman" w:cs="Times New Roman"/>
          <w:sz w:val="24"/>
          <w:szCs w:val="24"/>
        </w:rPr>
        <w:t>. Harvard Business Review Press</w:t>
      </w:r>
    </w:p>
    <w:p w14:paraId="28D0A5DE"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Lancaster, T., &amp; Clarke, R. (2016). Contract cheating: The outsourcing of assessed student work. In </w:t>
      </w:r>
      <w:r w:rsidRPr="00A702ED">
        <w:rPr>
          <w:rFonts w:ascii="Times New Roman" w:eastAsia="Calibri" w:hAnsi="Times New Roman" w:cs="Times New Roman"/>
          <w:i/>
          <w:iCs/>
          <w:sz w:val="24"/>
          <w:szCs w:val="24"/>
        </w:rPr>
        <w:t>Handbook of academic integrity</w:t>
      </w:r>
      <w:r w:rsidRPr="00A702ED">
        <w:rPr>
          <w:rFonts w:ascii="Times New Roman" w:eastAsia="Calibri" w:hAnsi="Times New Roman" w:cs="Times New Roman"/>
          <w:sz w:val="24"/>
          <w:szCs w:val="24"/>
        </w:rPr>
        <w:t xml:space="preserve"> (pp. 639–654). Springer.</w:t>
      </w:r>
    </w:p>
    <w:p w14:paraId="6777FB08"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53214D">
        <w:rPr>
          <w:rFonts w:ascii="Times New Roman" w:eastAsia="Calibri" w:hAnsi="Times New Roman" w:cs="Times New Roman"/>
          <w:sz w:val="24"/>
          <w:szCs w:val="24"/>
        </w:rPr>
        <w:t xml:space="preserve">Luckin, R., &amp; Holmes, W. (2016). Intelligence Unleashed: An argument for AI in Education. Open Research Online (the Open University). </w:t>
      </w:r>
      <w:hyperlink r:id="rId49" w:history="1">
        <w:r w:rsidRPr="0053214D">
          <w:rPr>
            <w:rStyle w:val="Hyperlink"/>
            <w:rFonts w:ascii="Times New Roman" w:eastAsia="Calibri" w:hAnsi="Times New Roman" w:cs="Times New Roman"/>
            <w:sz w:val="24"/>
            <w:szCs w:val="24"/>
          </w:rPr>
          <w:t>https://oro.open.ac.uk/view/person/wh2594.html</w:t>
        </w:r>
      </w:hyperlink>
      <w:r w:rsidRPr="0053214D">
        <w:rPr>
          <w:rFonts w:ascii="Times New Roman" w:eastAsia="Calibri" w:hAnsi="Times New Roman" w:cs="Times New Roman"/>
          <w:sz w:val="24"/>
          <w:szCs w:val="24"/>
        </w:rPr>
        <w:t>&gt;;</w:t>
      </w:r>
    </w:p>
    <w:p w14:paraId="00E64364"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Malgieri, G., &amp; Comandé, G. (2017). Why a right to legibility of automated Decision-Making exists in the General Data Protection Regulation. </w:t>
      </w:r>
      <w:r w:rsidRPr="00D72D88">
        <w:rPr>
          <w:rFonts w:ascii="Times New Roman" w:eastAsia="Calibri" w:hAnsi="Times New Roman" w:cs="Times New Roman"/>
          <w:i/>
          <w:iCs/>
          <w:sz w:val="24"/>
          <w:szCs w:val="24"/>
        </w:rPr>
        <w:t>International Data Privacy Law, 7</w:t>
      </w:r>
      <w:r w:rsidRPr="00D72D88">
        <w:rPr>
          <w:rFonts w:ascii="Times New Roman" w:eastAsia="Calibri" w:hAnsi="Times New Roman" w:cs="Times New Roman"/>
          <w:sz w:val="24"/>
          <w:szCs w:val="24"/>
        </w:rPr>
        <w:t>(</w:t>
      </w:r>
      <w:r w:rsidRPr="00A702ED">
        <w:rPr>
          <w:rFonts w:ascii="Times New Roman" w:eastAsia="Calibri" w:hAnsi="Times New Roman" w:cs="Times New Roman"/>
          <w:sz w:val="24"/>
          <w:szCs w:val="24"/>
        </w:rPr>
        <w:t xml:space="preserve">4), 243–265. </w:t>
      </w:r>
      <w:hyperlink r:id="rId50" w:history="1">
        <w:r w:rsidRPr="00A702ED">
          <w:rPr>
            <w:rStyle w:val="Hyperlink"/>
            <w:rFonts w:ascii="Times New Roman" w:eastAsia="Calibri" w:hAnsi="Times New Roman" w:cs="Times New Roman"/>
            <w:sz w:val="24"/>
            <w:szCs w:val="24"/>
          </w:rPr>
          <w:t>https://doi.org/10.1093/idpl/ipx019</w:t>
        </w:r>
      </w:hyperlink>
    </w:p>
    <w:p w14:paraId="1CB412DF"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585ABF">
        <w:rPr>
          <w:rFonts w:ascii="Times New Roman" w:eastAsia="Calibri" w:hAnsi="Times New Roman" w:cs="Times New Roman"/>
          <w:sz w:val="24"/>
          <w:szCs w:val="24"/>
        </w:rPr>
        <w:lastRenderedPageBreak/>
        <w:t xml:space="preserve">Massachusetts Institute of Technology. (2023). </w:t>
      </w:r>
      <w:r w:rsidRPr="00585ABF">
        <w:rPr>
          <w:rFonts w:ascii="Times New Roman" w:eastAsia="Calibri" w:hAnsi="Times New Roman" w:cs="Times New Roman"/>
          <w:i/>
          <w:iCs/>
          <w:sz w:val="24"/>
          <w:szCs w:val="24"/>
        </w:rPr>
        <w:t>Working with AI: Guidelines for students and</w:t>
      </w:r>
      <w:r w:rsidRPr="00585ABF">
        <w:rPr>
          <w:rFonts w:ascii="Times New Roman" w:eastAsia="Calibri" w:hAnsi="Times New Roman" w:cs="Times New Roman"/>
          <w:sz w:val="24"/>
          <w:szCs w:val="24"/>
        </w:rPr>
        <w:t xml:space="preserve"> </w:t>
      </w:r>
      <w:r w:rsidRPr="00585ABF">
        <w:rPr>
          <w:rFonts w:ascii="Times New Roman" w:eastAsia="Calibri" w:hAnsi="Times New Roman" w:cs="Times New Roman"/>
          <w:i/>
          <w:iCs/>
          <w:sz w:val="24"/>
          <w:szCs w:val="24"/>
        </w:rPr>
        <w:t>faculty.</w:t>
      </w:r>
      <w:r w:rsidRPr="00585ABF">
        <w:rPr>
          <w:rFonts w:ascii="Times New Roman" w:eastAsia="Calibri" w:hAnsi="Times New Roman" w:cs="Times New Roman"/>
          <w:sz w:val="24"/>
          <w:szCs w:val="24"/>
        </w:rPr>
        <w:t xml:space="preserve"> Available online: </w:t>
      </w:r>
      <w:hyperlink r:id="rId51" w:history="1">
        <w:r w:rsidRPr="00585ABF">
          <w:rPr>
            <w:rStyle w:val="Hyperlink"/>
            <w:rFonts w:ascii="Times New Roman" w:eastAsia="Calibri" w:hAnsi="Times New Roman" w:cs="Times New Roman"/>
            <w:sz w:val="24"/>
            <w:szCs w:val="24"/>
          </w:rPr>
          <w:t>https://ist.mit.edu/ai-guidance</w:t>
        </w:r>
      </w:hyperlink>
    </w:p>
    <w:p w14:paraId="4344A9B0"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Meyer, A., Rose, D. H., &amp; Gordon, D. (2014). </w:t>
      </w:r>
      <w:r w:rsidRPr="00A702ED">
        <w:rPr>
          <w:rFonts w:ascii="Times New Roman" w:eastAsia="Calibri" w:hAnsi="Times New Roman" w:cs="Times New Roman"/>
          <w:i/>
          <w:iCs/>
          <w:sz w:val="24"/>
          <w:szCs w:val="24"/>
        </w:rPr>
        <w:t>Universal Design for Learning: Theory and practice</w:t>
      </w:r>
      <w:r w:rsidRPr="00A702ED">
        <w:rPr>
          <w:rFonts w:ascii="Times New Roman" w:eastAsia="Calibri" w:hAnsi="Times New Roman" w:cs="Times New Roman"/>
          <w:sz w:val="24"/>
          <w:szCs w:val="24"/>
        </w:rPr>
        <w:t>. CAST Professional Publishing</w:t>
      </w:r>
    </w:p>
    <w:p w14:paraId="3C2E9E84"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Moll, L. C., Amanti, C., Neff, D., &amp; Gonzalez, N. (1992). Funds of knowledge for teaching: Using a qualitative approach to connect homes and classrooms. </w:t>
      </w:r>
      <w:r w:rsidRPr="00821942">
        <w:rPr>
          <w:rFonts w:ascii="Times New Roman" w:eastAsia="Calibri" w:hAnsi="Times New Roman" w:cs="Times New Roman"/>
          <w:i/>
          <w:iCs/>
          <w:sz w:val="24"/>
          <w:szCs w:val="24"/>
        </w:rPr>
        <w:t>Theory Into Practice, 31</w:t>
      </w:r>
      <w:r w:rsidRPr="00A702ED">
        <w:rPr>
          <w:rFonts w:ascii="Times New Roman" w:eastAsia="Calibri" w:hAnsi="Times New Roman" w:cs="Times New Roman"/>
          <w:sz w:val="24"/>
          <w:szCs w:val="24"/>
        </w:rPr>
        <w:t xml:space="preserve">(2), 132–141. </w:t>
      </w:r>
      <w:hyperlink r:id="rId52" w:history="1">
        <w:r w:rsidRPr="00A702ED">
          <w:rPr>
            <w:rStyle w:val="Hyperlink"/>
            <w:rFonts w:ascii="Times New Roman" w:eastAsia="Calibri" w:hAnsi="Times New Roman" w:cs="Times New Roman"/>
            <w:sz w:val="24"/>
            <w:szCs w:val="24"/>
          </w:rPr>
          <w:t>https://doi.org/10.1080/00405849209543534</w:t>
        </w:r>
      </w:hyperlink>
    </w:p>
    <w:p w14:paraId="6383FA61"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National Institute of Standards and Technology. (2023). </w:t>
      </w:r>
      <w:r w:rsidRPr="00A702ED">
        <w:rPr>
          <w:rFonts w:ascii="Times New Roman" w:eastAsia="Calibri" w:hAnsi="Times New Roman" w:cs="Times New Roman"/>
          <w:i/>
          <w:iCs/>
          <w:sz w:val="24"/>
          <w:szCs w:val="24"/>
        </w:rPr>
        <w:t>AI risk management framework (AI RMF 1.0).</w:t>
      </w:r>
      <w:r w:rsidRPr="00A702ED">
        <w:rPr>
          <w:rFonts w:ascii="Times New Roman" w:eastAsia="Calibri" w:hAnsi="Times New Roman" w:cs="Times New Roman"/>
          <w:sz w:val="24"/>
          <w:szCs w:val="24"/>
        </w:rPr>
        <w:t xml:space="preserve"> U.S. Department of Commerce.</w:t>
      </w:r>
    </w:p>
    <w:p w14:paraId="59293F91"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Ng, D. T. K., Leung, J. K. L., Chu, S. K. W., &amp; Qiao, M. S. (2021). Conceptualizing AI literacy: An exploratory review. </w:t>
      </w:r>
      <w:r w:rsidRPr="00C55845">
        <w:rPr>
          <w:rFonts w:ascii="Times New Roman" w:eastAsia="Calibri" w:hAnsi="Times New Roman" w:cs="Times New Roman"/>
          <w:i/>
          <w:iCs/>
          <w:sz w:val="24"/>
          <w:szCs w:val="24"/>
        </w:rPr>
        <w:t>Computers and Education Artificial Intelligence, 2,</w:t>
      </w:r>
      <w:r w:rsidRPr="00A702ED">
        <w:rPr>
          <w:rFonts w:ascii="Times New Roman" w:eastAsia="Calibri" w:hAnsi="Times New Roman" w:cs="Times New Roman"/>
          <w:sz w:val="24"/>
          <w:szCs w:val="24"/>
        </w:rPr>
        <w:t xml:space="preserve"> 100041. </w:t>
      </w:r>
      <w:hyperlink r:id="rId53" w:history="1">
        <w:r w:rsidRPr="00A702ED">
          <w:rPr>
            <w:rStyle w:val="Hyperlink"/>
            <w:rFonts w:ascii="Times New Roman" w:eastAsia="Calibri" w:hAnsi="Times New Roman" w:cs="Times New Roman"/>
            <w:sz w:val="24"/>
            <w:szCs w:val="24"/>
          </w:rPr>
          <w:t>https://doi.org/10.1016/j.caeai.2021.100041</w:t>
        </w:r>
      </w:hyperlink>
    </w:p>
    <w:p w14:paraId="1E787FD6"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O’Neil, C. (2016). </w:t>
      </w:r>
      <w:r w:rsidRPr="00C55845">
        <w:rPr>
          <w:rFonts w:ascii="Times New Roman" w:eastAsia="Calibri" w:hAnsi="Times New Roman" w:cs="Times New Roman"/>
          <w:i/>
          <w:iCs/>
          <w:sz w:val="24"/>
          <w:szCs w:val="24"/>
        </w:rPr>
        <w:t>Weapons of Math Destruction: How big data increases inequality and threatens democracy.</w:t>
      </w:r>
      <w:r w:rsidRPr="00A702ED">
        <w:rPr>
          <w:rFonts w:ascii="Times New Roman" w:eastAsia="Calibri" w:hAnsi="Times New Roman" w:cs="Times New Roman"/>
          <w:sz w:val="24"/>
          <w:szCs w:val="24"/>
        </w:rPr>
        <w:t xml:space="preserve"> </w:t>
      </w:r>
      <w:hyperlink r:id="rId54" w:history="1">
        <w:r w:rsidRPr="00A702ED">
          <w:rPr>
            <w:rStyle w:val="Hyperlink"/>
            <w:rFonts w:ascii="Times New Roman" w:eastAsia="Calibri" w:hAnsi="Times New Roman" w:cs="Times New Roman"/>
            <w:sz w:val="24"/>
            <w:szCs w:val="24"/>
          </w:rPr>
          <w:t>https://bvbr.bib-bvb.de:443/F?func=service&amp;doc_library=BVB01&amp;local_base=BVB01&amp;doc_number=028866887&amp;sequence=000001&amp;line_number=0001&amp;func_code=DB_RECORDS&amp;service_type=MEDIA</w:t>
        </w:r>
      </w:hyperlink>
    </w:p>
    <w:p w14:paraId="0FCCE646"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Papert, S., &amp; Harel, I. (1991). Situating constructionism. In I. Harel, &amp; S. Papert, </w:t>
      </w:r>
      <w:r w:rsidRPr="00A702ED">
        <w:rPr>
          <w:rFonts w:ascii="Times New Roman" w:eastAsia="Calibri" w:hAnsi="Times New Roman" w:cs="Times New Roman"/>
          <w:i/>
          <w:iCs/>
          <w:sz w:val="24"/>
          <w:szCs w:val="24"/>
        </w:rPr>
        <w:t xml:space="preserve">Constructionism </w:t>
      </w:r>
      <w:r w:rsidRPr="00A702ED">
        <w:rPr>
          <w:rFonts w:ascii="Times New Roman" w:eastAsia="Calibri" w:hAnsi="Times New Roman" w:cs="Times New Roman"/>
          <w:sz w:val="24"/>
          <w:szCs w:val="24"/>
        </w:rPr>
        <w:t xml:space="preserve">(pp. 1–11). </w:t>
      </w:r>
      <w:proofErr w:type="spellStart"/>
      <w:r w:rsidRPr="00A702ED">
        <w:rPr>
          <w:rFonts w:ascii="Times New Roman" w:eastAsia="Calibri" w:hAnsi="Times New Roman" w:cs="Times New Roman"/>
          <w:sz w:val="24"/>
          <w:szCs w:val="24"/>
        </w:rPr>
        <w:t>Ablex</w:t>
      </w:r>
      <w:proofErr w:type="spellEnd"/>
      <w:r w:rsidRPr="00A702ED">
        <w:rPr>
          <w:rFonts w:ascii="Times New Roman" w:eastAsia="Calibri" w:hAnsi="Times New Roman" w:cs="Times New Roman"/>
          <w:sz w:val="24"/>
          <w:szCs w:val="24"/>
        </w:rPr>
        <w:t xml:space="preserve"> Publishing</w:t>
      </w:r>
    </w:p>
    <w:p w14:paraId="42AAC161"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Pardo, A., &amp; Siemens, G. (2014). Ethical and privacy principles for learning analytics. </w:t>
      </w:r>
      <w:r w:rsidRPr="00A21A2E">
        <w:rPr>
          <w:rFonts w:ascii="Times New Roman" w:eastAsia="Calibri" w:hAnsi="Times New Roman" w:cs="Times New Roman"/>
          <w:i/>
          <w:iCs/>
          <w:sz w:val="24"/>
          <w:szCs w:val="24"/>
        </w:rPr>
        <w:t>British Journal of Educational Technology, 45</w:t>
      </w:r>
      <w:r w:rsidRPr="00A702ED">
        <w:rPr>
          <w:rFonts w:ascii="Times New Roman" w:eastAsia="Calibri" w:hAnsi="Times New Roman" w:cs="Times New Roman"/>
          <w:sz w:val="24"/>
          <w:szCs w:val="24"/>
        </w:rPr>
        <w:t xml:space="preserve">(3), 438–450. </w:t>
      </w:r>
      <w:hyperlink r:id="rId55" w:history="1">
        <w:r w:rsidRPr="00A702ED">
          <w:rPr>
            <w:rStyle w:val="Hyperlink"/>
            <w:rFonts w:ascii="Times New Roman" w:eastAsia="Calibri" w:hAnsi="Times New Roman" w:cs="Times New Roman"/>
            <w:sz w:val="24"/>
            <w:szCs w:val="24"/>
          </w:rPr>
          <w:t>https://doi.org/10.1111/bjet.12152</w:t>
        </w:r>
      </w:hyperlink>
    </w:p>
    <w:p w14:paraId="2BC977B0" w14:textId="77777777" w:rsidR="00FF0BFE" w:rsidRPr="0080747E" w:rsidRDefault="00FF0BFE" w:rsidP="00FF0BFE">
      <w:pPr>
        <w:spacing w:line="360" w:lineRule="auto"/>
        <w:ind w:left="567" w:hanging="567"/>
      </w:pPr>
      <w:r w:rsidRPr="0080747E">
        <w:rPr>
          <w:rFonts w:ascii="Times New Roman" w:eastAsia="Calibri" w:hAnsi="Times New Roman" w:cs="Times New Roman"/>
          <w:sz w:val="24"/>
          <w:szCs w:val="24"/>
        </w:rPr>
        <w:t xml:space="preserve">Paré, G., Trudel, M., Jaana, M., &amp; </w:t>
      </w:r>
      <w:proofErr w:type="spellStart"/>
      <w:r w:rsidRPr="0080747E">
        <w:rPr>
          <w:rFonts w:ascii="Times New Roman" w:eastAsia="Calibri" w:hAnsi="Times New Roman" w:cs="Times New Roman"/>
          <w:sz w:val="24"/>
          <w:szCs w:val="24"/>
        </w:rPr>
        <w:t>Kitsiou</w:t>
      </w:r>
      <w:proofErr w:type="spellEnd"/>
      <w:r w:rsidRPr="0080747E">
        <w:rPr>
          <w:rFonts w:ascii="Times New Roman" w:eastAsia="Calibri" w:hAnsi="Times New Roman" w:cs="Times New Roman"/>
          <w:sz w:val="24"/>
          <w:szCs w:val="24"/>
        </w:rPr>
        <w:t xml:space="preserve">, S. (2015). Synthesizing information systems knowledge: A typology of literature reviews. Information &amp; Management, 52(2), 183–199. </w:t>
      </w:r>
      <w:hyperlink r:id="rId56" w:history="1">
        <w:r w:rsidRPr="0080747E">
          <w:rPr>
            <w:rStyle w:val="Hyperlink"/>
            <w:rFonts w:ascii="Times New Roman" w:eastAsia="Calibri" w:hAnsi="Times New Roman" w:cs="Times New Roman"/>
            <w:sz w:val="24"/>
            <w:szCs w:val="24"/>
          </w:rPr>
          <w:t>https://doi.org/10.1016/j.im.2014.08.008</w:t>
        </w:r>
      </w:hyperlink>
    </w:p>
    <w:p w14:paraId="4D0F4B17" w14:textId="1BA8CED7" w:rsidR="004B7954" w:rsidRPr="00A702ED" w:rsidRDefault="004B7954" w:rsidP="004B7954">
      <w:pPr>
        <w:spacing w:after="0" w:line="360" w:lineRule="auto"/>
        <w:ind w:left="720" w:hanging="720"/>
        <w:jc w:val="both"/>
        <w:rPr>
          <w:rFonts w:ascii="Times New Roman" w:eastAsia="Calibri" w:hAnsi="Times New Roman" w:cs="Times New Roman"/>
          <w:sz w:val="24"/>
          <w:szCs w:val="24"/>
        </w:rPr>
      </w:pPr>
      <w:r w:rsidRPr="0080747E">
        <w:rPr>
          <w:rFonts w:ascii="Times New Roman" w:eastAsia="Calibri" w:hAnsi="Times New Roman" w:cs="Times New Roman"/>
          <w:sz w:val="24"/>
          <w:szCs w:val="24"/>
        </w:rPr>
        <w:t xml:space="preserve">Parmar, B. L., Freeman, R. E., Harrison, J. S., Wicks, A. C., Purnell, L., &amp; De Colle, S. (2010). Stakeholder </w:t>
      </w:r>
      <w:proofErr w:type="gramStart"/>
      <w:r w:rsidRPr="0080747E">
        <w:rPr>
          <w:rFonts w:ascii="Times New Roman" w:eastAsia="Calibri" w:hAnsi="Times New Roman" w:cs="Times New Roman"/>
          <w:sz w:val="24"/>
          <w:szCs w:val="24"/>
        </w:rPr>
        <w:t>Theory:The</w:t>
      </w:r>
      <w:proofErr w:type="gramEnd"/>
      <w:r w:rsidRPr="0080747E">
        <w:rPr>
          <w:rFonts w:ascii="Times New Roman" w:eastAsia="Calibri" w:hAnsi="Times New Roman" w:cs="Times New Roman"/>
          <w:sz w:val="24"/>
          <w:szCs w:val="24"/>
        </w:rPr>
        <w:t xml:space="preserve"> state of the art. Academy of Management Annals, 4(1), 403–445. </w:t>
      </w:r>
      <w:hyperlink r:id="rId57" w:history="1">
        <w:r w:rsidRPr="0080747E">
          <w:rPr>
            <w:rStyle w:val="Hyperlink"/>
            <w:rFonts w:ascii="Times New Roman" w:eastAsia="Calibri" w:hAnsi="Times New Roman" w:cs="Times New Roman"/>
            <w:sz w:val="24"/>
            <w:szCs w:val="24"/>
          </w:rPr>
          <w:t>https://doi.org/10.5465/19416520.2010.495581</w:t>
        </w:r>
      </w:hyperlink>
    </w:p>
    <w:p w14:paraId="6B015F6B" w14:textId="77777777" w:rsidR="00FF0BFE" w:rsidRPr="00A702ED" w:rsidRDefault="00FF0BFE" w:rsidP="00FF0BFE">
      <w:pPr>
        <w:spacing w:line="360" w:lineRule="auto"/>
        <w:ind w:left="567" w:hanging="567"/>
        <w:rPr>
          <w:rFonts w:ascii="Times New Roman" w:hAnsi="Times New Roman" w:cs="Times New Roman"/>
          <w:sz w:val="24"/>
          <w:szCs w:val="24"/>
        </w:rPr>
      </w:pPr>
      <w:r w:rsidRPr="0053214D">
        <w:rPr>
          <w:rFonts w:ascii="Times New Roman" w:hAnsi="Times New Roman" w:cs="Times New Roman"/>
          <w:sz w:val="24"/>
          <w:szCs w:val="24"/>
        </w:rPr>
        <w:t xml:space="preserve">Paris, D., &amp; Alim, H. S. (2017). </w:t>
      </w:r>
      <w:r w:rsidRPr="0053214D">
        <w:rPr>
          <w:rFonts w:ascii="Times New Roman" w:hAnsi="Times New Roman" w:cs="Times New Roman"/>
          <w:i/>
          <w:iCs/>
          <w:sz w:val="24"/>
          <w:szCs w:val="24"/>
        </w:rPr>
        <w:t>Culturally Sustaining Pedagogies: Teaching and learning for Justice in a changing world.</w:t>
      </w:r>
      <w:r w:rsidRPr="0053214D">
        <w:rPr>
          <w:rFonts w:ascii="Times New Roman" w:hAnsi="Times New Roman" w:cs="Times New Roman"/>
          <w:sz w:val="24"/>
          <w:szCs w:val="24"/>
        </w:rPr>
        <w:t xml:space="preserve"> </w:t>
      </w:r>
      <w:hyperlink r:id="rId58" w:history="1">
        <w:r w:rsidRPr="0053214D">
          <w:rPr>
            <w:rStyle w:val="Hyperlink"/>
            <w:rFonts w:ascii="Times New Roman" w:hAnsi="Times New Roman" w:cs="Times New Roman"/>
            <w:sz w:val="24"/>
            <w:szCs w:val="24"/>
          </w:rPr>
          <w:t>https://eric.ed.gov/?id=ED580787</w:t>
        </w:r>
      </w:hyperlink>
    </w:p>
    <w:p w14:paraId="2EB68CD3"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lastRenderedPageBreak/>
        <w:t xml:space="preserve">Perkins, M., Roe, J., Postma, D., McGaughran, J., &amp; Hickerson, D. (2024). Detection of GPT-4 generated text in higher Education: combining academic judgement and software to identify generative AI tool misuse. </w:t>
      </w:r>
      <w:r w:rsidRPr="00475E14">
        <w:rPr>
          <w:rFonts w:ascii="Times New Roman" w:hAnsi="Times New Roman" w:cs="Times New Roman"/>
          <w:i/>
          <w:iCs/>
          <w:sz w:val="24"/>
          <w:szCs w:val="24"/>
        </w:rPr>
        <w:t>Journal of Academic Ethics, 22</w:t>
      </w:r>
      <w:r w:rsidRPr="00A702ED">
        <w:rPr>
          <w:rFonts w:ascii="Times New Roman" w:hAnsi="Times New Roman" w:cs="Times New Roman"/>
          <w:sz w:val="24"/>
          <w:szCs w:val="24"/>
        </w:rPr>
        <w:t xml:space="preserve">(1), 89–113. </w:t>
      </w:r>
      <w:hyperlink r:id="rId59" w:history="1">
        <w:r w:rsidRPr="00A702ED">
          <w:rPr>
            <w:rStyle w:val="Hyperlink"/>
            <w:rFonts w:ascii="Times New Roman" w:hAnsi="Times New Roman" w:cs="Times New Roman"/>
            <w:sz w:val="24"/>
            <w:szCs w:val="24"/>
          </w:rPr>
          <w:t>https://doi.org/10.1007/s10805-023-09492-6</w:t>
        </w:r>
      </w:hyperlink>
    </w:p>
    <w:p w14:paraId="2C45455B"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Prinsloo, P., &amp; Slade, S. (2017). </w:t>
      </w:r>
      <w:r w:rsidRPr="005123FE">
        <w:rPr>
          <w:rFonts w:ascii="Times New Roman" w:eastAsia="Calibri" w:hAnsi="Times New Roman" w:cs="Times New Roman"/>
          <w:i/>
          <w:iCs/>
          <w:sz w:val="24"/>
          <w:szCs w:val="24"/>
        </w:rPr>
        <w:t xml:space="preserve">An elephant in the room: Educational data mining, learning analytics and ethics. </w:t>
      </w:r>
      <w:r w:rsidRPr="00A702ED">
        <w:rPr>
          <w:rFonts w:ascii="Times New Roman" w:eastAsia="Calibri" w:hAnsi="Times New Roman" w:cs="Times New Roman"/>
          <w:sz w:val="24"/>
          <w:szCs w:val="24"/>
        </w:rPr>
        <w:t>Proceedings of the 9th International Conference on Networked Learning (pp. 46–55)</w:t>
      </w:r>
    </w:p>
    <w:p w14:paraId="78829191" w14:textId="77777777" w:rsidR="00FF0BFE" w:rsidRPr="00A702ED" w:rsidRDefault="00FF0BFE" w:rsidP="00FF0BFE">
      <w:pPr>
        <w:spacing w:line="360" w:lineRule="auto"/>
        <w:ind w:left="567" w:hanging="567"/>
        <w:rPr>
          <w:rFonts w:ascii="Times New Roman" w:hAnsi="Times New Roman" w:cs="Times New Roman"/>
          <w:sz w:val="24"/>
          <w:szCs w:val="24"/>
        </w:rPr>
      </w:pPr>
      <w:r w:rsidRPr="004C4728">
        <w:rPr>
          <w:rFonts w:ascii="Times New Roman" w:hAnsi="Times New Roman" w:cs="Times New Roman"/>
          <w:sz w:val="24"/>
          <w:szCs w:val="24"/>
        </w:rPr>
        <w:t xml:space="preserve">Regan, P. M., &amp; Jesse, J. (2019). Ethical challenges of edtech, big data and personalized learning: twenty-first century student sorting and tracking. Ethics and Information Technology, 21(3), 167–179. </w:t>
      </w:r>
      <w:hyperlink r:id="rId60" w:history="1">
        <w:r w:rsidRPr="004C4728">
          <w:rPr>
            <w:rStyle w:val="Hyperlink"/>
            <w:rFonts w:ascii="Times New Roman" w:hAnsi="Times New Roman" w:cs="Times New Roman"/>
            <w:sz w:val="24"/>
            <w:szCs w:val="24"/>
          </w:rPr>
          <w:t>https://doi.org/10.1007/s10676-018-9492-2</w:t>
        </w:r>
      </w:hyperlink>
    </w:p>
    <w:p w14:paraId="44175BE4"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Reich, J., &amp; Mehta, J. D. (2020). </w:t>
      </w:r>
      <w:r w:rsidRPr="004C4728">
        <w:rPr>
          <w:rFonts w:ascii="Times New Roman" w:hAnsi="Times New Roman" w:cs="Times New Roman"/>
          <w:i/>
          <w:iCs/>
          <w:sz w:val="24"/>
          <w:szCs w:val="24"/>
        </w:rPr>
        <w:t>Failure to disrupt: Why technology alone can’t transform education.</w:t>
      </w:r>
      <w:r w:rsidRPr="00A702ED">
        <w:rPr>
          <w:rFonts w:ascii="Times New Roman" w:hAnsi="Times New Roman" w:cs="Times New Roman"/>
          <w:sz w:val="24"/>
          <w:szCs w:val="24"/>
        </w:rPr>
        <w:t xml:space="preserve"> Harvard University Press.</w:t>
      </w:r>
    </w:p>
    <w:p w14:paraId="4F2D092D" w14:textId="77777777" w:rsidR="00FF0BFE" w:rsidRPr="00A702ED" w:rsidRDefault="00FF0BFE" w:rsidP="00FF0BFE">
      <w:pPr>
        <w:spacing w:after="0" w:line="360" w:lineRule="auto"/>
        <w:ind w:left="567" w:hanging="567"/>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Roberts, L. D., Howell, J. A., Seaman, K., &amp; Gibson, D. C. (2016). Student Attitudes toward Learning Analytics in Higher Education: “The Fitbit Version of the Learning World.” </w:t>
      </w:r>
      <w:r w:rsidRPr="004C4728">
        <w:rPr>
          <w:rFonts w:ascii="Times New Roman" w:eastAsia="Calibri" w:hAnsi="Times New Roman" w:cs="Times New Roman"/>
          <w:i/>
          <w:iCs/>
          <w:sz w:val="24"/>
          <w:szCs w:val="24"/>
        </w:rPr>
        <w:t>Frontiers in Psychology, 7,</w:t>
      </w:r>
      <w:r w:rsidRPr="00A702ED">
        <w:rPr>
          <w:rFonts w:ascii="Times New Roman" w:eastAsia="Calibri" w:hAnsi="Times New Roman" w:cs="Times New Roman"/>
          <w:sz w:val="24"/>
          <w:szCs w:val="24"/>
        </w:rPr>
        <w:t xml:space="preserve"> 1959. </w:t>
      </w:r>
      <w:hyperlink r:id="rId61" w:history="1">
        <w:r w:rsidRPr="00A702ED">
          <w:rPr>
            <w:rStyle w:val="Hyperlink"/>
            <w:rFonts w:ascii="Times New Roman" w:eastAsia="Calibri" w:hAnsi="Times New Roman" w:cs="Times New Roman"/>
            <w:sz w:val="24"/>
            <w:szCs w:val="24"/>
          </w:rPr>
          <w:t>https://doi.org/10.3389/fpsyg.2016.01959</w:t>
        </w:r>
      </w:hyperlink>
    </w:p>
    <w:p w14:paraId="0DC5EAE7"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Rogers, E. M. (2003). </w:t>
      </w:r>
      <w:r w:rsidRPr="00A702ED">
        <w:rPr>
          <w:rFonts w:ascii="Times New Roman" w:eastAsia="Calibri" w:hAnsi="Times New Roman" w:cs="Times New Roman"/>
          <w:i/>
          <w:iCs/>
          <w:sz w:val="24"/>
          <w:szCs w:val="24"/>
        </w:rPr>
        <w:t>Diffusion of innovations</w:t>
      </w:r>
      <w:r w:rsidRPr="00A702ED">
        <w:rPr>
          <w:rFonts w:ascii="Times New Roman" w:eastAsia="Calibri" w:hAnsi="Times New Roman" w:cs="Times New Roman"/>
          <w:sz w:val="24"/>
          <w:szCs w:val="24"/>
        </w:rPr>
        <w:t xml:space="preserve"> (5th ed.). Free Press.</w:t>
      </w:r>
    </w:p>
    <w:p w14:paraId="7CD15470"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Roll, I., &amp; Wylie, R. (2016). Evolution and revolution in artificial intelligence in education. </w:t>
      </w:r>
      <w:r w:rsidRPr="004C4728">
        <w:rPr>
          <w:rFonts w:ascii="Times New Roman" w:eastAsia="Calibri" w:hAnsi="Times New Roman" w:cs="Times New Roman"/>
          <w:i/>
          <w:iCs/>
          <w:sz w:val="24"/>
          <w:szCs w:val="24"/>
        </w:rPr>
        <w:t>International Journal of Artificial Intelligence in Education, 26</w:t>
      </w:r>
      <w:r w:rsidRPr="00A702ED">
        <w:rPr>
          <w:rFonts w:ascii="Times New Roman" w:eastAsia="Calibri" w:hAnsi="Times New Roman" w:cs="Times New Roman"/>
          <w:sz w:val="24"/>
          <w:szCs w:val="24"/>
        </w:rPr>
        <w:t xml:space="preserve">(2), 582–599. </w:t>
      </w:r>
      <w:hyperlink r:id="rId62" w:history="1">
        <w:r w:rsidRPr="00A702ED">
          <w:rPr>
            <w:rStyle w:val="Hyperlink"/>
            <w:rFonts w:ascii="Times New Roman" w:eastAsia="Calibri" w:hAnsi="Times New Roman" w:cs="Times New Roman"/>
            <w:sz w:val="24"/>
            <w:szCs w:val="24"/>
          </w:rPr>
          <w:t>https://doi.org/10.1007/s40593-016-0110-3</w:t>
        </w:r>
      </w:hyperlink>
    </w:p>
    <w:p w14:paraId="05A1598E"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Rudolph, J., Tan, S., &amp; Tan, S. (2023). War of the chatbots: Bard, Bing Chat, ChatGPT, Ernie and beyond. The new AI gold rush and its impact on higher education. </w:t>
      </w:r>
      <w:r w:rsidRPr="004C4728">
        <w:rPr>
          <w:rFonts w:ascii="Times New Roman" w:eastAsia="Calibri" w:hAnsi="Times New Roman" w:cs="Times New Roman"/>
          <w:i/>
          <w:iCs/>
          <w:sz w:val="24"/>
          <w:szCs w:val="24"/>
        </w:rPr>
        <w:t>Journal of Applied Learning &amp; Teaching, 6</w:t>
      </w:r>
      <w:r w:rsidRPr="00A702ED">
        <w:rPr>
          <w:rFonts w:ascii="Times New Roman" w:eastAsia="Calibri" w:hAnsi="Times New Roman" w:cs="Times New Roman"/>
          <w:sz w:val="24"/>
          <w:szCs w:val="24"/>
        </w:rPr>
        <w:t xml:space="preserve">(1). </w:t>
      </w:r>
      <w:hyperlink r:id="rId63" w:history="1">
        <w:r w:rsidRPr="00A702ED">
          <w:rPr>
            <w:rStyle w:val="Hyperlink"/>
            <w:rFonts w:ascii="Times New Roman" w:eastAsia="Calibri" w:hAnsi="Times New Roman" w:cs="Times New Roman"/>
            <w:sz w:val="24"/>
            <w:szCs w:val="24"/>
          </w:rPr>
          <w:t>https://doi.org/10.37074/jalt.2023.6.1.23</w:t>
        </w:r>
      </w:hyperlink>
    </w:p>
    <w:p w14:paraId="19F562A6"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Ruffalo Noel Levitz. (2025). </w:t>
      </w:r>
      <w:r w:rsidRPr="00A702ED">
        <w:rPr>
          <w:rFonts w:ascii="Times New Roman" w:eastAsia="Calibri" w:hAnsi="Times New Roman" w:cs="Times New Roman"/>
          <w:i/>
          <w:iCs/>
          <w:sz w:val="24"/>
          <w:szCs w:val="24"/>
        </w:rPr>
        <w:t>Why universities need AI governance.</w:t>
      </w:r>
      <w:r w:rsidRPr="00A702ED">
        <w:rPr>
          <w:rFonts w:ascii="Times New Roman" w:eastAsia="Calibri" w:hAnsi="Times New Roman" w:cs="Times New Roman"/>
          <w:sz w:val="24"/>
          <w:szCs w:val="24"/>
        </w:rPr>
        <w:t xml:space="preserve"> Available online: </w:t>
      </w:r>
      <w:hyperlink r:id="rId64" w:history="1">
        <w:r w:rsidRPr="00A702ED">
          <w:rPr>
            <w:rStyle w:val="Hyperlink"/>
            <w:rFonts w:ascii="Times New Roman" w:eastAsia="Calibri" w:hAnsi="Times New Roman" w:cs="Times New Roman"/>
            <w:sz w:val="24"/>
            <w:szCs w:val="24"/>
          </w:rPr>
          <w:t>https://www.ruffalonl.com/blog/artificialintelligence/why-universities-need-ai-governance/</w:t>
        </w:r>
      </w:hyperlink>
    </w:p>
    <w:p w14:paraId="75D62769"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Sanders, E. B. N., &amp; Stappers, P. J. (2008). Co-creation and the new landscapes of design. </w:t>
      </w:r>
      <w:proofErr w:type="spellStart"/>
      <w:r w:rsidRPr="00A702ED">
        <w:rPr>
          <w:rFonts w:ascii="Times New Roman" w:eastAsia="Calibri" w:hAnsi="Times New Roman" w:cs="Times New Roman"/>
          <w:i/>
          <w:iCs/>
          <w:sz w:val="24"/>
          <w:szCs w:val="24"/>
        </w:rPr>
        <w:t>CoDesign</w:t>
      </w:r>
      <w:proofErr w:type="spellEnd"/>
      <w:r w:rsidRPr="00A702ED">
        <w:rPr>
          <w:rFonts w:ascii="Times New Roman" w:eastAsia="Calibri" w:hAnsi="Times New Roman" w:cs="Times New Roman"/>
          <w:i/>
          <w:iCs/>
          <w:sz w:val="24"/>
          <w:szCs w:val="24"/>
        </w:rPr>
        <w:t>, 4</w:t>
      </w:r>
      <w:r w:rsidRPr="00A702ED">
        <w:rPr>
          <w:rFonts w:ascii="Times New Roman" w:eastAsia="Calibri" w:hAnsi="Times New Roman" w:cs="Times New Roman"/>
          <w:sz w:val="24"/>
          <w:szCs w:val="24"/>
        </w:rPr>
        <w:t>(1), 5–18</w:t>
      </w:r>
    </w:p>
    <w:p w14:paraId="33B2CE52"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Schumacher, C., &amp; </w:t>
      </w:r>
      <w:proofErr w:type="spellStart"/>
      <w:r w:rsidRPr="00A702ED">
        <w:rPr>
          <w:rFonts w:ascii="Times New Roman" w:eastAsia="Calibri" w:hAnsi="Times New Roman" w:cs="Times New Roman"/>
          <w:sz w:val="24"/>
          <w:szCs w:val="24"/>
        </w:rPr>
        <w:t>Ifenthaler</w:t>
      </w:r>
      <w:proofErr w:type="spellEnd"/>
      <w:r w:rsidRPr="00A702ED">
        <w:rPr>
          <w:rFonts w:ascii="Times New Roman" w:eastAsia="Calibri" w:hAnsi="Times New Roman" w:cs="Times New Roman"/>
          <w:sz w:val="24"/>
          <w:szCs w:val="24"/>
        </w:rPr>
        <w:t xml:space="preserve">, D. (2018). Features students really expect from learning analytics. </w:t>
      </w:r>
      <w:r w:rsidRPr="008439B9">
        <w:rPr>
          <w:rFonts w:ascii="Times New Roman" w:eastAsia="Calibri" w:hAnsi="Times New Roman" w:cs="Times New Roman"/>
          <w:i/>
          <w:iCs/>
          <w:sz w:val="24"/>
          <w:szCs w:val="24"/>
        </w:rPr>
        <w:t xml:space="preserve">Computers in Human </w:t>
      </w:r>
      <w:proofErr w:type="spellStart"/>
      <w:r w:rsidRPr="008439B9">
        <w:rPr>
          <w:rFonts w:ascii="Times New Roman" w:eastAsia="Calibri" w:hAnsi="Times New Roman" w:cs="Times New Roman"/>
          <w:i/>
          <w:iCs/>
          <w:sz w:val="24"/>
          <w:szCs w:val="24"/>
        </w:rPr>
        <w:t>Behavior</w:t>
      </w:r>
      <w:proofErr w:type="spellEnd"/>
      <w:r w:rsidRPr="008439B9">
        <w:rPr>
          <w:rFonts w:ascii="Times New Roman" w:eastAsia="Calibri" w:hAnsi="Times New Roman" w:cs="Times New Roman"/>
          <w:i/>
          <w:iCs/>
          <w:sz w:val="24"/>
          <w:szCs w:val="24"/>
        </w:rPr>
        <w:t>, 78,</w:t>
      </w:r>
      <w:r w:rsidRPr="00A702ED">
        <w:rPr>
          <w:rFonts w:ascii="Times New Roman" w:eastAsia="Calibri" w:hAnsi="Times New Roman" w:cs="Times New Roman"/>
          <w:sz w:val="24"/>
          <w:szCs w:val="24"/>
        </w:rPr>
        <w:t xml:space="preserve"> 397–407. </w:t>
      </w:r>
      <w:hyperlink r:id="rId65" w:history="1">
        <w:r w:rsidRPr="00A702ED">
          <w:rPr>
            <w:rStyle w:val="Hyperlink"/>
            <w:rFonts w:ascii="Times New Roman" w:eastAsia="Calibri" w:hAnsi="Times New Roman" w:cs="Times New Roman"/>
            <w:sz w:val="24"/>
            <w:szCs w:val="24"/>
          </w:rPr>
          <w:t>https://doi.org/10.1016/j.chb.2017.06.030</w:t>
        </w:r>
      </w:hyperlink>
    </w:p>
    <w:p w14:paraId="6DA1FE45"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53214D">
        <w:rPr>
          <w:rFonts w:ascii="Times New Roman" w:eastAsia="Calibri" w:hAnsi="Times New Roman" w:cs="Times New Roman"/>
          <w:sz w:val="24"/>
          <w:szCs w:val="24"/>
        </w:rPr>
        <w:t xml:space="preserve">Selwyn, N. (2019). </w:t>
      </w:r>
      <w:r w:rsidRPr="0053214D">
        <w:rPr>
          <w:rFonts w:ascii="Times New Roman" w:eastAsia="Calibri" w:hAnsi="Times New Roman" w:cs="Times New Roman"/>
          <w:i/>
          <w:iCs/>
          <w:sz w:val="24"/>
          <w:szCs w:val="24"/>
        </w:rPr>
        <w:t xml:space="preserve">Should robots replace </w:t>
      </w:r>
      <w:proofErr w:type="gramStart"/>
      <w:r w:rsidRPr="0053214D">
        <w:rPr>
          <w:rFonts w:ascii="Times New Roman" w:eastAsia="Calibri" w:hAnsi="Times New Roman" w:cs="Times New Roman"/>
          <w:i/>
          <w:iCs/>
          <w:sz w:val="24"/>
          <w:szCs w:val="24"/>
        </w:rPr>
        <w:t>teachers?:</w:t>
      </w:r>
      <w:proofErr w:type="gramEnd"/>
      <w:r w:rsidRPr="0053214D">
        <w:rPr>
          <w:rFonts w:ascii="Times New Roman" w:eastAsia="Calibri" w:hAnsi="Times New Roman" w:cs="Times New Roman"/>
          <w:i/>
          <w:iCs/>
          <w:sz w:val="24"/>
          <w:szCs w:val="24"/>
        </w:rPr>
        <w:t xml:space="preserve"> AI and the future of education.</w:t>
      </w:r>
      <w:r w:rsidRPr="0053214D">
        <w:rPr>
          <w:rFonts w:ascii="Times New Roman" w:eastAsia="Calibri" w:hAnsi="Times New Roman" w:cs="Times New Roman"/>
          <w:sz w:val="24"/>
          <w:szCs w:val="24"/>
        </w:rPr>
        <w:t xml:space="preserve"> </w:t>
      </w:r>
      <w:hyperlink r:id="rId66" w:history="1">
        <w:r w:rsidRPr="0053214D">
          <w:rPr>
            <w:rStyle w:val="Hyperlink"/>
            <w:rFonts w:ascii="Times New Roman" w:eastAsia="Calibri" w:hAnsi="Times New Roman" w:cs="Times New Roman"/>
            <w:sz w:val="24"/>
            <w:szCs w:val="24"/>
          </w:rPr>
          <w:t>https://eric.ed.gov/?id=ED599636</w:t>
        </w:r>
      </w:hyperlink>
    </w:p>
    <w:p w14:paraId="7AA49F23" w14:textId="4E42D712" w:rsidR="00FF0BFE" w:rsidRPr="006324A2" w:rsidRDefault="00FF0BFE" w:rsidP="00FF0BFE">
      <w:pPr>
        <w:spacing w:after="0" w:line="360" w:lineRule="auto"/>
        <w:ind w:left="720" w:hanging="720"/>
        <w:jc w:val="both"/>
        <w:rPr>
          <w:rFonts w:ascii="Times New Roman" w:eastAsia="Calibri" w:hAnsi="Times New Roman" w:cs="Times New Roman"/>
          <w:sz w:val="24"/>
          <w:szCs w:val="24"/>
        </w:rPr>
      </w:pPr>
      <w:r w:rsidRPr="00CA09A5">
        <w:rPr>
          <w:rFonts w:ascii="Times New Roman" w:eastAsia="Calibri" w:hAnsi="Times New Roman" w:cs="Times New Roman"/>
          <w:sz w:val="24"/>
          <w:szCs w:val="24"/>
        </w:rPr>
        <w:lastRenderedPageBreak/>
        <w:t xml:space="preserve">Simonsen, J., &amp; Robertson, T. (2012). </w:t>
      </w:r>
      <w:r w:rsidRPr="00CA09A5">
        <w:rPr>
          <w:rFonts w:ascii="Times New Roman" w:eastAsia="Calibri" w:hAnsi="Times New Roman" w:cs="Times New Roman"/>
          <w:i/>
          <w:iCs/>
          <w:sz w:val="24"/>
          <w:szCs w:val="24"/>
        </w:rPr>
        <w:t xml:space="preserve">Routledge international handbook of participatory design. </w:t>
      </w:r>
      <w:r w:rsidRPr="00CA09A5">
        <w:rPr>
          <w:rFonts w:ascii="Times New Roman" w:eastAsia="Calibri" w:hAnsi="Times New Roman" w:cs="Times New Roman"/>
          <w:sz w:val="24"/>
          <w:szCs w:val="24"/>
        </w:rPr>
        <w:t>Routledge</w:t>
      </w:r>
      <w:r w:rsidR="00456519" w:rsidRPr="00CA09A5">
        <w:rPr>
          <w:rFonts w:ascii="Times New Roman" w:eastAsia="Calibri" w:hAnsi="Times New Roman" w:cs="Times New Roman"/>
          <w:sz w:val="24"/>
          <w:szCs w:val="24"/>
        </w:rPr>
        <w:t>.</w:t>
      </w:r>
    </w:p>
    <w:p w14:paraId="187A0E82"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Singapore Government. (2020). </w:t>
      </w:r>
      <w:r w:rsidRPr="00A702ED">
        <w:rPr>
          <w:rFonts w:ascii="Times New Roman" w:eastAsia="Calibri" w:hAnsi="Times New Roman" w:cs="Times New Roman"/>
          <w:i/>
          <w:iCs/>
          <w:sz w:val="24"/>
          <w:szCs w:val="24"/>
        </w:rPr>
        <w:t>Model artificial intelligence governance framework</w:t>
      </w:r>
      <w:r w:rsidRPr="00A702ED">
        <w:rPr>
          <w:rFonts w:ascii="Times New Roman" w:eastAsia="Calibri" w:hAnsi="Times New Roman" w:cs="Times New Roman"/>
          <w:sz w:val="24"/>
          <w:szCs w:val="24"/>
        </w:rPr>
        <w:t xml:space="preserve">, 2nd ed.; Personal Data Protection Commission. Available online: </w:t>
      </w:r>
      <w:hyperlink r:id="rId67" w:history="1">
        <w:r w:rsidRPr="00A702ED">
          <w:rPr>
            <w:rStyle w:val="Hyperlink"/>
            <w:rFonts w:ascii="Times New Roman" w:eastAsia="Calibri" w:hAnsi="Times New Roman" w:cs="Times New Roman"/>
            <w:sz w:val="24"/>
            <w:szCs w:val="24"/>
          </w:rPr>
          <w:t>https://www.pdpc.gov.sg/help-and-resources/2020/01/model-ai-governance-framework</w:t>
        </w:r>
      </w:hyperlink>
      <w:r w:rsidRPr="00A702ED">
        <w:rPr>
          <w:rFonts w:ascii="Times New Roman" w:eastAsia="Calibri" w:hAnsi="Times New Roman" w:cs="Times New Roman"/>
          <w:sz w:val="24"/>
          <w:szCs w:val="24"/>
        </w:rPr>
        <w:t xml:space="preserve"> </w:t>
      </w:r>
    </w:p>
    <w:p w14:paraId="1D8B5065"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Slade, S., &amp; Prinsloo, P. (2013). Learning analytics: Ethical issues and dilemmas. </w:t>
      </w:r>
      <w:r w:rsidRPr="00A702ED">
        <w:rPr>
          <w:rFonts w:ascii="Times New Roman" w:eastAsia="Calibri" w:hAnsi="Times New Roman" w:cs="Times New Roman"/>
          <w:i/>
          <w:iCs/>
          <w:sz w:val="24"/>
          <w:szCs w:val="24"/>
        </w:rPr>
        <w:t xml:space="preserve">American </w:t>
      </w:r>
      <w:proofErr w:type="spellStart"/>
      <w:r w:rsidRPr="00A702ED">
        <w:rPr>
          <w:rFonts w:ascii="Times New Roman" w:eastAsia="Calibri" w:hAnsi="Times New Roman" w:cs="Times New Roman"/>
          <w:i/>
          <w:iCs/>
          <w:sz w:val="24"/>
          <w:szCs w:val="24"/>
        </w:rPr>
        <w:t>Behavioral</w:t>
      </w:r>
      <w:proofErr w:type="spellEnd"/>
      <w:r w:rsidRPr="00A702ED">
        <w:rPr>
          <w:rFonts w:ascii="Times New Roman" w:eastAsia="Calibri" w:hAnsi="Times New Roman" w:cs="Times New Roman"/>
          <w:i/>
          <w:iCs/>
          <w:sz w:val="24"/>
          <w:szCs w:val="24"/>
        </w:rPr>
        <w:t xml:space="preserve"> Scientist, 57</w:t>
      </w:r>
      <w:r w:rsidRPr="00A702ED">
        <w:rPr>
          <w:rFonts w:ascii="Times New Roman" w:eastAsia="Calibri" w:hAnsi="Times New Roman" w:cs="Times New Roman"/>
          <w:sz w:val="24"/>
          <w:szCs w:val="24"/>
        </w:rPr>
        <w:t xml:space="preserve">(10), 1510–1529. </w:t>
      </w:r>
    </w:p>
    <w:p w14:paraId="0497EAE4" w14:textId="77777777" w:rsidR="00FF0BFE" w:rsidRPr="00A702ED" w:rsidRDefault="00FF0BFE" w:rsidP="00FF0BFE">
      <w:pPr>
        <w:spacing w:line="360" w:lineRule="auto"/>
        <w:ind w:left="567" w:hanging="567"/>
        <w:rPr>
          <w:rFonts w:ascii="Times New Roman" w:eastAsia="Calibri" w:hAnsi="Times New Roman" w:cs="Times New Roman"/>
          <w:sz w:val="24"/>
          <w:szCs w:val="24"/>
        </w:rPr>
      </w:pPr>
      <w:proofErr w:type="spellStart"/>
      <w:r w:rsidRPr="00A702ED">
        <w:rPr>
          <w:rFonts w:ascii="Times New Roman" w:eastAsia="Calibri" w:hAnsi="Times New Roman" w:cs="Times New Roman"/>
          <w:sz w:val="24"/>
          <w:szCs w:val="24"/>
        </w:rPr>
        <w:t>Sweller</w:t>
      </w:r>
      <w:proofErr w:type="spellEnd"/>
      <w:r w:rsidRPr="00A702ED">
        <w:rPr>
          <w:rFonts w:ascii="Times New Roman" w:eastAsia="Calibri" w:hAnsi="Times New Roman" w:cs="Times New Roman"/>
          <w:sz w:val="24"/>
          <w:szCs w:val="24"/>
        </w:rPr>
        <w:t xml:space="preserve">, J. (1988). Cognitive load during problem solving: Effects on learning. </w:t>
      </w:r>
      <w:r w:rsidRPr="00C65562">
        <w:rPr>
          <w:rFonts w:ascii="Times New Roman" w:eastAsia="Calibri" w:hAnsi="Times New Roman" w:cs="Times New Roman"/>
          <w:i/>
          <w:iCs/>
          <w:sz w:val="24"/>
          <w:szCs w:val="24"/>
        </w:rPr>
        <w:t>Cognitive Science, 12</w:t>
      </w:r>
      <w:r w:rsidRPr="00A702ED">
        <w:rPr>
          <w:rFonts w:ascii="Times New Roman" w:eastAsia="Calibri" w:hAnsi="Times New Roman" w:cs="Times New Roman"/>
          <w:sz w:val="24"/>
          <w:szCs w:val="24"/>
        </w:rPr>
        <w:t xml:space="preserve">(2), 257–285. </w:t>
      </w:r>
      <w:hyperlink r:id="rId68" w:history="1">
        <w:r w:rsidRPr="00A702ED">
          <w:rPr>
            <w:rStyle w:val="Hyperlink"/>
            <w:rFonts w:ascii="Times New Roman" w:eastAsia="Calibri" w:hAnsi="Times New Roman" w:cs="Times New Roman"/>
            <w:sz w:val="24"/>
            <w:szCs w:val="24"/>
          </w:rPr>
          <w:t>https://doi.org/10.1207/s15516709cog1202_4</w:t>
        </w:r>
      </w:hyperlink>
    </w:p>
    <w:p w14:paraId="531AE925"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Taddeo, M., &amp; Floridi, L. (2018). How AI can be a force for good. </w:t>
      </w:r>
      <w:r w:rsidRPr="006A6BB5">
        <w:rPr>
          <w:rFonts w:ascii="Times New Roman" w:eastAsia="Calibri" w:hAnsi="Times New Roman" w:cs="Times New Roman"/>
          <w:i/>
          <w:iCs/>
          <w:sz w:val="24"/>
          <w:szCs w:val="24"/>
        </w:rPr>
        <w:t>Science, 361</w:t>
      </w:r>
      <w:r w:rsidRPr="00A702ED">
        <w:rPr>
          <w:rFonts w:ascii="Times New Roman" w:eastAsia="Calibri" w:hAnsi="Times New Roman" w:cs="Times New Roman"/>
          <w:sz w:val="24"/>
          <w:szCs w:val="24"/>
        </w:rPr>
        <w:t xml:space="preserve">(6404), 751–752. </w:t>
      </w:r>
      <w:hyperlink r:id="rId69" w:history="1">
        <w:r w:rsidRPr="00A702ED">
          <w:rPr>
            <w:rStyle w:val="Hyperlink"/>
            <w:rFonts w:ascii="Times New Roman" w:eastAsia="Calibri" w:hAnsi="Times New Roman" w:cs="Times New Roman"/>
            <w:sz w:val="24"/>
            <w:szCs w:val="24"/>
          </w:rPr>
          <w:t>https://doi.org/10.1126/science.aat5991</w:t>
        </w:r>
      </w:hyperlink>
    </w:p>
    <w:p w14:paraId="4A6F12BF"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Tondeur, J., van Braak, J., Ertmer, P. A., &amp; Ottenbreit-Leftwich, A. (2017). Understanding the relationship between teachers’ pedagogical beliefs and technology use in education: A systematic review of qualitative evidence. </w:t>
      </w:r>
      <w:r w:rsidRPr="00A702ED">
        <w:rPr>
          <w:rFonts w:ascii="Times New Roman" w:eastAsia="Calibri" w:hAnsi="Times New Roman" w:cs="Times New Roman"/>
          <w:i/>
          <w:iCs/>
          <w:sz w:val="24"/>
          <w:szCs w:val="24"/>
        </w:rPr>
        <w:t>Educational Technology Research and Development, 65</w:t>
      </w:r>
      <w:r w:rsidRPr="00A702ED">
        <w:rPr>
          <w:rFonts w:ascii="Times New Roman" w:eastAsia="Calibri" w:hAnsi="Times New Roman" w:cs="Times New Roman"/>
          <w:sz w:val="24"/>
          <w:szCs w:val="24"/>
        </w:rPr>
        <w:t xml:space="preserve">(3), 555–575. </w:t>
      </w:r>
    </w:p>
    <w:p w14:paraId="222F0F37"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Tsai, M. J., Wang, C. Y., &amp; Hsu, P. F. (2021). Developing the computer programming self-efficacy scale for computer literacy education. </w:t>
      </w:r>
      <w:r w:rsidRPr="00A702ED">
        <w:rPr>
          <w:rFonts w:ascii="Times New Roman" w:eastAsia="Calibri" w:hAnsi="Times New Roman" w:cs="Times New Roman"/>
          <w:i/>
          <w:iCs/>
          <w:sz w:val="24"/>
          <w:szCs w:val="24"/>
        </w:rPr>
        <w:t>Journal of Educational Computing Research, 56</w:t>
      </w:r>
      <w:r w:rsidRPr="00A702ED">
        <w:rPr>
          <w:rFonts w:ascii="Times New Roman" w:eastAsia="Calibri" w:hAnsi="Times New Roman" w:cs="Times New Roman"/>
          <w:sz w:val="24"/>
          <w:szCs w:val="24"/>
        </w:rPr>
        <w:t xml:space="preserve">(8), 1345–1360. </w:t>
      </w:r>
    </w:p>
    <w:p w14:paraId="0267850E"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UNESCO. (2021). </w:t>
      </w:r>
      <w:r w:rsidRPr="00A439AA">
        <w:rPr>
          <w:rFonts w:ascii="Times New Roman" w:eastAsia="Calibri" w:hAnsi="Times New Roman" w:cs="Times New Roman"/>
          <w:i/>
          <w:iCs/>
          <w:sz w:val="24"/>
          <w:szCs w:val="24"/>
        </w:rPr>
        <w:t>AI and education: Guidance for policy-makers.</w:t>
      </w:r>
      <w:r w:rsidRPr="00A702ED">
        <w:rPr>
          <w:rFonts w:ascii="Times New Roman" w:eastAsia="Calibri" w:hAnsi="Times New Roman" w:cs="Times New Roman"/>
          <w:sz w:val="24"/>
          <w:szCs w:val="24"/>
        </w:rPr>
        <w:t xml:space="preserve"> UNESCO Publishing.</w:t>
      </w:r>
    </w:p>
    <w:p w14:paraId="586815EB" w14:textId="77777777" w:rsidR="00FF0BFE" w:rsidRPr="00A702ED" w:rsidRDefault="00FF0BFE" w:rsidP="00FF0BFE">
      <w:pPr>
        <w:spacing w:line="360" w:lineRule="auto"/>
        <w:ind w:left="567" w:hanging="567"/>
        <w:rPr>
          <w:rFonts w:ascii="Times New Roman" w:eastAsia="Calibri" w:hAnsi="Times New Roman" w:cs="Times New Roman"/>
          <w:color w:val="4472C4" w:themeColor="accent1"/>
          <w:sz w:val="24"/>
          <w:szCs w:val="24"/>
          <w:u w:val="single"/>
        </w:rPr>
      </w:pPr>
      <w:r w:rsidRPr="00A702ED">
        <w:rPr>
          <w:rFonts w:ascii="Times New Roman" w:eastAsia="Calibri" w:hAnsi="Times New Roman" w:cs="Times New Roman"/>
          <w:sz w:val="24"/>
          <w:szCs w:val="24"/>
        </w:rPr>
        <w:t xml:space="preserve">University of California System. (2023). </w:t>
      </w:r>
      <w:r w:rsidRPr="00A702ED">
        <w:rPr>
          <w:rFonts w:ascii="Times New Roman" w:eastAsia="Calibri" w:hAnsi="Times New Roman" w:cs="Times New Roman"/>
          <w:i/>
          <w:iCs/>
          <w:sz w:val="24"/>
          <w:szCs w:val="24"/>
        </w:rPr>
        <w:t xml:space="preserve">Guidelines for generative AI use in teaching and learning. </w:t>
      </w:r>
      <w:r w:rsidRPr="00A702ED">
        <w:rPr>
          <w:rFonts w:ascii="Times New Roman" w:eastAsia="Calibri" w:hAnsi="Times New Roman" w:cs="Times New Roman"/>
          <w:sz w:val="24"/>
          <w:szCs w:val="24"/>
        </w:rPr>
        <w:t xml:space="preserve">Available online: </w:t>
      </w:r>
      <w:r w:rsidRPr="00A702ED">
        <w:rPr>
          <w:rFonts w:ascii="Times New Roman" w:eastAsia="Calibri" w:hAnsi="Times New Roman" w:cs="Times New Roman"/>
          <w:color w:val="4472C4" w:themeColor="accent1"/>
          <w:sz w:val="24"/>
          <w:szCs w:val="24"/>
          <w:u w:val="single"/>
        </w:rPr>
        <w:t>https://rtl.berkeley.edu/ resources/ai-teaching-learning-overview.</w:t>
      </w:r>
    </w:p>
    <w:p w14:paraId="2C1DBC2E"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Usher, M., &amp; Barak, M. (2024). Unpacking the role of AI ethics online education for science and engineering students. </w:t>
      </w:r>
      <w:r w:rsidRPr="00413588">
        <w:rPr>
          <w:rFonts w:ascii="Times New Roman" w:eastAsia="Calibri" w:hAnsi="Times New Roman" w:cs="Times New Roman"/>
          <w:i/>
          <w:iCs/>
          <w:sz w:val="24"/>
          <w:szCs w:val="24"/>
        </w:rPr>
        <w:t>International Journal of STEM Education, 11</w:t>
      </w:r>
      <w:r w:rsidRPr="00A702ED">
        <w:rPr>
          <w:rFonts w:ascii="Times New Roman" w:eastAsia="Calibri" w:hAnsi="Times New Roman" w:cs="Times New Roman"/>
          <w:sz w:val="24"/>
          <w:szCs w:val="24"/>
        </w:rPr>
        <w:t xml:space="preserve">(1). </w:t>
      </w:r>
      <w:hyperlink r:id="rId70" w:history="1">
        <w:r w:rsidRPr="00A702ED">
          <w:rPr>
            <w:rStyle w:val="Hyperlink"/>
            <w:rFonts w:ascii="Times New Roman" w:eastAsia="Calibri" w:hAnsi="Times New Roman" w:cs="Times New Roman"/>
            <w:sz w:val="24"/>
            <w:szCs w:val="24"/>
          </w:rPr>
          <w:t>https://doi.org/10.1186/s40594-024-00493-4</w:t>
        </w:r>
      </w:hyperlink>
    </w:p>
    <w:p w14:paraId="0BC8F918" w14:textId="77777777" w:rsidR="00FF0BFE" w:rsidRPr="00A702ED" w:rsidRDefault="00FF0BFE" w:rsidP="00FF0BFE">
      <w:pPr>
        <w:spacing w:line="360" w:lineRule="auto"/>
        <w:ind w:left="567" w:hanging="567"/>
        <w:rPr>
          <w:rFonts w:ascii="Times New Roman" w:eastAsia="Calibri" w:hAnsi="Times New Roman" w:cs="Times New Roman"/>
          <w:sz w:val="24"/>
          <w:szCs w:val="24"/>
        </w:rPr>
      </w:pPr>
      <w:proofErr w:type="spellStart"/>
      <w:r w:rsidRPr="0053214D">
        <w:rPr>
          <w:rFonts w:ascii="Times New Roman" w:eastAsia="Calibri" w:hAnsi="Times New Roman" w:cs="Times New Roman"/>
          <w:sz w:val="24"/>
          <w:szCs w:val="24"/>
        </w:rPr>
        <w:t>VanLEHN</w:t>
      </w:r>
      <w:proofErr w:type="spellEnd"/>
      <w:r w:rsidRPr="0053214D">
        <w:rPr>
          <w:rFonts w:ascii="Times New Roman" w:eastAsia="Calibri" w:hAnsi="Times New Roman" w:cs="Times New Roman"/>
          <w:sz w:val="24"/>
          <w:szCs w:val="24"/>
        </w:rPr>
        <w:t>, K. (2011). Th</w:t>
      </w:r>
      <w:r w:rsidRPr="00A702ED">
        <w:rPr>
          <w:rFonts w:ascii="Times New Roman" w:eastAsia="Calibri" w:hAnsi="Times New Roman" w:cs="Times New Roman"/>
          <w:sz w:val="24"/>
          <w:szCs w:val="24"/>
        </w:rPr>
        <w:t xml:space="preserve">e relative effectiveness of human tutoring, intelligent tutoring systems, and other tutoring systems. </w:t>
      </w:r>
      <w:r w:rsidRPr="00361A8F">
        <w:rPr>
          <w:rFonts w:ascii="Times New Roman" w:eastAsia="Calibri" w:hAnsi="Times New Roman" w:cs="Times New Roman"/>
          <w:i/>
          <w:iCs/>
          <w:sz w:val="24"/>
          <w:szCs w:val="24"/>
        </w:rPr>
        <w:t>Educational Psychologist, 46</w:t>
      </w:r>
      <w:r w:rsidRPr="00A702ED">
        <w:rPr>
          <w:rFonts w:ascii="Times New Roman" w:eastAsia="Calibri" w:hAnsi="Times New Roman" w:cs="Times New Roman"/>
          <w:sz w:val="24"/>
          <w:szCs w:val="24"/>
        </w:rPr>
        <w:t xml:space="preserve">(4), 197–221. </w:t>
      </w:r>
      <w:hyperlink r:id="rId71" w:history="1">
        <w:r w:rsidRPr="00A702ED">
          <w:rPr>
            <w:rStyle w:val="Hyperlink"/>
            <w:rFonts w:ascii="Times New Roman" w:eastAsia="Calibri" w:hAnsi="Times New Roman" w:cs="Times New Roman"/>
            <w:sz w:val="24"/>
            <w:szCs w:val="24"/>
          </w:rPr>
          <w:t>https://doi.org/10.1080/00461520.2011.611369</w:t>
        </w:r>
      </w:hyperlink>
    </w:p>
    <w:p w14:paraId="3808D307" w14:textId="77777777" w:rsidR="00FF0BFE" w:rsidRPr="00A702ED" w:rsidRDefault="00FF0BFE" w:rsidP="00FF0BFE">
      <w:pPr>
        <w:spacing w:after="0" w:line="360" w:lineRule="auto"/>
        <w:ind w:left="720" w:hanging="720"/>
        <w:jc w:val="both"/>
        <w:rPr>
          <w:rFonts w:ascii="Times New Roman" w:eastAsia="Calibri" w:hAnsi="Times New Roman" w:cs="Times New Roman"/>
          <w:sz w:val="24"/>
          <w:szCs w:val="24"/>
        </w:rPr>
      </w:pPr>
      <w:r w:rsidRPr="00A702ED">
        <w:rPr>
          <w:rFonts w:ascii="Times New Roman" w:eastAsia="Calibri" w:hAnsi="Times New Roman" w:cs="Times New Roman"/>
          <w:sz w:val="24"/>
          <w:szCs w:val="24"/>
        </w:rPr>
        <w:t xml:space="preserve">Veletsianos, G. (2022). </w:t>
      </w:r>
      <w:r w:rsidRPr="00A702ED">
        <w:rPr>
          <w:rFonts w:ascii="Times New Roman" w:eastAsia="Calibri" w:hAnsi="Times New Roman" w:cs="Times New Roman"/>
          <w:i/>
          <w:iCs/>
          <w:sz w:val="24"/>
          <w:szCs w:val="24"/>
        </w:rPr>
        <w:t>Teaching with AI: A practical guide to transforming education.</w:t>
      </w:r>
      <w:r w:rsidRPr="00A702ED">
        <w:rPr>
          <w:rFonts w:ascii="Times New Roman" w:eastAsia="Calibri" w:hAnsi="Times New Roman" w:cs="Times New Roman"/>
          <w:sz w:val="24"/>
          <w:szCs w:val="24"/>
        </w:rPr>
        <w:t xml:space="preserve"> Johns Hopkins University Press.</w:t>
      </w:r>
    </w:p>
    <w:p w14:paraId="45948E0E" w14:textId="77777777" w:rsidR="00FF0BFE" w:rsidRPr="00A702ED" w:rsidRDefault="00FF0BFE" w:rsidP="00FF0BFE">
      <w:pPr>
        <w:spacing w:line="360" w:lineRule="auto"/>
        <w:ind w:left="567" w:hanging="567"/>
        <w:rPr>
          <w:rFonts w:ascii="Times New Roman" w:eastAsia="Calibri" w:hAnsi="Times New Roman" w:cs="Times New Roman"/>
          <w:sz w:val="24"/>
          <w:szCs w:val="24"/>
        </w:rPr>
      </w:pPr>
      <w:r w:rsidRPr="00A702ED">
        <w:rPr>
          <w:rFonts w:ascii="Times New Roman" w:eastAsia="Calibri" w:hAnsi="Times New Roman" w:cs="Times New Roman"/>
          <w:sz w:val="24"/>
          <w:szCs w:val="24"/>
        </w:rPr>
        <w:lastRenderedPageBreak/>
        <w:t xml:space="preserve">Wachter, S., Mittelstadt, B., &amp; Russell, C. (2017). Counterfactual explanations without opening the black box: Automated decisions and the GDPR. </w:t>
      </w:r>
      <w:r w:rsidRPr="00A702ED">
        <w:rPr>
          <w:rFonts w:ascii="Times New Roman" w:eastAsia="Calibri" w:hAnsi="Times New Roman" w:cs="Times New Roman"/>
          <w:i/>
          <w:iCs/>
          <w:sz w:val="24"/>
          <w:szCs w:val="24"/>
        </w:rPr>
        <w:t xml:space="preserve">Harvard Journal of Law &amp; Technology, 31, </w:t>
      </w:r>
      <w:r w:rsidRPr="00A702ED">
        <w:rPr>
          <w:rFonts w:ascii="Times New Roman" w:eastAsia="Calibri" w:hAnsi="Times New Roman" w:cs="Times New Roman"/>
          <w:sz w:val="24"/>
          <w:szCs w:val="24"/>
        </w:rPr>
        <w:t xml:space="preserve">841–887. </w:t>
      </w:r>
    </w:p>
    <w:p w14:paraId="6F1A991B" w14:textId="77777777" w:rsidR="00FF0BFE" w:rsidRPr="00A702ED" w:rsidRDefault="00FF0BFE" w:rsidP="00FF0BFE">
      <w:pPr>
        <w:spacing w:line="360" w:lineRule="auto"/>
        <w:ind w:left="567" w:hanging="567"/>
        <w:rPr>
          <w:rFonts w:ascii="Times New Roman" w:hAnsi="Times New Roman" w:cs="Times New Roman"/>
          <w:sz w:val="24"/>
          <w:szCs w:val="24"/>
        </w:rPr>
      </w:pPr>
      <w:proofErr w:type="spellStart"/>
      <w:r w:rsidRPr="00A702ED">
        <w:rPr>
          <w:rFonts w:ascii="Times New Roman" w:hAnsi="Times New Roman" w:cs="Times New Roman"/>
          <w:sz w:val="24"/>
          <w:szCs w:val="24"/>
        </w:rPr>
        <w:t>Weintrop</w:t>
      </w:r>
      <w:proofErr w:type="spellEnd"/>
      <w:r w:rsidRPr="00A702ED">
        <w:rPr>
          <w:rFonts w:ascii="Times New Roman" w:hAnsi="Times New Roman" w:cs="Times New Roman"/>
          <w:sz w:val="24"/>
          <w:szCs w:val="24"/>
        </w:rPr>
        <w:t xml:space="preserve">, D., &amp; Wilensky, U. (2019). Transitioning from introductory block-based and text-based environments to professional programming languages in high school computer science classrooms. </w:t>
      </w:r>
      <w:r w:rsidRPr="00342369">
        <w:rPr>
          <w:rFonts w:ascii="Times New Roman" w:hAnsi="Times New Roman" w:cs="Times New Roman"/>
          <w:i/>
          <w:iCs/>
          <w:sz w:val="24"/>
          <w:szCs w:val="24"/>
        </w:rPr>
        <w:t>Computers &amp; Education, 142</w:t>
      </w:r>
      <w:r w:rsidRPr="00A702ED">
        <w:rPr>
          <w:rFonts w:ascii="Times New Roman" w:hAnsi="Times New Roman" w:cs="Times New Roman"/>
          <w:sz w:val="24"/>
          <w:szCs w:val="24"/>
        </w:rPr>
        <w:t xml:space="preserve">, 103646. </w:t>
      </w:r>
      <w:hyperlink r:id="rId72" w:history="1">
        <w:r w:rsidRPr="00A702ED">
          <w:rPr>
            <w:rStyle w:val="Hyperlink"/>
            <w:rFonts w:ascii="Times New Roman" w:hAnsi="Times New Roman" w:cs="Times New Roman"/>
            <w:sz w:val="24"/>
            <w:szCs w:val="24"/>
          </w:rPr>
          <w:t>https://doi.org/10.1016/j.compedu.2019.103646</w:t>
        </w:r>
      </w:hyperlink>
    </w:p>
    <w:p w14:paraId="6A70A1D5"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Weller, M. (2020). </w:t>
      </w:r>
      <w:r w:rsidRPr="00342369">
        <w:rPr>
          <w:rFonts w:ascii="Times New Roman" w:hAnsi="Times New Roman" w:cs="Times New Roman"/>
          <w:i/>
          <w:iCs/>
          <w:sz w:val="24"/>
          <w:szCs w:val="24"/>
        </w:rPr>
        <w:t>25 years of ed tech.</w:t>
      </w:r>
      <w:r w:rsidRPr="00A702ED">
        <w:rPr>
          <w:rFonts w:ascii="Times New Roman" w:hAnsi="Times New Roman" w:cs="Times New Roman"/>
          <w:sz w:val="24"/>
          <w:szCs w:val="24"/>
        </w:rPr>
        <w:t xml:space="preserve"> In Athabasca University Press eBooks. </w:t>
      </w:r>
      <w:hyperlink r:id="rId73" w:history="1">
        <w:r w:rsidRPr="00A702ED">
          <w:rPr>
            <w:rStyle w:val="Hyperlink"/>
            <w:rFonts w:ascii="Times New Roman" w:hAnsi="Times New Roman" w:cs="Times New Roman"/>
            <w:sz w:val="24"/>
            <w:szCs w:val="24"/>
          </w:rPr>
          <w:t>https://doi.org/10.15215/aupress/9781771993050.01</w:t>
        </w:r>
      </w:hyperlink>
    </w:p>
    <w:p w14:paraId="7DFD607C" w14:textId="77777777" w:rsidR="00FF0BFE" w:rsidRPr="00A702ED" w:rsidRDefault="00FF0BFE" w:rsidP="00FF0BFE">
      <w:pPr>
        <w:spacing w:line="360" w:lineRule="auto"/>
        <w:ind w:left="567" w:hanging="567"/>
        <w:rPr>
          <w:rFonts w:ascii="Times New Roman" w:hAnsi="Times New Roman" w:cs="Times New Roman"/>
          <w:sz w:val="24"/>
          <w:szCs w:val="24"/>
        </w:rPr>
      </w:pPr>
      <w:r w:rsidRPr="008E36C7">
        <w:rPr>
          <w:rFonts w:ascii="Times New Roman" w:hAnsi="Times New Roman" w:cs="Times New Roman"/>
          <w:sz w:val="24"/>
          <w:szCs w:val="24"/>
        </w:rPr>
        <w:t xml:space="preserve">Williamson, B. (2019). Policy networks, performance metrics and platform markets: Charting the expanding data infrastructure of higher education. </w:t>
      </w:r>
      <w:r w:rsidRPr="008E36C7">
        <w:rPr>
          <w:rFonts w:ascii="Times New Roman" w:hAnsi="Times New Roman" w:cs="Times New Roman"/>
          <w:i/>
          <w:iCs/>
          <w:sz w:val="24"/>
          <w:szCs w:val="24"/>
        </w:rPr>
        <w:t>British Journal of Educational Technology, 50</w:t>
      </w:r>
      <w:r w:rsidRPr="008E36C7">
        <w:rPr>
          <w:rFonts w:ascii="Times New Roman" w:hAnsi="Times New Roman" w:cs="Times New Roman"/>
          <w:sz w:val="24"/>
          <w:szCs w:val="24"/>
        </w:rPr>
        <w:t xml:space="preserve">(6), 2794–2809. </w:t>
      </w:r>
      <w:hyperlink r:id="rId74" w:history="1">
        <w:r w:rsidRPr="008E36C7">
          <w:rPr>
            <w:rStyle w:val="Hyperlink"/>
            <w:rFonts w:ascii="Times New Roman" w:hAnsi="Times New Roman" w:cs="Times New Roman"/>
            <w:sz w:val="24"/>
            <w:szCs w:val="24"/>
          </w:rPr>
          <w:t>https://doi.org/10.1111/bjet.12849</w:t>
        </w:r>
      </w:hyperlink>
    </w:p>
    <w:p w14:paraId="7C6B7BC4"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Williamson, B., Bayne, S., &amp; Shay, S. (2020). The datafication of teaching in Higher Education: critical issues and perspectives. </w:t>
      </w:r>
      <w:r w:rsidRPr="00340D66">
        <w:rPr>
          <w:rFonts w:ascii="Times New Roman" w:hAnsi="Times New Roman" w:cs="Times New Roman"/>
          <w:i/>
          <w:iCs/>
          <w:sz w:val="24"/>
          <w:szCs w:val="24"/>
        </w:rPr>
        <w:t>Teaching in Higher Education, 25</w:t>
      </w:r>
      <w:r w:rsidRPr="00A702ED">
        <w:rPr>
          <w:rFonts w:ascii="Times New Roman" w:hAnsi="Times New Roman" w:cs="Times New Roman"/>
          <w:sz w:val="24"/>
          <w:szCs w:val="24"/>
        </w:rPr>
        <w:t xml:space="preserve">(4), 351–365. </w:t>
      </w:r>
      <w:hyperlink r:id="rId75" w:history="1">
        <w:r w:rsidRPr="00A702ED">
          <w:rPr>
            <w:rStyle w:val="Hyperlink"/>
            <w:rFonts w:ascii="Times New Roman" w:hAnsi="Times New Roman" w:cs="Times New Roman"/>
            <w:sz w:val="24"/>
            <w:szCs w:val="24"/>
          </w:rPr>
          <w:t>https://doi.org/10.1080/13562517.2020.1748811</w:t>
        </w:r>
      </w:hyperlink>
    </w:p>
    <w:p w14:paraId="571F7B24"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Winfield, A. F. T., &amp; </w:t>
      </w:r>
      <w:proofErr w:type="spellStart"/>
      <w:r w:rsidRPr="00A702ED">
        <w:rPr>
          <w:rFonts w:ascii="Times New Roman" w:hAnsi="Times New Roman" w:cs="Times New Roman"/>
          <w:sz w:val="24"/>
          <w:szCs w:val="24"/>
        </w:rPr>
        <w:t>Jirotka</w:t>
      </w:r>
      <w:proofErr w:type="spellEnd"/>
      <w:r w:rsidRPr="00A702ED">
        <w:rPr>
          <w:rFonts w:ascii="Times New Roman" w:hAnsi="Times New Roman" w:cs="Times New Roman"/>
          <w:sz w:val="24"/>
          <w:szCs w:val="24"/>
        </w:rPr>
        <w:t xml:space="preserve">, M. (2018). Ethical governance is essential to building trust in robotics and artificial intelligence systems. </w:t>
      </w:r>
      <w:r w:rsidRPr="00340D66">
        <w:rPr>
          <w:rFonts w:ascii="Times New Roman" w:hAnsi="Times New Roman" w:cs="Times New Roman"/>
          <w:i/>
          <w:iCs/>
          <w:sz w:val="24"/>
          <w:szCs w:val="24"/>
        </w:rPr>
        <w:t>Philosophical Transactions of the Royal Society a Mathematical Physical and Engineering Sciences, 376</w:t>
      </w:r>
      <w:r w:rsidRPr="00A702ED">
        <w:rPr>
          <w:rFonts w:ascii="Times New Roman" w:hAnsi="Times New Roman" w:cs="Times New Roman"/>
          <w:sz w:val="24"/>
          <w:szCs w:val="24"/>
        </w:rPr>
        <w:t xml:space="preserve">(2133), 20180085. </w:t>
      </w:r>
      <w:hyperlink r:id="rId76" w:history="1">
        <w:r w:rsidRPr="00A702ED">
          <w:rPr>
            <w:rStyle w:val="Hyperlink"/>
            <w:rFonts w:ascii="Times New Roman" w:hAnsi="Times New Roman" w:cs="Times New Roman"/>
            <w:sz w:val="24"/>
            <w:szCs w:val="24"/>
          </w:rPr>
          <w:t>https://doi.org/10.1098/rsta.2018.0085</w:t>
        </w:r>
      </w:hyperlink>
    </w:p>
    <w:p w14:paraId="6DC40358"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Wing, J. M. (2006). Computational thinking. </w:t>
      </w:r>
      <w:r w:rsidRPr="004D420C">
        <w:rPr>
          <w:rFonts w:ascii="Times New Roman" w:hAnsi="Times New Roman" w:cs="Times New Roman"/>
          <w:i/>
          <w:iCs/>
          <w:sz w:val="24"/>
          <w:szCs w:val="24"/>
        </w:rPr>
        <w:t>Communications of the ACM, 49</w:t>
      </w:r>
      <w:r w:rsidRPr="00A702ED">
        <w:rPr>
          <w:rFonts w:ascii="Times New Roman" w:hAnsi="Times New Roman" w:cs="Times New Roman"/>
          <w:sz w:val="24"/>
          <w:szCs w:val="24"/>
        </w:rPr>
        <w:t xml:space="preserve">(3), 33–35. </w:t>
      </w:r>
      <w:hyperlink r:id="rId77" w:history="1">
        <w:r w:rsidRPr="00A702ED">
          <w:rPr>
            <w:rStyle w:val="Hyperlink"/>
            <w:rFonts w:ascii="Times New Roman" w:hAnsi="Times New Roman" w:cs="Times New Roman"/>
            <w:sz w:val="24"/>
            <w:szCs w:val="24"/>
          </w:rPr>
          <w:t>https://doi.org/10.1145/1118178.1118215</w:t>
        </w:r>
      </w:hyperlink>
    </w:p>
    <w:p w14:paraId="13C13D0F"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Yadav, A., Hong, H., &amp; Stephenson, C. (2016). Computational Thinking for All: Pedagogical approaches to embedding 21st century problem solving in K-12 classrooms. </w:t>
      </w:r>
      <w:proofErr w:type="spellStart"/>
      <w:r w:rsidRPr="004D420C">
        <w:rPr>
          <w:rFonts w:ascii="Times New Roman" w:hAnsi="Times New Roman" w:cs="Times New Roman"/>
          <w:i/>
          <w:iCs/>
          <w:sz w:val="24"/>
          <w:szCs w:val="24"/>
        </w:rPr>
        <w:t>TechTrends</w:t>
      </w:r>
      <w:proofErr w:type="spellEnd"/>
      <w:r w:rsidRPr="004D420C">
        <w:rPr>
          <w:rFonts w:ascii="Times New Roman" w:hAnsi="Times New Roman" w:cs="Times New Roman"/>
          <w:i/>
          <w:iCs/>
          <w:sz w:val="24"/>
          <w:szCs w:val="24"/>
        </w:rPr>
        <w:t>, 60</w:t>
      </w:r>
      <w:r w:rsidRPr="00A702ED">
        <w:rPr>
          <w:rFonts w:ascii="Times New Roman" w:hAnsi="Times New Roman" w:cs="Times New Roman"/>
          <w:sz w:val="24"/>
          <w:szCs w:val="24"/>
        </w:rPr>
        <w:t xml:space="preserve">(6), 565–568. </w:t>
      </w:r>
      <w:hyperlink r:id="rId78" w:history="1">
        <w:r w:rsidRPr="00A702ED">
          <w:rPr>
            <w:rStyle w:val="Hyperlink"/>
            <w:rFonts w:ascii="Times New Roman" w:hAnsi="Times New Roman" w:cs="Times New Roman"/>
            <w:sz w:val="24"/>
            <w:szCs w:val="24"/>
          </w:rPr>
          <w:t>https://doi.org/10.1007/s11528-016-0087-7</w:t>
        </w:r>
      </w:hyperlink>
    </w:p>
    <w:p w14:paraId="7750261D"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Zawacki-Richter, O., &amp; Latchem, C. (2018). Exploring four decades of research in Computers &amp; Education. </w:t>
      </w:r>
      <w:r w:rsidRPr="004D420C">
        <w:rPr>
          <w:rFonts w:ascii="Times New Roman" w:hAnsi="Times New Roman" w:cs="Times New Roman"/>
          <w:i/>
          <w:iCs/>
          <w:sz w:val="24"/>
          <w:szCs w:val="24"/>
        </w:rPr>
        <w:t>Computers &amp; Education, 122,</w:t>
      </w:r>
      <w:r w:rsidRPr="00A702ED">
        <w:rPr>
          <w:rFonts w:ascii="Times New Roman" w:hAnsi="Times New Roman" w:cs="Times New Roman"/>
          <w:sz w:val="24"/>
          <w:szCs w:val="24"/>
        </w:rPr>
        <w:t xml:space="preserve"> 136–152. </w:t>
      </w:r>
      <w:hyperlink r:id="rId79" w:history="1">
        <w:r w:rsidRPr="00A702ED">
          <w:rPr>
            <w:rStyle w:val="Hyperlink"/>
            <w:rFonts w:ascii="Times New Roman" w:hAnsi="Times New Roman" w:cs="Times New Roman"/>
            <w:sz w:val="24"/>
            <w:szCs w:val="24"/>
          </w:rPr>
          <w:t>https://doi.org/10.1016/j.compedu.2018.04.001</w:t>
        </w:r>
      </w:hyperlink>
    </w:p>
    <w:p w14:paraId="4C0A0719" w14:textId="7831D276" w:rsidR="00FF0BFE" w:rsidRPr="00FF0BFE" w:rsidRDefault="00FF0BFE" w:rsidP="00FF0BFE">
      <w:pPr>
        <w:spacing w:line="360" w:lineRule="auto"/>
        <w:ind w:left="567" w:hanging="567"/>
        <w:rPr>
          <w:rFonts w:ascii="Times New Roman" w:hAnsi="Times New Roman" w:cs="Times New Roman"/>
          <w:sz w:val="24"/>
          <w:szCs w:val="24"/>
        </w:rPr>
      </w:pPr>
      <w:r w:rsidRPr="00A702ED">
        <w:rPr>
          <w:rFonts w:ascii="Times New Roman" w:hAnsi="Times New Roman" w:cs="Times New Roman"/>
          <w:sz w:val="24"/>
          <w:szCs w:val="24"/>
        </w:rPr>
        <w:t xml:space="preserve">Zawacki-Richter, O., Marín, V. I., Bond, M., &amp; Gouverneur, F. (2019). Systematic review of research on artificial intelligence applications in higher education – where are the </w:t>
      </w:r>
      <w:r w:rsidRPr="00A702ED">
        <w:rPr>
          <w:rFonts w:ascii="Times New Roman" w:hAnsi="Times New Roman" w:cs="Times New Roman"/>
          <w:sz w:val="24"/>
          <w:szCs w:val="24"/>
        </w:rPr>
        <w:lastRenderedPageBreak/>
        <w:t xml:space="preserve">educators? </w:t>
      </w:r>
      <w:r w:rsidRPr="00B37F73">
        <w:rPr>
          <w:rFonts w:ascii="Times New Roman" w:hAnsi="Times New Roman" w:cs="Times New Roman"/>
          <w:i/>
          <w:iCs/>
          <w:sz w:val="24"/>
          <w:szCs w:val="24"/>
        </w:rPr>
        <w:t>International Journal of Educational Technology in Higher Education, 16</w:t>
      </w:r>
      <w:r w:rsidRPr="00A702ED">
        <w:rPr>
          <w:rFonts w:ascii="Times New Roman" w:hAnsi="Times New Roman" w:cs="Times New Roman"/>
          <w:sz w:val="24"/>
          <w:szCs w:val="24"/>
        </w:rPr>
        <w:t xml:space="preserve">(1). </w:t>
      </w:r>
      <w:hyperlink r:id="rId80" w:history="1">
        <w:r w:rsidRPr="00A702ED">
          <w:rPr>
            <w:rStyle w:val="Hyperlink"/>
            <w:rFonts w:ascii="Times New Roman" w:hAnsi="Times New Roman" w:cs="Times New Roman"/>
            <w:sz w:val="24"/>
            <w:szCs w:val="24"/>
          </w:rPr>
          <w:t>https://doi.org/10.1186/s41239-019-0171-0</w:t>
        </w:r>
      </w:hyperlink>
    </w:p>
    <w:p w14:paraId="37BF1623" w14:textId="77777777" w:rsidR="00FF0BFE" w:rsidRPr="00A702ED" w:rsidRDefault="00FF0BFE" w:rsidP="00FF0BFE">
      <w:pPr>
        <w:spacing w:line="360" w:lineRule="auto"/>
        <w:ind w:left="567" w:hanging="567"/>
        <w:rPr>
          <w:rFonts w:ascii="Times New Roman" w:hAnsi="Times New Roman" w:cs="Times New Roman"/>
          <w:sz w:val="24"/>
          <w:szCs w:val="24"/>
        </w:rPr>
      </w:pPr>
      <w:r w:rsidRPr="00A702ED">
        <w:rPr>
          <w:rFonts w:ascii="Times New Roman" w:eastAsia="Calibri" w:hAnsi="Times New Roman" w:cs="Times New Roman"/>
          <w:sz w:val="24"/>
          <w:szCs w:val="24"/>
        </w:rPr>
        <w:t xml:space="preserve"> </w:t>
      </w:r>
    </w:p>
    <w:p w14:paraId="38C0FE34" w14:textId="77777777" w:rsidR="00FF0BFE" w:rsidRPr="00A702ED" w:rsidRDefault="00FF0BFE" w:rsidP="00FF0BFE">
      <w:pPr>
        <w:spacing w:line="360" w:lineRule="auto"/>
        <w:ind w:left="567" w:hanging="567"/>
        <w:rPr>
          <w:rFonts w:ascii="Times New Roman" w:hAnsi="Times New Roman" w:cs="Times New Roman"/>
          <w:sz w:val="24"/>
          <w:szCs w:val="24"/>
        </w:rPr>
      </w:pPr>
    </w:p>
    <w:p w14:paraId="71ED4952" w14:textId="77777777" w:rsidR="00FF0BFE" w:rsidRPr="000B6CDD" w:rsidRDefault="00FF0BFE" w:rsidP="00605A72">
      <w:pPr>
        <w:spacing w:line="360" w:lineRule="auto"/>
        <w:jc w:val="both"/>
        <w:rPr>
          <w:rFonts w:ascii="Times New Roman" w:hAnsi="Times New Roman" w:cs="Times New Roman"/>
          <w:sz w:val="24"/>
          <w:szCs w:val="24"/>
        </w:rPr>
      </w:pPr>
    </w:p>
    <w:sectPr w:rsidR="00FF0BFE" w:rsidRPr="000B6CDD">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9C89E" w14:textId="77777777" w:rsidR="003B6585" w:rsidRDefault="003B6585" w:rsidP="00D73353">
      <w:pPr>
        <w:spacing w:after="0" w:line="240" w:lineRule="auto"/>
      </w:pPr>
      <w:r>
        <w:separator/>
      </w:r>
    </w:p>
  </w:endnote>
  <w:endnote w:type="continuationSeparator" w:id="0">
    <w:p w14:paraId="0032D0CC" w14:textId="77777777" w:rsidR="003B6585" w:rsidRDefault="003B6585" w:rsidP="00D73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E59E8" w14:textId="77777777" w:rsidR="00D73353" w:rsidRDefault="00D73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931278"/>
      <w:docPartObj>
        <w:docPartGallery w:val="Page Numbers (Bottom of Page)"/>
        <w:docPartUnique/>
      </w:docPartObj>
    </w:sdtPr>
    <w:sdtEndPr>
      <w:rPr>
        <w:noProof/>
      </w:rPr>
    </w:sdtEndPr>
    <w:sdtContent>
      <w:p w14:paraId="38A4D625" w14:textId="41F86B16" w:rsidR="00D73353" w:rsidRDefault="00D733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7ABDF0" w14:textId="77777777" w:rsidR="00D73353" w:rsidRDefault="00D73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8CCC8" w14:textId="77777777" w:rsidR="00D73353" w:rsidRDefault="00D73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1BFAE" w14:textId="77777777" w:rsidR="003B6585" w:rsidRDefault="003B6585" w:rsidP="00D73353">
      <w:pPr>
        <w:spacing w:after="0" w:line="240" w:lineRule="auto"/>
      </w:pPr>
      <w:r>
        <w:separator/>
      </w:r>
    </w:p>
  </w:footnote>
  <w:footnote w:type="continuationSeparator" w:id="0">
    <w:p w14:paraId="6C4169CF" w14:textId="77777777" w:rsidR="003B6585" w:rsidRDefault="003B6585" w:rsidP="00D73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399AB" w14:textId="4411F7EF" w:rsidR="00D73353" w:rsidRDefault="008A4B9E">
    <w:pPr>
      <w:pStyle w:val="Header"/>
    </w:pPr>
    <w:r>
      <w:rPr>
        <w:noProof/>
      </w:rPr>
      <w:pict w14:anchorId="74B7A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3766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D472" w14:textId="7FEE1C44" w:rsidR="00D73353" w:rsidRDefault="008A4B9E">
    <w:pPr>
      <w:pStyle w:val="Header"/>
    </w:pPr>
    <w:r>
      <w:rPr>
        <w:noProof/>
      </w:rPr>
      <w:pict w14:anchorId="5E9B1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3766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3334" w14:textId="407EDB01" w:rsidR="00D73353" w:rsidRDefault="008A4B9E">
    <w:pPr>
      <w:pStyle w:val="Header"/>
    </w:pPr>
    <w:r>
      <w:rPr>
        <w:noProof/>
      </w:rPr>
      <w:pict w14:anchorId="40240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3766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A3E40"/>
    <w:multiLevelType w:val="hybridMultilevel"/>
    <w:tmpl w:val="E0C0B8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B0D02BD"/>
    <w:multiLevelType w:val="hybridMultilevel"/>
    <w:tmpl w:val="AF28FF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E0244DE"/>
    <w:multiLevelType w:val="hybridMultilevel"/>
    <w:tmpl w:val="705AB9D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FFC2A67"/>
    <w:multiLevelType w:val="hybridMultilevel"/>
    <w:tmpl w:val="D8B2A23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62"/>
    <w:rsid w:val="00007FDE"/>
    <w:rsid w:val="00010BC4"/>
    <w:rsid w:val="00011A7E"/>
    <w:rsid w:val="000144E9"/>
    <w:rsid w:val="000215EF"/>
    <w:rsid w:val="00023940"/>
    <w:rsid w:val="000304D1"/>
    <w:rsid w:val="0003101E"/>
    <w:rsid w:val="000364AF"/>
    <w:rsid w:val="00055037"/>
    <w:rsid w:val="000632B5"/>
    <w:rsid w:val="00074F97"/>
    <w:rsid w:val="000972E8"/>
    <w:rsid w:val="000B66F6"/>
    <w:rsid w:val="000B6CDD"/>
    <w:rsid w:val="000C49B9"/>
    <w:rsid w:val="000C7141"/>
    <w:rsid w:val="000D0F50"/>
    <w:rsid w:val="000D5F04"/>
    <w:rsid w:val="000E6766"/>
    <w:rsid w:val="000F3D0B"/>
    <w:rsid w:val="00111DFC"/>
    <w:rsid w:val="001309C1"/>
    <w:rsid w:val="00132416"/>
    <w:rsid w:val="00132AB3"/>
    <w:rsid w:val="00134C3D"/>
    <w:rsid w:val="001405D8"/>
    <w:rsid w:val="00140D82"/>
    <w:rsid w:val="00143235"/>
    <w:rsid w:val="00181C91"/>
    <w:rsid w:val="0018668B"/>
    <w:rsid w:val="00186975"/>
    <w:rsid w:val="00187D3C"/>
    <w:rsid w:val="001943EB"/>
    <w:rsid w:val="001A76FE"/>
    <w:rsid w:val="001C31CD"/>
    <w:rsid w:val="001D56CA"/>
    <w:rsid w:val="001F19A3"/>
    <w:rsid w:val="00203106"/>
    <w:rsid w:val="00204D49"/>
    <w:rsid w:val="00210302"/>
    <w:rsid w:val="002244F9"/>
    <w:rsid w:val="002368E8"/>
    <w:rsid w:val="00237C37"/>
    <w:rsid w:val="00240A8C"/>
    <w:rsid w:val="00240FDC"/>
    <w:rsid w:val="0024190F"/>
    <w:rsid w:val="00254B3C"/>
    <w:rsid w:val="002B11BB"/>
    <w:rsid w:val="002B1BD7"/>
    <w:rsid w:val="002B2A69"/>
    <w:rsid w:val="002B3D48"/>
    <w:rsid w:val="002C1A3A"/>
    <w:rsid w:val="002D0B67"/>
    <w:rsid w:val="002F1C00"/>
    <w:rsid w:val="00302E22"/>
    <w:rsid w:val="00313286"/>
    <w:rsid w:val="00317F0E"/>
    <w:rsid w:val="00325E39"/>
    <w:rsid w:val="00340D66"/>
    <w:rsid w:val="00342369"/>
    <w:rsid w:val="00353F13"/>
    <w:rsid w:val="0036002C"/>
    <w:rsid w:val="00361062"/>
    <w:rsid w:val="00361A8F"/>
    <w:rsid w:val="003747D8"/>
    <w:rsid w:val="003853A5"/>
    <w:rsid w:val="003858ED"/>
    <w:rsid w:val="003958DE"/>
    <w:rsid w:val="003B6585"/>
    <w:rsid w:val="004009B3"/>
    <w:rsid w:val="00401155"/>
    <w:rsid w:val="00407662"/>
    <w:rsid w:val="00413588"/>
    <w:rsid w:val="00414241"/>
    <w:rsid w:val="0041736D"/>
    <w:rsid w:val="00421ED3"/>
    <w:rsid w:val="004234D6"/>
    <w:rsid w:val="0042599F"/>
    <w:rsid w:val="00431B53"/>
    <w:rsid w:val="00455F51"/>
    <w:rsid w:val="00456519"/>
    <w:rsid w:val="00471F35"/>
    <w:rsid w:val="00475E14"/>
    <w:rsid w:val="0048154B"/>
    <w:rsid w:val="00487808"/>
    <w:rsid w:val="004908C7"/>
    <w:rsid w:val="004A171C"/>
    <w:rsid w:val="004A543A"/>
    <w:rsid w:val="004B7954"/>
    <w:rsid w:val="004C136B"/>
    <w:rsid w:val="004C3872"/>
    <w:rsid w:val="004C4728"/>
    <w:rsid w:val="004D420C"/>
    <w:rsid w:val="004D6E00"/>
    <w:rsid w:val="004E411C"/>
    <w:rsid w:val="004F7988"/>
    <w:rsid w:val="00510385"/>
    <w:rsid w:val="00510B76"/>
    <w:rsid w:val="005123FE"/>
    <w:rsid w:val="0051361C"/>
    <w:rsid w:val="00525C66"/>
    <w:rsid w:val="00525F25"/>
    <w:rsid w:val="005266DD"/>
    <w:rsid w:val="0053214D"/>
    <w:rsid w:val="00537243"/>
    <w:rsid w:val="005416FC"/>
    <w:rsid w:val="005432FB"/>
    <w:rsid w:val="0054640C"/>
    <w:rsid w:val="00551B49"/>
    <w:rsid w:val="00562CC1"/>
    <w:rsid w:val="00564BC9"/>
    <w:rsid w:val="00572282"/>
    <w:rsid w:val="00574A9F"/>
    <w:rsid w:val="00585ABF"/>
    <w:rsid w:val="00592A34"/>
    <w:rsid w:val="005A434A"/>
    <w:rsid w:val="005A6942"/>
    <w:rsid w:val="005C258D"/>
    <w:rsid w:val="005C5A52"/>
    <w:rsid w:val="005C6BED"/>
    <w:rsid w:val="005D2321"/>
    <w:rsid w:val="005E4D44"/>
    <w:rsid w:val="00600826"/>
    <w:rsid w:val="00604A04"/>
    <w:rsid w:val="00605A72"/>
    <w:rsid w:val="00611435"/>
    <w:rsid w:val="006258CF"/>
    <w:rsid w:val="00625FF8"/>
    <w:rsid w:val="006324A2"/>
    <w:rsid w:val="00632BC6"/>
    <w:rsid w:val="00633C97"/>
    <w:rsid w:val="006346A2"/>
    <w:rsid w:val="006365BB"/>
    <w:rsid w:val="006369B0"/>
    <w:rsid w:val="006526EA"/>
    <w:rsid w:val="00656569"/>
    <w:rsid w:val="006670CC"/>
    <w:rsid w:val="00667338"/>
    <w:rsid w:val="006813B2"/>
    <w:rsid w:val="0069166F"/>
    <w:rsid w:val="006935D3"/>
    <w:rsid w:val="00693974"/>
    <w:rsid w:val="006A6BB5"/>
    <w:rsid w:val="006B5258"/>
    <w:rsid w:val="006D6A88"/>
    <w:rsid w:val="006E533B"/>
    <w:rsid w:val="006E5646"/>
    <w:rsid w:val="006F7DB3"/>
    <w:rsid w:val="00701A39"/>
    <w:rsid w:val="00706FF4"/>
    <w:rsid w:val="00716F74"/>
    <w:rsid w:val="00720663"/>
    <w:rsid w:val="007318EA"/>
    <w:rsid w:val="007436B1"/>
    <w:rsid w:val="0075014C"/>
    <w:rsid w:val="00757CC2"/>
    <w:rsid w:val="00762D45"/>
    <w:rsid w:val="0077384C"/>
    <w:rsid w:val="00785C03"/>
    <w:rsid w:val="00791FB6"/>
    <w:rsid w:val="007937E4"/>
    <w:rsid w:val="00795DCB"/>
    <w:rsid w:val="007B4D3C"/>
    <w:rsid w:val="007C3D2C"/>
    <w:rsid w:val="007F2EFF"/>
    <w:rsid w:val="007F732E"/>
    <w:rsid w:val="00801712"/>
    <w:rsid w:val="008023E7"/>
    <w:rsid w:val="00802A55"/>
    <w:rsid w:val="0080747E"/>
    <w:rsid w:val="00821942"/>
    <w:rsid w:val="00824322"/>
    <w:rsid w:val="00830A3B"/>
    <w:rsid w:val="008439B9"/>
    <w:rsid w:val="00845091"/>
    <w:rsid w:val="0084736B"/>
    <w:rsid w:val="0085421D"/>
    <w:rsid w:val="008A4B9E"/>
    <w:rsid w:val="008B167C"/>
    <w:rsid w:val="008B4FF7"/>
    <w:rsid w:val="008E2A3F"/>
    <w:rsid w:val="008E33B7"/>
    <w:rsid w:val="008E36C7"/>
    <w:rsid w:val="008E768A"/>
    <w:rsid w:val="008F54FC"/>
    <w:rsid w:val="00901744"/>
    <w:rsid w:val="0092146C"/>
    <w:rsid w:val="00933537"/>
    <w:rsid w:val="00940C29"/>
    <w:rsid w:val="00953800"/>
    <w:rsid w:val="00966B5D"/>
    <w:rsid w:val="00982884"/>
    <w:rsid w:val="0099493B"/>
    <w:rsid w:val="009972F6"/>
    <w:rsid w:val="009A7300"/>
    <w:rsid w:val="009B18B4"/>
    <w:rsid w:val="009B24F1"/>
    <w:rsid w:val="009B257F"/>
    <w:rsid w:val="009B7DD6"/>
    <w:rsid w:val="009C2B38"/>
    <w:rsid w:val="009D7A42"/>
    <w:rsid w:val="009E4395"/>
    <w:rsid w:val="009E6151"/>
    <w:rsid w:val="009F2D76"/>
    <w:rsid w:val="009F4418"/>
    <w:rsid w:val="009F7751"/>
    <w:rsid w:val="00A01F83"/>
    <w:rsid w:val="00A0295C"/>
    <w:rsid w:val="00A05631"/>
    <w:rsid w:val="00A11261"/>
    <w:rsid w:val="00A16A4D"/>
    <w:rsid w:val="00A174E2"/>
    <w:rsid w:val="00A21056"/>
    <w:rsid w:val="00A21A2E"/>
    <w:rsid w:val="00A22E13"/>
    <w:rsid w:val="00A314A4"/>
    <w:rsid w:val="00A33B5C"/>
    <w:rsid w:val="00A439AA"/>
    <w:rsid w:val="00A65F82"/>
    <w:rsid w:val="00A75E6A"/>
    <w:rsid w:val="00A9495B"/>
    <w:rsid w:val="00AA3ECE"/>
    <w:rsid w:val="00AB4C1E"/>
    <w:rsid w:val="00AD6BF0"/>
    <w:rsid w:val="00AE079A"/>
    <w:rsid w:val="00AE12B6"/>
    <w:rsid w:val="00B03121"/>
    <w:rsid w:val="00B13EC9"/>
    <w:rsid w:val="00B1466A"/>
    <w:rsid w:val="00B21771"/>
    <w:rsid w:val="00B2328B"/>
    <w:rsid w:val="00B37F73"/>
    <w:rsid w:val="00B53A07"/>
    <w:rsid w:val="00B77499"/>
    <w:rsid w:val="00B9381D"/>
    <w:rsid w:val="00BB7DCE"/>
    <w:rsid w:val="00BE198E"/>
    <w:rsid w:val="00BF6EA2"/>
    <w:rsid w:val="00C46BA6"/>
    <w:rsid w:val="00C55845"/>
    <w:rsid w:val="00C63900"/>
    <w:rsid w:val="00C65562"/>
    <w:rsid w:val="00C70EB0"/>
    <w:rsid w:val="00C71AE7"/>
    <w:rsid w:val="00C847B5"/>
    <w:rsid w:val="00C94788"/>
    <w:rsid w:val="00CA09A5"/>
    <w:rsid w:val="00CA416C"/>
    <w:rsid w:val="00CB163D"/>
    <w:rsid w:val="00CB1EB4"/>
    <w:rsid w:val="00CD54FB"/>
    <w:rsid w:val="00CE693B"/>
    <w:rsid w:val="00CE7C52"/>
    <w:rsid w:val="00CF3EB4"/>
    <w:rsid w:val="00CF68C4"/>
    <w:rsid w:val="00D05D78"/>
    <w:rsid w:val="00D11619"/>
    <w:rsid w:val="00D43190"/>
    <w:rsid w:val="00D54EB3"/>
    <w:rsid w:val="00D7029A"/>
    <w:rsid w:val="00D72D88"/>
    <w:rsid w:val="00D73353"/>
    <w:rsid w:val="00D808F5"/>
    <w:rsid w:val="00D970D1"/>
    <w:rsid w:val="00DB1E79"/>
    <w:rsid w:val="00DE3D2A"/>
    <w:rsid w:val="00DF5AC0"/>
    <w:rsid w:val="00E15F01"/>
    <w:rsid w:val="00E200F5"/>
    <w:rsid w:val="00E246C9"/>
    <w:rsid w:val="00E25811"/>
    <w:rsid w:val="00E362C2"/>
    <w:rsid w:val="00E36D1C"/>
    <w:rsid w:val="00E542C0"/>
    <w:rsid w:val="00E563A4"/>
    <w:rsid w:val="00E56DAC"/>
    <w:rsid w:val="00E7212A"/>
    <w:rsid w:val="00E77789"/>
    <w:rsid w:val="00E943BB"/>
    <w:rsid w:val="00EB016E"/>
    <w:rsid w:val="00EB7A8A"/>
    <w:rsid w:val="00EC7346"/>
    <w:rsid w:val="00EF0478"/>
    <w:rsid w:val="00F06B61"/>
    <w:rsid w:val="00F14D65"/>
    <w:rsid w:val="00F154AC"/>
    <w:rsid w:val="00F159B8"/>
    <w:rsid w:val="00F226C3"/>
    <w:rsid w:val="00F40707"/>
    <w:rsid w:val="00F407BD"/>
    <w:rsid w:val="00F44817"/>
    <w:rsid w:val="00F44BB9"/>
    <w:rsid w:val="00F45915"/>
    <w:rsid w:val="00F50387"/>
    <w:rsid w:val="00F50C66"/>
    <w:rsid w:val="00F5208B"/>
    <w:rsid w:val="00F57196"/>
    <w:rsid w:val="00F93AE8"/>
    <w:rsid w:val="00F94EDE"/>
    <w:rsid w:val="00FA13A5"/>
    <w:rsid w:val="00FA7C17"/>
    <w:rsid w:val="00FE2335"/>
    <w:rsid w:val="00FE5AFE"/>
    <w:rsid w:val="00FF0BFE"/>
    <w:rsid w:val="00FF1ECB"/>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989F93"/>
  <w15:chartTrackingRefBased/>
  <w15:docId w15:val="{B4CDD3A5-C433-4ADE-920F-8AB83FA8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76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76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76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76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76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76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76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76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76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6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76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76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76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76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76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76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76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7662"/>
    <w:rPr>
      <w:rFonts w:eastAsiaTheme="majorEastAsia" w:cstheme="majorBidi"/>
      <w:color w:val="272727" w:themeColor="text1" w:themeTint="D8"/>
    </w:rPr>
  </w:style>
  <w:style w:type="paragraph" w:styleId="Title">
    <w:name w:val="Title"/>
    <w:basedOn w:val="Normal"/>
    <w:next w:val="Normal"/>
    <w:link w:val="TitleChar"/>
    <w:uiPriority w:val="10"/>
    <w:qFormat/>
    <w:rsid w:val="004076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6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6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76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7662"/>
    <w:pPr>
      <w:spacing w:before="160"/>
      <w:jc w:val="center"/>
    </w:pPr>
    <w:rPr>
      <w:i/>
      <w:iCs/>
      <w:color w:val="404040" w:themeColor="text1" w:themeTint="BF"/>
    </w:rPr>
  </w:style>
  <w:style w:type="character" w:customStyle="1" w:styleId="QuoteChar">
    <w:name w:val="Quote Char"/>
    <w:basedOn w:val="DefaultParagraphFont"/>
    <w:link w:val="Quote"/>
    <w:uiPriority w:val="29"/>
    <w:rsid w:val="00407662"/>
    <w:rPr>
      <w:i/>
      <w:iCs/>
      <w:color w:val="404040" w:themeColor="text1" w:themeTint="BF"/>
    </w:rPr>
  </w:style>
  <w:style w:type="paragraph" w:styleId="ListParagraph">
    <w:name w:val="List Paragraph"/>
    <w:basedOn w:val="Normal"/>
    <w:uiPriority w:val="34"/>
    <w:qFormat/>
    <w:rsid w:val="00407662"/>
    <w:pPr>
      <w:ind w:left="720"/>
      <w:contextualSpacing/>
    </w:pPr>
  </w:style>
  <w:style w:type="character" w:styleId="IntenseEmphasis">
    <w:name w:val="Intense Emphasis"/>
    <w:basedOn w:val="DefaultParagraphFont"/>
    <w:uiPriority w:val="21"/>
    <w:qFormat/>
    <w:rsid w:val="00407662"/>
    <w:rPr>
      <w:i/>
      <w:iCs/>
      <w:color w:val="2F5496" w:themeColor="accent1" w:themeShade="BF"/>
    </w:rPr>
  </w:style>
  <w:style w:type="paragraph" w:styleId="IntenseQuote">
    <w:name w:val="Intense Quote"/>
    <w:basedOn w:val="Normal"/>
    <w:next w:val="Normal"/>
    <w:link w:val="IntenseQuoteChar"/>
    <w:uiPriority w:val="30"/>
    <w:qFormat/>
    <w:rsid w:val="004076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7662"/>
    <w:rPr>
      <w:i/>
      <w:iCs/>
      <w:color w:val="2F5496" w:themeColor="accent1" w:themeShade="BF"/>
    </w:rPr>
  </w:style>
  <w:style w:type="character" w:styleId="IntenseReference">
    <w:name w:val="Intense Reference"/>
    <w:basedOn w:val="DefaultParagraphFont"/>
    <w:uiPriority w:val="32"/>
    <w:qFormat/>
    <w:rsid w:val="00407662"/>
    <w:rPr>
      <w:b/>
      <w:bCs/>
      <w:smallCaps/>
      <w:color w:val="2F5496" w:themeColor="accent1" w:themeShade="BF"/>
      <w:spacing w:val="5"/>
    </w:rPr>
  </w:style>
  <w:style w:type="table" w:styleId="TableGrid">
    <w:name w:val="Table Grid"/>
    <w:basedOn w:val="TableNormal"/>
    <w:uiPriority w:val="39"/>
    <w:rsid w:val="00636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387"/>
    <w:rPr>
      <w:color w:val="0563C1" w:themeColor="hyperlink"/>
      <w:u w:val="single"/>
    </w:rPr>
  </w:style>
  <w:style w:type="character" w:styleId="UnresolvedMention">
    <w:name w:val="Unresolved Mention"/>
    <w:basedOn w:val="DefaultParagraphFont"/>
    <w:uiPriority w:val="99"/>
    <w:semiHidden/>
    <w:unhideWhenUsed/>
    <w:rsid w:val="00F50387"/>
    <w:rPr>
      <w:color w:val="605E5C"/>
      <w:shd w:val="clear" w:color="auto" w:fill="E1DFDD"/>
    </w:rPr>
  </w:style>
  <w:style w:type="paragraph" w:styleId="Header">
    <w:name w:val="header"/>
    <w:basedOn w:val="Normal"/>
    <w:link w:val="HeaderChar"/>
    <w:uiPriority w:val="99"/>
    <w:unhideWhenUsed/>
    <w:rsid w:val="00D73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353"/>
  </w:style>
  <w:style w:type="paragraph" w:styleId="Footer">
    <w:name w:val="footer"/>
    <w:basedOn w:val="Normal"/>
    <w:link w:val="FooterChar"/>
    <w:uiPriority w:val="99"/>
    <w:unhideWhenUsed/>
    <w:rsid w:val="00D73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2602938.2017.1336746" TargetMode="External"/><Relationship Id="rId21" Type="http://schemas.openxmlformats.org/officeDocument/2006/relationships/hyperlink" Target="https://doi.org/10.1016/j.compedu.2020.103855" TargetMode="External"/><Relationship Id="rId42" Type="http://schemas.openxmlformats.org/officeDocument/2006/relationships/hyperlink" Target="https://doi.org/10.1016/j.caeai.2024.100348" TargetMode="External"/><Relationship Id="rId47" Type="http://schemas.openxmlformats.org/officeDocument/2006/relationships/hyperlink" Target="https://doi.org/10.1080/17439884.2020.1754236" TargetMode="External"/><Relationship Id="rId63" Type="http://schemas.openxmlformats.org/officeDocument/2006/relationships/hyperlink" Target="https://doi.org/10.37074/jalt.2023.6.1.23" TargetMode="External"/><Relationship Id="rId68" Type="http://schemas.openxmlformats.org/officeDocument/2006/relationships/hyperlink" Target="https://doi.org/10.1207/s15516709cog1202_4" TargetMode="External"/><Relationship Id="rId84" Type="http://schemas.openxmlformats.org/officeDocument/2006/relationships/footer" Target="footer2.xml"/><Relationship Id="rId16" Type="http://schemas.openxmlformats.org/officeDocument/2006/relationships/hyperlink" Target="https://genai.calstate.edu/communities/faculty/ethical-and-responsible-use-ai/ethical-principles-ai-framework-higher-education" TargetMode="External"/><Relationship Id="rId11" Type="http://schemas.openxmlformats.org/officeDocument/2006/relationships/hyperlink" Target="https://www.aaup.org/reports-publications/aaup-policies-reports/topical-reports/artificial-intelligence-and-academic" TargetMode="External"/><Relationship Id="rId32" Type="http://schemas.openxmlformats.org/officeDocument/2006/relationships/hyperlink" Target="https://doi.org/10.1080/23735082.2017.1286142" TargetMode="External"/><Relationship Id="rId37" Type="http://schemas.openxmlformats.org/officeDocument/2006/relationships/hyperlink" Target="https://doi.org/10.18608/jla.2019.62.3" TargetMode="External"/><Relationship Id="rId53" Type="http://schemas.openxmlformats.org/officeDocument/2006/relationships/hyperlink" Target="https://doi.org/10.1016/j.caeai.2021.100041" TargetMode="External"/><Relationship Id="rId58" Type="http://schemas.openxmlformats.org/officeDocument/2006/relationships/hyperlink" Target="https://eric.ed.gov/?id=ED580787" TargetMode="External"/><Relationship Id="rId74" Type="http://schemas.openxmlformats.org/officeDocument/2006/relationships/hyperlink" Target="https://doi.org/10.1111/bjet.12849" TargetMode="External"/><Relationship Id="rId79" Type="http://schemas.openxmlformats.org/officeDocument/2006/relationships/hyperlink" Target="https://doi.org/10.1016/j.compedu.2018.04.001" TargetMode="External"/><Relationship Id="rId5" Type="http://schemas.openxmlformats.org/officeDocument/2006/relationships/webSettings" Target="webSettings.xml"/><Relationship Id="rId19" Type="http://schemas.openxmlformats.org/officeDocument/2006/relationships/hyperlink" Target="https://doi.org/10.1207/s1532690xci0804_2" TargetMode="External"/><Relationship Id="rId14" Type="http://schemas.openxmlformats.org/officeDocument/2006/relationships/hyperlink" Target="https://goo.gl/gmS1Vm" TargetMode="External"/><Relationship Id="rId22" Type="http://schemas.openxmlformats.org/officeDocument/2006/relationships/hyperlink" Target="https://doi.org/10.1016/j.chb.2021.106909" TargetMode="External"/><Relationship Id="rId27" Type="http://schemas.openxmlformats.org/officeDocument/2006/relationships/hyperlink" Target="https://doi.org/10.1145/3624720" TargetMode="External"/><Relationship Id="rId30" Type="http://schemas.openxmlformats.org/officeDocument/2006/relationships/hyperlink" Target="https://doi.org/10.1007/s11023-018-9482-5" TargetMode="External"/><Relationship Id="rId35" Type="http://schemas.openxmlformats.org/officeDocument/2006/relationships/hyperlink" Target="https://doi.org/10.1016/j.compedu.2009.06.005" TargetMode="External"/><Relationship Id="rId43" Type="http://schemas.openxmlformats.org/officeDocument/2006/relationships/hyperlink" Target="https://doi.org/10.1038/s42256-019-0088-2" TargetMode="External"/><Relationship Id="rId48" Type="http://schemas.openxmlformats.org/officeDocument/2006/relationships/hyperlink" Target="http://jwilson.coe.uga.edu/EMAT7050/articles/KoehlerMishra.pdf" TargetMode="External"/><Relationship Id="rId56" Type="http://schemas.openxmlformats.org/officeDocument/2006/relationships/hyperlink" Target="https://doi.org/10.1016/j.im.2014.08.008" TargetMode="External"/><Relationship Id="rId64" Type="http://schemas.openxmlformats.org/officeDocument/2006/relationships/hyperlink" Target="https://www.ruffalonl.com/blog/artificialintelligence/why-universities-need-ai-governance/" TargetMode="External"/><Relationship Id="rId69" Type="http://schemas.openxmlformats.org/officeDocument/2006/relationships/hyperlink" Target="https://doi.org/10.1126/science.aat5991" TargetMode="External"/><Relationship Id="rId77" Type="http://schemas.openxmlformats.org/officeDocument/2006/relationships/hyperlink" Target="https://doi.org/10.1145/1118178.1118215" TargetMode="External"/><Relationship Id="rId8" Type="http://schemas.openxmlformats.org/officeDocument/2006/relationships/image" Target="media/image1.jpeg"/><Relationship Id="rId51" Type="http://schemas.openxmlformats.org/officeDocument/2006/relationships/hyperlink" Target="https://ist.mit.edu/ai-guidance" TargetMode="External"/><Relationship Id="rId72" Type="http://schemas.openxmlformats.org/officeDocument/2006/relationships/hyperlink" Target="https://doi.org/10.1016/j.compedu.2019.103646" TargetMode="External"/><Relationship Id="rId80" Type="http://schemas.openxmlformats.org/officeDocument/2006/relationships/hyperlink" Target="https://doi.org/10.1186/s41239-019-0171-0"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oi.org/10.1007/s40593-021-00285-9" TargetMode="External"/><Relationship Id="rId17" Type="http://schemas.openxmlformats.org/officeDocument/2006/relationships/hyperlink" Target="http://udlguidelines.cast.org" TargetMode="External"/><Relationship Id="rId25" Type="http://schemas.openxmlformats.org/officeDocument/2006/relationships/hyperlink" Target="https://doi.org/10.1177/2053951717726554" TargetMode="External"/><Relationship Id="rId33" Type="http://schemas.openxmlformats.org/officeDocument/2006/relationships/hyperlink" Target="http://bvbr.bib-bvb.de:8991/F?func=service&amp;doc_library=BVB01&amp;local_base=BVB01&amp;doc_number=025955696&amp;sequence=000002&amp;line_number=0001&amp;func_code=DB_RECORDS&amp;service_type=MEDIA" TargetMode="External"/><Relationship Id="rId38" Type="http://schemas.openxmlformats.org/officeDocument/2006/relationships/hyperlink" Target="https://doi.org/10.1007/s11528-025-01052-6" TargetMode="External"/><Relationship Id="rId46" Type="http://schemas.openxmlformats.org/officeDocument/2006/relationships/hyperlink" Target="https://doi.org/10.1007/978-3-030-81907-1_13" TargetMode="External"/><Relationship Id="rId59" Type="http://schemas.openxmlformats.org/officeDocument/2006/relationships/hyperlink" Target="https://doi.org/10.1007/s10805-023-09492-6" TargetMode="External"/><Relationship Id="rId67" Type="http://schemas.openxmlformats.org/officeDocument/2006/relationships/hyperlink" Target="https://www.pdpc.gov.sg/help-and-resources/2020/01/model-ai-governance-framework" TargetMode="External"/><Relationship Id="rId20" Type="http://schemas.openxmlformats.org/officeDocument/2006/relationships/hyperlink" Target="https://doi.org/10.1016/j.procs.2018.08.233" TargetMode="External"/><Relationship Id="rId41" Type="http://schemas.openxmlformats.org/officeDocument/2006/relationships/hyperlink" Target="https://academicintegrity.org/images/pdfs/20019_ICAI-Fundamental-Values_R12.pdf" TargetMode="External"/><Relationship Id="rId54" Type="http://schemas.openxmlformats.org/officeDocument/2006/relationships/hyperlink" Target="https://bvbr.bib-bvb.de:443/F?func=service&amp;doc_library=BVB01&amp;local_base=BVB01&amp;doc_number=028866887&amp;sequence=000001&amp;line_number=0001&amp;func_code=DB_RECORDS&amp;service_type=MEDIA" TargetMode="External"/><Relationship Id="rId62" Type="http://schemas.openxmlformats.org/officeDocument/2006/relationships/hyperlink" Target="https://doi.org/10.1007/s40593-016-0110-3" TargetMode="External"/><Relationship Id="rId70" Type="http://schemas.openxmlformats.org/officeDocument/2006/relationships/hyperlink" Target="https://doi.org/10.1186/s40594-024-00493-4" TargetMode="External"/><Relationship Id="rId75" Type="http://schemas.openxmlformats.org/officeDocument/2006/relationships/hyperlink" Target="https://doi.org/10.1080/13562517.2020.1748811"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03075079.2018.1462788" TargetMode="External"/><Relationship Id="rId23" Type="http://schemas.openxmlformats.org/officeDocument/2006/relationships/hyperlink" Target="https://doi.org/10.3390/su12145568" TargetMode="External"/><Relationship Id="rId28" Type="http://schemas.openxmlformats.org/officeDocument/2006/relationships/hyperlink" Target="https://doi.org/10.1007/978-3-030-30371-6" TargetMode="External"/><Relationship Id="rId36" Type="http://schemas.openxmlformats.org/officeDocument/2006/relationships/hyperlink" Target="https://doi.org/10.1007/s40593-021-00239-1" TargetMode="External"/><Relationship Id="rId49" Type="http://schemas.openxmlformats.org/officeDocument/2006/relationships/hyperlink" Target="https://oro.open.ac.uk/view/person/wh2594.html" TargetMode="External"/><Relationship Id="rId57" Type="http://schemas.openxmlformats.org/officeDocument/2006/relationships/hyperlink" Target="https://doi.org/10.5465/19416520.2010.495581" TargetMode="External"/><Relationship Id="rId10" Type="http://schemas.openxmlformats.org/officeDocument/2006/relationships/hyperlink" Target="https://doi.org/10.30935/cedtech/13152" TargetMode="External"/><Relationship Id="rId31" Type="http://schemas.openxmlformats.org/officeDocument/2006/relationships/hyperlink" Target="https://doi.org/10.1016/j.iheduc.2015.10.002" TargetMode="External"/><Relationship Id="rId44" Type="http://schemas.openxmlformats.org/officeDocument/2006/relationships/hyperlink" Target="https://doi.org/10.1080/17439884.2018.1556216" TargetMode="External"/><Relationship Id="rId52" Type="http://schemas.openxmlformats.org/officeDocument/2006/relationships/hyperlink" Target="https://doi.org/10.1080/00405849209543534" TargetMode="External"/><Relationship Id="rId60" Type="http://schemas.openxmlformats.org/officeDocument/2006/relationships/hyperlink" Target="https://doi.org/10.1007/s10676-018-9492-2" TargetMode="External"/><Relationship Id="rId65" Type="http://schemas.openxmlformats.org/officeDocument/2006/relationships/hyperlink" Target="https://doi.org/10.1016/j.chb.2017.06.030" TargetMode="External"/><Relationship Id="rId73" Type="http://schemas.openxmlformats.org/officeDocument/2006/relationships/hyperlink" Target="https://doi.org/10.15215/aupress/9781771993050.01" TargetMode="External"/><Relationship Id="rId78" Type="http://schemas.openxmlformats.org/officeDocument/2006/relationships/hyperlink" Target="https://doi.org/10.1007/s11528-016-0087-7"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oi.org/10.15779/z38bg31" TargetMode="External"/><Relationship Id="rId18" Type="http://schemas.openxmlformats.org/officeDocument/2006/relationships/hyperlink" Target="https://doi.org/10.1186/s41239-023-00408-3" TargetMode="External"/><Relationship Id="rId39" Type="http://schemas.openxmlformats.org/officeDocument/2006/relationships/hyperlink" Target="https://doi.org/10.1016/j.caeai.2021.100012" TargetMode="External"/><Relationship Id="rId34" Type="http://schemas.openxmlformats.org/officeDocument/2006/relationships/hyperlink" Target="https://doi.org/10.1080/1475939x.2024.2428601" TargetMode="External"/><Relationship Id="rId50" Type="http://schemas.openxmlformats.org/officeDocument/2006/relationships/hyperlink" Target="https://doi.org/10.1093/idpl/ipx019" TargetMode="External"/><Relationship Id="rId55" Type="http://schemas.openxmlformats.org/officeDocument/2006/relationships/hyperlink" Target="https://doi.org/10.1111/bjet.12152" TargetMode="External"/><Relationship Id="rId76" Type="http://schemas.openxmlformats.org/officeDocument/2006/relationships/hyperlink" Target="https://doi.org/10.1098/rsta.2018.0085" TargetMode="External"/><Relationship Id="rId7" Type="http://schemas.openxmlformats.org/officeDocument/2006/relationships/endnotes" Target="endnotes.xml"/><Relationship Id="rId71" Type="http://schemas.openxmlformats.org/officeDocument/2006/relationships/hyperlink" Target="https://doi.org/10.1080/00461520.2011.611369" TargetMode="External"/><Relationship Id="rId2" Type="http://schemas.openxmlformats.org/officeDocument/2006/relationships/numbering" Target="numbering.xml"/><Relationship Id="rId29" Type="http://schemas.openxmlformats.org/officeDocument/2006/relationships/hyperlink" Target="https://doi.org/10.1145/2483852.2483864" TargetMode="External"/><Relationship Id="rId24" Type="http://schemas.openxmlformats.org/officeDocument/2006/relationships/hyperlink" Target="https://doi.org/10.1080/14703297.2023.2190148" TargetMode="External"/><Relationship Id="rId40" Type="http://schemas.openxmlformats.org/officeDocument/2006/relationships/hyperlink" Target="https://doi.org/10.1007/s11423-016-9477-y" TargetMode="External"/><Relationship Id="rId45" Type="http://schemas.openxmlformats.org/officeDocument/2006/relationships/hyperlink" Target="https://doi.org/10.1016/j.lindif.2023.102274" TargetMode="External"/><Relationship Id="rId66" Type="http://schemas.openxmlformats.org/officeDocument/2006/relationships/hyperlink" Target="https://eric.ed.gov/?id=ED599636" TargetMode="External"/><Relationship Id="rId87" Type="http://schemas.openxmlformats.org/officeDocument/2006/relationships/fontTable" Target="fontTable.xml"/><Relationship Id="rId61" Type="http://schemas.openxmlformats.org/officeDocument/2006/relationships/hyperlink" Target="https://doi.org/10.3389/fpsyg.2016.01959" TargetMode="External"/><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5B4A4-F7BA-40F2-83B4-6E6B0F9F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28</Pages>
  <Words>3074</Words>
  <Characters>69034</Characters>
  <Application>Microsoft Office Word</Application>
  <DocSecurity>0</DocSecurity>
  <Lines>958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 Malakar</dc:creator>
  <cp:keywords/>
  <dc:description/>
  <cp:lastModifiedBy>SDI 1166</cp:lastModifiedBy>
  <cp:revision>20</cp:revision>
  <cp:lastPrinted>2026-03-30T06:39:00Z</cp:lastPrinted>
  <dcterms:created xsi:type="dcterms:W3CDTF">2026-03-30T03:31:00Z</dcterms:created>
  <dcterms:modified xsi:type="dcterms:W3CDTF">2026-03-31T10:29:00Z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3f31b49b-e17a-44a8-9ebe-c4d063b9c3cc</vt:lpwstr>
  </property>
</Properties>
</file>