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880B1" w14:textId="3C1EA822" w:rsidR="007B715F" w:rsidRPr="007B715F" w:rsidRDefault="007B715F" w:rsidP="007B715F">
      <w:pPr>
        <w:spacing w:before="100" w:beforeAutospacing="1" w:after="100" w:afterAutospacing="1" w:line="240" w:lineRule="auto"/>
        <w:outlineLvl w:val="0"/>
        <w:rPr>
          <w:rFonts w:ascii="Arial" w:eastAsia="Times New Roman" w:hAnsi="Arial" w:cs="Arial"/>
          <w:b/>
          <w:bCs/>
          <w:kern w:val="36"/>
          <w:u w:val="single"/>
        </w:rPr>
      </w:pPr>
      <w:r w:rsidRPr="007B715F">
        <w:rPr>
          <w:rFonts w:ascii="Arial" w:eastAsia="Times New Roman" w:hAnsi="Arial" w:cs="Arial"/>
          <w:b/>
          <w:bCs/>
          <w:kern w:val="36"/>
          <w:u w:val="single"/>
        </w:rPr>
        <w:t>Original Research Article</w:t>
      </w:r>
    </w:p>
    <w:p w14:paraId="48878F73" w14:textId="77777777" w:rsidR="007B715F" w:rsidRDefault="007B715F" w:rsidP="008135F4">
      <w:pPr>
        <w:spacing w:before="100" w:beforeAutospacing="1" w:after="100" w:afterAutospacing="1" w:line="240" w:lineRule="auto"/>
        <w:jc w:val="center"/>
        <w:outlineLvl w:val="0"/>
        <w:rPr>
          <w:rFonts w:ascii="Arial" w:eastAsia="Times New Roman" w:hAnsi="Arial" w:cs="Arial"/>
          <w:b/>
          <w:bCs/>
          <w:kern w:val="36"/>
        </w:rPr>
      </w:pPr>
    </w:p>
    <w:p w14:paraId="374AD289" w14:textId="339DD1D4" w:rsidR="008135F4" w:rsidRPr="008135F4" w:rsidRDefault="008135F4" w:rsidP="008135F4">
      <w:pPr>
        <w:spacing w:before="100" w:beforeAutospacing="1" w:after="100" w:afterAutospacing="1" w:line="240" w:lineRule="auto"/>
        <w:jc w:val="center"/>
        <w:outlineLvl w:val="0"/>
        <w:rPr>
          <w:rFonts w:ascii="Arial" w:eastAsia="Times New Roman" w:hAnsi="Arial" w:cs="Arial"/>
          <w:b/>
          <w:bCs/>
          <w:kern w:val="36"/>
        </w:rPr>
      </w:pPr>
      <w:r w:rsidRPr="008135F4">
        <w:rPr>
          <w:rFonts w:ascii="Arial" w:eastAsia="Times New Roman" w:hAnsi="Arial" w:cs="Arial"/>
          <w:b/>
          <w:bCs/>
          <w:kern w:val="36"/>
        </w:rPr>
        <w:t>ATTITUDE OF B.Ed. STUDENT-TEACHERS TOWARDS DISASTER PREPAREDNESS</w:t>
      </w:r>
    </w:p>
    <w:p w14:paraId="2F5DDE84" w14:textId="77777777" w:rsidR="00882AFE" w:rsidRDefault="00882AFE" w:rsidP="008135F4">
      <w:pPr>
        <w:spacing w:before="100" w:beforeAutospacing="1" w:after="100" w:afterAutospacing="1" w:line="240" w:lineRule="auto"/>
        <w:jc w:val="both"/>
        <w:outlineLvl w:val="1"/>
        <w:rPr>
          <w:rFonts w:ascii="Arial" w:eastAsia="Times New Roman" w:hAnsi="Arial" w:cs="Arial"/>
          <w:b/>
          <w:bCs/>
        </w:rPr>
      </w:pPr>
    </w:p>
    <w:p w14:paraId="6A6E8BFB" w14:textId="77777777" w:rsidR="00882AFE" w:rsidRDefault="00882AFE" w:rsidP="008135F4">
      <w:pPr>
        <w:spacing w:before="100" w:beforeAutospacing="1" w:after="100" w:afterAutospacing="1" w:line="240" w:lineRule="auto"/>
        <w:jc w:val="both"/>
        <w:outlineLvl w:val="1"/>
        <w:rPr>
          <w:rFonts w:ascii="Arial" w:eastAsia="Times New Roman" w:hAnsi="Arial" w:cs="Arial"/>
          <w:b/>
          <w:bCs/>
        </w:rPr>
      </w:pPr>
    </w:p>
    <w:p w14:paraId="5F8212CD" w14:textId="77777777" w:rsidR="00882AFE" w:rsidRDefault="00882AFE" w:rsidP="008135F4">
      <w:pPr>
        <w:spacing w:before="100" w:beforeAutospacing="1" w:after="100" w:afterAutospacing="1" w:line="240" w:lineRule="auto"/>
        <w:jc w:val="both"/>
        <w:outlineLvl w:val="1"/>
        <w:rPr>
          <w:rFonts w:ascii="Arial" w:eastAsia="Times New Roman" w:hAnsi="Arial" w:cs="Arial"/>
          <w:b/>
          <w:bCs/>
        </w:rPr>
      </w:pPr>
    </w:p>
    <w:p w14:paraId="2EF38B61" w14:textId="2DFD0A54" w:rsidR="008135F4" w:rsidRPr="008135F4" w:rsidRDefault="008135F4" w:rsidP="008135F4">
      <w:pPr>
        <w:spacing w:before="100" w:beforeAutospacing="1" w:after="100" w:afterAutospacing="1" w:line="240" w:lineRule="auto"/>
        <w:jc w:val="both"/>
        <w:outlineLvl w:val="1"/>
        <w:rPr>
          <w:rFonts w:ascii="Arial" w:eastAsia="Times New Roman" w:hAnsi="Arial" w:cs="Arial"/>
          <w:b/>
          <w:bCs/>
        </w:rPr>
      </w:pPr>
      <w:bookmarkStart w:id="0" w:name="_GoBack"/>
      <w:bookmarkEnd w:id="0"/>
      <w:r w:rsidRPr="008135F4">
        <w:rPr>
          <w:rFonts w:ascii="Arial" w:eastAsia="Times New Roman" w:hAnsi="Arial" w:cs="Arial"/>
          <w:b/>
          <w:bCs/>
        </w:rPr>
        <w:t>Abstract</w:t>
      </w:r>
    </w:p>
    <w:p w14:paraId="5036D869" w14:textId="77777777" w:rsidR="008135F4" w:rsidRPr="008135F4" w:rsidRDefault="008135F4" w:rsidP="008135F4">
      <w:p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The present study investigates the attitude of B.Ed. student-teachers towards disaster preparedness in Coimbatore District, with specific reference to selected demographic variables such as gender, locality, parents’ occupation, and year of study. A normative survey method was employed for the study. The sample consisted of 100 student-teachers (50 males and 50 females), selected using stratified random sampling techniques.</w:t>
      </w:r>
    </w:p>
    <w:p w14:paraId="63191B9E" w14:textId="77777777" w:rsidR="008135F4" w:rsidRPr="008135F4" w:rsidRDefault="008135F4" w:rsidP="008135F4">
      <w:p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Data were collected using a self-developed Attitude towards Disaster Preparedness Scale comprising 20 items measured on a five-point Likert continuum. Statistical techniques such as mean, standard deviation, and independent samples t-test were used for data analysis.</w:t>
      </w:r>
    </w:p>
    <w:p w14:paraId="554576AE" w14:textId="77777777" w:rsidR="008135F4" w:rsidRPr="008135F4" w:rsidRDefault="008135F4" w:rsidP="008135F4">
      <w:p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The findings reveal that student-teachers possess a moderately high level of attitude towards disaster preparedness. Furthermore, no statistically significant differences were found with respect to gender, locality, parents’ occupation, and year of study. The study emphasizes the need for strengthening disaster preparedness components within teacher education programs to promote resilience and effective disaster risk reduction practices in schools. The results also indicate that while awareness levels are satisfactory, there is a need for continuous reinforcement through structured training, practical exposure, and institutional support mechanisms to ensure long-term preparedness and responsiveness among future teachers.</w:t>
      </w:r>
    </w:p>
    <w:p w14:paraId="64E6DBD5" w14:textId="77777777" w:rsidR="008135F4" w:rsidRPr="008135F4" w:rsidRDefault="008135F4" w:rsidP="008135F4">
      <w:p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b/>
          <w:bCs/>
          <w:sz w:val="20"/>
          <w:szCs w:val="20"/>
        </w:rPr>
        <w:t>Keywords:</w:t>
      </w:r>
      <w:r w:rsidRPr="008135F4">
        <w:rPr>
          <w:rFonts w:ascii="Arial" w:eastAsia="Times New Roman" w:hAnsi="Arial" w:cs="Arial"/>
          <w:sz w:val="20"/>
          <w:szCs w:val="20"/>
        </w:rPr>
        <w:t xml:space="preserve"> Disaster Preparedness, Attitude, B.Ed. Student-Teachers, Teacher Education, Demographic Variables</w:t>
      </w:r>
    </w:p>
    <w:p w14:paraId="078C666E" w14:textId="77777777" w:rsidR="008135F4" w:rsidRPr="008135F4" w:rsidRDefault="008135F4" w:rsidP="008135F4">
      <w:pPr>
        <w:spacing w:before="100" w:beforeAutospacing="1" w:after="100" w:afterAutospacing="1" w:line="240" w:lineRule="auto"/>
        <w:jc w:val="both"/>
        <w:outlineLvl w:val="1"/>
        <w:rPr>
          <w:rFonts w:ascii="Arial" w:eastAsia="Times New Roman" w:hAnsi="Arial" w:cs="Arial"/>
          <w:b/>
          <w:bCs/>
        </w:rPr>
      </w:pPr>
      <w:r w:rsidRPr="008135F4">
        <w:rPr>
          <w:rFonts w:ascii="Arial" w:eastAsia="Times New Roman" w:hAnsi="Arial" w:cs="Arial"/>
          <w:b/>
          <w:bCs/>
        </w:rPr>
        <w:t>1. INTRODUCTION</w:t>
      </w:r>
    </w:p>
    <w:p w14:paraId="30423A97" w14:textId="77777777" w:rsidR="008135F4" w:rsidRPr="008135F4" w:rsidRDefault="008135F4" w:rsidP="008135F4">
      <w:p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Education is not merely the acquisition of knowledge but also the development of values that guide individuals in leading meaningful and responsible lives. In recent decades, the increasing frequency and intensity of disasters have highlighted the importance of preparedness at individual, institutional, and community levels. Schools are recognized as vital platforms for disseminating knowledge about disaster risk reduction, and teachers play a crucial role in this process.</w:t>
      </w:r>
    </w:p>
    <w:p w14:paraId="77CE8845" w14:textId="77777777" w:rsidR="008135F4" w:rsidRPr="008135F4" w:rsidRDefault="008135F4" w:rsidP="008135F4">
      <w:p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B.Ed. student-teachers, as future educators, must be equipped with both pedagogical competencies and practical awareness of disaster preparedness. A positive attitude towards disaster preparedness enhances their willingness to engage in preventive and responsive measures. Therefore, understanding the level of attitude and its variation across demographic variables becomes essential for strengthening teacher education programs.</w:t>
      </w:r>
    </w:p>
    <w:p w14:paraId="494EC1F7" w14:textId="77777777" w:rsidR="008135F4" w:rsidRPr="008135F4" w:rsidRDefault="008135F4" w:rsidP="008135F4">
      <w:p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 xml:space="preserve">In addition, the role of teachers extends beyond classroom instruction to community engagement and leadership during emergencies. Teachers are often among the first responders within school </w:t>
      </w:r>
      <w:r w:rsidRPr="008135F4">
        <w:rPr>
          <w:rFonts w:ascii="Arial" w:eastAsia="Times New Roman" w:hAnsi="Arial" w:cs="Arial"/>
          <w:sz w:val="20"/>
          <w:szCs w:val="20"/>
        </w:rPr>
        <w:lastRenderedPageBreak/>
        <w:t>environments, and their preparedness directly influences student safety. Thus, fostering a strong attitude towards disaster preparedness among student-teachers is critical not only for their professional development but also for broader societal resilience.</w:t>
      </w:r>
    </w:p>
    <w:p w14:paraId="6D740728" w14:textId="77777777" w:rsidR="008135F4" w:rsidRPr="008135F4" w:rsidRDefault="008135F4" w:rsidP="008135F4">
      <w:pPr>
        <w:spacing w:before="100" w:beforeAutospacing="1" w:after="100" w:afterAutospacing="1" w:line="240" w:lineRule="auto"/>
        <w:jc w:val="both"/>
        <w:outlineLvl w:val="1"/>
        <w:rPr>
          <w:rFonts w:ascii="Arial" w:eastAsia="Times New Roman" w:hAnsi="Arial" w:cs="Arial"/>
          <w:b/>
          <w:bCs/>
        </w:rPr>
      </w:pPr>
      <w:r w:rsidRPr="008135F4">
        <w:rPr>
          <w:rFonts w:ascii="Arial" w:eastAsia="Times New Roman" w:hAnsi="Arial" w:cs="Arial"/>
          <w:b/>
          <w:bCs/>
        </w:rPr>
        <w:t>2. NEED AND SIGNIFICANCE OF THE STUDY</w:t>
      </w:r>
    </w:p>
    <w:p w14:paraId="17436EFD" w14:textId="77777777" w:rsidR="008135F4" w:rsidRPr="008135F4" w:rsidRDefault="008135F4" w:rsidP="008135F4">
      <w:p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The increasing occurrence of natural and human-induced disasters necessitates the integration of disaster preparedness into education systems. Teachers act as catalysts in spreading awareness and building resilience among school children. Hence, teacher education programs must ensure that all student-teachers are adequately prepared.</w:t>
      </w:r>
    </w:p>
    <w:p w14:paraId="1105914B" w14:textId="77777777" w:rsidR="008135F4" w:rsidRPr="008135F4" w:rsidRDefault="008135F4" w:rsidP="008135F4">
      <w:p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This study is significant because it examines whether demographic variables influence attitudes towards disaster preparedness. Understanding such variations helps in designing inclusive training programs. Moreover, the study contributes to the existing literature by emphasizing the importance of uniform preparedness among future teachers, thereby supporting national and global disaster risk reduction strategies.</w:t>
      </w:r>
    </w:p>
    <w:p w14:paraId="1DA39243" w14:textId="77777777" w:rsidR="008135F4" w:rsidRPr="008135F4" w:rsidRDefault="008135F4" w:rsidP="008135F4">
      <w:p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Furthermore, the study highlights the importance of bridging the gap between theoretical knowledge and practical application. In many cases, awareness does not translate into action due to lack of training and confidence. Therefore, this research underscores the necessity of experiential learning approaches in teacher education.</w:t>
      </w:r>
    </w:p>
    <w:p w14:paraId="272EC7AB" w14:textId="77777777" w:rsidR="008135F4" w:rsidRPr="008135F4" w:rsidRDefault="008135F4" w:rsidP="008135F4">
      <w:pPr>
        <w:spacing w:before="100" w:beforeAutospacing="1" w:after="100" w:afterAutospacing="1" w:line="240" w:lineRule="auto"/>
        <w:jc w:val="both"/>
        <w:outlineLvl w:val="1"/>
        <w:rPr>
          <w:rFonts w:ascii="Arial" w:eastAsia="Times New Roman" w:hAnsi="Arial" w:cs="Arial"/>
          <w:b/>
          <w:bCs/>
        </w:rPr>
      </w:pPr>
      <w:r w:rsidRPr="008135F4">
        <w:rPr>
          <w:rFonts w:ascii="Arial" w:eastAsia="Times New Roman" w:hAnsi="Arial" w:cs="Arial"/>
          <w:b/>
          <w:bCs/>
        </w:rPr>
        <w:t>3. STATEMENT OF THE PROBLEM</w:t>
      </w:r>
    </w:p>
    <w:p w14:paraId="48AEAEDB" w14:textId="77777777" w:rsidR="008135F4" w:rsidRPr="008135F4" w:rsidRDefault="008135F4" w:rsidP="008135F4">
      <w:p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The</w:t>
      </w:r>
      <w:r>
        <w:rPr>
          <w:rFonts w:ascii="Arial" w:eastAsia="Times New Roman" w:hAnsi="Arial" w:cs="Arial"/>
          <w:sz w:val="20"/>
          <w:szCs w:val="20"/>
        </w:rPr>
        <w:t xml:space="preserve"> </w:t>
      </w:r>
      <w:r w:rsidRPr="008135F4">
        <w:rPr>
          <w:rFonts w:ascii="Arial" w:eastAsia="Times New Roman" w:hAnsi="Arial" w:cs="Arial"/>
          <w:sz w:val="20"/>
          <w:szCs w:val="20"/>
        </w:rPr>
        <w:t>study is entitled:</w:t>
      </w:r>
      <w:r>
        <w:rPr>
          <w:rFonts w:ascii="Arial" w:eastAsia="Times New Roman" w:hAnsi="Arial" w:cs="Arial"/>
          <w:sz w:val="20"/>
          <w:szCs w:val="20"/>
        </w:rPr>
        <w:t xml:space="preserve"> </w:t>
      </w:r>
      <w:r w:rsidRPr="008135F4">
        <w:rPr>
          <w:rFonts w:ascii="Arial" w:eastAsia="Times New Roman" w:hAnsi="Arial" w:cs="Arial"/>
          <w:b/>
          <w:bCs/>
          <w:sz w:val="20"/>
          <w:szCs w:val="20"/>
        </w:rPr>
        <w:t>“Attitude of B.Ed. Student-Teachers towards Disaster Preparedness in Relation to Demographic Variables.”</w:t>
      </w:r>
    </w:p>
    <w:p w14:paraId="7076E930" w14:textId="77777777" w:rsidR="008135F4" w:rsidRPr="008135F4" w:rsidRDefault="008135F4" w:rsidP="008135F4">
      <w:pPr>
        <w:spacing w:before="100" w:beforeAutospacing="1" w:after="100" w:afterAutospacing="1" w:line="240" w:lineRule="auto"/>
        <w:jc w:val="both"/>
        <w:outlineLvl w:val="1"/>
        <w:rPr>
          <w:rFonts w:ascii="Arial" w:eastAsia="Times New Roman" w:hAnsi="Arial" w:cs="Arial"/>
          <w:b/>
          <w:bCs/>
        </w:rPr>
      </w:pPr>
      <w:r w:rsidRPr="008135F4">
        <w:rPr>
          <w:rFonts w:ascii="Arial" w:eastAsia="Times New Roman" w:hAnsi="Arial" w:cs="Arial"/>
          <w:b/>
          <w:bCs/>
        </w:rPr>
        <w:t>4. OBJECTIVES OF THE STUDY</w:t>
      </w:r>
    </w:p>
    <w:p w14:paraId="1CDCCA47" w14:textId="77777777" w:rsidR="008135F4" w:rsidRPr="008135F4" w:rsidRDefault="008135F4" w:rsidP="008135F4">
      <w:pPr>
        <w:numPr>
          <w:ilvl w:val="0"/>
          <w:numId w:val="20"/>
        </w:num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Assess the level of attitude towards disaster preparedness among B.Ed. student-teachers.</w:t>
      </w:r>
    </w:p>
    <w:p w14:paraId="5D48D8BD" w14:textId="77777777" w:rsidR="008135F4" w:rsidRPr="008135F4" w:rsidRDefault="008135F4" w:rsidP="008135F4">
      <w:pPr>
        <w:numPr>
          <w:ilvl w:val="0"/>
          <w:numId w:val="20"/>
        </w:num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Examine whether significant differences exist in attitude based on gender.</w:t>
      </w:r>
    </w:p>
    <w:p w14:paraId="4EAFA76C" w14:textId="77777777" w:rsidR="008135F4" w:rsidRPr="008135F4" w:rsidRDefault="008135F4" w:rsidP="008135F4">
      <w:pPr>
        <w:numPr>
          <w:ilvl w:val="0"/>
          <w:numId w:val="20"/>
        </w:num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Determine differences based on locality (rural and urban).</w:t>
      </w:r>
    </w:p>
    <w:p w14:paraId="43B6AF21" w14:textId="77777777" w:rsidR="008135F4" w:rsidRPr="008135F4" w:rsidRDefault="008135F4" w:rsidP="008135F4">
      <w:pPr>
        <w:numPr>
          <w:ilvl w:val="0"/>
          <w:numId w:val="20"/>
        </w:num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Analyze differences based on parents’ occupation.</w:t>
      </w:r>
    </w:p>
    <w:p w14:paraId="5269571C" w14:textId="77777777" w:rsidR="008135F4" w:rsidRPr="008135F4" w:rsidRDefault="008135F4" w:rsidP="008135F4">
      <w:pPr>
        <w:numPr>
          <w:ilvl w:val="0"/>
          <w:numId w:val="20"/>
        </w:num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Examine differences based on the year of study.</w:t>
      </w:r>
    </w:p>
    <w:p w14:paraId="2E3FAA02" w14:textId="77777777" w:rsidR="008135F4" w:rsidRPr="008135F4" w:rsidRDefault="00113B14" w:rsidP="008135F4">
      <w:pPr>
        <w:spacing w:before="100" w:beforeAutospacing="1" w:after="100" w:afterAutospacing="1" w:line="240" w:lineRule="auto"/>
        <w:jc w:val="both"/>
        <w:outlineLvl w:val="1"/>
        <w:rPr>
          <w:rFonts w:ascii="Arial" w:eastAsia="Times New Roman" w:hAnsi="Arial" w:cs="Arial"/>
          <w:b/>
          <w:bCs/>
        </w:rPr>
      </w:pPr>
      <w:r w:rsidRPr="00113B14">
        <w:rPr>
          <w:rFonts w:ascii="Arial" w:eastAsia="Times New Roman" w:hAnsi="Arial" w:cs="Arial"/>
          <w:b/>
          <w:bCs/>
        </w:rPr>
        <w:t>5. HYPOTHESES</w:t>
      </w:r>
    </w:p>
    <w:p w14:paraId="5B69EA96" w14:textId="77777777" w:rsidR="008135F4" w:rsidRPr="008135F4" w:rsidRDefault="008135F4" w:rsidP="008135F4">
      <w:p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All hypotheses were framed as null hypotheses:</w:t>
      </w:r>
    </w:p>
    <w:p w14:paraId="095970DC" w14:textId="77777777" w:rsidR="008135F4" w:rsidRPr="008135F4" w:rsidRDefault="008135F4" w:rsidP="008135F4">
      <w:pPr>
        <w:numPr>
          <w:ilvl w:val="0"/>
          <w:numId w:val="21"/>
        </w:num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No significant difference between male and female student-teachers.</w:t>
      </w:r>
    </w:p>
    <w:p w14:paraId="474B5EC5" w14:textId="77777777" w:rsidR="008135F4" w:rsidRPr="008135F4" w:rsidRDefault="008135F4" w:rsidP="008135F4">
      <w:pPr>
        <w:numPr>
          <w:ilvl w:val="0"/>
          <w:numId w:val="21"/>
        </w:num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No significant difference between rural and urban student-teachers.</w:t>
      </w:r>
    </w:p>
    <w:p w14:paraId="317F83E8" w14:textId="77777777" w:rsidR="008135F4" w:rsidRPr="008135F4" w:rsidRDefault="008135F4" w:rsidP="008135F4">
      <w:pPr>
        <w:numPr>
          <w:ilvl w:val="0"/>
          <w:numId w:val="21"/>
        </w:num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No significant difference based on parents’ occupation.</w:t>
      </w:r>
    </w:p>
    <w:p w14:paraId="03F43B0B" w14:textId="77777777" w:rsidR="008135F4" w:rsidRPr="008135F4" w:rsidRDefault="008135F4" w:rsidP="008135F4">
      <w:pPr>
        <w:numPr>
          <w:ilvl w:val="0"/>
          <w:numId w:val="21"/>
        </w:num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No significant difference between first-year and second-year student-teachers.</w:t>
      </w:r>
    </w:p>
    <w:p w14:paraId="4B89CDB7" w14:textId="77777777" w:rsidR="008135F4" w:rsidRPr="008135F4" w:rsidRDefault="00113B14" w:rsidP="008135F4">
      <w:pPr>
        <w:spacing w:before="100" w:beforeAutospacing="1" w:after="100" w:afterAutospacing="1" w:line="240" w:lineRule="auto"/>
        <w:jc w:val="both"/>
        <w:outlineLvl w:val="1"/>
        <w:rPr>
          <w:rFonts w:ascii="Arial" w:eastAsia="Times New Roman" w:hAnsi="Arial" w:cs="Arial"/>
          <w:b/>
          <w:bCs/>
        </w:rPr>
      </w:pPr>
      <w:r w:rsidRPr="00113B14">
        <w:rPr>
          <w:rFonts w:ascii="Arial" w:eastAsia="Times New Roman" w:hAnsi="Arial" w:cs="Arial"/>
          <w:b/>
          <w:bCs/>
        </w:rPr>
        <w:t>6. METHODOLOGY</w:t>
      </w:r>
    </w:p>
    <w:p w14:paraId="00A5D295" w14:textId="77777777" w:rsidR="008135F4" w:rsidRPr="008135F4" w:rsidRDefault="00113B14" w:rsidP="008135F4">
      <w:pPr>
        <w:spacing w:before="100" w:beforeAutospacing="1" w:after="100" w:afterAutospacing="1" w:line="240" w:lineRule="auto"/>
        <w:jc w:val="both"/>
        <w:outlineLvl w:val="2"/>
        <w:rPr>
          <w:rFonts w:ascii="Arial" w:eastAsia="Times New Roman" w:hAnsi="Arial" w:cs="Arial"/>
          <w:b/>
          <w:bCs/>
        </w:rPr>
      </w:pPr>
      <w:r w:rsidRPr="00113B14">
        <w:rPr>
          <w:rFonts w:ascii="Arial" w:eastAsia="Times New Roman" w:hAnsi="Arial" w:cs="Arial"/>
          <w:b/>
          <w:bCs/>
        </w:rPr>
        <w:t>6.1 RESEARCH DESIGN</w:t>
      </w:r>
    </w:p>
    <w:p w14:paraId="748C3D39" w14:textId="77777777" w:rsidR="008135F4" w:rsidRPr="008135F4" w:rsidRDefault="008135F4" w:rsidP="008135F4">
      <w:p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The study adopted a normative survey method to assess and interpret the existing attitudes of student-teachers towards disaster preparedness. This method is appropriate for describing current conditions and identifying relationships among variables.</w:t>
      </w:r>
    </w:p>
    <w:p w14:paraId="43159C29" w14:textId="77777777" w:rsidR="008135F4" w:rsidRPr="008135F4" w:rsidRDefault="00113B14" w:rsidP="008135F4">
      <w:pPr>
        <w:spacing w:before="100" w:beforeAutospacing="1" w:after="100" w:afterAutospacing="1" w:line="240" w:lineRule="auto"/>
        <w:jc w:val="both"/>
        <w:outlineLvl w:val="2"/>
        <w:rPr>
          <w:rFonts w:ascii="Arial" w:eastAsia="Times New Roman" w:hAnsi="Arial" w:cs="Arial"/>
          <w:b/>
          <w:bCs/>
        </w:rPr>
      </w:pPr>
      <w:r w:rsidRPr="00113B14">
        <w:rPr>
          <w:rFonts w:ascii="Arial" w:eastAsia="Times New Roman" w:hAnsi="Arial" w:cs="Arial"/>
          <w:b/>
          <w:bCs/>
        </w:rPr>
        <w:lastRenderedPageBreak/>
        <w:t>6.2 POPULATION AND SAMPLE</w:t>
      </w:r>
    </w:p>
    <w:p w14:paraId="2F1497DA" w14:textId="77777777" w:rsidR="008135F4" w:rsidRPr="008135F4" w:rsidRDefault="008135F4" w:rsidP="008135F4">
      <w:p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The population comprised B.Ed. student-teachers studying in colleges of education in Coimbatore District. A sample of 100 student-teachers was selected using stratified random sampling, ensuring equal representation of gender. This sampling technique enhances the representativeness of the data and reduces bias.</w:t>
      </w:r>
    </w:p>
    <w:p w14:paraId="4412608F" w14:textId="77777777" w:rsidR="008135F4" w:rsidRPr="008135F4" w:rsidRDefault="00113B14" w:rsidP="008135F4">
      <w:pPr>
        <w:spacing w:before="100" w:beforeAutospacing="1" w:after="100" w:afterAutospacing="1" w:line="240" w:lineRule="auto"/>
        <w:jc w:val="both"/>
        <w:outlineLvl w:val="2"/>
        <w:rPr>
          <w:rFonts w:ascii="Arial" w:eastAsia="Times New Roman" w:hAnsi="Arial" w:cs="Arial"/>
          <w:b/>
          <w:bCs/>
        </w:rPr>
      </w:pPr>
      <w:r w:rsidRPr="00113B14">
        <w:rPr>
          <w:rFonts w:ascii="Arial" w:eastAsia="Times New Roman" w:hAnsi="Arial" w:cs="Arial"/>
          <w:b/>
          <w:bCs/>
        </w:rPr>
        <w:t>6.3 TOOL FOR DATA COLLECTION</w:t>
      </w:r>
    </w:p>
    <w:p w14:paraId="100F2A0A" w14:textId="77777777" w:rsidR="008135F4" w:rsidRPr="008135F4" w:rsidRDefault="008135F4" w:rsidP="008135F4">
      <w:p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A self-constructed Attitude towards Disaster Preparedness Scale was used. It consisted of 20 statements measured on a five-point Likert scale ranging from strongly disagree (1) to strongly agree (5). The total possible score ranged from 20 to 100. The tool was designed to capture multiple dimensions such as awareness, readiness, responsibility, and perception towards disaster management.</w:t>
      </w:r>
    </w:p>
    <w:p w14:paraId="30CC7E2D" w14:textId="77777777" w:rsidR="008135F4" w:rsidRPr="008135F4" w:rsidRDefault="00113B14" w:rsidP="008135F4">
      <w:pPr>
        <w:spacing w:before="100" w:beforeAutospacing="1" w:after="100" w:afterAutospacing="1" w:line="240" w:lineRule="auto"/>
        <w:jc w:val="both"/>
        <w:outlineLvl w:val="2"/>
        <w:rPr>
          <w:rFonts w:ascii="Arial" w:eastAsia="Times New Roman" w:hAnsi="Arial" w:cs="Arial"/>
          <w:b/>
          <w:bCs/>
        </w:rPr>
      </w:pPr>
      <w:r w:rsidRPr="00113B14">
        <w:rPr>
          <w:rFonts w:ascii="Arial" w:eastAsia="Times New Roman" w:hAnsi="Arial" w:cs="Arial"/>
          <w:b/>
          <w:bCs/>
        </w:rPr>
        <w:t>6.4 STATISTICAL TECHNIQUES</w:t>
      </w:r>
    </w:p>
    <w:p w14:paraId="30115532" w14:textId="77777777" w:rsidR="008135F4" w:rsidRPr="008135F4" w:rsidRDefault="008135F4" w:rsidP="008135F4">
      <w:pPr>
        <w:spacing w:before="100" w:beforeAutospacing="1" w:after="100" w:afterAutospacing="1" w:line="240" w:lineRule="auto"/>
        <w:jc w:val="both"/>
        <w:rPr>
          <w:rFonts w:ascii="Arial" w:eastAsia="Times New Roman" w:hAnsi="Arial" w:cs="Arial"/>
          <w:sz w:val="20"/>
          <w:szCs w:val="20"/>
        </w:rPr>
      </w:pPr>
      <w:r w:rsidRPr="008135F4">
        <w:rPr>
          <w:rFonts w:ascii="Arial" w:eastAsia="Times New Roman" w:hAnsi="Arial" w:cs="Arial"/>
          <w:sz w:val="20"/>
          <w:szCs w:val="20"/>
        </w:rPr>
        <w:t>The collected data were analyzed using mean, standard deviation, and independent samples t-test to determine differences between groups. These statistical methods are suitable for comparing group means and identifying significant differences.</w:t>
      </w:r>
    </w:p>
    <w:p w14:paraId="23FE38A1" w14:textId="77777777" w:rsidR="008135F4" w:rsidRPr="008135F4" w:rsidRDefault="00113B14" w:rsidP="008135F4">
      <w:pPr>
        <w:spacing w:before="100" w:beforeAutospacing="1" w:after="100" w:afterAutospacing="1" w:line="240" w:lineRule="auto"/>
        <w:jc w:val="both"/>
        <w:outlineLvl w:val="0"/>
        <w:rPr>
          <w:rFonts w:ascii="Arial" w:eastAsia="Times New Roman" w:hAnsi="Arial" w:cs="Arial"/>
          <w:b/>
          <w:bCs/>
          <w:kern w:val="36"/>
        </w:rPr>
      </w:pPr>
      <w:r w:rsidRPr="00113B14">
        <w:rPr>
          <w:rFonts w:ascii="Arial" w:eastAsia="Times New Roman" w:hAnsi="Arial" w:cs="Arial"/>
          <w:b/>
          <w:bCs/>
          <w:kern w:val="36"/>
        </w:rPr>
        <w:t>7. RESULTS AND DISCUSSION</w:t>
      </w:r>
    </w:p>
    <w:p w14:paraId="6ACF4DAE" w14:textId="77777777" w:rsidR="002F3F80" w:rsidRPr="0013642D" w:rsidRDefault="002F3F80" w:rsidP="002F3F80">
      <w:pPr>
        <w:spacing w:before="100" w:beforeAutospacing="1" w:after="100" w:afterAutospacing="1" w:line="240" w:lineRule="auto"/>
        <w:jc w:val="both"/>
        <w:outlineLvl w:val="3"/>
        <w:rPr>
          <w:rFonts w:ascii="Arial" w:eastAsia="Times New Roman" w:hAnsi="Arial" w:cs="Arial"/>
          <w:b/>
          <w:bCs/>
        </w:rPr>
      </w:pPr>
      <w:r w:rsidRPr="00CC489A">
        <w:rPr>
          <w:rFonts w:ascii="Arial" w:eastAsia="Times New Roman" w:hAnsi="Arial" w:cs="Arial"/>
          <w:b/>
          <w:bCs/>
        </w:rPr>
        <w:t>7.1 Overall Attitude towards Disaster Preparedness</w:t>
      </w:r>
    </w:p>
    <w:p w14:paraId="2DE3FA35" w14:textId="77777777" w:rsidR="005343D5" w:rsidRPr="00D44222" w:rsidRDefault="005343D5" w:rsidP="00D44222">
      <w:pPr>
        <w:pStyle w:val="NormalWeb"/>
        <w:jc w:val="both"/>
        <w:rPr>
          <w:rFonts w:ascii="Arial" w:hAnsi="Arial" w:cs="Arial"/>
          <w:sz w:val="20"/>
          <w:szCs w:val="20"/>
        </w:rPr>
      </w:pPr>
      <w:r w:rsidRPr="00D44222">
        <w:rPr>
          <w:rFonts w:ascii="Arial" w:hAnsi="Arial" w:cs="Arial"/>
          <w:sz w:val="20"/>
          <w:szCs w:val="20"/>
        </w:rPr>
        <w:t>The analysis of the overall attitude scores revealed that the mean score of student-teachers was 72.65, which indicates a moderately high level of attitude towards disaster preparedness. This finding suggests that the respondents generally possess a favorable orientation towards disaster-related awareness, preparedness planning, and response strategies. It reflects that the majority of student-teachers recognize the importance of being prepared for unforeseen emergencies and show a positive inclination towards adopting preventive and protective measures in educational settings.</w:t>
      </w:r>
    </w:p>
    <w:p w14:paraId="1E028F9C" w14:textId="77777777" w:rsidR="005343D5" w:rsidRPr="00D44222" w:rsidRDefault="005343D5" w:rsidP="00D44222">
      <w:pPr>
        <w:pStyle w:val="NormalWeb"/>
        <w:jc w:val="both"/>
        <w:rPr>
          <w:rFonts w:ascii="Arial" w:hAnsi="Arial" w:cs="Arial"/>
          <w:sz w:val="20"/>
          <w:szCs w:val="20"/>
        </w:rPr>
      </w:pPr>
      <w:r w:rsidRPr="00D44222">
        <w:rPr>
          <w:rFonts w:ascii="Arial" w:hAnsi="Arial" w:cs="Arial"/>
          <w:sz w:val="20"/>
          <w:szCs w:val="20"/>
        </w:rPr>
        <w:t>A closer examination of this result indicates that student-teachers are increasingly becoming aware of disaster management concepts due to multiple sources such as curriculum exposure, media coverage, and public awareness initiatives. The integration of disaster-related topics in school and college syllabi, along with frequent reporting of disasters in mass media, appears to have contributed significantly to shaping their perceptions. In addition, social media platforms, government campaigns, and community-based programs have also played a crucial role in enhancing awareness levels among the younger generation, including prospective teachers.</w:t>
      </w:r>
    </w:p>
    <w:p w14:paraId="634C0AAB" w14:textId="77777777" w:rsidR="005343D5" w:rsidRPr="00D44222" w:rsidRDefault="005343D5" w:rsidP="00D44222">
      <w:pPr>
        <w:pStyle w:val="NormalWeb"/>
        <w:jc w:val="both"/>
        <w:rPr>
          <w:rFonts w:ascii="Arial" w:hAnsi="Arial" w:cs="Arial"/>
          <w:sz w:val="20"/>
          <w:szCs w:val="20"/>
        </w:rPr>
      </w:pPr>
      <w:r w:rsidRPr="00D44222">
        <w:rPr>
          <w:rFonts w:ascii="Arial" w:hAnsi="Arial" w:cs="Arial"/>
          <w:sz w:val="20"/>
          <w:szCs w:val="20"/>
        </w:rPr>
        <w:t>However, the mean score does not reach the upper limit of the scale, indicating that while attitudes are positive, they are not highly developed. This gap suggests that student-teachers may possess theoretical awareness but may lack adequate practical exposure and experiential learning opportunities. In many cases, knowledge remains confined to textbooks and classroom discussions without sufficient opportunities to apply it in real-life situations. This limitation may reduce their confidence and effectiveness in handling actual disaster scenarios.</w:t>
      </w:r>
    </w:p>
    <w:p w14:paraId="77422865" w14:textId="77777777" w:rsidR="005343D5" w:rsidRPr="00D44222" w:rsidRDefault="005343D5" w:rsidP="00D44222">
      <w:pPr>
        <w:pStyle w:val="NormalWeb"/>
        <w:jc w:val="both"/>
        <w:rPr>
          <w:rFonts w:ascii="Arial" w:hAnsi="Arial" w:cs="Arial"/>
          <w:sz w:val="20"/>
          <w:szCs w:val="20"/>
        </w:rPr>
      </w:pPr>
      <w:r w:rsidRPr="00D44222">
        <w:rPr>
          <w:rFonts w:ascii="Arial" w:hAnsi="Arial" w:cs="Arial"/>
          <w:sz w:val="20"/>
          <w:szCs w:val="20"/>
        </w:rPr>
        <w:t>Therefore, teacher education programs need to incorporate more hands-on training such as mock drills, emergency simulations, and community engagement activities to strengthen preparedness levels. Exposure to real-life case studies, interaction with disaster management professionals, and participation in awareness campaigns can further enhance their practical understanding. Moreover, integrating interdisciplinary approaches and continuous assessment of preparedness skills can help in transforming positive attitudes into concrete actions, thereby ensuring that future teachers are well-equipped to manage disaster situations effectively and contribute to building safer school environments.</w:t>
      </w:r>
    </w:p>
    <w:p w14:paraId="4014A892" w14:textId="77777777" w:rsidR="002F3F80" w:rsidRPr="0013642D" w:rsidRDefault="002F3F80" w:rsidP="002F3F80">
      <w:pPr>
        <w:spacing w:before="100" w:beforeAutospacing="1" w:after="100" w:afterAutospacing="1" w:line="240" w:lineRule="auto"/>
        <w:jc w:val="both"/>
        <w:outlineLvl w:val="3"/>
        <w:rPr>
          <w:rFonts w:ascii="Arial" w:eastAsia="Times New Roman" w:hAnsi="Arial" w:cs="Arial"/>
          <w:b/>
          <w:bCs/>
        </w:rPr>
      </w:pPr>
      <w:r w:rsidRPr="00CC489A">
        <w:rPr>
          <w:rFonts w:ascii="Arial" w:eastAsia="Times New Roman" w:hAnsi="Arial" w:cs="Arial"/>
          <w:b/>
          <w:bCs/>
        </w:rPr>
        <w:lastRenderedPageBreak/>
        <w:t>7.2 Gender-wise Analysis</w:t>
      </w:r>
    </w:p>
    <w:p w14:paraId="7393C8DF" w14:textId="77777777" w:rsidR="002F3F80" w:rsidRPr="0013642D" w:rsidRDefault="002F3F80" w:rsidP="002F3F80">
      <w:pPr>
        <w:spacing w:before="100" w:beforeAutospacing="1" w:after="100" w:afterAutospacing="1" w:line="240" w:lineRule="auto"/>
        <w:jc w:val="both"/>
        <w:rPr>
          <w:rFonts w:ascii="Arial" w:eastAsia="Times New Roman" w:hAnsi="Arial" w:cs="Arial"/>
          <w:sz w:val="20"/>
          <w:szCs w:val="20"/>
        </w:rPr>
      </w:pPr>
      <w:r w:rsidRPr="001A08D0">
        <w:rPr>
          <w:rFonts w:ascii="Arial" w:eastAsia="Times New Roman" w:hAnsi="Arial" w:cs="Arial"/>
          <w:b/>
          <w:bCs/>
          <w:sz w:val="20"/>
          <w:szCs w:val="20"/>
        </w:rPr>
        <w:t>Table 1: Gender-wise Comparison of Attitude towards Disaster Preparedness</w:t>
      </w:r>
    </w:p>
    <w:tbl>
      <w:tblPr>
        <w:tblStyle w:val="TableGrid"/>
        <w:tblW w:w="0" w:type="auto"/>
        <w:jc w:val="center"/>
        <w:tblLook w:val="04A0" w:firstRow="1" w:lastRow="0" w:firstColumn="1" w:lastColumn="0" w:noHBand="0" w:noVBand="1"/>
      </w:tblPr>
      <w:tblGrid>
        <w:gridCol w:w="1596"/>
        <w:gridCol w:w="780"/>
        <w:gridCol w:w="1134"/>
        <w:gridCol w:w="2552"/>
        <w:gridCol w:w="2380"/>
      </w:tblGrid>
      <w:tr w:rsidR="002F3F80" w:rsidRPr="008A4005" w14:paraId="6EC76F17" w14:textId="77777777" w:rsidTr="005C0A2A">
        <w:trPr>
          <w:jc w:val="center"/>
        </w:trPr>
        <w:tc>
          <w:tcPr>
            <w:tcW w:w="1596" w:type="dxa"/>
            <w:vAlign w:val="center"/>
          </w:tcPr>
          <w:p w14:paraId="078DF911"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Gender</w:t>
            </w:r>
          </w:p>
        </w:tc>
        <w:tc>
          <w:tcPr>
            <w:tcW w:w="780" w:type="dxa"/>
            <w:vAlign w:val="center"/>
          </w:tcPr>
          <w:p w14:paraId="6C98C3EF"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N</w:t>
            </w:r>
          </w:p>
        </w:tc>
        <w:tc>
          <w:tcPr>
            <w:tcW w:w="1134" w:type="dxa"/>
            <w:vAlign w:val="center"/>
          </w:tcPr>
          <w:p w14:paraId="3BA1A1F5"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Mean</w:t>
            </w:r>
          </w:p>
        </w:tc>
        <w:tc>
          <w:tcPr>
            <w:tcW w:w="2552" w:type="dxa"/>
            <w:vAlign w:val="center"/>
          </w:tcPr>
          <w:p w14:paraId="42CF10D7"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Calculated t value</w:t>
            </w:r>
          </w:p>
        </w:tc>
        <w:tc>
          <w:tcPr>
            <w:tcW w:w="2380" w:type="dxa"/>
            <w:vAlign w:val="center"/>
          </w:tcPr>
          <w:p w14:paraId="1CC5E3F8"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At 5% Level of significance</w:t>
            </w:r>
          </w:p>
        </w:tc>
      </w:tr>
      <w:tr w:rsidR="002F3F80" w:rsidRPr="008A4005" w14:paraId="6FD8F175" w14:textId="77777777" w:rsidTr="005C0A2A">
        <w:trPr>
          <w:jc w:val="center"/>
        </w:trPr>
        <w:tc>
          <w:tcPr>
            <w:tcW w:w="1596" w:type="dxa"/>
          </w:tcPr>
          <w:p w14:paraId="73FDC8ED"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 xml:space="preserve">Male </w:t>
            </w:r>
          </w:p>
        </w:tc>
        <w:tc>
          <w:tcPr>
            <w:tcW w:w="780" w:type="dxa"/>
            <w:vAlign w:val="center"/>
          </w:tcPr>
          <w:p w14:paraId="6A122ACD"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50</w:t>
            </w:r>
          </w:p>
        </w:tc>
        <w:tc>
          <w:tcPr>
            <w:tcW w:w="1134" w:type="dxa"/>
            <w:vAlign w:val="center"/>
          </w:tcPr>
          <w:p w14:paraId="5600DA4E"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71.80</w:t>
            </w:r>
          </w:p>
        </w:tc>
        <w:tc>
          <w:tcPr>
            <w:tcW w:w="2552" w:type="dxa"/>
            <w:vMerge w:val="restart"/>
            <w:vAlign w:val="center"/>
          </w:tcPr>
          <w:p w14:paraId="79C3C863"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1.10</w:t>
            </w:r>
          </w:p>
        </w:tc>
        <w:tc>
          <w:tcPr>
            <w:tcW w:w="2380" w:type="dxa"/>
            <w:vMerge w:val="restart"/>
            <w:vAlign w:val="center"/>
          </w:tcPr>
          <w:p w14:paraId="66EB66F0"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Not Significant</w:t>
            </w:r>
          </w:p>
        </w:tc>
      </w:tr>
      <w:tr w:rsidR="002F3F80" w:rsidRPr="008A4005" w14:paraId="09167622" w14:textId="77777777" w:rsidTr="005C0A2A">
        <w:trPr>
          <w:jc w:val="center"/>
        </w:trPr>
        <w:tc>
          <w:tcPr>
            <w:tcW w:w="1596" w:type="dxa"/>
          </w:tcPr>
          <w:p w14:paraId="70B40166"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 xml:space="preserve">Female </w:t>
            </w:r>
          </w:p>
        </w:tc>
        <w:tc>
          <w:tcPr>
            <w:tcW w:w="780" w:type="dxa"/>
            <w:vAlign w:val="center"/>
          </w:tcPr>
          <w:p w14:paraId="44A69579"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50</w:t>
            </w:r>
          </w:p>
        </w:tc>
        <w:tc>
          <w:tcPr>
            <w:tcW w:w="1134" w:type="dxa"/>
            <w:vAlign w:val="center"/>
          </w:tcPr>
          <w:p w14:paraId="45C120B1"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73.50</w:t>
            </w:r>
          </w:p>
        </w:tc>
        <w:tc>
          <w:tcPr>
            <w:tcW w:w="2552" w:type="dxa"/>
            <w:vMerge/>
            <w:vAlign w:val="center"/>
          </w:tcPr>
          <w:p w14:paraId="1D10090F"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p>
        </w:tc>
        <w:tc>
          <w:tcPr>
            <w:tcW w:w="2380" w:type="dxa"/>
            <w:vMerge/>
          </w:tcPr>
          <w:p w14:paraId="0B38475D"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p>
        </w:tc>
      </w:tr>
    </w:tbl>
    <w:p w14:paraId="3DBEA46F" w14:textId="77777777" w:rsidR="00B756D6" w:rsidRPr="00B756D6" w:rsidRDefault="00B756D6" w:rsidP="00B756D6">
      <w:pPr>
        <w:pStyle w:val="NormalWeb"/>
        <w:jc w:val="both"/>
        <w:rPr>
          <w:rFonts w:ascii="Arial" w:hAnsi="Arial" w:cs="Arial"/>
          <w:sz w:val="20"/>
          <w:szCs w:val="20"/>
        </w:rPr>
      </w:pPr>
      <w:r w:rsidRPr="00B756D6">
        <w:rPr>
          <w:rFonts w:ascii="Arial" w:hAnsi="Arial" w:cs="Arial"/>
          <w:sz w:val="20"/>
          <w:szCs w:val="20"/>
        </w:rPr>
        <w:t>The data presented in Table 1 indicate that female student-teachers (Mean = 73.50) have slightly higher attitude scores compared to male student-teachers (Mean = 71.80). Although this difference suggests a marginal variation in perception, the calculated t-value of 1.10 is not statistically significant at the 0.05 level.</w:t>
      </w:r>
    </w:p>
    <w:p w14:paraId="55B704FF" w14:textId="77777777" w:rsidR="00B756D6" w:rsidRPr="00B756D6" w:rsidRDefault="00B756D6" w:rsidP="00B756D6">
      <w:pPr>
        <w:pStyle w:val="NormalWeb"/>
        <w:jc w:val="both"/>
        <w:rPr>
          <w:rFonts w:ascii="Arial" w:hAnsi="Arial" w:cs="Arial"/>
          <w:sz w:val="20"/>
          <w:szCs w:val="20"/>
        </w:rPr>
      </w:pPr>
      <w:r w:rsidRPr="00B756D6">
        <w:rPr>
          <w:rFonts w:ascii="Arial" w:hAnsi="Arial" w:cs="Arial"/>
          <w:sz w:val="20"/>
          <w:szCs w:val="20"/>
        </w:rPr>
        <w:t>This implies that the observed difference in mean scores is due to random variation rather than any systematic influence of gender. Both male and female student-teachers exhibit similar levels of awareness and positive attitudes towards disaster preparedness.</w:t>
      </w:r>
    </w:p>
    <w:p w14:paraId="6947A032" w14:textId="77777777" w:rsidR="00B756D6" w:rsidRPr="00B756D6" w:rsidRDefault="00B756D6" w:rsidP="00B756D6">
      <w:pPr>
        <w:pStyle w:val="NormalWeb"/>
        <w:jc w:val="both"/>
        <w:rPr>
          <w:rFonts w:ascii="Arial" w:hAnsi="Arial" w:cs="Arial"/>
          <w:sz w:val="20"/>
          <w:szCs w:val="20"/>
        </w:rPr>
      </w:pPr>
      <w:r w:rsidRPr="00B756D6">
        <w:rPr>
          <w:rFonts w:ascii="Arial" w:hAnsi="Arial" w:cs="Arial"/>
          <w:sz w:val="20"/>
          <w:szCs w:val="20"/>
        </w:rPr>
        <w:t>The findings may be attributed to the uniformity in teacher education curricula and equal access to educational resources for both genders. Additionally, increased awareness campaigns and inclusive educational practices have contributed to minimizing gender disparities. This result aligns with recent studies indicating that gender differences in educational attitudes are gradually diminishing due to improved equality in learning opportunities.</w:t>
      </w:r>
    </w:p>
    <w:p w14:paraId="7BD99E23" w14:textId="77777777" w:rsidR="00B756D6" w:rsidRPr="00B756D6" w:rsidRDefault="00B756D6" w:rsidP="00B756D6">
      <w:pPr>
        <w:pStyle w:val="NormalWeb"/>
        <w:jc w:val="both"/>
        <w:rPr>
          <w:rFonts w:ascii="Arial" w:hAnsi="Arial" w:cs="Arial"/>
          <w:sz w:val="20"/>
          <w:szCs w:val="20"/>
        </w:rPr>
      </w:pPr>
      <w:r w:rsidRPr="00B756D6">
        <w:rPr>
          <w:rFonts w:ascii="Arial" w:hAnsi="Arial" w:cs="Arial"/>
          <w:sz w:val="20"/>
          <w:szCs w:val="20"/>
        </w:rPr>
        <w:t>Furthermore, the slight difference observed in favor of female student-teachers may be associated with their relatively higher sensitivity towards safety, care, and social responsibility, which are often emphasized in educational and social contexts. Female students may also demonstrate greater concern for community well-being and risk prevention, which can positively influence their attitudes towards disaster preparedness. However, since the difference is not statistically significant, such interpretations should be viewed with caution.</w:t>
      </w:r>
    </w:p>
    <w:p w14:paraId="6694AE35" w14:textId="77777777" w:rsidR="00B756D6" w:rsidRPr="00B756D6" w:rsidRDefault="00B756D6" w:rsidP="00B756D6">
      <w:pPr>
        <w:pStyle w:val="NormalWeb"/>
        <w:jc w:val="both"/>
        <w:rPr>
          <w:rFonts w:ascii="Arial" w:hAnsi="Arial" w:cs="Arial"/>
          <w:sz w:val="20"/>
          <w:szCs w:val="20"/>
        </w:rPr>
      </w:pPr>
      <w:r w:rsidRPr="00B756D6">
        <w:rPr>
          <w:rFonts w:ascii="Arial" w:hAnsi="Arial" w:cs="Arial"/>
          <w:sz w:val="20"/>
          <w:szCs w:val="20"/>
        </w:rPr>
        <w:t>It is also important to note that both male and female student-teachers are exposed to similar training environments, instructional strategies, and academic experiences during their B.Ed. program. This shared learning context ensures that both groups develop comparable levels of awareness and preparedness. The absence of significant gender differences indicates that disaster preparedness education is effectively reaching all learners without bias, thereby promoting inclusivity and equal competence among future educators.</w:t>
      </w:r>
    </w:p>
    <w:p w14:paraId="70EC0D14" w14:textId="77777777" w:rsidR="002F3F80" w:rsidRPr="0013642D" w:rsidRDefault="002F3F80" w:rsidP="002F3F80">
      <w:pPr>
        <w:spacing w:before="100" w:beforeAutospacing="1" w:after="100" w:afterAutospacing="1" w:line="240" w:lineRule="auto"/>
        <w:jc w:val="both"/>
        <w:outlineLvl w:val="3"/>
        <w:rPr>
          <w:rFonts w:ascii="Arial" w:eastAsia="Times New Roman" w:hAnsi="Arial" w:cs="Arial"/>
          <w:b/>
          <w:bCs/>
        </w:rPr>
      </w:pPr>
      <w:r w:rsidRPr="00CC489A">
        <w:rPr>
          <w:rFonts w:ascii="Arial" w:eastAsia="Times New Roman" w:hAnsi="Arial" w:cs="Arial"/>
          <w:b/>
          <w:bCs/>
        </w:rPr>
        <w:t>7.3 Locality-wise Analysis</w:t>
      </w:r>
    </w:p>
    <w:p w14:paraId="2ABEB2B3" w14:textId="77777777" w:rsidR="002F3F80" w:rsidRPr="0013642D" w:rsidRDefault="002F3F80" w:rsidP="002F3F80">
      <w:pPr>
        <w:spacing w:before="100" w:beforeAutospacing="1" w:after="100" w:afterAutospacing="1" w:line="240" w:lineRule="auto"/>
        <w:jc w:val="both"/>
        <w:rPr>
          <w:rFonts w:ascii="Arial" w:eastAsia="Times New Roman" w:hAnsi="Arial" w:cs="Arial"/>
        </w:rPr>
      </w:pPr>
      <w:r w:rsidRPr="00CC489A">
        <w:rPr>
          <w:rFonts w:ascii="Arial" w:eastAsia="Times New Roman" w:hAnsi="Arial" w:cs="Arial"/>
          <w:b/>
          <w:bCs/>
        </w:rPr>
        <w:t>Table 2: Locality-wise Comparison</w:t>
      </w:r>
    </w:p>
    <w:tbl>
      <w:tblPr>
        <w:tblStyle w:val="TableGrid"/>
        <w:tblW w:w="0" w:type="auto"/>
        <w:jc w:val="center"/>
        <w:tblLook w:val="04A0" w:firstRow="1" w:lastRow="0" w:firstColumn="1" w:lastColumn="0" w:noHBand="0" w:noVBand="1"/>
      </w:tblPr>
      <w:tblGrid>
        <w:gridCol w:w="1596"/>
        <w:gridCol w:w="780"/>
        <w:gridCol w:w="1134"/>
        <w:gridCol w:w="2552"/>
        <w:gridCol w:w="2380"/>
      </w:tblGrid>
      <w:tr w:rsidR="002F3F80" w:rsidRPr="008A4005" w14:paraId="5A465E96" w14:textId="77777777" w:rsidTr="005C0A2A">
        <w:trPr>
          <w:jc w:val="center"/>
        </w:trPr>
        <w:tc>
          <w:tcPr>
            <w:tcW w:w="1596" w:type="dxa"/>
            <w:vAlign w:val="center"/>
          </w:tcPr>
          <w:p w14:paraId="70DA4F5F"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 xml:space="preserve">Locality </w:t>
            </w:r>
          </w:p>
        </w:tc>
        <w:tc>
          <w:tcPr>
            <w:tcW w:w="780" w:type="dxa"/>
            <w:vAlign w:val="center"/>
          </w:tcPr>
          <w:p w14:paraId="0223E142"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N</w:t>
            </w:r>
          </w:p>
        </w:tc>
        <w:tc>
          <w:tcPr>
            <w:tcW w:w="1134" w:type="dxa"/>
            <w:vAlign w:val="center"/>
          </w:tcPr>
          <w:p w14:paraId="35854A43"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Mean</w:t>
            </w:r>
          </w:p>
        </w:tc>
        <w:tc>
          <w:tcPr>
            <w:tcW w:w="2552" w:type="dxa"/>
            <w:vAlign w:val="center"/>
          </w:tcPr>
          <w:p w14:paraId="557EC967"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Calculated t value</w:t>
            </w:r>
          </w:p>
        </w:tc>
        <w:tc>
          <w:tcPr>
            <w:tcW w:w="2380" w:type="dxa"/>
            <w:vAlign w:val="center"/>
          </w:tcPr>
          <w:p w14:paraId="7C0155D2"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At 5% Level of significance</w:t>
            </w:r>
          </w:p>
        </w:tc>
      </w:tr>
      <w:tr w:rsidR="002F3F80" w:rsidRPr="008A4005" w14:paraId="05C772F7" w14:textId="77777777" w:rsidTr="005C0A2A">
        <w:trPr>
          <w:jc w:val="center"/>
        </w:trPr>
        <w:tc>
          <w:tcPr>
            <w:tcW w:w="1596" w:type="dxa"/>
          </w:tcPr>
          <w:p w14:paraId="58A77FBA"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 xml:space="preserve">Rural </w:t>
            </w:r>
          </w:p>
        </w:tc>
        <w:tc>
          <w:tcPr>
            <w:tcW w:w="780" w:type="dxa"/>
            <w:vAlign w:val="center"/>
          </w:tcPr>
          <w:p w14:paraId="2CDBD73E"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50</w:t>
            </w:r>
          </w:p>
        </w:tc>
        <w:tc>
          <w:tcPr>
            <w:tcW w:w="1134" w:type="dxa"/>
            <w:vAlign w:val="center"/>
          </w:tcPr>
          <w:p w14:paraId="08DD22BE"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72.40</w:t>
            </w:r>
          </w:p>
        </w:tc>
        <w:tc>
          <w:tcPr>
            <w:tcW w:w="2552" w:type="dxa"/>
            <w:vMerge w:val="restart"/>
            <w:vAlign w:val="center"/>
          </w:tcPr>
          <w:p w14:paraId="268A95DD"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0.78</w:t>
            </w:r>
          </w:p>
        </w:tc>
        <w:tc>
          <w:tcPr>
            <w:tcW w:w="2380" w:type="dxa"/>
            <w:vMerge w:val="restart"/>
            <w:vAlign w:val="center"/>
          </w:tcPr>
          <w:p w14:paraId="2DA3F3A9"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Not Significant</w:t>
            </w:r>
          </w:p>
        </w:tc>
      </w:tr>
      <w:tr w:rsidR="002F3F80" w:rsidRPr="008A4005" w14:paraId="51895F8E" w14:textId="77777777" w:rsidTr="005C0A2A">
        <w:trPr>
          <w:jc w:val="center"/>
        </w:trPr>
        <w:tc>
          <w:tcPr>
            <w:tcW w:w="1596" w:type="dxa"/>
          </w:tcPr>
          <w:p w14:paraId="4F9215AB"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 xml:space="preserve">Urban </w:t>
            </w:r>
          </w:p>
        </w:tc>
        <w:tc>
          <w:tcPr>
            <w:tcW w:w="780" w:type="dxa"/>
            <w:vAlign w:val="center"/>
          </w:tcPr>
          <w:p w14:paraId="325613D8"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50</w:t>
            </w:r>
          </w:p>
        </w:tc>
        <w:tc>
          <w:tcPr>
            <w:tcW w:w="1134" w:type="dxa"/>
            <w:vAlign w:val="center"/>
          </w:tcPr>
          <w:p w14:paraId="2B440D54"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73.00</w:t>
            </w:r>
          </w:p>
        </w:tc>
        <w:tc>
          <w:tcPr>
            <w:tcW w:w="2552" w:type="dxa"/>
            <w:vMerge/>
            <w:vAlign w:val="center"/>
          </w:tcPr>
          <w:p w14:paraId="6CC00A68"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p>
        </w:tc>
        <w:tc>
          <w:tcPr>
            <w:tcW w:w="2380" w:type="dxa"/>
            <w:vMerge/>
          </w:tcPr>
          <w:p w14:paraId="1E5C2F25"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p>
        </w:tc>
      </w:tr>
    </w:tbl>
    <w:p w14:paraId="1E239E82" w14:textId="77777777" w:rsidR="0003172F" w:rsidRPr="0003172F" w:rsidRDefault="0003172F" w:rsidP="0003172F">
      <w:pPr>
        <w:pStyle w:val="NormalWeb"/>
        <w:jc w:val="both"/>
        <w:rPr>
          <w:rFonts w:ascii="Arial" w:hAnsi="Arial" w:cs="Arial"/>
          <w:sz w:val="20"/>
          <w:szCs w:val="20"/>
        </w:rPr>
      </w:pPr>
      <w:r w:rsidRPr="0003172F">
        <w:rPr>
          <w:rFonts w:ascii="Arial" w:hAnsi="Arial" w:cs="Arial"/>
          <w:sz w:val="20"/>
          <w:szCs w:val="20"/>
        </w:rPr>
        <w:lastRenderedPageBreak/>
        <w:t>Table 2 shows that urban student-teachers (Mean = 73.00) scored marginally higher than rural student-teachers (Mean = 72.40). However, the difference is very minimal, and the calculated t-value of 0.78 is not statistically significant.</w:t>
      </w:r>
    </w:p>
    <w:p w14:paraId="5784A57C" w14:textId="77777777" w:rsidR="0003172F" w:rsidRPr="0003172F" w:rsidRDefault="0003172F" w:rsidP="0003172F">
      <w:pPr>
        <w:pStyle w:val="NormalWeb"/>
        <w:jc w:val="both"/>
        <w:rPr>
          <w:rFonts w:ascii="Arial" w:hAnsi="Arial" w:cs="Arial"/>
          <w:sz w:val="20"/>
          <w:szCs w:val="20"/>
        </w:rPr>
      </w:pPr>
      <w:r w:rsidRPr="0003172F">
        <w:rPr>
          <w:rFonts w:ascii="Arial" w:hAnsi="Arial" w:cs="Arial"/>
          <w:sz w:val="20"/>
          <w:szCs w:val="20"/>
        </w:rPr>
        <w:t>This result indicates that locality does not have a significant impact on the attitude of student-teachers towards disaster preparedness. The slight difference observed may be due to better access to resources and information in urban areas, but this advantage does not translate into a statistically meaningful difference.</w:t>
      </w:r>
    </w:p>
    <w:p w14:paraId="16CD7219" w14:textId="77777777" w:rsidR="0003172F" w:rsidRPr="0003172F" w:rsidRDefault="0003172F" w:rsidP="0003172F">
      <w:pPr>
        <w:pStyle w:val="NormalWeb"/>
        <w:jc w:val="both"/>
        <w:rPr>
          <w:rFonts w:ascii="Arial" w:hAnsi="Arial" w:cs="Arial"/>
          <w:sz w:val="20"/>
          <w:szCs w:val="20"/>
        </w:rPr>
      </w:pPr>
      <w:r w:rsidRPr="0003172F">
        <w:rPr>
          <w:rFonts w:ascii="Arial" w:hAnsi="Arial" w:cs="Arial"/>
          <w:sz w:val="20"/>
          <w:szCs w:val="20"/>
        </w:rPr>
        <w:t>The absence of locality-based differences suggests that digital media, government initiatives, and standardized curricula have effectively bridged the rural-urban divide. Information related to disaster preparedness is now widely accessible, enabling students from both backgrounds to develop similar levels of awareness and understanding.</w:t>
      </w:r>
    </w:p>
    <w:p w14:paraId="629ED9B5" w14:textId="77777777" w:rsidR="0003172F" w:rsidRPr="0003172F" w:rsidRDefault="0003172F" w:rsidP="0003172F">
      <w:pPr>
        <w:pStyle w:val="NormalWeb"/>
        <w:jc w:val="both"/>
        <w:rPr>
          <w:rFonts w:ascii="Arial" w:hAnsi="Arial" w:cs="Arial"/>
          <w:sz w:val="20"/>
          <w:szCs w:val="20"/>
        </w:rPr>
      </w:pPr>
      <w:r w:rsidRPr="0003172F">
        <w:rPr>
          <w:rFonts w:ascii="Arial" w:hAnsi="Arial" w:cs="Arial"/>
          <w:sz w:val="20"/>
          <w:szCs w:val="20"/>
        </w:rPr>
        <w:t>Furthermore, the growing penetration of digital technology, including smartphones and internet connectivity, has played a crucial role in reducing informational disparities between rural and urban areas. Online platforms, educational videos, and awareness campaigns have made disaster-related knowledge easily available to students irrespective of their geographical location. In addition, government-led programs and institutional efforts have ensured that disaster management concepts are uniformly incorporated into teacher education curricula across regions.</w:t>
      </w:r>
    </w:p>
    <w:p w14:paraId="0312F08A" w14:textId="77777777" w:rsidR="0003172F" w:rsidRPr="0003172F" w:rsidRDefault="0003172F" w:rsidP="0003172F">
      <w:pPr>
        <w:pStyle w:val="NormalWeb"/>
        <w:jc w:val="both"/>
        <w:rPr>
          <w:rFonts w:ascii="Arial" w:hAnsi="Arial" w:cs="Arial"/>
          <w:sz w:val="20"/>
          <w:szCs w:val="20"/>
        </w:rPr>
      </w:pPr>
      <w:r w:rsidRPr="0003172F">
        <w:rPr>
          <w:rFonts w:ascii="Arial" w:hAnsi="Arial" w:cs="Arial"/>
          <w:sz w:val="20"/>
          <w:szCs w:val="20"/>
        </w:rPr>
        <w:t>It is also important to consider that rural students may have experiential familiarity with certain types of disasters, such as floods or droughts, which can contribute to their practical understanding of disaster situations. On the other hand, urban students may benefit from better institutional infrastructure and organized training programs. Despite these contextual differences, the overall similarity in attitude scores indicates that both groups are equally prepared at the attitudinal level.</w:t>
      </w:r>
    </w:p>
    <w:p w14:paraId="08A2944F" w14:textId="77777777" w:rsidR="0003172F" w:rsidRPr="0003172F" w:rsidRDefault="0003172F" w:rsidP="0003172F">
      <w:pPr>
        <w:pStyle w:val="NormalWeb"/>
        <w:jc w:val="both"/>
        <w:rPr>
          <w:rFonts w:ascii="Arial" w:hAnsi="Arial" w:cs="Arial"/>
          <w:sz w:val="20"/>
          <w:szCs w:val="20"/>
        </w:rPr>
      </w:pPr>
      <w:r w:rsidRPr="0003172F">
        <w:rPr>
          <w:rFonts w:ascii="Arial" w:hAnsi="Arial" w:cs="Arial"/>
          <w:sz w:val="20"/>
          <w:szCs w:val="20"/>
        </w:rPr>
        <w:t>Thus, the findings highlight that locality is no longer a major barrier in shaping attitudes towards disaster preparedness, reflecting a positive trend towards educational equity and balanced awareness among future teachers.</w:t>
      </w:r>
    </w:p>
    <w:p w14:paraId="60205AB0" w14:textId="77777777" w:rsidR="002F3F80" w:rsidRPr="0013642D" w:rsidRDefault="002F3F80" w:rsidP="002F3F80">
      <w:pPr>
        <w:spacing w:before="100" w:beforeAutospacing="1" w:after="100" w:afterAutospacing="1" w:line="240" w:lineRule="auto"/>
        <w:jc w:val="both"/>
        <w:outlineLvl w:val="3"/>
        <w:rPr>
          <w:rFonts w:ascii="Arial" w:eastAsia="Times New Roman" w:hAnsi="Arial" w:cs="Arial"/>
          <w:b/>
          <w:bCs/>
        </w:rPr>
      </w:pPr>
      <w:r w:rsidRPr="00CC489A">
        <w:rPr>
          <w:rFonts w:ascii="Arial" w:eastAsia="Times New Roman" w:hAnsi="Arial" w:cs="Arial"/>
          <w:b/>
          <w:bCs/>
        </w:rPr>
        <w:t>7.4 Parents’ Occupation-wise Analysis</w:t>
      </w:r>
    </w:p>
    <w:p w14:paraId="5444076A" w14:textId="77777777" w:rsidR="002F3F80" w:rsidRPr="0013642D" w:rsidRDefault="002F3F80" w:rsidP="002F3F80">
      <w:pPr>
        <w:spacing w:before="100" w:beforeAutospacing="1" w:after="100" w:afterAutospacing="1" w:line="240" w:lineRule="auto"/>
        <w:jc w:val="both"/>
        <w:rPr>
          <w:rFonts w:ascii="Arial" w:eastAsia="Times New Roman" w:hAnsi="Arial" w:cs="Arial"/>
        </w:rPr>
      </w:pPr>
      <w:r w:rsidRPr="00CC489A">
        <w:rPr>
          <w:rFonts w:ascii="Arial" w:eastAsia="Times New Roman" w:hAnsi="Arial" w:cs="Arial"/>
          <w:b/>
          <w:bCs/>
        </w:rPr>
        <w:t>Table 3: Parents’ Occupation-wise Comparison</w:t>
      </w:r>
    </w:p>
    <w:tbl>
      <w:tblPr>
        <w:tblStyle w:val="TableGrid"/>
        <w:tblW w:w="0" w:type="auto"/>
        <w:jc w:val="center"/>
        <w:tblLook w:val="04A0" w:firstRow="1" w:lastRow="0" w:firstColumn="1" w:lastColumn="0" w:noHBand="0" w:noVBand="1"/>
      </w:tblPr>
      <w:tblGrid>
        <w:gridCol w:w="1596"/>
        <w:gridCol w:w="780"/>
        <w:gridCol w:w="1134"/>
        <w:gridCol w:w="2552"/>
        <w:gridCol w:w="2380"/>
      </w:tblGrid>
      <w:tr w:rsidR="002F3F80" w:rsidRPr="008A4005" w14:paraId="46C9C6A4" w14:textId="77777777" w:rsidTr="005C0A2A">
        <w:trPr>
          <w:jc w:val="center"/>
        </w:trPr>
        <w:tc>
          <w:tcPr>
            <w:tcW w:w="1596" w:type="dxa"/>
            <w:vAlign w:val="center"/>
          </w:tcPr>
          <w:p w14:paraId="50DD573B"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 xml:space="preserve">Parents occupation </w:t>
            </w:r>
          </w:p>
        </w:tc>
        <w:tc>
          <w:tcPr>
            <w:tcW w:w="780" w:type="dxa"/>
            <w:vAlign w:val="center"/>
          </w:tcPr>
          <w:p w14:paraId="56685796"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N</w:t>
            </w:r>
          </w:p>
        </w:tc>
        <w:tc>
          <w:tcPr>
            <w:tcW w:w="1134" w:type="dxa"/>
            <w:vAlign w:val="center"/>
          </w:tcPr>
          <w:p w14:paraId="7BF4F792"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Mean</w:t>
            </w:r>
          </w:p>
        </w:tc>
        <w:tc>
          <w:tcPr>
            <w:tcW w:w="2552" w:type="dxa"/>
            <w:vAlign w:val="center"/>
          </w:tcPr>
          <w:p w14:paraId="7FCA9352"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Calculated t value</w:t>
            </w:r>
          </w:p>
        </w:tc>
        <w:tc>
          <w:tcPr>
            <w:tcW w:w="2380" w:type="dxa"/>
            <w:vAlign w:val="center"/>
          </w:tcPr>
          <w:p w14:paraId="1982B796"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At 5% Level of significance</w:t>
            </w:r>
          </w:p>
        </w:tc>
      </w:tr>
      <w:tr w:rsidR="002F3F80" w:rsidRPr="008A4005" w14:paraId="3BBF45A1" w14:textId="77777777" w:rsidTr="005C0A2A">
        <w:trPr>
          <w:jc w:val="center"/>
        </w:trPr>
        <w:tc>
          <w:tcPr>
            <w:tcW w:w="1596" w:type="dxa"/>
          </w:tcPr>
          <w:p w14:paraId="45D6508D"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 xml:space="preserve">Permanent </w:t>
            </w:r>
          </w:p>
        </w:tc>
        <w:tc>
          <w:tcPr>
            <w:tcW w:w="780" w:type="dxa"/>
            <w:vAlign w:val="center"/>
          </w:tcPr>
          <w:p w14:paraId="49DD1C4B"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50</w:t>
            </w:r>
          </w:p>
        </w:tc>
        <w:tc>
          <w:tcPr>
            <w:tcW w:w="1134" w:type="dxa"/>
            <w:vAlign w:val="center"/>
          </w:tcPr>
          <w:p w14:paraId="429358BD"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73..80</w:t>
            </w:r>
          </w:p>
        </w:tc>
        <w:tc>
          <w:tcPr>
            <w:tcW w:w="2552" w:type="dxa"/>
            <w:vMerge w:val="restart"/>
            <w:vAlign w:val="center"/>
          </w:tcPr>
          <w:p w14:paraId="29C02F4A"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1.25</w:t>
            </w:r>
          </w:p>
        </w:tc>
        <w:tc>
          <w:tcPr>
            <w:tcW w:w="2380" w:type="dxa"/>
            <w:vMerge w:val="restart"/>
            <w:vAlign w:val="center"/>
          </w:tcPr>
          <w:p w14:paraId="4CE3018C"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Not Significant</w:t>
            </w:r>
          </w:p>
        </w:tc>
      </w:tr>
      <w:tr w:rsidR="002F3F80" w:rsidRPr="008A4005" w14:paraId="336EFBD0" w14:textId="77777777" w:rsidTr="005C0A2A">
        <w:trPr>
          <w:jc w:val="center"/>
        </w:trPr>
        <w:tc>
          <w:tcPr>
            <w:tcW w:w="1596" w:type="dxa"/>
          </w:tcPr>
          <w:p w14:paraId="33DF0F4D"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Daily wages</w:t>
            </w:r>
          </w:p>
        </w:tc>
        <w:tc>
          <w:tcPr>
            <w:tcW w:w="780" w:type="dxa"/>
            <w:vAlign w:val="center"/>
          </w:tcPr>
          <w:p w14:paraId="0F5AC056"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50</w:t>
            </w:r>
          </w:p>
        </w:tc>
        <w:tc>
          <w:tcPr>
            <w:tcW w:w="1134" w:type="dxa"/>
            <w:vAlign w:val="center"/>
          </w:tcPr>
          <w:p w14:paraId="27916209"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72.10</w:t>
            </w:r>
          </w:p>
        </w:tc>
        <w:tc>
          <w:tcPr>
            <w:tcW w:w="2552" w:type="dxa"/>
            <w:vMerge/>
            <w:vAlign w:val="center"/>
          </w:tcPr>
          <w:p w14:paraId="0F6AAEFE"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p>
        </w:tc>
        <w:tc>
          <w:tcPr>
            <w:tcW w:w="2380" w:type="dxa"/>
            <w:vMerge/>
          </w:tcPr>
          <w:p w14:paraId="0AC7F0D6"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p>
        </w:tc>
      </w:tr>
    </w:tbl>
    <w:p w14:paraId="43BF2BA3" w14:textId="77777777" w:rsidR="00CF4C5B" w:rsidRPr="00CF4C5B" w:rsidRDefault="00CF4C5B" w:rsidP="00CF4C5B">
      <w:pPr>
        <w:pStyle w:val="NormalWeb"/>
        <w:jc w:val="both"/>
        <w:rPr>
          <w:rFonts w:ascii="Arial" w:hAnsi="Arial" w:cs="Arial"/>
          <w:sz w:val="20"/>
          <w:szCs w:val="20"/>
        </w:rPr>
      </w:pPr>
      <w:r w:rsidRPr="00CF4C5B">
        <w:rPr>
          <w:rFonts w:ascii="Arial" w:hAnsi="Arial" w:cs="Arial"/>
          <w:sz w:val="20"/>
          <w:szCs w:val="20"/>
        </w:rPr>
        <w:t>The results presented in Table 3 reveal that student-teachers belonging to families with permanent occupations (Mean = 73.80) scored slightly higher than those from daily wage backgrounds (Mean = 72.10). However, the calculated t-value of 1.25 indicates that this difference is not statistically significant.</w:t>
      </w:r>
    </w:p>
    <w:p w14:paraId="17F9D439" w14:textId="77777777" w:rsidR="00CF4C5B" w:rsidRPr="00CF4C5B" w:rsidRDefault="00CF4C5B" w:rsidP="00CF4C5B">
      <w:pPr>
        <w:pStyle w:val="NormalWeb"/>
        <w:jc w:val="both"/>
        <w:rPr>
          <w:rFonts w:ascii="Arial" w:hAnsi="Arial" w:cs="Arial"/>
          <w:sz w:val="20"/>
          <w:szCs w:val="20"/>
        </w:rPr>
      </w:pPr>
      <w:r w:rsidRPr="00CF4C5B">
        <w:rPr>
          <w:rFonts w:ascii="Arial" w:hAnsi="Arial" w:cs="Arial"/>
          <w:sz w:val="20"/>
          <w:szCs w:val="20"/>
        </w:rPr>
        <w:t>This finding highlights that socio-economic background, as represented by parents’ occupation, does not significantly influence attitudes towards disaster preparedness. The small variation in mean scores suggests that students from relatively stable economic backgrounds may have slightly better exposure to resources, but this advantage is not strong enough to create a significant difference.</w:t>
      </w:r>
    </w:p>
    <w:p w14:paraId="664F5789" w14:textId="77777777" w:rsidR="00CF4C5B" w:rsidRPr="00CF4C5B" w:rsidRDefault="00CF4C5B" w:rsidP="00CF4C5B">
      <w:pPr>
        <w:pStyle w:val="NormalWeb"/>
        <w:jc w:val="both"/>
        <w:rPr>
          <w:rFonts w:ascii="Arial" w:hAnsi="Arial" w:cs="Arial"/>
          <w:sz w:val="20"/>
          <w:szCs w:val="20"/>
        </w:rPr>
      </w:pPr>
      <w:r w:rsidRPr="00CF4C5B">
        <w:rPr>
          <w:rFonts w:ascii="Arial" w:hAnsi="Arial" w:cs="Arial"/>
          <w:sz w:val="20"/>
          <w:szCs w:val="20"/>
        </w:rPr>
        <w:lastRenderedPageBreak/>
        <w:t>Importantly, this result reflects the role of education as an equalizing force. Teacher education programs appear to provide uniform learning experiences that help students from diverse socio-economic backgrounds develop similar levels of awareness and preparedness attitudes.</w:t>
      </w:r>
    </w:p>
    <w:p w14:paraId="0CDE11E4" w14:textId="77777777" w:rsidR="00CF4C5B" w:rsidRPr="00CF4C5B" w:rsidRDefault="00CF4C5B" w:rsidP="00CF4C5B">
      <w:pPr>
        <w:pStyle w:val="NormalWeb"/>
        <w:jc w:val="both"/>
        <w:rPr>
          <w:rFonts w:ascii="Arial" w:hAnsi="Arial" w:cs="Arial"/>
          <w:sz w:val="20"/>
          <w:szCs w:val="20"/>
        </w:rPr>
      </w:pPr>
      <w:r w:rsidRPr="00CF4C5B">
        <w:rPr>
          <w:rFonts w:ascii="Arial" w:hAnsi="Arial" w:cs="Arial"/>
          <w:sz w:val="20"/>
          <w:szCs w:val="20"/>
        </w:rPr>
        <w:t>Furthermore, it can be inferred that institutional support, curriculum design, and classroom interactions play a more decisive role in shaping attitudes than family background. Even students from economically weaker sections are able to access essential information through formal education, peer learning, and digital resources. Scholarships, government schemes, and inclusive educational practices may also contribute to minimizing disparities among students from different socio-economic groups.</w:t>
      </w:r>
    </w:p>
    <w:p w14:paraId="3E61199E" w14:textId="77777777" w:rsidR="00CF4C5B" w:rsidRPr="00CF4C5B" w:rsidRDefault="00CF4C5B" w:rsidP="00CF4C5B">
      <w:pPr>
        <w:pStyle w:val="NormalWeb"/>
        <w:jc w:val="both"/>
        <w:rPr>
          <w:rFonts w:ascii="Arial" w:hAnsi="Arial" w:cs="Arial"/>
          <w:sz w:val="20"/>
          <w:szCs w:val="20"/>
        </w:rPr>
      </w:pPr>
      <w:r w:rsidRPr="00CF4C5B">
        <w:rPr>
          <w:rFonts w:ascii="Arial" w:hAnsi="Arial" w:cs="Arial"/>
          <w:sz w:val="20"/>
          <w:szCs w:val="20"/>
        </w:rPr>
        <w:t>In addition, exposure to real-life challenges faced by students from daily wage families may enhance their resilience and adaptability, which are important components of disaster preparedness. Conversely, students from more stable backgrounds may benefit from better access to learning materials and support systems. Despite these contextual differences, the similarity in attitude scores indicates that both groups are equally capable of developing a positive outlook towards disaster preparedness.</w:t>
      </w:r>
    </w:p>
    <w:p w14:paraId="2E20884F" w14:textId="77777777" w:rsidR="00CF4C5B" w:rsidRPr="00CF4C5B" w:rsidRDefault="00CF4C5B" w:rsidP="00CF4C5B">
      <w:pPr>
        <w:pStyle w:val="NormalWeb"/>
        <w:jc w:val="both"/>
        <w:rPr>
          <w:rFonts w:ascii="Arial" w:hAnsi="Arial" w:cs="Arial"/>
          <w:sz w:val="20"/>
          <w:szCs w:val="20"/>
        </w:rPr>
      </w:pPr>
      <w:r w:rsidRPr="00CF4C5B">
        <w:rPr>
          <w:rFonts w:ascii="Arial" w:hAnsi="Arial" w:cs="Arial"/>
          <w:sz w:val="20"/>
          <w:szCs w:val="20"/>
        </w:rPr>
        <w:t>Thus, the findings reaffirm that socio-economic differences do not create substantial barriers in shaping attitudes, highlighting the effectiveness of teacher education programs in promoting equality and inclusiveness.</w:t>
      </w:r>
    </w:p>
    <w:p w14:paraId="311A043C" w14:textId="77777777" w:rsidR="002F3F80" w:rsidRPr="0013642D" w:rsidRDefault="002F3F80" w:rsidP="002F3F80">
      <w:pPr>
        <w:spacing w:before="100" w:beforeAutospacing="1" w:after="100" w:afterAutospacing="1" w:line="240" w:lineRule="auto"/>
        <w:jc w:val="both"/>
        <w:outlineLvl w:val="3"/>
        <w:rPr>
          <w:rFonts w:ascii="Arial" w:eastAsia="Times New Roman" w:hAnsi="Arial" w:cs="Arial"/>
          <w:b/>
          <w:bCs/>
        </w:rPr>
      </w:pPr>
      <w:r w:rsidRPr="00CC489A">
        <w:rPr>
          <w:rFonts w:ascii="Arial" w:eastAsia="Times New Roman" w:hAnsi="Arial" w:cs="Arial"/>
          <w:b/>
          <w:bCs/>
        </w:rPr>
        <w:t>7.5 Year of Study-wise Analysis</w:t>
      </w:r>
    </w:p>
    <w:p w14:paraId="4E213ADA" w14:textId="77777777" w:rsidR="002F3F80" w:rsidRPr="0013642D" w:rsidRDefault="002F3F80" w:rsidP="002F3F80">
      <w:pPr>
        <w:spacing w:before="100" w:beforeAutospacing="1" w:after="100" w:afterAutospacing="1" w:line="240" w:lineRule="auto"/>
        <w:jc w:val="both"/>
        <w:rPr>
          <w:rFonts w:ascii="Arial" w:eastAsia="Times New Roman" w:hAnsi="Arial" w:cs="Arial"/>
        </w:rPr>
      </w:pPr>
      <w:r w:rsidRPr="00CC489A">
        <w:rPr>
          <w:rFonts w:ascii="Arial" w:eastAsia="Times New Roman" w:hAnsi="Arial" w:cs="Arial"/>
          <w:b/>
          <w:bCs/>
        </w:rPr>
        <w:t>Table 4: Year of Study-wise Comparison</w:t>
      </w:r>
    </w:p>
    <w:tbl>
      <w:tblPr>
        <w:tblStyle w:val="TableGrid"/>
        <w:tblW w:w="0" w:type="auto"/>
        <w:jc w:val="center"/>
        <w:tblLook w:val="04A0" w:firstRow="1" w:lastRow="0" w:firstColumn="1" w:lastColumn="0" w:noHBand="0" w:noVBand="1"/>
      </w:tblPr>
      <w:tblGrid>
        <w:gridCol w:w="1596"/>
        <w:gridCol w:w="780"/>
        <w:gridCol w:w="1134"/>
        <w:gridCol w:w="2552"/>
        <w:gridCol w:w="2380"/>
      </w:tblGrid>
      <w:tr w:rsidR="002F3F80" w:rsidRPr="008A4005" w14:paraId="5B5B08C4" w14:textId="77777777" w:rsidTr="005C0A2A">
        <w:trPr>
          <w:jc w:val="center"/>
        </w:trPr>
        <w:tc>
          <w:tcPr>
            <w:tcW w:w="1596" w:type="dxa"/>
            <w:vAlign w:val="center"/>
          </w:tcPr>
          <w:p w14:paraId="6BDB9ADA"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 xml:space="preserve">Year of study </w:t>
            </w:r>
          </w:p>
        </w:tc>
        <w:tc>
          <w:tcPr>
            <w:tcW w:w="780" w:type="dxa"/>
            <w:vAlign w:val="center"/>
          </w:tcPr>
          <w:p w14:paraId="62D09F58"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N</w:t>
            </w:r>
          </w:p>
        </w:tc>
        <w:tc>
          <w:tcPr>
            <w:tcW w:w="1134" w:type="dxa"/>
            <w:vAlign w:val="center"/>
          </w:tcPr>
          <w:p w14:paraId="787DE070"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Mean</w:t>
            </w:r>
          </w:p>
        </w:tc>
        <w:tc>
          <w:tcPr>
            <w:tcW w:w="2552" w:type="dxa"/>
            <w:vAlign w:val="center"/>
          </w:tcPr>
          <w:p w14:paraId="101810FE"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Calculated t value</w:t>
            </w:r>
          </w:p>
        </w:tc>
        <w:tc>
          <w:tcPr>
            <w:tcW w:w="2380" w:type="dxa"/>
            <w:vAlign w:val="center"/>
          </w:tcPr>
          <w:p w14:paraId="06508DC2"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
                <w:bCs/>
                <w:sz w:val="20"/>
                <w:szCs w:val="20"/>
              </w:rPr>
            </w:pPr>
            <w:r w:rsidRPr="008A4005">
              <w:rPr>
                <w:rFonts w:ascii="Arial" w:eastAsia="Times New Roman" w:hAnsi="Arial" w:cs="Arial"/>
                <w:b/>
                <w:bCs/>
                <w:sz w:val="20"/>
                <w:szCs w:val="20"/>
              </w:rPr>
              <w:t>At 5% Level of significance</w:t>
            </w:r>
          </w:p>
        </w:tc>
      </w:tr>
      <w:tr w:rsidR="002F3F80" w:rsidRPr="008A4005" w14:paraId="6744421F" w14:textId="77777777" w:rsidTr="005C0A2A">
        <w:trPr>
          <w:jc w:val="center"/>
        </w:trPr>
        <w:tc>
          <w:tcPr>
            <w:tcW w:w="1596" w:type="dxa"/>
          </w:tcPr>
          <w:p w14:paraId="4E6C375F"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First year</w:t>
            </w:r>
          </w:p>
        </w:tc>
        <w:tc>
          <w:tcPr>
            <w:tcW w:w="780" w:type="dxa"/>
            <w:vAlign w:val="center"/>
          </w:tcPr>
          <w:p w14:paraId="28950E21"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50</w:t>
            </w:r>
          </w:p>
        </w:tc>
        <w:tc>
          <w:tcPr>
            <w:tcW w:w="1134" w:type="dxa"/>
            <w:vAlign w:val="center"/>
          </w:tcPr>
          <w:p w14:paraId="794BE0ED"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72.60</w:t>
            </w:r>
          </w:p>
        </w:tc>
        <w:tc>
          <w:tcPr>
            <w:tcW w:w="2552" w:type="dxa"/>
            <w:vMerge w:val="restart"/>
            <w:vAlign w:val="center"/>
          </w:tcPr>
          <w:p w14:paraId="6F00D53D"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0.69</w:t>
            </w:r>
          </w:p>
        </w:tc>
        <w:tc>
          <w:tcPr>
            <w:tcW w:w="2380" w:type="dxa"/>
            <w:vMerge w:val="restart"/>
            <w:vAlign w:val="center"/>
          </w:tcPr>
          <w:p w14:paraId="0E0169CB"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Not Significant</w:t>
            </w:r>
          </w:p>
        </w:tc>
      </w:tr>
      <w:tr w:rsidR="002F3F80" w:rsidRPr="008A4005" w14:paraId="2043FD7D" w14:textId="77777777" w:rsidTr="005C0A2A">
        <w:trPr>
          <w:jc w:val="center"/>
        </w:trPr>
        <w:tc>
          <w:tcPr>
            <w:tcW w:w="1596" w:type="dxa"/>
          </w:tcPr>
          <w:p w14:paraId="40A99400"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Second  year</w:t>
            </w:r>
          </w:p>
        </w:tc>
        <w:tc>
          <w:tcPr>
            <w:tcW w:w="780" w:type="dxa"/>
            <w:vAlign w:val="center"/>
          </w:tcPr>
          <w:p w14:paraId="449F9DB0"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50</w:t>
            </w:r>
          </w:p>
        </w:tc>
        <w:tc>
          <w:tcPr>
            <w:tcW w:w="1134" w:type="dxa"/>
            <w:vAlign w:val="center"/>
          </w:tcPr>
          <w:p w14:paraId="3A715309"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r w:rsidRPr="008A4005">
              <w:rPr>
                <w:rFonts w:ascii="Arial" w:eastAsia="Times New Roman" w:hAnsi="Arial" w:cs="Arial"/>
                <w:bCs/>
                <w:sz w:val="20"/>
                <w:szCs w:val="20"/>
              </w:rPr>
              <w:t>73.20</w:t>
            </w:r>
          </w:p>
        </w:tc>
        <w:tc>
          <w:tcPr>
            <w:tcW w:w="2552" w:type="dxa"/>
            <w:vMerge/>
            <w:vAlign w:val="center"/>
          </w:tcPr>
          <w:p w14:paraId="288B61E7"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p>
        </w:tc>
        <w:tc>
          <w:tcPr>
            <w:tcW w:w="2380" w:type="dxa"/>
            <w:vMerge/>
          </w:tcPr>
          <w:p w14:paraId="0637A866" w14:textId="77777777" w:rsidR="002F3F80" w:rsidRPr="008A4005" w:rsidRDefault="002F3F80" w:rsidP="005C0A2A">
            <w:pPr>
              <w:spacing w:before="100" w:beforeAutospacing="1" w:after="100" w:afterAutospacing="1" w:line="360" w:lineRule="auto"/>
              <w:jc w:val="both"/>
              <w:outlineLvl w:val="3"/>
              <w:rPr>
                <w:rFonts w:ascii="Arial" w:eastAsia="Times New Roman" w:hAnsi="Arial" w:cs="Arial"/>
                <w:bCs/>
                <w:sz w:val="20"/>
                <w:szCs w:val="20"/>
              </w:rPr>
            </w:pPr>
          </w:p>
        </w:tc>
      </w:tr>
    </w:tbl>
    <w:p w14:paraId="6B60733B" w14:textId="77777777" w:rsidR="00D36111" w:rsidRPr="00D36111" w:rsidRDefault="00D36111" w:rsidP="00D36111">
      <w:pPr>
        <w:pStyle w:val="NormalWeb"/>
        <w:jc w:val="both"/>
        <w:rPr>
          <w:rFonts w:ascii="Arial" w:hAnsi="Arial" w:cs="Arial"/>
          <w:sz w:val="20"/>
          <w:szCs w:val="20"/>
        </w:rPr>
      </w:pPr>
      <w:r w:rsidRPr="00D36111">
        <w:rPr>
          <w:rFonts w:ascii="Arial" w:hAnsi="Arial" w:cs="Arial"/>
          <w:sz w:val="20"/>
          <w:szCs w:val="20"/>
        </w:rPr>
        <w:t>Table 4 indicates that second-year student-teachers (Mean = 73.20) have slightly higher attitude scores compared to first-year students (Mean = 72.60). However, the calculated t-value of 0.69 is not statistically significant.</w:t>
      </w:r>
    </w:p>
    <w:p w14:paraId="6E31A1EE" w14:textId="77777777" w:rsidR="00D36111" w:rsidRPr="00D36111" w:rsidRDefault="00D36111" w:rsidP="00D36111">
      <w:pPr>
        <w:pStyle w:val="NormalWeb"/>
        <w:jc w:val="both"/>
        <w:rPr>
          <w:rFonts w:ascii="Arial" w:hAnsi="Arial" w:cs="Arial"/>
          <w:sz w:val="20"/>
          <w:szCs w:val="20"/>
        </w:rPr>
      </w:pPr>
      <w:r w:rsidRPr="00D36111">
        <w:rPr>
          <w:rFonts w:ascii="Arial" w:hAnsi="Arial" w:cs="Arial"/>
          <w:sz w:val="20"/>
          <w:szCs w:val="20"/>
        </w:rPr>
        <w:t>This suggests that the duration of study in the B.Ed. program does not significantly influence attitudes towards disaster preparedness. The minimal difference observed may be due to gradual exposure to course content, but it is not substantial enough to indicate a strong effect.</w:t>
      </w:r>
    </w:p>
    <w:p w14:paraId="011E1F47" w14:textId="77777777" w:rsidR="00D36111" w:rsidRPr="00D36111" w:rsidRDefault="00D36111" w:rsidP="00D36111">
      <w:pPr>
        <w:pStyle w:val="NormalWeb"/>
        <w:jc w:val="both"/>
        <w:rPr>
          <w:rFonts w:ascii="Arial" w:hAnsi="Arial" w:cs="Arial"/>
          <w:sz w:val="20"/>
          <w:szCs w:val="20"/>
        </w:rPr>
      </w:pPr>
      <w:r w:rsidRPr="00D36111">
        <w:rPr>
          <w:rFonts w:ascii="Arial" w:hAnsi="Arial" w:cs="Arial"/>
          <w:sz w:val="20"/>
          <w:szCs w:val="20"/>
        </w:rPr>
        <w:t>This finding implies that disaster preparedness concepts may already be introduced at the early stages of the program and are consistently reinforced. However, it also indicates the need for more progressive and advanced training modules in later stages to enhance students’ preparedness further.</w:t>
      </w:r>
    </w:p>
    <w:p w14:paraId="7BA284FC" w14:textId="77777777" w:rsidR="00D36111" w:rsidRPr="00D36111" w:rsidRDefault="00D36111" w:rsidP="00D36111">
      <w:pPr>
        <w:pStyle w:val="NormalWeb"/>
        <w:jc w:val="both"/>
        <w:rPr>
          <w:rFonts w:ascii="Arial" w:hAnsi="Arial" w:cs="Arial"/>
          <w:sz w:val="20"/>
          <w:szCs w:val="20"/>
        </w:rPr>
      </w:pPr>
      <w:r w:rsidRPr="00D36111">
        <w:rPr>
          <w:rFonts w:ascii="Arial" w:hAnsi="Arial" w:cs="Arial"/>
          <w:sz w:val="20"/>
          <w:szCs w:val="20"/>
        </w:rPr>
        <w:t>Furthermore, the slight increase in mean score among second-year students may reflect their relatively greater exposure to teaching practice, field experiences, and academic discussions related to real-life classroom situations. These experiences may contribute to a better understanding of the practical implications of disaster preparedness in school settings. However, since the difference is not statistically significant, it suggests that such exposure is either limited or not sufficiently structured to create a substantial impact.</w:t>
      </w:r>
    </w:p>
    <w:p w14:paraId="24D4BF78" w14:textId="77777777" w:rsidR="00D36111" w:rsidRPr="00D36111" w:rsidRDefault="00D36111" w:rsidP="00D36111">
      <w:pPr>
        <w:pStyle w:val="NormalWeb"/>
        <w:jc w:val="both"/>
        <w:rPr>
          <w:rFonts w:ascii="Arial" w:hAnsi="Arial" w:cs="Arial"/>
          <w:sz w:val="20"/>
          <w:szCs w:val="20"/>
        </w:rPr>
      </w:pPr>
      <w:r w:rsidRPr="00D36111">
        <w:rPr>
          <w:rFonts w:ascii="Arial" w:hAnsi="Arial" w:cs="Arial"/>
          <w:sz w:val="20"/>
          <w:szCs w:val="20"/>
        </w:rPr>
        <w:t xml:space="preserve">It is also possible that the curriculum does not differentiate significantly between the two years in terms of disaster preparedness content, resulting in similar levels of awareness among both groups. Therefore, there is a need to design a more sequential and developmental approach in the curriculum, where basic </w:t>
      </w:r>
      <w:r w:rsidRPr="00D36111">
        <w:rPr>
          <w:rFonts w:ascii="Arial" w:hAnsi="Arial" w:cs="Arial"/>
          <w:sz w:val="20"/>
          <w:szCs w:val="20"/>
        </w:rPr>
        <w:lastRenderedPageBreak/>
        <w:t>concepts are introduced in the first year and advanced practical training is emphasized in the second year.</w:t>
      </w:r>
    </w:p>
    <w:p w14:paraId="10C230A5" w14:textId="77777777" w:rsidR="00D36111" w:rsidRPr="00D36111" w:rsidRDefault="00D36111" w:rsidP="00D36111">
      <w:pPr>
        <w:pStyle w:val="NormalWeb"/>
        <w:jc w:val="both"/>
        <w:rPr>
          <w:rFonts w:ascii="Arial" w:hAnsi="Arial" w:cs="Arial"/>
          <w:sz w:val="20"/>
          <w:szCs w:val="20"/>
        </w:rPr>
      </w:pPr>
      <w:r w:rsidRPr="00D36111">
        <w:rPr>
          <w:rFonts w:ascii="Arial" w:hAnsi="Arial" w:cs="Arial"/>
          <w:sz w:val="20"/>
          <w:szCs w:val="20"/>
        </w:rPr>
        <w:t>Incorporating workshops, field visits, internships, and collaboration with disaster management agencies in the later stages of the program can further enhance the preparedness levels of student-teachers. Such initiatives would ensure that the slight differences observed translate into meaningful and measurable improvements in attitudes and competencies.</w:t>
      </w:r>
    </w:p>
    <w:p w14:paraId="04D0D973" w14:textId="77777777" w:rsidR="008135F4" w:rsidRPr="008135F4" w:rsidRDefault="008135F4" w:rsidP="008135F4">
      <w:pPr>
        <w:spacing w:before="100" w:beforeAutospacing="1" w:after="100" w:afterAutospacing="1" w:line="240" w:lineRule="auto"/>
        <w:jc w:val="both"/>
        <w:outlineLvl w:val="1"/>
        <w:rPr>
          <w:rFonts w:ascii="Arial" w:eastAsia="Times New Roman" w:hAnsi="Arial" w:cs="Arial"/>
          <w:b/>
          <w:bCs/>
          <w:sz w:val="20"/>
          <w:szCs w:val="20"/>
        </w:rPr>
      </w:pPr>
      <w:r w:rsidRPr="008135F4">
        <w:rPr>
          <w:rFonts w:ascii="Arial" w:eastAsia="Times New Roman" w:hAnsi="Arial" w:cs="Arial"/>
          <w:b/>
          <w:bCs/>
          <w:sz w:val="20"/>
          <w:szCs w:val="20"/>
        </w:rPr>
        <w:t>7.6 Integrated Discussion</w:t>
      </w:r>
    </w:p>
    <w:p w14:paraId="5B32CA65" w14:textId="77777777" w:rsidR="0040292D" w:rsidRPr="0040292D" w:rsidRDefault="0040292D" w:rsidP="0040292D">
      <w:pPr>
        <w:pStyle w:val="NormalWeb"/>
        <w:jc w:val="both"/>
        <w:rPr>
          <w:rFonts w:ascii="Arial" w:hAnsi="Arial" w:cs="Arial"/>
          <w:sz w:val="20"/>
          <w:szCs w:val="20"/>
        </w:rPr>
      </w:pPr>
      <w:r w:rsidRPr="0040292D">
        <w:rPr>
          <w:rFonts w:ascii="Arial" w:hAnsi="Arial" w:cs="Arial"/>
          <w:sz w:val="20"/>
          <w:szCs w:val="20"/>
        </w:rPr>
        <w:t>The overall analysis of results reveals a consistent pattern across all demographic variables. None of the variables—gender, locality, parents’ occupation, or year of study—show a statistically significant influence on the attitude of student-teachers towards disaster preparedness.</w:t>
      </w:r>
    </w:p>
    <w:p w14:paraId="468B78AE" w14:textId="77777777" w:rsidR="0040292D" w:rsidRPr="0040292D" w:rsidRDefault="0040292D" w:rsidP="0040292D">
      <w:pPr>
        <w:pStyle w:val="NormalWeb"/>
        <w:jc w:val="both"/>
        <w:rPr>
          <w:rFonts w:ascii="Arial" w:hAnsi="Arial" w:cs="Arial"/>
          <w:sz w:val="20"/>
          <w:szCs w:val="20"/>
        </w:rPr>
      </w:pPr>
      <w:r w:rsidRPr="0040292D">
        <w:rPr>
          <w:rFonts w:ascii="Arial" w:hAnsi="Arial" w:cs="Arial"/>
          <w:sz w:val="20"/>
          <w:szCs w:val="20"/>
        </w:rPr>
        <w:t>This uniformity is a positive indicator of the effectiveness of teacher education programs in delivering equitable learning experiences. It suggests that the curriculum, teaching methods, and institutional practices are inclusive and capable of addressing the needs of diverse student groups. The absence of significant differences also indicates that opportunities for learning and exposure to disaster preparedness concepts are fairly distributed among student-teachers, regardless of their background characteristics.</w:t>
      </w:r>
    </w:p>
    <w:p w14:paraId="6FA18BF1" w14:textId="77777777" w:rsidR="0040292D" w:rsidRPr="0040292D" w:rsidRDefault="0040292D" w:rsidP="0040292D">
      <w:pPr>
        <w:pStyle w:val="NormalWeb"/>
        <w:jc w:val="both"/>
        <w:rPr>
          <w:rFonts w:ascii="Arial" w:hAnsi="Arial" w:cs="Arial"/>
          <w:sz w:val="20"/>
          <w:szCs w:val="20"/>
        </w:rPr>
      </w:pPr>
      <w:r w:rsidRPr="0040292D">
        <w:rPr>
          <w:rFonts w:ascii="Arial" w:hAnsi="Arial" w:cs="Arial"/>
          <w:sz w:val="20"/>
          <w:szCs w:val="20"/>
        </w:rPr>
        <w:t>At the same time, the moderately high level of attitude indicates that while awareness exists, there is room for further enhancement. The findings emphasize the need to move beyond theoretical instruction and focus on experiential and skill-based learning. Practical training, community involvement, and real-life simulations can significantly improve preparedness levels.</w:t>
      </w:r>
    </w:p>
    <w:p w14:paraId="23828980" w14:textId="77777777" w:rsidR="0040292D" w:rsidRPr="0040292D" w:rsidRDefault="0040292D" w:rsidP="0040292D">
      <w:pPr>
        <w:pStyle w:val="NormalWeb"/>
        <w:jc w:val="both"/>
        <w:rPr>
          <w:rFonts w:ascii="Arial" w:hAnsi="Arial" w:cs="Arial"/>
          <w:sz w:val="20"/>
          <w:szCs w:val="20"/>
        </w:rPr>
      </w:pPr>
      <w:r w:rsidRPr="0040292D">
        <w:rPr>
          <w:rFonts w:ascii="Arial" w:hAnsi="Arial" w:cs="Arial"/>
          <w:sz w:val="20"/>
          <w:szCs w:val="20"/>
        </w:rPr>
        <w:t>In addition, it is important to recognize that attitude alone does not guarantee effective action during disaster situations. The transformation of positive attitudes into competent behavior requires continuous practice, reinforcement, and exposure to real-world challenges. Therefore, teacher education institutions must create structured opportunities for students to actively participate in disaster management activities, such as awareness campaigns, mock drills, and collaborative projects with local authorities.</w:t>
      </w:r>
    </w:p>
    <w:p w14:paraId="61E1AB2C" w14:textId="77777777" w:rsidR="0040292D" w:rsidRPr="0040292D" w:rsidRDefault="0040292D" w:rsidP="0040292D">
      <w:pPr>
        <w:pStyle w:val="NormalWeb"/>
        <w:jc w:val="both"/>
        <w:rPr>
          <w:rFonts w:ascii="Arial" w:hAnsi="Arial" w:cs="Arial"/>
          <w:sz w:val="20"/>
          <w:szCs w:val="20"/>
        </w:rPr>
      </w:pPr>
      <w:r w:rsidRPr="0040292D">
        <w:rPr>
          <w:rFonts w:ascii="Arial" w:hAnsi="Arial" w:cs="Arial"/>
          <w:sz w:val="20"/>
          <w:szCs w:val="20"/>
        </w:rPr>
        <w:t>The results also align with contemporary research that highlights the importance of structured educational interventions in reducing disparities and promoting uniform awareness. Furthermore, the findings suggest that standardized curricula and institutional support systems play a crucial role in ensuring consistency in learning outcomes. By incorporating interdisciplinary approaches and integrating disaster preparedness across various subjects, teacher education programs can further strengthen students’ understanding and engagement.</w:t>
      </w:r>
    </w:p>
    <w:p w14:paraId="29708F40" w14:textId="77777777" w:rsidR="0040292D" w:rsidRPr="0040292D" w:rsidRDefault="0040292D" w:rsidP="0040292D">
      <w:pPr>
        <w:pStyle w:val="NormalWeb"/>
        <w:jc w:val="both"/>
        <w:rPr>
          <w:rFonts w:ascii="Arial" w:hAnsi="Arial" w:cs="Arial"/>
          <w:sz w:val="20"/>
          <w:szCs w:val="20"/>
        </w:rPr>
      </w:pPr>
      <w:r w:rsidRPr="0040292D">
        <w:rPr>
          <w:rFonts w:ascii="Arial" w:hAnsi="Arial" w:cs="Arial"/>
          <w:sz w:val="20"/>
          <w:szCs w:val="20"/>
        </w:rPr>
        <w:t>Thus, strengthening disaster preparedness education within teacher training programs can play a vital role in building resilient communities. It not only prepares future teachers to respond effectively in emergencies but also empowers them to educate and guide students in developing a culture of safety, responsibility, and preparedness in society.</w:t>
      </w:r>
    </w:p>
    <w:p w14:paraId="5E34630A" w14:textId="77777777" w:rsidR="008135F4" w:rsidRPr="008135F4" w:rsidRDefault="008135F4" w:rsidP="008135F4">
      <w:pPr>
        <w:spacing w:before="100" w:beforeAutospacing="1" w:after="100" w:afterAutospacing="1" w:line="240" w:lineRule="auto"/>
        <w:jc w:val="both"/>
        <w:outlineLvl w:val="1"/>
        <w:rPr>
          <w:rFonts w:ascii="Arial" w:eastAsia="Times New Roman" w:hAnsi="Arial" w:cs="Arial"/>
          <w:b/>
          <w:bCs/>
          <w:sz w:val="20"/>
          <w:szCs w:val="20"/>
        </w:rPr>
      </w:pPr>
      <w:r w:rsidRPr="008135F4">
        <w:rPr>
          <w:rFonts w:ascii="Arial" w:eastAsia="Times New Roman" w:hAnsi="Arial" w:cs="Arial"/>
          <w:b/>
          <w:bCs/>
          <w:sz w:val="20"/>
          <w:szCs w:val="20"/>
        </w:rPr>
        <w:t>8. Educational Implications</w:t>
      </w:r>
    </w:p>
    <w:p w14:paraId="1AC859D7" w14:textId="77777777" w:rsidR="001D1C9C" w:rsidRPr="001D1C9C" w:rsidRDefault="001D1C9C" w:rsidP="001D1C9C">
      <w:pPr>
        <w:pStyle w:val="NormalWeb"/>
        <w:jc w:val="both"/>
        <w:rPr>
          <w:rFonts w:ascii="Arial" w:hAnsi="Arial" w:cs="Arial"/>
          <w:sz w:val="20"/>
          <w:szCs w:val="20"/>
        </w:rPr>
      </w:pPr>
      <w:r w:rsidRPr="001D1C9C">
        <w:rPr>
          <w:rFonts w:ascii="Arial" w:hAnsi="Arial" w:cs="Arial"/>
          <w:sz w:val="20"/>
          <w:szCs w:val="20"/>
        </w:rPr>
        <w:t>The findings suggest that disaster preparedness education should be strengthened within teacher training programs. Greater emphasis should be placed on experiential learning approaches such as simulations, mock drills, and field activities. Teacher educators must integrate disaster-related topics across subjects to ensure continuous reinforcement.</w:t>
      </w:r>
    </w:p>
    <w:p w14:paraId="132B5377" w14:textId="77777777" w:rsidR="001D1C9C" w:rsidRPr="001D1C9C" w:rsidRDefault="001D1C9C" w:rsidP="001D1C9C">
      <w:pPr>
        <w:pStyle w:val="NormalWeb"/>
        <w:jc w:val="both"/>
        <w:rPr>
          <w:rFonts w:ascii="Arial" w:hAnsi="Arial" w:cs="Arial"/>
          <w:sz w:val="20"/>
          <w:szCs w:val="20"/>
        </w:rPr>
      </w:pPr>
      <w:r w:rsidRPr="001D1C9C">
        <w:rPr>
          <w:rFonts w:ascii="Arial" w:hAnsi="Arial" w:cs="Arial"/>
          <w:sz w:val="20"/>
          <w:szCs w:val="20"/>
        </w:rPr>
        <w:t xml:space="preserve">In addition, structured workshops, seminars, and interaction sessions with disaster management professionals can further enhance the practical understanding of student-teachers. Institutions should </w:t>
      </w:r>
      <w:r w:rsidRPr="001D1C9C">
        <w:rPr>
          <w:rFonts w:ascii="Arial" w:hAnsi="Arial" w:cs="Arial"/>
          <w:sz w:val="20"/>
          <w:szCs w:val="20"/>
        </w:rPr>
        <w:lastRenderedPageBreak/>
        <w:t>also collaborate with local authorities and emergency response agencies to provide real-life exposure and hands-on experience. Incorporating technology-based learning tools, such as virtual simulations and digital modules, can make disaster preparedness education more engaging and effective. Continuous assessment and feedback mechanisms should also be implemented to evaluate the preparedness levels of student-teachers and ensure that learning outcomes are achieved effectively.</w:t>
      </w:r>
    </w:p>
    <w:p w14:paraId="002DC537" w14:textId="77777777" w:rsidR="008135F4" w:rsidRPr="008135F4" w:rsidRDefault="008135F4" w:rsidP="008135F4">
      <w:pPr>
        <w:spacing w:before="100" w:beforeAutospacing="1" w:after="100" w:afterAutospacing="1" w:line="240" w:lineRule="auto"/>
        <w:jc w:val="both"/>
        <w:outlineLvl w:val="1"/>
        <w:rPr>
          <w:rFonts w:ascii="Arial" w:eastAsia="Times New Roman" w:hAnsi="Arial" w:cs="Arial"/>
          <w:b/>
          <w:bCs/>
          <w:sz w:val="20"/>
          <w:szCs w:val="20"/>
        </w:rPr>
      </w:pPr>
      <w:r w:rsidRPr="008135F4">
        <w:rPr>
          <w:rFonts w:ascii="Arial" w:eastAsia="Times New Roman" w:hAnsi="Arial" w:cs="Arial"/>
          <w:b/>
          <w:bCs/>
          <w:sz w:val="20"/>
          <w:szCs w:val="20"/>
        </w:rPr>
        <w:t>9. Conclusion</w:t>
      </w:r>
    </w:p>
    <w:p w14:paraId="76F37F4E" w14:textId="77777777" w:rsidR="00E46761" w:rsidRPr="00E46761" w:rsidRDefault="00E46761" w:rsidP="00E46761">
      <w:pPr>
        <w:pStyle w:val="NormalWeb"/>
        <w:jc w:val="both"/>
        <w:rPr>
          <w:rFonts w:ascii="Arial" w:hAnsi="Arial" w:cs="Arial"/>
          <w:sz w:val="20"/>
          <w:szCs w:val="20"/>
        </w:rPr>
      </w:pPr>
      <w:r w:rsidRPr="00E46761">
        <w:rPr>
          <w:rFonts w:ascii="Arial" w:hAnsi="Arial" w:cs="Arial"/>
          <w:sz w:val="20"/>
          <w:szCs w:val="20"/>
        </w:rPr>
        <w:t>The study concludes that B.Ed. student-teachers possess a moderately high level of attitude towards disaster preparedness. The absence of significant differences across demographic variables indicates that teacher education programs are effective in providing uniform awareness. However, there is a need to enhance practical competencies to ensure effective disaster risk reduction in educational settings.</w:t>
      </w:r>
    </w:p>
    <w:p w14:paraId="7667D99B" w14:textId="77777777" w:rsidR="00E46761" w:rsidRDefault="00E46761" w:rsidP="00E46761">
      <w:pPr>
        <w:pStyle w:val="NormalWeb"/>
        <w:jc w:val="both"/>
        <w:rPr>
          <w:rFonts w:ascii="Arial" w:hAnsi="Arial" w:cs="Arial"/>
          <w:sz w:val="20"/>
          <w:szCs w:val="20"/>
        </w:rPr>
      </w:pPr>
      <w:r w:rsidRPr="00E46761">
        <w:rPr>
          <w:rFonts w:ascii="Arial" w:hAnsi="Arial" w:cs="Arial"/>
          <w:sz w:val="20"/>
          <w:szCs w:val="20"/>
        </w:rPr>
        <w:t>To achieve this, teacher education programs should incorporate more hands-on training, including regular mock drills, emergency simulations, and community-based disaster management activities. Encouraging collaboration with local disaster response agencies can provide real-world exposure and improve problem-solving skills during emergencies. Additionally, integrating technology-assisted learning tools, such as virtual simulations and interactive modules, can further strengthen preparedness. Continuous evaluation, feedback, and reflective practices can help monitor progress and ensure that student-teachers are not only aware of disaster management principles but are also capable of implementing effective response strategies in schools and communities.</w:t>
      </w:r>
    </w:p>
    <w:p w14:paraId="171226DA" w14:textId="77777777" w:rsidR="007B715F" w:rsidRDefault="007B715F" w:rsidP="00E46761">
      <w:pPr>
        <w:pStyle w:val="NormalWeb"/>
        <w:jc w:val="both"/>
        <w:rPr>
          <w:rFonts w:ascii="Arial" w:hAnsi="Arial" w:cs="Arial"/>
          <w:sz w:val="20"/>
          <w:szCs w:val="20"/>
        </w:rPr>
      </w:pPr>
    </w:p>
    <w:p w14:paraId="4F5A1A51" w14:textId="77777777" w:rsidR="007B715F" w:rsidRPr="007B715F" w:rsidRDefault="007B715F" w:rsidP="007B715F">
      <w:pPr>
        <w:pStyle w:val="NormalWeb"/>
        <w:jc w:val="both"/>
        <w:rPr>
          <w:rFonts w:ascii="Arial" w:hAnsi="Arial" w:cs="Arial"/>
          <w:sz w:val="20"/>
          <w:szCs w:val="20"/>
        </w:rPr>
      </w:pPr>
      <w:r w:rsidRPr="007B715F">
        <w:rPr>
          <w:rFonts w:ascii="Arial" w:hAnsi="Arial" w:cs="Arial"/>
          <w:sz w:val="20"/>
          <w:szCs w:val="20"/>
        </w:rPr>
        <w:t>COMPETING INTERESTS DISCLAIMER:</w:t>
      </w:r>
    </w:p>
    <w:p w14:paraId="145C4EBA" w14:textId="4EB06539" w:rsidR="007B715F" w:rsidRPr="00E46761" w:rsidRDefault="007B715F" w:rsidP="007B715F">
      <w:pPr>
        <w:pStyle w:val="NormalWeb"/>
        <w:jc w:val="both"/>
        <w:rPr>
          <w:rFonts w:ascii="Arial" w:hAnsi="Arial" w:cs="Arial"/>
          <w:sz w:val="20"/>
          <w:szCs w:val="20"/>
        </w:rPr>
      </w:pPr>
      <w:r w:rsidRPr="007B715F">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09140AB8" w14:textId="77777777" w:rsidR="0020498A" w:rsidRPr="0013642D" w:rsidRDefault="0020498A" w:rsidP="0020498A">
      <w:pPr>
        <w:spacing w:before="100" w:beforeAutospacing="1" w:after="100" w:afterAutospacing="1" w:line="240" w:lineRule="auto"/>
        <w:jc w:val="both"/>
        <w:outlineLvl w:val="2"/>
        <w:rPr>
          <w:rFonts w:ascii="Arial" w:eastAsia="Times New Roman" w:hAnsi="Arial" w:cs="Arial"/>
          <w:b/>
          <w:bCs/>
        </w:rPr>
      </w:pPr>
      <w:r w:rsidRPr="00CC489A">
        <w:rPr>
          <w:rFonts w:ascii="Arial" w:eastAsia="Times New Roman" w:hAnsi="Arial" w:cs="Arial"/>
          <w:b/>
          <w:bCs/>
        </w:rPr>
        <w:t>References</w:t>
      </w:r>
    </w:p>
    <w:p w14:paraId="60EBEE9D" w14:textId="77777777" w:rsidR="0020498A" w:rsidRPr="0013642D" w:rsidRDefault="0020498A" w:rsidP="0020498A">
      <w:pPr>
        <w:spacing w:before="100" w:beforeAutospacing="1" w:after="100" w:afterAutospacing="1" w:line="240" w:lineRule="auto"/>
        <w:jc w:val="both"/>
        <w:rPr>
          <w:rFonts w:ascii="Arial" w:eastAsia="Times New Roman" w:hAnsi="Arial" w:cs="Arial"/>
          <w:sz w:val="20"/>
          <w:szCs w:val="20"/>
        </w:rPr>
      </w:pPr>
      <w:r w:rsidRPr="0013642D">
        <w:rPr>
          <w:rFonts w:ascii="Arial" w:eastAsia="Times New Roman" w:hAnsi="Arial" w:cs="Arial"/>
          <w:sz w:val="20"/>
          <w:szCs w:val="20"/>
        </w:rPr>
        <w:t xml:space="preserve">Johnson, V. A., Ronan, K. R., Johnston, D. M., &amp; Peace, R. (2021). Evaluations of disaster education programs. </w:t>
      </w:r>
      <w:r w:rsidRPr="001A08D0">
        <w:rPr>
          <w:rFonts w:ascii="Arial" w:eastAsia="Times New Roman" w:hAnsi="Arial" w:cs="Arial"/>
          <w:i/>
          <w:iCs/>
          <w:sz w:val="20"/>
          <w:szCs w:val="20"/>
        </w:rPr>
        <w:t>International Journal of Disaster Risk Reduction, 50</w:t>
      </w:r>
      <w:r w:rsidRPr="0013642D">
        <w:rPr>
          <w:rFonts w:ascii="Arial" w:eastAsia="Times New Roman" w:hAnsi="Arial" w:cs="Arial"/>
          <w:sz w:val="20"/>
          <w:szCs w:val="20"/>
        </w:rPr>
        <w:t>, 101741.</w:t>
      </w:r>
    </w:p>
    <w:p w14:paraId="562DD899" w14:textId="77777777" w:rsidR="0020498A" w:rsidRPr="0013642D" w:rsidRDefault="0020498A" w:rsidP="0020498A">
      <w:pPr>
        <w:spacing w:before="100" w:beforeAutospacing="1" w:after="100" w:afterAutospacing="1" w:line="240" w:lineRule="auto"/>
        <w:jc w:val="both"/>
        <w:rPr>
          <w:rFonts w:ascii="Arial" w:eastAsia="Times New Roman" w:hAnsi="Arial" w:cs="Arial"/>
          <w:sz w:val="20"/>
          <w:szCs w:val="20"/>
        </w:rPr>
      </w:pPr>
      <w:r w:rsidRPr="0013642D">
        <w:rPr>
          <w:rFonts w:ascii="Arial" w:eastAsia="Times New Roman" w:hAnsi="Arial" w:cs="Arial"/>
          <w:sz w:val="20"/>
          <w:szCs w:val="20"/>
        </w:rPr>
        <w:t xml:space="preserve">Rahiem, M. D. H. (2021). Disaster preparedness education in schools. </w:t>
      </w:r>
      <w:r w:rsidRPr="001A08D0">
        <w:rPr>
          <w:rFonts w:ascii="Arial" w:eastAsia="Times New Roman" w:hAnsi="Arial" w:cs="Arial"/>
          <w:i/>
          <w:iCs/>
          <w:sz w:val="20"/>
          <w:szCs w:val="20"/>
        </w:rPr>
        <w:t>International Journal of Disaster Risk Reduction, 53</w:t>
      </w:r>
      <w:r w:rsidRPr="0013642D">
        <w:rPr>
          <w:rFonts w:ascii="Arial" w:eastAsia="Times New Roman" w:hAnsi="Arial" w:cs="Arial"/>
          <w:sz w:val="20"/>
          <w:szCs w:val="20"/>
        </w:rPr>
        <w:t>, 101989.</w:t>
      </w:r>
    </w:p>
    <w:p w14:paraId="37DB3E13" w14:textId="77777777" w:rsidR="0020498A" w:rsidRPr="0013642D" w:rsidRDefault="0020498A" w:rsidP="0020498A">
      <w:pPr>
        <w:spacing w:before="100" w:beforeAutospacing="1" w:after="100" w:afterAutospacing="1" w:line="240" w:lineRule="auto"/>
        <w:jc w:val="both"/>
        <w:rPr>
          <w:rFonts w:ascii="Arial" w:eastAsia="Times New Roman" w:hAnsi="Arial" w:cs="Arial"/>
          <w:sz w:val="20"/>
          <w:szCs w:val="20"/>
        </w:rPr>
      </w:pPr>
      <w:proofErr w:type="spellStart"/>
      <w:r w:rsidRPr="0013642D">
        <w:rPr>
          <w:rFonts w:ascii="Arial" w:eastAsia="Times New Roman" w:hAnsi="Arial" w:cs="Arial"/>
          <w:sz w:val="20"/>
          <w:szCs w:val="20"/>
        </w:rPr>
        <w:t>Seddighi</w:t>
      </w:r>
      <w:proofErr w:type="spellEnd"/>
      <w:r w:rsidRPr="0013642D">
        <w:rPr>
          <w:rFonts w:ascii="Arial" w:eastAsia="Times New Roman" w:hAnsi="Arial" w:cs="Arial"/>
          <w:sz w:val="20"/>
          <w:szCs w:val="20"/>
        </w:rPr>
        <w:t xml:space="preserve">, H., Salmani, I., &amp; Javadi, M. H. (2023). School-based disaster preparedness: A systematic review. </w:t>
      </w:r>
      <w:r w:rsidRPr="001A08D0">
        <w:rPr>
          <w:rFonts w:ascii="Arial" w:eastAsia="Times New Roman" w:hAnsi="Arial" w:cs="Arial"/>
          <w:i/>
          <w:iCs/>
          <w:sz w:val="20"/>
          <w:szCs w:val="20"/>
        </w:rPr>
        <w:t>International Journal of Disaster Risk Reduction, 85</w:t>
      </w:r>
      <w:r w:rsidRPr="0013642D">
        <w:rPr>
          <w:rFonts w:ascii="Arial" w:eastAsia="Times New Roman" w:hAnsi="Arial" w:cs="Arial"/>
          <w:sz w:val="20"/>
          <w:szCs w:val="20"/>
        </w:rPr>
        <w:t>, 103456.</w:t>
      </w:r>
    </w:p>
    <w:p w14:paraId="70E9263B" w14:textId="77777777" w:rsidR="0020498A" w:rsidRPr="0013642D" w:rsidRDefault="0020498A" w:rsidP="0020498A">
      <w:pPr>
        <w:spacing w:before="100" w:beforeAutospacing="1" w:after="100" w:afterAutospacing="1" w:line="240" w:lineRule="auto"/>
        <w:jc w:val="both"/>
        <w:rPr>
          <w:rFonts w:ascii="Arial" w:eastAsia="Times New Roman" w:hAnsi="Arial" w:cs="Arial"/>
          <w:sz w:val="20"/>
          <w:szCs w:val="20"/>
        </w:rPr>
      </w:pPr>
      <w:proofErr w:type="spellStart"/>
      <w:r w:rsidRPr="0013642D">
        <w:rPr>
          <w:rFonts w:ascii="Arial" w:eastAsia="Times New Roman" w:hAnsi="Arial" w:cs="Arial"/>
          <w:sz w:val="20"/>
          <w:szCs w:val="20"/>
        </w:rPr>
        <w:t>Kurniawati</w:t>
      </w:r>
      <w:proofErr w:type="spellEnd"/>
      <w:r w:rsidRPr="0013642D">
        <w:rPr>
          <w:rFonts w:ascii="Arial" w:eastAsia="Times New Roman" w:hAnsi="Arial" w:cs="Arial"/>
          <w:sz w:val="20"/>
          <w:szCs w:val="20"/>
        </w:rPr>
        <w:t xml:space="preserve">, D., &amp; </w:t>
      </w:r>
      <w:proofErr w:type="spellStart"/>
      <w:r w:rsidRPr="0013642D">
        <w:rPr>
          <w:rFonts w:ascii="Arial" w:eastAsia="Times New Roman" w:hAnsi="Arial" w:cs="Arial"/>
          <w:sz w:val="20"/>
          <w:szCs w:val="20"/>
        </w:rPr>
        <w:t>Suwito</w:t>
      </w:r>
      <w:proofErr w:type="spellEnd"/>
      <w:r w:rsidRPr="0013642D">
        <w:rPr>
          <w:rFonts w:ascii="Arial" w:eastAsia="Times New Roman" w:hAnsi="Arial" w:cs="Arial"/>
          <w:sz w:val="20"/>
          <w:szCs w:val="20"/>
        </w:rPr>
        <w:t xml:space="preserve">, S. (2023). Disaster education and student preparedness behavior. </w:t>
      </w:r>
      <w:r w:rsidRPr="001A08D0">
        <w:rPr>
          <w:rFonts w:ascii="Arial" w:eastAsia="Times New Roman" w:hAnsi="Arial" w:cs="Arial"/>
          <w:i/>
          <w:iCs/>
          <w:sz w:val="20"/>
          <w:szCs w:val="20"/>
        </w:rPr>
        <w:t>Sustainability, 15</w:t>
      </w:r>
      <w:r w:rsidRPr="0013642D">
        <w:rPr>
          <w:rFonts w:ascii="Arial" w:eastAsia="Times New Roman" w:hAnsi="Arial" w:cs="Arial"/>
          <w:sz w:val="20"/>
          <w:szCs w:val="20"/>
        </w:rPr>
        <w:t>(3), 2456.</w:t>
      </w:r>
    </w:p>
    <w:p w14:paraId="3B6CA2A4" w14:textId="77777777" w:rsidR="0020498A" w:rsidRPr="0013642D" w:rsidRDefault="0020498A" w:rsidP="0020498A">
      <w:pPr>
        <w:spacing w:before="100" w:beforeAutospacing="1" w:after="100" w:afterAutospacing="1" w:line="240" w:lineRule="auto"/>
        <w:jc w:val="both"/>
        <w:rPr>
          <w:rFonts w:ascii="Arial" w:eastAsia="Times New Roman" w:hAnsi="Arial" w:cs="Arial"/>
          <w:sz w:val="20"/>
          <w:szCs w:val="20"/>
        </w:rPr>
      </w:pPr>
      <w:r w:rsidRPr="0013642D">
        <w:rPr>
          <w:rFonts w:ascii="Arial" w:eastAsia="Times New Roman" w:hAnsi="Arial" w:cs="Arial"/>
          <w:sz w:val="20"/>
          <w:szCs w:val="20"/>
        </w:rPr>
        <w:t xml:space="preserve">UNESCO. (2020). </w:t>
      </w:r>
      <w:r w:rsidRPr="001A08D0">
        <w:rPr>
          <w:rFonts w:ascii="Arial" w:eastAsia="Times New Roman" w:hAnsi="Arial" w:cs="Arial"/>
          <w:i/>
          <w:iCs/>
          <w:sz w:val="20"/>
          <w:szCs w:val="20"/>
        </w:rPr>
        <w:t>Education for sustainable development: A roadmap</w:t>
      </w:r>
      <w:r w:rsidRPr="0013642D">
        <w:rPr>
          <w:rFonts w:ascii="Arial" w:eastAsia="Times New Roman" w:hAnsi="Arial" w:cs="Arial"/>
          <w:sz w:val="20"/>
          <w:szCs w:val="20"/>
        </w:rPr>
        <w:t>.</w:t>
      </w:r>
    </w:p>
    <w:p w14:paraId="51A83522" w14:textId="77777777" w:rsidR="0020498A" w:rsidRPr="0013642D" w:rsidRDefault="0020498A" w:rsidP="0020498A">
      <w:pPr>
        <w:spacing w:before="100" w:beforeAutospacing="1" w:after="100" w:afterAutospacing="1" w:line="240" w:lineRule="auto"/>
        <w:jc w:val="both"/>
        <w:rPr>
          <w:rFonts w:ascii="Arial" w:eastAsia="Times New Roman" w:hAnsi="Arial" w:cs="Arial"/>
          <w:sz w:val="20"/>
          <w:szCs w:val="20"/>
        </w:rPr>
      </w:pPr>
      <w:r w:rsidRPr="0013642D">
        <w:rPr>
          <w:rFonts w:ascii="Arial" w:eastAsia="Times New Roman" w:hAnsi="Arial" w:cs="Arial"/>
          <w:sz w:val="20"/>
          <w:szCs w:val="20"/>
        </w:rPr>
        <w:t xml:space="preserve">UNDRR. (2015). </w:t>
      </w:r>
      <w:r w:rsidRPr="001A08D0">
        <w:rPr>
          <w:rFonts w:ascii="Arial" w:eastAsia="Times New Roman" w:hAnsi="Arial" w:cs="Arial"/>
          <w:i/>
          <w:iCs/>
          <w:sz w:val="20"/>
          <w:szCs w:val="20"/>
        </w:rPr>
        <w:t>Sendai Framework for Disaster Risk Reduction</w:t>
      </w:r>
      <w:r w:rsidRPr="0013642D">
        <w:rPr>
          <w:rFonts w:ascii="Arial" w:eastAsia="Times New Roman" w:hAnsi="Arial" w:cs="Arial"/>
          <w:sz w:val="20"/>
          <w:szCs w:val="20"/>
        </w:rPr>
        <w:t>.</w:t>
      </w:r>
    </w:p>
    <w:p w14:paraId="3D0B4519" w14:textId="77777777" w:rsidR="0020498A" w:rsidRPr="001A08D0" w:rsidRDefault="0020498A" w:rsidP="0020498A">
      <w:pPr>
        <w:spacing w:before="100" w:beforeAutospacing="1" w:after="100" w:afterAutospacing="1" w:line="240" w:lineRule="auto"/>
        <w:jc w:val="both"/>
        <w:rPr>
          <w:rFonts w:ascii="Arial" w:eastAsia="Times New Roman" w:hAnsi="Arial" w:cs="Arial"/>
          <w:sz w:val="20"/>
          <w:szCs w:val="20"/>
        </w:rPr>
      </w:pPr>
      <w:r w:rsidRPr="0013642D">
        <w:rPr>
          <w:rFonts w:ascii="Arial" w:eastAsia="Times New Roman" w:hAnsi="Arial" w:cs="Arial"/>
          <w:sz w:val="20"/>
          <w:szCs w:val="20"/>
        </w:rPr>
        <w:t xml:space="preserve">R. Srirangan &amp; Dr. C. Anbuchelvan (2026). Value-based Education in Strengthening Students’ Moral Awareness and Social Responsibility among Secondary School Students. </w:t>
      </w:r>
      <w:r w:rsidRPr="001A08D0">
        <w:rPr>
          <w:rFonts w:ascii="Arial" w:eastAsia="Times New Roman" w:hAnsi="Arial" w:cs="Arial"/>
          <w:i/>
          <w:iCs/>
          <w:sz w:val="20"/>
          <w:szCs w:val="20"/>
        </w:rPr>
        <w:t>Asian Journal of Education and Social Studies</w:t>
      </w:r>
      <w:r w:rsidRPr="0013642D">
        <w:rPr>
          <w:rFonts w:ascii="Arial" w:eastAsia="Times New Roman" w:hAnsi="Arial" w:cs="Arial"/>
          <w:sz w:val="20"/>
          <w:szCs w:val="20"/>
        </w:rPr>
        <w:t>, 52(3).</w:t>
      </w:r>
    </w:p>
    <w:p w14:paraId="7466B190" w14:textId="77777777" w:rsidR="000B546C" w:rsidRPr="0020498A" w:rsidRDefault="000B546C" w:rsidP="0020498A">
      <w:pPr>
        <w:rPr>
          <w:rFonts w:ascii="Arial" w:eastAsia="Times New Roman" w:hAnsi="Arial" w:cs="Arial"/>
          <w:sz w:val="20"/>
          <w:szCs w:val="20"/>
        </w:rPr>
      </w:pPr>
    </w:p>
    <w:sectPr w:rsidR="000B546C" w:rsidRPr="0020498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DFA23" w14:textId="77777777" w:rsidR="002D2343" w:rsidRDefault="002D2343" w:rsidP="00882AFE">
      <w:pPr>
        <w:spacing w:after="0" w:line="240" w:lineRule="auto"/>
      </w:pPr>
      <w:r>
        <w:separator/>
      </w:r>
    </w:p>
  </w:endnote>
  <w:endnote w:type="continuationSeparator" w:id="0">
    <w:p w14:paraId="2F1284E7" w14:textId="77777777" w:rsidR="002D2343" w:rsidRDefault="002D2343" w:rsidP="00882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A9854" w14:textId="77777777" w:rsidR="00882AFE" w:rsidRDefault="00882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B25A7" w14:textId="77777777" w:rsidR="00882AFE" w:rsidRDefault="00882A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F9924" w14:textId="77777777" w:rsidR="00882AFE" w:rsidRDefault="00882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A5748" w14:textId="77777777" w:rsidR="002D2343" w:rsidRDefault="002D2343" w:rsidP="00882AFE">
      <w:pPr>
        <w:spacing w:after="0" w:line="240" w:lineRule="auto"/>
      </w:pPr>
      <w:r>
        <w:separator/>
      </w:r>
    </w:p>
  </w:footnote>
  <w:footnote w:type="continuationSeparator" w:id="0">
    <w:p w14:paraId="349B208A" w14:textId="77777777" w:rsidR="002D2343" w:rsidRDefault="002D2343" w:rsidP="00882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3D846" w14:textId="112610C8" w:rsidR="00882AFE" w:rsidRDefault="00882AFE">
    <w:pPr>
      <w:pStyle w:val="Header"/>
    </w:pPr>
    <w:r>
      <w:rPr>
        <w:noProof/>
      </w:rPr>
      <w:pict w14:anchorId="6338B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81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3DF8B" w14:textId="5FD62765" w:rsidR="00882AFE" w:rsidRDefault="00882AFE">
    <w:pPr>
      <w:pStyle w:val="Header"/>
    </w:pPr>
    <w:r>
      <w:rPr>
        <w:noProof/>
      </w:rPr>
      <w:pict w14:anchorId="121F8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81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11664" w14:textId="1EB5FBCF" w:rsidR="00882AFE" w:rsidRDefault="00882AFE">
    <w:pPr>
      <w:pStyle w:val="Header"/>
    </w:pPr>
    <w:r>
      <w:rPr>
        <w:noProof/>
      </w:rPr>
      <w:pict w14:anchorId="42179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81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17FA9"/>
    <w:multiLevelType w:val="multilevel"/>
    <w:tmpl w:val="ADE0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422B9"/>
    <w:multiLevelType w:val="multilevel"/>
    <w:tmpl w:val="B578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C1F8E"/>
    <w:multiLevelType w:val="multilevel"/>
    <w:tmpl w:val="5F246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7786C"/>
    <w:multiLevelType w:val="multilevel"/>
    <w:tmpl w:val="2BFA6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E84AF6"/>
    <w:multiLevelType w:val="multilevel"/>
    <w:tmpl w:val="ECF4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AA43DC"/>
    <w:multiLevelType w:val="multilevel"/>
    <w:tmpl w:val="0828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DE4B45"/>
    <w:multiLevelType w:val="multilevel"/>
    <w:tmpl w:val="C846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44C1B"/>
    <w:multiLevelType w:val="multilevel"/>
    <w:tmpl w:val="C92E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872A09"/>
    <w:multiLevelType w:val="multilevel"/>
    <w:tmpl w:val="AE66F7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F10CBF"/>
    <w:multiLevelType w:val="multilevel"/>
    <w:tmpl w:val="7B38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70688C"/>
    <w:multiLevelType w:val="multilevel"/>
    <w:tmpl w:val="0286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C75E71"/>
    <w:multiLevelType w:val="multilevel"/>
    <w:tmpl w:val="BA1C5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A978CB"/>
    <w:multiLevelType w:val="multilevel"/>
    <w:tmpl w:val="9AD6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9277C5"/>
    <w:multiLevelType w:val="multilevel"/>
    <w:tmpl w:val="3258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EC48A2"/>
    <w:multiLevelType w:val="multilevel"/>
    <w:tmpl w:val="4596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830467"/>
    <w:multiLevelType w:val="multilevel"/>
    <w:tmpl w:val="41C8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5C4CF1"/>
    <w:multiLevelType w:val="multilevel"/>
    <w:tmpl w:val="19AA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A377A5"/>
    <w:multiLevelType w:val="multilevel"/>
    <w:tmpl w:val="833A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C767B4"/>
    <w:multiLevelType w:val="multilevel"/>
    <w:tmpl w:val="8012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B1282E"/>
    <w:multiLevelType w:val="multilevel"/>
    <w:tmpl w:val="2940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476B84"/>
    <w:multiLevelType w:val="multilevel"/>
    <w:tmpl w:val="076E8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151FC3"/>
    <w:multiLevelType w:val="multilevel"/>
    <w:tmpl w:val="81F65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0B4E00"/>
    <w:multiLevelType w:val="multilevel"/>
    <w:tmpl w:val="1688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1"/>
  </w:num>
  <w:num w:numId="3">
    <w:abstractNumId w:val="22"/>
  </w:num>
  <w:num w:numId="4">
    <w:abstractNumId w:val="2"/>
  </w:num>
  <w:num w:numId="5">
    <w:abstractNumId w:val="4"/>
  </w:num>
  <w:num w:numId="6">
    <w:abstractNumId w:val="9"/>
  </w:num>
  <w:num w:numId="7">
    <w:abstractNumId w:val="13"/>
  </w:num>
  <w:num w:numId="8">
    <w:abstractNumId w:val="7"/>
  </w:num>
  <w:num w:numId="9">
    <w:abstractNumId w:val="1"/>
  </w:num>
  <w:num w:numId="10">
    <w:abstractNumId w:val="19"/>
  </w:num>
  <w:num w:numId="11">
    <w:abstractNumId w:val="15"/>
  </w:num>
  <w:num w:numId="12">
    <w:abstractNumId w:val="5"/>
  </w:num>
  <w:num w:numId="13">
    <w:abstractNumId w:val="10"/>
  </w:num>
  <w:num w:numId="14">
    <w:abstractNumId w:val="14"/>
  </w:num>
  <w:num w:numId="15">
    <w:abstractNumId w:val="8"/>
  </w:num>
  <w:num w:numId="16">
    <w:abstractNumId w:val="12"/>
  </w:num>
  <w:num w:numId="17">
    <w:abstractNumId w:val="0"/>
  </w:num>
  <w:num w:numId="18">
    <w:abstractNumId w:val="16"/>
  </w:num>
  <w:num w:numId="19">
    <w:abstractNumId w:val="17"/>
  </w:num>
  <w:num w:numId="20">
    <w:abstractNumId w:val="20"/>
  </w:num>
  <w:num w:numId="21">
    <w:abstractNumId w:val="3"/>
  </w:num>
  <w:num w:numId="22">
    <w:abstractNumId w:val="6"/>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676EA"/>
    <w:rsid w:val="0003172F"/>
    <w:rsid w:val="000B546C"/>
    <w:rsid w:val="00113B14"/>
    <w:rsid w:val="001D1C9C"/>
    <w:rsid w:val="0020498A"/>
    <w:rsid w:val="00240A83"/>
    <w:rsid w:val="002D2343"/>
    <w:rsid w:val="002D4D64"/>
    <w:rsid w:val="002F3F80"/>
    <w:rsid w:val="003D292F"/>
    <w:rsid w:val="0040292D"/>
    <w:rsid w:val="005151C5"/>
    <w:rsid w:val="005343D5"/>
    <w:rsid w:val="0066682C"/>
    <w:rsid w:val="00730926"/>
    <w:rsid w:val="007362B4"/>
    <w:rsid w:val="007623D6"/>
    <w:rsid w:val="007B715F"/>
    <w:rsid w:val="008135F4"/>
    <w:rsid w:val="00882AFE"/>
    <w:rsid w:val="009C6131"/>
    <w:rsid w:val="00A676EA"/>
    <w:rsid w:val="00A8279E"/>
    <w:rsid w:val="00B756D6"/>
    <w:rsid w:val="00CF4C5B"/>
    <w:rsid w:val="00D36111"/>
    <w:rsid w:val="00D44222"/>
    <w:rsid w:val="00E46761"/>
    <w:rsid w:val="00ED29F1"/>
    <w:rsid w:val="00FB4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18CC01"/>
  <w15:docId w15:val="{EA4E6B41-3481-41B9-8F82-7AACAF203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676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676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676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6E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676E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676E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676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76EA"/>
    <w:rPr>
      <w:b/>
      <w:bCs/>
    </w:rPr>
  </w:style>
  <w:style w:type="table" w:styleId="TableGrid">
    <w:name w:val="Table Grid"/>
    <w:basedOn w:val="TableNormal"/>
    <w:uiPriority w:val="59"/>
    <w:rsid w:val="006668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B715F"/>
    <w:rPr>
      <w:color w:val="0000FF" w:themeColor="hyperlink"/>
      <w:u w:val="single"/>
    </w:rPr>
  </w:style>
  <w:style w:type="character" w:styleId="UnresolvedMention">
    <w:name w:val="Unresolved Mention"/>
    <w:basedOn w:val="DefaultParagraphFont"/>
    <w:uiPriority w:val="99"/>
    <w:semiHidden/>
    <w:unhideWhenUsed/>
    <w:rsid w:val="007B715F"/>
    <w:rPr>
      <w:color w:val="605E5C"/>
      <w:shd w:val="clear" w:color="auto" w:fill="E1DFDD"/>
    </w:rPr>
  </w:style>
  <w:style w:type="paragraph" w:styleId="ListParagraph">
    <w:name w:val="List Paragraph"/>
    <w:basedOn w:val="Normal"/>
    <w:uiPriority w:val="34"/>
    <w:qFormat/>
    <w:rsid w:val="007B715F"/>
    <w:pPr>
      <w:ind w:left="720"/>
      <w:contextualSpacing/>
    </w:pPr>
  </w:style>
  <w:style w:type="paragraph" w:styleId="Header">
    <w:name w:val="header"/>
    <w:basedOn w:val="Normal"/>
    <w:link w:val="HeaderChar"/>
    <w:uiPriority w:val="99"/>
    <w:unhideWhenUsed/>
    <w:rsid w:val="00882A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AFE"/>
  </w:style>
  <w:style w:type="paragraph" w:styleId="Footer">
    <w:name w:val="footer"/>
    <w:basedOn w:val="Normal"/>
    <w:link w:val="FooterChar"/>
    <w:uiPriority w:val="99"/>
    <w:unhideWhenUsed/>
    <w:rsid w:val="00882A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532019">
      <w:bodyDiv w:val="1"/>
      <w:marLeft w:val="0"/>
      <w:marRight w:val="0"/>
      <w:marTop w:val="0"/>
      <w:marBottom w:val="0"/>
      <w:divBdr>
        <w:top w:val="none" w:sz="0" w:space="0" w:color="auto"/>
        <w:left w:val="none" w:sz="0" w:space="0" w:color="auto"/>
        <w:bottom w:val="none" w:sz="0" w:space="0" w:color="auto"/>
        <w:right w:val="none" w:sz="0" w:space="0" w:color="auto"/>
      </w:divBdr>
      <w:divsChild>
        <w:div w:id="2017270430">
          <w:marLeft w:val="0"/>
          <w:marRight w:val="0"/>
          <w:marTop w:val="0"/>
          <w:marBottom w:val="0"/>
          <w:divBdr>
            <w:top w:val="none" w:sz="0" w:space="0" w:color="auto"/>
            <w:left w:val="none" w:sz="0" w:space="0" w:color="auto"/>
            <w:bottom w:val="none" w:sz="0" w:space="0" w:color="auto"/>
            <w:right w:val="none" w:sz="0" w:space="0" w:color="auto"/>
          </w:divBdr>
          <w:divsChild>
            <w:div w:id="1436629559">
              <w:marLeft w:val="0"/>
              <w:marRight w:val="0"/>
              <w:marTop w:val="0"/>
              <w:marBottom w:val="0"/>
              <w:divBdr>
                <w:top w:val="none" w:sz="0" w:space="0" w:color="auto"/>
                <w:left w:val="none" w:sz="0" w:space="0" w:color="auto"/>
                <w:bottom w:val="none" w:sz="0" w:space="0" w:color="auto"/>
                <w:right w:val="none" w:sz="0" w:space="0" w:color="auto"/>
              </w:divBdr>
              <w:divsChild>
                <w:div w:id="267738277">
                  <w:marLeft w:val="0"/>
                  <w:marRight w:val="0"/>
                  <w:marTop w:val="0"/>
                  <w:marBottom w:val="0"/>
                  <w:divBdr>
                    <w:top w:val="none" w:sz="0" w:space="0" w:color="auto"/>
                    <w:left w:val="none" w:sz="0" w:space="0" w:color="auto"/>
                    <w:bottom w:val="none" w:sz="0" w:space="0" w:color="auto"/>
                    <w:right w:val="none" w:sz="0" w:space="0" w:color="auto"/>
                  </w:divBdr>
                  <w:divsChild>
                    <w:div w:id="1617518095">
                      <w:marLeft w:val="0"/>
                      <w:marRight w:val="0"/>
                      <w:marTop w:val="0"/>
                      <w:marBottom w:val="0"/>
                      <w:divBdr>
                        <w:top w:val="none" w:sz="0" w:space="0" w:color="auto"/>
                        <w:left w:val="none" w:sz="0" w:space="0" w:color="auto"/>
                        <w:bottom w:val="none" w:sz="0" w:space="0" w:color="auto"/>
                        <w:right w:val="none" w:sz="0" w:space="0" w:color="auto"/>
                      </w:divBdr>
                      <w:divsChild>
                        <w:div w:id="1400442897">
                          <w:marLeft w:val="0"/>
                          <w:marRight w:val="0"/>
                          <w:marTop w:val="0"/>
                          <w:marBottom w:val="0"/>
                          <w:divBdr>
                            <w:top w:val="none" w:sz="0" w:space="0" w:color="auto"/>
                            <w:left w:val="none" w:sz="0" w:space="0" w:color="auto"/>
                            <w:bottom w:val="none" w:sz="0" w:space="0" w:color="auto"/>
                            <w:right w:val="none" w:sz="0" w:space="0" w:color="auto"/>
                          </w:divBdr>
                          <w:divsChild>
                            <w:div w:id="1232543274">
                              <w:marLeft w:val="0"/>
                              <w:marRight w:val="0"/>
                              <w:marTop w:val="0"/>
                              <w:marBottom w:val="0"/>
                              <w:divBdr>
                                <w:top w:val="none" w:sz="0" w:space="0" w:color="auto"/>
                                <w:left w:val="none" w:sz="0" w:space="0" w:color="auto"/>
                                <w:bottom w:val="none" w:sz="0" w:space="0" w:color="auto"/>
                                <w:right w:val="none" w:sz="0" w:space="0" w:color="auto"/>
                              </w:divBdr>
                              <w:divsChild>
                                <w:div w:id="205981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606367">
      <w:bodyDiv w:val="1"/>
      <w:marLeft w:val="0"/>
      <w:marRight w:val="0"/>
      <w:marTop w:val="0"/>
      <w:marBottom w:val="0"/>
      <w:divBdr>
        <w:top w:val="none" w:sz="0" w:space="0" w:color="auto"/>
        <w:left w:val="none" w:sz="0" w:space="0" w:color="auto"/>
        <w:bottom w:val="none" w:sz="0" w:space="0" w:color="auto"/>
        <w:right w:val="none" w:sz="0" w:space="0" w:color="auto"/>
      </w:divBdr>
    </w:div>
    <w:div w:id="667097533">
      <w:bodyDiv w:val="1"/>
      <w:marLeft w:val="0"/>
      <w:marRight w:val="0"/>
      <w:marTop w:val="0"/>
      <w:marBottom w:val="0"/>
      <w:divBdr>
        <w:top w:val="none" w:sz="0" w:space="0" w:color="auto"/>
        <w:left w:val="none" w:sz="0" w:space="0" w:color="auto"/>
        <w:bottom w:val="none" w:sz="0" w:space="0" w:color="auto"/>
        <w:right w:val="none" w:sz="0" w:space="0" w:color="auto"/>
      </w:divBdr>
    </w:div>
    <w:div w:id="1256287894">
      <w:bodyDiv w:val="1"/>
      <w:marLeft w:val="0"/>
      <w:marRight w:val="0"/>
      <w:marTop w:val="0"/>
      <w:marBottom w:val="0"/>
      <w:divBdr>
        <w:top w:val="none" w:sz="0" w:space="0" w:color="auto"/>
        <w:left w:val="none" w:sz="0" w:space="0" w:color="auto"/>
        <w:bottom w:val="none" w:sz="0" w:space="0" w:color="auto"/>
        <w:right w:val="none" w:sz="0" w:space="0" w:color="auto"/>
      </w:divBdr>
      <w:divsChild>
        <w:div w:id="136071979">
          <w:marLeft w:val="0"/>
          <w:marRight w:val="0"/>
          <w:marTop w:val="0"/>
          <w:marBottom w:val="0"/>
          <w:divBdr>
            <w:top w:val="none" w:sz="0" w:space="0" w:color="auto"/>
            <w:left w:val="none" w:sz="0" w:space="0" w:color="auto"/>
            <w:bottom w:val="none" w:sz="0" w:space="0" w:color="auto"/>
            <w:right w:val="none" w:sz="0" w:space="0" w:color="auto"/>
          </w:divBdr>
          <w:divsChild>
            <w:div w:id="1678650311">
              <w:marLeft w:val="0"/>
              <w:marRight w:val="0"/>
              <w:marTop w:val="0"/>
              <w:marBottom w:val="0"/>
              <w:divBdr>
                <w:top w:val="none" w:sz="0" w:space="0" w:color="auto"/>
                <w:left w:val="none" w:sz="0" w:space="0" w:color="auto"/>
                <w:bottom w:val="none" w:sz="0" w:space="0" w:color="auto"/>
                <w:right w:val="none" w:sz="0" w:space="0" w:color="auto"/>
              </w:divBdr>
              <w:divsChild>
                <w:div w:id="669530489">
                  <w:marLeft w:val="0"/>
                  <w:marRight w:val="0"/>
                  <w:marTop w:val="0"/>
                  <w:marBottom w:val="0"/>
                  <w:divBdr>
                    <w:top w:val="none" w:sz="0" w:space="0" w:color="auto"/>
                    <w:left w:val="none" w:sz="0" w:space="0" w:color="auto"/>
                    <w:bottom w:val="none" w:sz="0" w:space="0" w:color="auto"/>
                    <w:right w:val="none" w:sz="0" w:space="0" w:color="auto"/>
                  </w:divBdr>
                  <w:divsChild>
                    <w:div w:id="489636066">
                      <w:marLeft w:val="0"/>
                      <w:marRight w:val="0"/>
                      <w:marTop w:val="0"/>
                      <w:marBottom w:val="0"/>
                      <w:divBdr>
                        <w:top w:val="none" w:sz="0" w:space="0" w:color="auto"/>
                        <w:left w:val="none" w:sz="0" w:space="0" w:color="auto"/>
                        <w:bottom w:val="none" w:sz="0" w:space="0" w:color="auto"/>
                        <w:right w:val="none" w:sz="0" w:space="0" w:color="auto"/>
                      </w:divBdr>
                      <w:divsChild>
                        <w:div w:id="1072628303">
                          <w:marLeft w:val="0"/>
                          <w:marRight w:val="0"/>
                          <w:marTop w:val="0"/>
                          <w:marBottom w:val="0"/>
                          <w:divBdr>
                            <w:top w:val="none" w:sz="0" w:space="0" w:color="auto"/>
                            <w:left w:val="none" w:sz="0" w:space="0" w:color="auto"/>
                            <w:bottom w:val="none" w:sz="0" w:space="0" w:color="auto"/>
                            <w:right w:val="none" w:sz="0" w:space="0" w:color="auto"/>
                          </w:divBdr>
                          <w:divsChild>
                            <w:div w:id="1207062128">
                              <w:marLeft w:val="0"/>
                              <w:marRight w:val="0"/>
                              <w:marTop w:val="0"/>
                              <w:marBottom w:val="0"/>
                              <w:divBdr>
                                <w:top w:val="none" w:sz="0" w:space="0" w:color="auto"/>
                                <w:left w:val="none" w:sz="0" w:space="0" w:color="auto"/>
                                <w:bottom w:val="none" w:sz="0" w:space="0" w:color="auto"/>
                                <w:right w:val="none" w:sz="0" w:space="0" w:color="auto"/>
                              </w:divBdr>
                              <w:divsChild>
                                <w:div w:id="120698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9380022">
      <w:bodyDiv w:val="1"/>
      <w:marLeft w:val="0"/>
      <w:marRight w:val="0"/>
      <w:marTop w:val="0"/>
      <w:marBottom w:val="0"/>
      <w:divBdr>
        <w:top w:val="none" w:sz="0" w:space="0" w:color="auto"/>
        <w:left w:val="none" w:sz="0" w:space="0" w:color="auto"/>
        <w:bottom w:val="none" w:sz="0" w:space="0" w:color="auto"/>
        <w:right w:val="none" w:sz="0" w:space="0" w:color="auto"/>
      </w:divBdr>
      <w:divsChild>
        <w:div w:id="1711220691">
          <w:marLeft w:val="0"/>
          <w:marRight w:val="0"/>
          <w:marTop w:val="0"/>
          <w:marBottom w:val="0"/>
          <w:divBdr>
            <w:top w:val="none" w:sz="0" w:space="0" w:color="auto"/>
            <w:left w:val="none" w:sz="0" w:space="0" w:color="auto"/>
            <w:bottom w:val="none" w:sz="0" w:space="0" w:color="auto"/>
            <w:right w:val="none" w:sz="0" w:space="0" w:color="auto"/>
          </w:divBdr>
          <w:divsChild>
            <w:div w:id="329647290">
              <w:marLeft w:val="0"/>
              <w:marRight w:val="0"/>
              <w:marTop w:val="0"/>
              <w:marBottom w:val="0"/>
              <w:divBdr>
                <w:top w:val="none" w:sz="0" w:space="0" w:color="auto"/>
                <w:left w:val="none" w:sz="0" w:space="0" w:color="auto"/>
                <w:bottom w:val="none" w:sz="0" w:space="0" w:color="auto"/>
                <w:right w:val="none" w:sz="0" w:space="0" w:color="auto"/>
              </w:divBdr>
              <w:divsChild>
                <w:div w:id="1062099194">
                  <w:marLeft w:val="0"/>
                  <w:marRight w:val="0"/>
                  <w:marTop w:val="0"/>
                  <w:marBottom w:val="0"/>
                  <w:divBdr>
                    <w:top w:val="none" w:sz="0" w:space="0" w:color="auto"/>
                    <w:left w:val="none" w:sz="0" w:space="0" w:color="auto"/>
                    <w:bottom w:val="none" w:sz="0" w:space="0" w:color="auto"/>
                    <w:right w:val="none" w:sz="0" w:space="0" w:color="auto"/>
                  </w:divBdr>
                  <w:divsChild>
                    <w:div w:id="234170976">
                      <w:marLeft w:val="0"/>
                      <w:marRight w:val="0"/>
                      <w:marTop w:val="0"/>
                      <w:marBottom w:val="0"/>
                      <w:divBdr>
                        <w:top w:val="none" w:sz="0" w:space="0" w:color="auto"/>
                        <w:left w:val="none" w:sz="0" w:space="0" w:color="auto"/>
                        <w:bottom w:val="none" w:sz="0" w:space="0" w:color="auto"/>
                        <w:right w:val="none" w:sz="0" w:space="0" w:color="auto"/>
                      </w:divBdr>
                      <w:divsChild>
                        <w:div w:id="895505718">
                          <w:marLeft w:val="0"/>
                          <w:marRight w:val="0"/>
                          <w:marTop w:val="0"/>
                          <w:marBottom w:val="0"/>
                          <w:divBdr>
                            <w:top w:val="none" w:sz="0" w:space="0" w:color="auto"/>
                            <w:left w:val="none" w:sz="0" w:space="0" w:color="auto"/>
                            <w:bottom w:val="none" w:sz="0" w:space="0" w:color="auto"/>
                            <w:right w:val="none" w:sz="0" w:space="0" w:color="auto"/>
                          </w:divBdr>
                          <w:divsChild>
                            <w:div w:id="1716393563">
                              <w:marLeft w:val="0"/>
                              <w:marRight w:val="0"/>
                              <w:marTop w:val="0"/>
                              <w:marBottom w:val="0"/>
                              <w:divBdr>
                                <w:top w:val="none" w:sz="0" w:space="0" w:color="auto"/>
                                <w:left w:val="none" w:sz="0" w:space="0" w:color="auto"/>
                                <w:bottom w:val="none" w:sz="0" w:space="0" w:color="auto"/>
                                <w:right w:val="none" w:sz="0" w:space="0" w:color="auto"/>
                              </w:divBdr>
                              <w:divsChild>
                                <w:div w:id="15457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9766029">
      <w:bodyDiv w:val="1"/>
      <w:marLeft w:val="0"/>
      <w:marRight w:val="0"/>
      <w:marTop w:val="0"/>
      <w:marBottom w:val="0"/>
      <w:divBdr>
        <w:top w:val="none" w:sz="0" w:space="0" w:color="auto"/>
        <w:left w:val="none" w:sz="0" w:space="0" w:color="auto"/>
        <w:bottom w:val="none" w:sz="0" w:space="0" w:color="auto"/>
        <w:right w:val="none" w:sz="0" w:space="0" w:color="auto"/>
      </w:divBdr>
      <w:divsChild>
        <w:div w:id="1575579962">
          <w:marLeft w:val="0"/>
          <w:marRight w:val="0"/>
          <w:marTop w:val="0"/>
          <w:marBottom w:val="0"/>
          <w:divBdr>
            <w:top w:val="none" w:sz="0" w:space="0" w:color="auto"/>
            <w:left w:val="none" w:sz="0" w:space="0" w:color="auto"/>
            <w:bottom w:val="none" w:sz="0" w:space="0" w:color="auto"/>
            <w:right w:val="none" w:sz="0" w:space="0" w:color="auto"/>
          </w:divBdr>
          <w:divsChild>
            <w:div w:id="766998672">
              <w:marLeft w:val="0"/>
              <w:marRight w:val="0"/>
              <w:marTop w:val="0"/>
              <w:marBottom w:val="0"/>
              <w:divBdr>
                <w:top w:val="none" w:sz="0" w:space="0" w:color="auto"/>
                <w:left w:val="none" w:sz="0" w:space="0" w:color="auto"/>
                <w:bottom w:val="none" w:sz="0" w:space="0" w:color="auto"/>
                <w:right w:val="none" w:sz="0" w:space="0" w:color="auto"/>
              </w:divBdr>
              <w:divsChild>
                <w:div w:id="1883051114">
                  <w:marLeft w:val="0"/>
                  <w:marRight w:val="0"/>
                  <w:marTop w:val="0"/>
                  <w:marBottom w:val="0"/>
                  <w:divBdr>
                    <w:top w:val="none" w:sz="0" w:space="0" w:color="auto"/>
                    <w:left w:val="none" w:sz="0" w:space="0" w:color="auto"/>
                    <w:bottom w:val="none" w:sz="0" w:space="0" w:color="auto"/>
                    <w:right w:val="none" w:sz="0" w:space="0" w:color="auto"/>
                  </w:divBdr>
                  <w:divsChild>
                    <w:div w:id="179469807">
                      <w:marLeft w:val="0"/>
                      <w:marRight w:val="0"/>
                      <w:marTop w:val="0"/>
                      <w:marBottom w:val="0"/>
                      <w:divBdr>
                        <w:top w:val="none" w:sz="0" w:space="0" w:color="auto"/>
                        <w:left w:val="none" w:sz="0" w:space="0" w:color="auto"/>
                        <w:bottom w:val="none" w:sz="0" w:space="0" w:color="auto"/>
                        <w:right w:val="none" w:sz="0" w:space="0" w:color="auto"/>
                      </w:divBdr>
                      <w:divsChild>
                        <w:div w:id="1776484963">
                          <w:marLeft w:val="0"/>
                          <w:marRight w:val="0"/>
                          <w:marTop w:val="0"/>
                          <w:marBottom w:val="0"/>
                          <w:divBdr>
                            <w:top w:val="none" w:sz="0" w:space="0" w:color="auto"/>
                            <w:left w:val="none" w:sz="0" w:space="0" w:color="auto"/>
                            <w:bottom w:val="none" w:sz="0" w:space="0" w:color="auto"/>
                            <w:right w:val="none" w:sz="0" w:space="0" w:color="auto"/>
                          </w:divBdr>
                          <w:divsChild>
                            <w:div w:id="1585216810">
                              <w:marLeft w:val="0"/>
                              <w:marRight w:val="0"/>
                              <w:marTop w:val="0"/>
                              <w:marBottom w:val="0"/>
                              <w:divBdr>
                                <w:top w:val="none" w:sz="0" w:space="0" w:color="auto"/>
                                <w:left w:val="none" w:sz="0" w:space="0" w:color="auto"/>
                                <w:bottom w:val="none" w:sz="0" w:space="0" w:color="auto"/>
                                <w:right w:val="none" w:sz="0" w:space="0" w:color="auto"/>
                              </w:divBdr>
                              <w:divsChild>
                                <w:div w:id="21100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804703">
      <w:bodyDiv w:val="1"/>
      <w:marLeft w:val="0"/>
      <w:marRight w:val="0"/>
      <w:marTop w:val="0"/>
      <w:marBottom w:val="0"/>
      <w:divBdr>
        <w:top w:val="none" w:sz="0" w:space="0" w:color="auto"/>
        <w:left w:val="none" w:sz="0" w:space="0" w:color="auto"/>
        <w:bottom w:val="none" w:sz="0" w:space="0" w:color="auto"/>
        <w:right w:val="none" w:sz="0" w:space="0" w:color="auto"/>
      </w:divBdr>
    </w:div>
    <w:div w:id="1908832763">
      <w:bodyDiv w:val="1"/>
      <w:marLeft w:val="0"/>
      <w:marRight w:val="0"/>
      <w:marTop w:val="0"/>
      <w:marBottom w:val="0"/>
      <w:divBdr>
        <w:top w:val="none" w:sz="0" w:space="0" w:color="auto"/>
        <w:left w:val="none" w:sz="0" w:space="0" w:color="auto"/>
        <w:bottom w:val="none" w:sz="0" w:space="0" w:color="auto"/>
        <w:right w:val="none" w:sz="0" w:space="0" w:color="auto"/>
      </w:divBdr>
      <w:divsChild>
        <w:div w:id="1416972252">
          <w:marLeft w:val="0"/>
          <w:marRight w:val="0"/>
          <w:marTop w:val="0"/>
          <w:marBottom w:val="0"/>
          <w:divBdr>
            <w:top w:val="none" w:sz="0" w:space="0" w:color="auto"/>
            <w:left w:val="none" w:sz="0" w:space="0" w:color="auto"/>
            <w:bottom w:val="none" w:sz="0" w:space="0" w:color="auto"/>
            <w:right w:val="none" w:sz="0" w:space="0" w:color="auto"/>
          </w:divBdr>
          <w:divsChild>
            <w:div w:id="1543057103">
              <w:marLeft w:val="0"/>
              <w:marRight w:val="0"/>
              <w:marTop w:val="0"/>
              <w:marBottom w:val="0"/>
              <w:divBdr>
                <w:top w:val="none" w:sz="0" w:space="0" w:color="auto"/>
                <w:left w:val="none" w:sz="0" w:space="0" w:color="auto"/>
                <w:bottom w:val="none" w:sz="0" w:space="0" w:color="auto"/>
                <w:right w:val="none" w:sz="0" w:space="0" w:color="auto"/>
              </w:divBdr>
              <w:divsChild>
                <w:div w:id="1355619846">
                  <w:marLeft w:val="0"/>
                  <w:marRight w:val="0"/>
                  <w:marTop w:val="0"/>
                  <w:marBottom w:val="0"/>
                  <w:divBdr>
                    <w:top w:val="none" w:sz="0" w:space="0" w:color="auto"/>
                    <w:left w:val="none" w:sz="0" w:space="0" w:color="auto"/>
                    <w:bottom w:val="none" w:sz="0" w:space="0" w:color="auto"/>
                    <w:right w:val="none" w:sz="0" w:space="0" w:color="auto"/>
                  </w:divBdr>
                  <w:divsChild>
                    <w:div w:id="1178078448">
                      <w:marLeft w:val="0"/>
                      <w:marRight w:val="0"/>
                      <w:marTop w:val="0"/>
                      <w:marBottom w:val="0"/>
                      <w:divBdr>
                        <w:top w:val="none" w:sz="0" w:space="0" w:color="auto"/>
                        <w:left w:val="none" w:sz="0" w:space="0" w:color="auto"/>
                        <w:bottom w:val="none" w:sz="0" w:space="0" w:color="auto"/>
                        <w:right w:val="none" w:sz="0" w:space="0" w:color="auto"/>
                      </w:divBdr>
                      <w:divsChild>
                        <w:div w:id="1192721028">
                          <w:marLeft w:val="0"/>
                          <w:marRight w:val="0"/>
                          <w:marTop w:val="0"/>
                          <w:marBottom w:val="0"/>
                          <w:divBdr>
                            <w:top w:val="none" w:sz="0" w:space="0" w:color="auto"/>
                            <w:left w:val="none" w:sz="0" w:space="0" w:color="auto"/>
                            <w:bottom w:val="none" w:sz="0" w:space="0" w:color="auto"/>
                            <w:right w:val="none" w:sz="0" w:space="0" w:color="auto"/>
                          </w:divBdr>
                          <w:divsChild>
                            <w:div w:id="936911322">
                              <w:marLeft w:val="0"/>
                              <w:marRight w:val="0"/>
                              <w:marTop w:val="0"/>
                              <w:marBottom w:val="0"/>
                              <w:divBdr>
                                <w:top w:val="none" w:sz="0" w:space="0" w:color="auto"/>
                                <w:left w:val="none" w:sz="0" w:space="0" w:color="auto"/>
                                <w:bottom w:val="none" w:sz="0" w:space="0" w:color="auto"/>
                                <w:right w:val="none" w:sz="0" w:space="0" w:color="auto"/>
                              </w:divBdr>
                              <w:divsChild>
                                <w:div w:id="123732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074764">
      <w:bodyDiv w:val="1"/>
      <w:marLeft w:val="0"/>
      <w:marRight w:val="0"/>
      <w:marTop w:val="0"/>
      <w:marBottom w:val="0"/>
      <w:divBdr>
        <w:top w:val="none" w:sz="0" w:space="0" w:color="auto"/>
        <w:left w:val="none" w:sz="0" w:space="0" w:color="auto"/>
        <w:bottom w:val="none" w:sz="0" w:space="0" w:color="auto"/>
        <w:right w:val="none" w:sz="0" w:space="0" w:color="auto"/>
      </w:divBdr>
      <w:divsChild>
        <w:div w:id="1179782582">
          <w:marLeft w:val="0"/>
          <w:marRight w:val="0"/>
          <w:marTop w:val="0"/>
          <w:marBottom w:val="0"/>
          <w:divBdr>
            <w:top w:val="none" w:sz="0" w:space="0" w:color="auto"/>
            <w:left w:val="none" w:sz="0" w:space="0" w:color="auto"/>
            <w:bottom w:val="none" w:sz="0" w:space="0" w:color="auto"/>
            <w:right w:val="none" w:sz="0" w:space="0" w:color="auto"/>
          </w:divBdr>
          <w:divsChild>
            <w:div w:id="1400051422">
              <w:marLeft w:val="0"/>
              <w:marRight w:val="0"/>
              <w:marTop w:val="0"/>
              <w:marBottom w:val="0"/>
              <w:divBdr>
                <w:top w:val="none" w:sz="0" w:space="0" w:color="auto"/>
                <w:left w:val="none" w:sz="0" w:space="0" w:color="auto"/>
                <w:bottom w:val="none" w:sz="0" w:space="0" w:color="auto"/>
                <w:right w:val="none" w:sz="0" w:space="0" w:color="auto"/>
              </w:divBdr>
              <w:divsChild>
                <w:div w:id="118845120">
                  <w:marLeft w:val="0"/>
                  <w:marRight w:val="0"/>
                  <w:marTop w:val="0"/>
                  <w:marBottom w:val="0"/>
                  <w:divBdr>
                    <w:top w:val="none" w:sz="0" w:space="0" w:color="auto"/>
                    <w:left w:val="none" w:sz="0" w:space="0" w:color="auto"/>
                    <w:bottom w:val="none" w:sz="0" w:space="0" w:color="auto"/>
                    <w:right w:val="none" w:sz="0" w:space="0" w:color="auto"/>
                  </w:divBdr>
                  <w:divsChild>
                    <w:div w:id="865947770">
                      <w:marLeft w:val="0"/>
                      <w:marRight w:val="0"/>
                      <w:marTop w:val="0"/>
                      <w:marBottom w:val="0"/>
                      <w:divBdr>
                        <w:top w:val="none" w:sz="0" w:space="0" w:color="auto"/>
                        <w:left w:val="none" w:sz="0" w:space="0" w:color="auto"/>
                        <w:bottom w:val="none" w:sz="0" w:space="0" w:color="auto"/>
                        <w:right w:val="none" w:sz="0" w:space="0" w:color="auto"/>
                      </w:divBdr>
                      <w:divsChild>
                        <w:div w:id="815144253">
                          <w:marLeft w:val="0"/>
                          <w:marRight w:val="0"/>
                          <w:marTop w:val="0"/>
                          <w:marBottom w:val="0"/>
                          <w:divBdr>
                            <w:top w:val="none" w:sz="0" w:space="0" w:color="auto"/>
                            <w:left w:val="none" w:sz="0" w:space="0" w:color="auto"/>
                            <w:bottom w:val="none" w:sz="0" w:space="0" w:color="auto"/>
                            <w:right w:val="none" w:sz="0" w:space="0" w:color="auto"/>
                          </w:divBdr>
                          <w:divsChild>
                            <w:div w:id="1169441991">
                              <w:marLeft w:val="0"/>
                              <w:marRight w:val="0"/>
                              <w:marTop w:val="0"/>
                              <w:marBottom w:val="0"/>
                              <w:divBdr>
                                <w:top w:val="none" w:sz="0" w:space="0" w:color="auto"/>
                                <w:left w:val="none" w:sz="0" w:space="0" w:color="auto"/>
                                <w:bottom w:val="none" w:sz="0" w:space="0" w:color="auto"/>
                                <w:right w:val="none" w:sz="0" w:space="0" w:color="auto"/>
                              </w:divBdr>
                              <w:divsChild>
                                <w:div w:id="181536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422943">
      <w:bodyDiv w:val="1"/>
      <w:marLeft w:val="0"/>
      <w:marRight w:val="0"/>
      <w:marTop w:val="0"/>
      <w:marBottom w:val="0"/>
      <w:divBdr>
        <w:top w:val="none" w:sz="0" w:space="0" w:color="auto"/>
        <w:left w:val="none" w:sz="0" w:space="0" w:color="auto"/>
        <w:bottom w:val="none" w:sz="0" w:space="0" w:color="auto"/>
        <w:right w:val="none" w:sz="0" w:space="0" w:color="auto"/>
      </w:divBdr>
      <w:divsChild>
        <w:div w:id="1985816929">
          <w:marLeft w:val="0"/>
          <w:marRight w:val="0"/>
          <w:marTop w:val="0"/>
          <w:marBottom w:val="0"/>
          <w:divBdr>
            <w:top w:val="none" w:sz="0" w:space="0" w:color="auto"/>
            <w:left w:val="none" w:sz="0" w:space="0" w:color="auto"/>
            <w:bottom w:val="none" w:sz="0" w:space="0" w:color="auto"/>
            <w:right w:val="none" w:sz="0" w:space="0" w:color="auto"/>
          </w:divBdr>
          <w:divsChild>
            <w:div w:id="291057757">
              <w:marLeft w:val="0"/>
              <w:marRight w:val="0"/>
              <w:marTop w:val="0"/>
              <w:marBottom w:val="0"/>
              <w:divBdr>
                <w:top w:val="none" w:sz="0" w:space="0" w:color="auto"/>
                <w:left w:val="none" w:sz="0" w:space="0" w:color="auto"/>
                <w:bottom w:val="none" w:sz="0" w:space="0" w:color="auto"/>
                <w:right w:val="none" w:sz="0" w:space="0" w:color="auto"/>
              </w:divBdr>
              <w:divsChild>
                <w:div w:id="1802916016">
                  <w:marLeft w:val="0"/>
                  <w:marRight w:val="0"/>
                  <w:marTop w:val="0"/>
                  <w:marBottom w:val="0"/>
                  <w:divBdr>
                    <w:top w:val="none" w:sz="0" w:space="0" w:color="auto"/>
                    <w:left w:val="none" w:sz="0" w:space="0" w:color="auto"/>
                    <w:bottom w:val="none" w:sz="0" w:space="0" w:color="auto"/>
                    <w:right w:val="none" w:sz="0" w:space="0" w:color="auto"/>
                  </w:divBdr>
                  <w:divsChild>
                    <w:div w:id="1630895542">
                      <w:marLeft w:val="0"/>
                      <w:marRight w:val="0"/>
                      <w:marTop w:val="0"/>
                      <w:marBottom w:val="0"/>
                      <w:divBdr>
                        <w:top w:val="none" w:sz="0" w:space="0" w:color="auto"/>
                        <w:left w:val="none" w:sz="0" w:space="0" w:color="auto"/>
                        <w:bottom w:val="none" w:sz="0" w:space="0" w:color="auto"/>
                        <w:right w:val="none" w:sz="0" w:space="0" w:color="auto"/>
                      </w:divBdr>
                      <w:divsChild>
                        <w:div w:id="848182439">
                          <w:marLeft w:val="0"/>
                          <w:marRight w:val="0"/>
                          <w:marTop w:val="0"/>
                          <w:marBottom w:val="0"/>
                          <w:divBdr>
                            <w:top w:val="none" w:sz="0" w:space="0" w:color="auto"/>
                            <w:left w:val="none" w:sz="0" w:space="0" w:color="auto"/>
                            <w:bottom w:val="none" w:sz="0" w:space="0" w:color="auto"/>
                            <w:right w:val="none" w:sz="0" w:space="0" w:color="auto"/>
                          </w:divBdr>
                          <w:divsChild>
                            <w:div w:id="2073039341">
                              <w:marLeft w:val="0"/>
                              <w:marRight w:val="0"/>
                              <w:marTop w:val="0"/>
                              <w:marBottom w:val="0"/>
                              <w:divBdr>
                                <w:top w:val="none" w:sz="0" w:space="0" w:color="auto"/>
                                <w:left w:val="none" w:sz="0" w:space="0" w:color="auto"/>
                                <w:bottom w:val="none" w:sz="0" w:space="0" w:color="auto"/>
                                <w:right w:val="none" w:sz="0" w:space="0" w:color="auto"/>
                              </w:divBdr>
                              <w:divsChild>
                                <w:div w:id="194572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3630</Words>
  <Characters>20696</Characters>
  <Application>Microsoft Office Word</Application>
  <DocSecurity>0</DocSecurity>
  <Lines>172</Lines>
  <Paragraphs>48</Paragraphs>
  <ScaleCrop>false</ScaleCrop>
  <Company/>
  <LinksUpToDate>false</LinksUpToDate>
  <CharactersWithSpaces>24278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ANBU</dc:creator>
  <cp:keywords/>
  <dc:description/>
  <cp:lastModifiedBy>SDI 1166</cp:lastModifiedBy>
  <cp:revision>29</cp:revision>
  <dcterms:created xsi:type="dcterms:W3CDTF">2026-04-08T09:55:00Z</dcterms:created>
  <dcterms:modified xsi:type="dcterms:W3CDTF">2026-04-09T08:47:00Z</dcterms:modified>
</cp:coreProperties>
</file>