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B5BE99" w14:textId="77777777" w:rsidR="00B50E8C" w:rsidRDefault="00B50E8C">
      <w:pPr>
        <w:pStyle w:val="Title"/>
        <w:spacing w:after="0"/>
        <w:jc w:val="both"/>
        <w:rPr>
          <w:rFonts w:ascii="Arial" w:eastAsia="Arial" w:hAnsi="Arial" w:cs="Arial"/>
        </w:rPr>
      </w:pPr>
    </w:p>
    <w:p w14:paraId="305DB2AC" w14:textId="77777777" w:rsidR="00B50E8C" w:rsidRDefault="00F37AE9">
      <w:pPr>
        <w:pBdr>
          <w:top w:val="nil"/>
          <w:left w:val="nil"/>
          <w:bottom w:val="nil"/>
          <w:right w:val="nil"/>
          <w:between w:val="nil"/>
        </w:pBdr>
        <w:jc w:val="right"/>
        <w:rPr>
          <w:rFonts w:ascii="Arial" w:eastAsia="Arial" w:hAnsi="Arial" w:cs="Arial"/>
          <w:b/>
          <w:bCs/>
          <w:sz w:val="36"/>
          <w:szCs w:val="36"/>
        </w:rPr>
      </w:pPr>
      <w:r>
        <w:rPr>
          <w:rFonts w:ascii="Arial" w:eastAsia="Arial" w:hAnsi="Arial" w:cs="Arial"/>
          <w:b/>
          <w:bCs/>
          <w:color w:val="000000"/>
          <w:sz w:val="36"/>
          <w:szCs w:val="36"/>
        </w:rPr>
        <w:t xml:space="preserve">Public Service Values as Antecedents of Public Service Motivation: </w:t>
      </w:r>
      <w:r>
        <w:rPr>
          <w:rFonts w:ascii="Arial" w:eastAsia="Arial" w:hAnsi="Arial" w:cs="Arial"/>
          <w:b/>
          <w:bCs/>
          <w:sz w:val="36"/>
          <w:szCs w:val="36"/>
        </w:rPr>
        <w:t xml:space="preserve">The Role of Mode of Entry in Philippine Local Government Units </w:t>
      </w:r>
    </w:p>
    <w:p w14:paraId="192A35B8" w14:textId="77777777" w:rsidR="00B50E8C" w:rsidRDefault="00B50E8C">
      <w:pPr>
        <w:pBdr>
          <w:top w:val="nil"/>
          <w:left w:val="nil"/>
          <w:bottom w:val="nil"/>
          <w:right w:val="nil"/>
          <w:between w:val="nil"/>
        </w:pBdr>
        <w:jc w:val="right"/>
        <w:rPr>
          <w:rFonts w:ascii="Arial" w:eastAsia="Arial" w:hAnsi="Arial" w:cs="Arial"/>
          <w:i/>
          <w:iCs/>
          <w:color w:val="000000"/>
          <w:sz w:val="22"/>
          <w:szCs w:val="22"/>
        </w:rPr>
      </w:pPr>
    </w:p>
    <w:p w14:paraId="035B9F86" w14:textId="77777777" w:rsidR="00B50E8C" w:rsidRDefault="00B50E8C">
      <w:pPr>
        <w:pBdr>
          <w:top w:val="nil"/>
          <w:left w:val="nil"/>
          <w:bottom w:val="nil"/>
          <w:right w:val="nil"/>
          <w:between w:val="nil"/>
        </w:pBdr>
        <w:jc w:val="both"/>
        <w:rPr>
          <w:rFonts w:ascii="Arial" w:eastAsia="Arial" w:hAnsi="Arial" w:cs="Arial"/>
          <w:color w:val="000000"/>
        </w:rPr>
      </w:pPr>
    </w:p>
    <w:p w14:paraId="6D039CB0" w14:textId="77777777" w:rsidR="00B50E8C" w:rsidRDefault="00B50E8C">
      <w:pPr>
        <w:pBdr>
          <w:top w:val="nil"/>
          <w:left w:val="nil"/>
          <w:bottom w:val="nil"/>
          <w:right w:val="nil"/>
          <w:between w:val="nil"/>
        </w:pBdr>
        <w:jc w:val="both"/>
        <w:rPr>
          <w:rFonts w:ascii="Arial" w:eastAsia="Arial" w:hAnsi="Arial" w:cs="Arial"/>
          <w:color w:val="000000"/>
        </w:rPr>
      </w:pPr>
    </w:p>
    <w:p w14:paraId="3E9EF0F1" w14:textId="77777777" w:rsidR="00B50E8C" w:rsidRDefault="00F37AE9">
      <w:pPr>
        <w:pBdr>
          <w:top w:val="nil"/>
          <w:left w:val="nil"/>
          <w:bottom w:val="nil"/>
          <w:right w:val="nil"/>
          <w:between w:val="nil"/>
        </w:pBdr>
        <w:jc w:val="both"/>
        <w:rPr>
          <w:rFonts w:ascii="Arial" w:eastAsia="Arial" w:hAnsi="Arial" w:cs="Arial"/>
          <w:color w:val="000000"/>
          <w:sz w:val="16"/>
          <w:szCs w:val="16"/>
        </w:rPr>
        <w:sectPr w:rsidR="00B50E8C" w:rsidSect="0081386F">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0" distR="0" wp14:anchorId="7133DA14" wp14:editId="6D422CE5">
                <wp:extent cx="635" cy="19050"/>
                <wp:effectExtent l="0" t="0" r="0" b="0"/>
                <wp:docPr id="1722552606" name="Straight Arrow Connector 1722552606"/>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635" cy="19050"/>
                <wp:effectExtent b="0" l="0" r="0" t="0"/>
                <wp:docPr id="1722552606"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14:paraId="728E21B1" w14:textId="77777777" w:rsidR="00B50E8C" w:rsidRDefault="00F37A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51AF82D4" w14:textId="77777777" w:rsidR="00B50E8C" w:rsidRDefault="00B50E8C">
      <w:pPr>
        <w:keepNext/>
        <w:pBdr>
          <w:top w:val="nil"/>
          <w:left w:val="nil"/>
          <w:bottom w:val="nil"/>
          <w:right w:val="nil"/>
          <w:between w:val="nil"/>
        </w:pBdr>
        <w:jc w:val="both"/>
        <w:rPr>
          <w:rFonts w:ascii="Arial" w:eastAsia="Arial" w:hAnsi="Arial" w:cs="Arial"/>
          <w:b/>
          <w:bCs/>
          <w:smallCaps/>
          <w:color w:val="000000"/>
          <w:sz w:val="22"/>
          <w:szCs w:val="22"/>
        </w:rPr>
      </w:pPr>
    </w:p>
    <w:tbl>
      <w:tblPr>
        <w:tblStyle w:val="a6"/>
        <w:tblW w:w="9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57"/>
      </w:tblGrid>
      <w:tr w:rsidR="00B50E8C" w14:paraId="4E8410E2" w14:textId="77777777">
        <w:tc>
          <w:tcPr>
            <w:tcW w:w="9257" w:type="dxa"/>
            <w:shd w:val="clear" w:color="auto" w:fill="F2F2F2"/>
          </w:tcPr>
          <w:p w14:paraId="553ADED9" w14:textId="77777777" w:rsidR="00B50E8C" w:rsidRDefault="00F37A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Public Service Motivation (PSM) theory posits that individuals are driven to public institutions by intrinsic, normative, and affective commitments to public interest. While substantial scholarship has examined the outcomes of PSM, less attention has been given to how institutionalized Public Service Values (PSV) function as antecedents of motivational orientation, particularly in decentralized governance systems characterized by diverse mode of entry, career and non-career service. This study investigates (1) </w:t>
            </w:r>
            <w:r>
              <w:rPr>
                <w:rFonts w:ascii="Arial" w:eastAsia="Arial" w:hAnsi="Arial" w:cs="Arial"/>
              </w:rPr>
              <w:t xml:space="preserve">the relationship between Public Service Values (PSV) and Public Service Motivation (PSM) (2) whether mode of entry influences value internalization, and (3) whether Public Service Motivation varies across employment mode of entry in Philippine Local Government Units (LGUs). </w:t>
            </w:r>
            <w:r>
              <w:rPr>
                <w:rFonts w:ascii="Arial" w:eastAsia="Arial" w:hAnsi="Arial" w:cs="Arial"/>
                <w:color w:val="000000"/>
              </w:rPr>
              <w:t>Using survey data from 353 employees, the study employs descriptive statistics, Pearson correlation, and one-way ANOVA. Findings reveal high levels of PSV (M = 3.74) and PSM (M = 3.60). A strong positive relationship was observed between PSV and PSM (r = .683, p &lt; .001), with PSV explaining 46.6% of the variance in motivational orientation. However, no statistically significant differences were found in PSV (</w:t>
            </w:r>
            <w:proofErr w:type="gramStart"/>
            <w:r>
              <w:rPr>
                <w:rFonts w:ascii="Arial" w:eastAsia="Arial" w:hAnsi="Arial" w:cs="Arial"/>
                <w:color w:val="000000"/>
              </w:rPr>
              <w:t>F(</w:t>
            </w:r>
            <w:proofErr w:type="gramEnd"/>
            <w:r>
              <w:rPr>
                <w:rFonts w:ascii="Arial" w:eastAsia="Arial" w:hAnsi="Arial" w:cs="Arial"/>
                <w:color w:val="000000"/>
              </w:rPr>
              <w:t>3,349) = 0.281, p = .839) or PSM (F(3,349) = 0.584, p = .626) across entry appointment categories. The results reinforce the theoretical proposition advanced by James L. Perry and Lois R. Wise that public service motivation is fundamentally value-driven rather than structurally determined. The study contributes to PSM literature by empirically positioning institutionalized values as central motivational antecedents within local governance contexts and offers policy implications for recruitment, training, and organizational culture development.</w:t>
            </w:r>
          </w:p>
        </w:tc>
      </w:tr>
    </w:tbl>
    <w:p w14:paraId="3B889714" w14:textId="77777777" w:rsidR="00B50E8C" w:rsidRDefault="00B50E8C">
      <w:pPr>
        <w:pBdr>
          <w:top w:val="nil"/>
          <w:left w:val="nil"/>
          <w:bottom w:val="nil"/>
          <w:right w:val="nil"/>
          <w:between w:val="nil"/>
        </w:pBdr>
        <w:jc w:val="both"/>
        <w:rPr>
          <w:rFonts w:ascii="Arial" w:eastAsia="Arial" w:hAnsi="Arial" w:cs="Arial"/>
          <w:i/>
          <w:iCs/>
          <w:color w:val="000000"/>
        </w:rPr>
      </w:pPr>
    </w:p>
    <w:p w14:paraId="0218A01A" w14:textId="77777777" w:rsidR="00B50E8C" w:rsidRDefault="00F37AE9">
      <w:pPr>
        <w:pBdr>
          <w:top w:val="nil"/>
          <w:left w:val="nil"/>
          <w:bottom w:val="nil"/>
          <w:right w:val="nil"/>
          <w:between w:val="nil"/>
        </w:pBdr>
        <w:jc w:val="both"/>
        <w:rPr>
          <w:rFonts w:ascii="Arial" w:eastAsia="Arial" w:hAnsi="Arial" w:cs="Arial"/>
          <w:b/>
          <w:bCs/>
          <w:i/>
          <w:iCs/>
          <w:color w:val="000000"/>
        </w:rPr>
      </w:pPr>
      <w:r>
        <w:rPr>
          <w:rFonts w:ascii="Arial" w:eastAsia="Arial" w:hAnsi="Arial" w:cs="Arial"/>
          <w:b/>
          <w:bCs/>
          <w:i/>
          <w:iCs/>
          <w:color w:val="000000"/>
        </w:rPr>
        <w:t>Keywords: public service values, public service motivation, local governance, entry appointment, organizational culture</w:t>
      </w:r>
    </w:p>
    <w:p w14:paraId="05C2C404" w14:textId="77777777" w:rsidR="00B50E8C" w:rsidRDefault="00F37AE9">
      <w:pPr>
        <w:keepNext/>
        <w:pBdr>
          <w:top w:val="nil"/>
          <w:left w:val="nil"/>
          <w:bottom w:val="nil"/>
          <w:right w:val="nil"/>
          <w:between w:val="nil"/>
        </w:pBdr>
        <w:jc w:val="both"/>
        <w:rPr>
          <w:rFonts w:ascii="Arial" w:eastAsia="Arial" w:hAnsi="Arial" w:cs="Arial"/>
          <w:i/>
          <w:iCs/>
        </w:rPr>
      </w:pPr>
      <w:r>
        <w:br w:type="page"/>
      </w:r>
    </w:p>
    <w:p w14:paraId="1BE67445" w14:textId="77777777" w:rsidR="00B50E8C" w:rsidRDefault="00F37A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 xml:space="preserve">1. INTRODUCTION </w:t>
      </w:r>
    </w:p>
    <w:p w14:paraId="730748FB" w14:textId="77777777" w:rsidR="00B50E8C" w:rsidRDefault="00B50E8C">
      <w:pPr>
        <w:keepNext/>
        <w:pBdr>
          <w:top w:val="nil"/>
          <w:left w:val="nil"/>
          <w:bottom w:val="nil"/>
          <w:right w:val="nil"/>
          <w:between w:val="nil"/>
        </w:pBdr>
        <w:jc w:val="both"/>
        <w:rPr>
          <w:rFonts w:ascii="Arial" w:eastAsia="Arial" w:hAnsi="Arial" w:cs="Arial"/>
          <w:b/>
          <w:bCs/>
          <w:smallCaps/>
          <w:color w:val="000000"/>
          <w:sz w:val="22"/>
          <w:szCs w:val="22"/>
        </w:rPr>
      </w:pPr>
    </w:p>
    <w:p w14:paraId="7987B28A"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constitutional mandate that the government exists to “serve and protect the people” establishes both a legal and moral foundation for public administration in the Philippines. Beyond statutory authority, public service is sustained by shared ethical commitments that guide conduct, decision-making, and institutional culture. These commitments are often articulated as Public Service Values (PSV), which reflect normative standards embedded in public institutions (Rosenbloom, 2020). In the Philippine bureaucracy, the Civil Service Commission (2020) identifies patriotism, integrity, excellence, and spirituality as foundational values expected of every public servant. These values provide an ethical compass, shaping how public officials understand their responsibilities and relate to citizens.</w:t>
      </w:r>
    </w:p>
    <w:p w14:paraId="65D94933" w14:textId="77777777" w:rsidR="00B50E8C" w:rsidRDefault="00B50E8C">
      <w:pPr>
        <w:pBdr>
          <w:top w:val="nil"/>
          <w:left w:val="nil"/>
          <w:bottom w:val="nil"/>
          <w:right w:val="nil"/>
          <w:between w:val="nil"/>
        </w:pBdr>
        <w:jc w:val="both"/>
        <w:rPr>
          <w:rFonts w:ascii="Arial" w:eastAsia="Arial" w:hAnsi="Arial" w:cs="Arial"/>
          <w:color w:val="000000"/>
        </w:rPr>
      </w:pPr>
    </w:p>
    <w:p w14:paraId="5BDA071D"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literature on public values suggests that values in public administration are not merely abstract ideals but institutional anchors that define the legitimacy of governance (Jørgensen &amp; Bozeman, 2007; Kernaghan, 2003). Values such as integrity and accountability are central to democratic governance (Cooper, 2019; Lewis &amp; Gilman, 2012), while patriotism reinforces commitment to national interest (Ocampo, 2019). Excellence, in turn, relates to professionalism and service quality (Bouckaert &amp; Van Dooren, 2009), and spirituality has been linked to ethical leadership and moral responsibility (Fry, 2003; Martinez &amp; De Leon, 2022). Together, these dimensions form a normative architecture that shapes public institutions and signals expected standards of conduct.</w:t>
      </w:r>
    </w:p>
    <w:p w14:paraId="564FB85A" w14:textId="77777777" w:rsidR="00B50E8C" w:rsidRDefault="00B50E8C">
      <w:pPr>
        <w:pBdr>
          <w:top w:val="nil"/>
          <w:left w:val="nil"/>
          <w:bottom w:val="nil"/>
          <w:right w:val="nil"/>
          <w:between w:val="nil"/>
        </w:pBdr>
        <w:jc w:val="both"/>
        <w:rPr>
          <w:rFonts w:ascii="Arial" w:eastAsia="Arial" w:hAnsi="Arial" w:cs="Arial"/>
          <w:color w:val="000000"/>
        </w:rPr>
      </w:pPr>
    </w:p>
    <w:p w14:paraId="4B604636"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However, public values gain practical significance only when internalized by individuals. Scholars have emphasized the distinction between espoused institutional values and enacted values in practice (</w:t>
      </w:r>
      <w:proofErr w:type="spellStart"/>
      <w:r>
        <w:rPr>
          <w:rFonts w:ascii="Arial" w:eastAsia="Arial" w:hAnsi="Arial" w:cs="Arial"/>
          <w:color w:val="000000"/>
        </w:rPr>
        <w:t>Capell</w:t>
      </w:r>
      <w:proofErr w:type="spellEnd"/>
      <w:r>
        <w:rPr>
          <w:rFonts w:ascii="Arial" w:eastAsia="Arial" w:hAnsi="Arial" w:cs="Arial"/>
          <w:color w:val="000000"/>
        </w:rPr>
        <w:t xml:space="preserve"> &amp; Gabel-</w:t>
      </w:r>
      <w:proofErr w:type="spellStart"/>
      <w:r>
        <w:rPr>
          <w:rFonts w:ascii="Arial" w:eastAsia="Arial" w:hAnsi="Arial" w:cs="Arial"/>
          <w:color w:val="000000"/>
        </w:rPr>
        <w:t>Shemueli</w:t>
      </w:r>
      <w:proofErr w:type="spellEnd"/>
      <w:r>
        <w:rPr>
          <w:rFonts w:ascii="Arial" w:eastAsia="Arial" w:hAnsi="Arial" w:cs="Arial"/>
          <w:color w:val="000000"/>
        </w:rPr>
        <w:t>, 2013). Ethical codes and value statements may exist formally, yet their influence depends on whether public servants internalize and embody them (Kernaghan, 2003). Ethical leadership, institutional climate, and professional socialization play crucial roles in translating formal values into lived administrative behavior (Lee et al., 2022; Wright &amp; Pandey, 2008).</w:t>
      </w:r>
    </w:p>
    <w:p w14:paraId="47726693" w14:textId="77777777" w:rsidR="00B50E8C" w:rsidRDefault="00B50E8C">
      <w:pPr>
        <w:pBdr>
          <w:top w:val="nil"/>
          <w:left w:val="nil"/>
          <w:bottom w:val="nil"/>
          <w:right w:val="nil"/>
          <w:between w:val="nil"/>
        </w:pBdr>
        <w:jc w:val="both"/>
        <w:rPr>
          <w:rFonts w:ascii="Arial" w:eastAsia="Arial" w:hAnsi="Arial" w:cs="Arial"/>
          <w:color w:val="000000"/>
        </w:rPr>
      </w:pPr>
    </w:p>
    <w:p w14:paraId="0AD5F0E5"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Parallel to the literature on public values is the well-established concept of Public Service Motivation (PSM). Originally articulated by Perry and Wise (1990), PSM refers to an individual’s predisposition to respond to motives grounded in public institutions and the public interest. It encompasses dimensions such as commitment to public values, compassion, civic duty, and self-sacrifice (Perry, 2010; Vandenabeele, 2008). Subsequent empirical research demonstrates that higher levels of PSM are associated with ethical behavior (Kim, 2009), job satisfaction (Ponce &amp; Lanuza, 2019), organizational commitment (Wright &amp; Pandey, 2008), and improved work evaluation (</w:t>
      </w:r>
      <w:proofErr w:type="spellStart"/>
      <w:r>
        <w:rPr>
          <w:rFonts w:ascii="Arial" w:eastAsia="Arial" w:hAnsi="Arial" w:cs="Arial"/>
          <w:color w:val="000000"/>
        </w:rPr>
        <w:t>Masukela</w:t>
      </w:r>
      <w:proofErr w:type="spellEnd"/>
      <w:r>
        <w:rPr>
          <w:rFonts w:ascii="Arial" w:eastAsia="Arial" w:hAnsi="Arial" w:cs="Arial"/>
          <w:color w:val="000000"/>
        </w:rPr>
        <w:t xml:space="preserve"> et al., 2023).</w:t>
      </w:r>
    </w:p>
    <w:p w14:paraId="4C872C5A" w14:textId="77777777" w:rsidR="00B50E8C" w:rsidRDefault="00B50E8C">
      <w:pPr>
        <w:pBdr>
          <w:top w:val="nil"/>
          <w:left w:val="nil"/>
          <w:bottom w:val="nil"/>
          <w:right w:val="nil"/>
          <w:between w:val="nil"/>
        </w:pBdr>
        <w:jc w:val="both"/>
        <w:rPr>
          <w:rFonts w:ascii="Arial" w:eastAsia="Arial" w:hAnsi="Arial" w:cs="Arial"/>
          <w:color w:val="000000"/>
        </w:rPr>
      </w:pPr>
    </w:p>
    <w:p w14:paraId="78BD4425"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theoretical linkage between PSV and PSM is conceptually compelling. While PSV represents institutional ideals, PSM captures the motivational expression of those ideals at the individual level. Demir, Reddick, and Nank (2015) found that public service values influence administrative engagement in policymaking, suggesting that values shape motivational orientation. Similarly, Aydın et al. (2022) demonstrated that public service motivation is closely related to work ethic attitudes among educators, reinforcing the connection between normative values and motivational outcomes. In the Philippine context, cultural values have been shown to shape PSM, reflecting how societal and institutional norms influence individual motivation (Cruz, 2017). Bureaucratic challenges, however, may weaken this connection when institutional realities undermine motivational drivers (Dela Cruz, 2018).</w:t>
      </w:r>
    </w:p>
    <w:p w14:paraId="0FEC3C46" w14:textId="77777777" w:rsidR="00B50E8C" w:rsidRDefault="00B50E8C">
      <w:pPr>
        <w:pBdr>
          <w:top w:val="nil"/>
          <w:left w:val="nil"/>
          <w:bottom w:val="nil"/>
          <w:right w:val="nil"/>
          <w:between w:val="nil"/>
        </w:pBdr>
        <w:jc w:val="both"/>
        <w:rPr>
          <w:rFonts w:ascii="Arial" w:eastAsia="Arial" w:hAnsi="Arial" w:cs="Arial"/>
          <w:color w:val="000000"/>
        </w:rPr>
      </w:pPr>
    </w:p>
    <w:p w14:paraId="74D11494"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Beyond individual motivation, contemporary public administration emphasizes public value creation as the ultimate goal of governance (Denhardt &amp; Denhardt, 2011; Kinder &amp; Stenvall, 2021). Public value theory argues that institutions generate legitimacy when they align </w:t>
      </w:r>
      <w:r>
        <w:rPr>
          <w:rFonts w:ascii="Arial" w:eastAsia="Arial" w:hAnsi="Arial" w:cs="Arial"/>
          <w:color w:val="000000"/>
        </w:rPr>
        <w:lastRenderedPageBreak/>
        <w:t>organizational performance with citizen expectations (Try, 2008). Trust in government, ethical conduct, and service innovation contribute to public value outcomes (</w:t>
      </w:r>
      <w:proofErr w:type="spellStart"/>
      <w:r>
        <w:rPr>
          <w:rFonts w:ascii="Arial" w:eastAsia="Arial" w:hAnsi="Arial" w:cs="Arial"/>
          <w:color w:val="000000"/>
        </w:rPr>
        <w:t>Abdulkareem</w:t>
      </w:r>
      <w:proofErr w:type="spellEnd"/>
      <w:r>
        <w:rPr>
          <w:rFonts w:ascii="Arial" w:eastAsia="Arial" w:hAnsi="Arial" w:cs="Arial"/>
          <w:color w:val="000000"/>
        </w:rPr>
        <w:t xml:space="preserve"> &amp; </w:t>
      </w:r>
      <w:proofErr w:type="spellStart"/>
      <w:r>
        <w:rPr>
          <w:rFonts w:ascii="Arial" w:eastAsia="Arial" w:hAnsi="Arial" w:cs="Arial"/>
          <w:color w:val="000000"/>
        </w:rPr>
        <w:t>Razlini</w:t>
      </w:r>
      <w:proofErr w:type="spellEnd"/>
      <w:r>
        <w:rPr>
          <w:rFonts w:ascii="Arial" w:eastAsia="Arial" w:hAnsi="Arial" w:cs="Arial"/>
          <w:color w:val="000000"/>
        </w:rPr>
        <w:t xml:space="preserve">, 2022; </w:t>
      </w:r>
      <w:proofErr w:type="spellStart"/>
      <w:r>
        <w:rPr>
          <w:rFonts w:ascii="Arial" w:eastAsia="Arial" w:hAnsi="Arial" w:cs="Arial"/>
          <w:color w:val="000000"/>
        </w:rPr>
        <w:t>Benaddi</w:t>
      </w:r>
      <w:proofErr w:type="spellEnd"/>
      <w:r>
        <w:rPr>
          <w:rFonts w:ascii="Arial" w:eastAsia="Arial" w:hAnsi="Arial" w:cs="Arial"/>
          <w:color w:val="000000"/>
        </w:rPr>
        <w:t xml:space="preserve"> et al., 2022; Corona-Treviño, 2023). When public servants internalize public values and exhibit high PSM, they are more likely to contribute to resilient and responsive governance systems (Hamel &amp; </w:t>
      </w:r>
      <w:proofErr w:type="spellStart"/>
      <w:r>
        <w:rPr>
          <w:rFonts w:ascii="Arial" w:eastAsia="Arial" w:hAnsi="Arial" w:cs="Arial"/>
          <w:color w:val="000000"/>
        </w:rPr>
        <w:t>Välikangas</w:t>
      </w:r>
      <w:proofErr w:type="spellEnd"/>
      <w:r>
        <w:rPr>
          <w:rFonts w:ascii="Arial" w:eastAsia="Arial" w:hAnsi="Arial" w:cs="Arial"/>
          <w:color w:val="000000"/>
        </w:rPr>
        <w:t>, 2003; UN, 2021).</w:t>
      </w:r>
    </w:p>
    <w:p w14:paraId="140F7917" w14:textId="77777777" w:rsidR="00B50E8C" w:rsidRDefault="00B50E8C">
      <w:pPr>
        <w:pBdr>
          <w:top w:val="nil"/>
          <w:left w:val="nil"/>
          <w:bottom w:val="nil"/>
          <w:right w:val="nil"/>
          <w:between w:val="nil"/>
        </w:pBdr>
        <w:jc w:val="both"/>
        <w:rPr>
          <w:rFonts w:ascii="Arial" w:eastAsia="Arial" w:hAnsi="Arial" w:cs="Arial"/>
          <w:color w:val="000000"/>
        </w:rPr>
      </w:pPr>
    </w:p>
    <w:p w14:paraId="30A51CA1"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rPr>
        <w:t xml:space="preserve">However, internalization of values does not occur in a vacuum. Organizational context and employment conditions may influence how public servants interpret and embody institutional values. One potentially significant yet underexplored factor is the </w:t>
      </w:r>
      <w:r>
        <w:rPr>
          <w:rFonts w:ascii="Arial" w:eastAsia="Arial" w:hAnsi="Arial" w:cs="Arial"/>
        </w:rPr>
        <w:t>mode of entry to public service.</w:t>
      </w:r>
      <w:r>
        <w:rPr>
          <w:rFonts w:ascii="Arial" w:eastAsia="Arial" w:hAnsi="Arial" w:cs="Arial"/>
          <w:color w:val="000000"/>
        </w:rPr>
        <w:t xml:space="preserve"> In many public sector systems, employees enter public service through different categories </w:t>
      </w:r>
      <w:r>
        <w:rPr>
          <w:rFonts w:ascii="Arial" w:eastAsia="Arial" w:hAnsi="Arial" w:cs="Arial"/>
        </w:rPr>
        <w:t>Career Service Entry (permanent) and Non-Career Service Entry (contractual or contract of service, coterminous, casual or job order)—</w:t>
      </w:r>
      <w:r>
        <w:rPr>
          <w:rFonts w:ascii="Arial" w:eastAsia="Arial" w:hAnsi="Arial" w:cs="Arial"/>
          <w:color w:val="000000"/>
        </w:rPr>
        <w:t>each with varying levels of job security, career trajectory, and exposure to institutional socialization. Differences in appointment status may shape identification with organizational mission and long-term commitment (Selander &amp; Ruuskanen, 2016).</w:t>
      </w:r>
    </w:p>
    <w:p w14:paraId="49482BF2" w14:textId="77777777" w:rsidR="00B50E8C" w:rsidRDefault="00B50E8C">
      <w:pPr>
        <w:pBdr>
          <w:top w:val="nil"/>
          <w:left w:val="nil"/>
          <w:bottom w:val="nil"/>
          <w:right w:val="nil"/>
          <w:between w:val="nil"/>
        </w:pBdr>
        <w:jc w:val="both"/>
        <w:rPr>
          <w:rFonts w:ascii="Arial" w:eastAsia="Arial" w:hAnsi="Arial" w:cs="Arial"/>
          <w:color w:val="000000"/>
        </w:rPr>
      </w:pPr>
    </w:p>
    <w:p w14:paraId="70CACC7C"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Research on generational shifts in public service values suggests that institutional exposure and career stage influence value orientation (</w:t>
      </w:r>
      <w:proofErr w:type="spellStart"/>
      <w:r>
        <w:rPr>
          <w:rFonts w:ascii="Arial" w:eastAsia="Arial" w:hAnsi="Arial" w:cs="Arial"/>
          <w:color w:val="000000"/>
        </w:rPr>
        <w:t>Omurgonulsen</w:t>
      </w:r>
      <w:proofErr w:type="spellEnd"/>
      <w:r>
        <w:rPr>
          <w:rFonts w:ascii="Arial" w:eastAsia="Arial" w:hAnsi="Arial" w:cs="Arial"/>
          <w:color w:val="000000"/>
        </w:rPr>
        <w:t xml:space="preserve"> &amp; </w:t>
      </w:r>
      <w:proofErr w:type="spellStart"/>
      <w:r>
        <w:rPr>
          <w:rFonts w:ascii="Arial" w:eastAsia="Arial" w:hAnsi="Arial" w:cs="Arial"/>
          <w:color w:val="000000"/>
        </w:rPr>
        <w:t>Oktem</w:t>
      </w:r>
      <w:proofErr w:type="spellEnd"/>
      <w:r>
        <w:rPr>
          <w:rFonts w:ascii="Arial" w:eastAsia="Arial" w:hAnsi="Arial" w:cs="Arial"/>
          <w:color w:val="000000"/>
        </w:rPr>
        <w:t>, 2009). Likewise, Wright and Pandey (2008) argue that organizational characteristics moderate the relationship between PSM and performance outcomes. Employees with secure tenure may experience stronger alignment with institutional values due to stability and deeper professional integration, whereas non-permanent employees may experience weaker institutional attachment. Conversely, some studies suggest that motivational drivers may remain robust even in precarious employment contexts when intrinsic commitment to public interest is strong (Perry &amp; Vandenabeele, 2008).</w:t>
      </w:r>
    </w:p>
    <w:p w14:paraId="2F13AEA1" w14:textId="77777777" w:rsidR="00B50E8C" w:rsidRDefault="00B50E8C">
      <w:pPr>
        <w:pBdr>
          <w:top w:val="nil"/>
          <w:left w:val="nil"/>
          <w:bottom w:val="nil"/>
          <w:right w:val="nil"/>
          <w:between w:val="nil"/>
        </w:pBdr>
        <w:jc w:val="both"/>
        <w:rPr>
          <w:rFonts w:ascii="Arial" w:eastAsia="Arial" w:hAnsi="Arial" w:cs="Arial"/>
          <w:color w:val="000000"/>
        </w:rPr>
      </w:pPr>
    </w:p>
    <w:p w14:paraId="211F1A73"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developing governance systems, politicization and employment instability can further complicate value internalization (Fernández-</w:t>
      </w:r>
      <w:proofErr w:type="spellStart"/>
      <w:r>
        <w:rPr>
          <w:rFonts w:ascii="Arial" w:eastAsia="Arial" w:hAnsi="Arial" w:cs="Arial"/>
          <w:color w:val="000000"/>
        </w:rPr>
        <w:t>Lombao</w:t>
      </w:r>
      <w:proofErr w:type="spellEnd"/>
      <w:r>
        <w:rPr>
          <w:rFonts w:ascii="Arial" w:eastAsia="Arial" w:hAnsi="Arial" w:cs="Arial"/>
          <w:color w:val="000000"/>
        </w:rPr>
        <w:t xml:space="preserve"> et al., 2024; Nkoana et al., 2024). Where appointment processes are influenced by political considerations, perceptions of fairness and meritocracy may affect employees’ motivational orientation and ethical commitment. Ethical climates and leadership practices thus become critical in sustaining PSM across appointment categories (Lee et al., 2022; Sami et al., 2016).</w:t>
      </w:r>
    </w:p>
    <w:p w14:paraId="41467DF3" w14:textId="77777777" w:rsidR="00B50E8C" w:rsidRDefault="00B50E8C">
      <w:pPr>
        <w:pBdr>
          <w:top w:val="nil"/>
          <w:left w:val="nil"/>
          <w:bottom w:val="nil"/>
          <w:right w:val="nil"/>
          <w:between w:val="nil"/>
        </w:pBdr>
        <w:jc w:val="both"/>
        <w:rPr>
          <w:rFonts w:ascii="Arial" w:eastAsia="Arial" w:hAnsi="Arial" w:cs="Arial"/>
          <w:color w:val="000000"/>
        </w:rPr>
      </w:pPr>
    </w:p>
    <w:p w14:paraId="485ABAC1"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Within the Philippine local government context, these dynamics are particularly salient. Local Government Units (LGUs) operate at the frontline of service delivery, directly interacting with communities and translating national policies into localized action (Rainey, 2009). Public trust in local governance is closely tied to perceptions of integrity, responsiveness, and service quality (Wu et al., 2019; </w:t>
      </w:r>
      <w:proofErr w:type="spellStart"/>
      <w:r>
        <w:rPr>
          <w:rFonts w:ascii="Arial" w:eastAsia="Arial" w:hAnsi="Arial" w:cs="Arial"/>
          <w:color w:val="000000"/>
        </w:rPr>
        <w:t>Rojikin</w:t>
      </w:r>
      <w:proofErr w:type="spellEnd"/>
      <w:r>
        <w:rPr>
          <w:rFonts w:ascii="Arial" w:eastAsia="Arial" w:hAnsi="Arial" w:cs="Arial"/>
          <w:color w:val="000000"/>
        </w:rPr>
        <w:t xml:space="preserve"> et al., 2022). When values are visibly enacted, citizens perceive higher service value and legitimacy (</w:t>
      </w:r>
      <w:proofErr w:type="spellStart"/>
      <w:r>
        <w:rPr>
          <w:rFonts w:ascii="Arial" w:eastAsia="Arial" w:hAnsi="Arial" w:cs="Arial"/>
          <w:color w:val="000000"/>
        </w:rPr>
        <w:t>Ladhari</w:t>
      </w:r>
      <w:proofErr w:type="spellEnd"/>
      <w:r>
        <w:rPr>
          <w:rFonts w:ascii="Arial" w:eastAsia="Arial" w:hAnsi="Arial" w:cs="Arial"/>
          <w:color w:val="000000"/>
        </w:rPr>
        <w:t xml:space="preserve"> &amp; Morales, 2008). Conversely, breakdowns in ethical conduct may erode trust and weaken public value creation (Jos &amp; Tompkins, 2009).</w:t>
      </w:r>
    </w:p>
    <w:p w14:paraId="5BBB5208" w14:textId="77777777" w:rsidR="00B50E8C" w:rsidRDefault="00B50E8C">
      <w:pPr>
        <w:pBdr>
          <w:top w:val="nil"/>
          <w:left w:val="nil"/>
          <w:bottom w:val="nil"/>
          <w:right w:val="nil"/>
          <w:between w:val="nil"/>
        </w:pBdr>
        <w:jc w:val="both"/>
        <w:rPr>
          <w:rFonts w:ascii="Arial" w:eastAsia="Arial" w:hAnsi="Arial" w:cs="Arial"/>
          <w:color w:val="000000"/>
        </w:rPr>
      </w:pPr>
    </w:p>
    <w:p w14:paraId="3C46E788" w14:textId="77777777" w:rsidR="00B50E8C" w:rsidRDefault="00F37AE9">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Given this context, </w:t>
      </w:r>
      <w:r>
        <w:rPr>
          <w:rFonts w:ascii="Arial" w:eastAsia="Arial" w:hAnsi="Arial" w:cs="Arial"/>
        </w:rPr>
        <w:t>understanding the relationship between Public Service Values and Public Service Motivation becomes crucial. If PSV are successfully internalized, they should find expression in higher levels of PSM. Yet the extent of this internalization may vary according to structural factors such as mode of entry. Investigating whether PSM differs between career service and non-career service employees may reveal how institutional stability and professional socialization influence motivational outcomes.</w:t>
      </w:r>
    </w:p>
    <w:p w14:paraId="072D1218" w14:textId="77777777" w:rsidR="00B50E8C" w:rsidRDefault="00B50E8C">
      <w:pPr>
        <w:pBdr>
          <w:top w:val="nil"/>
          <w:left w:val="nil"/>
          <w:bottom w:val="nil"/>
          <w:right w:val="nil"/>
          <w:between w:val="nil"/>
        </w:pBdr>
        <w:jc w:val="both"/>
        <w:rPr>
          <w:rFonts w:ascii="Arial" w:eastAsia="Arial" w:hAnsi="Arial" w:cs="Arial"/>
        </w:rPr>
      </w:pPr>
    </w:p>
    <w:p w14:paraId="671BD358" w14:textId="77777777" w:rsidR="00B50E8C" w:rsidRDefault="00F37AE9">
      <w:pPr>
        <w:pBdr>
          <w:top w:val="nil"/>
          <w:left w:val="nil"/>
          <w:bottom w:val="nil"/>
          <w:right w:val="nil"/>
          <w:between w:val="nil"/>
        </w:pBdr>
        <w:jc w:val="both"/>
        <w:rPr>
          <w:rFonts w:ascii="Arial" w:eastAsia="Arial" w:hAnsi="Arial" w:cs="Arial"/>
        </w:rPr>
      </w:pPr>
      <w:r>
        <w:rPr>
          <w:rFonts w:ascii="Arial" w:eastAsia="Arial" w:hAnsi="Arial" w:cs="Arial"/>
        </w:rPr>
        <w:t>This study addresses three central questions:</w:t>
      </w:r>
      <w:r>
        <w:rPr>
          <w:rFonts w:ascii="Arial" w:eastAsia="Arial" w:hAnsi="Arial" w:cs="Arial"/>
        </w:rPr>
        <w:br/>
        <w:t xml:space="preserve"> (1) What is the relationship between Public Service Values and Public Service Motivation?</w:t>
      </w:r>
      <w:r>
        <w:rPr>
          <w:rFonts w:ascii="Arial" w:eastAsia="Arial" w:hAnsi="Arial" w:cs="Arial"/>
        </w:rPr>
        <w:br/>
        <w:t xml:space="preserve"> (2) Does mode of entry affect internalization of Public Service Values?</w:t>
      </w:r>
      <w:r>
        <w:rPr>
          <w:rFonts w:ascii="Arial" w:eastAsia="Arial" w:hAnsi="Arial" w:cs="Arial"/>
        </w:rPr>
        <w:br/>
        <w:t xml:space="preserve"> (3) Does mode of entry affect the level of Public Service Motivation?</w:t>
      </w:r>
    </w:p>
    <w:p w14:paraId="3187D2C0" w14:textId="77777777" w:rsidR="00B50E8C" w:rsidRDefault="00B50E8C">
      <w:pPr>
        <w:pBdr>
          <w:top w:val="nil"/>
          <w:left w:val="nil"/>
          <w:bottom w:val="nil"/>
          <w:right w:val="nil"/>
          <w:between w:val="nil"/>
        </w:pBdr>
        <w:jc w:val="both"/>
        <w:rPr>
          <w:rFonts w:ascii="Arial" w:eastAsia="Arial" w:hAnsi="Arial" w:cs="Arial"/>
          <w:color w:val="EE0000"/>
        </w:rPr>
      </w:pPr>
    </w:p>
    <w:p w14:paraId="42ACEC49"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By examining these questions within selected Philippine LGUs, the study contributes to both theoretical and practical discussions in public administration. Theoretically, it advances understanding of the PSV–PSM nexus by empirically testing how institutional values translate into motivational constructs.</w:t>
      </w:r>
      <w:r>
        <w:rPr>
          <w:rFonts w:ascii="Arial" w:eastAsia="Arial" w:hAnsi="Arial" w:cs="Arial"/>
        </w:rPr>
        <w:t xml:space="preserve"> It integrates public service values framework with motivational theory, situating individual orientation with</w:t>
      </w:r>
      <w:r>
        <w:rPr>
          <w:rFonts w:ascii="Arial" w:eastAsia="Arial" w:hAnsi="Arial" w:cs="Arial"/>
          <w:color w:val="000000"/>
        </w:rPr>
        <w:t>in broader governance frameworks. Practically, the findings may inform human resource management policies, particularly regarding recruitment, appointment systems, and professional development in the civil service.</w:t>
      </w:r>
    </w:p>
    <w:p w14:paraId="7EF192DE" w14:textId="77777777" w:rsidR="00B50E8C" w:rsidRDefault="00B50E8C">
      <w:pPr>
        <w:pBdr>
          <w:top w:val="nil"/>
          <w:left w:val="nil"/>
          <w:bottom w:val="nil"/>
          <w:right w:val="nil"/>
          <w:between w:val="nil"/>
        </w:pBdr>
        <w:jc w:val="both"/>
        <w:rPr>
          <w:rFonts w:ascii="Arial" w:eastAsia="Arial" w:hAnsi="Arial" w:cs="Arial"/>
          <w:color w:val="000000"/>
        </w:rPr>
      </w:pPr>
    </w:p>
    <w:p w14:paraId="149C5380" w14:textId="77777777" w:rsidR="00B50E8C" w:rsidRDefault="00F37AE9">
      <w:pPr>
        <w:pBdr>
          <w:top w:val="nil"/>
          <w:left w:val="nil"/>
          <w:bottom w:val="nil"/>
          <w:right w:val="nil"/>
          <w:between w:val="nil"/>
        </w:pBdr>
        <w:spacing w:after="240"/>
        <w:jc w:val="both"/>
        <w:rPr>
          <w:rFonts w:ascii="Arial" w:eastAsia="Arial" w:hAnsi="Arial" w:cs="Arial"/>
        </w:rPr>
      </w:pPr>
      <w:r>
        <w:rPr>
          <w:rFonts w:ascii="Arial" w:eastAsia="Arial" w:hAnsi="Arial" w:cs="Arial"/>
          <w:color w:val="000000"/>
        </w:rPr>
        <w:t xml:space="preserve">At a broader level, the study reinforces the normative foundations of public administration articulated by Denhardt and Denhardt (2011): public servants are not merely implementers of policy but stewards of democratic values. </w:t>
      </w:r>
      <w:r>
        <w:rPr>
          <w:rFonts w:ascii="Arial" w:eastAsia="Arial" w:hAnsi="Arial" w:cs="Arial"/>
        </w:rPr>
        <w:t>Ensuring that public service mode of entry systems cultivate and sustain motivational alignment with institutional values is therefore central to strengthening governance capacity. In an era characterized by demands for transparency, innovation, and resilience (Hou, 2024; Huque &amp; Ferdous, 2024), the alignment of values and motivation becomes indispensable to sustaining public trust and effective and efficient delivery of public service.</w:t>
      </w:r>
    </w:p>
    <w:p w14:paraId="4C3C0AEC"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Ultimately, this research bridges constitutional ideals, institutional norms, and individual motivational dynamics. By examining the interaction between Public Service Values, Public Service Motivation, and </w:t>
      </w:r>
      <w:r>
        <w:rPr>
          <w:rFonts w:ascii="Arial" w:eastAsia="Arial" w:hAnsi="Arial" w:cs="Arial"/>
        </w:rPr>
        <w:t>mode of entry to public service, it provides insight into how ethical foundations translate into lived administrative internalization withi</w:t>
      </w:r>
      <w:r>
        <w:rPr>
          <w:rFonts w:ascii="Arial" w:eastAsia="Arial" w:hAnsi="Arial" w:cs="Arial"/>
          <w:color w:val="000000"/>
        </w:rPr>
        <w:t>n Philippine local governance.</w:t>
      </w:r>
    </w:p>
    <w:p w14:paraId="367BED21" w14:textId="77777777" w:rsidR="00F37AE9" w:rsidRDefault="00F37AE9">
      <w:pPr>
        <w:keepNext/>
        <w:pBdr>
          <w:top w:val="nil"/>
          <w:left w:val="nil"/>
          <w:bottom w:val="nil"/>
          <w:right w:val="nil"/>
          <w:between w:val="nil"/>
        </w:pBdr>
        <w:jc w:val="both"/>
        <w:rPr>
          <w:rFonts w:ascii="Arial" w:eastAsia="Arial" w:hAnsi="Arial" w:cs="Arial"/>
          <w:b/>
          <w:bCs/>
          <w:smallCaps/>
          <w:color w:val="000000"/>
          <w:sz w:val="22"/>
          <w:szCs w:val="22"/>
        </w:rPr>
      </w:pPr>
    </w:p>
    <w:p w14:paraId="4B44EC52" w14:textId="77777777" w:rsidR="00B50E8C" w:rsidRDefault="00F37A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2. methodology</w:t>
      </w:r>
    </w:p>
    <w:p w14:paraId="2E2ADDC2" w14:textId="77777777" w:rsidR="00B50E8C" w:rsidRDefault="00B50E8C">
      <w:pPr>
        <w:keepNext/>
        <w:pBdr>
          <w:top w:val="nil"/>
          <w:left w:val="nil"/>
          <w:bottom w:val="nil"/>
          <w:right w:val="nil"/>
          <w:between w:val="nil"/>
        </w:pBdr>
        <w:jc w:val="both"/>
        <w:rPr>
          <w:rFonts w:ascii="Arial" w:eastAsia="Arial" w:hAnsi="Arial" w:cs="Arial"/>
          <w:b/>
          <w:bCs/>
          <w:smallCaps/>
          <w:color w:val="000000"/>
          <w:sz w:val="22"/>
          <w:szCs w:val="22"/>
        </w:rPr>
      </w:pPr>
    </w:p>
    <w:p w14:paraId="3D8A1865"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Research Design</w:t>
      </w:r>
    </w:p>
    <w:p w14:paraId="75D6A804" w14:textId="77777777" w:rsidR="00B50E8C" w:rsidRDefault="00B50E8C">
      <w:pPr>
        <w:pBdr>
          <w:top w:val="nil"/>
          <w:left w:val="nil"/>
          <w:bottom w:val="nil"/>
          <w:right w:val="nil"/>
          <w:between w:val="nil"/>
        </w:pBdr>
        <w:jc w:val="both"/>
        <w:rPr>
          <w:rFonts w:ascii="Arial" w:eastAsia="Arial" w:hAnsi="Arial" w:cs="Arial"/>
          <w:b/>
          <w:bCs/>
        </w:rPr>
      </w:pPr>
    </w:p>
    <w:p w14:paraId="46F88CAD"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w:t>
      </w:r>
      <w:r>
        <w:rPr>
          <w:rFonts w:ascii="Arial" w:eastAsia="Arial" w:hAnsi="Arial" w:cs="Arial"/>
        </w:rPr>
        <w:t>his study employed a cross-sectional, descriptive–correlational research design using a quantitative approach. The design was appropriate for examining (1) the relationship between Public Service Values (PSV) and Public Service Motivation (PSM), (2) whether the mode of entry affects the internalization of PSV, and (3) whether PSM varies with mode of entry</w:t>
      </w:r>
      <w:r>
        <w:rPr>
          <w:rFonts w:ascii="Arial" w:eastAsia="Arial" w:hAnsi="Arial" w:cs="Arial"/>
          <w:color w:val="EE0000"/>
        </w:rPr>
        <w:t xml:space="preserve">. </w:t>
      </w:r>
      <w:r>
        <w:rPr>
          <w:rFonts w:ascii="Arial" w:eastAsia="Arial" w:hAnsi="Arial" w:cs="Arial"/>
        </w:rPr>
        <w:t>S</w:t>
      </w:r>
      <w:r>
        <w:rPr>
          <w:rFonts w:ascii="Arial" w:eastAsia="Arial" w:hAnsi="Arial" w:cs="Arial"/>
          <w:color w:val="000000"/>
        </w:rPr>
        <w:t>tructured survey instruments were administered to measure the constructs of interest and to allow statistical testing of associations and group differences.</w:t>
      </w:r>
    </w:p>
    <w:p w14:paraId="48399FFD" w14:textId="77777777" w:rsidR="00B50E8C" w:rsidRDefault="00B50E8C">
      <w:pPr>
        <w:pBdr>
          <w:top w:val="nil"/>
          <w:left w:val="nil"/>
          <w:bottom w:val="nil"/>
          <w:right w:val="nil"/>
          <w:between w:val="nil"/>
        </w:pBdr>
        <w:jc w:val="both"/>
        <w:rPr>
          <w:rFonts w:ascii="Arial" w:eastAsia="Arial" w:hAnsi="Arial" w:cs="Arial"/>
          <w:b/>
          <w:bCs/>
          <w:color w:val="000000"/>
        </w:rPr>
      </w:pPr>
      <w:bookmarkStart w:id="0" w:name="_heading=h.nwixo2x03o5p" w:colFirst="0" w:colLast="0"/>
      <w:bookmarkEnd w:id="0"/>
    </w:p>
    <w:p w14:paraId="65BB9043" w14:textId="77777777" w:rsidR="00B50E8C" w:rsidRDefault="00F37AE9">
      <w:pPr>
        <w:pBdr>
          <w:top w:val="nil"/>
          <w:left w:val="nil"/>
          <w:bottom w:val="nil"/>
          <w:right w:val="nil"/>
          <w:between w:val="nil"/>
        </w:pBdr>
        <w:jc w:val="both"/>
        <w:rPr>
          <w:rFonts w:ascii="Arial" w:eastAsia="Arial" w:hAnsi="Arial" w:cs="Arial"/>
          <w:b/>
          <w:bCs/>
          <w:color w:val="000000"/>
        </w:rPr>
      </w:pPr>
      <w:bookmarkStart w:id="1" w:name="_heading=h.rhgu9deis5ah" w:colFirst="0" w:colLast="0"/>
      <w:bookmarkEnd w:id="1"/>
      <w:r>
        <w:rPr>
          <w:rFonts w:ascii="Arial" w:eastAsia="Arial" w:hAnsi="Arial" w:cs="Arial"/>
          <w:b/>
          <w:bCs/>
          <w:color w:val="000000"/>
        </w:rPr>
        <w:t>Research Setting</w:t>
      </w:r>
    </w:p>
    <w:p w14:paraId="679A54FF" w14:textId="77777777" w:rsidR="00B50E8C" w:rsidRDefault="00B50E8C">
      <w:pPr>
        <w:pBdr>
          <w:top w:val="nil"/>
          <w:left w:val="nil"/>
          <w:bottom w:val="nil"/>
          <w:right w:val="nil"/>
          <w:between w:val="nil"/>
        </w:pBdr>
        <w:jc w:val="both"/>
        <w:rPr>
          <w:rFonts w:ascii="Arial" w:eastAsia="Arial" w:hAnsi="Arial" w:cs="Arial"/>
          <w:b/>
          <w:bCs/>
        </w:rPr>
      </w:pPr>
      <w:bookmarkStart w:id="2" w:name="_heading=h.9ovbaqhmkm9d" w:colFirst="0" w:colLast="0"/>
      <w:bookmarkEnd w:id="2"/>
    </w:p>
    <w:p w14:paraId="26BBA1BD"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study was conducted in the Local Government Units (LGUs) of </w:t>
      </w:r>
      <w:proofErr w:type="spellStart"/>
      <w:r>
        <w:rPr>
          <w:rFonts w:ascii="Arial" w:eastAsia="Arial" w:hAnsi="Arial" w:cs="Arial"/>
          <w:color w:val="000000"/>
        </w:rPr>
        <w:t>Tangub</w:t>
      </w:r>
      <w:proofErr w:type="spellEnd"/>
      <w:r>
        <w:rPr>
          <w:rFonts w:ascii="Arial" w:eastAsia="Arial" w:hAnsi="Arial" w:cs="Arial"/>
          <w:color w:val="000000"/>
        </w:rPr>
        <w:t xml:space="preserve"> City and </w:t>
      </w:r>
      <w:proofErr w:type="spellStart"/>
      <w:r>
        <w:rPr>
          <w:rFonts w:ascii="Arial" w:eastAsia="Arial" w:hAnsi="Arial" w:cs="Arial"/>
          <w:color w:val="000000"/>
        </w:rPr>
        <w:t>Oroquieta</w:t>
      </w:r>
      <w:proofErr w:type="spellEnd"/>
      <w:r>
        <w:rPr>
          <w:rFonts w:ascii="Arial" w:eastAsia="Arial" w:hAnsi="Arial" w:cs="Arial"/>
          <w:color w:val="000000"/>
        </w:rPr>
        <w:t xml:space="preserve"> City in Misamis Occidental, Philippines. LGUs serve as frontline public service institutions, making them appropriate contexts for examining the manifestation </w:t>
      </w:r>
      <w:r>
        <w:rPr>
          <w:rFonts w:ascii="Arial" w:eastAsia="Arial" w:hAnsi="Arial" w:cs="Arial"/>
        </w:rPr>
        <w:t>and internalization</w:t>
      </w:r>
      <w:r>
        <w:rPr>
          <w:rFonts w:ascii="Arial" w:eastAsia="Arial" w:hAnsi="Arial" w:cs="Arial"/>
          <w:color w:val="EE0000"/>
        </w:rPr>
        <w:t xml:space="preserve"> </w:t>
      </w:r>
      <w:r>
        <w:rPr>
          <w:rFonts w:ascii="Arial" w:eastAsia="Arial" w:hAnsi="Arial" w:cs="Arial"/>
          <w:color w:val="000000"/>
        </w:rPr>
        <w:t>of institutional values and motivational orientations among public servants.</w:t>
      </w:r>
    </w:p>
    <w:p w14:paraId="0738A71B" w14:textId="77777777" w:rsidR="00B50E8C" w:rsidRDefault="00B50E8C">
      <w:pPr>
        <w:pBdr>
          <w:top w:val="nil"/>
          <w:left w:val="nil"/>
          <w:bottom w:val="nil"/>
          <w:right w:val="nil"/>
          <w:between w:val="nil"/>
        </w:pBdr>
        <w:jc w:val="both"/>
        <w:rPr>
          <w:rFonts w:ascii="Arial" w:eastAsia="Arial" w:hAnsi="Arial" w:cs="Arial"/>
          <w:b/>
          <w:bCs/>
          <w:color w:val="000000"/>
        </w:rPr>
      </w:pPr>
      <w:bookmarkStart w:id="3" w:name="_heading=h.td51x3rfvgh3" w:colFirst="0" w:colLast="0"/>
      <w:bookmarkEnd w:id="3"/>
    </w:p>
    <w:p w14:paraId="236F6950" w14:textId="77777777" w:rsidR="00B50E8C" w:rsidRDefault="00F37AE9">
      <w:pPr>
        <w:pBdr>
          <w:top w:val="nil"/>
          <w:left w:val="nil"/>
          <w:bottom w:val="nil"/>
          <w:right w:val="nil"/>
          <w:between w:val="nil"/>
        </w:pBdr>
        <w:jc w:val="both"/>
        <w:rPr>
          <w:rFonts w:ascii="Arial" w:eastAsia="Arial" w:hAnsi="Arial" w:cs="Arial"/>
          <w:b/>
          <w:bCs/>
          <w:color w:val="000000"/>
        </w:rPr>
      </w:pPr>
      <w:bookmarkStart w:id="4" w:name="_heading=h.sk6asrpohxwq" w:colFirst="0" w:colLast="0"/>
      <w:bookmarkEnd w:id="4"/>
      <w:r>
        <w:rPr>
          <w:rFonts w:ascii="Arial" w:eastAsia="Arial" w:hAnsi="Arial" w:cs="Arial"/>
          <w:b/>
          <w:bCs/>
          <w:color w:val="000000"/>
        </w:rPr>
        <w:t>Population, Sampling, and Sample Size</w:t>
      </w:r>
    </w:p>
    <w:p w14:paraId="0427E5E0" w14:textId="77777777" w:rsidR="00B50E8C" w:rsidRDefault="00B50E8C">
      <w:pPr>
        <w:pBdr>
          <w:top w:val="nil"/>
          <w:left w:val="nil"/>
          <w:bottom w:val="nil"/>
          <w:right w:val="nil"/>
          <w:between w:val="nil"/>
        </w:pBdr>
        <w:jc w:val="both"/>
        <w:rPr>
          <w:rFonts w:ascii="Arial" w:eastAsia="Arial" w:hAnsi="Arial" w:cs="Arial"/>
          <w:b/>
          <w:bCs/>
        </w:rPr>
      </w:pPr>
      <w:bookmarkStart w:id="5" w:name="_heading=h.bl4hwfhzjhrl" w:colFirst="0" w:colLast="0"/>
      <w:bookmarkEnd w:id="5"/>
    </w:p>
    <w:p w14:paraId="09AA849E" w14:textId="77777777" w:rsidR="00B50E8C" w:rsidRDefault="00F37AE9">
      <w:pPr>
        <w:pBdr>
          <w:top w:val="nil"/>
          <w:left w:val="nil"/>
          <w:bottom w:val="nil"/>
          <w:right w:val="nil"/>
          <w:between w:val="nil"/>
        </w:pBdr>
        <w:jc w:val="both"/>
        <w:rPr>
          <w:rFonts w:ascii="Arial" w:eastAsia="Arial" w:hAnsi="Arial" w:cs="Arial"/>
        </w:rPr>
      </w:pPr>
      <w:r>
        <w:rPr>
          <w:rFonts w:ascii="Arial" w:eastAsia="Arial" w:hAnsi="Arial" w:cs="Arial"/>
          <w:color w:val="000000"/>
        </w:rPr>
        <w:t>The target population consisted of all non-elective employees of the two LGUs, totaling 3,191 personnel (</w:t>
      </w:r>
      <w:proofErr w:type="spellStart"/>
      <w:r>
        <w:rPr>
          <w:rFonts w:ascii="Arial" w:eastAsia="Arial" w:hAnsi="Arial" w:cs="Arial"/>
          <w:color w:val="000000"/>
        </w:rPr>
        <w:t>Tangub</w:t>
      </w:r>
      <w:proofErr w:type="spellEnd"/>
      <w:r>
        <w:rPr>
          <w:rFonts w:ascii="Arial" w:eastAsia="Arial" w:hAnsi="Arial" w:cs="Arial"/>
          <w:color w:val="000000"/>
        </w:rPr>
        <w:t xml:space="preserve">: 1,343; </w:t>
      </w:r>
      <w:proofErr w:type="spellStart"/>
      <w:r>
        <w:rPr>
          <w:rFonts w:ascii="Arial" w:eastAsia="Arial" w:hAnsi="Arial" w:cs="Arial"/>
          <w:color w:val="000000"/>
        </w:rPr>
        <w:t>Oroquieta</w:t>
      </w:r>
      <w:proofErr w:type="spellEnd"/>
      <w:r>
        <w:rPr>
          <w:rFonts w:ascii="Arial" w:eastAsia="Arial" w:hAnsi="Arial" w:cs="Arial"/>
          <w:color w:val="000000"/>
        </w:rPr>
        <w:t xml:space="preserve">: 1,848). </w:t>
      </w:r>
      <w:r>
        <w:rPr>
          <w:rFonts w:ascii="Arial" w:eastAsia="Arial" w:hAnsi="Arial" w:cs="Arial"/>
        </w:rPr>
        <w:t xml:space="preserve">Inclusion criteria covered career service- permanent and non-career service -job order, contract of service, and coterminous employees aged 18 years and above. Elected officials and employees on prolonged leave were excluded to maintain focus on career service and non-career service employees. </w:t>
      </w:r>
    </w:p>
    <w:p w14:paraId="6DAE4463" w14:textId="77777777" w:rsidR="00B50E8C" w:rsidRDefault="00B50E8C">
      <w:pPr>
        <w:pBdr>
          <w:top w:val="nil"/>
          <w:left w:val="nil"/>
          <w:bottom w:val="nil"/>
          <w:right w:val="nil"/>
          <w:between w:val="nil"/>
        </w:pBdr>
        <w:jc w:val="both"/>
        <w:rPr>
          <w:rFonts w:ascii="Arial" w:eastAsia="Arial" w:hAnsi="Arial" w:cs="Arial"/>
          <w:color w:val="EE0000"/>
        </w:rPr>
      </w:pPr>
    </w:p>
    <w:p w14:paraId="5182837F"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Sample size was computed using Cochran’s (1977) formula for large populations at a 95% confidence level (Z = 1.96), p = .50, q = .50, and margin of error d = .05, yielding an initial estimate of 384. Applying the finite population correction resulted in a final required sample of </w:t>
      </w:r>
      <w:r>
        <w:rPr>
          <w:rFonts w:ascii="Arial" w:eastAsia="Arial" w:hAnsi="Arial" w:cs="Arial"/>
          <w:color w:val="000000"/>
        </w:rPr>
        <w:lastRenderedPageBreak/>
        <w:t xml:space="preserve">353 respondents. Proportionate allocation was used: 148 from </w:t>
      </w:r>
      <w:proofErr w:type="spellStart"/>
      <w:r>
        <w:rPr>
          <w:rFonts w:ascii="Arial" w:eastAsia="Arial" w:hAnsi="Arial" w:cs="Arial"/>
          <w:color w:val="000000"/>
        </w:rPr>
        <w:t>Tangub</w:t>
      </w:r>
      <w:proofErr w:type="spellEnd"/>
      <w:r>
        <w:rPr>
          <w:rFonts w:ascii="Arial" w:eastAsia="Arial" w:hAnsi="Arial" w:cs="Arial"/>
          <w:color w:val="000000"/>
        </w:rPr>
        <w:t xml:space="preserve"> City and 205 from </w:t>
      </w:r>
      <w:proofErr w:type="spellStart"/>
      <w:r>
        <w:rPr>
          <w:rFonts w:ascii="Arial" w:eastAsia="Arial" w:hAnsi="Arial" w:cs="Arial"/>
          <w:color w:val="000000"/>
        </w:rPr>
        <w:t>Oroquieta</w:t>
      </w:r>
      <w:proofErr w:type="spellEnd"/>
      <w:r>
        <w:rPr>
          <w:rFonts w:ascii="Arial" w:eastAsia="Arial" w:hAnsi="Arial" w:cs="Arial"/>
          <w:color w:val="000000"/>
        </w:rPr>
        <w:t xml:space="preserve"> City.</w:t>
      </w:r>
    </w:p>
    <w:p w14:paraId="16FB90F5" w14:textId="77777777" w:rsidR="00B50E8C" w:rsidRDefault="00B50E8C">
      <w:pPr>
        <w:pBdr>
          <w:top w:val="nil"/>
          <w:left w:val="nil"/>
          <w:bottom w:val="nil"/>
          <w:right w:val="nil"/>
          <w:between w:val="nil"/>
        </w:pBdr>
        <w:jc w:val="both"/>
        <w:rPr>
          <w:rFonts w:ascii="Arial" w:eastAsia="Arial" w:hAnsi="Arial" w:cs="Arial"/>
          <w:color w:val="000000"/>
        </w:rPr>
      </w:pPr>
    </w:p>
    <w:p w14:paraId="4BF4B71C"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rPr>
        <w:t>Simple random sampling was implemented to ensure that employees from various departments and employment classifications</w:t>
      </w:r>
      <w:r>
        <w:rPr>
          <w:rFonts w:ascii="Arial" w:eastAsia="Arial" w:hAnsi="Arial" w:cs="Arial"/>
          <w:color w:val="EE0000"/>
        </w:rPr>
        <w:t xml:space="preserve"> </w:t>
      </w:r>
      <w:r>
        <w:rPr>
          <w:rFonts w:ascii="Arial" w:eastAsia="Arial" w:hAnsi="Arial" w:cs="Arial"/>
          <w:color w:val="000000"/>
        </w:rPr>
        <w:t>had an equal probability of selection. This approach minimized selection bias and improved representativeness across employment classifications.</w:t>
      </w:r>
    </w:p>
    <w:p w14:paraId="0621782E" w14:textId="77777777" w:rsidR="00B50E8C" w:rsidRDefault="00B50E8C">
      <w:pPr>
        <w:pBdr>
          <w:top w:val="nil"/>
          <w:left w:val="nil"/>
          <w:bottom w:val="nil"/>
          <w:right w:val="nil"/>
          <w:between w:val="nil"/>
        </w:pBdr>
        <w:jc w:val="both"/>
        <w:rPr>
          <w:rFonts w:ascii="Arial" w:eastAsia="Arial" w:hAnsi="Arial" w:cs="Arial"/>
          <w:b/>
          <w:bCs/>
          <w:color w:val="000000"/>
        </w:rPr>
      </w:pPr>
      <w:bookmarkStart w:id="6" w:name="_heading=h.b3t5o5zeqdzo" w:colFirst="0" w:colLast="0"/>
      <w:bookmarkEnd w:id="6"/>
    </w:p>
    <w:p w14:paraId="4D0C295E" w14:textId="77777777" w:rsidR="00B50E8C" w:rsidRDefault="00F37AE9">
      <w:pPr>
        <w:pBdr>
          <w:top w:val="nil"/>
          <w:left w:val="nil"/>
          <w:bottom w:val="nil"/>
          <w:right w:val="nil"/>
          <w:between w:val="nil"/>
        </w:pBdr>
        <w:jc w:val="both"/>
        <w:rPr>
          <w:rFonts w:ascii="Arial" w:eastAsia="Arial" w:hAnsi="Arial" w:cs="Arial"/>
          <w:b/>
          <w:bCs/>
          <w:color w:val="000000"/>
        </w:rPr>
      </w:pPr>
      <w:bookmarkStart w:id="7" w:name="_heading=h.hrxx232m0apj" w:colFirst="0" w:colLast="0"/>
      <w:bookmarkEnd w:id="7"/>
      <w:r>
        <w:rPr>
          <w:rFonts w:ascii="Arial" w:eastAsia="Arial" w:hAnsi="Arial" w:cs="Arial"/>
          <w:b/>
          <w:bCs/>
          <w:color w:val="000000"/>
        </w:rPr>
        <w:t>Research Instrument</w:t>
      </w:r>
    </w:p>
    <w:p w14:paraId="669BDEE0"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Data were collected using a structured questionnaire adapted from instruments developed by the Civil Service Commission (CSC, 2020) for measuring Public Service Values and Public Service Motivation. The survey consisted of three sections:</w:t>
      </w:r>
    </w:p>
    <w:p w14:paraId="04C22E84" w14:textId="77777777" w:rsidR="00B50E8C" w:rsidRDefault="00F37AE9">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Public Service Values (PSV) – Initially composed of 31 items across four theoretical dimensions: patriotism (8 items), integrity (6 items), excellence (7 items), and spirituality (10 items).</w:t>
      </w:r>
    </w:p>
    <w:p w14:paraId="287F2A16" w14:textId="77777777" w:rsidR="00B50E8C" w:rsidRDefault="00F37AE9">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Public Service Motivation (PSM) – Initially composed of 20 items reflecting a unidimensional construct of motivation to serve the public interest.</w:t>
      </w:r>
    </w:p>
    <w:p w14:paraId="317E674F" w14:textId="77777777" w:rsidR="00B50E8C" w:rsidRDefault="00F37AE9">
      <w:pPr>
        <w:numPr>
          <w:ilvl w:val="0"/>
          <w:numId w:val="1"/>
        </w:numPr>
        <w:pBdr>
          <w:top w:val="nil"/>
          <w:left w:val="nil"/>
          <w:bottom w:val="nil"/>
          <w:right w:val="nil"/>
          <w:between w:val="nil"/>
        </w:pBdr>
        <w:jc w:val="both"/>
        <w:rPr>
          <w:rFonts w:ascii="Arial" w:eastAsia="Arial" w:hAnsi="Arial" w:cs="Arial"/>
          <w:color w:val="EE0000"/>
        </w:rPr>
      </w:pPr>
      <w:r>
        <w:rPr>
          <w:rFonts w:ascii="Arial" w:eastAsia="Arial" w:hAnsi="Arial" w:cs="Arial"/>
          <w:color w:val="000000"/>
        </w:rPr>
        <w:t xml:space="preserve">Employment Profile – </w:t>
      </w:r>
      <w:r>
        <w:rPr>
          <w:rFonts w:ascii="Arial" w:eastAsia="Arial" w:hAnsi="Arial" w:cs="Arial"/>
        </w:rPr>
        <w:t>Including employment classification, career service -permanent, and non-career service-job order, contract of service, coterminous, department and length of service.</w:t>
      </w:r>
      <w:r>
        <w:rPr>
          <w:rFonts w:ascii="Arial" w:eastAsia="Arial" w:hAnsi="Arial" w:cs="Arial"/>
          <w:color w:val="EE0000"/>
        </w:rPr>
        <w:br/>
      </w:r>
    </w:p>
    <w:p w14:paraId="594E08F4" w14:textId="77777777" w:rsidR="00B50E8C" w:rsidRDefault="00F37AE9">
      <w:pPr>
        <w:pBdr>
          <w:top w:val="nil"/>
          <w:left w:val="nil"/>
          <w:bottom w:val="nil"/>
          <w:right w:val="nil"/>
          <w:between w:val="nil"/>
        </w:pBdr>
        <w:jc w:val="both"/>
        <w:rPr>
          <w:rFonts w:ascii="Arial" w:eastAsia="Arial" w:hAnsi="Arial" w:cs="Arial"/>
        </w:rPr>
      </w:pPr>
      <w:r>
        <w:rPr>
          <w:rFonts w:ascii="Arial" w:eastAsia="Arial" w:hAnsi="Arial" w:cs="Arial"/>
        </w:rPr>
        <w:t>PSV items were rated on a four-point frequency scale (1 = Never Internalize to 4 = Highly Internalize). PSM items were rated on a four-point agreement scale (1 = Very Low to 4 = Very High). The four-point format eliminated neutral responses and encouraged definitive positioning.</w:t>
      </w:r>
    </w:p>
    <w:p w14:paraId="21BA6EE1" w14:textId="77777777" w:rsidR="00B50E8C" w:rsidRDefault="00B50E8C">
      <w:pPr>
        <w:pBdr>
          <w:top w:val="nil"/>
          <w:left w:val="nil"/>
          <w:bottom w:val="nil"/>
          <w:right w:val="nil"/>
          <w:between w:val="nil"/>
        </w:pBdr>
        <w:jc w:val="both"/>
        <w:rPr>
          <w:rFonts w:ascii="Arial" w:eastAsia="Arial" w:hAnsi="Arial" w:cs="Arial"/>
          <w:b/>
          <w:bCs/>
          <w:color w:val="000000"/>
        </w:rPr>
      </w:pPr>
      <w:bookmarkStart w:id="8" w:name="_heading=h.bhxminfsmr8e" w:colFirst="0" w:colLast="0"/>
      <w:bookmarkEnd w:id="8"/>
    </w:p>
    <w:p w14:paraId="083C7958" w14:textId="77777777" w:rsidR="00B50E8C" w:rsidRDefault="00F37AE9">
      <w:pPr>
        <w:pBdr>
          <w:top w:val="nil"/>
          <w:left w:val="nil"/>
          <w:bottom w:val="nil"/>
          <w:right w:val="nil"/>
          <w:between w:val="nil"/>
        </w:pBdr>
        <w:jc w:val="both"/>
        <w:rPr>
          <w:rFonts w:ascii="Arial" w:eastAsia="Arial" w:hAnsi="Arial" w:cs="Arial"/>
          <w:b/>
          <w:bCs/>
          <w:color w:val="000000"/>
        </w:rPr>
      </w:pPr>
      <w:bookmarkStart w:id="9" w:name="_heading=h.rymsd5yyqmpi" w:colFirst="0" w:colLast="0"/>
      <w:bookmarkEnd w:id="9"/>
      <w:r>
        <w:rPr>
          <w:rFonts w:ascii="Arial" w:eastAsia="Arial" w:hAnsi="Arial" w:cs="Arial"/>
          <w:b/>
          <w:bCs/>
          <w:color w:val="000000"/>
        </w:rPr>
        <w:t>Validity and Reliability</w:t>
      </w:r>
    </w:p>
    <w:p w14:paraId="1307E303" w14:textId="77777777" w:rsidR="00B50E8C" w:rsidRDefault="00F37AE9">
      <w:pPr>
        <w:pBdr>
          <w:top w:val="nil"/>
          <w:left w:val="nil"/>
          <w:bottom w:val="nil"/>
          <w:right w:val="nil"/>
          <w:between w:val="nil"/>
        </w:pBdr>
        <w:spacing w:after="240"/>
        <w:jc w:val="both"/>
        <w:rPr>
          <w:rFonts w:ascii="Arial" w:eastAsia="Arial" w:hAnsi="Arial" w:cs="Arial"/>
          <w:i/>
          <w:iCs/>
          <w:color w:val="000000"/>
        </w:rPr>
      </w:pPr>
      <w:bookmarkStart w:id="10" w:name="_heading=h.fu35fdnxvrpt" w:colFirst="0" w:colLast="0"/>
      <w:bookmarkEnd w:id="10"/>
      <w:r>
        <w:rPr>
          <w:rFonts w:ascii="Arial" w:eastAsia="Arial" w:hAnsi="Arial" w:cs="Arial"/>
          <w:i/>
          <w:iCs/>
          <w:color w:val="000000"/>
        </w:rPr>
        <w:t>Content and Face Validity</w:t>
      </w:r>
    </w:p>
    <w:p w14:paraId="309CACDA"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Content validation was conducted by aligning the PSV items with Republic Act 6713 (Code of Conduct and Ethical Standards for Public Officials and Employees) and CSC Public Service Values Program materials. Seven experts in public administration and survey methodology reviewed the instrument for clarity, relevance, and construct representation. Items were revised or removed based on expert feedback.</w:t>
      </w:r>
    </w:p>
    <w:p w14:paraId="059FFAF8" w14:textId="77777777" w:rsidR="00B50E8C" w:rsidRDefault="00B50E8C">
      <w:pPr>
        <w:pBdr>
          <w:top w:val="nil"/>
          <w:left w:val="nil"/>
          <w:bottom w:val="nil"/>
          <w:right w:val="nil"/>
          <w:between w:val="nil"/>
        </w:pBdr>
        <w:jc w:val="both"/>
        <w:rPr>
          <w:rFonts w:ascii="Arial" w:eastAsia="Arial" w:hAnsi="Arial" w:cs="Arial"/>
          <w:i/>
          <w:iCs/>
          <w:color w:val="000000"/>
        </w:rPr>
      </w:pPr>
      <w:bookmarkStart w:id="11" w:name="_heading=h.ezrrkc1m6jeg" w:colFirst="0" w:colLast="0"/>
      <w:bookmarkEnd w:id="11"/>
    </w:p>
    <w:p w14:paraId="656BB26A" w14:textId="77777777" w:rsidR="00B50E8C" w:rsidRDefault="00F37AE9">
      <w:pPr>
        <w:pBdr>
          <w:top w:val="nil"/>
          <w:left w:val="nil"/>
          <w:bottom w:val="nil"/>
          <w:right w:val="nil"/>
          <w:between w:val="nil"/>
        </w:pBdr>
        <w:jc w:val="both"/>
        <w:rPr>
          <w:rFonts w:ascii="Arial" w:eastAsia="Arial" w:hAnsi="Arial" w:cs="Arial"/>
          <w:i/>
          <w:iCs/>
          <w:color w:val="000000"/>
        </w:rPr>
      </w:pPr>
      <w:bookmarkStart w:id="12" w:name="_heading=h.8e4yj0m0xd51" w:colFirst="0" w:colLast="0"/>
      <w:bookmarkEnd w:id="12"/>
      <w:r>
        <w:rPr>
          <w:rFonts w:ascii="Arial" w:eastAsia="Arial" w:hAnsi="Arial" w:cs="Arial"/>
          <w:i/>
          <w:iCs/>
          <w:color w:val="000000"/>
        </w:rPr>
        <w:t>Construct Validation</w:t>
      </w:r>
    </w:p>
    <w:p w14:paraId="6FA880C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Principal Component Analysis (PCA) was performed separately for PSV and PSM to examine construct validity and reduce items to empirically supported components.</w:t>
      </w:r>
    </w:p>
    <w:p w14:paraId="2E61E85A" w14:textId="77777777" w:rsidR="00B50E8C" w:rsidRDefault="00B50E8C">
      <w:pPr>
        <w:pBdr>
          <w:top w:val="nil"/>
          <w:left w:val="nil"/>
          <w:bottom w:val="nil"/>
          <w:right w:val="nil"/>
          <w:between w:val="nil"/>
        </w:pBdr>
        <w:jc w:val="both"/>
        <w:rPr>
          <w:rFonts w:ascii="Arial" w:eastAsia="Arial" w:hAnsi="Arial" w:cs="Arial"/>
          <w:color w:val="000000"/>
        </w:rPr>
      </w:pPr>
    </w:p>
    <w:p w14:paraId="7D1BA13A"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For PSV, six PCA iterations were conducted. The Kaiser–Meyer–Olkin (KMO) Measure of Sampling Adequacy was .879, exceeding the recommended .60 threshold. Bartlett’s Test of Sphericity was significant (χ² = 2172.894, p &lt; .001), confirming suitability for factor analysis. Thirteen items met the criteria of communalities greater than .30 and eigenvalues above 1.0. These items explained 64.18% of the cumulative variance. The final </w:t>
      </w:r>
    </w:p>
    <w:p w14:paraId="28053ACA" w14:textId="77777777" w:rsidR="00B50E8C" w:rsidRDefault="00B50E8C">
      <w:pPr>
        <w:pBdr>
          <w:top w:val="nil"/>
          <w:left w:val="nil"/>
          <w:bottom w:val="nil"/>
          <w:right w:val="nil"/>
          <w:between w:val="nil"/>
        </w:pBdr>
        <w:jc w:val="both"/>
        <w:rPr>
          <w:rFonts w:ascii="Arial" w:eastAsia="Arial" w:hAnsi="Arial" w:cs="Arial"/>
          <w:color w:val="000000"/>
        </w:rPr>
      </w:pPr>
    </w:p>
    <w:p w14:paraId="6BAD0FA7"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PSV scale demonstrated strong internal consistency (Cronbach’s α = .87).</w:t>
      </w:r>
    </w:p>
    <w:p w14:paraId="693E6351"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For PSM, five PCA iterations were conducted. The KMO value was .934, indicating excellent sampling adequacy, and Bartlett’s Test was significant (χ² = 2047.133, p &lt; .001). Eleven items loaded onto a single component with loadings ranging from .603 to .807 and explained 55.24% of total variance. The final PSM scale exhibited high reliability (Cronbach’s α = .91).</w:t>
      </w:r>
    </w:p>
    <w:p w14:paraId="1974F8C3" w14:textId="77777777" w:rsidR="00B50E8C" w:rsidRDefault="00B50E8C">
      <w:pPr>
        <w:pBdr>
          <w:top w:val="nil"/>
          <w:left w:val="nil"/>
          <w:bottom w:val="nil"/>
          <w:right w:val="nil"/>
          <w:between w:val="nil"/>
        </w:pBdr>
        <w:jc w:val="both"/>
        <w:rPr>
          <w:rFonts w:ascii="Arial" w:eastAsia="Arial" w:hAnsi="Arial" w:cs="Arial"/>
          <w:color w:val="000000"/>
        </w:rPr>
      </w:pPr>
    </w:p>
    <w:p w14:paraId="37781E9E"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These results indicate that both PSV and PSM scales demonstrated satisfactory construct validity and internal consistency for inferential analysis.</w:t>
      </w:r>
    </w:p>
    <w:p w14:paraId="163B5BB5" w14:textId="77777777" w:rsidR="00B50E8C" w:rsidRDefault="00B50E8C">
      <w:pPr>
        <w:pBdr>
          <w:top w:val="nil"/>
          <w:left w:val="nil"/>
          <w:bottom w:val="nil"/>
          <w:right w:val="nil"/>
          <w:between w:val="nil"/>
        </w:pBdr>
        <w:jc w:val="both"/>
        <w:rPr>
          <w:rFonts w:ascii="Arial" w:eastAsia="Arial" w:hAnsi="Arial" w:cs="Arial"/>
          <w:b/>
          <w:bCs/>
          <w:color w:val="000000"/>
        </w:rPr>
      </w:pPr>
      <w:bookmarkStart w:id="13" w:name="_heading=h.m5osnjd11w1l" w:colFirst="0" w:colLast="0"/>
      <w:bookmarkEnd w:id="13"/>
    </w:p>
    <w:p w14:paraId="7E39ED17" w14:textId="77777777" w:rsidR="00B50E8C" w:rsidRDefault="00F37AE9">
      <w:pPr>
        <w:pBdr>
          <w:top w:val="nil"/>
          <w:left w:val="nil"/>
          <w:bottom w:val="nil"/>
          <w:right w:val="nil"/>
          <w:between w:val="nil"/>
        </w:pBdr>
        <w:jc w:val="both"/>
        <w:rPr>
          <w:rFonts w:ascii="Arial" w:eastAsia="Arial" w:hAnsi="Arial" w:cs="Arial"/>
          <w:b/>
          <w:bCs/>
          <w:color w:val="000000"/>
        </w:rPr>
      </w:pPr>
      <w:bookmarkStart w:id="14" w:name="_heading=h.anz79qr3jgh8" w:colFirst="0" w:colLast="0"/>
      <w:bookmarkEnd w:id="14"/>
      <w:r>
        <w:rPr>
          <w:rFonts w:ascii="Arial" w:eastAsia="Arial" w:hAnsi="Arial" w:cs="Arial"/>
          <w:b/>
          <w:bCs/>
          <w:color w:val="000000"/>
        </w:rPr>
        <w:t>Data Collection Procedure</w:t>
      </w:r>
    </w:p>
    <w:p w14:paraId="0F49905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Data were collected through both online and onsite survey administration. Invitations explaining the purpose of the study, voluntary nature of participation, and confidentiality safeguards were distributed via official communication channels. Respondents provided informed consent prior to participation. The data collection period lasted four weeks, with periodic reminders issued to enhance response rates.</w:t>
      </w:r>
    </w:p>
    <w:p w14:paraId="1433B66C" w14:textId="77777777" w:rsidR="00B50E8C" w:rsidRDefault="00B50E8C">
      <w:pPr>
        <w:pBdr>
          <w:top w:val="nil"/>
          <w:left w:val="nil"/>
          <w:bottom w:val="nil"/>
          <w:right w:val="nil"/>
          <w:between w:val="nil"/>
        </w:pBdr>
        <w:jc w:val="both"/>
        <w:rPr>
          <w:rFonts w:ascii="Arial" w:eastAsia="Arial" w:hAnsi="Arial" w:cs="Arial"/>
          <w:b/>
          <w:bCs/>
          <w:color w:val="000000"/>
        </w:rPr>
      </w:pPr>
      <w:bookmarkStart w:id="15" w:name="_heading=h.ut9umrakfrrg" w:colFirst="0" w:colLast="0"/>
      <w:bookmarkEnd w:id="15"/>
    </w:p>
    <w:p w14:paraId="1EEA0C07" w14:textId="77777777" w:rsidR="00B50E8C" w:rsidRDefault="00F37AE9">
      <w:pPr>
        <w:pBdr>
          <w:top w:val="nil"/>
          <w:left w:val="nil"/>
          <w:bottom w:val="nil"/>
          <w:right w:val="nil"/>
          <w:between w:val="nil"/>
        </w:pBdr>
        <w:jc w:val="both"/>
        <w:rPr>
          <w:rFonts w:ascii="Arial" w:eastAsia="Arial" w:hAnsi="Arial" w:cs="Arial"/>
          <w:b/>
          <w:bCs/>
          <w:color w:val="000000"/>
        </w:rPr>
      </w:pPr>
      <w:bookmarkStart w:id="16" w:name="_heading=h.33453go6ac0t" w:colFirst="0" w:colLast="0"/>
      <w:bookmarkEnd w:id="16"/>
      <w:r>
        <w:rPr>
          <w:rFonts w:ascii="Arial" w:eastAsia="Arial" w:hAnsi="Arial" w:cs="Arial"/>
          <w:b/>
          <w:bCs/>
          <w:color w:val="000000"/>
        </w:rPr>
        <w:t>Data Analysis</w:t>
      </w:r>
    </w:p>
    <w:p w14:paraId="13DC2444"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Data were analyzed using SPSS Version 27. Statistical procedures were aligned with each research question:</w:t>
      </w:r>
    </w:p>
    <w:p w14:paraId="7F67EF42" w14:textId="77777777" w:rsidR="00B50E8C" w:rsidRDefault="00F37AE9">
      <w:pPr>
        <w:pBdr>
          <w:top w:val="nil"/>
          <w:left w:val="nil"/>
          <w:bottom w:val="nil"/>
          <w:right w:val="nil"/>
          <w:between w:val="nil"/>
        </w:pBdr>
        <w:jc w:val="both"/>
        <w:rPr>
          <w:rFonts w:ascii="Arial" w:eastAsia="Arial" w:hAnsi="Arial" w:cs="Arial"/>
          <w:color w:val="000000"/>
        </w:rPr>
      </w:pPr>
      <w:bookmarkStart w:id="17" w:name="_heading=h.vyftqb8uok7v" w:colFirst="0" w:colLast="0"/>
      <w:bookmarkEnd w:id="17"/>
      <w:r>
        <w:rPr>
          <w:rFonts w:ascii="Arial" w:eastAsia="Arial" w:hAnsi="Arial" w:cs="Arial"/>
          <w:i/>
          <w:iCs/>
          <w:color w:val="000000"/>
        </w:rPr>
        <w:t xml:space="preserve">Research Question 1: </w:t>
      </w:r>
      <w:r>
        <w:rPr>
          <w:rFonts w:ascii="Arial" w:eastAsia="Arial" w:hAnsi="Arial" w:cs="Arial"/>
          <w:color w:val="000000"/>
        </w:rPr>
        <w:t>What is the relationship between Public Service Values and Public Service Motivation?</w:t>
      </w:r>
    </w:p>
    <w:p w14:paraId="5152BDC6" w14:textId="77777777" w:rsidR="00B50E8C" w:rsidRDefault="00B50E8C">
      <w:pPr>
        <w:pBdr>
          <w:top w:val="nil"/>
          <w:left w:val="nil"/>
          <w:bottom w:val="nil"/>
          <w:right w:val="nil"/>
          <w:between w:val="nil"/>
        </w:pBdr>
        <w:jc w:val="both"/>
        <w:rPr>
          <w:rFonts w:ascii="Arial" w:eastAsia="Arial" w:hAnsi="Arial" w:cs="Arial"/>
          <w:color w:val="000000"/>
        </w:rPr>
      </w:pPr>
    </w:p>
    <w:p w14:paraId="6E472613"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Descriptive statistics (mean and standard deviation) were computed for PSV and PSM indices. Pearson’s product–moment correlation analysis was conducted to determine the strength and direction of association between PSV and PSM. To further examine predictive influence, multiple linear regression analysis was performed with PSM as the dependent variable and PSV as the independent variable. Significance was set at p &lt; .05.</w:t>
      </w:r>
    </w:p>
    <w:p w14:paraId="3A8C9C3E" w14:textId="77777777" w:rsidR="00B50E8C" w:rsidRDefault="00B50E8C">
      <w:pPr>
        <w:pBdr>
          <w:top w:val="nil"/>
          <w:left w:val="nil"/>
          <w:bottom w:val="nil"/>
          <w:right w:val="nil"/>
          <w:between w:val="nil"/>
        </w:pBdr>
        <w:jc w:val="both"/>
        <w:rPr>
          <w:rFonts w:ascii="Arial" w:eastAsia="Arial" w:hAnsi="Arial" w:cs="Arial"/>
          <w:i/>
          <w:iCs/>
          <w:color w:val="000000"/>
        </w:rPr>
      </w:pPr>
      <w:bookmarkStart w:id="18" w:name="_heading=h.h6xb1qre9o5f" w:colFirst="0" w:colLast="0"/>
      <w:bookmarkEnd w:id="18"/>
    </w:p>
    <w:p w14:paraId="3F52BB62" w14:textId="77777777" w:rsidR="00B50E8C" w:rsidRDefault="00F37AE9">
      <w:pPr>
        <w:pBdr>
          <w:top w:val="nil"/>
          <w:left w:val="nil"/>
          <w:bottom w:val="nil"/>
          <w:right w:val="nil"/>
          <w:between w:val="nil"/>
        </w:pBdr>
        <w:jc w:val="both"/>
        <w:rPr>
          <w:rFonts w:ascii="Arial" w:eastAsia="Arial" w:hAnsi="Arial" w:cs="Arial"/>
          <w:color w:val="000000"/>
        </w:rPr>
      </w:pPr>
      <w:bookmarkStart w:id="19" w:name="_heading=h.eashh0vyduko" w:colFirst="0" w:colLast="0"/>
      <w:bookmarkEnd w:id="19"/>
      <w:r>
        <w:rPr>
          <w:rFonts w:ascii="Arial" w:eastAsia="Arial" w:hAnsi="Arial" w:cs="Arial"/>
          <w:i/>
          <w:iCs/>
          <w:color w:val="000000"/>
        </w:rPr>
        <w:t>Research Question 2:</w:t>
      </w:r>
      <w:r>
        <w:rPr>
          <w:rFonts w:ascii="Arial" w:eastAsia="Arial" w:hAnsi="Arial" w:cs="Arial"/>
          <w:color w:val="000000"/>
        </w:rPr>
        <w:t xml:space="preserve"> Does mode of entry affect internalization of Public Service Values?</w:t>
      </w:r>
    </w:p>
    <w:p w14:paraId="63EB75AB" w14:textId="77777777" w:rsidR="00B50E8C" w:rsidRDefault="00B50E8C">
      <w:pPr>
        <w:pBdr>
          <w:top w:val="nil"/>
          <w:left w:val="nil"/>
          <w:bottom w:val="nil"/>
          <w:right w:val="nil"/>
          <w:between w:val="nil"/>
        </w:pBdr>
        <w:jc w:val="both"/>
        <w:rPr>
          <w:rFonts w:ascii="Arial" w:eastAsia="Arial" w:hAnsi="Arial" w:cs="Arial"/>
          <w:color w:val="000000"/>
        </w:rPr>
      </w:pPr>
    </w:p>
    <w:p w14:paraId="5B0DFD82"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 determine whether PSV scores differ across appointment categories, one-way Analysis of Variance (ANOVA) was conducted. Post hoc comparisons using Tukey’s HSD test were performed where significant differences were detected. Effect sizes (η²) were calculated to assess practical significance.</w:t>
      </w:r>
    </w:p>
    <w:p w14:paraId="42C33CA4" w14:textId="77777777" w:rsidR="00B50E8C" w:rsidRDefault="00B50E8C">
      <w:pPr>
        <w:pBdr>
          <w:top w:val="nil"/>
          <w:left w:val="nil"/>
          <w:bottom w:val="nil"/>
          <w:right w:val="nil"/>
          <w:between w:val="nil"/>
        </w:pBdr>
        <w:jc w:val="both"/>
        <w:rPr>
          <w:rFonts w:ascii="Arial" w:eastAsia="Arial" w:hAnsi="Arial" w:cs="Arial"/>
          <w:i/>
          <w:iCs/>
          <w:color w:val="000000"/>
        </w:rPr>
      </w:pPr>
      <w:bookmarkStart w:id="20" w:name="_heading=h.fhuwlfnc0ilw" w:colFirst="0" w:colLast="0"/>
      <w:bookmarkEnd w:id="20"/>
    </w:p>
    <w:p w14:paraId="56FA464E" w14:textId="77777777" w:rsidR="00B50E8C" w:rsidRDefault="00F37AE9">
      <w:pPr>
        <w:pBdr>
          <w:top w:val="nil"/>
          <w:left w:val="nil"/>
          <w:bottom w:val="nil"/>
          <w:right w:val="nil"/>
          <w:between w:val="nil"/>
        </w:pBdr>
        <w:jc w:val="both"/>
        <w:rPr>
          <w:rFonts w:ascii="Arial" w:eastAsia="Arial" w:hAnsi="Arial" w:cs="Arial"/>
          <w:color w:val="000000"/>
        </w:rPr>
      </w:pPr>
      <w:bookmarkStart w:id="21" w:name="_heading=h.vq7rgfywznwl" w:colFirst="0" w:colLast="0"/>
      <w:bookmarkEnd w:id="21"/>
      <w:r>
        <w:rPr>
          <w:rFonts w:ascii="Arial" w:eastAsia="Arial" w:hAnsi="Arial" w:cs="Arial"/>
          <w:i/>
          <w:iCs/>
          <w:color w:val="000000"/>
        </w:rPr>
        <w:t xml:space="preserve">Research Question 3: </w:t>
      </w:r>
      <w:r>
        <w:rPr>
          <w:rFonts w:ascii="Arial" w:eastAsia="Arial" w:hAnsi="Arial" w:cs="Arial"/>
          <w:color w:val="000000"/>
        </w:rPr>
        <w:t>Does mode of entry affect level of Public Service Motivation?</w:t>
      </w:r>
    </w:p>
    <w:p w14:paraId="5A67F94C" w14:textId="77777777" w:rsidR="00B50E8C" w:rsidRDefault="00B50E8C">
      <w:pPr>
        <w:pBdr>
          <w:top w:val="nil"/>
          <w:left w:val="nil"/>
          <w:bottom w:val="nil"/>
          <w:right w:val="nil"/>
          <w:between w:val="nil"/>
        </w:pBdr>
        <w:jc w:val="both"/>
        <w:rPr>
          <w:rFonts w:ascii="Arial" w:eastAsia="Arial" w:hAnsi="Arial" w:cs="Arial"/>
          <w:color w:val="000000"/>
        </w:rPr>
      </w:pPr>
    </w:p>
    <w:p w14:paraId="61D3C614"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Similarly, one-way ANOVA was used to test differences in PSM scores across </w:t>
      </w:r>
      <w:r>
        <w:rPr>
          <w:rFonts w:ascii="Arial" w:eastAsia="Arial" w:hAnsi="Arial" w:cs="Arial"/>
        </w:rPr>
        <w:t>mode of entry</w:t>
      </w:r>
      <w:r>
        <w:rPr>
          <w:rFonts w:ascii="Arial" w:eastAsia="Arial" w:hAnsi="Arial" w:cs="Arial"/>
          <w:color w:val="000000"/>
        </w:rPr>
        <w:t>. Where assumptions of homogeneity of variance were violated, Welch’s ANOVA was applied. Post hoc analysis identified specific group differences.</w:t>
      </w:r>
    </w:p>
    <w:p w14:paraId="1462D592" w14:textId="77777777" w:rsidR="00B50E8C" w:rsidRDefault="00B50E8C">
      <w:pPr>
        <w:pBdr>
          <w:top w:val="nil"/>
          <w:left w:val="nil"/>
          <w:bottom w:val="nil"/>
          <w:right w:val="nil"/>
          <w:between w:val="nil"/>
        </w:pBdr>
        <w:jc w:val="both"/>
        <w:rPr>
          <w:rFonts w:ascii="Arial" w:eastAsia="Arial" w:hAnsi="Arial" w:cs="Arial"/>
        </w:rPr>
      </w:pPr>
    </w:p>
    <w:p w14:paraId="2EA7EF86"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Prior to inferential testing, assumptions of normality, linearity, independence, and homoscedasticity were examined. Missing data were minimal and handled through listwise deletion.</w:t>
      </w:r>
    </w:p>
    <w:p w14:paraId="7B9CA4F8" w14:textId="77777777" w:rsidR="00B50E8C" w:rsidRDefault="00B50E8C">
      <w:pPr>
        <w:pBdr>
          <w:top w:val="nil"/>
          <w:left w:val="nil"/>
          <w:bottom w:val="nil"/>
          <w:right w:val="nil"/>
          <w:between w:val="nil"/>
        </w:pBdr>
        <w:jc w:val="both"/>
        <w:rPr>
          <w:rFonts w:ascii="Arial" w:eastAsia="Arial" w:hAnsi="Arial" w:cs="Arial"/>
          <w:b/>
          <w:bCs/>
        </w:rPr>
      </w:pPr>
    </w:p>
    <w:p w14:paraId="4371AE43"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Ethical Considerations</w:t>
      </w:r>
    </w:p>
    <w:p w14:paraId="7B371707"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study adhered to ethical standards for social science research. Participation was voluntary, informed consent was obtained, and anonymity was maintained. No identifying information was reported. Data were stored securely and used solely for research purposes. The inclusion and exclusion criteria ensured that respondents were legally employed non-elective public servants capable of providing informed responses regarding institutional values and motivational orientation.</w:t>
      </w:r>
    </w:p>
    <w:p w14:paraId="0B7B6DD1" w14:textId="77777777" w:rsidR="00B50E8C" w:rsidRDefault="00B50E8C">
      <w:pPr>
        <w:pBdr>
          <w:top w:val="nil"/>
          <w:left w:val="nil"/>
          <w:bottom w:val="nil"/>
          <w:right w:val="nil"/>
          <w:between w:val="nil"/>
        </w:pBdr>
        <w:jc w:val="both"/>
        <w:rPr>
          <w:rFonts w:ascii="Arial" w:eastAsia="Arial" w:hAnsi="Arial" w:cs="Arial"/>
          <w:color w:val="000000"/>
        </w:rPr>
      </w:pPr>
    </w:p>
    <w:p w14:paraId="1930B196" w14:textId="77777777" w:rsidR="00B50E8C" w:rsidRDefault="00F37A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14:paraId="7C1985FB" w14:textId="77777777" w:rsidR="00B50E8C" w:rsidRDefault="00B50E8C">
      <w:pPr>
        <w:keepNext/>
        <w:pBdr>
          <w:top w:val="nil"/>
          <w:left w:val="nil"/>
          <w:bottom w:val="nil"/>
          <w:right w:val="nil"/>
          <w:between w:val="nil"/>
        </w:pBdr>
        <w:jc w:val="both"/>
        <w:rPr>
          <w:rFonts w:ascii="Arial" w:eastAsia="Arial" w:hAnsi="Arial" w:cs="Arial"/>
          <w:b/>
          <w:bCs/>
          <w:smallCaps/>
          <w:color w:val="000000"/>
          <w:sz w:val="22"/>
          <w:szCs w:val="22"/>
        </w:rPr>
      </w:pPr>
    </w:p>
    <w:p w14:paraId="7A35DAC0"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Descriptive Analysis of Public Service Values and Motivation</w:t>
      </w:r>
    </w:p>
    <w:p w14:paraId="7F15FF97"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descriptive results reveal that respondents reported a high level of integration of Public Service Values (PSV) in their work, with an overall mean score of 3.74 on a four-point Likert scale. Among the employees, 85% scored within the “high” category, indicating that a substantial majority actively internalizes and demonstrates key public service values in their daily responsibilities. Notable items with high mean scores included expressions of team </w:t>
      </w:r>
      <w:r>
        <w:rPr>
          <w:rFonts w:ascii="Arial" w:eastAsia="Arial" w:hAnsi="Arial" w:cs="Arial"/>
          <w:color w:val="000000"/>
        </w:rPr>
        <w:lastRenderedPageBreak/>
        <w:t>orientation (M = 3.73, SD = 0.516), commitment to delivering high-quality services (M = 3.81, SD = 0.473), responsiveness to client needs (M = 3.81, SD = 0.461), and strong spiritual grounding, exemplified by “I give thanks for all blessings” (M = 3.94, SD = 0.270). Only one item, “I put the interest of others first” (M = 3.49, SD = 0.683), was rated as “fair,” suggesting that while prosocial values are strongly endorsed, extreme self-sacrificial tendencies are moderately internalized. These findings are consistent with prior research emphasizing that public service values encompass both ethical adherence and practical enactment in organizational settings (Perry, 1996; Kim, 2009).</w:t>
      </w:r>
    </w:p>
    <w:p w14:paraId="09FB5033" w14:textId="77777777" w:rsidR="00B50E8C" w:rsidRDefault="00B50E8C">
      <w:pPr>
        <w:pBdr>
          <w:top w:val="nil"/>
          <w:left w:val="nil"/>
          <w:bottom w:val="nil"/>
          <w:right w:val="nil"/>
          <w:between w:val="nil"/>
        </w:pBdr>
        <w:jc w:val="both"/>
        <w:rPr>
          <w:rFonts w:ascii="Arial" w:eastAsia="Arial" w:hAnsi="Arial" w:cs="Arial"/>
        </w:rPr>
      </w:pPr>
    </w:p>
    <w:p w14:paraId="09407040"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Similarly, respondents demonstrated a high level of Public Service Motivation (PSM), with an overall mean score of 3.60. The majority of respondents (65.7%) were classified as having high PSM, while 32.9% exhibited moderate motivation. Items reflecting intrinsic and prosocial motives received the highest ratings, such as deriving satisfaction from contributing to others’ welfare (M = 3.78, SD = 0.418) and helping people in need (M = 3.67, SD = 0.560). In contrast, items reflecting self-sacrifice—accepting personal hardships (M = 3.45, SD = 0.694) and putting aside personal interest (M = 3.48, SD = 0.653)—were only moderately endorsed. These patterns suggest that while employees exhibit strong prosocial motivation, they balance public commitment with personal and family responsibilities, reflecting contemporary interpretations of PSM that emphasize sustainable motivation rather than extreme altruism (Perry &amp; </w:t>
      </w:r>
      <w:proofErr w:type="spellStart"/>
      <w:r>
        <w:rPr>
          <w:rFonts w:ascii="Arial" w:eastAsia="Arial" w:hAnsi="Arial" w:cs="Arial"/>
          <w:color w:val="000000"/>
        </w:rPr>
        <w:t>Hondeghem</w:t>
      </w:r>
      <w:proofErr w:type="spellEnd"/>
      <w:r>
        <w:rPr>
          <w:rFonts w:ascii="Arial" w:eastAsia="Arial" w:hAnsi="Arial" w:cs="Arial"/>
          <w:color w:val="000000"/>
        </w:rPr>
        <w:t>, 2008; Ritz, Brewer, &amp; Neumann, 2016).</w:t>
      </w:r>
    </w:p>
    <w:p w14:paraId="081EF1D0"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convergence of high PSV and PSM scores suggests that values and motivation are closely intertwined in the Local Government Unit (LGU) context. Employees do not merely cognitively endorse public service values; they translate these values into action, demonstrating both ethical and prosocial behaviors. The prominence of spiritually grounded items further highlights the influence of socio-cultural factors in shaping ethical orientations, supporting findings in the Filipino context that spiritual and communal norms enhance prosocial behavior in public service (David, 2016; De Guzman &amp; David, 2018).</w:t>
      </w:r>
    </w:p>
    <w:p w14:paraId="262F72A2" w14:textId="77777777" w:rsidR="00B50E8C" w:rsidRDefault="00B50E8C">
      <w:pPr>
        <w:pBdr>
          <w:top w:val="nil"/>
          <w:left w:val="nil"/>
          <w:bottom w:val="nil"/>
          <w:right w:val="nil"/>
          <w:between w:val="nil"/>
        </w:pBdr>
        <w:jc w:val="both"/>
        <w:rPr>
          <w:rFonts w:ascii="Arial" w:eastAsia="Arial" w:hAnsi="Arial" w:cs="Arial"/>
        </w:rPr>
      </w:pPr>
    </w:p>
    <w:p w14:paraId="054D81EE" w14:textId="77777777" w:rsidR="00B50E8C" w:rsidRDefault="00F37A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bCs/>
          <w:color w:val="000000"/>
        </w:rPr>
        <w:t>Table 1.</w:t>
      </w:r>
      <w:r>
        <w:rPr>
          <w:rFonts w:ascii="Arial" w:eastAsia="Arial" w:hAnsi="Arial" w:cs="Arial"/>
          <w:color w:val="000000"/>
        </w:rPr>
        <w:t xml:space="preserve"> Descriptive Statistics of Public Service Values and Motivation</w:t>
      </w:r>
    </w:p>
    <w:tbl>
      <w:tblPr>
        <w:tblStyle w:val="a7"/>
        <w:tblW w:w="9150" w:type="dxa"/>
        <w:tblBorders>
          <w:top w:val="nil"/>
          <w:left w:val="nil"/>
          <w:bottom w:val="nil"/>
          <w:right w:val="nil"/>
          <w:insideH w:val="nil"/>
          <w:insideV w:val="nil"/>
        </w:tblBorders>
        <w:tblLayout w:type="fixed"/>
        <w:tblLook w:val="0600" w:firstRow="0" w:lastRow="0" w:firstColumn="0" w:lastColumn="0" w:noHBand="1" w:noVBand="1"/>
      </w:tblPr>
      <w:tblGrid>
        <w:gridCol w:w="1215"/>
        <w:gridCol w:w="2970"/>
        <w:gridCol w:w="780"/>
        <w:gridCol w:w="810"/>
        <w:gridCol w:w="600"/>
        <w:gridCol w:w="720"/>
        <w:gridCol w:w="2055"/>
      </w:tblGrid>
      <w:tr w:rsidR="00B50E8C" w14:paraId="34E84F65" w14:textId="77777777">
        <w:trPr>
          <w:trHeight w:val="770"/>
          <w:tblHeader/>
        </w:trPr>
        <w:tc>
          <w:tcPr>
            <w:tcW w:w="1215" w:type="dxa"/>
            <w:tcBorders>
              <w:top w:val="single" w:sz="8" w:space="0" w:color="000000"/>
              <w:left w:val="nil"/>
              <w:bottom w:val="single" w:sz="8" w:space="0" w:color="000000"/>
              <w:right w:val="nil"/>
            </w:tcBorders>
            <w:tcMar>
              <w:top w:w="100" w:type="dxa"/>
              <w:left w:w="100" w:type="dxa"/>
              <w:bottom w:w="100" w:type="dxa"/>
              <w:right w:w="100" w:type="dxa"/>
            </w:tcMar>
          </w:tcPr>
          <w:p w14:paraId="097E291B" w14:textId="77777777" w:rsidR="00B50E8C" w:rsidRDefault="00F37A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Variable</w:t>
            </w:r>
          </w:p>
        </w:tc>
        <w:tc>
          <w:tcPr>
            <w:tcW w:w="2970" w:type="dxa"/>
            <w:tcBorders>
              <w:top w:val="single" w:sz="8" w:space="0" w:color="000000"/>
              <w:left w:val="nil"/>
              <w:bottom w:val="single" w:sz="8" w:space="0" w:color="000000"/>
              <w:right w:val="nil"/>
            </w:tcBorders>
            <w:tcMar>
              <w:top w:w="100" w:type="dxa"/>
              <w:left w:w="100" w:type="dxa"/>
              <w:bottom w:w="100" w:type="dxa"/>
              <w:right w:w="100" w:type="dxa"/>
            </w:tcMar>
          </w:tcPr>
          <w:p w14:paraId="47FBB9A4" w14:textId="77777777" w:rsidR="00B50E8C" w:rsidRDefault="00F37A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Item Description</w:t>
            </w:r>
          </w:p>
        </w:tc>
        <w:tc>
          <w:tcPr>
            <w:tcW w:w="780" w:type="dxa"/>
            <w:tcBorders>
              <w:top w:val="single" w:sz="8" w:space="0" w:color="000000"/>
              <w:left w:val="nil"/>
              <w:bottom w:val="single" w:sz="8" w:space="0" w:color="000000"/>
              <w:right w:val="nil"/>
            </w:tcBorders>
            <w:tcMar>
              <w:top w:w="100" w:type="dxa"/>
              <w:left w:w="100" w:type="dxa"/>
              <w:bottom w:w="100" w:type="dxa"/>
              <w:right w:w="100" w:type="dxa"/>
            </w:tcMar>
          </w:tcPr>
          <w:p w14:paraId="1F0D9156" w14:textId="77777777" w:rsidR="00B50E8C" w:rsidRDefault="00F37A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Mean</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668D5207" w14:textId="77777777" w:rsidR="00B50E8C" w:rsidRDefault="00F37A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Std. Dev</w:t>
            </w:r>
          </w:p>
        </w:tc>
        <w:tc>
          <w:tcPr>
            <w:tcW w:w="600" w:type="dxa"/>
            <w:tcBorders>
              <w:top w:val="single" w:sz="8" w:space="0" w:color="000000"/>
              <w:left w:val="nil"/>
              <w:bottom w:val="single" w:sz="8" w:space="0" w:color="000000"/>
              <w:right w:val="nil"/>
            </w:tcBorders>
            <w:tcMar>
              <w:top w:w="100" w:type="dxa"/>
              <w:left w:w="100" w:type="dxa"/>
              <w:bottom w:w="100" w:type="dxa"/>
              <w:right w:w="100" w:type="dxa"/>
            </w:tcMar>
          </w:tcPr>
          <w:p w14:paraId="5690C2D0" w14:textId="77777777" w:rsidR="00B50E8C" w:rsidRDefault="00F37A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Min</w:t>
            </w:r>
          </w:p>
        </w:tc>
        <w:tc>
          <w:tcPr>
            <w:tcW w:w="720" w:type="dxa"/>
            <w:tcBorders>
              <w:top w:val="single" w:sz="8" w:space="0" w:color="000000"/>
              <w:left w:val="nil"/>
              <w:bottom w:val="single" w:sz="8" w:space="0" w:color="000000"/>
              <w:right w:val="nil"/>
            </w:tcBorders>
            <w:tcMar>
              <w:top w:w="100" w:type="dxa"/>
              <w:left w:w="100" w:type="dxa"/>
              <w:bottom w:w="100" w:type="dxa"/>
              <w:right w:w="100" w:type="dxa"/>
            </w:tcMar>
          </w:tcPr>
          <w:p w14:paraId="0A8E9176" w14:textId="77777777" w:rsidR="00B50E8C" w:rsidRDefault="00F37A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Max</w:t>
            </w:r>
          </w:p>
        </w:tc>
        <w:tc>
          <w:tcPr>
            <w:tcW w:w="2055" w:type="dxa"/>
            <w:tcBorders>
              <w:top w:val="single" w:sz="8" w:space="0" w:color="000000"/>
              <w:left w:val="nil"/>
              <w:bottom w:val="single" w:sz="8" w:space="0" w:color="000000"/>
              <w:right w:val="nil"/>
            </w:tcBorders>
            <w:tcMar>
              <w:top w:w="100" w:type="dxa"/>
              <w:left w:w="100" w:type="dxa"/>
              <w:bottom w:w="100" w:type="dxa"/>
              <w:right w:w="100" w:type="dxa"/>
            </w:tcMar>
          </w:tcPr>
          <w:p w14:paraId="1A6F24ED" w14:textId="77777777" w:rsidR="00B50E8C" w:rsidRDefault="00F37A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Level of </w:t>
            </w:r>
            <w:r w:rsidRPr="00F37AE9">
              <w:rPr>
                <w:rFonts w:ascii="Arial" w:eastAsia="Arial" w:hAnsi="Arial" w:cs="Arial"/>
                <w:color w:val="000000" w:themeColor="text1"/>
              </w:rPr>
              <w:t>Internalization</w:t>
            </w:r>
            <w:r>
              <w:rPr>
                <w:rFonts w:ascii="Arial" w:eastAsia="Arial" w:hAnsi="Arial" w:cs="Arial"/>
                <w:color w:val="EE0000"/>
              </w:rPr>
              <w:t xml:space="preserve"> </w:t>
            </w:r>
            <w:r>
              <w:rPr>
                <w:rFonts w:ascii="Arial" w:eastAsia="Arial" w:hAnsi="Arial" w:cs="Arial"/>
                <w:color w:val="000000"/>
              </w:rPr>
              <w:t>/ Motivation</w:t>
            </w:r>
          </w:p>
        </w:tc>
      </w:tr>
      <w:tr w:rsidR="00B50E8C" w14:paraId="21831B91" w14:textId="77777777">
        <w:trPr>
          <w:trHeight w:val="500"/>
        </w:trPr>
        <w:tc>
          <w:tcPr>
            <w:tcW w:w="1215" w:type="dxa"/>
            <w:tcBorders>
              <w:top w:val="single" w:sz="8" w:space="0" w:color="000000"/>
              <w:left w:val="nil"/>
              <w:bottom w:val="nil"/>
              <w:right w:val="nil"/>
            </w:tcBorders>
            <w:tcMar>
              <w:top w:w="100" w:type="dxa"/>
              <w:left w:w="100" w:type="dxa"/>
              <w:bottom w:w="100" w:type="dxa"/>
              <w:right w:w="100" w:type="dxa"/>
            </w:tcMar>
          </w:tcPr>
          <w:p w14:paraId="4F3AB17A"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PSV</w:t>
            </w:r>
          </w:p>
        </w:tc>
        <w:tc>
          <w:tcPr>
            <w:tcW w:w="2970" w:type="dxa"/>
            <w:tcBorders>
              <w:top w:val="single" w:sz="8" w:space="0" w:color="000000"/>
              <w:left w:val="nil"/>
              <w:bottom w:val="nil"/>
              <w:right w:val="nil"/>
            </w:tcBorders>
            <w:tcMar>
              <w:top w:w="100" w:type="dxa"/>
              <w:left w:w="100" w:type="dxa"/>
              <w:bottom w:w="100" w:type="dxa"/>
              <w:right w:w="100" w:type="dxa"/>
            </w:tcMar>
          </w:tcPr>
          <w:p w14:paraId="19B782B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Patronize Filipino products</w:t>
            </w:r>
          </w:p>
        </w:tc>
        <w:tc>
          <w:tcPr>
            <w:tcW w:w="780" w:type="dxa"/>
            <w:tcBorders>
              <w:top w:val="single" w:sz="8" w:space="0" w:color="000000"/>
              <w:left w:val="nil"/>
              <w:bottom w:val="nil"/>
              <w:right w:val="nil"/>
            </w:tcBorders>
            <w:tcMar>
              <w:top w:w="100" w:type="dxa"/>
              <w:left w:w="100" w:type="dxa"/>
              <w:bottom w:w="100" w:type="dxa"/>
              <w:right w:w="100" w:type="dxa"/>
            </w:tcMar>
          </w:tcPr>
          <w:p w14:paraId="301E87D0"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3.63</w:t>
            </w:r>
          </w:p>
        </w:tc>
        <w:tc>
          <w:tcPr>
            <w:tcW w:w="810" w:type="dxa"/>
            <w:tcBorders>
              <w:top w:val="single" w:sz="8" w:space="0" w:color="000000"/>
              <w:left w:val="nil"/>
              <w:bottom w:val="nil"/>
              <w:right w:val="nil"/>
            </w:tcBorders>
            <w:tcMar>
              <w:top w:w="100" w:type="dxa"/>
              <w:left w:w="100" w:type="dxa"/>
              <w:bottom w:w="100" w:type="dxa"/>
              <w:right w:w="100" w:type="dxa"/>
            </w:tcMar>
          </w:tcPr>
          <w:p w14:paraId="1E4D0E8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0.594</w:t>
            </w:r>
          </w:p>
        </w:tc>
        <w:tc>
          <w:tcPr>
            <w:tcW w:w="600" w:type="dxa"/>
            <w:tcBorders>
              <w:top w:val="single" w:sz="8" w:space="0" w:color="000000"/>
              <w:left w:val="nil"/>
              <w:bottom w:val="nil"/>
              <w:right w:val="nil"/>
            </w:tcBorders>
            <w:tcMar>
              <w:top w:w="100" w:type="dxa"/>
              <w:left w:w="100" w:type="dxa"/>
              <w:bottom w:w="100" w:type="dxa"/>
              <w:right w:w="100" w:type="dxa"/>
            </w:tcMar>
          </w:tcPr>
          <w:p w14:paraId="0D333454"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single" w:sz="8" w:space="0" w:color="000000"/>
              <w:left w:val="nil"/>
              <w:bottom w:val="nil"/>
              <w:right w:val="nil"/>
            </w:tcBorders>
            <w:tcMar>
              <w:top w:w="100" w:type="dxa"/>
              <w:left w:w="100" w:type="dxa"/>
              <w:bottom w:w="100" w:type="dxa"/>
              <w:right w:w="100" w:type="dxa"/>
            </w:tcMar>
          </w:tcPr>
          <w:p w14:paraId="006B217C"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single" w:sz="8" w:space="0" w:color="000000"/>
              <w:left w:val="nil"/>
              <w:bottom w:val="nil"/>
              <w:right w:val="nil"/>
            </w:tcBorders>
            <w:tcMar>
              <w:top w:w="100" w:type="dxa"/>
              <w:left w:w="100" w:type="dxa"/>
              <w:bottom w:w="100" w:type="dxa"/>
              <w:right w:w="100" w:type="dxa"/>
            </w:tcMar>
          </w:tcPr>
          <w:p w14:paraId="28F0308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High</w:t>
            </w:r>
            <w:r w:rsidR="00D06E4C">
              <w:rPr>
                <w:rFonts w:ascii="Arial" w:eastAsia="Arial" w:hAnsi="Arial" w:cs="Arial"/>
                <w:color w:val="000000"/>
              </w:rPr>
              <w:t xml:space="preserve">ly Internalized/ Very high </w:t>
            </w:r>
          </w:p>
        </w:tc>
      </w:tr>
      <w:tr w:rsidR="00B50E8C" w14:paraId="3148201B" w14:textId="77777777">
        <w:trPr>
          <w:trHeight w:val="500"/>
        </w:trPr>
        <w:tc>
          <w:tcPr>
            <w:tcW w:w="1215" w:type="dxa"/>
            <w:tcBorders>
              <w:top w:val="nil"/>
              <w:left w:val="nil"/>
              <w:bottom w:val="nil"/>
              <w:right w:val="nil"/>
            </w:tcBorders>
            <w:tcMar>
              <w:top w:w="100" w:type="dxa"/>
              <w:left w:w="100" w:type="dxa"/>
              <w:bottom w:w="100" w:type="dxa"/>
              <w:right w:w="100" w:type="dxa"/>
            </w:tcMar>
          </w:tcPr>
          <w:p w14:paraId="3DC54B33" w14:textId="77777777" w:rsidR="00B50E8C" w:rsidRDefault="00B50E8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54E2CA97"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Willing to sacrifice for country</w:t>
            </w:r>
          </w:p>
        </w:tc>
        <w:tc>
          <w:tcPr>
            <w:tcW w:w="780" w:type="dxa"/>
            <w:tcBorders>
              <w:top w:val="nil"/>
              <w:left w:val="nil"/>
              <w:bottom w:val="nil"/>
              <w:right w:val="nil"/>
            </w:tcBorders>
            <w:tcMar>
              <w:top w:w="100" w:type="dxa"/>
              <w:left w:w="100" w:type="dxa"/>
              <w:bottom w:w="100" w:type="dxa"/>
              <w:right w:w="100" w:type="dxa"/>
            </w:tcMar>
          </w:tcPr>
          <w:p w14:paraId="1B82E9F6"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3.51</w:t>
            </w:r>
          </w:p>
        </w:tc>
        <w:tc>
          <w:tcPr>
            <w:tcW w:w="810" w:type="dxa"/>
            <w:tcBorders>
              <w:top w:val="nil"/>
              <w:left w:val="nil"/>
              <w:bottom w:val="nil"/>
              <w:right w:val="nil"/>
            </w:tcBorders>
            <w:tcMar>
              <w:top w:w="100" w:type="dxa"/>
              <w:left w:w="100" w:type="dxa"/>
              <w:bottom w:w="100" w:type="dxa"/>
              <w:right w:w="100" w:type="dxa"/>
            </w:tcMar>
          </w:tcPr>
          <w:p w14:paraId="08563373"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0.762</w:t>
            </w:r>
          </w:p>
        </w:tc>
        <w:tc>
          <w:tcPr>
            <w:tcW w:w="600" w:type="dxa"/>
            <w:tcBorders>
              <w:top w:val="nil"/>
              <w:left w:val="nil"/>
              <w:bottom w:val="nil"/>
              <w:right w:val="nil"/>
            </w:tcBorders>
            <w:tcMar>
              <w:top w:w="100" w:type="dxa"/>
              <w:left w:w="100" w:type="dxa"/>
              <w:bottom w:w="100" w:type="dxa"/>
              <w:right w:w="100" w:type="dxa"/>
            </w:tcMar>
          </w:tcPr>
          <w:p w14:paraId="6E007547"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22A00EF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716B0267" w14:textId="77777777" w:rsidR="00B50E8C" w:rsidRDefault="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72BC1918" w14:textId="77777777">
        <w:trPr>
          <w:trHeight w:val="770"/>
        </w:trPr>
        <w:tc>
          <w:tcPr>
            <w:tcW w:w="1215" w:type="dxa"/>
            <w:tcBorders>
              <w:top w:val="nil"/>
              <w:left w:val="nil"/>
              <w:bottom w:val="nil"/>
              <w:right w:val="nil"/>
            </w:tcBorders>
            <w:tcMar>
              <w:top w:w="100" w:type="dxa"/>
              <w:left w:w="100" w:type="dxa"/>
              <w:bottom w:w="100" w:type="dxa"/>
              <w:right w:w="100" w:type="dxa"/>
            </w:tcMar>
          </w:tcPr>
          <w:p w14:paraId="37047ADC"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41EA159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Inspire others to take pride in being Filipino</w:t>
            </w:r>
          </w:p>
        </w:tc>
        <w:tc>
          <w:tcPr>
            <w:tcW w:w="780" w:type="dxa"/>
            <w:tcBorders>
              <w:top w:val="nil"/>
              <w:left w:val="nil"/>
              <w:bottom w:val="nil"/>
              <w:right w:val="nil"/>
            </w:tcBorders>
            <w:tcMar>
              <w:top w:w="100" w:type="dxa"/>
              <w:left w:w="100" w:type="dxa"/>
              <w:bottom w:w="100" w:type="dxa"/>
              <w:right w:w="100" w:type="dxa"/>
            </w:tcMar>
          </w:tcPr>
          <w:p w14:paraId="4C4B79F4"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3.62</w:t>
            </w:r>
          </w:p>
        </w:tc>
        <w:tc>
          <w:tcPr>
            <w:tcW w:w="810" w:type="dxa"/>
            <w:tcBorders>
              <w:top w:val="nil"/>
              <w:left w:val="nil"/>
              <w:bottom w:val="nil"/>
              <w:right w:val="nil"/>
            </w:tcBorders>
            <w:tcMar>
              <w:top w:w="100" w:type="dxa"/>
              <w:left w:w="100" w:type="dxa"/>
              <w:bottom w:w="100" w:type="dxa"/>
              <w:right w:w="100" w:type="dxa"/>
            </w:tcMar>
          </w:tcPr>
          <w:p w14:paraId="06926AA6"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0.677</w:t>
            </w:r>
          </w:p>
        </w:tc>
        <w:tc>
          <w:tcPr>
            <w:tcW w:w="600" w:type="dxa"/>
            <w:tcBorders>
              <w:top w:val="nil"/>
              <w:left w:val="nil"/>
              <w:bottom w:val="nil"/>
              <w:right w:val="nil"/>
            </w:tcBorders>
            <w:tcMar>
              <w:top w:w="100" w:type="dxa"/>
              <w:left w:w="100" w:type="dxa"/>
              <w:bottom w:w="100" w:type="dxa"/>
              <w:right w:w="100" w:type="dxa"/>
            </w:tcMar>
          </w:tcPr>
          <w:p w14:paraId="3A121016"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61FFF52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336CDF37"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65F89C09" w14:textId="77777777">
        <w:trPr>
          <w:trHeight w:val="500"/>
        </w:trPr>
        <w:tc>
          <w:tcPr>
            <w:tcW w:w="1215" w:type="dxa"/>
            <w:tcBorders>
              <w:top w:val="nil"/>
              <w:left w:val="nil"/>
              <w:bottom w:val="nil"/>
              <w:right w:val="nil"/>
            </w:tcBorders>
            <w:tcMar>
              <w:top w:w="100" w:type="dxa"/>
              <w:left w:w="100" w:type="dxa"/>
              <w:bottom w:w="100" w:type="dxa"/>
              <w:right w:w="100" w:type="dxa"/>
            </w:tcMar>
          </w:tcPr>
          <w:p w14:paraId="351B9EF0"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7FAD225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am a team worker</w:t>
            </w:r>
          </w:p>
        </w:tc>
        <w:tc>
          <w:tcPr>
            <w:tcW w:w="780" w:type="dxa"/>
            <w:tcBorders>
              <w:top w:val="nil"/>
              <w:left w:val="nil"/>
              <w:bottom w:val="nil"/>
              <w:right w:val="nil"/>
            </w:tcBorders>
            <w:tcMar>
              <w:top w:w="100" w:type="dxa"/>
              <w:left w:w="100" w:type="dxa"/>
              <w:bottom w:w="100" w:type="dxa"/>
              <w:right w:w="100" w:type="dxa"/>
            </w:tcMar>
          </w:tcPr>
          <w:p w14:paraId="300B7CE9"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3.73</w:t>
            </w:r>
          </w:p>
        </w:tc>
        <w:tc>
          <w:tcPr>
            <w:tcW w:w="810" w:type="dxa"/>
            <w:tcBorders>
              <w:top w:val="nil"/>
              <w:left w:val="nil"/>
              <w:bottom w:val="nil"/>
              <w:right w:val="nil"/>
            </w:tcBorders>
            <w:tcMar>
              <w:top w:w="100" w:type="dxa"/>
              <w:left w:w="100" w:type="dxa"/>
              <w:bottom w:w="100" w:type="dxa"/>
              <w:right w:w="100" w:type="dxa"/>
            </w:tcMar>
          </w:tcPr>
          <w:p w14:paraId="43C3C2B2"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0.516</w:t>
            </w:r>
          </w:p>
        </w:tc>
        <w:tc>
          <w:tcPr>
            <w:tcW w:w="600" w:type="dxa"/>
            <w:tcBorders>
              <w:top w:val="nil"/>
              <w:left w:val="nil"/>
              <w:bottom w:val="nil"/>
              <w:right w:val="nil"/>
            </w:tcBorders>
            <w:tcMar>
              <w:top w:w="100" w:type="dxa"/>
              <w:left w:w="100" w:type="dxa"/>
              <w:bottom w:w="100" w:type="dxa"/>
              <w:right w:w="100" w:type="dxa"/>
            </w:tcMar>
          </w:tcPr>
          <w:p w14:paraId="48110E84"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5166AE5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6B3B88B6"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7D8C3C3E" w14:textId="77777777">
        <w:trPr>
          <w:trHeight w:val="770"/>
        </w:trPr>
        <w:tc>
          <w:tcPr>
            <w:tcW w:w="1215" w:type="dxa"/>
            <w:tcBorders>
              <w:top w:val="nil"/>
              <w:left w:val="nil"/>
              <w:bottom w:val="nil"/>
              <w:right w:val="nil"/>
            </w:tcBorders>
            <w:tcMar>
              <w:top w:w="100" w:type="dxa"/>
              <w:left w:w="100" w:type="dxa"/>
              <w:bottom w:w="100" w:type="dxa"/>
              <w:right w:w="100" w:type="dxa"/>
            </w:tcMar>
          </w:tcPr>
          <w:p w14:paraId="0D86F118"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0CDBE7CF"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See to it that client needs are met</w:t>
            </w:r>
          </w:p>
        </w:tc>
        <w:tc>
          <w:tcPr>
            <w:tcW w:w="780" w:type="dxa"/>
            <w:tcBorders>
              <w:top w:val="nil"/>
              <w:left w:val="nil"/>
              <w:bottom w:val="nil"/>
              <w:right w:val="nil"/>
            </w:tcBorders>
            <w:tcMar>
              <w:top w:w="100" w:type="dxa"/>
              <w:left w:w="100" w:type="dxa"/>
              <w:bottom w:w="100" w:type="dxa"/>
              <w:right w:w="100" w:type="dxa"/>
            </w:tcMar>
          </w:tcPr>
          <w:p w14:paraId="6B58AB9D"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3.81</w:t>
            </w:r>
          </w:p>
        </w:tc>
        <w:tc>
          <w:tcPr>
            <w:tcW w:w="810" w:type="dxa"/>
            <w:tcBorders>
              <w:top w:val="nil"/>
              <w:left w:val="nil"/>
              <w:bottom w:val="nil"/>
              <w:right w:val="nil"/>
            </w:tcBorders>
            <w:tcMar>
              <w:top w:w="100" w:type="dxa"/>
              <w:left w:w="100" w:type="dxa"/>
              <w:bottom w:w="100" w:type="dxa"/>
              <w:right w:w="100" w:type="dxa"/>
            </w:tcMar>
          </w:tcPr>
          <w:p w14:paraId="43BCA7D0"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0.461</w:t>
            </w:r>
          </w:p>
        </w:tc>
        <w:tc>
          <w:tcPr>
            <w:tcW w:w="600" w:type="dxa"/>
            <w:tcBorders>
              <w:top w:val="nil"/>
              <w:left w:val="nil"/>
              <w:bottom w:val="nil"/>
              <w:right w:val="nil"/>
            </w:tcBorders>
            <w:tcMar>
              <w:top w:w="100" w:type="dxa"/>
              <w:left w:w="100" w:type="dxa"/>
              <w:bottom w:w="100" w:type="dxa"/>
              <w:right w:w="100" w:type="dxa"/>
            </w:tcMar>
          </w:tcPr>
          <w:p w14:paraId="377EA11E"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0FF7CB7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3045B70D"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2CFE7AAC" w14:textId="77777777">
        <w:trPr>
          <w:trHeight w:val="770"/>
        </w:trPr>
        <w:tc>
          <w:tcPr>
            <w:tcW w:w="1215" w:type="dxa"/>
            <w:tcBorders>
              <w:top w:val="nil"/>
              <w:left w:val="nil"/>
              <w:bottom w:val="nil"/>
              <w:right w:val="nil"/>
            </w:tcBorders>
            <w:tcMar>
              <w:top w:w="100" w:type="dxa"/>
              <w:left w:w="100" w:type="dxa"/>
              <w:bottom w:w="100" w:type="dxa"/>
              <w:right w:w="100" w:type="dxa"/>
            </w:tcMar>
          </w:tcPr>
          <w:p w14:paraId="07F02484"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22B59786"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Committed to deliver quality service</w:t>
            </w:r>
          </w:p>
        </w:tc>
        <w:tc>
          <w:tcPr>
            <w:tcW w:w="780" w:type="dxa"/>
            <w:tcBorders>
              <w:top w:val="nil"/>
              <w:left w:val="nil"/>
              <w:bottom w:val="nil"/>
              <w:right w:val="nil"/>
            </w:tcBorders>
            <w:tcMar>
              <w:top w:w="100" w:type="dxa"/>
              <w:left w:w="100" w:type="dxa"/>
              <w:bottom w:w="100" w:type="dxa"/>
              <w:right w:w="100" w:type="dxa"/>
            </w:tcMar>
          </w:tcPr>
          <w:p w14:paraId="2B82B2AB"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3.81</w:t>
            </w:r>
          </w:p>
        </w:tc>
        <w:tc>
          <w:tcPr>
            <w:tcW w:w="810" w:type="dxa"/>
            <w:tcBorders>
              <w:top w:val="nil"/>
              <w:left w:val="nil"/>
              <w:bottom w:val="nil"/>
              <w:right w:val="nil"/>
            </w:tcBorders>
            <w:tcMar>
              <w:top w:w="100" w:type="dxa"/>
              <w:left w:w="100" w:type="dxa"/>
              <w:bottom w:w="100" w:type="dxa"/>
              <w:right w:w="100" w:type="dxa"/>
            </w:tcMar>
          </w:tcPr>
          <w:p w14:paraId="500D0C6F"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0.473</w:t>
            </w:r>
          </w:p>
        </w:tc>
        <w:tc>
          <w:tcPr>
            <w:tcW w:w="600" w:type="dxa"/>
            <w:tcBorders>
              <w:top w:val="nil"/>
              <w:left w:val="nil"/>
              <w:bottom w:val="nil"/>
              <w:right w:val="nil"/>
            </w:tcBorders>
            <w:tcMar>
              <w:top w:w="100" w:type="dxa"/>
              <w:left w:w="100" w:type="dxa"/>
              <w:bottom w:w="100" w:type="dxa"/>
              <w:right w:w="100" w:type="dxa"/>
            </w:tcMar>
          </w:tcPr>
          <w:p w14:paraId="1FA2CEA6"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43DE855B"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4AAEBFBC"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71D57820" w14:textId="77777777">
        <w:trPr>
          <w:trHeight w:val="500"/>
        </w:trPr>
        <w:tc>
          <w:tcPr>
            <w:tcW w:w="1215" w:type="dxa"/>
            <w:tcBorders>
              <w:top w:val="nil"/>
              <w:left w:val="nil"/>
              <w:bottom w:val="nil"/>
              <w:right w:val="nil"/>
            </w:tcBorders>
            <w:tcMar>
              <w:top w:w="100" w:type="dxa"/>
              <w:left w:w="100" w:type="dxa"/>
              <w:bottom w:w="100" w:type="dxa"/>
              <w:right w:w="100" w:type="dxa"/>
            </w:tcMar>
          </w:tcPr>
          <w:p w14:paraId="39B4D720"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69ADBAC4"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believe in God</w:t>
            </w:r>
          </w:p>
        </w:tc>
        <w:tc>
          <w:tcPr>
            <w:tcW w:w="780" w:type="dxa"/>
            <w:tcBorders>
              <w:top w:val="nil"/>
              <w:left w:val="nil"/>
              <w:bottom w:val="nil"/>
              <w:right w:val="nil"/>
            </w:tcBorders>
            <w:tcMar>
              <w:top w:w="100" w:type="dxa"/>
              <w:left w:w="100" w:type="dxa"/>
              <w:bottom w:w="100" w:type="dxa"/>
              <w:right w:w="100" w:type="dxa"/>
            </w:tcMar>
          </w:tcPr>
          <w:p w14:paraId="48E2F0BB"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3.93</w:t>
            </w:r>
          </w:p>
        </w:tc>
        <w:tc>
          <w:tcPr>
            <w:tcW w:w="810" w:type="dxa"/>
            <w:tcBorders>
              <w:top w:val="nil"/>
              <w:left w:val="nil"/>
              <w:bottom w:val="nil"/>
              <w:right w:val="nil"/>
            </w:tcBorders>
            <w:tcMar>
              <w:top w:w="100" w:type="dxa"/>
              <w:left w:w="100" w:type="dxa"/>
              <w:bottom w:w="100" w:type="dxa"/>
              <w:right w:w="100" w:type="dxa"/>
            </w:tcMar>
          </w:tcPr>
          <w:p w14:paraId="453A159E"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0.318</w:t>
            </w:r>
          </w:p>
        </w:tc>
        <w:tc>
          <w:tcPr>
            <w:tcW w:w="600" w:type="dxa"/>
            <w:tcBorders>
              <w:top w:val="nil"/>
              <w:left w:val="nil"/>
              <w:bottom w:val="nil"/>
              <w:right w:val="nil"/>
            </w:tcBorders>
            <w:tcMar>
              <w:top w:w="100" w:type="dxa"/>
              <w:left w:w="100" w:type="dxa"/>
              <w:bottom w:w="100" w:type="dxa"/>
              <w:right w:w="100" w:type="dxa"/>
            </w:tcMar>
          </w:tcPr>
          <w:p w14:paraId="605C2683"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4A3E60CE"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5614AA48"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71CA2CBD" w14:textId="77777777">
        <w:trPr>
          <w:trHeight w:val="500"/>
        </w:trPr>
        <w:tc>
          <w:tcPr>
            <w:tcW w:w="1215" w:type="dxa"/>
            <w:tcBorders>
              <w:top w:val="nil"/>
              <w:left w:val="nil"/>
              <w:bottom w:val="nil"/>
              <w:right w:val="nil"/>
            </w:tcBorders>
            <w:tcMar>
              <w:top w:w="100" w:type="dxa"/>
              <w:left w:w="100" w:type="dxa"/>
              <w:bottom w:w="100" w:type="dxa"/>
              <w:right w:w="100" w:type="dxa"/>
            </w:tcMar>
          </w:tcPr>
          <w:p w14:paraId="256E5A03"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157FFEA2"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seek God’s guidance</w:t>
            </w:r>
          </w:p>
        </w:tc>
        <w:tc>
          <w:tcPr>
            <w:tcW w:w="780" w:type="dxa"/>
            <w:tcBorders>
              <w:top w:val="nil"/>
              <w:left w:val="nil"/>
              <w:bottom w:val="nil"/>
              <w:right w:val="nil"/>
            </w:tcBorders>
            <w:tcMar>
              <w:top w:w="100" w:type="dxa"/>
              <w:left w:w="100" w:type="dxa"/>
              <w:bottom w:w="100" w:type="dxa"/>
              <w:right w:w="100" w:type="dxa"/>
            </w:tcMar>
          </w:tcPr>
          <w:p w14:paraId="6A5842A6"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3.90</w:t>
            </w:r>
          </w:p>
        </w:tc>
        <w:tc>
          <w:tcPr>
            <w:tcW w:w="810" w:type="dxa"/>
            <w:tcBorders>
              <w:top w:val="nil"/>
              <w:left w:val="nil"/>
              <w:bottom w:val="nil"/>
              <w:right w:val="nil"/>
            </w:tcBorders>
            <w:tcMar>
              <w:top w:w="100" w:type="dxa"/>
              <w:left w:w="100" w:type="dxa"/>
              <w:bottom w:w="100" w:type="dxa"/>
              <w:right w:w="100" w:type="dxa"/>
            </w:tcMar>
          </w:tcPr>
          <w:p w14:paraId="5701C42D"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0.348</w:t>
            </w:r>
          </w:p>
        </w:tc>
        <w:tc>
          <w:tcPr>
            <w:tcW w:w="600" w:type="dxa"/>
            <w:tcBorders>
              <w:top w:val="nil"/>
              <w:left w:val="nil"/>
              <w:bottom w:val="nil"/>
              <w:right w:val="nil"/>
            </w:tcBorders>
            <w:tcMar>
              <w:top w:w="100" w:type="dxa"/>
              <w:left w:w="100" w:type="dxa"/>
              <w:bottom w:w="100" w:type="dxa"/>
              <w:right w:w="100" w:type="dxa"/>
            </w:tcMar>
          </w:tcPr>
          <w:p w14:paraId="79CFE56F"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37A1D387"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563CB3CA"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4A4B01BE" w14:textId="77777777">
        <w:trPr>
          <w:trHeight w:val="770"/>
        </w:trPr>
        <w:tc>
          <w:tcPr>
            <w:tcW w:w="1215" w:type="dxa"/>
            <w:tcBorders>
              <w:top w:val="nil"/>
              <w:left w:val="nil"/>
              <w:bottom w:val="nil"/>
              <w:right w:val="nil"/>
            </w:tcBorders>
            <w:tcMar>
              <w:top w:w="100" w:type="dxa"/>
              <w:left w:w="100" w:type="dxa"/>
              <w:bottom w:w="100" w:type="dxa"/>
              <w:right w:w="100" w:type="dxa"/>
            </w:tcMar>
          </w:tcPr>
          <w:p w14:paraId="74233F20"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0739A132"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Promote total wellness in workplace</w:t>
            </w:r>
          </w:p>
        </w:tc>
        <w:tc>
          <w:tcPr>
            <w:tcW w:w="780" w:type="dxa"/>
            <w:tcBorders>
              <w:top w:val="nil"/>
              <w:left w:val="nil"/>
              <w:bottom w:val="nil"/>
              <w:right w:val="nil"/>
            </w:tcBorders>
            <w:tcMar>
              <w:top w:w="100" w:type="dxa"/>
              <w:left w:w="100" w:type="dxa"/>
              <w:bottom w:w="100" w:type="dxa"/>
              <w:right w:w="100" w:type="dxa"/>
            </w:tcMar>
          </w:tcPr>
          <w:p w14:paraId="48E9A44D"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3.71</w:t>
            </w:r>
          </w:p>
        </w:tc>
        <w:tc>
          <w:tcPr>
            <w:tcW w:w="810" w:type="dxa"/>
            <w:tcBorders>
              <w:top w:val="nil"/>
              <w:left w:val="nil"/>
              <w:bottom w:val="nil"/>
              <w:right w:val="nil"/>
            </w:tcBorders>
            <w:tcMar>
              <w:top w:w="100" w:type="dxa"/>
              <w:left w:w="100" w:type="dxa"/>
              <w:bottom w:w="100" w:type="dxa"/>
              <w:right w:w="100" w:type="dxa"/>
            </w:tcMar>
          </w:tcPr>
          <w:p w14:paraId="4650ED19"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0.557</w:t>
            </w:r>
          </w:p>
        </w:tc>
        <w:tc>
          <w:tcPr>
            <w:tcW w:w="600" w:type="dxa"/>
            <w:tcBorders>
              <w:top w:val="nil"/>
              <w:left w:val="nil"/>
              <w:bottom w:val="nil"/>
              <w:right w:val="nil"/>
            </w:tcBorders>
            <w:tcMar>
              <w:top w:w="100" w:type="dxa"/>
              <w:left w:w="100" w:type="dxa"/>
              <w:bottom w:w="100" w:type="dxa"/>
              <w:right w:w="100" w:type="dxa"/>
            </w:tcMar>
          </w:tcPr>
          <w:p w14:paraId="29A4AABB"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2D3688D3"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202BC5AB"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5D5FD013" w14:textId="77777777">
        <w:trPr>
          <w:trHeight w:val="500"/>
        </w:trPr>
        <w:tc>
          <w:tcPr>
            <w:tcW w:w="1215" w:type="dxa"/>
            <w:tcBorders>
              <w:top w:val="nil"/>
              <w:left w:val="nil"/>
              <w:bottom w:val="nil"/>
              <w:right w:val="nil"/>
            </w:tcBorders>
            <w:tcMar>
              <w:top w:w="100" w:type="dxa"/>
              <w:left w:w="100" w:type="dxa"/>
              <w:bottom w:w="100" w:type="dxa"/>
              <w:right w:w="100" w:type="dxa"/>
            </w:tcMar>
          </w:tcPr>
          <w:p w14:paraId="3A8EC0F2"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118CE579"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give thanks for all blessings</w:t>
            </w:r>
          </w:p>
        </w:tc>
        <w:tc>
          <w:tcPr>
            <w:tcW w:w="780" w:type="dxa"/>
            <w:tcBorders>
              <w:top w:val="nil"/>
              <w:left w:val="nil"/>
              <w:bottom w:val="nil"/>
              <w:right w:val="nil"/>
            </w:tcBorders>
            <w:tcMar>
              <w:top w:w="100" w:type="dxa"/>
              <w:left w:w="100" w:type="dxa"/>
              <w:bottom w:w="100" w:type="dxa"/>
              <w:right w:w="100" w:type="dxa"/>
            </w:tcMar>
          </w:tcPr>
          <w:p w14:paraId="654C1976"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3.94</w:t>
            </w:r>
          </w:p>
        </w:tc>
        <w:tc>
          <w:tcPr>
            <w:tcW w:w="810" w:type="dxa"/>
            <w:tcBorders>
              <w:top w:val="nil"/>
              <w:left w:val="nil"/>
              <w:bottom w:val="nil"/>
              <w:right w:val="nil"/>
            </w:tcBorders>
            <w:tcMar>
              <w:top w:w="100" w:type="dxa"/>
              <w:left w:w="100" w:type="dxa"/>
              <w:bottom w:w="100" w:type="dxa"/>
              <w:right w:w="100" w:type="dxa"/>
            </w:tcMar>
          </w:tcPr>
          <w:p w14:paraId="3379C126"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0.270</w:t>
            </w:r>
          </w:p>
        </w:tc>
        <w:tc>
          <w:tcPr>
            <w:tcW w:w="600" w:type="dxa"/>
            <w:tcBorders>
              <w:top w:val="nil"/>
              <w:left w:val="nil"/>
              <w:bottom w:val="nil"/>
              <w:right w:val="nil"/>
            </w:tcBorders>
            <w:tcMar>
              <w:top w:w="100" w:type="dxa"/>
              <w:left w:w="100" w:type="dxa"/>
              <w:bottom w:w="100" w:type="dxa"/>
              <w:right w:w="100" w:type="dxa"/>
            </w:tcMar>
          </w:tcPr>
          <w:p w14:paraId="60F39D41"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7CE4A744"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6AF1E80B"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1E446CB2" w14:textId="77777777">
        <w:trPr>
          <w:trHeight w:val="770"/>
        </w:trPr>
        <w:tc>
          <w:tcPr>
            <w:tcW w:w="1215" w:type="dxa"/>
            <w:tcBorders>
              <w:top w:val="nil"/>
              <w:left w:val="nil"/>
              <w:bottom w:val="nil"/>
              <w:right w:val="nil"/>
            </w:tcBorders>
            <w:tcMar>
              <w:top w:w="100" w:type="dxa"/>
              <w:left w:w="100" w:type="dxa"/>
              <w:bottom w:w="100" w:type="dxa"/>
              <w:right w:w="100" w:type="dxa"/>
            </w:tcMar>
          </w:tcPr>
          <w:p w14:paraId="3FBE6043"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057FD1BF"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seek forgiveness &amp; forgive others</w:t>
            </w:r>
          </w:p>
        </w:tc>
        <w:tc>
          <w:tcPr>
            <w:tcW w:w="780" w:type="dxa"/>
            <w:tcBorders>
              <w:top w:val="nil"/>
              <w:left w:val="nil"/>
              <w:bottom w:val="nil"/>
              <w:right w:val="nil"/>
            </w:tcBorders>
            <w:tcMar>
              <w:top w:w="100" w:type="dxa"/>
              <w:left w:w="100" w:type="dxa"/>
              <w:bottom w:w="100" w:type="dxa"/>
              <w:right w:w="100" w:type="dxa"/>
            </w:tcMar>
          </w:tcPr>
          <w:p w14:paraId="139E32F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3.78</w:t>
            </w:r>
          </w:p>
        </w:tc>
        <w:tc>
          <w:tcPr>
            <w:tcW w:w="810" w:type="dxa"/>
            <w:tcBorders>
              <w:top w:val="nil"/>
              <w:left w:val="nil"/>
              <w:bottom w:val="nil"/>
              <w:right w:val="nil"/>
            </w:tcBorders>
            <w:tcMar>
              <w:top w:w="100" w:type="dxa"/>
              <w:left w:w="100" w:type="dxa"/>
              <w:bottom w:w="100" w:type="dxa"/>
              <w:right w:w="100" w:type="dxa"/>
            </w:tcMar>
          </w:tcPr>
          <w:p w14:paraId="37166934"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0.502</w:t>
            </w:r>
          </w:p>
        </w:tc>
        <w:tc>
          <w:tcPr>
            <w:tcW w:w="600" w:type="dxa"/>
            <w:tcBorders>
              <w:top w:val="nil"/>
              <w:left w:val="nil"/>
              <w:bottom w:val="nil"/>
              <w:right w:val="nil"/>
            </w:tcBorders>
            <w:tcMar>
              <w:top w:w="100" w:type="dxa"/>
              <w:left w:w="100" w:type="dxa"/>
              <w:bottom w:w="100" w:type="dxa"/>
              <w:right w:w="100" w:type="dxa"/>
            </w:tcMar>
          </w:tcPr>
          <w:p w14:paraId="71CEB532"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220A400B"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7E47A9A7"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5772C981" w14:textId="77777777">
        <w:trPr>
          <w:trHeight w:val="500"/>
        </w:trPr>
        <w:tc>
          <w:tcPr>
            <w:tcW w:w="1215" w:type="dxa"/>
            <w:tcBorders>
              <w:top w:val="nil"/>
              <w:left w:val="nil"/>
              <w:bottom w:val="nil"/>
              <w:right w:val="nil"/>
            </w:tcBorders>
            <w:tcMar>
              <w:top w:w="100" w:type="dxa"/>
              <w:left w:w="100" w:type="dxa"/>
              <w:bottom w:w="100" w:type="dxa"/>
              <w:right w:w="100" w:type="dxa"/>
            </w:tcMar>
          </w:tcPr>
          <w:p w14:paraId="420ABA69"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309E2E81"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care for and value others</w:t>
            </w:r>
          </w:p>
        </w:tc>
        <w:tc>
          <w:tcPr>
            <w:tcW w:w="780" w:type="dxa"/>
            <w:tcBorders>
              <w:top w:val="nil"/>
              <w:left w:val="nil"/>
              <w:bottom w:val="nil"/>
              <w:right w:val="nil"/>
            </w:tcBorders>
            <w:tcMar>
              <w:top w:w="100" w:type="dxa"/>
              <w:left w:w="100" w:type="dxa"/>
              <w:bottom w:w="100" w:type="dxa"/>
              <w:right w:w="100" w:type="dxa"/>
            </w:tcMar>
          </w:tcPr>
          <w:p w14:paraId="3F6AD4F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3.80</w:t>
            </w:r>
          </w:p>
        </w:tc>
        <w:tc>
          <w:tcPr>
            <w:tcW w:w="810" w:type="dxa"/>
            <w:tcBorders>
              <w:top w:val="nil"/>
              <w:left w:val="nil"/>
              <w:bottom w:val="nil"/>
              <w:right w:val="nil"/>
            </w:tcBorders>
            <w:tcMar>
              <w:top w:w="100" w:type="dxa"/>
              <w:left w:w="100" w:type="dxa"/>
              <w:bottom w:w="100" w:type="dxa"/>
              <w:right w:w="100" w:type="dxa"/>
            </w:tcMar>
          </w:tcPr>
          <w:p w14:paraId="0078FA3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0.495</w:t>
            </w:r>
          </w:p>
        </w:tc>
        <w:tc>
          <w:tcPr>
            <w:tcW w:w="600" w:type="dxa"/>
            <w:tcBorders>
              <w:top w:val="nil"/>
              <w:left w:val="nil"/>
              <w:bottom w:val="nil"/>
              <w:right w:val="nil"/>
            </w:tcBorders>
            <w:tcMar>
              <w:top w:w="100" w:type="dxa"/>
              <w:left w:w="100" w:type="dxa"/>
              <w:bottom w:w="100" w:type="dxa"/>
              <w:right w:w="100" w:type="dxa"/>
            </w:tcMar>
          </w:tcPr>
          <w:p w14:paraId="3C24252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51B28889"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492CD1A0"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1843DCB8" w14:textId="77777777">
        <w:trPr>
          <w:trHeight w:val="500"/>
        </w:trPr>
        <w:tc>
          <w:tcPr>
            <w:tcW w:w="1215" w:type="dxa"/>
            <w:tcBorders>
              <w:top w:val="nil"/>
              <w:left w:val="nil"/>
              <w:bottom w:val="nil"/>
              <w:right w:val="nil"/>
            </w:tcBorders>
            <w:tcMar>
              <w:top w:w="100" w:type="dxa"/>
              <w:left w:w="100" w:type="dxa"/>
              <w:bottom w:w="100" w:type="dxa"/>
              <w:right w:w="100" w:type="dxa"/>
            </w:tcMar>
          </w:tcPr>
          <w:p w14:paraId="69A946A8"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1E08915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 put the interest of others first</w:t>
            </w:r>
          </w:p>
        </w:tc>
        <w:tc>
          <w:tcPr>
            <w:tcW w:w="780" w:type="dxa"/>
            <w:tcBorders>
              <w:top w:val="nil"/>
              <w:left w:val="nil"/>
              <w:bottom w:val="nil"/>
              <w:right w:val="nil"/>
            </w:tcBorders>
            <w:tcMar>
              <w:top w:w="100" w:type="dxa"/>
              <w:left w:w="100" w:type="dxa"/>
              <w:bottom w:w="100" w:type="dxa"/>
              <w:right w:w="100" w:type="dxa"/>
            </w:tcMar>
          </w:tcPr>
          <w:p w14:paraId="49BCAF8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3.49</w:t>
            </w:r>
          </w:p>
        </w:tc>
        <w:tc>
          <w:tcPr>
            <w:tcW w:w="810" w:type="dxa"/>
            <w:tcBorders>
              <w:top w:val="nil"/>
              <w:left w:val="nil"/>
              <w:bottom w:val="nil"/>
              <w:right w:val="nil"/>
            </w:tcBorders>
            <w:tcMar>
              <w:top w:w="100" w:type="dxa"/>
              <w:left w:w="100" w:type="dxa"/>
              <w:bottom w:w="100" w:type="dxa"/>
              <w:right w:w="100" w:type="dxa"/>
            </w:tcMar>
          </w:tcPr>
          <w:p w14:paraId="66A7216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0.683</w:t>
            </w:r>
          </w:p>
        </w:tc>
        <w:tc>
          <w:tcPr>
            <w:tcW w:w="600" w:type="dxa"/>
            <w:tcBorders>
              <w:top w:val="nil"/>
              <w:left w:val="nil"/>
              <w:bottom w:val="nil"/>
              <w:right w:val="nil"/>
            </w:tcBorders>
            <w:tcMar>
              <w:top w:w="100" w:type="dxa"/>
              <w:left w:w="100" w:type="dxa"/>
              <w:bottom w:w="100" w:type="dxa"/>
              <w:right w:w="100" w:type="dxa"/>
            </w:tcMar>
          </w:tcPr>
          <w:p w14:paraId="34B9C902"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566121F9"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67613BE6"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41432ED6" w14:textId="77777777">
        <w:trPr>
          <w:trHeight w:val="770"/>
        </w:trPr>
        <w:tc>
          <w:tcPr>
            <w:tcW w:w="1215" w:type="dxa"/>
            <w:tcBorders>
              <w:top w:val="nil"/>
              <w:left w:val="nil"/>
              <w:bottom w:val="nil"/>
              <w:right w:val="nil"/>
            </w:tcBorders>
            <w:tcMar>
              <w:top w:w="100" w:type="dxa"/>
              <w:left w:w="100" w:type="dxa"/>
              <w:bottom w:w="100" w:type="dxa"/>
              <w:right w:w="100" w:type="dxa"/>
            </w:tcMar>
          </w:tcPr>
          <w:p w14:paraId="7E774379"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Overall PSV</w:t>
            </w:r>
          </w:p>
        </w:tc>
        <w:tc>
          <w:tcPr>
            <w:tcW w:w="2970" w:type="dxa"/>
            <w:tcBorders>
              <w:top w:val="nil"/>
              <w:left w:val="nil"/>
              <w:bottom w:val="nil"/>
              <w:right w:val="nil"/>
            </w:tcBorders>
            <w:tcMar>
              <w:top w:w="100" w:type="dxa"/>
              <w:left w:w="100" w:type="dxa"/>
              <w:bottom w:w="100" w:type="dxa"/>
              <w:right w:w="100" w:type="dxa"/>
            </w:tcMar>
          </w:tcPr>
          <w:p w14:paraId="406487D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Mean across all items</w:t>
            </w:r>
          </w:p>
        </w:tc>
        <w:tc>
          <w:tcPr>
            <w:tcW w:w="780" w:type="dxa"/>
            <w:tcBorders>
              <w:top w:val="nil"/>
              <w:left w:val="nil"/>
              <w:bottom w:val="nil"/>
              <w:right w:val="nil"/>
            </w:tcBorders>
            <w:tcMar>
              <w:top w:w="100" w:type="dxa"/>
              <w:left w:w="100" w:type="dxa"/>
              <w:bottom w:w="100" w:type="dxa"/>
              <w:right w:w="100" w:type="dxa"/>
            </w:tcMar>
          </w:tcPr>
          <w:p w14:paraId="6BBC524B"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3.74</w:t>
            </w:r>
          </w:p>
        </w:tc>
        <w:tc>
          <w:tcPr>
            <w:tcW w:w="810" w:type="dxa"/>
            <w:tcBorders>
              <w:top w:val="nil"/>
              <w:left w:val="nil"/>
              <w:bottom w:val="nil"/>
              <w:right w:val="nil"/>
            </w:tcBorders>
            <w:tcMar>
              <w:top w:w="100" w:type="dxa"/>
              <w:left w:w="100" w:type="dxa"/>
              <w:bottom w:w="100" w:type="dxa"/>
              <w:right w:w="100" w:type="dxa"/>
            </w:tcMar>
          </w:tcPr>
          <w:p w14:paraId="32ADE582"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0.498</w:t>
            </w:r>
          </w:p>
        </w:tc>
        <w:tc>
          <w:tcPr>
            <w:tcW w:w="600" w:type="dxa"/>
            <w:tcBorders>
              <w:top w:val="nil"/>
              <w:left w:val="nil"/>
              <w:bottom w:val="nil"/>
              <w:right w:val="nil"/>
            </w:tcBorders>
            <w:tcMar>
              <w:top w:w="100" w:type="dxa"/>
              <w:left w:w="100" w:type="dxa"/>
              <w:bottom w:w="100" w:type="dxa"/>
              <w:right w:w="100" w:type="dxa"/>
            </w:tcMar>
          </w:tcPr>
          <w:p w14:paraId="544A732F"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4731AC70"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57B120C6"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21896653" w14:textId="77777777">
        <w:trPr>
          <w:trHeight w:val="770"/>
        </w:trPr>
        <w:tc>
          <w:tcPr>
            <w:tcW w:w="1215" w:type="dxa"/>
            <w:tcBorders>
              <w:top w:val="nil"/>
              <w:left w:val="nil"/>
              <w:bottom w:val="nil"/>
              <w:right w:val="nil"/>
            </w:tcBorders>
            <w:tcMar>
              <w:top w:w="100" w:type="dxa"/>
              <w:left w:w="100" w:type="dxa"/>
              <w:bottom w:w="100" w:type="dxa"/>
              <w:right w:w="100" w:type="dxa"/>
            </w:tcMar>
          </w:tcPr>
          <w:p w14:paraId="49689897"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PSM</w:t>
            </w:r>
          </w:p>
        </w:tc>
        <w:tc>
          <w:tcPr>
            <w:tcW w:w="2970" w:type="dxa"/>
            <w:tcBorders>
              <w:top w:val="nil"/>
              <w:left w:val="nil"/>
              <w:bottom w:val="nil"/>
              <w:right w:val="nil"/>
            </w:tcBorders>
            <w:tcMar>
              <w:top w:w="100" w:type="dxa"/>
              <w:left w:w="100" w:type="dxa"/>
              <w:bottom w:w="100" w:type="dxa"/>
              <w:right w:w="100" w:type="dxa"/>
            </w:tcMar>
          </w:tcPr>
          <w:p w14:paraId="4CB2B252"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Sense of satisfaction contributing to others</w:t>
            </w:r>
          </w:p>
        </w:tc>
        <w:tc>
          <w:tcPr>
            <w:tcW w:w="780" w:type="dxa"/>
            <w:tcBorders>
              <w:top w:val="nil"/>
              <w:left w:val="nil"/>
              <w:bottom w:val="nil"/>
              <w:right w:val="nil"/>
            </w:tcBorders>
            <w:tcMar>
              <w:top w:w="100" w:type="dxa"/>
              <w:left w:w="100" w:type="dxa"/>
              <w:bottom w:w="100" w:type="dxa"/>
              <w:right w:w="100" w:type="dxa"/>
            </w:tcMar>
          </w:tcPr>
          <w:p w14:paraId="7E6FC8FB"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3.78</w:t>
            </w:r>
          </w:p>
        </w:tc>
        <w:tc>
          <w:tcPr>
            <w:tcW w:w="810" w:type="dxa"/>
            <w:tcBorders>
              <w:top w:val="nil"/>
              <w:left w:val="nil"/>
              <w:bottom w:val="nil"/>
              <w:right w:val="nil"/>
            </w:tcBorders>
            <w:tcMar>
              <w:top w:w="100" w:type="dxa"/>
              <w:left w:w="100" w:type="dxa"/>
              <w:bottom w:w="100" w:type="dxa"/>
              <w:right w:w="100" w:type="dxa"/>
            </w:tcMar>
          </w:tcPr>
          <w:p w14:paraId="217E332E"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0.418</w:t>
            </w:r>
          </w:p>
        </w:tc>
        <w:tc>
          <w:tcPr>
            <w:tcW w:w="600" w:type="dxa"/>
            <w:tcBorders>
              <w:top w:val="nil"/>
              <w:left w:val="nil"/>
              <w:bottom w:val="nil"/>
              <w:right w:val="nil"/>
            </w:tcBorders>
            <w:tcMar>
              <w:top w:w="100" w:type="dxa"/>
              <w:left w:w="100" w:type="dxa"/>
              <w:bottom w:w="100" w:type="dxa"/>
              <w:right w:w="100" w:type="dxa"/>
            </w:tcMar>
          </w:tcPr>
          <w:p w14:paraId="017E3811"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62399B2C"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5702CD43"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7F50B1AF" w14:textId="77777777">
        <w:trPr>
          <w:trHeight w:val="770"/>
        </w:trPr>
        <w:tc>
          <w:tcPr>
            <w:tcW w:w="1215" w:type="dxa"/>
            <w:tcBorders>
              <w:top w:val="nil"/>
              <w:left w:val="nil"/>
              <w:bottom w:val="nil"/>
              <w:right w:val="nil"/>
            </w:tcBorders>
            <w:tcMar>
              <w:top w:w="100" w:type="dxa"/>
              <w:left w:w="100" w:type="dxa"/>
              <w:bottom w:w="100" w:type="dxa"/>
              <w:right w:w="100" w:type="dxa"/>
            </w:tcMar>
          </w:tcPr>
          <w:p w14:paraId="2F272F9B"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0D5A22A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Public service aligns with personal values</w:t>
            </w:r>
          </w:p>
        </w:tc>
        <w:tc>
          <w:tcPr>
            <w:tcW w:w="780" w:type="dxa"/>
            <w:tcBorders>
              <w:top w:val="nil"/>
              <w:left w:val="nil"/>
              <w:bottom w:val="nil"/>
              <w:right w:val="nil"/>
            </w:tcBorders>
            <w:tcMar>
              <w:top w:w="100" w:type="dxa"/>
              <w:left w:w="100" w:type="dxa"/>
              <w:bottom w:w="100" w:type="dxa"/>
              <w:right w:w="100" w:type="dxa"/>
            </w:tcMar>
          </w:tcPr>
          <w:p w14:paraId="55F0363C"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3.53</w:t>
            </w:r>
          </w:p>
        </w:tc>
        <w:tc>
          <w:tcPr>
            <w:tcW w:w="810" w:type="dxa"/>
            <w:tcBorders>
              <w:top w:val="nil"/>
              <w:left w:val="nil"/>
              <w:bottom w:val="nil"/>
              <w:right w:val="nil"/>
            </w:tcBorders>
            <w:tcMar>
              <w:top w:w="100" w:type="dxa"/>
              <w:left w:w="100" w:type="dxa"/>
              <w:bottom w:w="100" w:type="dxa"/>
              <w:right w:w="100" w:type="dxa"/>
            </w:tcMar>
          </w:tcPr>
          <w:p w14:paraId="7B5D8644"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0.631</w:t>
            </w:r>
          </w:p>
        </w:tc>
        <w:tc>
          <w:tcPr>
            <w:tcW w:w="600" w:type="dxa"/>
            <w:tcBorders>
              <w:top w:val="nil"/>
              <w:left w:val="nil"/>
              <w:bottom w:val="nil"/>
              <w:right w:val="nil"/>
            </w:tcBorders>
            <w:tcMar>
              <w:top w:w="100" w:type="dxa"/>
              <w:left w:w="100" w:type="dxa"/>
              <w:bottom w:w="100" w:type="dxa"/>
              <w:right w:w="100" w:type="dxa"/>
            </w:tcMar>
          </w:tcPr>
          <w:p w14:paraId="4DF4E32D"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46BC1495"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386E6CCC"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3D211DF7" w14:textId="77777777">
        <w:trPr>
          <w:trHeight w:val="770"/>
        </w:trPr>
        <w:tc>
          <w:tcPr>
            <w:tcW w:w="1215" w:type="dxa"/>
            <w:tcBorders>
              <w:top w:val="nil"/>
              <w:left w:val="nil"/>
              <w:bottom w:val="nil"/>
              <w:right w:val="nil"/>
            </w:tcBorders>
            <w:tcMar>
              <w:top w:w="100" w:type="dxa"/>
              <w:left w:w="100" w:type="dxa"/>
              <w:bottom w:w="100" w:type="dxa"/>
              <w:right w:w="100" w:type="dxa"/>
            </w:tcMar>
          </w:tcPr>
          <w:p w14:paraId="55BD9623"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65359773"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Honored to solve real-life problems</w:t>
            </w:r>
          </w:p>
        </w:tc>
        <w:tc>
          <w:tcPr>
            <w:tcW w:w="780" w:type="dxa"/>
            <w:tcBorders>
              <w:top w:val="nil"/>
              <w:left w:val="nil"/>
              <w:bottom w:val="nil"/>
              <w:right w:val="nil"/>
            </w:tcBorders>
            <w:tcMar>
              <w:top w:w="100" w:type="dxa"/>
              <w:left w:w="100" w:type="dxa"/>
              <w:bottom w:w="100" w:type="dxa"/>
              <w:right w:w="100" w:type="dxa"/>
            </w:tcMar>
          </w:tcPr>
          <w:p w14:paraId="540015B4"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3.58</w:t>
            </w:r>
          </w:p>
        </w:tc>
        <w:tc>
          <w:tcPr>
            <w:tcW w:w="810" w:type="dxa"/>
            <w:tcBorders>
              <w:top w:val="nil"/>
              <w:left w:val="nil"/>
              <w:bottom w:val="nil"/>
              <w:right w:val="nil"/>
            </w:tcBorders>
            <w:tcMar>
              <w:top w:w="100" w:type="dxa"/>
              <w:left w:w="100" w:type="dxa"/>
              <w:bottom w:w="100" w:type="dxa"/>
              <w:right w:w="100" w:type="dxa"/>
            </w:tcMar>
          </w:tcPr>
          <w:p w14:paraId="224D8F0E"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0.585</w:t>
            </w:r>
          </w:p>
        </w:tc>
        <w:tc>
          <w:tcPr>
            <w:tcW w:w="600" w:type="dxa"/>
            <w:tcBorders>
              <w:top w:val="nil"/>
              <w:left w:val="nil"/>
              <w:bottom w:val="nil"/>
              <w:right w:val="nil"/>
            </w:tcBorders>
            <w:tcMar>
              <w:top w:w="100" w:type="dxa"/>
              <w:left w:w="100" w:type="dxa"/>
              <w:bottom w:w="100" w:type="dxa"/>
              <w:right w:w="100" w:type="dxa"/>
            </w:tcMar>
          </w:tcPr>
          <w:p w14:paraId="1475DECF"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08F1730F"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31D7C158"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16966AFC" w14:textId="77777777">
        <w:trPr>
          <w:trHeight w:val="770"/>
        </w:trPr>
        <w:tc>
          <w:tcPr>
            <w:tcW w:w="1215" w:type="dxa"/>
            <w:tcBorders>
              <w:top w:val="nil"/>
              <w:left w:val="nil"/>
              <w:bottom w:val="nil"/>
              <w:right w:val="nil"/>
            </w:tcBorders>
            <w:tcMar>
              <w:top w:w="100" w:type="dxa"/>
              <w:left w:w="100" w:type="dxa"/>
              <w:bottom w:w="100" w:type="dxa"/>
              <w:right w:w="100" w:type="dxa"/>
            </w:tcMar>
          </w:tcPr>
          <w:p w14:paraId="3A877422"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797F094D"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Willing to work hard to improve community</w:t>
            </w:r>
          </w:p>
        </w:tc>
        <w:tc>
          <w:tcPr>
            <w:tcW w:w="780" w:type="dxa"/>
            <w:tcBorders>
              <w:top w:val="nil"/>
              <w:left w:val="nil"/>
              <w:bottom w:val="nil"/>
              <w:right w:val="nil"/>
            </w:tcBorders>
            <w:tcMar>
              <w:top w:w="100" w:type="dxa"/>
              <w:left w:w="100" w:type="dxa"/>
              <w:bottom w:w="100" w:type="dxa"/>
              <w:right w:w="100" w:type="dxa"/>
            </w:tcMar>
          </w:tcPr>
          <w:p w14:paraId="1994BDB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3.64</w:t>
            </w:r>
          </w:p>
        </w:tc>
        <w:tc>
          <w:tcPr>
            <w:tcW w:w="810" w:type="dxa"/>
            <w:tcBorders>
              <w:top w:val="nil"/>
              <w:left w:val="nil"/>
              <w:bottom w:val="nil"/>
              <w:right w:val="nil"/>
            </w:tcBorders>
            <w:tcMar>
              <w:top w:w="100" w:type="dxa"/>
              <w:left w:w="100" w:type="dxa"/>
              <w:bottom w:w="100" w:type="dxa"/>
              <w:right w:w="100" w:type="dxa"/>
            </w:tcMar>
          </w:tcPr>
          <w:p w14:paraId="7A3F014D"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0.551</w:t>
            </w:r>
          </w:p>
        </w:tc>
        <w:tc>
          <w:tcPr>
            <w:tcW w:w="600" w:type="dxa"/>
            <w:tcBorders>
              <w:top w:val="nil"/>
              <w:left w:val="nil"/>
              <w:bottom w:val="nil"/>
              <w:right w:val="nil"/>
            </w:tcBorders>
            <w:tcMar>
              <w:top w:w="100" w:type="dxa"/>
              <w:left w:w="100" w:type="dxa"/>
              <w:bottom w:w="100" w:type="dxa"/>
              <w:right w:w="100" w:type="dxa"/>
            </w:tcMar>
          </w:tcPr>
          <w:p w14:paraId="5E21CF6C"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521F442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1486E89C"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7B6D6429" w14:textId="77777777">
        <w:trPr>
          <w:trHeight w:val="770"/>
        </w:trPr>
        <w:tc>
          <w:tcPr>
            <w:tcW w:w="1215" w:type="dxa"/>
            <w:tcBorders>
              <w:top w:val="nil"/>
              <w:left w:val="nil"/>
              <w:bottom w:val="nil"/>
              <w:right w:val="nil"/>
            </w:tcBorders>
            <w:tcMar>
              <w:top w:w="100" w:type="dxa"/>
              <w:left w:w="100" w:type="dxa"/>
              <w:bottom w:w="100" w:type="dxa"/>
              <w:right w:w="100" w:type="dxa"/>
            </w:tcMar>
          </w:tcPr>
          <w:p w14:paraId="239315DF"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5CBADB0F"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Helping people is a core motivation</w:t>
            </w:r>
          </w:p>
        </w:tc>
        <w:tc>
          <w:tcPr>
            <w:tcW w:w="780" w:type="dxa"/>
            <w:tcBorders>
              <w:top w:val="nil"/>
              <w:left w:val="nil"/>
              <w:bottom w:val="nil"/>
              <w:right w:val="nil"/>
            </w:tcBorders>
            <w:tcMar>
              <w:top w:w="100" w:type="dxa"/>
              <w:left w:w="100" w:type="dxa"/>
              <w:bottom w:w="100" w:type="dxa"/>
              <w:right w:w="100" w:type="dxa"/>
            </w:tcMar>
          </w:tcPr>
          <w:p w14:paraId="0772C07E"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3.67</w:t>
            </w:r>
          </w:p>
        </w:tc>
        <w:tc>
          <w:tcPr>
            <w:tcW w:w="810" w:type="dxa"/>
            <w:tcBorders>
              <w:top w:val="nil"/>
              <w:left w:val="nil"/>
              <w:bottom w:val="nil"/>
              <w:right w:val="nil"/>
            </w:tcBorders>
            <w:tcMar>
              <w:top w:w="100" w:type="dxa"/>
              <w:left w:w="100" w:type="dxa"/>
              <w:bottom w:w="100" w:type="dxa"/>
              <w:right w:w="100" w:type="dxa"/>
            </w:tcMar>
          </w:tcPr>
          <w:p w14:paraId="584F66C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0.560</w:t>
            </w:r>
          </w:p>
        </w:tc>
        <w:tc>
          <w:tcPr>
            <w:tcW w:w="600" w:type="dxa"/>
            <w:tcBorders>
              <w:top w:val="nil"/>
              <w:left w:val="nil"/>
              <w:bottom w:val="nil"/>
              <w:right w:val="nil"/>
            </w:tcBorders>
            <w:tcMar>
              <w:top w:w="100" w:type="dxa"/>
              <w:left w:w="100" w:type="dxa"/>
              <w:bottom w:w="100" w:type="dxa"/>
              <w:right w:w="100" w:type="dxa"/>
            </w:tcMar>
          </w:tcPr>
          <w:p w14:paraId="7926EBA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652B8689"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51D5355F"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54EEE39C" w14:textId="77777777">
        <w:trPr>
          <w:trHeight w:val="770"/>
        </w:trPr>
        <w:tc>
          <w:tcPr>
            <w:tcW w:w="1215" w:type="dxa"/>
            <w:tcBorders>
              <w:top w:val="nil"/>
              <w:left w:val="nil"/>
              <w:bottom w:val="nil"/>
              <w:right w:val="nil"/>
            </w:tcBorders>
            <w:tcMar>
              <w:top w:w="100" w:type="dxa"/>
              <w:left w:w="100" w:type="dxa"/>
              <w:bottom w:w="100" w:type="dxa"/>
              <w:right w:w="100" w:type="dxa"/>
            </w:tcMar>
          </w:tcPr>
          <w:p w14:paraId="2EA87341"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0F5A4FEB"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Concerned about disadvantaged groups</w:t>
            </w:r>
          </w:p>
        </w:tc>
        <w:tc>
          <w:tcPr>
            <w:tcW w:w="780" w:type="dxa"/>
            <w:tcBorders>
              <w:top w:val="nil"/>
              <w:left w:val="nil"/>
              <w:bottom w:val="nil"/>
              <w:right w:val="nil"/>
            </w:tcBorders>
            <w:tcMar>
              <w:top w:w="100" w:type="dxa"/>
              <w:left w:w="100" w:type="dxa"/>
              <w:bottom w:w="100" w:type="dxa"/>
              <w:right w:w="100" w:type="dxa"/>
            </w:tcMar>
          </w:tcPr>
          <w:p w14:paraId="16B8B2E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3.53</w:t>
            </w:r>
          </w:p>
        </w:tc>
        <w:tc>
          <w:tcPr>
            <w:tcW w:w="810" w:type="dxa"/>
            <w:tcBorders>
              <w:top w:val="nil"/>
              <w:left w:val="nil"/>
              <w:bottom w:val="nil"/>
              <w:right w:val="nil"/>
            </w:tcBorders>
            <w:tcMar>
              <w:top w:w="100" w:type="dxa"/>
              <w:left w:w="100" w:type="dxa"/>
              <w:bottom w:w="100" w:type="dxa"/>
              <w:right w:w="100" w:type="dxa"/>
            </w:tcMar>
          </w:tcPr>
          <w:p w14:paraId="46B41B2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0.607</w:t>
            </w:r>
          </w:p>
        </w:tc>
        <w:tc>
          <w:tcPr>
            <w:tcW w:w="600" w:type="dxa"/>
            <w:tcBorders>
              <w:top w:val="nil"/>
              <w:left w:val="nil"/>
              <w:bottom w:val="nil"/>
              <w:right w:val="nil"/>
            </w:tcBorders>
            <w:tcMar>
              <w:top w:w="100" w:type="dxa"/>
              <w:left w:w="100" w:type="dxa"/>
              <w:bottom w:w="100" w:type="dxa"/>
              <w:right w:w="100" w:type="dxa"/>
            </w:tcMar>
          </w:tcPr>
          <w:p w14:paraId="0682EC8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67B8E1D0"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3ABBE28C"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4DA253D3" w14:textId="77777777">
        <w:trPr>
          <w:trHeight w:val="770"/>
        </w:trPr>
        <w:tc>
          <w:tcPr>
            <w:tcW w:w="1215" w:type="dxa"/>
            <w:tcBorders>
              <w:top w:val="nil"/>
              <w:left w:val="nil"/>
              <w:bottom w:val="nil"/>
              <w:right w:val="nil"/>
            </w:tcBorders>
            <w:tcMar>
              <w:top w:w="100" w:type="dxa"/>
              <w:left w:w="100" w:type="dxa"/>
              <w:bottom w:w="100" w:type="dxa"/>
              <w:right w:w="100" w:type="dxa"/>
            </w:tcMar>
          </w:tcPr>
          <w:p w14:paraId="6B9EADD6"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417FE699"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Fulfilled assisting those who rely on support</w:t>
            </w:r>
          </w:p>
        </w:tc>
        <w:tc>
          <w:tcPr>
            <w:tcW w:w="780" w:type="dxa"/>
            <w:tcBorders>
              <w:top w:val="nil"/>
              <w:left w:val="nil"/>
              <w:bottom w:val="nil"/>
              <w:right w:val="nil"/>
            </w:tcBorders>
            <w:tcMar>
              <w:top w:w="100" w:type="dxa"/>
              <w:left w:w="100" w:type="dxa"/>
              <w:bottom w:w="100" w:type="dxa"/>
              <w:right w:w="100" w:type="dxa"/>
            </w:tcMar>
          </w:tcPr>
          <w:p w14:paraId="62BE5F29"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3.67</w:t>
            </w:r>
          </w:p>
        </w:tc>
        <w:tc>
          <w:tcPr>
            <w:tcW w:w="810" w:type="dxa"/>
            <w:tcBorders>
              <w:top w:val="nil"/>
              <w:left w:val="nil"/>
              <w:bottom w:val="nil"/>
              <w:right w:val="nil"/>
            </w:tcBorders>
            <w:tcMar>
              <w:top w:w="100" w:type="dxa"/>
              <w:left w:w="100" w:type="dxa"/>
              <w:bottom w:w="100" w:type="dxa"/>
              <w:right w:w="100" w:type="dxa"/>
            </w:tcMar>
          </w:tcPr>
          <w:p w14:paraId="3C55911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0.563</w:t>
            </w:r>
          </w:p>
        </w:tc>
        <w:tc>
          <w:tcPr>
            <w:tcW w:w="600" w:type="dxa"/>
            <w:tcBorders>
              <w:top w:val="nil"/>
              <w:left w:val="nil"/>
              <w:bottom w:val="nil"/>
              <w:right w:val="nil"/>
            </w:tcBorders>
            <w:tcMar>
              <w:top w:w="100" w:type="dxa"/>
              <w:left w:w="100" w:type="dxa"/>
              <w:bottom w:w="100" w:type="dxa"/>
              <w:right w:w="100" w:type="dxa"/>
            </w:tcMar>
          </w:tcPr>
          <w:p w14:paraId="39AC2075"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1B660112"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3343DDD7"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1F8ADFD4" w14:textId="77777777">
        <w:trPr>
          <w:trHeight w:val="770"/>
        </w:trPr>
        <w:tc>
          <w:tcPr>
            <w:tcW w:w="1215" w:type="dxa"/>
            <w:tcBorders>
              <w:top w:val="nil"/>
              <w:left w:val="nil"/>
              <w:bottom w:val="nil"/>
              <w:right w:val="nil"/>
            </w:tcBorders>
            <w:tcMar>
              <w:top w:w="100" w:type="dxa"/>
              <w:left w:w="100" w:type="dxa"/>
              <w:bottom w:w="100" w:type="dxa"/>
              <w:right w:w="100" w:type="dxa"/>
            </w:tcMar>
          </w:tcPr>
          <w:p w14:paraId="6776B3DF"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4FDF5345"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Driven to support people beyond duties</w:t>
            </w:r>
          </w:p>
        </w:tc>
        <w:tc>
          <w:tcPr>
            <w:tcW w:w="780" w:type="dxa"/>
            <w:tcBorders>
              <w:top w:val="nil"/>
              <w:left w:val="nil"/>
              <w:bottom w:val="nil"/>
              <w:right w:val="nil"/>
            </w:tcBorders>
            <w:tcMar>
              <w:top w:w="100" w:type="dxa"/>
              <w:left w:w="100" w:type="dxa"/>
              <w:bottom w:w="100" w:type="dxa"/>
              <w:right w:w="100" w:type="dxa"/>
            </w:tcMar>
          </w:tcPr>
          <w:p w14:paraId="458A4F10"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3.55</w:t>
            </w:r>
          </w:p>
        </w:tc>
        <w:tc>
          <w:tcPr>
            <w:tcW w:w="810" w:type="dxa"/>
            <w:tcBorders>
              <w:top w:val="nil"/>
              <w:left w:val="nil"/>
              <w:bottom w:val="nil"/>
              <w:right w:val="nil"/>
            </w:tcBorders>
            <w:tcMar>
              <w:top w:w="100" w:type="dxa"/>
              <w:left w:w="100" w:type="dxa"/>
              <w:bottom w:w="100" w:type="dxa"/>
              <w:right w:w="100" w:type="dxa"/>
            </w:tcMar>
          </w:tcPr>
          <w:p w14:paraId="66080036"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0.552</w:t>
            </w:r>
          </w:p>
        </w:tc>
        <w:tc>
          <w:tcPr>
            <w:tcW w:w="600" w:type="dxa"/>
            <w:tcBorders>
              <w:top w:val="nil"/>
              <w:left w:val="nil"/>
              <w:bottom w:val="nil"/>
              <w:right w:val="nil"/>
            </w:tcBorders>
            <w:tcMar>
              <w:top w:w="100" w:type="dxa"/>
              <w:left w:w="100" w:type="dxa"/>
              <w:bottom w:w="100" w:type="dxa"/>
              <w:right w:w="100" w:type="dxa"/>
            </w:tcMar>
          </w:tcPr>
          <w:p w14:paraId="5BFD0AEE"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w:t>
            </w:r>
          </w:p>
        </w:tc>
        <w:tc>
          <w:tcPr>
            <w:tcW w:w="720" w:type="dxa"/>
            <w:tcBorders>
              <w:top w:val="nil"/>
              <w:left w:val="nil"/>
              <w:bottom w:val="nil"/>
              <w:right w:val="nil"/>
            </w:tcBorders>
            <w:tcMar>
              <w:top w:w="100" w:type="dxa"/>
              <w:left w:w="100" w:type="dxa"/>
              <w:bottom w:w="100" w:type="dxa"/>
              <w:right w:w="100" w:type="dxa"/>
            </w:tcMar>
          </w:tcPr>
          <w:p w14:paraId="15993B35"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32812590"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197D1836" w14:textId="77777777">
        <w:trPr>
          <w:trHeight w:val="500"/>
        </w:trPr>
        <w:tc>
          <w:tcPr>
            <w:tcW w:w="1215" w:type="dxa"/>
            <w:tcBorders>
              <w:top w:val="nil"/>
              <w:left w:val="nil"/>
              <w:bottom w:val="nil"/>
              <w:right w:val="nil"/>
            </w:tcBorders>
            <w:tcMar>
              <w:top w:w="100" w:type="dxa"/>
              <w:left w:w="100" w:type="dxa"/>
              <w:bottom w:w="100" w:type="dxa"/>
              <w:right w:w="100" w:type="dxa"/>
            </w:tcMar>
          </w:tcPr>
          <w:p w14:paraId="2DB98BAD"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42304683"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Accepting personal hardships</w:t>
            </w:r>
          </w:p>
        </w:tc>
        <w:tc>
          <w:tcPr>
            <w:tcW w:w="780" w:type="dxa"/>
            <w:tcBorders>
              <w:top w:val="nil"/>
              <w:left w:val="nil"/>
              <w:bottom w:val="nil"/>
              <w:right w:val="nil"/>
            </w:tcBorders>
            <w:tcMar>
              <w:top w:w="100" w:type="dxa"/>
              <w:left w:w="100" w:type="dxa"/>
              <w:bottom w:w="100" w:type="dxa"/>
              <w:right w:w="100" w:type="dxa"/>
            </w:tcMar>
          </w:tcPr>
          <w:p w14:paraId="510DE130"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3.45</w:t>
            </w:r>
          </w:p>
        </w:tc>
        <w:tc>
          <w:tcPr>
            <w:tcW w:w="810" w:type="dxa"/>
            <w:tcBorders>
              <w:top w:val="nil"/>
              <w:left w:val="nil"/>
              <w:bottom w:val="nil"/>
              <w:right w:val="nil"/>
            </w:tcBorders>
            <w:tcMar>
              <w:top w:w="100" w:type="dxa"/>
              <w:left w:w="100" w:type="dxa"/>
              <w:bottom w:w="100" w:type="dxa"/>
              <w:right w:w="100" w:type="dxa"/>
            </w:tcMar>
          </w:tcPr>
          <w:p w14:paraId="1C84C0DC"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0.694</w:t>
            </w:r>
          </w:p>
        </w:tc>
        <w:tc>
          <w:tcPr>
            <w:tcW w:w="600" w:type="dxa"/>
            <w:tcBorders>
              <w:top w:val="nil"/>
              <w:left w:val="nil"/>
              <w:bottom w:val="nil"/>
              <w:right w:val="nil"/>
            </w:tcBorders>
            <w:tcMar>
              <w:top w:w="100" w:type="dxa"/>
              <w:left w:w="100" w:type="dxa"/>
              <w:bottom w:w="100" w:type="dxa"/>
              <w:right w:w="100" w:type="dxa"/>
            </w:tcMar>
          </w:tcPr>
          <w:p w14:paraId="2BE78A45"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6CB04471"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413E98EA"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34749283" w14:textId="77777777">
        <w:trPr>
          <w:trHeight w:val="770"/>
        </w:trPr>
        <w:tc>
          <w:tcPr>
            <w:tcW w:w="1215" w:type="dxa"/>
            <w:tcBorders>
              <w:top w:val="nil"/>
              <w:left w:val="nil"/>
              <w:bottom w:val="nil"/>
              <w:right w:val="nil"/>
            </w:tcBorders>
            <w:tcMar>
              <w:top w:w="100" w:type="dxa"/>
              <w:left w:w="100" w:type="dxa"/>
              <w:bottom w:w="100" w:type="dxa"/>
              <w:right w:w="100" w:type="dxa"/>
            </w:tcMar>
          </w:tcPr>
          <w:p w14:paraId="6F1682DE"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4DA761C7"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Put aside own interest for public good</w:t>
            </w:r>
          </w:p>
        </w:tc>
        <w:tc>
          <w:tcPr>
            <w:tcW w:w="780" w:type="dxa"/>
            <w:tcBorders>
              <w:top w:val="nil"/>
              <w:left w:val="nil"/>
              <w:bottom w:val="nil"/>
              <w:right w:val="nil"/>
            </w:tcBorders>
            <w:tcMar>
              <w:top w:w="100" w:type="dxa"/>
              <w:left w:w="100" w:type="dxa"/>
              <w:bottom w:w="100" w:type="dxa"/>
              <w:right w:w="100" w:type="dxa"/>
            </w:tcMar>
          </w:tcPr>
          <w:p w14:paraId="295EF51F"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3.48</w:t>
            </w:r>
          </w:p>
        </w:tc>
        <w:tc>
          <w:tcPr>
            <w:tcW w:w="810" w:type="dxa"/>
            <w:tcBorders>
              <w:top w:val="nil"/>
              <w:left w:val="nil"/>
              <w:bottom w:val="nil"/>
              <w:right w:val="nil"/>
            </w:tcBorders>
            <w:tcMar>
              <w:top w:w="100" w:type="dxa"/>
              <w:left w:w="100" w:type="dxa"/>
              <w:bottom w:w="100" w:type="dxa"/>
              <w:right w:w="100" w:type="dxa"/>
            </w:tcMar>
          </w:tcPr>
          <w:p w14:paraId="3AEE7A55"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0.653</w:t>
            </w:r>
          </w:p>
        </w:tc>
        <w:tc>
          <w:tcPr>
            <w:tcW w:w="600" w:type="dxa"/>
            <w:tcBorders>
              <w:top w:val="nil"/>
              <w:left w:val="nil"/>
              <w:bottom w:val="nil"/>
              <w:right w:val="nil"/>
            </w:tcBorders>
            <w:tcMar>
              <w:top w:w="100" w:type="dxa"/>
              <w:left w:w="100" w:type="dxa"/>
              <w:bottom w:w="100" w:type="dxa"/>
              <w:right w:w="100" w:type="dxa"/>
            </w:tcMar>
          </w:tcPr>
          <w:p w14:paraId="69D7E113"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19E279B6"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2063EC7F"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7CFEDF27" w14:textId="77777777">
        <w:trPr>
          <w:trHeight w:val="770"/>
        </w:trPr>
        <w:tc>
          <w:tcPr>
            <w:tcW w:w="1215" w:type="dxa"/>
            <w:tcBorders>
              <w:top w:val="nil"/>
              <w:left w:val="nil"/>
              <w:bottom w:val="nil"/>
              <w:right w:val="nil"/>
            </w:tcBorders>
            <w:tcMar>
              <w:top w:w="100" w:type="dxa"/>
              <w:left w:w="100" w:type="dxa"/>
              <w:bottom w:w="100" w:type="dxa"/>
              <w:right w:w="100" w:type="dxa"/>
            </w:tcMar>
          </w:tcPr>
          <w:p w14:paraId="77258547" w14:textId="77777777" w:rsidR="00D06E4C" w:rsidRDefault="00D06E4C" w:rsidP="00D06E4C">
            <w:pPr>
              <w:pBdr>
                <w:top w:val="nil"/>
                <w:left w:val="nil"/>
                <w:bottom w:val="nil"/>
                <w:right w:val="nil"/>
                <w:between w:val="nil"/>
              </w:pBdr>
              <w:jc w:val="both"/>
              <w:rPr>
                <w:rFonts w:ascii="Arial" w:eastAsia="Arial" w:hAnsi="Arial" w:cs="Arial"/>
                <w:color w:val="000000"/>
              </w:rPr>
            </w:pPr>
          </w:p>
        </w:tc>
        <w:tc>
          <w:tcPr>
            <w:tcW w:w="2970" w:type="dxa"/>
            <w:tcBorders>
              <w:top w:val="nil"/>
              <w:left w:val="nil"/>
              <w:bottom w:val="nil"/>
              <w:right w:val="nil"/>
            </w:tcBorders>
            <w:tcMar>
              <w:top w:w="100" w:type="dxa"/>
              <w:left w:w="100" w:type="dxa"/>
              <w:bottom w:w="100" w:type="dxa"/>
              <w:right w:w="100" w:type="dxa"/>
            </w:tcMar>
          </w:tcPr>
          <w:p w14:paraId="7576DEE3"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Prepared to work under challenging conditions</w:t>
            </w:r>
          </w:p>
        </w:tc>
        <w:tc>
          <w:tcPr>
            <w:tcW w:w="780" w:type="dxa"/>
            <w:tcBorders>
              <w:top w:val="nil"/>
              <w:left w:val="nil"/>
              <w:bottom w:val="nil"/>
              <w:right w:val="nil"/>
            </w:tcBorders>
            <w:tcMar>
              <w:top w:w="100" w:type="dxa"/>
              <w:left w:w="100" w:type="dxa"/>
              <w:bottom w:w="100" w:type="dxa"/>
              <w:right w:w="100" w:type="dxa"/>
            </w:tcMar>
          </w:tcPr>
          <w:p w14:paraId="6C51B275"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3.62</w:t>
            </w:r>
          </w:p>
        </w:tc>
        <w:tc>
          <w:tcPr>
            <w:tcW w:w="810" w:type="dxa"/>
            <w:tcBorders>
              <w:top w:val="nil"/>
              <w:left w:val="nil"/>
              <w:bottom w:val="nil"/>
              <w:right w:val="nil"/>
            </w:tcBorders>
            <w:tcMar>
              <w:top w:w="100" w:type="dxa"/>
              <w:left w:w="100" w:type="dxa"/>
              <w:bottom w:w="100" w:type="dxa"/>
              <w:right w:w="100" w:type="dxa"/>
            </w:tcMar>
          </w:tcPr>
          <w:p w14:paraId="1538266C"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0.581</w:t>
            </w:r>
          </w:p>
        </w:tc>
        <w:tc>
          <w:tcPr>
            <w:tcW w:w="600" w:type="dxa"/>
            <w:tcBorders>
              <w:top w:val="nil"/>
              <w:left w:val="nil"/>
              <w:bottom w:val="nil"/>
              <w:right w:val="nil"/>
            </w:tcBorders>
            <w:tcMar>
              <w:top w:w="100" w:type="dxa"/>
              <w:left w:w="100" w:type="dxa"/>
              <w:bottom w:w="100" w:type="dxa"/>
              <w:right w:w="100" w:type="dxa"/>
            </w:tcMar>
          </w:tcPr>
          <w:p w14:paraId="2626B0B6"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nil"/>
              <w:right w:val="nil"/>
            </w:tcBorders>
            <w:tcMar>
              <w:top w:w="100" w:type="dxa"/>
              <w:left w:w="100" w:type="dxa"/>
              <w:bottom w:w="100" w:type="dxa"/>
              <w:right w:w="100" w:type="dxa"/>
            </w:tcMar>
          </w:tcPr>
          <w:p w14:paraId="355607C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4075A9C6"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r w:rsidR="00D06E4C" w14:paraId="54C53FF5" w14:textId="77777777" w:rsidTr="00B94B49">
        <w:trPr>
          <w:trHeight w:val="770"/>
        </w:trPr>
        <w:tc>
          <w:tcPr>
            <w:tcW w:w="1215" w:type="dxa"/>
            <w:tcBorders>
              <w:top w:val="nil"/>
              <w:left w:val="nil"/>
              <w:bottom w:val="single" w:sz="8" w:space="0" w:color="000000"/>
              <w:right w:val="nil"/>
            </w:tcBorders>
            <w:tcMar>
              <w:top w:w="100" w:type="dxa"/>
              <w:left w:w="100" w:type="dxa"/>
              <w:bottom w:w="100" w:type="dxa"/>
              <w:right w:w="100" w:type="dxa"/>
            </w:tcMar>
          </w:tcPr>
          <w:p w14:paraId="58C3CD48"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Overall PSM</w:t>
            </w:r>
          </w:p>
        </w:tc>
        <w:tc>
          <w:tcPr>
            <w:tcW w:w="2970" w:type="dxa"/>
            <w:tcBorders>
              <w:top w:val="nil"/>
              <w:left w:val="nil"/>
              <w:bottom w:val="single" w:sz="8" w:space="0" w:color="000000"/>
              <w:right w:val="nil"/>
            </w:tcBorders>
            <w:tcMar>
              <w:top w:w="100" w:type="dxa"/>
              <w:left w:w="100" w:type="dxa"/>
              <w:bottom w:w="100" w:type="dxa"/>
              <w:right w:w="100" w:type="dxa"/>
            </w:tcMar>
          </w:tcPr>
          <w:p w14:paraId="6AA73592"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Mean across all items</w:t>
            </w:r>
          </w:p>
        </w:tc>
        <w:tc>
          <w:tcPr>
            <w:tcW w:w="780" w:type="dxa"/>
            <w:tcBorders>
              <w:top w:val="nil"/>
              <w:left w:val="nil"/>
              <w:bottom w:val="single" w:sz="8" w:space="0" w:color="000000"/>
              <w:right w:val="nil"/>
            </w:tcBorders>
            <w:tcMar>
              <w:top w:w="100" w:type="dxa"/>
              <w:left w:w="100" w:type="dxa"/>
              <w:bottom w:w="100" w:type="dxa"/>
              <w:right w:w="100" w:type="dxa"/>
            </w:tcMar>
          </w:tcPr>
          <w:p w14:paraId="2BBF09E4"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3.60</w:t>
            </w:r>
          </w:p>
        </w:tc>
        <w:tc>
          <w:tcPr>
            <w:tcW w:w="810" w:type="dxa"/>
            <w:tcBorders>
              <w:top w:val="nil"/>
              <w:left w:val="nil"/>
              <w:bottom w:val="single" w:sz="8" w:space="0" w:color="000000"/>
              <w:right w:val="nil"/>
            </w:tcBorders>
            <w:tcMar>
              <w:top w:w="100" w:type="dxa"/>
              <w:left w:w="100" w:type="dxa"/>
              <w:bottom w:w="100" w:type="dxa"/>
              <w:right w:w="100" w:type="dxa"/>
            </w:tcMar>
          </w:tcPr>
          <w:p w14:paraId="5AEB403A"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0.556</w:t>
            </w:r>
          </w:p>
        </w:tc>
        <w:tc>
          <w:tcPr>
            <w:tcW w:w="600" w:type="dxa"/>
            <w:tcBorders>
              <w:top w:val="nil"/>
              <w:left w:val="nil"/>
              <w:bottom w:val="single" w:sz="8" w:space="0" w:color="000000"/>
              <w:right w:val="nil"/>
            </w:tcBorders>
            <w:tcMar>
              <w:top w:w="100" w:type="dxa"/>
              <w:left w:w="100" w:type="dxa"/>
              <w:bottom w:w="100" w:type="dxa"/>
              <w:right w:w="100" w:type="dxa"/>
            </w:tcMar>
          </w:tcPr>
          <w:p w14:paraId="0E0BC717"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w:t>
            </w:r>
          </w:p>
        </w:tc>
        <w:tc>
          <w:tcPr>
            <w:tcW w:w="720" w:type="dxa"/>
            <w:tcBorders>
              <w:top w:val="nil"/>
              <w:left w:val="nil"/>
              <w:bottom w:val="single" w:sz="8" w:space="0" w:color="000000"/>
              <w:right w:val="nil"/>
            </w:tcBorders>
            <w:tcMar>
              <w:top w:w="100" w:type="dxa"/>
              <w:left w:w="100" w:type="dxa"/>
              <w:bottom w:w="100" w:type="dxa"/>
              <w:right w:w="100" w:type="dxa"/>
            </w:tcMar>
          </w:tcPr>
          <w:p w14:paraId="74E184E9" w14:textId="77777777" w:rsidR="00D06E4C" w:rsidRDefault="00D06E4C" w:rsidP="00D06E4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4</w:t>
            </w:r>
          </w:p>
        </w:tc>
        <w:tc>
          <w:tcPr>
            <w:tcW w:w="2055" w:type="dxa"/>
            <w:tcBorders>
              <w:top w:val="nil"/>
              <w:left w:val="nil"/>
              <w:bottom w:val="nil"/>
              <w:right w:val="nil"/>
            </w:tcBorders>
            <w:tcMar>
              <w:top w:w="100" w:type="dxa"/>
              <w:left w:w="100" w:type="dxa"/>
              <w:bottom w:w="100" w:type="dxa"/>
              <w:right w:w="100" w:type="dxa"/>
            </w:tcMar>
          </w:tcPr>
          <w:p w14:paraId="0AB4CA65" w14:textId="77777777" w:rsidR="00D06E4C" w:rsidRDefault="00D06E4C" w:rsidP="00D06E4C">
            <w:pPr>
              <w:pBdr>
                <w:top w:val="nil"/>
                <w:left w:val="nil"/>
                <w:bottom w:val="nil"/>
                <w:right w:val="nil"/>
                <w:between w:val="nil"/>
              </w:pBdr>
              <w:jc w:val="both"/>
              <w:rPr>
                <w:rFonts w:ascii="Arial" w:eastAsia="Arial" w:hAnsi="Arial" w:cs="Arial"/>
                <w:color w:val="000000"/>
              </w:rPr>
            </w:pPr>
            <w:r w:rsidRPr="00D06E4C">
              <w:rPr>
                <w:rFonts w:ascii="Arial" w:eastAsia="Arial" w:hAnsi="Arial" w:cs="Arial"/>
                <w:color w:val="000000"/>
              </w:rPr>
              <w:t xml:space="preserve">Highly Internalized/ Very high </w:t>
            </w:r>
          </w:p>
        </w:tc>
      </w:tr>
    </w:tbl>
    <w:p w14:paraId="2E338DD8" w14:textId="77777777" w:rsidR="00B50E8C" w:rsidRDefault="00B50E8C">
      <w:pPr>
        <w:pBdr>
          <w:top w:val="nil"/>
          <w:left w:val="nil"/>
          <w:bottom w:val="nil"/>
          <w:right w:val="nil"/>
          <w:between w:val="nil"/>
        </w:pBdr>
        <w:jc w:val="both"/>
        <w:rPr>
          <w:rFonts w:ascii="Arial" w:eastAsia="Arial" w:hAnsi="Arial" w:cs="Arial"/>
          <w:b/>
          <w:bCs/>
          <w:color w:val="000000"/>
        </w:rPr>
      </w:pPr>
      <w:bookmarkStart w:id="22" w:name="_heading=h.85bg5u9ipie8" w:colFirst="0" w:colLast="0"/>
      <w:bookmarkEnd w:id="22"/>
    </w:p>
    <w:p w14:paraId="0AD56A45" w14:textId="77777777" w:rsidR="00B50E8C" w:rsidRDefault="00F37AE9">
      <w:pPr>
        <w:pBdr>
          <w:top w:val="nil"/>
          <w:left w:val="nil"/>
          <w:bottom w:val="nil"/>
          <w:right w:val="nil"/>
          <w:between w:val="nil"/>
        </w:pBdr>
        <w:jc w:val="both"/>
        <w:rPr>
          <w:rFonts w:ascii="Arial" w:eastAsia="Arial" w:hAnsi="Arial" w:cs="Arial"/>
          <w:b/>
          <w:bCs/>
          <w:color w:val="000000"/>
        </w:rPr>
      </w:pPr>
      <w:bookmarkStart w:id="23" w:name="_heading=h.dmoj3hm736ec" w:colFirst="0" w:colLast="0"/>
      <w:bookmarkEnd w:id="23"/>
      <w:r>
        <w:rPr>
          <w:rFonts w:ascii="Arial" w:eastAsia="Arial" w:hAnsi="Arial" w:cs="Arial"/>
          <w:b/>
          <w:bCs/>
          <w:color w:val="000000"/>
        </w:rPr>
        <w:t>Correlation Between Public Service Values and Motivation</w:t>
      </w:r>
    </w:p>
    <w:p w14:paraId="385A8187"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Pearson correlation analysis revealed a strong, positive, and statistically significant relationship between PSV and PSM (r = .683, p &lt; .01), confirming that higher levels of value internalization are associated with stronger motivational orientations toward public service. This finding corroborates the foundational theoretical framework proposed by Perry and Wise (1990), which posits that PSM is rooted in value-driven motives such as commitment to public interest, compassion, and self-sacrifice. High correlations suggest that ethical principles operate not only as formal codes of conduct but also as intrinsic motivational drivers, shaping employees’ affective engagement and normative commitment to serve.</w:t>
      </w:r>
    </w:p>
    <w:p w14:paraId="0327F52F" w14:textId="77777777" w:rsidR="00B50E8C" w:rsidRDefault="00B50E8C">
      <w:pPr>
        <w:pBdr>
          <w:top w:val="nil"/>
          <w:left w:val="nil"/>
          <w:bottom w:val="nil"/>
          <w:right w:val="nil"/>
          <w:between w:val="nil"/>
        </w:pBdr>
        <w:jc w:val="both"/>
        <w:rPr>
          <w:rFonts w:ascii="Arial" w:eastAsia="Arial" w:hAnsi="Arial" w:cs="Arial"/>
        </w:rPr>
      </w:pPr>
    </w:p>
    <w:p w14:paraId="2EF5B716"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The strong PSV–PSM relationship carries important theoretical implications. It reinforces the conceptualization of PSM as an affective-motivational construct influenced by ethical and prosocial values (Kim, 2009; Vandenabeele, 2009). Values such as integrity, patriotism, excellence, and spirituality serve as antecedents that shape employees’ motivation, suggesting that organizational interventions targeting value internalization can have measurable impacts on employee motivation. These findings also align with work by Bright (2008), who emphasized that ethical orientations in public service are not abstract ideals but critical drivers of performance and engagement.</w:t>
      </w:r>
    </w:p>
    <w:p w14:paraId="237D8483" w14:textId="77777777" w:rsidR="00B50E8C" w:rsidRDefault="00B50E8C" w:rsidP="002A4351">
      <w:pPr>
        <w:pBdr>
          <w:top w:val="nil"/>
          <w:left w:val="nil"/>
          <w:bottom w:val="nil"/>
          <w:right w:val="nil"/>
          <w:between w:val="nil"/>
        </w:pBdr>
        <w:rPr>
          <w:rFonts w:ascii="Arial" w:eastAsia="Arial" w:hAnsi="Arial" w:cs="Arial"/>
          <w:color w:val="000000"/>
        </w:rPr>
      </w:pPr>
    </w:p>
    <w:p w14:paraId="215164F1" w14:textId="77777777" w:rsidR="00B50E8C" w:rsidRDefault="00F37AE9" w:rsidP="002A4351">
      <w:pPr>
        <w:pBdr>
          <w:top w:val="nil"/>
          <w:left w:val="nil"/>
          <w:bottom w:val="nil"/>
          <w:right w:val="nil"/>
          <w:between w:val="nil"/>
        </w:pBdr>
        <w:rPr>
          <w:rFonts w:ascii="Arial" w:eastAsia="Arial" w:hAnsi="Arial" w:cs="Arial"/>
          <w:color w:val="000000"/>
        </w:rPr>
      </w:pPr>
      <w:r>
        <w:rPr>
          <w:rFonts w:ascii="Arial" w:eastAsia="Arial" w:hAnsi="Arial" w:cs="Arial"/>
          <w:b/>
          <w:bCs/>
          <w:color w:val="000000"/>
        </w:rPr>
        <w:t>Figure 1. Scatterplot of Public Service Values and Motivation</w:t>
      </w:r>
      <w:r>
        <w:rPr>
          <w:rFonts w:ascii="Arial" w:eastAsia="Arial" w:hAnsi="Arial" w:cs="Arial"/>
          <w:b/>
          <w:bCs/>
          <w:color w:val="000000"/>
        </w:rPr>
        <w:br/>
      </w:r>
      <w:r>
        <w:rPr>
          <w:rFonts w:ascii="Arial" w:eastAsia="Arial" w:hAnsi="Arial" w:cs="Arial"/>
          <w:b/>
          <w:bCs/>
          <w:noProof/>
          <w:color w:val="000000"/>
        </w:rPr>
        <w:drawing>
          <wp:inline distT="114300" distB="114300" distL="114300" distR="114300" wp14:anchorId="1EC1424F" wp14:editId="77198093">
            <wp:extent cx="4943475" cy="3448050"/>
            <wp:effectExtent l="0" t="0" r="0" b="0"/>
            <wp:docPr id="17225526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l="7309" t="10469" r="6478"/>
                    <a:stretch>
                      <a:fillRect/>
                    </a:stretch>
                  </pic:blipFill>
                  <pic:spPr>
                    <a:xfrm>
                      <a:off x="0" y="0"/>
                      <a:ext cx="4943475" cy="3448050"/>
                    </a:xfrm>
                    <a:prstGeom prst="rect">
                      <a:avLst/>
                    </a:prstGeom>
                    <a:ln/>
                  </pic:spPr>
                </pic:pic>
              </a:graphicData>
            </a:graphic>
          </wp:inline>
        </w:drawing>
      </w:r>
    </w:p>
    <w:p w14:paraId="4A9A32BD" w14:textId="77777777" w:rsidR="00B50E8C" w:rsidRDefault="00F37AE9">
      <w:pPr>
        <w:pBdr>
          <w:top w:val="nil"/>
          <w:left w:val="nil"/>
          <w:bottom w:val="nil"/>
          <w:right w:val="nil"/>
          <w:between w:val="nil"/>
        </w:pBdr>
        <w:jc w:val="both"/>
        <w:rPr>
          <w:rFonts w:ascii="Arial" w:eastAsia="Arial" w:hAnsi="Arial" w:cs="Arial"/>
          <w:b/>
          <w:bCs/>
          <w:color w:val="000000"/>
        </w:rPr>
      </w:pPr>
      <w:bookmarkStart w:id="24" w:name="_heading=h.s4t9xb8iav73" w:colFirst="0" w:colLast="0"/>
      <w:bookmarkEnd w:id="24"/>
      <w:r>
        <w:rPr>
          <w:rFonts w:ascii="Arial" w:eastAsia="Arial" w:hAnsi="Arial" w:cs="Arial"/>
          <w:b/>
          <w:bCs/>
          <w:color w:val="000000"/>
        </w:rPr>
        <w:t>Mode of Entry into Government Service and Its Impact on PSV and PSM</w:t>
      </w:r>
    </w:p>
    <w:p w14:paraId="1899578D" w14:textId="77777777" w:rsidR="00B50E8C" w:rsidRDefault="00F37AE9">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The distribution of entry modes showed that the majority of respondents (68.3%) entered through job order arrangements, followed by </w:t>
      </w:r>
      <w:r>
        <w:rPr>
          <w:rFonts w:ascii="Arial" w:eastAsia="Arial" w:hAnsi="Arial" w:cs="Arial"/>
        </w:rPr>
        <w:t>career service (21.8%), coterminous appointments (6.2%), and other modes (3.7%). These results reflect the increasing reliance of LGUs on non-permanent employment arrangements, consistent with trends in Philippine local governance (Corpuz, 2019).</w:t>
      </w:r>
    </w:p>
    <w:p w14:paraId="4DC07C5C"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To determine whether entry type influenced PSV, a one-way ANOVA was conducted. Results indicated no statistically significant differences across the four categories, </w:t>
      </w:r>
      <w:proofErr w:type="gramStart"/>
      <w:r>
        <w:rPr>
          <w:rFonts w:ascii="Arial" w:eastAsia="Arial" w:hAnsi="Arial" w:cs="Arial"/>
        </w:rPr>
        <w:t>F(</w:t>
      </w:r>
      <w:proofErr w:type="gramEnd"/>
      <w:r>
        <w:rPr>
          <w:rFonts w:ascii="Arial" w:eastAsia="Arial" w:hAnsi="Arial" w:cs="Arial"/>
        </w:rPr>
        <w:t xml:space="preserve">3, 349) = 0.281, P = .839, with Levene’s test confirming homogeneity of variances (P = .948). Similarly, PSM scores did not vary significantly with mode of entry, </w:t>
      </w:r>
      <w:proofErr w:type="gramStart"/>
      <w:r>
        <w:rPr>
          <w:rFonts w:ascii="Arial" w:eastAsia="Arial" w:hAnsi="Arial" w:cs="Arial"/>
        </w:rPr>
        <w:t>F(</w:t>
      </w:r>
      <w:proofErr w:type="gramEnd"/>
      <w:r>
        <w:rPr>
          <w:rFonts w:ascii="Arial" w:eastAsia="Arial" w:hAnsi="Arial" w:cs="Arial"/>
        </w:rPr>
        <w:t>3</w:t>
      </w:r>
      <w:r>
        <w:rPr>
          <w:rFonts w:ascii="Arial" w:eastAsia="Arial" w:hAnsi="Arial" w:cs="Arial"/>
          <w:color w:val="000000"/>
        </w:rPr>
        <w:t xml:space="preserve">, 349) = 0.584, </w:t>
      </w:r>
      <w:r>
        <w:rPr>
          <w:rFonts w:ascii="Arial" w:eastAsia="Arial" w:hAnsi="Arial" w:cs="Arial"/>
        </w:rPr>
        <w:t>P</w:t>
      </w:r>
      <w:r>
        <w:rPr>
          <w:rFonts w:ascii="Arial" w:eastAsia="Arial" w:hAnsi="Arial" w:cs="Arial"/>
          <w:color w:val="000000"/>
        </w:rPr>
        <w:t xml:space="preserve"> = .626. These findings suggest that public service values and motivation are internalized independently of recruitment pathways, indicating that formal civil service selection does not inherently confer higher ethical alignment or motivation.</w:t>
      </w:r>
    </w:p>
    <w:p w14:paraId="6C6FC1D7"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rPr>
        <w:t>Theoretically, these results support organizational culture theory, which emphasizes that shared norms, leadership behaviors, and socialization processes shape individual behavior more strongly than initial entry conditions (Schein, 2010). In the LGU context, the workplace environment, peer norms, and value-based training programs may act as primary mechanisms for embedding PSV and fostering PSM. Furthermore, these findings challenge assumptions in PSM literature that merit-based recruitment is a prerequisite for ethical or motivational superiority (Perry, 1996; Christensen &amp; Lægreid, 2007).</w:t>
      </w:r>
    </w:p>
    <w:p w14:paraId="166C4EF1" w14:textId="77777777" w:rsidR="00B50E8C" w:rsidRDefault="00B50E8C">
      <w:pPr>
        <w:pBdr>
          <w:top w:val="nil"/>
          <w:left w:val="nil"/>
          <w:bottom w:val="nil"/>
          <w:right w:val="nil"/>
          <w:between w:val="nil"/>
        </w:pBdr>
        <w:jc w:val="both"/>
        <w:rPr>
          <w:rFonts w:ascii="Arial" w:eastAsia="Arial" w:hAnsi="Arial" w:cs="Arial"/>
          <w:b/>
          <w:bCs/>
        </w:rPr>
      </w:pPr>
    </w:p>
    <w:p w14:paraId="541D3483"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 xml:space="preserve">Table 2. </w:t>
      </w:r>
      <w:r>
        <w:rPr>
          <w:rFonts w:ascii="Arial" w:eastAsia="Arial" w:hAnsi="Arial" w:cs="Arial"/>
          <w:color w:val="000000"/>
        </w:rPr>
        <w:t>Distribution of Respondents by Mode of Entry</w:t>
      </w:r>
    </w:p>
    <w:tbl>
      <w:tblPr>
        <w:tblStyle w:val="a8"/>
        <w:tblW w:w="9060" w:type="dxa"/>
        <w:tblBorders>
          <w:top w:val="nil"/>
          <w:left w:val="nil"/>
          <w:bottom w:val="nil"/>
          <w:right w:val="nil"/>
          <w:insideH w:val="nil"/>
          <w:insideV w:val="nil"/>
        </w:tblBorders>
        <w:tblLayout w:type="fixed"/>
        <w:tblLook w:val="0600" w:firstRow="0" w:lastRow="0" w:firstColumn="0" w:lastColumn="0" w:noHBand="1" w:noVBand="1"/>
      </w:tblPr>
      <w:tblGrid>
        <w:gridCol w:w="4935"/>
        <w:gridCol w:w="2340"/>
        <w:gridCol w:w="1785"/>
      </w:tblGrid>
      <w:tr w:rsidR="00B50E8C" w14:paraId="3C4F4AB4" w14:textId="77777777">
        <w:trPr>
          <w:trHeight w:val="500"/>
        </w:trPr>
        <w:tc>
          <w:tcPr>
            <w:tcW w:w="4935" w:type="dxa"/>
            <w:tcBorders>
              <w:top w:val="single" w:sz="8" w:space="0" w:color="000000"/>
              <w:left w:val="nil"/>
              <w:bottom w:val="single" w:sz="8" w:space="0" w:color="000000"/>
              <w:right w:val="nil"/>
            </w:tcBorders>
            <w:tcMar>
              <w:top w:w="100" w:type="dxa"/>
              <w:left w:w="100" w:type="dxa"/>
              <w:bottom w:w="100" w:type="dxa"/>
              <w:right w:w="100" w:type="dxa"/>
            </w:tcMar>
          </w:tcPr>
          <w:p w14:paraId="7F7471EF"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Mode of Entry</w:t>
            </w:r>
          </w:p>
        </w:tc>
        <w:tc>
          <w:tcPr>
            <w:tcW w:w="2340" w:type="dxa"/>
            <w:tcBorders>
              <w:top w:val="single" w:sz="8" w:space="0" w:color="000000"/>
              <w:left w:val="nil"/>
              <w:bottom w:val="single" w:sz="8" w:space="0" w:color="000000"/>
              <w:right w:val="nil"/>
            </w:tcBorders>
            <w:tcMar>
              <w:top w:w="100" w:type="dxa"/>
              <w:left w:w="100" w:type="dxa"/>
              <w:bottom w:w="100" w:type="dxa"/>
              <w:right w:w="100" w:type="dxa"/>
            </w:tcMar>
          </w:tcPr>
          <w:p w14:paraId="3143D0B1"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Frequency</w:t>
            </w:r>
          </w:p>
        </w:tc>
        <w:tc>
          <w:tcPr>
            <w:tcW w:w="1785" w:type="dxa"/>
            <w:tcBorders>
              <w:top w:val="single" w:sz="8" w:space="0" w:color="000000"/>
              <w:left w:val="nil"/>
              <w:bottom w:val="single" w:sz="8" w:space="0" w:color="000000"/>
              <w:right w:val="nil"/>
            </w:tcBorders>
            <w:tcMar>
              <w:top w:w="100" w:type="dxa"/>
              <w:left w:w="100" w:type="dxa"/>
              <w:bottom w:w="100" w:type="dxa"/>
              <w:right w:w="100" w:type="dxa"/>
            </w:tcMar>
          </w:tcPr>
          <w:p w14:paraId="11A9DB50"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Percent</w:t>
            </w:r>
          </w:p>
        </w:tc>
      </w:tr>
      <w:tr w:rsidR="00B50E8C" w14:paraId="41750E6B" w14:textId="77777777">
        <w:trPr>
          <w:trHeight w:val="500"/>
        </w:trPr>
        <w:tc>
          <w:tcPr>
            <w:tcW w:w="4935" w:type="dxa"/>
            <w:tcBorders>
              <w:top w:val="single" w:sz="8" w:space="0" w:color="000000"/>
              <w:left w:val="nil"/>
              <w:bottom w:val="nil"/>
              <w:right w:val="nil"/>
            </w:tcBorders>
            <w:tcMar>
              <w:top w:w="100" w:type="dxa"/>
              <w:left w:w="100" w:type="dxa"/>
              <w:bottom w:w="100" w:type="dxa"/>
              <w:right w:w="100" w:type="dxa"/>
            </w:tcMar>
          </w:tcPr>
          <w:p w14:paraId="48F1AF89"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Career Service</w:t>
            </w:r>
          </w:p>
        </w:tc>
        <w:tc>
          <w:tcPr>
            <w:tcW w:w="2340" w:type="dxa"/>
            <w:tcBorders>
              <w:top w:val="single" w:sz="8" w:space="0" w:color="000000"/>
              <w:left w:val="nil"/>
              <w:bottom w:val="nil"/>
              <w:right w:val="nil"/>
            </w:tcBorders>
            <w:tcMar>
              <w:top w:w="100" w:type="dxa"/>
              <w:left w:w="100" w:type="dxa"/>
              <w:bottom w:w="100" w:type="dxa"/>
              <w:right w:w="100" w:type="dxa"/>
            </w:tcMar>
          </w:tcPr>
          <w:p w14:paraId="7AE7F3EE"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77</w:t>
            </w:r>
          </w:p>
        </w:tc>
        <w:tc>
          <w:tcPr>
            <w:tcW w:w="1785" w:type="dxa"/>
            <w:tcBorders>
              <w:top w:val="single" w:sz="8" w:space="0" w:color="000000"/>
              <w:left w:val="nil"/>
              <w:bottom w:val="nil"/>
              <w:right w:val="nil"/>
            </w:tcBorders>
            <w:tcMar>
              <w:top w:w="100" w:type="dxa"/>
              <w:left w:w="100" w:type="dxa"/>
              <w:bottom w:w="100" w:type="dxa"/>
              <w:right w:w="100" w:type="dxa"/>
            </w:tcMar>
          </w:tcPr>
          <w:p w14:paraId="2F85F782"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21.8</w:t>
            </w:r>
          </w:p>
        </w:tc>
      </w:tr>
      <w:tr w:rsidR="00B50E8C" w14:paraId="3B2AC19C" w14:textId="77777777">
        <w:trPr>
          <w:trHeight w:val="500"/>
        </w:trPr>
        <w:tc>
          <w:tcPr>
            <w:tcW w:w="4935" w:type="dxa"/>
            <w:tcBorders>
              <w:top w:val="nil"/>
              <w:left w:val="nil"/>
              <w:bottom w:val="nil"/>
              <w:right w:val="nil"/>
            </w:tcBorders>
            <w:tcMar>
              <w:top w:w="100" w:type="dxa"/>
              <w:left w:w="100" w:type="dxa"/>
              <w:bottom w:w="100" w:type="dxa"/>
              <w:right w:w="100" w:type="dxa"/>
            </w:tcMar>
          </w:tcPr>
          <w:p w14:paraId="42B6F0B1"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Job Order</w:t>
            </w:r>
          </w:p>
        </w:tc>
        <w:tc>
          <w:tcPr>
            <w:tcW w:w="2340" w:type="dxa"/>
            <w:tcBorders>
              <w:top w:val="nil"/>
              <w:left w:val="nil"/>
              <w:bottom w:val="nil"/>
              <w:right w:val="nil"/>
            </w:tcBorders>
            <w:tcMar>
              <w:top w:w="100" w:type="dxa"/>
              <w:left w:w="100" w:type="dxa"/>
              <w:bottom w:w="100" w:type="dxa"/>
              <w:right w:w="100" w:type="dxa"/>
            </w:tcMar>
          </w:tcPr>
          <w:p w14:paraId="7F3C9DA0"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241</w:t>
            </w:r>
          </w:p>
        </w:tc>
        <w:tc>
          <w:tcPr>
            <w:tcW w:w="1785" w:type="dxa"/>
            <w:tcBorders>
              <w:top w:val="nil"/>
              <w:left w:val="nil"/>
              <w:bottom w:val="nil"/>
              <w:right w:val="nil"/>
            </w:tcBorders>
            <w:tcMar>
              <w:top w:w="100" w:type="dxa"/>
              <w:left w:w="100" w:type="dxa"/>
              <w:bottom w:w="100" w:type="dxa"/>
              <w:right w:w="100" w:type="dxa"/>
            </w:tcMar>
          </w:tcPr>
          <w:p w14:paraId="5377EF7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68.3</w:t>
            </w:r>
          </w:p>
        </w:tc>
      </w:tr>
      <w:tr w:rsidR="00B50E8C" w14:paraId="786A062B" w14:textId="77777777">
        <w:trPr>
          <w:trHeight w:val="500"/>
        </w:trPr>
        <w:tc>
          <w:tcPr>
            <w:tcW w:w="4935" w:type="dxa"/>
            <w:tcBorders>
              <w:top w:val="nil"/>
              <w:left w:val="nil"/>
              <w:bottom w:val="nil"/>
              <w:right w:val="nil"/>
            </w:tcBorders>
            <w:tcMar>
              <w:top w:w="100" w:type="dxa"/>
              <w:left w:w="100" w:type="dxa"/>
              <w:bottom w:w="100" w:type="dxa"/>
              <w:right w:w="100" w:type="dxa"/>
            </w:tcMar>
          </w:tcPr>
          <w:p w14:paraId="7252508A"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Coterminous Appointment</w:t>
            </w:r>
          </w:p>
        </w:tc>
        <w:tc>
          <w:tcPr>
            <w:tcW w:w="2340" w:type="dxa"/>
            <w:tcBorders>
              <w:top w:val="nil"/>
              <w:left w:val="nil"/>
              <w:bottom w:val="nil"/>
              <w:right w:val="nil"/>
            </w:tcBorders>
            <w:tcMar>
              <w:top w:w="100" w:type="dxa"/>
              <w:left w:w="100" w:type="dxa"/>
              <w:bottom w:w="100" w:type="dxa"/>
              <w:right w:w="100" w:type="dxa"/>
            </w:tcMar>
          </w:tcPr>
          <w:p w14:paraId="5AE8BA4A"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22</w:t>
            </w:r>
          </w:p>
        </w:tc>
        <w:tc>
          <w:tcPr>
            <w:tcW w:w="1785" w:type="dxa"/>
            <w:tcBorders>
              <w:top w:val="nil"/>
              <w:left w:val="nil"/>
              <w:bottom w:val="nil"/>
              <w:right w:val="nil"/>
            </w:tcBorders>
            <w:tcMar>
              <w:top w:w="100" w:type="dxa"/>
              <w:left w:w="100" w:type="dxa"/>
              <w:bottom w:w="100" w:type="dxa"/>
              <w:right w:w="100" w:type="dxa"/>
            </w:tcMar>
          </w:tcPr>
          <w:p w14:paraId="2D3F81F9"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6.2</w:t>
            </w:r>
          </w:p>
        </w:tc>
      </w:tr>
      <w:tr w:rsidR="00B50E8C" w14:paraId="522DA31A" w14:textId="77777777">
        <w:trPr>
          <w:trHeight w:val="510"/>
        </w:trPr>
        <w:tc>
          <w:tcPr>
            <w:tcW w:w="4935" w:type="dxa"/>
            <w:tcBorders>
              <w:top w:val="nil"/>
              <w:left w:val="nil"/>
              <w:bottom w:val="nil"/>
              <w:right w:val="nil"/>
            </w:tcBorders>
            <w:tcMar>
              <w:top w:w="100" w:type="dxa"/>
              <w:left w:w="100" w:type="dxa"/>
              <w:bottom w:w="100" w:type="dxa"/>
              <w:right w:w="100" w:type="dxa"/>
            </w:tcMar>
          </w:tcPr>
          <w:p w14:paraId="167BA239"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Others</w:t>
            </w:r>
          </w:p>
        </w:tc>
        <w:tc>
          <w:tcPr>
            <w:tcW w:w="2340" w:type="dxa"/>
            <w:tcBorders>
              <w:top w:val="nil"/>
              <w:left w:val="nil"/>
              <w:bottom w:val="nil"/>
              <w:right w:val="nil"/>
            </w:tcBorders>
            <w:tcMar>
              <w:top w:w="100" w:type="dxa"/>
              <w:left w:w="100" w:type="dxa"/>
              <w:bottom w:w="100" w:type="dxa"/>
              <w:right w:w="100" w:type="dxa"/>
            </w:tcMar>
          </w:tcPr>
          <w:p w14:paraId="200B2F43"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13</w:t>
            </w:r>
          </w:p>
        </w:tc>
        <w:tc>
          <w:tcPr>
            <w:tcW w:w="1785" w:type="dxa"/>
            <w:tcBorders>
              <w:top w:val="nil"/>
              <w:left w:val="nil"/>
              <w:bottom w:val="nil"/>
              <w:right w:val="nil"/>
            </w:tcBorders>
            <w:tcMar>
              <w:top w:w="100" w:type="dxa"/>
              <w:left w:w="100" w:type="dxa"/>
              <w:bottom w:w="100" w:type="dxa"/>
              <w:right w:w="100" w:type="dxa"/>
            </w:tcMar>
          </w:tcPr>
          <w:p w14:paraId="6820ECE9"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3.7</w:t>
            </w:r>
          </w:p>
        </w:tc>
      </w:tr>
      <w:tr w:rsidR="00B50E8C" w14:paraId="69F0C468" w14:textId="77777777">
        <w:trPr>
          <w:trHeight w:val="500"/>
        </w:trPr>
        <w:tc>
          <w:tcPr>
            <w:tcW w:w="4935" w:type="dxa"/>
            <w:tcBorders>
              <w:top w:val="nil"/>
              <w:left w:val="nil"/>
              <w:bottom w:val="single" w:sz="8" w:space="0" w:color="000000"/>
              <w:right w:val="nil"/>
            </w:tcBorders>
            <w:tcMar>
              <w:top w:w="100" w:type="dxa"/>
              <w:left w:w="100" w:type="dxa"/>
              <w:bottom w:w="100" w:type="dxa"/>
              <w:right w:w="100" w:type="dxa"/>
            </w:tcMar>
          </w:tcPr>
          <w:p w14:paraId="3BD6EAF9"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Total</w:t>
            </w:r>
          </w:p>
        </w:tc>
        <w:tc>
          <w:tcPr>
            <w:tcW w:w="2340" w:type="dxa"/>
            <w:tcBorders>
              <w:top w:val="nil"/>
              <w:left w:val="nil"/>
              <w:bottom w:val="single" w:sz="8" w:space="0" w:color="000000"/>
              <w:right w:val="nil"/>
            </w:tcBorders>
            <w:tcMar>
              <w:top w:w="100" w:type="dxa"/>
              <w:left w:w="100" w:type="dxa"/>
              <w:bottom w:w="100" w:type="dxa"/>
              <w:right w:w="100" w:type="dxa"/>
            </w:tcMar>
          </w:tcPr>
          <w:p w14:paraId="3F0113B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353</w:t>
            </w:r>
          </w:p>
        </w:tc>
        <w:tc>
          <w:tcPr>
            <w:tcW w:w="1785" w:type="dxa"/>
            <w:tcBorders>
              <w:top w:val="nil"/>
              <w:left w:val="nil"/>
              <w:bottom w:val="single" w:sz="8" w:space="0" w:color="000000"/>
              <w:right w:val="nil"/>
            </w:tcBorders>
            <w:tcMar>
              <w:top w:w="100" w:type="dxa"/>
              <w:left w:w="100" w:type="dxa"/>
              <w:bottom w:w="100" w:type="dxa"/>
              <w:right w:w="100" w:type="dxa"/>
            </w:tcMar>
          </w:tcPr>
          <w:p w14:paraId="275E5BB4"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100.0</w:t>
            </w:r>
          </w:p>
        </w:tc>
      </w:tr>
    </w:tbl>
    <w:p w14:paraId="54ABB694" w14:textId="77777777" w:rsidR="00B50E8C" w:rsidRDefault="00B50E8C">
      <w:pPr>
        <w:pBdr>
          <w:top w:val="nil"/>
          <w:left w:val="nil"/>
          <w:bottom w:val="nil"/>
          <w:right w:val="nil"/>
          <w:between w:val="nil"/>
        </w:pBdr>
        <w:jc w:val="both"/>
        <w:rPr>
          <w:rFonts w:ascii="Arial" w:eastAsia="Arial" w:hAnsi="Arial" w:cs="Arial"/>
          <w:b/>
          <w:bCs/>
          <w:color w:val="000000"/>
        </w:rPr>
      </w:pPr>
    </w:p>
    <w:p w14:paraId="5A881BB6" w14:textId="77777777" w:rsidR="00B50E8C" w:rsidRDefault="00F37AE9">
      <w:pPr>
        <w:pBdr>
          <w:top w:val="nil"/>
          <w:left w:val="nil"/>
          <w:bottom w:val="nil"/>
          <w:right w:val="nil"/>
          <w:between w:val="nil"/>
        </w:pBdr>
        <w:jc w:val="both"/>
        <w:rPr>
          <w:rFonts w:ascii="Arial" w:eastAsia="Arial" w:hAnsi="Arial" w:cs="Arial"/>
          <w:b/>
          <w:bCs/>
        </w:rPr>
      </w:pPr>
      <w:r>
        <w:rPr>
          <w:rFonts w:ascii="Arial" w:eastAsia="Arial" w:hAnsi="Arial" w:cs="Arial"/>
          <w:b/>
          <w:bCs/>
          <w:color w:val="000000"/>
        </w:rPr>
        <w:t>Table 3. ANOVA Results of PSV and PSM by Mode of Entry</w:t>
      </w:r>
    </w:p>
    <w:p w14:paraId="329C0E0D" w14:textId="77777777" w:rsidR="00B50E8C" w:rsidRDefault="00B50E8C">
      <w:pPr>
        <w:pBdr>
          <w:top w:val="nil"/>
          <w:left w:val="nil"/>
          <w:bottom w:val="nil"/>
          <w:right w:val="nil"/>
          <w:between w:val="nil"/>
        </w:pBdr>
        <w:jc w:val="both"/>
        <w:rPr>
          <w:rFonts w:ascii="Arial" w:eastAsia="Arial" w:hAnsi="Arial" w:cs="Arial"/>
          <w:b/>
          <w:bCs/>
        </w:rPr>
      </w:pPr>
    </w:p>
    <w:p w14:paraId="27D3E902"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A. Public Service Values (PSV)</w:t>
      </w:r>
    </w:p>
    <w:tbl>
      <w:tblPr>
        <w:tblStyle w:val="a9"/>
        <w:tblW w:w="9030" w:type="dxa"/>
        <w:tblBorders>
          <w:top w:val="nil"/>
          <w:left w:val="nil"/>
          <w:bottom w:val="nil"/>
          <w:right w:val="nil"/>
          <w:insideH w:val="nil"/>
          <w:insideV w:val="nil"/>
        </w:tblBorders>
        <w:tblLayout w:type="fixed"/>
        <w:tblLook w:val="0600" w:firstRow="0" w:lastRow="0" w:firstColumn="0" w:lastColumn="0" w:noHBand="1" w:noVBand="1"/>
      </w:tblPr>
      <w:tblGrid>
        <w:gridCol w:w="2565"/>
        <w:gridCol w:w="2130"/>
        <w:gridCol w:w="690"/>
        <w:gridCol w:w="1875"/>
        <w:gridCol w:w="885"/>
        <w:gridCol w:w="885"/>
      </w:tblGrid>
      <w:tr w:rsidR="00B50E8C" w14:paraId="1718EB03" w14:textId="77777777">
        <w:trPr>
          <w:trHeight w:val="500"/>
        </w:trPr>
        <w:tc>
          <w:tcPr>
            <w:tcW w:w="2565" w:type="dxa"/>
            <w:tcBorders>
              <w:top w:val="single" w:sz="8" w:space="0" w:color="000000"/>
              <w:left w:val="nil"/>
              <w:bottom w:val="single" w:sz="8" w:space="0" w:color="000000"/>
              <w:right w:val="nil"/>
            </w:tcBorders>
            <w:tcMar>
              <w:top w:w="100" w:type="dxa"/>
              <w:left w:w="100" w:type="dxa"/>
              <w:bottom w:w="100" w:type="dxa"/>
              <w:right w:w="100" w:type="dxa"/>
            </w:tcMar>
          </w:tcPr>
          <w:p w14:paraId="079EB4DE"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Source of Variation</w:t>
            </w:r>
          </w:p>
        </w:tc>
        <w:tc>
          <w:tcPr>
            <w:tcW w:w="2130" w:type="dxa"/>
            <w:tcBorders>
              <w:top w:val="single" w:sz="8" w:space="0" w:color="000000"/>
              <w:left w:val="nil"/>
              <w:bottom w:val="single" w:sz="8" w:space="0" w:color="000000"/>
              <w:right w:val="nil"/>
            </w:tcBorders>
            <w:tcMar>
              <w:top w:w="100" w:type="dxa"/>
              <w:left w:w="100" w:type="dxa"/>
              <w:bottom w:w="100" w:type="dxa"/>
              <w:right w:w="100" w:type="dxa"/>
            </w:tcMar>
          </w:tcPr>
          <w:p w14:paraId="6E8D5288"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Sum of Squares</w:t>
            </w:r>
          </w:p>
        </w:tc>
        <w:tc>
          <w:tcPr>
            <w:tcW w:w="690" w:type="dxa"/>
            <w:tcBorders>
              <w:top w:val="single" w:sz="8" w:space="0" w:color="000000"/>
              <w:left w:val="nil"/>
              <w:bottom w:val="single" w:sz="8" w:space="0" w:color="000000"/>
              <w:right w:val="nil"/>
            </w:tcBorders>
            <w:tcMar>
              <w:top w:w="100" w:type="dxa"/>
              <w:left w:w="100" w:type="dxa"/>
              <w:bottom w:w="100" w:type="dxa"/>
              <w:right w:w="100" w:type="dxa"/>
            </w:tcMar>
          </w:tcPr>
          <w:p w14:paraId="3EA419DA"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df</w:t>
            </w:r>
          </w:p>
        </w:tc>
        <w:tc>
          <w:tcPr>
            <w:tcW w:w="1875" w:type="dxa"/>
            <w:tcBorders>
              <w:top w:val="single" w:sz="8" w:space="0" w:color="000000"/>
              <w:left w:val="nil"/>
              <w:bottom w:val="single" w:sz="8" w:space="0" w:color="000000"/>
              <w:right w:val="nil"/>
            </w:tcBorders>
            <w:tcMar>
              <w:top w:w="100" w:type="dxa"/>
              <w:left w:w="100" w:type="dxa"/>
              <w:bottom w:w="100" w:type="dxa"/>
              <w:right w:w="100" w:type="dxa"/>
            </w:tcMar>
          </w:tcPr>
          <w:p w14:paraId="38809025"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Mean Square</w:t>
            </w:r>
          </w:p>
        </w:tc>
        <w:tc>
          <w:tcPr>
            <w:tcW w:w="885" w:type="dxa"/>
            <w:tcBorders>
              <w:top w:val="single" w:sz="8" w:space="0" w:color="000000"/>
              <w:left w:val="nil"/>
              <w:bottom w:val="single" w:sz="8" w:space="0" w:color="000000"/>
              <w:right w:val="nil"/>
            </w:tcBorders>
            <w:tcMar>
              <w:top w:w="100" w:type="dxa"/>
              <w:left w:w="100" w:type="dxa"/>
              <w:bottom w:w="100" w:type="dxa"/>
              <w:right w:w="100" w:type="dxa"/>
            </w:tcMar>
          </w:tcPr>
          <w:p w14:paraId="3726AE03"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F</w:t>
            </w:r>
          </w:p>
        </w:tc>
        <w:tc>
          <w:tcPr>
            <w:tcW w:w="885" w:type="dxa"/>
            <w:tcBorders>
              <w:top w:val="single" w:sz="8" w:space="0" w:color="000000"/>
              <w:left w:val="nil"/>
              <w:bottom w:val="single" w:sz="8" w:space="0" w:color="000000"/>
              <w:right w:val="nil"/>
            </w:tcBorders>
            <w:tcMar>
              <w:top w:w="100" w:type="dxa"/>
              <w:left w:w="100" w:type="dxa"/>
              <w:bottom w:w="100" w:type="dxa"/>
              <w:right w:w="100" w:type="dxa"/>
            </w:tcMar>
          </w:tcPr>
          <w:p w14:paraId="61EE895F"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Sig.</w:t>
            </w:r>
          </w:p>
        </w:tc>
      </w:tr>
      <w:tr w:rsidR="00B50E8C" w14:paraId="4979FE96" w14:textId="77777777">
        <w:trPr>
          <w:trHeight w:val="500"/>
        </w:trPr>
        <w:tc>
          <w:tcPr>
            <w:tcW w:w="2565" w:type="dxa"/>
            <w:tcBorders>
              <w:top w:val="single" w:sz="8" w:space="0" w:color="000000"/>
              <w:left w:val="nil"/>
              <w:bottom w:val="nil"/>
              <w:right w:val="nil"/>
            </w:tcBorders>
            <w:tcMar>
              <w:top w:w="100" w:type="dxa"/>
              <w:left w:w="100" w:type="dxa"/>
              <w:bottom w:w="100" w:type="dxa"/>
              <w:right w:w="100" w:type="dxa"/>
            </w:tcMar>
          </w:tcPr>
          <w:p w14:paraId="31FCA257"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Between Groups</w:t>
            </w:r>
          </w:p>
        </w:tc>
        <w:tc>
          <w:tcPr>
            <w:tcW w:w="2130" w:type="dxa"/>
            <w:tcBorders>
              <w:top w:val="single" w:sz="8" w:space="0" w:color="000000"/>
              <w:left w:val="nil"/>
              <w:bottom w:val="nil"/>
              <w:right w:val="nil"/>
            </w:tcBorders>
            <w:tcMar>
              <w:top w:w="100" w:type="dxa"/>
              <w:left w:w="100" w:type="dxa"/>
              <w:bottom w:w="100" w:type="dxa"/>
              <w:right w:w="100" w:type="dxa"/>
            </w:tcMar>
          </w:tcPr>
          <w:p w14:paraId="43ECABB0"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0.849</w:t>
            </w:r>
          </w:p>
        </w:tc>
        <w:tc>
          <w:tcPr>
            <w:tcW w:w="690" w:type="dxa"/>
            <w:tcBorders>
              <w:top w:val="single" w:sz="8" w:space="0" w:color="000000"/>
              <w:left w:val="nil"/>
              <w:bottom w:val="nil"/>
              <w:right w:val="nil"/>
            </w:tcBorders>
            <w:tcMar>
              <w:top w:w="100" w:type="dxa"/>
              <w:left w:w="100" w:type="dxa"/>
              <w:bottom w:w="100" w:type="dxa"/>
              <w:right w:w="100" w:type="dxa"/>
            </w:tcMar>
          </w:tcPr>
          <w:p w14:paraId="69834EBC"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w:t>
            </w:r>
          </w:p>
        </w:tc>
        <w:tc>
          <w:tcPr>
            <w:tcW w:w="1875" w:type="dxa"/>
            <w:tcBorders>
              <w:top w:val="single" w:sz="8" w:space="0" w:color="000000"/>
              <w:left w:val="nil"/>
              <w:bottom w:val="nil"/>
              <w:right w:val="nil"/>
            </w:tcBorders>
            <w:tcMar>
              <w:top w:w="100" w:type="dxa"/>
              <w:left w:w="100" w:type="dxa"/>
              <w:bottom w:w="100" w:type="dxa"/>
              <w:right w:w="100" w:type="dxa"/>
            </w:tcMar>
          </w:tcPr>
          <w:p w14:paraId="6D706D4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0.283</w:t>
            </w:r>
          </w:p>
        </w:tc>
        <w:tc>
          <w:tcPr>
            <w:tcW w:w="885" w:type="dxa"/>
            <w:tcBorders>
              <w:top w:val="single" w:sz="8" w:space="0" w:color="000000"/>
              <w:left w:val="nil"/>
              <w:bottom w:val="nil"/>
              <w:right w:val="nil"/>
            </w:tcBorders>
            <w:tcMar>
              <w:top w:w="100" w:type="dxa"/>
              <w:left w:w="100" w:type="dxa"/>
              <w:bottom w:w="100" w:type="dxa"/>
              <w:right w:w="100" w:type="dxa"/>
            </w:tcMar>
          </w:tcPr>
          <w:p w14:paraId="0D1DBEC6"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0.281</w:t>
            </w:r>
          </w:p>
        </w:tc>
        <w:tc>
          <w:tcPr>
            <w:tcW w:w="885" w:type="dxa"/>
            <w:tcBorders>
              <w:top w:val="single" w:sz="8" w:space="0" w:color="000000"/>
              <w:left w:val="nil"/>
              <w:bottom w:val="nil"/>
              <w:right w:val="nil"/>
            </w:tcBorders>
            <w:tcMar>
              <w:top w:w="100" w:type="dxa"/>
              <w:left w:w="100" w:type="dxa"/>
              <w:bottom w:w="100" w:type="dxa"/>
              <w:right w:w="100" w:type="dxa"/>
            </w:tcMar>
          </w:tcPr>
          <w:p w14:paraId="492C7464"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0.839</w:t>
            </w:r>
          </w:p>
        </w:tc>
      </w:tr>
      <w:tr w:rsidR="00B50E8C" w14:paraId="4D8E2299" w14:textId="77777777">
        <w:trPr>
          <w:trHeight w:val="500"/>
        </w:trPr>
        <w:tc>
          <w:tcPr>
            <w:tcW w:w="2565" w:type="dxa"/>
            <w:tcBorders>
              <w:top w:val="nil"/>
              <w:left w:val="nil"/>
              <w:bottom w:val="nil"/>
              <w:right w:val="nil"/>
            </w:tcBorders>
            <w:tcMar>
              <w:top w:w="100" w:type="dxa"/>
              <w:left w:w="100" w:type="dxa"/>
              <w:bottom w:w="100" w:type="dxa"/>
              <w:right w:w="100" w:type="dxa"/>
            </w:tcMar>
          </w:tcPr>
          <w:p w14:paraId="6828ADA9"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Within Groups</w:t>
            </w:r>
          </w:p>
        </w:tc>
        <w:tc>
          <w:tcPr>
            <w:tcW w:w="2130" w:type="dxa"/>
            <w:tcBorders>
              <w:top w:val="nil"/>
              <w:left w:val="nil"/>
              <w:bottom w:val="nil"/>
              <w:right w:val="nil"/>
            </w:tcBorders>
            <w:tcMar>
              <w:top w:w="100" w:type="dxa"/>
              <w:left w:w="100" w:type="dxa"/>
              <w:bottom w:w="100" w:type="dxa"/>
              <w:right w:w="100" w:type="dxa"/>
            </w:tcMar>
          </w:tcPr>
          <w:p w14:paraId="7B9B1F2E"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351.151</w:t>
            </w:r>
          </w:p>
        </w:tc>
        <w:tc>
          <w:tcPr>
            <w:tcW w:w="690" w:type="dxa"/>
            <w:tcBorders>
              <w:top w:val="nil"/>
              <w:left w:val="nil"/>
              <w:bottom w:val="nil"/>
              <w:right w:val="nil"/>
            </w:tcBorders>
            <w:tcMar>
              <w:top w:w="100" w:type="dxa"/>
              <w:left w:w="100" w:type="dxa"/>
              <w:bottom w:w="100" w:type="dxa"/>
              <w:right w:w="100" w:type="dxa"/>
            </w:tcMar>
          </w:tcPr>
          <w:p w14:paraId="0908326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349</w:t>
            </w:r>
          </w:p>
        </w:tc>
        <w:tc>
          <w:tcPr>
            <w:tcW w:w="1875" w:type="dxa"/>
            <w:tcBorders>
              <w:top w:val="nil"/>
              <w:left w:val="nil"/>
              <w:bottom w:val="nil"/>
              <w:right w:val="nil"/>
            </w:tcBorders>
            <w:tcMar>
              <w:top w:w="100" w:type="dxa"/>
              <w:left w:w="100" w:type="dxa"/>
              <w:bottom w:w="100" w:type="dxa"/>
              <w:right w:w="100" w:type="dxa"/>
            </w:tcMar>
          </w:tcPr>
          <w:p w14:paraId="1A827BA7"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1.006</w:t>
            </w:r>
          </w:p>
        </w:tc>
        <w:tc>
          <w:tcPr>
            <w:tcW w:w="885" w:type="dxa"/>
            <w:tcBorders>
              <w:top w:val="nil"/>
              <w:left w:val="nil"/>
              <w:bottom w:val="nil"/>
              <w:right w:val="nil"/>
            </w:tcBorders>
            <w:tcMar>
              <w:top w:w="100" w:type="dxa"/>
              <w:left w:w="100" w:type="dxa"/>
              <w:bottom w:w="100" w:type="dxa"/>
              <w:right w:w="100" w:type="dxa"/>
            </w:tcMar>
          </w:tcPr>
          <w:p w14:paraId="1ACE6E2B" w14:textId="77777777" w:rsidR="00B50E8C" w:rsidRDefault="00B50E8C">
            <w:pPr>
              <w:pBdr>
                <w:top w:val="nil"/>
                <w:left w:val="nil"/>
                <w:bottom w:val="nil"/>
                <w:right w:val="nil"/>
                <w:between w:val="nil"/>
              </w:pBdr>
              <w:jc w:val="both"/>
              <w:rPr>
                <w:rFonts w:ascii="Arial" w:eastAsia="Arial" w:hAnsi="Arial" w:cs="Arial"/>
                <w:color w:val="000000"/>
              </w:rPr>
            </w:pPr>
          </w:p>
        </w:tc>
        <w:tc>
          <w:tcPr>
            <w:tcW w:w="885" w:type="dxa"/>
            <w:tcBorders>
              <w:top w:val="nil"/>
              <w:left w:val="nil"/>
              <w:bottom w:val="nil"/>
              <w:right w:val="nil"/>
            </w:tcBorders>
            <w:tcMar>
              <w:top w:w="100" w:type="dxa"/>
              <w:left w:w="100" w:type="dxa"/>
              <w:bottom w:w="100" w:type="dxa"/>
              <w:right w:w="100" w:type="dxa"/>
            </w:tcMar>
          </w:tcPr>
          <w:p w14:paraId="7C651972" w14:textId="77777777" w:rsidR="00B50E8C" w:rsidRDefault="00B50E8C">
            <w:pPr>
              <w:pBdr>
                <w:top w:val="nil"/>
                <w:left w:val="nil"/>
                <w:bottom w:val="nil"/>
                <w:right w:val="nil"/>
                <w:between w:val="nil"/>
              </w:pBdr>
              <w:jc w:val="both"/>
              <w:rPr>
                <w:rFonts w:ascii="Arial" w:eastAsia="Arial" w:hAnsi="Arial" w:cs="Arial"/>
                <w:color w:val="000000"/>
              </w:rPr>
            </w:pPr>
          </w:p>
        </w:tc>
      </w:tr>
      <w:tr w:rsidR="00B50E8C" w14:paraId="567F77CC" w14:textId="77777777">
        <w:trPr>
          <w:trHeight w:val="500"/>
        </w:trPr>
        <w:tc>
          <w:tcPr>
            <w:tcW w:w="2565" w:type="dxa"/>
            <w:tcBorders>
              <w:top w:val="nil"/>
              <w:left w:val="nil"/>
              <w:bottom w:val="nil"/>
              <w:right w:val="nil"/>
            </w:tcBorders>
            <w:tcMar>
              <w:top w:w="100" w:type="dxa"/>
              <w:left w:w="100" w:type="dxa"/>
              <w:bottom w:w="100" w:type="dxa"/>
              <w:right w:w="100" w:type="dxa"/>
            </w:tcMar>
          </w:tcPr>
          <w:p w14:paraId="60D22EE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Total</w:t>
            </w:r>
          </w:p>
        </w:tc>
        <w:tc>
          <w:tcPr>
            <w:tcW w:w="2130" w:type="dxa"/>
            <w:tcBorders>
              <w:top w:val="nil"/>
              <w:left w:val="nil"/>
              <w:bottom w:val="nil"/>
              <w:right w:val="nil"/>
            </w:tcBorders>
            <w:tcMar>
              <w:top w:w="100" w:type="dxa"/>
              <w:left w:w="100" w:type="dxa"/>
              <w:bottom w:w="100" w:type="dxa"/>
              <w:right w:w="100" w:type="dxa"/>
            </w:tcMar>
          </w:tcPr>
          <w:p w14:paraId="7A5E66A0"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352.000</w:t>
            </w:r>
          </w:p>
        </w:tc>
        <w:tc>
          <w:tcPr>
            <w:tcW w:w="690" w:type="dxa"/>
            <w:tcBorders>
              <w:top w:val="nil"/>
              <w:left w:val="nil"/>
              <w:bottom w:val="nil"/>
              <w:right w:val="nil"/>
            </w:tcBorders>
            <w:tcMar>
              <w:top w:w="100" w:type="dxa"/>
              <w:left w:w="100" w:type="dxa"/>
              <w:bottom w:w="100" w:type="dxa"/>
              <w:right w:w="100" w:type="dxa"/>
            </w:tcMar>
          </w:tcPr>
          <w:p w14:paraId="1293FAFE"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352</w:t>
            </w:r>
          </w:p>
        </w:tc>
        <w:tc>
          <w:tcPr>
            <w:tcW w:w="1875" w:type="dxa"/>
            <w:tcBorders>
              <w:top w:val="nil"/>
              <w:left w:val="nil"/>
              <w:bottom w:val="nil"/>
              <w:right w:val="nil"/>
            </w:tcBorders>
            <w:tcMar>
              <w:top w:w="100" w:type="dxa"/>
              <w:left w:w="100" w:type="dxa"/>
              <w:bottom w:w="100" w:type="dxa"/>
              <w:right w:w="100" w:type="dxa"/>
            </w:tcMar>
          </w:tcPr>
          <w:p w14:paraId="5210A748" w14:textId="77777777" w:rsidR="00B50E8C" w:rsidRDefault="00B50E8C">
            <w:pPr>
              <w:pBdr>
                <w:top w:val="nil"/>
                <w:left w:val="nil"/>
                <w:bottom w:val="nil"/>
                <w:right w:val="nil"/>
                <w:between w:val="nil"/>
              </w:pBdr>
              <w:jc w:val="both"/>
              <w:rPr>
                <w:rFonts w:ascii="Arial" w:eastAsia="Arial" w:hAnsi="Arial" w:cs="Arial"/>
                <w:color w:val="000000"/>
              </w:rPr>
            </w:pPr>
          </w:p>
        </w:tc>
        <w:tc>
          <w:tcPr>
            <w:tcW w:w="885" w:type="dxa"/>
            <w:tcBorders>
              <w:top w:val="nil"/>
              <w:left w:val="nil"/>
              <w:bottom w:val="nil"/>
              <w:right w:val="nil"/>
            </w:tcBorders>
            <w:tcMar>
              <w:top w:w="100" w:type="dxa"/>
              <w:left w:w="100" w:type="dxa"/>
              <w:bottom w:w="100" w:type="dxa"/>
              <w:right w:w="100" w:type="dxa"/>
            </w:tcMar>
          </w:tcPr>
          <w:p w14:paraId="63EE5A28" w14:textId="77777777" w:rsidR="00B50E8C" w:rsidRDefault="00B50E8C">
            <w:pPr>
              <w:pBdr>
                <w:top w:val="nil"/>
                <w:left w:val="nil"/>
                <w:bottom w:val="nil"/>
                <w:right w:val="nil"/>
                <w:between w:val="nil"/>
              </w:pBdr>
              <w:jc w:val="both"/>
              <w:rPr>
                <w:rFonts w:ascii="Arial" w:eastAsia="Arial" w:hAnsi="Arial" w:cs="Arial"/>
                <w:color w:val="000000"/>
              </w:rPr>
            </w:pPr>
          </w:p>
        </w:tc>
        <w:tc>
          <w:tcPr>
            <w:tcW w:w="885" w:type="dxa"/>
            <w:tcBorders>
              <w:top w:val="nil"/>
              <w:left w:val="nil"/>
              <w:bottom w:val="nil"/>
              <w:right w:val="nil"/>
            </w:tcBorders>
            <w:tcMar>
              <w:top w:w="100" w:type="dxa"/>
              <w:left w:w="100" w:type="dxa"/>
              <w:bottom w:w="100" w:type="dxa"/>
              <w:right w:w="100" w:type="dxa"/>
            </w:tcMar>
          </w:tcPr>
          <w:p w14:paraId="4A05AB0A" w14:textId="77777777" w:rsidR="00B50E8C" w:rsidRDefault="00B50E8C">
            <w:pPr>
              <w:pBdr>
                <w:top w:val="nil"/>
                <w:left w:val="nil"/>
                <w:bottom w:val="nil"/>
                <w:right w:val="nil"/>
                <w:between w:val="nil"/>
              </w:pBdr>
              <w:jc w:val="both"/>
              <w:rPr>
                <w:rFonts w:ascii="Arial" w:eastAsia="Arial" w:hAnsi="Arial" w:cs="Arial"/>
                <w:color w:val="000000"/>
              </w:rPr>
            </w:pPr>
          </w:p>
        </w:tc>
      </w:tr>
    </w:tbl>
    <w:p w14:paraId="7323ACCA" w14:textId="77777777" w:rsidR="00B50E8C" w:rsidRDefault="00B50E8C">
      <w:pPr>
        <w:pBdr>
          <w:top w:val="nil"/>
          <w:left w:val="nil"/>
          <w:bottom w:val="nil"/>
          <w:right w:val="nil"/>
          <w:between w:val="nil"/>
        </w:pBdr>
        <w:jc w:val="both"/>
        <w:rPr>
          <w:rFonts w:ascii="Arial" w:eastAsia="Arial" w:hAnsi="Arial" w:cs="Arial"/>
          <w:b/>
          <w:bCs/>
          <w:color w:val="000000"/>
        </w:rPr>
      </w:pPr>
    </w:p>
    <w:p w14:paraId="3AA8BFDD" w14:textId="77777777" w:rsidR="00B50E8C" w:rsidRDefault="00B50E8C">
      <w:pPr>
        <w:pBdr>
          <w:top w:val="nil"/>
          <w:left w:val="nil"/>
          <w:bottom w:val="nil"/>
          <w:right w:val="nil"/>
          <w:between w:val="nil"/>
        </w:pBdr>
        <w:jc w:val="both"/>
        <w:rPr>
          <w:rFonts w:ascii="Arial" w:eastAsia="Arial" w:hAnsi="Arial" w:cs="Arial"/>
          <w:b/>
          <w:bCs/>
          <w:color w:val="000000"/>
        </w:rPr>
      </w:pPr>
    </w:p>
    <w:p w14:paraId="76D54C23"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Test of Homogeneity of Variances (PSV)</w:t>
      </w:r>
    </w:p>
    <w:tbl>
      <w:tblPr>
        <w:tblStyle w:val="aa"/>
        <w:tblW w:w="8955" w:type="dxa"/>
        <w:tblBorders>
          <w:top w:val="nil"/>
          <w:left w:val="nil"/>
          <w:bottom w:val="nil"/>
          <w:right w:val="nil"/>
          <w:insideH w:val="nil"/>
          <w:insideV w:val="nil"/>
        </w:tblBorders>
        <w:tblLayout w:type="fixed"/>
        <w:tblLook w:val="0600" w:firstRow="0" w:lastRow="0" w:firstColumn="0" w:lastColumn="0" w:noHBand="1" w:noVBand="1"/>
      </w:tblPr>
      <w:tblGrid>
        <w:gridCol w:w="4410"/>
        <w:gridCol w:w="1320"/>
        <w:gridCol w:w="1395"/>
        <w:gridCol w:w="1830"/>
      </w:tblGrid>
      <w:tr w:rsidR="00B50E8C" w14:paraId="048796A4" w14:textId="77777777">
        <w:trPr>
          <w:trHeight w:val="500"/>
        </w:trPr>
        <w:tc>
          <w:tcPr>
            <w:tcW w:w="4410" w:type="dxa"/>
            <w:tcBorders>
              <w:top w:val="nil"/>
              <w:left w:val="nil"/>
              <w:bottom w:val="nil"/>
              <w:right w:val="nil"/>
            </w:tcBorders>
            <w:tcMar>
              <w:top w:w="100" w:type="dxa"/>
              <w:left w:w="100" w:type="dxa"/>
              <w:bottom w:w="100" w:type="dxa"/>
              <w:right w:w="100" w:type="dxa"/>
            </w:tcMar>
          </w:tcPr>
          <w:p w14:paraId="6FD6C629"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Levene Statistic</w:t>
            </w:r>
          </w:p>
        </w:tc>
        <w:tc>
          <w:tcPr>
            <w:tcW w:w="1320" w:type="dxa"/>
            <w:tcBorders>
              <w:top w:val="nil"/>
              <w:left w:val="nil"/>
              <w:bottom w:val="nil"/>
              <w:right w:val="nil"/>
            </w:tcBorders>
            <w:tcMar>
              <w:top w:w="100" w:type="dxa"/>
              <w:left w:w="100" w:type="dxa"/>
              <w:bottom w:w="100" w:type="dxa"/>
              <w:right w:w="100" w:type="dxa"/>
            </w:tcMar>
          </w:tcPr>
          <w:p w14:paraId="1D7CFF05"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df1</w:t>
            </w:r>
          </w:p>
        </w:tc>
        <w:tc>
          <w:tcPr>
            <w:tcW w:w="1395" w:type="dxa"/>
            <w:tcBorders>
              <w:top w:val="nil"/>
              <w:left w:val="nil"/>
              <w:bottom w:val="nil"/>
              <w:right w:val="nil"/>
            </w:tcBorders>
            <w:tcMar>
              <w:top w:w="100" w:type="dxa"/>
              <w:left w:w="100" w:type="dxa"/>
              <w:bottom w:w="100" w:type="dxa"/>
              <w:right w:w="100" w:type="dxa"/>
            </w:tcMar>
          </w:tcPr>
          <w:p w14:paraId="5F501A7D"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df2</w:t>
            </w:r>
          </w:p>
        </w:tc>
        <w:tc>
          <w:tcPr>
            <w:tcW w:w="1830" w:type="dxa"/>
            <w:tcBorders>
              <w:top w:val="nil"/>
              <w:left w:val="nil"/>
              <w:bottom w:val="nil"/>
              <w:right w:val="nil"/>
            </w:tcBorders>
            <w:tcMar>
              <w:top w:w="100" w:type="dxa"/>
              <w:left w:w="100" w:type="dxa"/>
              <w:bottom w:w="100" w:type="dxa"/>
              <w:right w:w="100" w:type="dxa"/>
            </w:tcMar>
          </w:tcPr>
          <w:p w14:paraId="1F1505AE"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Sig.</w:t>
            </w:r>
          </w:p>
        </w:tc>
      </w:tr>
      <w:tr w:rsidR="00B50E8C" w14:paraId="7650FA53" w14:textId="77777777">
        <w:trPr>
          <w:trHeight w:val="500"/>
        </w:trPr>
        <w:tc>
          <w:tcPr>
            <w:tcW w:w="4410" w:type="dxa"/>
            <w:tcBorders>
              <w:top w:val="nil"/>
              <w:left w:val="nil"/>
              <w:bottom w:val="nil"/>
              <w:right w:val="nil"/>
            </w:tcBorders>
            <w:tcMar>
              <w:top w:w="100" w:type="dxa"/>
              <w:left w:w="100" w:type="dxa"/>
              <w:bottom w:w="100" w:type="dxa"/>
              <w:right w:w="100" w:type="dxa"/>
            </w:tcMar>
          </w:tcPr>
          <w:p w14:paraId="60AACE6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0.121</w:t>
            </w:r>
          </w:p>
        </w:tc>
        <w:tc>
          <w:tcPr>
            <w:tcW w:w="1320" w:type="dxa"/>
            <w:tcBorders>
              <w:top w:val="nil"/>
              <w:left w:val="nil"/>
              <w:bottom w:val="nil"/>
              <w:right w:val="nil"/>
            </w:tcBorders>
            <w:tcMar>
              <w:top w:w="100" w:type="dxa"/>
              <w:left w:w="100" w:type="dxa"/>
              <w:bottom w:w="100" w:type="dxa"/>
              <w:right w:w="100" w:type="dxa"/>
            </w:tcMar>
          </w:tcPr>
          <w:p w14:paraId="13BDCB9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w:t>
            </w:r>
          </w:p>
        </w:tc>
        <w:tc>
          <w:tcPr>
            <w:tcW w:w="1395" w:type="dxa"/>
            <w:tcBorders>
              <w:top w:val="nil"/>
              <w:left w:val="nil"/>
              <w:bottom w:val="nil"/>
              <w:right w:val="nil"/>
            </w:tcBorders>
            <w:tcMar>
              <w:top w:w="100" w:type="dxa"/>
              <w:left w:w="100" w:type="dxa"/>
              <w:bottom w:w="100" w:type="dxa"/>
              <w:right w:w="100" w:type="dxa"/>
            </w:tcMar>
          </w:tcPr>
          <w:p w14:paraId="73384F32"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349</w:t>
            </w:r>
          </w:p>
        </w:tc>
        <w:tc>
          <w:tcPr>
            <w:tcW w:w="1830" w:type="dxa"/>
            <w:tcBorders>
              <w:top w:val="nil"/>
              <w:left w:val="nil"/>
              <w:bottom w:val="nil"/>
              <w:right w:val="nil"/>
            </w:tcBorders>
            <w:tcMar>
              <w:top w:w="100" w:type="dxa"/>
              <w:left w:w="100" w:type="dxa"/>
              <w:bottom w:w="100" w:type="dxa"/>
              <w:right w:w="100" w:type="dxa"/>
            </w:tcMar>
          </w:tcPr>
          <w:p w14:paraId="52432E3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0.948</w:t>
            </w:r>
          </w:p>
        </w:tc>
      </w:tr>
    </w:tbl>
    <w:p w14:paraId="1BA03625" w14:textId="77777777" w:rsidR="00B50E8C" w:rsidRDefault="00B50E8C">
      <w:pPr>
        <w:pBdr>
          <w:top w:val="nil"/>
          <w:left w:val="nil"/>
          <w:bottom w:val="nil"/>
          <w:right w:val="nil"/>
          <w:between w:val="nil"/>
        </w:pBdr>
        <w:jc w:val="both"/>
        <w:rPr>
          <w:rFonts w:ascii="Arial" w:eastAsia="Arial" w:hAnsi="Arial" w:cs="Arial"/>
          <w:b/>
          <w:bCs/>
          <w:color w:val="000000"/>
        </w:rPr>
      </w:pPr>
    </w:p>
    <w:p w14:paraId="6C49E3CF"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B. Public Service Motivation (PSM)</w:t>
      </w:r>
    </w:p>
    <w:tbl>
      <w:tblPr>
        <w:tblStyle w:val="ab"/>
        <w:tblW w:w="8985" w:type="dxa"/>
        <w:tblBorders>
          <w:top w:val="nil"/>
          <w:left w:val="nil"/>
          <w:bottom w:val="nil"/>
          <w:right w:val="nil"/>
          <w:insideH w:val="nil"/>
          <w:insideV w:val="nil"/>
        </w:tblBorders>
        <w:tblLayout w:type="fixed"/>
        <w:tblLook w:val="0600" w:firstRow="0" w:lastRow="0" w:firstColumn="0" w:lastColumn="0" w:noHBand="1" w:noVBand="1"/>
      </w:tblPr>
      <w:tblGrid>
        <w:gridCol w:w="2550"/>
        <w:gridCol w:w="2130"/>
        <w:gridCol w:w="675"/>
        <w:gridCol w:w="1860"/>
        <w:gridCol w:w="885"/>
        <w:gridCol w:w="885"/>
      </w:tblGrid>
      <w:tr w:rsidR="00B50E8C" w14:paraId="1EF986B8" w14:textId="77777777">
        <w:trPr>
          <w:trHeight w:val="500"/>
        </w:trPr>
        <w:tc>
          <w:tcPr>
            <w:tcW w:w="2550" w:type="dxa"/>
            <w:tcBorders>
              <w:top w:val="nil"/>
              <w:left w:val="nil"/>
              <w:bottom w:val="nil"/>
              <w:right w:val="nil"/>
            </w:tcBorders>
            <w:tcMar>
              <w:top w:w="100" w:type="dxa"/>
              <w:left w:w="100" w:type="dxa"/>
              <w:bottom w:w="100" w:type="dxa"/>
              <w:right w:w="100" w:type="dxa"/>
            </w:tcMar>
          </w:tcPr>
          <w:p w14:paraId="69B56925"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Source of Variation</w:t>
            </w:r>
          </w:p>
        </w:tc>
        <w:tc>
          <w:tcPr>
            <w:tcW w:w="2130" w:type="dxa"/>
            <w:tcBorders>
              <w:top w:val="nil"/>
              <w:left w:val="nil"/>
              <w:bottom w:val="nil"/>
              <w:right w:val="nil"/>
            </w:tcBorders>
            <w:tcMar>
              <w:top w:w="100" w:type="dxa"/>
              <w:left w:w="100" w:type="dxa"/>
              <w:bottom w:w="100" w:type="dxa"/>
              <w:right w:w="100" w:type="dxa"/>
            </w:tcMar>
          </w:tcPr>
          <w:p w14:paraId="6F8F8E79"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Sum of Squares</w:t>
            </w:r>
          </w:p>
        </w:tc>
        <w:tc>
          <w:tcPr>
            <w:tcW w:w="675" w:type="dxa"/>
            <w:tcBorders>
              <w:top w:val="nil"/>
              <w:left w:val="nil"/>
              <w:bottom w:val="nil"/>
              <w:right w:val="nil"/>
            </w:tcBorders>
            <w:tcMar>
              <w:top w:w="100" w:type="dxa"/>
              <w:left w:w="100" w:type="dxa"/>
              <w:bottom w:w="100" w:type="dxa"/>
              <w:right w:w="100" w:type="dxa"/>
            </w:tcMar>
          </w:tcPr>
          <w:p w14:paraId="7159B695"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df</w:t>
            </w:r>
          </w:p>
        </w:tc>
        <w:tc>
          <w:tcPr>
            <w:tcW w:w="1860" w:type="dxa"/>
            <w:tcBorders>
              <w:top w:val="nil"/>
              <w:left w:val="nil"/>
              <w:bottom w:val="nil"/>
              <w:right w:val="nil"/>
            </w:tcBorders>
            <w:tcMar>
              <w:top w:w="100" w:type="dxa"/>
              <w:left w:w="100" w:type="dxa"/>
              <w:bottom w:w="100" w:type="dxa"/>
              <w:right w:w="100" w:type="dxa"/>
            </w:tcMar>
          </w:tcPr>
          <w:p w14:paraId="19BE716F"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Mean Square</w:t>
            </w:r>
          </w:p>
        </w:tc>
        <w:tc>
          <w:tcPr>
            <w:tcW w:w="885" w:type="dxa"/>
            <w:tcBorders>
              <w:top w:val="nil"/>
              <w:left w:val="nil"/>
              <w:bottom w:val="nil"/>
              <w:right w:val="nil"/>
            </w:tcBorders>
            <w:tcMar>
              <w:top w:w="100" w:type="dxa"/>
              <w:left w:w="100" w:type="dxa"/>
              <w:bottom w:w="100" w:type="dxa"/>
              <w:right w:w="100" w:type="dxa"/>
            </w:tcMar>
          </w:tcPr>
          <w:p w14:paraId="3A127A2E"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F</w:t>
            </w:r>
          </w:p>
        </w:tc>
        <w:tc>
          <w:tcPr>
            <w:tcW w:w="885" w:type="dxa"/>
            <w:tcBorders>
              <w:top w:val="nil"/>
              <w:left w:val="nil"/>
              <w:bottom w:val="nil"/>
              <w:right w:val="nil"/>
            </w:tcBorders>
            <w:tcMar>
              <w:top w:w="100" w:type="dxa"/>
              <w:left w:w="100" w:type="dxa"/>
              <w:bottom w:w="100" w:type="dxa"/>
              <w:right w:w="100" w:type="dxa"/>
            </w:tcMar>
          </w:tcPr>
          <w:p w14:paraId="71E5FBCB"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Sig.</w:t>
            </w:r>
          </w:p>
        </w:tc>
      </w:tr>
      <w:tr w:rsidR="00B50E8C" w14:paraId="25BB76A1" w14:textId="77777777">
        <w:trPr>
          <w:trHeight w:val="500"/>
        </w:trPr>
        <w:tc>
          <w:tcPr>
            <w:tcW w:w="2550" w:type="dxa"/>
            <w:tcBorders>
              <w:top w:val="nil"/>
              <w:left w:val="nil"/>
              <w:bottom w:val="nil"/>
              <w:right w:val="nil"/>
            </w:tcBorders>
            <w:tcMar>
              <w:top w:w="100" w:type="dxa"/>
              <w:left w:w="100" w:type="dxa"/>
              <w:bottom w:w="100" w:type="dxa"/>
              <w:right w:w="100" w:type="dxa"/>
            </w:tcMar>
          </w:tcPr>
          <w:p w14:paraId="65B210F1"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Between Groups</w:t>
            </w:r>
          </w:p>
        </w:tc>
        <w:tc>
          <w:tcPr>
            <w:tcW w:w="2130" w:type="dxa"/>
            <w:tcBorders>
              <w:top w:val="nil"/>
              <w:left w:val="nil"/>
              <w:bottom w:val="nil"/>
              <w:right w:val="nil"/>
            </w:tcBorders>
            <w:tcMar>
              <w:top w:w="100" w:type="dxa"/>
              <w:left w:w="100" w:type="dxa"/>
              <w:bottom w:w="100" w:type="dxa"/>
              <w:right w:w="100" w:type="dxa"/>
            </w:tcMar>
          </w:tcPr>
          <w:p w14:paraId="7B40CE0E"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1.108</w:t>
            </w:r>
          </w:p>
        </w:tc>
        <w:tc>
          <w:tcPr>
            <w:tcW w:w="675" w:type="dxa"/>
            <w:tcBorders>
              <w:top w:val="nil"/>
              <w:left w:val="nil"/>
              <w:bottom w:val="nil"/>
              <w:right w:val="nil"/>
            </w:tcBorders>
            <w:tcMar>
              <w:top w:w="100" w:type="dxa"/>
              <w:left w:w="100" w:type="dxa"/>
              <w:bottom w:w="100" w:type="dxa"/>
              <w:right w:w="100" w:type="dxa"/>
            </w:tcMar>
          </w:tcPr>
          <w:p w14:paraId="002DED7F"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w:t>
            </w:r>
          </w:p>
        </w:tc>
        <w:tc>
          <w:tcPr>
            <w:tcW w:w="1860" w:type="dxa"/>
            <w:tcBorders>
              <w:top w:val="nil"/>
              <w:left w:val="nil"/>
              <w:bottom w:val="nil"/>
              <w:right w:val="nil"/>
            </w:tcBorders>
            <w:tcMar>
              <w:top w:w="100" w:type="dxa"/>
              <w:left w:w="100" w:type="dxa"/>
              <w:bottom w:w="100" w:type="dxa"/>
              <w:right w:w="100" w:type="dxa"/>
            </w:tcMar>
          </w:tcPr>
          <w:p w14:paraId="7CFCBEB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0.369</w:t>
            </w:r>
          </w:p>
        </w:tc>
        <w:tc>
          <w:tcPr>
            <w:tcW w:w="885" w:type="dxa"/>
            <w:tcBorders>
              <w:top w:val="nil"/>
              <w:left w:val="nil"/>
              <w:bottom w:val="nil"/>
              <w:right w:val="nil"/>
            </w:tcBorders>
            <w:tcMar>
              <w:top w:w="100" w:type="dxa"/>
              <w:left w:w="100" w:type="dxa"/>
              <w:bottom w:w="100" w:type="dxa"/>
              <w:right w:w="100" w:type="dxa"/>
            </w:tcMar>
          </w:tcPr>
          <w:p w14:paraId="072E027A"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0.584</w:t>
            </w:r>
          </w:p>
        </w:tc>
        <w:tc>
          <w:tcPr>
            <w:tcW w:w="885" w:type="dxa"/>
            <w:tcBorders>
              <w:top w:val="nil"/>
              <w:left w:val="nil"/>
              <w:bottom w:val="nil"/>
              <w:right w:val="nil"/>
            </w:tcBorders>
            <w:tcMar>
              <w:top w:w="100" w:type="dxa"/>
              <w:left w:w="100" w:type="dxa"/>
              <w:bottom w:w="100" w:type="dxa"/>
              <w:right w:w="100" w:type="dxa"/>
            </w:tcMar>
          </w:tcPr>
          <w:p w14:paraId="0B21AB76"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0.626</w:t>
            </w:r>
          </w:p>
        </w:tc>
      </w:tr>
      <w:tr w:rsidR="00B50E8C" w14:paraId="257A599F" w14:textId="77777777">
        <w:trPr>
          <w:trHeight w:val="500"/>
        </w:trPr>
        <w:tc>
          <w:tcPr>
            <w:tcW w:w="2550" w:type="dxa"/>
            <w:tcBorders>
              <w:top w:val="nil"/>
              <w:left w:val="nil"/>
              <w:bottom w:val="nil"/>
              <w:right w:val="nil"/>
            </w:tcBorders>
            <w:tcMar>
              <w:top w:w="100" w:type="dxa"/>
              <w:left w:w="100" w:type="dxa"/>
              <w:bottom w:w="100" w:type="dxa"/>
              <w:right w:w="100" w:type="dxa"/>
            </w:tcMar>
          </w:tcPr>
          <w:p w14:paraId="23C2D123"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Within Groups</w:t>
            </w:r>
          </w:p>
        </w:tc>
        <w:tc>
          <w:tcPr>
            <w:tcW w:w="2130" w:type="dxa"/>
            <w:tcBorders>
              <w:top w:val="nil"/>
              <w:left w:val="nil"/>
              <w:bottom w:val="nil"/>
              <w:right w:val="nil"/>
            </w:tcBorders>
            <w:tcMar>
              <w:top w:w="100" w:type="dxa"/>
              <w:left w:w="100" w:type="dxa"/>
              <w:bottom w:w="100" w:type="dxa"/>
              <w:right w:w="100" w:type="dxa"/>
            </w:tcMar>
          </w:tcPr>
          <w:p w14:paraId="03DDEC9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220.942</w:t>
            </w:r>
          </w:p>
        </w:tc>
        <w:tc>
          <w:tcPr>
            <w:tcW w:w="675" w:type="dxa"/>
            <w:tcBorders>
              <w:top w:val="nil"/>
              <w:left w:val="nil"/>
              <w:bottom w:val="nil"/>
              <w:right w:val="nil"/>
            </w:tcBorders>
            <w:tcMar>
              <w:top w:w="100" w:type="dxa"/>
              <w:left w:w="100" w:type="dxa"/>
              <w:bottom w:w="100" w:type="dxa"/>
              <w:right w:w="100" w:type="dxa"/>
            </w:tcMar>
          </w:tcPr>
          <w:p w14:paraId="73CAB552"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349</w:t>
            </w:r>
          </w:p>
        </w:tc>
        <w:tc>
          <w:tcPr>
            <w:tcW w:w="1860" w:type="dxa"/>
            <w:tcBorders>
              <w:top w:val="nil"/>
              <w:left w:val="nil"/>
              <w:bottom w:val="nil"/>
              <w:right w:val="nil"/>
            </w:tcBorders>
            <w:tcMar>
              <w:top w:w="100" w:type="dxa"/>
              <w:left w:w="100" w:type="dxa"/>
              <w:bottom w:w="100" w:type="dxa"/>
              <w:right w:w="100" w:type="dxa"/>
            </w:tcMar>
          </w:tcPr>
          <w:p w14:paraId="429B01C6"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0.633</w:t>
            </w:r>
          </w:p>
        </w:tc>
        <w:tc>
          <w:tcPr>
            <w:tcW w:w="885" w:type="dxa"/>
            <w:tcBorders>
              <w:top w:val="nil"/>
              <w:left w:val="nil"/>
              <w:bottom w:val="nil"/>
              <w:right w:val="nil"/>
            </w:tcBorders>
            <w:tcMar>
              <w:top w:w="100" w:type="dxa"/>
              <w:left w:w="100" w:type="dxa"/>
              <w:bottom w:w="100" w:type="dxa"/>
              <w:right w:w="100" w:type="dxa"/>
            </w:tcMar>
          </w:tcPr>
          <w:p w14:paraId="4F9FF3DA" w14:textId="77777777" w:rsidR="00B50E8C" w:rsidRDefault="00B50E8C">
            <w:pPr>
              <w:pBdr>
                <w:top w:val="nil"/>
                <w:left w:val="nil"/>
                <w:bottom w:val="nil"/>
                <w:right w:val="nil"/>
                <w:between w:val="nil"/>
              </w:pBdr>
              <w:jc w:val="both"/>
              <w:rPr>
                <w:rFonts w:ascii="Arial" w:eastAsia="Arial" w:hAnsi="Arial" w:cs="Arial"/>
                <w:color w:val="000000"/>
              </w:rPr>
            </w:pPr>
          </w:p>
        </w:tc>
        <w:tc>
          <w:tcPr>
            <w:tcW w:w="885" w:type="dxa"/>
            <w:tcBorders>
              <w:top w:val="nil"/>
              <w:left w:val="nil"/>
              <w:bottom w:val="nil"/>
              <w:right w:val="nil"/>
            </w:tcBorders>
            <w:tcMar>
              <w:top w:w="100" w:type="dxa"/>
              <w:left w:w="100" w:type="dxa"/>
              <w:bottom w:w="100" w:type="dxa"/>
              <w:right w:w="100" w:type="dxa"/>
            </w:tcMar>
          </w:tcPr>
          <w:p w14:paraId="465AD3C0" w14:textId="77777777" w:rsidR="00B50E8C" w:rsidRDefault="00B50E8C">
            <w:pPr>
              <w:pBdr>
                <w:top w:val="nil"/>
                <w:left w:val="nil"/>
                <w:bottom w:val="nil"/>
                <w:right w:val="nil"/>
                <w:between w:val="nil"/>
              </w:pBdr>
              <w:jc w:val="both"/>
              <w:rPr>
                <w:rFonts w:ascii="Arial" w:eastAsia="Arial" w:hAnsi="Arial" w:cs="Arial"/>
                <w:color w:val="000000"/>
              </w:rPr>
            </w:pPr>
          </w:p>
        </w:tc>
      </w:tr>
      <w:tr w:rsidR="00B50E8C" w14:paraId="1CCE2344" w14:textId="77777777">
        <w:trPr>
          <w:trHeight w:val="500"/>
        </w:trPr>
        <w:tc>
          <w:tcPr>
            <w:tcW w:w="2550" w:type="dxa"/>
            <w:tcBorders>
              <w:top w:val="nil"/>
              <w:left w:val="nil"/>
              <w:bottom w:val="nil"/>
              <w:right w:val="nil"/>
            </w:tcBorders>
            <w:tcMar>
              <w:top w:w="100" w:type="dxa"/>
              <w:left w:w="100" w:type="dxa"/>
              <w:bottom w:w="100" w:type="dxa"/>
              <w:right w:w="100" w:type="dxa"/>
            </w:tcMar>
          </w:tcPr>
          <w:p w14:paraId="61CCFFAD"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Total</w:t>
            </w:r>
          </w:p>
        </w:tc>
        <w:tc>
          <w:tcPr>
            <w:tcW w:w="2130" w:type="dxa"/>
            <w:tcBorders>
              <w:top w:val="nil"/>
              <w:left w:val="nil"/>
              <w:bottom w:val="nil"/>
              <w:right w:val="nil"/>
            </w:tcBorders>
            <w:tcMar>
              <w:top w:w="100" w:type="dxa"/>
              <w:left w:w="100" w:type="dxa"/>
              <w:bottom w:w="100" w:type="dxa"/>
              <w:right w:w="100" w:type="dxa"/>
            </w:tcMar>
          </w:tcPr>
          <w:p w14:paraId="107984AA"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222.050</w:t>
            </w:r>
          </w:p>
        </w:tc>
        <w:tc>
          <w:tcPr>
            <w:tcW w:w="675" w:type="dxa"/>
            <w:tcBorders>
              <w:top w:val="nil"/>
              <w:left w:val="nil"/>
              <w:bottom w:val="nil"/>
              <w:right w:val="nil"/>
            </w:tcBorders>
            <w:tcMar>
              <w:top w:w="100" w:type="dxa"/>
              <w:left w:w="100" w:type="dxa"/>
              <w:bottom w:w="100" w:type="dxa"/>
              <w:right w:w="100" w:type="dxa"/>
            </w:tcMar>
          </w:tcPr>
          <w:p w14:paraId="20E3280E"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352</w:t>
            </w:r>
          </w:p>
        </w:tc>
        <w:tc>
          <w:tcPr>
            <w:tcW w:w="1860" w:type="dxa"/>
            <w:tcBorders>
              <w:top w:val="nil"/>
              <w:left w:val="nil"/>
              <w:bottom w:val="nil"/>
              <w:right w:val="nil"/>
            </w:tcBorders>
            <w:tcMar>
              <w:top w:w="100" w:type="dxa"/>
              <w:left w:w="100" w:type="dxa"/>
              <w:bottom w:w="100" w:type="dxa"/>
              <w:right w:w="100" w:type="dxa"/>
            </w:tcMar>
          </w:tcPr>
          <w:p w14:paraId="458460B3" w14:textId="77777777" w:rsidR="00B50E8C" w:rsidRDefault="00B50E8C">
            <w:pPr>
              <w:pBdr>
                <w:top w:val="nil"/>
                <w:left w:val="nil"/>
                <w:bottom w:val="nil"/>
                <w:right w:val="nil"/>
                <w:between w:val="nil"/>
              </w:pBdr>
              <w:jc w:val="both"/>
              <w:rPr>
                <w:rFonts w:ascii="Arial" w:eastAsia="Arial" w:hAnsi="Arial" w:cs="Arial"/>
                <w:color w:val="000000"/>
              </w:rPr>
            </w:pPr>
          </w:p>
        </w:tc>
        <w:tc>
          <w:tcPr>
            <w:tcW w:w="885" w:type="dxa"/>
            <w:tcBorders>
              <w:top w:val="nil"/>
              <w:left w:val="nil"/>
              <w:bottom w:val="nil"/>
              <w:right w:val="nil"/>
            </w:tcBorders>
            <w:tcMar>
              <w:top w:w="100" w:type="dxa"/>
              <w:left w:w="100" w:type="dxa"/>
              <w:bottom w:w="100" w:type="dxa"/>
              <w:right w:w="100" w:type="dxa"/>
            </w:tcMar>
          </w:tcPr>
          <w:p w14:paraId="027E950A" w14:textId="77777777" w:rsidR="00B50E8C" w:rsidRDefault="00B50E8C">
            <w:pPr>
              <w:pBdr>
                <w:top w:val="nil"/>
                <w:left w:val="nil"/>
                <w:bottom w:val="nil"/>
                <w:right w:val="nil"/>
                <w:between w:val="nil"/>
              </w:pBdr>
              <w:jc w:val="both"/>
              <w:rPr>
                <w:rFonts w:ascii="Arial" w:eastAsia="Arial" w:hAnsi="Arial" w:cs="Arial"/>
                <w:color w:val="000000"/>
              </w:rPr>
            </w:pPr>
          </w:p>
        </w:tc>
        <w:tc>
          <w:tcPr>
            <w:tcW w:w="885" w:type="dxa"/>
            <w:tcBorders>
              <w:top w:val="nil"/>
              <w:left w:val="nil"/>
              <w:bottom w:val="nil"/>
              <w:right w:val="nil"/>
            </w:tcBorders>
            <w:tcMar>
              <w:top w:w="100" w:type="dxa"/>
              <w:left w:w="100" w:type="dxa"/>
              <w:bottom w:w="100" w:type="dxa"/>
              <w:right w:w="100" w:type="dxa"/>
            </w:tcMar>
          </w:tcPr>
          <w:p w14:paraId="4D284439" w14:textId="77777777" w:rsidR="00B50E8C" w:rsidRDefault="00B50E8C">
            <w:pPr>
              <w:pBdr>
                <w:top w:val="nil"/>
                <w:left w:val="nil"/>
                <w:bottom w:val="nil"/>
                <w:right w:val="nil"/>
                <w:between w:val="nil"/>
              </w:pBdr>
              <w:jc w:val="both"/>
              <w:rPr>
                <w:rFonts w:ascii="Arial" w:eastAsia="Arial" w:hAnsi="Arial" w:cs="Arial"/>
                <w:color w:val="000000"/>
              </w:rPr>
            </w:pPr>
          </w:p>
        </w:tc>
      </w:tr>
    </w:tbl>
    <w:p w14:paraId="2B2BA90B"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Test of Homogeneity of Variances (PSM)</w:t>
      </w:r>
    </w:p>
    <w:tbl>
      <w:tblPr>
        <w:tblStyle w:val="ac"/>
        <w:tblW w:w="8760" w:type="dxa"/>
        <w:tblBorders>
          <w:top w:val="nil"/>
          <w:left w:val="nil"/>
          <w:bottom w:val="nil"/>
          <w:right w:val="nil"/>
          <w:insideH w:val="nil"/>
          <w:insideV w:val="nil"/>
        </w:tblBorders>
        <w:tblLayout w:type="fixed"/>
        <w:tblLook w:val="0600" w:firstRow="0" w:lastRow="0" w:firstColumn="0" w:lastColumn="0" w:noHBand="1" w:noVBand="1"/>
      </w:tblPr>
      <w:tblGrid>
        <w:gridCol w:w="4305"/>
        <w:gridCol w:w="1305"/>
        <w:gridCol w:w="1365"/>
        <w:gridCol w:w="1785"/>
      </w:tblGrid>
      <w:tr w:rsidR="00B50E8C" w14:paraId="53DAC048" w14:textId="77777777">
        <w:trPr>
          <w:trHeight w:val="500"/>
        </w:trPr>
        <w:tc>
          <w:tcPr>
            <w:tcW w:w="4305" w:type="dxa"/>
            <w:tcBorders>
              <w:top w:val="nil"/>
              <w:left w:val="nil"/>
              <w:bottom w:val="nil"/>
              <w:right w:val="nil"/>
            </w:tcBorders>
            <w:tcMar>
              <w:top w:w="100" w:type="dxa"/>
              <w:left w:w="100" w:type="dxa"/>
              <w:bottom w:w="100" w:type="dxa"/>
              <w:right w:w="100" w:type="dxa"/>
            </w:tcMar>
          </w:tcPr>
          <w:p w14:paraId="4500CD75"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Levene Statistic</w:t>
            </w:r>
          </w:p>
        </w:tc>
        <w:tc>
          <w:tcPr>
            <w:tcW w:w="1305" w:type="dxa"/>
            <w:tcBorders>
              <w:top w:val="nil"/>
              <w:left w:val="nil"/>
              <w:bottom w:val="nil"/>
              <w:right w:val="nil"/>
            </w:tcBorders>
            <w:tcMar>
              <w:top w:w="100" w:type="dxa"/>
              <w:left w:w="100" w:type="dxa"/>
              <w:bottom w:w="100" w:type="dxa"/>
              <w:right w:w="100" w:type="dxa"/>
            </w:tcMar>
          </w:tcPr>
          <w:p w14:paraId="4AD6DFC3"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df1</w:t>
            </w:r>
          </w:p>
        </w:tc>
        <w:tc>
          <w:tcPr>
            <w:tcW w:w="1365" w:type="dxa"/>
            <w:tcBorders>
              <w:top w:val="nil"/>
              <w:left w:val="nil"/>
              <w:bottom w:val="nil"/>
              <w:right w:val="nil"/>
            </w:tcBorders>
            <w:tcMar>
              <w:top w:w="100" w:type="dxa"/>
              <w:left w:w="100" w:type="dxa"/>
              <w:bottom w:w="100" w:type="dxa"/>
              <w:right w:w="100" w:type="dxa"/>
            </w:tcMar>
          </w:tcPr>
          <w:p w14:paraId="30532903"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df2</w:t>
            </w:r>
          </w:p>
        </w:tc>
        <w:tc>
          <w:tcPr>
            <w:tcW w:w="1785" w:type="dxa"/>
            <w:tcBorders>
              <w:top w:val="nil"/>
              <w:left w:val="nil"/>
              <w:bottom w:val="nil"/>
              <w:right w:val="nil"/>
            </w:tcBorders>
            <w:tcMar>
              <w:top w:w="100" w:type="dxa"/>
              <w:left w:w="100" w:type="dxa"/>
              <w:bottom w:w="100" w:type="dxa"/>
              <w:right w:w="100" w:type="dxa"/>
            </w:tcMar>
          </w:tcPr>
          <w:p w14:paraId="01592485"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Sig.</w:t>
            </w:r>
          </w:p>
        </w:tc>
      </w:tr>
      <w:tr w:rsidR="00B50E8C" w14:paraId="47D9DBDD" w14:textId="77777777">
        <w:trPr>
          <w:trHeight w:val="500"/>
        </w:trPr>
        <w:tc>
          <w:tcPr>
            <w:tcW w:w="4305" w:type="dxa"/>
            <w:tcBorders>
              <w:top w:val="nil"/>
              <w:left w:val="nil"/>
              <w:bottom w:val="single" w:sz="8" w:space="0" w:color="000000"/>
              <w:right w:val="nil"/>
            </w:tcBorders>
            <w:tcMar>
              <w:top w:w="100" w:type="dxa"/>
              <w:left w:w="100" w:type="dxa"/>
              <w:bottom w:w="100" w:type="dxa"/>
              <w:right w:w="100" w:type="dxa"/>
            </w:tcMar>
          </w:tcPr>
          <w:p w14:paraId="0A0F6C51"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0.213</w:t>
            </w:r>
          </w:p>
        </w:tc>
        <w:tc>
          <w:tcPr>
            <w:tcW w:w="1305" w:type="dxa"/>
            <w:tcBorders>
              <w:top w:val="nil"/>
              <w:left w:val="nil"/>
              <w:bottom w:val="single" w:sz="8" w:space="0" w:color="000000"/>
              <w:right w:val="nil"/>
            </w:tcBorders>
            <w:tcMar>
              <w:top w:w="100" w:type="dxa"/>
              <w:left w:w="100" w:type="dxa"/>
              <w:bottom w:w="100" w:type="dxa"/>
              <w:right w:w="100" w:type="dxa"/>
            </w:tcMar>
          </w:tcPr>
          <w:p w14:paraId="0CBB1C6C"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w:t>
            </w:r>
          </w:p>
        </w:tc>
        <w:tc>
          <w:tcPr>
            <w:tcW w:w="1365" w:type="dxa"/>
            <w:tcBorders>
              <w:top w:val="nil"/>
              <w:left w:val="nil"/>
              <w:bottom w:val="single" w:sz="8" w:space="0" w:color="000000"/>
              <w:right w:val="nil"/>
            </w:tcBorders>
            <w:tcMar>
              <w:top w:w="100" w:type="dxa"/>
              <w:left w:w="100" w:type="dxa"/>
              <w:bottom w:w="100" w:type="dxa"/>
              <w:right w:w="100" w:type="dxa"/>
            </w:tcMar>
          </w:tcPr>
          <w:p w14:paraId="013E092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349</w:t>
            </w:r>
          </w:p>
        </w:tc>
        <w:tc>
          <w:tcPr>
            <w:tcW w:w="1785" w:type="dxa"/>
            <w:tcBorders>
              <w:top w:val="nil"/>
              <w:left w:val="nil"/>
              <w:bottom w:val="single" w:sz="8" w:space="0" w:color="000000"/>
              <w:right w:val="nil"/>
            </w:tcBorders>
            <w:tcMar>
              <w:top w:w="100" w:type="dxa"/>
              <w:left w:w="100" w:type="dxa"/>
              <w:bottom w:w="100" w:type="dxa"/>
              <w:right w:w="100" w:type="dxa"/>
            </w:tcMar>
          </w:tcPr>
          <w:p w14:paraId="43F2775C"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0.888</w:t>
            </w:r>
          </w:p>
        </w:tc>
      </w:tr>
    </w:tbl>
    <w:p w14:paraId="0BD4919E" w14:textId="77777777" w:rsidR="00B50E8C" w:rsidRDefault="00B50E8C">
      <w:pPr>
        <w:pBdr>
          <w:top w:val="nil"/>
          <w:left w:val="nil"/>
          <w:bottom w:val="nil"/>
          <w:right w:val="nil"/>
          <w:between w:val="nil"/>
        </w:pBdr>
        <w:jc w:val="both"/>
        <w:rPr>
          <w:rFonts w:ascii="Arial" w:eastAsia="Arial" w:hAnsi="Arial" w:cs="Arial"/>
          <w:b/>
          <w:bCs/>
        </w:rPr>
      </w:pPr>
    </w:p>
    <w:p w14:paraId="74E31630"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b/>
          <w:bCs/>
          <w:color w:val="000000"/>
        </w:rPr>
        <w:t>Regression Analysis of Public Service Values as Predictor of Motivation</w:t>
      </w:r>
    </w:p>
    <w:p w14:paraId="46D72DB1"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To assess the predictive role of PSV on PSM, a linear regression analysis was performed. PSV was a significant predictor of PSM, β = 0.683, </w:t>
      </w:r>
      <w:proofErr w:type="gramStart"/>
      <w:r>
        <w:rPr>
          <w:rFonts w:ascii="Arial" w:eastAsia="Arial" w:hAnsi="Arial" w:cs="Arial"/>
          <w:color w:val="000000"/>
        </w:rPr>
        <w:t>t(</w:t>
      </w:r>
      <w:proofErr w:type="gramEnd"/>
      <w:r>
        <w:rPr>
          <w:rFonts w:ascii="Arial" w:eastAsia="Arial" w:hAnsi="Arial" w:cs="Arial"/>
          <w:color w:val="000000"/>
        </w:rPr>
        <w:t xml:space="preserve">351) = 15.42, p &lt; .001, explaining 46.6% of the variance in motivation (R² = .466). This result empirically confirms the theoretical proposition that value internalization serves as a foundational antecedent of public service motivation (Kim, 2009; Perry &amp; </w:t>
      </w:r>
      <w:proofErr w:type="spellStart"/>
      <w:r>
        <w:rPr>
          <w:rFonts w:ascii="Arial" w:eastAsia="Arial" w:hAnsi="Arial" w:cs="Arial"/>
          <w:color w:val="000000"/>
        </w:rPr>
        <w:t>Hondeghem</w:t>
      </w:r>
      <w:proofErr w:type="spellEnd"/>
      <w:r>
        <w:rPr>
          <w:rFonts w:ascii="Arial" w:eastAsia="Arial" w:hAnsi="Arial" w:cs="Arial"/>
          <w:color w:val="000000"/>
        </w:rPr>
        <w:t>, 2008). Practically, this underscores the importance of targeted organizational interventions aimed at strengthening public service values as a means to enhance motivation and, ultimately, service delivery.</w:t>
      </w:r>
    </w:p>
    <w:p w14:paraId="4800BBB0" w14:textId="77777777" w:rsidR="00B50E8C" w:rsidRDefault="00B50E8C">
      <w:pPr>
        <w:pBdr>
          <w:top w:val="nil"/>
          <w:left w:val="nil"/>
          <w:bottom w:val="nil"/>
          <w:right w:val="nil"/>
          <w:between w:val="nil"/>
        </w:pBdr>
        <w:jc w:val="both"/>
        <w:rPr>
          <w:rFonts w:ascii="Arial" w:eastAsia="Arial" w:hAnsi="Arial" w:cs="Arial"/>
        </w:rPr>
      </w:pPr>
    </w:p>
    <w:p w14:paraId="5F2D275A"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regression analysis also allows organizations to identify which dimensions of PSV most strongly influence motivation. For example, items related to integrity, excellence, and compassion may exert stronger predictive effects than others, providing actionable insight for HR and training programs. By strategically emphasizing these value dimensions, LGUs can maximize motivational outcomes across all employee categories, irrespective of entry mode.</w:t>
      </w:r>
    </w:p>
    <w:p w14:paraId="624B8E6C" w14:textId="77777777" w:rsidR="00B50E8C" w:rsidRDefault="00B50E8C">
      <w:pPr>
        <w:pBdr>
          <w:top w:val="nil"/>
          <w:left w:val="nil"/>
          <w:bottom w:val="nil"/>
          <w:right w:val="nil"/>
          <w:between w:val="nil"/>
        </w:pBdr>
        <w:jc w:val="both"/>
        <w:rPr>
          <w:rFonts w:ascii="Arial" w:eastAsia="Arial" w:hAnsi="Arial" w:cs="Arial"/>
          <w:b/>
          <w:bCs/>
        </w:rPr>
      </w:pPr>
    </w:p>
    <w:p w14:paraId="07A3A033" w14:textId="77777777" w:rsidR="00B50E8C" w:rsidRDefault="00F37AE9" w:rsidP="002A4351">
      <w:pPr>
        <w:pBdr>
          <w:top w:val="nil"/>
          <w:left w:val="nil"/>
          <w:bottom w:val="nil"/>
          <w:right w:val="nil"/>
          <w:between w:val="nil"/>
        </w:pBdr>
        <w:rPr>
          <w:rFonts w:ascii="Arial" w:eastAsia="Arial" w:hAnsi="Arial" w:cs="Arial"/>
          <w:color w:val="000000"/>
        </w:rPr>
      </w:pPr>
      <w:r>
        <w:rPr>
          <w:rFonts w:ascii="Arial" w:eastAsia="Arial" w:hAnsi="Arial" w:cs="Arial"/>
          <w:b/>
          <w:bCs/>
          <w:color w:val="000000"/>
        </w:rPr>
        <w:lastRenderedPageBreak/>
        <w:t>Figure 2. Regression Plot of PSV Predicting PSM</w:t>
      </w:r>
      <w:r>
        <w:rPr>
          <w:rFonts w:ascii="Arial" w:eastAsia="Arial" w:hAnsi="Arial" w:cs="Arial"/>
          <w:b/>
          <w:bCs/>
          <w:color w:val="000000"/>
        </w:rPr>
        <w:br/>
      </w:r>
      <w:r>
        <w:rPr>
          <w:rFonts w:ascii="Arial" w:eastAsia="Arial" w:hAnsi="Arial" w:cs="Arial"/>
          <w:noProof/>
          <w:color w:val="000000"/>
        </w:rPr>
        <w:drawing>
          <wp:inline distT="114300" distB="114300" distL="114300" distR="114300" wp14:anchorId="28668A3B" wp14:editId="00D1B29C">
            <wp:extent cx="5143500" cy="3600450"/>
            <wp:effectExtent l="0" t="0" r="0" b="0"/>
            <wp:docPr id="17225526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6312" t="2851" r="3987"/>
                    <a:stretch>
                      <a:fillRect/>
                    </a:stretch>
                  </pic:blipFill>
                  <pic:spPr>
                    <a:xfrm>
                      <a:off x="0" y="0"/>
                      <a:ext cx="5143500" cy="3600450"/>
                    </a:xfrm>
                    <a:prstGeom prst="rect">
                      <a:avLst/>
                    </a:prstGeom>
                    <a:ln/>
                  </pic:spPr>
                </pic:pic>
              </a:graphicData>
            </a:graphic>
          </wp:inline>
        </w:drawing>
      </w:r>
    </w:p>
    <w:p w14:paraId="2B458BA3" w14:textId="77777777" w:rsidR="00B50E8C" w:rsidRDefault="00B50E8C">
      <w:pPr>
        <w:pBdr>
          <w:top w:val="nil"/>
          <w:left w:val="nil"/>
          <w:bottom w:val="nil"/>
          <w:right w:val="nil"/>
          <w:between w:val="nil"/>
        </w:pBdr>
        <w:jc w:val="both"/>
        <w:rPr>
          <w:rFonts w:ascii="Arial" w:eastAsia="Arial" w:hAnsi="Arial" w:cs="Arial"/>
          <w:b/>
          <w:bCs/>
          <w:color w:val="000000"/>
        </w:rPr>
      </w:pPr>
      <w:bookmarkStart w:id="25" w:name="_heading=h.1kbbcy1ypys8" w:colFirst="0" w:colLast="0"/>
      <w:bookmarkEnd w:id="25"/>
    </w:p>
    <w:p w14:paraId="260AAE27" w14:textId="77777777" w:rsidR="00B50E8C" w:rsidRDefault="00F37AE9">
      <w:pPr>
        <w:pBdr>
          <w:top w:val="nil"/>
          <w:left w:val="nil"/>
          <w:bottom w:val="nil"/>
          <w:right w:val="nil"/>
          <w:between w:val="nil"/>
        </w:pBdr>
        <w:jc w:val="both"/>
        <w:rPr>
          <w:rFonts w:ascii="Arial" w:eastAsia="Arial" w:hAnsi="Arial" w:cs="Arial"/>
          <w:b/>
          <w:bCs/>
          <w:color w:val="000000"/>
        </w:rPr>
      </w:pPr>
      <w:bookmarkStart w:id="26" w:name="_heading=h.cexrrrbb20eb" w:colFirst="0" w:colLast="0"/>
      <w:bookmarkEnd w:id="26"/>
      <w:r>
        <w:rPr>
          <w:rFonts w:ascii="Arial" w:eastAsia="Arial" w:hAnsi="Arial" w:cs="Arial"/>
          <w:b/>
          <w:bCs/>
          <w:color w:val="000000"/>
        </w:rPr>
        <w:t>Implications for Theory</w:t>
      </w:r>
    </w:p>
    <w:p w14:paraId="02C7E204"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study extends the theoretical understanding of PSM in several ways. First, it empirically confirms the mediating role of public service values in shaping motivational outcomes in a non-Western, collectivist context. While most PSM literature focuses on Western public organizations, these findings demonstrate that Filipino socio-cultural factors—including spirituality and communal responsibility—play a critical role in ethical orientation and motivation (David, 2016; De Guzman &amp; David, 2018).</w:t>
      </w:r>
    </w:p>
    <w:p w14:paraId="493670BF"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Second, integrating organizational culture theory with PSM frameworks, the study illustrates that workplace socialization processes can mitigate differences arising from varied entry modes, aligning ethical and motivational outcomes across diverse employee groups. This highlights the importance of considering institutional and cultural factors alongside formal recruitment procedures in the study of motivation and values.</w:t>
      </w:r>
    </w:p>
    <w:p w14:paraId="48901931" w14:textId="77777777" w:rsidR="00B50E8C" w:rsidRDefault="00B50E8C">
      <w:pPr>
        <w:pBdr>
          <w:top w:val="nil"/>
          <w:left w:val="nil"/>
          <w:bottom w:val="nil"/>
          <w:right w:val="nil"/>
          <w:between w:val="nil"/>
        </w:pBdr>
        <w:jc w:val="both"/>
        <w:rPr>
          <w:rFonts w:ascii="Arial" w:eastAsia="Arial" w:hAnsi="Arial" w:cs="Arial"/>
          <w:color w:val="000000"/>
        </w:rPr>
      </w:pPr>
    </w:p>
    <w:p w14:paraId="5B235A6B" w14:textId="77777777" w:rsidR="00B50E8C" w:rsidRDefault="00F37AE9">
      <w:pPr>
        <w:pBdr>
          <w:top w:val="nil"/>
          <w:left w:val="nil"/>
          <w:bottom w:val="nil"/>
          <w:right w:val="nil"/>
          <w:between w:val="nil"/>
        </w:pBdr>
        <w:jc w:val="both"/>
        <w:rPr>
          <w:rFonts w:ascii="Arial" w:eastAsia="Arial" w:hAnsi="Arial" w:cs="Arial"/>
          <w:b/>
          <w:bCs/>
          <w:color w:val="000000"/>
        </w:rPr>
      </w:pPr>
      <w:bookmarkStart w:id="27" w:name="_heading=h.lvz8ej7r9z6d" w:colFirst="0" w:colLast="0"/>
      <w:bookmarkEnd w:id="27"/>
      <w:r>
        <w:rPr>
          <w:rFonts w:ascii="Arial" w:eastAsia="Arial" w:hAnsi="Arial" w:cs="Arial"/>
          <w:b/>
          <w:bCs/>
          <w:color w:val="000000"/>
        </w:rPr>
        <w:t>Implications for Policy and Practice</w:t>
      </w:r>
    </w:p>
    <w:p w14:paraId="7650B11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From a practical perspective, the findings highlight actionable strategies for LGUs. Human resource policies should prioritize inclusive ethics-oriented training, mentorship programs, and value-based recognition systems to reinforce both PSV and PSM. Induction programs for all employees, regardless of employment type, can ensure a shared understanding of core public service values and foster motivational alignment.</w:t>
      </w:r>
    </w:p>
    <w:p w14:paraId="10A74AC7"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Additionally, given the predictive link between PSV and PSM, policymakers can focus on reinforcing value-driven behaviors as a mechanism to improve service delivery. Recruitment processes can integrate assessments of value orientation and ethical alignment alongside technical competencies, ensuring that employees are both skilled and motivated to serve the public. Leadership development programs can also leverage these insights, emphasizing the cultivation of ethical norms, spiritual grounding, and team-oriented behaviors to enhance organizational commitment and effectiveness.</w:t>
      </w:r>
    </w:p>
    <w:p w14:paraId="7CEC7268" w14:textId="77777777" w:rsidR="00B50E8C" w:rsidRDefault="00B50E8C">
      <w:pPr>
        <w:pBdr>
          <w:top w:val="nil"/>
          <w:left w:val="nil"/>
          <w:bottom w:val="nil"/>
          <w:right w:val="nil"/>
          <w:between w:val="nil"/>
        </w:pBdr>
        <w:jc w:val="both"/>
        <w:rPr>
          <w:rFonts w:ascii="Arial" w:eastAsia="Arial" w:hAnsi="Arial" w:cs="Arial"/>
          <w:color w:val="000000"/>
        </w:rPr>
      </w:pPr>
    </w:p>
    <w:p w14:paraId="15EDEFE0" w14:textId="77777777" w:rsidR="00B50E8C" w:rsidRDefault="00F37AE9">
      <w:pPr>
        <w:pBdr>
          <w:top w:val="nil"/>
          <w:left w:val="nil"/>
          <w:bottom w:val="nil"/>
          <w:right w:val="nil"/>
          <w:between w:val="nil"/>
        </w:pBdr>
        <w:jc w:val="both"/>
        <w:rPr>
          <w:rFonts w:ascii="Arial" w:eastAsia="Arial" w:hAnsi="Arial" w:cs="Arial"/>
          <w:b/>
          <w:bCs/>
          <w:color w:val="000000"/>
        </w:rPr>
      </w:pPr>
      <w:bookmarkStart w:id="28" w:name="_heading=h.115h9at62qgs" w:colFirst="0" w:colLast="0"/>
      <w:bookmarkEnd w:id="28"/>
      <w:r>
        <w:rPr>
          <w:rFonts w:ascii="Arial" w:eastAsia="Arial" w:hAnsi="Arial" w:cs="Arial"/>
          <w:b/>
          <w:bCs/>
          <w:color w:val="000000"/>
        </w:rPr>
        <w:lastRenderedPageBreak/>
        <w:t>Contributions to Literature</w:t>
      </w:r>
    </w:p>
    <w:p w14:paraId="64183406"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study contributes both academically and practically to the field of public administration. Academically, it provides empirical evidence from the Philippine LGU context, extending PSM theory to a non-Western, collectivist setting. It demonstrates how ethical orientations, spiritual beliefs, and communal norms jointly influence motivational outcomes, supporting prior studies on the role of culture in PSM (Vandenabeele, 2009; David, 2016).</w:t>
      </w:r>
    </w:p>
    <w:p w14:paraId="0F90A73E" w14:textId="77777777" w:rsidR="00B50E8C" w:rsidRDefault="00F37AE9">
      <w:pPr>
        <w:pBdr>
          <w:top w:val="nil"/>
          <w:left w:val="nil"/>
          <w:bottom w:val="nil"/>
          <w:right w:val="nil"/>
          <w:between w:val="nil"/>
        </w:pBdr>
        <w:jc w:val="both"/>
        <w:rPr>
          <w:rFonts w:ascii="Arial" w:eastAsia="Arial" w:hAnsi="Arial" w:cs="Arial"/>
          <w:b/>
          <w:bCs/>
          <w:color w:val="000000"/>
        </w:rPr>
      </w:pPr>
      <w:r>
        <w:rPr>
          <w:rFonts w:ascii="Arial" w:eastAsia="Arial" w:hAnsi="Arial" w:cs="Arial"/>
          <w:color w:val="000000"/>
        </w:rPr>
        <w:t>Practically, it informs human resource strategies for local governments, illustrating that organizational culture and value-based interventions can cultivate motivation and ethical behavior across all employment categories. This insight is particularly relevant for LGUs relying on mixed employment arrangements, including contractual and coterminous staff.</w:t>
      </w:r>
    </w:p>
    <w:p w14:paraId="3B6CBFEE" w14:textId="77777777" w:rsidR="00B50E8C" w:rsidRDefault="00B50E8C">
      <w:pPr>
        <w:pBdr>
          <w:top w:val="nil"/>
          <w:left w:val="nil"/>
          <w:bottom w:val="nil"/>
          <w:right w:val="nil"/>
          <w:between w:val="nil"/>
        </w:pBdr>
        <w:jc w:val="both"/>
        <w:rPr>
          <w:rFonts w:ascii="Arial" w:eastAsia="Arial" w:hAnsi="Arial" w:cs="Arial"/>
          <w:color w:val="000000"/>
        </w:rPr>
      </w:pPr>
    </w:p>
    <w:p w14:paraId="560BCF19" w14:textId="77777777" w:rsidR="00B50E8C" w:rsidRDefault="00F37A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1E14D06B" w14:textId="77777777" w:rsidR="00B50E8C" w:rsidRDefault="00B50E8C">
      <w:pPr>
        <w:keepNext/>
        <w:pBdr>
          <w:top w:val="nil"/>
          <w:left w:val="nil"/>
          <w:bottom w:val="nil"/>
          <w:right w:val="nil"/>
          <w:between w:val="nil"/>
        </w:pBdr>
        <w:jc w:val="both"/>
        <w:rPr>
          <w:rFonts w:ascii="Arial" w:eastAsia="Arial" w:hAnsi="Arial" w:cs="Arial"/>
          <w:b/>
          <w:bCs/>
          <w:smallCaps/>
          <w:color w:val="000000"/>
          <w:sz w:val="22"/>
          <w:szCs w:val="22"/>
        </w:rPr>
      </w:pPr>
    </w:p>
    <w:p w14:paraId="1F8C66A6"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study set out to examine whether Public Service Values (PSV) are meaningfully manifested in Public Service Motivation (PSM), and whether </w:t>
      </w:r>
      <w:r>
        <w:rPr>
          <w:rFonts w:ascii="Arial" w:eastAsia="Arial" w:hAnsi="Arial" w:cs="Arial"/>
        </w:rPr>
        <w:t xml:space="preserve">structural mode of entry mechanisms </w:t>
      </w:r>
      <w:r>
        <w:rPr>
          <w:rFonts w:ascii="Arial" w:eastAsia="Arial" w:hAnsi="Arial" w:cs="Arial"/>
          <w:color w:val="000000"/>
        </w:rPr>
        <w:t>shape either value internalization or motivational orientation within Philippine Local Government Units. The findings provide three central conclusions.</w:t>
      </w:r>
    </w:p>
    <w:p w14:paraId="684AB69C" w14:textId="77777777" w:rsidR="00B50E8C" w:rsidRDefault="00B50E8C">
      <w:pPr>
        <w:pBdr>
          <w:top w:val="nil"/>
          <w:left w:val="nil"/>
          <w:bottom w:val="nil"/>
          <w:right w:val="nil"/>
          <w:between w:val="nil"/>
        </w:pBdr>
        <w:jc w:val="both"/>
        <w:rPr>
          <w:rFonts w:ascii="Arial" w:eastAsia="Arial" w:hAnsi="Arial" w:cs="Arial"/>
          <w:color w:val="000000"/>
        </w:rPr>
      </w:pPr>
    </w:p>
    <w:p w14:paraId="154C6361"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First, Public Service Values strongly predict Public Service Motivation. The magnitude of association (r = .683) indicates that value internalization explains nearly half of the variance in motivational orientation. This is not a marginal relationship; it is substantively large in behavioral research terms. The results empirically affirm the theoretical proposition advanced by James L. Perry and Lois R. Wise that public service motivation is rooted in normative and affective commitments. In the LGU context studied, patriotism, integrity, excellence, and spirituality are not symbolic declarations but function as motivational anchors.</w:t>
      </w:r>
    </w:p>
    <w:p w14:paraId="2E8D3883" w14:textId="77777777" w:rsidR="00B50E8C" w:rsidRDefault="00B50E8C">
      <w:pPr>
        <w:pBdr>
          <w:top w:val="nil"/>
          <w:left w:val="nil"/>
          <w:bottom w:val="nil"/>
          <w:right w:val="nil"/>
          <w:between w:val="nil"/>
        </w:pBdr>
        <w:jc w:val="both"/>
        <w:rPr>
          <w:rFonts w:ascii="Arial" w:eastAsia="Arial" w:hAnsi="Arial" w:cs="Arial"/>
          <w:color w:val="000000"/>
        </w:rPr>
      </w:pPr>
    </w:p>
    <w:p w14:paraId="7ABDBCDF"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Second, </w:t>
      </w:r>
      <w:r>
        <w:rPr>
          <w:rFonts w:ascii="Arial" w:eastAsia="Arial" w:hAnsi="Arial" w:cs="Arial"/>
        </w:rPr>
        <w:t>mode of entry</w:t>
      </w:r>
      <w:r>
        <w:rPr>
          <w:rFonts w:ascii="Arial" w:eastAsia="Arial" w:hAnsi="Arial" w:cs="Arial"/>
          <w:color w:val="EE0000"/>
        </w:rPr>
        <w:t xml:space="preserve"> </w:t>
      </w:r>
      <w:r>
        <w:rPr>
          <w:rFonts w:ascii="Arial" w:eastAsia="Arial" w:hAnsi="Arial" w:cs="Arial"/>
          <w:color w:val="000000"/>
        </w:rPr>
        <w:t>does not significantly influence the internalization of Public Service Values. Whether employees entered through career service or non-career service, their ethical orientation was statistically comparable. This suggests that value formation is not structurally determined at the point of entry but may instead be reinforced through organizational culture, socialization processes, and shared institutional norms.</w:t>
      </w:r>
    </w:p>
    <w:p w14:paraId="5C03BB8F" w14:textId="77777777" w:rsidR="00B50E8C" w:rsidRDefault="00B50E8C">
      <w:pPr>
        <w:pBdr>
          <w:top w:val="nil"/>
          <w:left w:val="nil"/>
          <w:bottom w:val="nil"/>
          <w:right w:val="nil"/>
          <w:between w:val="nil"/>
        </w:pBdr>
        <w:jc w:val="both"/>
        <w:rPr>
          <w:rFonts w:ascii="Arial" w:eastAsia="Arial" w:hAnsi="Arial" w:cs="Arial"/>
          <w:color w:val="000000"/>
        </w:rPr>
      </w:pPr>
    </w:p>
    <w:p w14:paraId="163F433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Third, Public Service Motivation does not significantly vary across mode of entry. Motivational orientation appears to be an internally regulated disposition rather than a byproduct of employment classification. Even in a hybrid workforce structure characterized by contractual and permanent personnel, motivational commitment remains broadly consistent.</w:t>
      </w:r>
    </w:p>
    <w:p w14:paraId="1402DF97" w14:textId="77777777" w:rsidR="00B50E8C" w:rsidRDefault="00B50E8C">
      <w:pPr>
        <w:pBdr>
          <w:top w:val="nil"/>
          <w:left w:val="nil"/>
          <w:bottom w:val="nil"/>
          <w:right w:val="nil"/>
          <w:between w:val="nil"/>
        </w:pBdr>
        <w:jc w:val="both"/>
        <w:rPr>
          <w:rFonts w:ascii="Arial" w:eastAsia="Arial" w:hAnsi="Arial" w:cs="Arial"/>
          <w:color w:val="000000"/>
        </w:rPr>
      </w:pPr>
    </w:p>
    <w:p w14:paraId="4D485D53"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Collectively, these findings contribute to Public Service Motivation scholarship by repositioning institutionalized public service values as central antecedents rather than contextual background variables. The study also challenges recruitment-centric assumptions that structural appointment mechanisms inherently determine ethical or motivational outcomes. Instead, the evidence suggests that governance sustainability rests more heavily on shared ethical culture than on employment status distinctions.</w:t>
      </w:r>
    </w:p>
    <w:p w14:paraId="6C311F34" w14:textId="77777777" w:rsidR="00B50E8C" w:rsidRDefault="00B50E8C">
      <w:pPr>
        <w:pBdr>
          <w:top w:val="nil"/>
          <w:left w:val="nil"/>
          <w:bottom w:val="nil"/>
          <w:right w:val="nil"/>
          <w:between w:val="nil"/>
        </w:pBdr>
        <w:jc w:val="both"/>
        <w:rPr>
          <w:rFonts w:ascii="Arial" w:eastAsia="Arial" w:hAnsi="Arial" w:cs="Arial"/>
          <w:color w:val="000000"/>
        </w:rPr>
      </w:pPr>
    </w:p>
    <w:p w14:paraId="3386F6DE"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At a broader level, the study reinforces the normative foundation of public administration. Motivation in public service is not primarily transactional; it is value-driven. In decentralized governance systems </w:t>
      </w:r>
      <w:proofErr w:type="gramStart"/>
      <w:r>
        <w:rPr>
          <w:rFonts w:ascii="Arial" w:eastAsia="Arial" w:hAnsi="Arial" w:cs="Arial"/>
          <w:color w:val="000000"/>
        </w:rPr>
        <w:t>where</w:t>
      </w:r>
      <w:proofErr w:type="gramEnd"/>
      <w:r>
        <w:rPr>
          <w:rFonts w:ascii="Arial" w:eastAsia="Arial" w:hAnsi="Arial" w:cs="Arial"/>
          <w:color w:val="000000"/>
        </w:rPr>
        <w:t xml:space="preserve"> institutional resources may be uneven, ethical commitments serve as enduring psychological capital that sustains public engagement.</w:t>
      </w:r>
    </w:p>
    <w:p w14:paraId="5BB9688E" w14:textId="77777777" w:rsidR="00B50E8C" w:rsidRDefault="00B50E8C">
      <w:pPr>
        <w:pBdr>
          <w:top w:val="nil"/>
          <w:left w:val="nil"/>
          <w:bottom w:val="nil"/>
          <w:right w:val="nil"/>
          <w:between w:val="nil"/>
        </w:pBdr>
        <w:jc w:val="both"/>
        <w:rPr>
          <w:rFonts w:ascii="Arial" w:eastAsia="Arial" w:hAnsi="Arial" w:cs="Arial"/>
          <w:b/>
          <w:bCs/>
          <w:color w:val="000000"/>
        </w:rPr>
      </w:pPr>
      <w:bookmarkStart w:id="29" w:name="_heading=h.licpjm1xp4k1" w:colFirst="0" w:colLast="0"/>
      <w:bookmarkEnd w:id="29"/>
    </w:p>
    <w:p w14:paraId="72ECFB7B" w14:textId="77777777" w:rsidR="00B50E8C" w:rsidRDefault="00F37AE9">
      <w:pPr>
        <w:pBdr>
          <w:top w:val="nil"/>
          <w:left w:val="nil"/>
          <w:bottom w:val="nil"/>
          <w:right w:val="nil"/>
          <w:between w:val="nil"/>
        </w:pBdr>
        <w:jc w:val="both"/>
        <w:rPr>
          <w:rFonts w:ascii="Arial" w:eastAsia="Arial" w:hAnsi="Arial" w:cs="Arial"/>
          <w:b/>
          <w:bCs/>
          <w:color w:val="000000"/>
        </w:rPr>
      </w:pPr>
      <w:bookmarkStart w:id="30" w:name="_heading=h.k740hzsw53yg" w:colFirst="0" w:colLast="0"/>
      <w:bookmarkEnd w:id="30"/>
      <w:r>
        <w:rPr>
          <w:rFonts w:ascii="Arial" w:eastAsia="Arial" w:hAnsi="Arial" w:cs="Arial"/>
          <w:b/>
          <w:bCs/>
          <w:color w:val="000000"/>
        </w:rPr>
        <w:t>Recommendations</w:t>
      </w:r>
    </w:p>
    <w:p w14:paraId="08788D1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Grounded in the empirical findings, the following recommendations are proposed for policy, administrative practice, and future research.</w:t>
      </w:r>
    </w:p>
    <w:p w14:paraId="13C9FC2F" w14:textId="77777777" w:rsidR="00B50E8C" w:rsidRDefault="00B50E8C">
      <w:pPr>
        <w:pBdr>
          <w:top w:val="nil"/>
          <w:left w:val="nil"/>
          <w:bottom w:val="nil"/>
          <w:right w:val="nil"/>
          <w:between w:val="nil"/>
        </w:pBdr>
        <w:spacing w:after="240"/>
        <w:jc w:val="both"/>
        <w:rPr>
          <w:rFonts w:ascii="Arial" w:eastAsia="Arial" w:hAnsi="Arial" w:cs="Arial"/>
          <w:color w:val="000000"/>
        </w:rPr>
      </w:pPr>
    </w:p>
    <w:p w14:paraId="46DC5377" w14:textId="77777777" w:rsidR="00B50E8C" w:rsidRDefault="00F37AE9">
      <w:pPr>
        <w:pBdr>
          <w:top w:val="nil"/>
          <w:left w:val="nil"/>
          <w:bottom w:val="nil"/>
          <w:right w:val="nil"/>
          <w:between w:val="nil"/>
        </w:pBdr>
        <w:jc w:val="both"/>
        <w:rPr>
          <w:rFonts w:ascii="Arial" w:eastAsia="Arial" w:hAnsi="Arial" w:cs="Arial"/>
          <w:b/>
          <w:bCs/>
          <w:color w:val="000000"/>
        </w:rPr>
      </w:pPr>
      <w:bookmarkStart w:id="31" w:name="_heading=h.c2705uetxgn5" w:colFirst="0" w:colLast="0"/>
      <w:bookmarkEnd w:id="31"/>
      <w:r>
        <w:rPr>
          <w:rFonts w:ascii="Arial" w:eastAsia="Arial" w:hAnsi="Arial" w:cs="Arial"/>
          <w:b/>
          <w:bCs/>
          <w:color w:val="000000"/>
        </w:rPr>
        <w:lastRenderedPageBreak/>
        <w:t>1. Institutionalize Value-Centered Training and Reflection Programs</w:t>
      </w:r>
    </w:p>
    <w:p w14:paraId="0D7AE582"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Given the strong predictive relationship between PSV and PSM, local government units should strengthen structured ethics and values-based development programs. Training modules should not merely reiterate codes of conduct but actively engage employees in reflective exercises linking patriotism, integrity, excellence, and spirituality to daily administrative decision-making.</w:t>
      </w:r>
    </w:p>
    <w:p w14:paraId="3EC36792" w14:textId="77777777" w:rsidR="00B50E8C" w:rsidRDefault="00B50E8C">
      <w:pPr>
        <w:pBdr>
          <w:top w:val="nil"/>
          <w:left w:val="nil"/>
          <w:bottom w:val="nil"/>
          <w:right w:val="nil"/>
          <w:between w:val="nil"/>
        </w:pBdr>
        <w:jc w:val="both"/>
        <w:rPr>
          <w:rFonts w:ascii="Arial" w:eastAsia="Arial" w:hAnsi="Arial" w:cs="Arial"/>
          <w:color w:val="000000"/>
        </w:rPr>
      </w:pPr>
    </w:p>
    <w:p w14:paraId="6969207B"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Workshops may incorporate scenario-based discussions, ethical dilemma simulations, and leadership storytelling to reinforce internalization. Because motivation is strongly value-driven, strengthening ethical reflection may produce measurable improvements in sustained engagement and service quality.</w:t>
      </w:r>
    </w:p>
    <w:p w14:paraId="011003BA" w14:textId="77777777" w:rsidR="00B50E8C" w:rsidRDefault="00B50E8C">
      <w:pPr>
        <w:pBdr>
          <w:top w:val="nil"/>
          <w:left w:val="nil"/>
          <w:bottom w:val="nil"/>
          <w:right w:val="nil"/>
          <w:between w:val="nil"/>
        </w:pBdr>
        <w:jc w:val="both"/>
        <w:rPr>
          <w:rFonts w:ascii="Arial" w:eastAsia="Arial" w:hAnsi="Arial" w:cs="Arial"/>
          <w:b/>
          <w:bCs/>
          <w:color w:val="000000"/>
        </w:rPr>
      </w:pPr>
      <w:bookmarkStart w:id="32" w:name="_heading=h.3rdbzn9ieukj" w:colFirst="0" w:colLast="0"/>
      <w:bookmarkEnd w:id="32"/>
    </w:p>
    <w:p w14:paraId="5E6B9F68" w14:textId="77777777" w:rsidR="00B50E8C" w:rsidRDefault="00F37AE9">
      <w:pPr>
        <w:pBdr>
          <w:top w:val="nil"/>
          <w:left w:val="nil"/>
          <w:bottom w:val="nil"/>
          <w:right w:val="nil"/>
          <w:between w:val="nil"/>
        </w:pBdr>
        <w:jc w:val="both"/>
        <w:rPr>
          <w:rFonts w:ascii="Arial" w:eastAsia="Arial" w:hAnsi="Arial" w:cs="Arial"/>
          <w:b/>
          <w:bCs/>
          <w:color w:val="000000"/>
        </w:rPr>
      </w:pPr>
      <w:bookmarkStart w:id="33" w:name="_heading=h.tjm8mdq3lg9j" w:colFirst="0" w:colLast="0"/>
      <w:bookmarkEnd w:id="33"/>
      <w:r>
        <w:rPr>
          <w:rFonts w:ascii="Arial" w:eastAsia="Arial" w:hAnsi="Arial" w:cs="Arial"/>
          <w:b/>
          <w:bCs/>
          <w:color w:val="000000"/>
        </w:rPr>
        <w:t>2. Promote Inclusive Human Resource Development Across Employment Categories</w:t>
      </w:r>
    </w:p>
    <w:p w14:paraId="61CF3265" w14:textId="77777777" w:rsidR="00B50E8C" w:rsidRDefault="00B50E8C">
      <w:pPr>
        <w:pBdr>
          <w:top w:val="nil"/>
          <w:left w:val="nil"/>
          <w:bottom w:val="nil"/>
          <w:right w:val="nil"/>
          <w:between w:val="nil"/>
        </w:pBdr>
        <w:jc w:val="both"/>
        <w:rPr>
          <w:rFonts w:ascii="Arial" w:eastAsia="Arial" w:hAnsi="Arial" w:cs="Arial"/>
        </w:rPr>
      </w:pPr>
    </w:p>
    <w:p w14:paraId="64CD3B49"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Since motivational and value levels do not significantly differ across entry types, LGUs should avoid stratified professional development policies that prioritize permanent employees over job order or coterminous personnel.</w:t>
      </w:r>
    </w:p>
    <w:p w14:paraId="30683D42" w14:textId="77777777" w:rsidR="00B50E8C" w:rsidRDefault="00B50E8C">
      <w:pPr>
        <w:pBdr>
          <w:top w:val="nil"/>
          <w:left w:val="nil"/>
          <w:bottom w:val="nil"/>
          <w:right w:val="nil"/>
          <w:between w:val="nil"/>
        </w:pBdr>
        <w:jc w:val="both"/>
        <w:rPr>
          <w:rFonts w:ascii="Arial" w:eastAsia="Arial" w:hAnsi="Arial" w:cs="Arial"/>
          <w:color w:val="000000"/>
        </w:rPr>
      </w:pPr>
    </w:p>
    <w:p w14:paraId="2A02C95F"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Equal access to training, recognition systems, and performance development initiatives may reinforce shared identity and organizational cohesion. Inclusive capacity-building may prevent psychological segmentation within hybrid workforce systems.</w:t>
      </w:r>
    </w:p>
    <w:p w14:paraId="47F4046C" w14:textId="77777777" w:rsidR="00B50E8C" w:rsidRDefault="00B50E8C">
      <w:pPr>
        <w:pBdr>
          <w:top w:val="nil"/>
          <w:left w:val="nil"/>
          <w:bottom w:val="nil"/>
          <w:right w:val="nil"/>
          <w:between w:val="nil"/>
        </w:pBdr>
        <w:jc w:val="both"/>
        <w:rPr>
          <w:rFonts w:ascii="Arial" w:eastAsia="Arial" w:hAnsi="Arial" w:cs="Arial"/>
          <w:b/>
          <w:bCs/>
          <w:color w:val="000000"/>
        </w:rPr>
      </w:pPr>
      <w:bookmarkStart w:id="34" w:name="_heading=h.4sp46rc1l3uf" w:colFirst="0" w:colLast="0"/>
      <w:bookmarkEnd w:id="34"/>
    </w:p>
    <w:p w14:paraId="775A84F0" w14:textId="77777777" w:rsidR="00B50E8C" w:rsidRDefault="00F37AE9">
      <w:pPr>
        <w:pBdr>
          <w:top w:val="nil"/>
          <w:left w:val="nil"/>
          <w:bottom w:val="nil"/>
          <w:right w:val="nil"/>
          <w:between w:val="nil"/>
        </w:pBdr>
        <w:jc w:val="both"/>
        <w:rPr>
          <w:rFonts w:ascii="Arial" w:eastAsia="Arial" w:hAnsi="Arial" w:cs="Arial"/>
          <w:b/>
          <w:bCs/>
          <w:color w:val="000000"/>
        </w:rPr>
      </w:pPr>
      <w:bookmarkStart w:id="35" w:name="_heading=h.fsfskeubokn" w:colFirst="0" w:colLast="0"/>
      <w:bookmarkEnd w:id="35"/>
      <w:r>
        <w:rPr>
          <w:rFonts w:ascii="Arial" w:eastAsia="Arial" w:hAnsi="Arial" w:cs="Arial"/>
          <w:b/>
          <w:bCs/>
          <w:color w:val="000000"/>
        </w:rPr>
        <w:t>3. Strengthen Organizational Culture as a Motivational Mechanism</w:t>
      </w:r>
    </w:p>
    <w:p w14:paraId="66AAE5FE" w14:textId="77777777" w:rsidR="00B50E8C" w:rsidRDefault="00B50E8C">
      <w:pPr>
        <w:pBdr>
          <w:top w:val="nil"/>
          <w:left w:val="nil"/>
          <w:bottom w:val="nil"/>
          <w:right w:val="nil"/>
          <w:between w:val="nil"/>
        </w:pBdr>
        <w:jc w:val="both"/>
        <w:rPr>
          <w:rFonts w:ascii="Arial" w:eastAsia="Arial" w:hAnsi="Arial" w:cs="Arial"/>
          <w:b/>
          <w:bCs/>
        </w:rPr>
      </w:pPr>
      <w:bookmarkStart w:id="36" w:name="_heading=h.hbg75hiy6sko" w:colFirst="0" w:colLast="0"/>
      <w:bookmarkEnd w:id="36"/>
    </w:p>
    <w:p w14:paraId="45463663"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negligible effect of </w:t>
      </w:r>
      <w:r>
        <w:rPr>
          <w:rFonts w:ascii="Arial" w:eastAsia="Arial" w:hAnsi="Arial" w:cs="Arial"/>
        </w:rPr>
        <w:t>mode of entry</w:t>
      </w:r>
      <w:r>
        <w:rPr>
          <w:rFonts w:ascii="Arial" w:eastAsia="Arial" w:hAnsi="Arial" w:cs="Arial"/>
          <w:color w:val="000000"/>
        </w:rPr>
        <w:t xml:space="preserve"> suggests that organizational culture may override structural distinctions. LGUs should therefore invest in cultivating a coherent ethical climate.</w:t>
      </w:r>
    </w:p>
    <w:p w14:paraId="31A14A22" w14:textId="77777777" w:rsidR="00B50E8C" w:rsidRDefault="00B50E8C">
      <w:pPr>
        <w:pBdr>
          <w:top w:val="nil"/>
          <w:left w:val="nil"/>
          <w:bottom w:val="nil"/>
          <w:right w:val="nil"/>
          <w:between w:val="nil"/>
        </w:pBdr>
        <w:jc w:val="both"/>
        <w:rPr>
          <w:rFonts w:ascii="Arial" w:eastAsia="Arial" w:hAnsi="Arial" w:cs="Arial"/>
          <w:color w:val="000000"/>
        </w:rPr>
      </w:pPr>
    </w:p>
    <w:p w14:paraId="13A5CFD9"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This may include:</w:t>
      </w:r>
    </w:p>
    <w:p w14:paraId="5B2374F9" w14:textId="77777777" w:rsidR="00B50E8C" w:rsidRDefault="00F37AE9">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Visible leadership modeling of core values</w:t>
      </w:r>
    </w:p>
    <w:p w14:paraId="7A4B56AF" w14:textId="77777777" w:rsidR="00B50E8C" w:rsidRDefault="00F37AE9">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Public recognition of value-driven behaviors</w:t>
      </w:r>
    </w:p>
    <w:p w14:paraId="37497CCC" w14:textId="77777777" w:rsidR="00B50E8C" w:rsidRDefault="00F37AE9">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Transparent decision-making processes</w:t>
      </w:r>
    </w:p>
    <w:p w14:paraId="19457674" w14:textId="77777777" w:rsidR="00B50E8C" w:rsidRDefault="00F37AE9">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Regular communication reinforcing institutional mission</w:t>
      </w:r>
      <w:r>
        <w:rPr>
          <w:rFonts w:ascii="Arial" w:eastAsia="Arial" w:hAnsi="Arial" w:cs="Arial"/>
          <w:color w:val="000000"/>
        </w:rPr>
        <w:br/>
      </w:r>
    </w:p>
    <w:p w14:paraId="18DDF98A"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Leaders play a crucial role in translating abstract values into observable administrative norms. Consistency between declared values and leadership behavior is essential to sustaining motivation.</w:t>
      </w:r>
    </w:p>
    <w:p w14:paraId="16BADBDB" w14:textId="77777777" w:rsidR="00B50E8C" w:rsidRDefault="00B50E8C">
      <w:pPr>
        <w:pBdr>
          <w:top w:val="nil"/>
          <w:left w:val="nil"/>
          <w:bottom w:val="nil"/>
          <w:right w:val="nil"/>
          <w:between w:val="nil"/>
        </w:pBdr>
        <w:jc w:val="both"/>
        <w:rPr>
          <w:rFonts w:ascii="Arial" w:eastAsia="Arial" w:hAnsi="Arial" w:cs="Arial"/>
          <w:color w:val="000000"/>
        </w:rPr>
      </w:pPr>
    </w:p>
    <w:p w14:paraId="1991274B" w14:textId="77777777" w:rsidR="00B50E8C" w:rsidRDefault="00F37AE9">
      <w:pPr>
        <w:pBdr>
          <w:top w:val="nil"/>
          <w:left w:val="nil"/>
          <w:bottom w:val="nil"/>
          <w:right w:val="nil"/>
          <w:between w:val="nil"/>
        </w:pBdr>
        <w:jc w:val="both"/>
        <w:rPr>
          <w:rFonts w:ascii="Arial" w:eastAsia="Arial" w:hAnsi="Arial" w:cs="Arial"/>
          <w:b/>
          <w:bCs/>
          <w:color w:val="000000"/>
        </w:rPr>
      </w:pPr>
      <w:bookmarkStart w:id="37" w:name="_heading=h.42wvzxtcs1rc" w:colFirst="0" w:colLast="0"/>
      <w:bookmarkEnd w:id="37"/>
      <w:r>
        <w:rPr>
          <w:rFonts w:ascii="Arial" w:eastAsia="Arial" w:hAnsi="Arial" w:cs="Arial"/>
          <w:b/>
          <w:bCs/>
          <w:color w:val="000000"/>
        </w:rPr>
        <w:t>4. Maintain Merit-Based Recruitment While Recognizing Its Motivational Limits</w:t>
      </w:r>
    </w:p>
    <w:p w14:paraId="709D2DB4"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Although entry mode does not significantly predict motivation or value internalization, merit-based recruitment remains essential for institutional legitimacy, transparency, and public trust.</w:t>
      </w:r>
    </w:p>
    <w:p w14:paraId="58EF3AD7" w14:textId="77777777" w:rsidR="00B50E8C" w:rsidRDefault="00B50E8C">
      <w:pPr>
        <w:pBdr>
          <w:top w:val="nil"/>
          <w:left w:val="nil"/>
          <w:bottom w:val="nil"/>
          <w:right w:val="nil"/>
          <w:between w:val="nil"/>
        </w:pBdr>
        <w:jc w:val="both"/>
        <w:rPr>
          <w:rFonts w:ascii="Arial" w:eastAsia="Arial" w:hAnsi="Arial" w:cs="Arial"/>
          <w:color w:val="000000"/>
        </w:rPr>
      </w:pPr>
    </w:p>
    <w:p w14:paraId="6CB12C09"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However, reform discourse should recognize that recruitment mechanism alone does not generate ethical commitment. Sustained motivational cultivation occurs after entry through organizational reinforcement.</w:t>
      </w:r>
    </w:p>
    <w:p w14:paraId="63F33E9E" w14:textId="77777777" w:rsidR="00B50E8C" w:rsidRDefault="00B50E8C">
      <w:pPr>
        <w:pBdr>
          <w:top w:val="nil"/>
          <w:left w:val="nil"/>
          <w:bottom w:val="nil"/>
          <w:right w:val="nil"/>
          <w:between w:val="nil"/>
        </w:pBdr>
        <w:jc w:val="both"/>
        <w:rPr>
          <w:rFonts w:ascii="Arial" w:eastAsia="Arial" w:hAnsi="Arial" w:cs="Arial"/>
          <w:color w:val="000000"/>
        </w:rPr>
      </w:pPr>
    </w:p>
    <w:p w14:paraId="05B61C3A" w14:textId="77777777" w:rsidR="00B50E8C" w:rsidRDefault="00F37AE9">
      <w:pPr>
        <w:pBdr>
          <w:top w:val="nil"/>
          <w:left w:val="nil"/>
          <w:bottom w:val="nil"/>
          <w:right w:val="nil"/>
          <w:between w:val="nil"/>
        </w:pBdr>
        <w:jc w:val="both"/>
        <w:rPr>
          <w:rFonts w:ascii="Arial" w:eastAsia="Arial" w:hAnsi="Arial" w:cs="Arial"/>
          <w:b/>
          <w:bCs/>
          <w:color w:val="000000"/>
        </w:rPr>
      </w:pPr>
      <w:bookmarkStart w:id="38" w:name="_heading=h.ad87zxmtc3zq" w:colFirst="0" w:colLast="0"/>
      <w:bookmarkEnd w:id="38"/>
      <w:r>
        <w:rPr>
          <w:rFonts w:ascii="Arial" w:eastAsia="Arial" w:hAnsi="Arial" w:cs="Arial"/>
          <w:b/>
          <w:bCs/>
          <w:color w:val="000000"/>
        </w:rPr>
        <w:t>5. Integrate Values Assessment into Performance Management Systems</w:t>
      </w:r>
    </w:p>
    <w:p w14:paraId="366594F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Performance appraisal systems may incorporate behavioral indicators aligned with public service values. Rather than measuring only output efficiency, appraisal frameworks can assess teamwork, client responsiveness, ethical conduct, and service excellence.</w:t>
      </w:r>
    </w:p>
    <w:p w14:paraId="7210B4E6" w14:textId="77777777" w:rsidR="00B50E8C" w:rsidRDefault="00B50E8C">
      <w:pPr>
        <w:pBdr>
          <w:top w:val="nil"/>
          <w:left w:val="nil"/>
          <w:bottom w:val="nil"/>
          <w:right w:val="nil"/>
          <w:between w:val="nil"/>
        </w:pBdr>
        <w:jc w:val="both"/>
        <w:rPr>
          <w:rFonts w:ascii="Arial" w:eastAsia="Arial" w:hAnsi="Arial" w:cs="Arial"/>
          <w:color w:val="000000"/>
        </w:rPr>
      </w:pPr>
    </w:p>
    <w:p w14:paraId="05F8CE59"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Aligning evaluation metrics with institutional values reinforces the link between ethical orientation and professional advancement.</w:t>
      </w:r>
    </w:p>
    <w:p w14:paraId="3510EA4C" w14:textId="77777777" w:rsidR="00B50E8C" w:rsidRDefault="00B50E8C">
      <w:pPr>
        <w:pBdr>
          <w:top w:val="nil"/>
          <w:left w:val="nil"/>
          <w:bottom w:val="nil"/>
          <w:right w:val="nil"/>
          <w:between w:val="nil"/>
        </w:pBdr>
        <w:jc w:val="both"/>
        <w:rPr>
          <w:rFonts w:ascii="Arial" w:eastAsia="Arial" w:hAnsi="Arial" w:cs="Arial"/>
          <w:color w:val="000000"/>
        </w:rPr>
      </w:pPr>
    </w:p>
    <w:p w14:paraId="64F947C3" w14:textId="77777777" w:rsidR="00B50E8C" w:rsidRDefault="00F37AE9">
      <w:pPr>
        <w:pBdr>
          <w:top w:val="nil"/>
          <w:left w:val="nil"/>
          <w:bottom w:val="nil"/>
          <w:right w:val="nil"/>
          <w:between w:val="nil"/>
        </w:pBdr>
        <w:jc w:val="both"/>
        <w:rPr>
          <w:rFonts w:ascii="Arial" w:eastAsia="Arial" w:hAnsi="Arial" w:cs="Arial"/>
          <w:b/>
          <w:bCs/>
          <w:color w:val="000000"/>
        </w:rPr>
      </w:pPr>
      <w:bookmarkStart w:id="39" w:name="_heading=h.v64n579rpqsx" w:colFirst="0" w:colLast="0"/>
      <w:bookmarkEnd w:id="39"/>
      <w:r>
        <w:rPr>
          <w:rFonts w:ascii="Arial" w:eastAsia="Arial" w:hAnsi="Arial" w:cs="Arial"/>
          <w:b/>
          <w:bCs/>
          <w:color w:val="000000"/>
        </w:rPr>
        <w:lastRenderedPageBreak/>
        <w:t>6. Expand Future Research</w:t>
      </w:r>
    </w:p>
    <w:p w14:paraId="4A430218"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Future studies may:</w:t>
      </w:r>
    </w:p>
    <w:p w14:paraId="07B42F09" w14:textId="77777777" w:rsidR="00B50E8C" w:rsidRDefault="00F37AE9">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Employ longitudinal designs to assess how values and motivation evolve over time.</w:t>
      </w:r>
    </w:p>
    <w:p w14:paraId="267D175B" w14:textId="77777777" w:rsidR="00B50E8C" w:rsidRDefault="00C569B9">
      <w:pPr>
        <w:numPr>
          <w:ilvl w:val="0"/>
          <w:numId w:val="3"/>
        </w:numPr>
        <w:pBdr>
          <w:top w:val="nil"/>
          <w:left w:val="nil"/>
          <w:bottom w:val="nil"/>
          <w:right w:val="nil"/>
          <w:between w:val="nil"/>
        </w:pBdr>
        <w:jc w:val="both"/>
        <w:rPr>
          <w:rFonts w:ascii="Arial" w:eastAsia="Arial" w:hAnsi="Arial" w:cs="Arial"/>
          <w:color w:val="000000"/>
        </w:rPr>
      </w:pPr>
      <w:sdt>
        <w:sdtPr>
          <w:tag w:val="goog_rdk_0"/>
          <w:id w:val="1014105950"/>
        </w:sdtPr>
        <w:sdtEndPr/>
        <w:sdtContent>
          <w:r w:rsidR="00F37AE9">
            <w:rPr>
              <w:rFonts w:ascii="Arial Unicode MS" w:eastAsia="Arial Unicode MS" w:hAnsi="Arial Unicode MS" w:cs="Arial Unicode MS"/>
              <w:color w:val="000000"/>
            </w:rPr>
            <w:t>Use structural equation modeling to test mediated pathways (e.g., PSV → Organizational Commitment → PSM).</w:t>
          </w:r>
        </w:sdtContent>
      </w:sdt>
    </w:p>
    <w:p w14:paraId="27F5C28B" w14:textId="77777777" w:rsidR="00B50E8C" w:rsidRDefault="00F37AE9">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Incorporate citizen satisfaction or service performance metrics to examine whether high PSV and PSM translate into observable governance outcomes.</w:t>
      </w:r>
    </w:p>
    <w:p w14:paraId="1A352916" w14:textId="77777777" w:rsidR="00B50E8C" w:rsidRDefault="00F37AE9">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Compare urban and rural LGUs to test contextual variability.</w:t>
      </w:r>
      <w:r>
        <w:rPr>
          <w:rFonts w:ascii="Arial" w:eastAsia="Arial" w:hAnsi="Arial" w:cs="Arial"/>
          <w:color w:val="000000"/>
        </w:rPr>
        <w:br/>
      </w:r>
    </w:p>
    <w:p w14:paraId="0475FBA0"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Additionally, qualitative inquiry may deepen understanding of how employees interpret patriotism, integrity, excellence, and spirituality within localized governance settings.</w:t>
      </w:r>
    </w:p>
    <w:p w14:paraId="3D42D94E" w14:textId="77777777" w:rsidR="00B50E8C" w:rsidRDefault="00B50E8C">
      <w:pPr>
        <w:pBdr>
          <w:top w:val="nil"/>
          <w:left w:val="nil"/>
          <w:bottom w:val="nil"/>
          <w:right w:val="nil"/>
          <w:between w:val="nil"/>
        </w:pBdr>
        <w:jc w:val="both"/>
        <w:rPr>
          <w:rFonts w:ascii="Arial" w:eastAsia="Arial" w:hAnsi="Arial" w:cs="Arial"/>
          <w:color w:val="000000"/>
        </w:rPr>
      </w:pPr>
    </w:p>
    <w:p w14:paraId="4897574F"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evidence suggests that the sustainability of local governance does not rest solely on structural mechanisms of appointment but on the depth of ethical internalization within its workforce. Public Service Values function as motivational infrastructure—quietly shaping decisions, behaviors, and commitments beyond formal job descriptions.</w:t>
      </w:r>
    </w:p>
    <w:p w14:paraId="70FD4099" w14:textId="77777777" w:rsidR="00B50E8C" w:rsidRDefault="00B50E8C">
      <w:pPr>
        <w:pBdr>
          <w:top w:val="nil"/>
          <w:left w:val="nil"/>
          <w:bottom w:val="nil"/>
          <w:right w:val="nil"/>
          <w:between w:val="nil"/>
        </w:pBdr>
        <w:jc w:val="both"/>
        <w:rPr>
          <w:rFonts w:ascii="Arial" w:eastAsia="Arial" w:hAnsi="Arial" w:cs="Arial"/>
          <w:color w:val="000000"/>
        </w:rPr>
      </w:pPr>
    </w:p>
    <w:p w14:paraId="3EA411B0" w14:textId="77777777" w:rsidR="00B50E8C" w:rsidRDefault="00F37A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contexts where administrative systems face resource constraints and structural diversity, strengthening shared values may be among the most cost-effective and enduring strategies for maintaining public service commitment.</w:t>
      </w:r>
    </w:p>
    <w:p w14:paraId="37475A30" w14:textId="77777777" w:rsidR="00B50E8C" w:rsidRDefault="00B50E8C">
      <w:pPr>
        <w:pBdr>
          <w:top w:val="nil"/>
          <w:left w:val="nil"/>
          <w:bottom w:val="nil"/>
          <w:right w:val="nil"/>
          <w:between w:val="nil"/>
        </w:pBdr>
        <w:jc w:val="both"/>
        <w:rPr>
          <w:rFonts w:ascii="Arial" w:eastAsia="Arial" w:hAnsi="Arial" w:cs="Arial"/>
          <w:color w:val="000000"/>
        </w:rPr>
      </w:pPr>
    </w:p>
    <w:p w14:paraId="4912A7BB" w14:textId="77777777" w:rsidR="00B50E8C" w:rsidRDefault="00B50E8C">
      <w:pPr>
        <w:keepNext/>
        <w:pBdr>
          <w:top w:val="nil"/>
          <w:left w:val="nil"/>
          <w:bottom w:val="nil"/>
          <w:right w:val="nil"/>
          <w:between w:val="nil"/>
        </w:pBdr>
        <w:jc w:val="both"/>
        <w:rPr>
          <w:rFonts w:ascii="Arial" w:eastAsia="Arial" w:hAnsi="Arial" w:cs="Arial"/>
          <w:b/>
          <w:bCs/>
          <w:smallCaps/>
          <w:sz w:val="22"/>
          <w:szCs w:val="22"/>
        </w:rPr>
      </w:pPr>
      <w:bookmarkStart w:id="40" w:name="_GoBack"/>
      <w:bookmarkEnd w:id="40"/>
    </w:p>
    <w:p w14:paraId="1A27DEB9" w14:textId="77777777" w:rsidR="002A4351" w:rsidRPr="002A4351" w:rsidRDefault="002A4351" w:rsidP="002A4351">
      <w:pPr>
        <w:spacing w:after="200" w:line="276" w:lineRule="auto"/>
        <w:rPr>
          <w:rFonts w:ascii="Arial" w:eastAsiaTheme="minorEastAsia" w:hAnsi="Arial" w:cs="Arial"/>
          <w:b/>
          <w:bCs/>
          <w:sz w:val="22"/>
          <w:szCs w:val="22"/>
          <w:lang w:val="en-GB" w:eastAsia="en-GB"/>
        </w:rPr>
      </w:pPr>
      <w:r w:rsidRPr="002A4351">
        <w:rPr>
          <w:rFonts w:ascii="Arial" w:eastAsiaTheme="minorEastAsia" w:hAnsi="Arial" w:cs="Arial"/>
          <w:b/>
          <w:bCs/>
          <w:sz w:val="22"/>
          <w:szCs w:val="22"/>
          <w:lang w:val="en-GB" w:eastAsia="en-GB"/>
        </w:rPr>
        <w:t>COMPETING INTERESTS DISCLAIMER:</w:t>
      </w:r>
    </w:p>
    <w:p w14:paraId="06983035" w14:textId="77777777" w:rsidR="002A4351" w:rsidRPr="002A4351" w:rsidRDefault="002A4351" w:rsidP="002A4351">
      <w:pPr>
        <w:spacing w:after="200" w:line="276" w:lineRule="auto"/>
        <w:rPr>
          <w:rFonts w:asciiTheme="minorHAnsi" w:eastAsiaTheme="minorEastAsia" w:hAnsiTheme="minorHAnsi" w:cstheme="minorBidi"/>
          <w:sz w:val="22"/>
          <w:szCs w:val="22"/>
          <w:lang w:val="en-GB" w:eastAsia="en-GB"/>
        </w:rPr>
      </w:pPr>
      <w:r w:rsidRPr="002A4351">
        <w:rPr>
          <w:rFonts w:ascii="Arial" w:eastAsiaTheme="minorEastAsia"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7907C0C" w14:textId="4C3B4DE3" w:rsidR="00B50E8C" w:rsidRDefault="00F37AE9">
      <w:pPr>
        <w:keepNext/>
        <w:pBdr>
          <w:top w:val="nil"/>
          <w:left w:val="nil"/>
          <w:bottom w:val="nil"/>
          <w:right w:val="nil"/>
          <w:between w:val="nil"/>
        </w:pBdr>
        <w:jc w:val="both"/>
        <w:rPr>
          <w:rFonts w:ascii="Arial" w:eastAsia="Arial" w:hAnsi="Arial" w:cs="Arial"/>
          <w:b/>
          <w:bCs/>
          <w:smallCaps/>
          <w:color w:val="FF0000"/>
          <w:sz w:val="22"/>
          <w:szCs w:val="22"/>
        </w:rPr>
      </w:pPr>
      <w:r>
        <w:br w:type="page"/>
      </w:r>
    </w:p>
    <w:p w14:paraId="5CF3CE4C" w14:textId="77777777" w:rsidR="00B50E8C" w:rsidRDefault="00F37AE9">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lastRenderedPageBreak/>
        <w:t>References</w:t>
      </w:r>
    </w:p>
    <w:p w14:paraId="103E0FB5" w14:textId="77777777" w:rsidR="00B50E8C" w:rsidRDefault="00B50E8C">
      <w:pPr>
        <w:keepNext/>
        <w:pBdr>
          <w:top w:val="nil"/>
          <w:left w:val="nil"/>
          <w:bottom w:val="nil"/>
          <w:right w:val="nil"/>
          <w:between w:val="nil"/>
        </w:pBdr>
        <w:jc w:val="both"/>
        <w:rPr>
          <w:rFonts w:ascii="Arial" w:eastAsia="Arial" w:hAnsi="Arial" w:cs="Arial"/>
          <w:b/>
          <w:bCs/>
          <w:smallCaps/>
          <w:color w:val="000000"/>
          <w:sz w:val="22"/>
          <w:szCs w:val="22"/>
        </w:rPr>
      </w:pPr>
    </w:p>
    <w:p w14:paraId="37ED3AEB" w14:textId="77777777" w:rsidR="00B50E8C" w:rsidRDefault="00F37AE9">
      <w:pPr>
        <w:pBdr>
          <w:top w:val="nil"/>
          <w:left w:val="nil"/>
          <w:bottom w:val="nil"/>
          <w:right w:val="nil"/>
          <w:between w:val="nil"/>
        </w:pBdr>
        <w:jc w:val="both"/>
        <w:rPr>
          <w:u w:val="single"/>
        </w:rPr>
      </w:pPr>
      <w:r>
        <w:rPr>
          <w:color w:val="000000"/>
        </w:rPr>
        <w:t xml:space="preserve">Abdulkareem, A. K., &amp; </w:t>
      </w:r>
      <w:proofErr w:type="spellStart"/>
      <w:r>
        <w:rPr>
          <w:color w:val="000000"/>
        </w:rPr>
        <w:t>Razlini</w:t>
      </w:r>
      <w:proofErr w:type="spellEnd"/>
      <w:r>
        <w:rPr>
          <w:color w:val="000000"/>
        </w:rPr>
        <w:t xml:space="preserve">, M. R. (2022). Does trust in e-government influence the performance of e-government? An integration of information system success model and public value theory. </w:t>
      </w:r>
      <w:r>
        <w:rPr>
          <w:i/>
          <w:iCs/>
          <w:color w:val="000000"/>
        </w:rPr>
        <w:t>Transforming Government: People, Process and Policy, 16</w:t>
      </w:r>
      <w:r>
        <w:rPr>
          <w:color w:val="000000"/>
        </w:rPr>
        <w:t>(1), 1–17.</w:t>
      </w:r>
      <w:hyperlink r:id="rId17">
        <w:r>
          <w:rPr>
            <w:color w:val="000000"/>
            <w:u w:val="single"/>
          </w:rPr>
          <w:t xml:space="preserve"> https://doi.org/10.1108/TG-01-2021-0001</w:t>
        </w:r>
      </w:hyperlink>
    </w:p>
    <w:p w14:paraId="22FA0AA3" w14:textId="77777777" w:rsidR="00B50E8C" w:rsidRDefault="00B50E8C">
      <w:pPr>
        <w:pBdr>
          <w:top w:val="nil"/>
          <w:left w:val="nil"/>
          <w:bottom w:val="nil"/>
          <w:right w:val="nil"/>
          <w:between w:val="nil"/>
        </w:pBdr>
        <w:jc w:val="both"/>
        <w:rPr>
          <w:u w:val="single"/>
        </w:rPr>
      </w:pPr>
    </w:p>
    <w:p w14:paraId="6D76CAB5" w14:textId="77777777" w:rsidR="00B50E8C" w:rsidRDefault="00F37AE9">
      <w:pPr>
        <w:pBdr>
          <w:top w:val="nil"/>
          <w:left w:val="nil"/>
          <w:bottom w:val="nil"/>
          <w:right w:val="nil"/>
          <w:between w:val="nil"/>
        </w:pBdr>
        <w:jc w:val="both"/>
        <w:rPr>
          <w:u w:val="single"/>
        </w:rPr>
      </w:pPr>
      <w:r>
        <w:rPr>
          <w:color w:val="000000"/>
        </w:rPr>
        <w:t xml:space="preserve">Aydın, İ., </w:t>
      </w:r>
      <w:proofErr w:type="spellStart"/>
      <w:r>
        <w:rPr>
          <w:color w:val="000000"/>
        </w:rPr>
        <w:t>Demirkasımoğlu</w:t>
      </w:r>
      <w:proofErr w:type="spellEnd"/>
      <w:r>
        <w:rPr>
          <w:color w:val="000000"/>
        </w:rPr>
        <w:t xml:space="preserve">, N., Güner Demir, T., &amp; </w:t>
      </w:r>
      <w:proofErr w:type="spellStart"/>
      <w:r>
        <w:rPr>
          <w:color w:val="000000"/>
        </w:rPr>
        <w:t>Erdemli</w:t>
      </w:r>
      <w:proofErr w:type="spellEnd"/>
      <w:r>
        <w:rPr>
          <w:color w:val="000000"/>
        </w:rPr>
        <w:t xml:space="preserve">, Ö. (2022). Teachers and school administrators on public service motivation and their relationship with work ethic attitudes. </w:t>
      </w:r>
      <w:proofErr w:type="spellStart"/>
      <w:r>
        <w:rPr>
          <w:i/>
          <w:iCs/>
          <w:color w:val="000000"/>
        </w:rPr>
        <w:t>Eğitim</w:t>
      </w:r>
      <w:proofErr w:type="spellEnd"/>
      <w:r>
        <w:rPr>
          <w:i/>
          <w:iCs/>
          <w:color w:val="000000"/>
        </w:rPr>
        <w:t xml:space="preserve"> </w:t>
      </w:r>
      <w:proofErr w:type="spellStart"/>
      <w:r>
        <w:rPr>
          <w:i/>
          <w:iCs/>
          <w:color w:val="000000"/>
        </w:rPr>
        <w:t>ve</w:t>
      </w:r>
      <w:proofErr w:type="spellEnd"/>
      <w:r>
        <w:rPr>
          <w:i/>
          <w:iCs/>
          <w:color w:val="000000"/>
        </w:rPr>
        <w:t xml:space="preserve"> </w:t>
      </w:r>
      <w:proofErr w:type="spellStart"/>
      <w:r>
        <w:rPr>
          <w:i/>
          <w:iCs/>
          <w:color w:val="000000"/>
        </w:rPr>
        <w:t>Bilim</w:t>
      </w:r>
      <w:proofErr w:type="spellEnd"/>
      <w:r>
        <w:rPr>
          <w:i/>
          <w:iCs/>
          <w:color w:val="000000"/>
        </w:rPr>
        <w:t>, 47</w:t>
      </w:r>
      <w:r>
        <w:rPr>
          <w:color w:val="000000"/>
        </w:rPr>
        <w:t>(209), 335–356.</w:t>
      </w:r>
      <w:hyperlink r:id="rId18">
        <w:r>
          <w:rPr>
            <w:color w:val="000000"/>
            <w:u w:val="single"/>
          </w:rPr>
          <w:t xml:space="preserve"> https://doi.org/10.15390/EB.2022.10838</w:t>
        </w:r>
      </w:hyperlink>
    </w:p>
    <w:p w14:paraId="014B6424" w14:textId="77777777" w:rsidR="00B50E8C" w:rsidRDefault="00B50E8C">
      <w:pPr>
        <w:pBdr>
          <w:top w:val="nil"/>
          <w:left w:val="nil"/>
          <w:bottom w:val="nil"/>
          <w:right w:val="nil"/>
          <w:between w:val="nil"/>
        </w:pBdr>
        <w:jc w:val="both"/>
        <w:rPr>
          <w:u w:val="single"/>
        </w:rPr>
      </w:pPr>
    </w:p>
    <w:p w14:paraId="444D5939" w14:textId="77777777" w:rsidR="00B50E8C" w:rsidRDefault="00F37AE9">
      <w:pPr>
        <w:pBdr>
          <w:top w:val="nil"/>
          <w:left w:val="nil"/>
          <w:bottom w:val="nil"/>
          <w:right w:val="nil"/>
          <w:between w:val="nil"/>
        </w:pBdr>
        <w:jc w:val="both"/>
        <w:rPr>
          <w:color w:val="000000"/>
        </w:rPr>
      </w:pPr>
      <w:r>
        <w:rPr>
          <w:color w:val="000000"/>
        </w:rPr>
        <w:t xml:space="preserve">Bouckaert, G., &amp; Van Dooren, W. (2009). </w:t>
      </w:r>
      <w:r>
        <w:rPr>
          <w:i/>
          <w:iCs/>
          <w:color w:val="000000"/>
        </w:rPr>
        <w:t>Performance measurement and management in public sector organizations</w:t>
      </w:r>
      <w:r>
        <w:rPr>
          <w:color w:val="000000"/>
        </w:rPr>
        <w:t>. Routledge.</w:t>
      </w:r>
    </w:p>
    <w:p w14:paraId="6664B69F" w14:textId="77777777" w:rsidR="00B50E8C" w:rsidRDefault="00B50E8C">
      <w:pPr>
        <w:pBdr>
          <w:top w:val="nil"/>
          <w:left w:val="nil"/>
          <w:bottom w:val="nil"/>
          <w:right w:val="nil"/>
          <w:between w:val="nil"/>
        </w:pBdr>
        <w:jc w:val="both"/>
      </w:pPr>
    </w:p>
    <w:p w14:paraId="40BEF20A" w14:textId="77777777" w:rsidR="00B50E8C" w:rsidRDefault="00F37AE9">
      <w:pPr>
        <w:pBdr>
          <w:top w:val="nil"/>
          <w:left w:val="nil"/>
          <w:bottom w:val="nil"/>
          <w:right w:val="nil"/>
          <w:between w:val="nil"/>
        </w:pBdr>
        <w:jc w:val="both"/>
        <w:rPr>
          <w:color w:val="000000"/>
        </w:rPr>
      </w:pPr>
      <w:r>
        <w:rPr>
          <w:color w:val="000000"/>
        </w:rPr>
        <w:t>Capell, B., &amp; Gabel-</w:t>
      </w:r>
      <w:proofErr w:type="spellStart"/>
      <w:r>
        <w:rPr>
          <w:color w:val="000000"/>
        </w:rPr>
        <w:t>Shemueli</w:t>
      </w:r>
      <w:proofErr w:type="spellEnd"/>
      <w:r>
        <w:rPr>
          <w:color w:val="000000"/>
        </w:rPr>
        <w:t xml:space="preserve">, R. (2013). Public sector values: Between the real and the ideal. </w:t>
      </w:r>
      <w:r>
        <w:rPr>
          <w:i/>
          <w:iCs/>
          <w:color w:val="000000"/>
        </w:rPr>
        <w:t>Cross Cultural Management, 20</w:t>
      </w:r>
      <w:r>
        <w:rPr>
          <w:color w:val="000000"/>
        </w:rPr>
        <w:t>(4), 586–606.</w:t>
      </w:r>
    </w:p>
    <w:p w14:paraId="78584245" w14:textId="77777777" w:rsidR="00B50E8C" w:rsidRDefault="00B50E8C">
      <w:pPr>
        <w:pBdr>
          <w:top w:val="nil"/>
          <w:left w:val="nil"/>
          <w:bottom w:val="nil"/>
          <w:right w:val="nil"/>
          <w:between w:val="nil"/>
        </w:pBdr>
        <w:jc w:val="both"/>
      </w:pPr>
    </w:p>
    <w:p w14:paraId="6CF34CB2" w14:textId="77777777" w:rsidR="00B50E8C" w:rsidRDefault="00F37AE9">
      <w:pPr>
        <w:pBdr>
          <w:top w:val="nil"/>
          <w:left w:val="nil"/>
          <w:bottom w:val="nil"/>
          <w:right w:val="nil"/>
          <w:between w:val="nil"/>
        </w:pBdr>
        <w:jc w:val="both"/>
        <w:rPr>
          <w:color w:val="000000"/>
        </w:rPr>
      </w:pPr>
      <w:r>
        <w:rPr>
          <w:color w:val="000000"/>
        </w:rPr>
        <w:t xml:space="preserve">Cooper, T. L. (2019). </w:t>
      </w:r>
      <w:r>
        <w:rPr>
          <w:i/>
          <w:iCs/>
          <w:color w:val="000000"/>
        </w:rPr>
        <w:t>The responsible public servant: Exploring the ethical dimensions of public administration</w:t>
      </w:r>
      <w:r>
        <w:rPr>
          <w:color w:val="000000"/>
        </w:rPr>
        <w:t>. Wiley.</w:t>
      </w:r>
    </w:p>
    <w:p w14:paraId="4CD23DC7" w14:textId="77777777" w:rsidR="00B50E8C" w:rsidRDefault="00B50E8C">
      <w:pPr>
        <w:pBdr>
          <w:top w:val="nil"/>
          <w:left w:val="nil"/>
          <w:bottom w:val="nil"/>
          <w:right w:val="nil"/>
          <w:between w:val="nil"/>
        </w:pBdr>
        <w:jc w:val="both"/>
      </w:pPr>
    </w:p>
    <w:p w14:paraId="3898D189" w14:textId="77777777" w:rsidR="00B50E8C" w:rsidRDefault="00F37AE9">
      <w:pPr>
        <w:pBdr>
          <w:top w:val="nil"/>
          <w:left w:val="nil"/>
          <w:bottom w:val="nil"/>
          <w:right w:val="nil"/>
          <w:between w:val="nil"/>
        </w:pBdr>
        <w:jc w:val="both"/>
        <w:rPr>
          <w:color w:val="000000"/>
        </w:rPr>
      </w:pPr>
      <w:r>
        <w:rPr>
          <w:color w:val="000000"/>
        </w:rPr>
        <w:t xml:space="preserve">Cruz, C. (2017). Exploring the role of cultural values in public service motivation: The case of the Philippines. </w:t>
      </w:r>
      <w:r>
        <w:rPr>
          <w:i/>
          <w:iCs/>
          <w:color w:val="000000"/>
        </w:rPr>
        <w:t>Philippine Journal of Public Administration, 61</w:t>
      </w:r>
      <w:r>
        <w:rPr>
          <w:color w:val="000000"/>
        </w:rPr>
        <w:t>(2), 43–61.</w:t>
      </w:r>
    </w:p>
    <w:p w14:paraId="59AB513B" w14:textId="77777777" w:rsidR="00B50E8C" w:rsidRDefault="00B50E8C">
      <w:pPr>
        <w:pBdr>
          <w:top w:val="nil"/>
          <w:left w:val="nil"/>
          <w:bottom w:val="nil"/>
          <w:right w:val="nil"/>
          <w:between w:val="nil"/>
        </w:pBdr>
        <w:jc w:val="both"/>
      </w:pPr>
    </w:p>
    <w:p w14:paraId="1C5823D2" w14:textId="77777777" w:rsidR="00B50E8C" w:rsidRDefault="00F37AE9">
      <w:pPr>
        <w:pBdr>
          <w:top w:val="nil"/>
          <w:left w:val="nil"/>
          <w:bottom w:val="nil"/>
          <w:right w:val="nil"/>
          <w:between w:val="nil"/>
        </w:pBdr>
        <w:jc w:val="both"/>
        <w:rPr>
          <w:color w:val="000000"/>
        </w:rPr>
      </w:pPr>
      <w:r>
        <w:rPr>
          <w:color w:val="000000"/>
        </w:rPr>
        <w:t xml:space="preserve">Denhardt, J. V., &amp; Denhardt, R. B. (2011). </w:t>
      </w:r>
      <w:r>
        <w:rPr>
          <w:i/>
          <w:iCs/>
          <w:color w:val="000000"/>
        </w:rPr>
        <w:t>The new public service: Serving, not steering</w:t>
      </w:r>
      <w:r>
        <w:rPr>
          <w:color w:val="000000"/>
        </w:rPr>
        <w:t>. M.E. Sharpe.</w:t>
      </w:r>
    </w:p>
    <w:p w14:paraId="7C62EB87" w14:textId="77777777" w:rsidR="00B50E8C" w:rsidRDefault="00B50E8C">
      <w:pPr>
        <w:pBdr>
          <w:top w:val="nil"/>
          <w:left w:val="nil"/>
          <w:bottom w:val="nil"/>
          <w:right w:val="nil"/>
          <w:between w:val="nil"/>
        </w:pBdr>
        <w:jc w:val="both"/>
      </w:pPr>
    </w:p>
    <w:p w14:paraId="79F29BBE" w14:textId="77777777" w:rsidR="00B50E8C" w:rsidRDefault="00F37AE9">
      <w:pPr>
        <w:pBdr>
          <w:top w:val="nil"/>
          <w:left w:val="nil"/>
          <w:bottom w:val="nil"/>
          <w:right w:val="nil"/>
          <w:between w:val="nil"/>
        </w:pBdr>
        <w:jc w:val="both"/>
        <w:rPr>
          <w:color w:val="000000"/>
        </w:rPr>
      </w:pPr>
      <w:r>
        <w:rPr>
          <w:color w:val="000000"/>
        </w:rPr>
        <w:t xml:space="preserve">Demir, T., Reddick, C. G., &amp; Nank, R. (2015). The relationship between public service values and administrative involvement in policymaking. </w:t>
      </w:r>
      <w:r>
        <w:rPr>
          <w:i/>
          <w:iCs/>
          <w:color w:val="000000"/>
        </w:rPr>
        <w:t>Public Organization Review, 15</w:t>
      </w:r>
      <w:r>
        <w:rPr>
          <w:color w:val="000000"/>
        </w:rPr>
        <w:t>(1), 79–98.</w:t>
      </w:r>
    </w:p>
    <w:p w14:paraId="6B4DB20B" w14:textId="77777777" w:rsidR="00B50E8C" w:rsidRDefault="00B50E8C">
      <w:pPr>
        <w:pBdr>
          <w:top w:val="nil"/>
          <w:left w:val="nil"/>
          <w:bottom w:val="nil"/>
          <w:right w:val="nil"/>
          <w:between w:val="nil"/>
        </w:pBdr>
        <w:jc w:val="both"/>
      </w:pPr>
    </w:p>
    <w:p w14:paraId="1EB4511A" w14:textId="77777777" w:rsidR="00B50E8C" w:rsidRDefault="00F37AE9">
      <w:pPr>
        <w:pBdr>
          <w:top w:val="nil"/>
          <w:left w:val="nil"/>
          <w:bottom w:val="nil"/>
          <w:right w:val="nil"/>
          <w:between w:val="nil"/>
        </w:pBdr>
        <w:jc w:val="both"/>
        <w:rPr>
          <w:color w:val="000000"/>
        </w:rPr>
      </w:pPr>
      <w:r>
        <w:rPr>
          <w:color w:val="000000"/>
        </w:rPr>
        <w:t xml:space="preserve">Jørgensen, T. B., &amp; Bozeman, B. (2007). Public values: An inventory. </w:t>
      </w:r>
      <w:r>
        <w:rPr>
          <w:i/>
          <w:iCs/>
          <w:color w:val="000000"/>
        </w:rPr>
        <w:t>Administration &amp; Society, 39</w:t>
      </w:r>
      <w:r>
        <w:rPr>
          <w:color w:val="000000"/>
        </w:rPr>
        <w:t>(3), 354–381.</w:t>
      </w:r>
    </w:p>
    <w:p w14:paraId="069804BA" w14:textId="77777777" w:rsidR="00B50E8C" w:rsidRDefault="00B50E8C">
      <w:pPr>
        <w:pBdr>
          <w:top w:val="nil"/>
          <w:left w:val="nil"/>
          <w:bottom w:val="nil"/>
          <w:right w:val="nil"/>
          <w:between w:val="nil"/>
        </w:pBdr>
        <w:jc w:val="both"/>
      </w:pPr>
    </w:p>
    <w:p w14:paraId="10FA027B" w14:textId="77777777" w:rsidR="00B50E8C" w:rsidRDefault="00F37AE9">
      <w:pPr>
        <w:pBdr>
          <w:top w:val="nil"/>
          <w:left w:val="nil"/>
          <w:bottom w:val="nil"/>
          <w:right w:val="nil"/>
          <w:between w:val="nil"/>
        </w:pBdr>
        <w:jc w:val="both"/>
        <w:rPr>
          <w:color w:val="000000"/>
        </w:rPr>
      </w:pPr>
      <w:r>
        <w:rPr>
          <w:color w:val="000000"/>
        </w:rPr>
        <w:t xml:space="preserve">Kim, S. (2009). Exploring the relationship between public service motivation and ethical behavior. </w:t>
      </w:r>
      <w:r>
        <w:rPr>
          <w:i/>
          <w:iCs/>
          <w:color w:val="000000"/>
        </w:rPr>
        <w:t>Journal of Public Administration Research and Theory, 19</w:t>
      </w:r>
      <w:r>
        <w:rPr>
          <w:color w:val="000000"/>
        </w:rPr>
        <w:t>(3), 515–529.</w:t>
      </w:r>
    </w:p>
    <w:p w14:paraId="623DD0EB" w14:textId="77777777" w:rsidR="00B50E8C" w:rsidRDefault="00B50E8C">
      <w:pPr>
        <w:pBdr>
          <w:top w:val="nil"/>
          <w:left w:val="nil"/>
          <w:bottom w:val="nil"/>
          <w:right w:val="nil"/>
          <w:between w:val="nil"/>
        </w:pBdr>
        <w:jc w:val="both"/>
      </w:pPr>
    </w:p>
    <w:p w14:paraId="7884B5F6" w14:textId="77777777" w:rsidR="00B50E8C" w:rsidRDefault="00F37AE9">
      <w:pPr>
        <w:pBdr>
          <w:top w:val="nil"/>
          <w:left w:val="nil"/>
          <w:bottom w:val="nil"/>
          <w:right w:val="nil"/>
          <w:between w:val="nil"/>
        </w:pBdr>
        <w:jc w:val="both"/>
        <w:rPr>
          <w:color w:val="000000"/>
        </w:rPr>
      </w:pPr>
      <w:r>
        <w:rPr>
          <w:color w:val="000000"/>
        </w:rPr>
        <w:t xml:space="preserve">Kernaghan, K. (2003). Integrating values into public service. </w:t>
      </w:r>
      <w:r>
        <w:rPr>
          <w:i/>
          <w:iCs/>
          <w:color w:val="000000"/>
        </w:rPr>
        <w:t>Public Administration Review, 63</w:t>
      </w:r>
      <w:r>
        <w:rPr>
          <w:color w:val="000000"/>
        </w:rPr>
        <w:t>(6), 711–719.</w:t>
      </w:r>
    </w:p>
    <w:p w14:paraId="1645A278" w14:textId="77777777" w:rsidR="00B50E8C" w:rsidRDefault="00B50E8C">
      <w:pPr>
        <w:pBdr>
          <w:top w:val="nil"/>
          <w:left w:val="nil"/>
          <w:bottom w:val="nil"/>
          <w:right w:val="nil"/>
          <w:between w:val="nil"/>
        </w:pBdr>
        <w:jc w:val="both"/>
      </w:pPr>
    </w:p>
    <w:p w14:paraId="08769211" w14:textId="77777777" w:rsidR="00B50E8C" w:rsidRDefault="00F37AE9">
      <w:pPr>
        <w:pBdr>
          <w:top w:val="nil"/>
          <w:left w:val="nil"/>
          <w:bottom w:val="nil"/>
          <w:right w:val="nil"/>
          <w:between w:val="nil"/>
        </w:pBdr>
        <w:jc w:val="both"/>
        <w:rPr>
          <w:color w:val="000000"/>
        </w:rPr>
      </w:pPr>
      <w:r>
        <w:rPr>
          <w:color w:val="000000"/>
        </w:rPr>
        <w:t xml:space="preserve">Lee, H. J., Min, K. R., Min, Y. K., &amp; Park, S. M. (2022). The impact of entrepreneurial leadership and ethical climate on public service motivation. </w:t>
      </w:r>
      <w:r>
        <w:rPr>
          <w:i/>
          <w:iCs/>
          <w:color w:val="000000"/>
        </w:rPr>
        <w:t>Sustainability, 14</w:t>
      </w:r>
      <w:r>
        <w:rPr>
          <w:color w:val="000000"/>
        </w:rPr>
        <w:t>(21), 14162.</w:t>
      </w:r>
    </w:p>
    <w:p w14:paraId="47CE39B1" w14:textId="77777777" w:rsidR="00B50E8C" w:rsidRDefault="00B50E8C">
      <w:pPr>
        <w:pBdr>
          <w:top w:val="nil"/>
          <w:left w:val="nil"/>
          <w:bottom w:val="nil"/>
          <w:right w:val="nil"/>
          <w:between w:val="nil"/>
        </w:pBdr>
        <w:jc w:val="both"/>
      </w:pPr>
    </w:p>
    <w:p w14:paraId="4D8818E3" w14:textId="77777777" w:rsidR="00B50E8C" w:rsidRDefault="00F37AE9">
      <w:pPr>
        <w:pBdr>
          <w:top w:val="nil"/>
          <w:left w:val="nil"/>
          <w:bottom w:val="nil"/>
          <w:right w:val="nil"/>
          <w:between w:val="nil"/>
        </w:pBdr>
        <w:jc w:val="both"/>
        <w:rPr>
          <w:color w:val="000000"/>
        </w:rPr>
      </w:pPr>
      <w:r>
        <w:rPr>
          <w:color w:val="000000"/>
        </w:rPr>
        <w:t xml:space="preserve">Martinez, S., &amp; De Leon, C. (2022). Patriotism, integrity, and spirituality in public administration: A Philippine perspective. </w:t>
      </w:r>
      <w:r>
        <w:rPr>
          <w:i/>
          <w:iCs/>
          <w:color w:val="000000"/>
        </w:rPr>
        <w:t>Philippine Governance Review, 20</w:t>
      </w:r>
      <w:r>
        <w:rPr>
          <w:color w:val="000000"/>
        </w:rPr>
        <w:t>(1), 85–102.</w:t>
      </w:r>
    </w:p>
    <w:p w14:paraId="792F9148" w14:textId="77777777" w:rsidR="00B50E8C" w:rsidRDefault="00B50E8C">
      <w:pPr>
        <w:pBdr>
          <w:top w:val="nil"/>
          <w:left w:val="nil"/>
          <w:bottom w:val="nil"/>
          <w:right w:val="nil"/>
          <w:between w:val="nil"/>
        </w:pBdr>
        <w:jc w:val="both"/>
      </w:pPr>
    </w:p>
    <w:p w14:paraId="30E568AD" w14:textId="77777777" w:rsidR="00B50E8C" w:rsidRDefault="00F37AE9">
      <w:pPr>
        <w:pBdr>
          <w:top w:val="nil"/>
          <w:left w:val="nil"/>
          <w:bottom w:val="nil"/>
          <w:right w:val="nil"/>
          <w:between w:val="nil"/>
        </w:pBdr>
        <w:jc w:val="both"/>
        <w:rPr>
          <w:color w:val="000000"/>
        </w:rPr>
      </w:pPr>
      <w:proofErr w:type="spellStart"/>
      <w:r>
        <w:rPr>
          <w:color w:val="000000"/>
        </w:rPr>
        <w:t>Masukela</w:t>
      </w:r>
      <w:proofErr w:type="spellEnd"/>
      <w:r>
        <w:rPr>
          <w:color w:val="000000"/>
        </w:rPr>
        <w:t xml:space="preserve">, P. M., Jonck, P., &amp; Botha, P. A. (2023). Impact of public service motivation on work evaluation and counterproductive work </w:t>
      </w:r>
      <w:proofErr w:type="spellStart"/>
      <w:r>
        <w:rPr>
          <w:color w:val="000000"/>
        </w:rPr>
        <w:t>behaviour</w:t>
      </w:r>
      <w:proofErr w:type="spellEnd"/>
      <w:r>
        <w:rPr>
          <w:color w:val="000000"/>
        </w:rPr>
        <w:t xml:space="preserve">. </w:t>
      </w:r>
      <w:r>
        <w:rPr>
          <w:i/>
          <w:iCs/>
          <w:color w:val="000000"/>
        </w:rPr>
        <w:t>SA Journal of Human Resource Management, 21</w:t>
      </w:r>
      <w:r>
        <w:rPr>
          <w:color w:val="000000"/>
        </w:rPr>
        <w:t>.</w:t>
      </w:r>
    </w:p>
    <w:p w14:paraId="6BED6F84" w14:textId="77777777" w:rsidR="00B50E8C" w:rsidRDefault="00B50E8C">
      <w:pPr>
        <w:pBdr>
          <w:top w:val="nil"/>
          <w:left w:val="nil"/>
          <w:bottom w:val="nil"/>
          <w:right w:val="nil"/>
          <w:between w:val="nil"/>
        </w:pBdr>
        <w:jc w:val="both"/>
      </w:pPr>
    </w:p>
    <w:p w14:paraId="0EDBFD6A" w14:textId="77777777" w:rsidR="00B50E8C" w:rsidRDefault="00F37AE9">
      <w:pPr>
        <w:pBdr>
          <w:top w:val="nil"/>
          <w:left w:val="nil"/>
          <w:bottom w:val="nil"/>
          <w:right w:val="nil"/>
          <w:between w:val="nil"/>
        </w:pBdr>
        <w:jc w:val="both"/>
        <w:rPr>
          <w:color w:val="000000"/>
        </w:rPr>
      </w:pPr>
      <w:r>
        <w:rPr>
          <w:color w:val="000000"/>
        </w:rPr>
        <w:lastRenderedPageBreak/>
        <w:t xml:space="preserve">Ocampo, D. S. (2019). Patriotism in Philippine public service. </w:t>
      </w:r>
      <w:r>
        <w:rPr>
          <w:i/>
          <w:iCs/>
          <w:color w:val="000000"/>
        </w:rPr>
        <w:t>Asian Journal of Public Administration, 15</w:t>
      </w:r>
      <w:r>
        <w:rPr>
          <w:color w:val="000000"/>
        </w:rPr>
        <w:t>(4), 142–159.</w:t>
      </w:r>
    </w:p>
    <w:p w14:paraId="289572B2" w14:textId="77777777" w:rsidR="00B50E8C" w:rsidRDefault="00B50E8C">
      <w:pPr>
        <w:pBdr>
          <w:top w:val="nil"/>
          <w:left w:val="nil"/>
          <w:bottom w:val="nil"/>
          <w:right w:val="nil"/>
          <w:between w:val="nil"/>
        </w:pBdr>
        <w:jc w:val="both"/>
      </w:pPr>
    </w:p>
    <w:p w14:paraId="085DF06F" w14:textId="77777777" w:rsidR="00B50E8C" w:rsidRDefault="00F37AE9">
      <w:pPr>
        <w:pBdr>
          <w:top w:val="nil"/>
          <w:left w:val="nil"/>
          <w:bottom w:val="nil"/>
          <w:right w:val="nil"/>
          <w:between w:val="nil"/>
        </w:pBdr>
        <w:jc w:val="both"/>
        <w:rPr>
          <w:color w:val="000000"/>
        </w:rPr>
      </w:pPr>
      <w:proofErr w:type="spellStart"/>
      <w:r>
        <w:rPr>
          <w:color w:val="000000"/>
        </w:rPr>
        <w:t>Omurgonulsen</w:t>
      </w:r>
      <w:proofErr w:type="spellEnd"/>
      <w:r>
        <w:rPr>
          <w:color w:val="000000"/>
        </w:rPr>
        <w:t xml:space="preserve">, U., &amp; </w:t>
      </w:r>
      <w:proofErr w:type="spellStart"/>
      <w:r>
        <w:rPr>
          <w:color w:val="000000"/>
        </w:rPr>
        <w:t>Oktem</w:t>
      </w:r>
      <w:proofErr w:type="spellEnd"/>
      <w:r>
        <w:rPr>
          <w:color w:val="000000"/>
        </w:rPr>
        <w:t xml:space="preserve">, M. K. (2009). Is there any change in the public service values of different generations? </w:t>
      </w:r>
      <w:r>
        <w:rPr>
          <w:i/>
          <w:iCs/>
          <w:color w:val="000000"/>
        </w:rPr>
        <w:t>Journal of Business Ethics, 88</w:t>
      </w:r>
      <w:r>
        <w:rPr>
          <w:color w:val="000000"/>
        </w:rPr>
        <w:t>(1), 137–156.</w:t>
      </w:r>
    </w:p>
    <w:p w14:paraId="16DD76AB" w14:textId="77777777" w:rsidR="00B50E8C" w:rsidRDefault="00B50E8C">
      <w:pPr>
        <w:pBdr>
          <w:top w:val="nil"/>
          <w:left w:val="nil"/>
          <w:bottom w:val="nil"/>
          <w:right w:val="nil"/>
          <w:between w:val="nil"/>
        </w:pBdr>
        <w:jc w:val="both"/>
      </w:pPr>
    </w:p>
    <w:p w14:paraId="491E3545" w14:textId="77777777" w:rsidR="00B50E8C" w:rsidRDefault="00F37AE9">
      <w:pPr>
        <w:pBdr>
          <w:top w:val="nil"/>
          <w:left w:val="nil"/>
          <w:bottom w:val="nil"/>
          <w:right w:val="nil"/>
          <w:between w:val="nil"/>
        </w:pBdr>
        <w:jc w:val="both"/>
        <w:rPr>
          <w:color w:val="000000"/>
        </w:rPr>
      </w:pPr>
      <w:r>
        <w:rPr>
          <w:color w:val="000000"/>
        </w:rPr>
        <w:t xml:space="preserve">Perry, J. L. (2010). Motivation in public organizations: A new perspective. </w:t>
      </w:r>
      <w:r>
        <w:rPr>
          <w:i/>
          <w:iCs/>
          <w:color w:val="000000"/>
        </w:rPr>
        <w:t>Public Administration Review, 70</w:t>
      </w:r>
      <w:r>
        <w:rPr>
          <w:color w:val="000000"/>
        </w:rPr>
        <w:t>(3), 507–514.</w:t>
      </w:r>
    </w:p>
    <w:p w14:paraId="26EE65EB" w14:textId="77777777" w:rsidR="00B50E8C" w:rsidRDefault="00B50E8C">
      <w:pPr>
        <w:pBdr>
          <w:top w:val="nil"/>
          <w:left w:val="nil"/>
          <w:bottom w:val="nil"/>
          <w:right w:val="nil"/>
          <w:between w:val="nil"/>
        </w:pBdr>
        <w:jc w:val="both"/>
      </w:pPr>
    </w:p>
    <w:p w14:paraId="22C8B7A6" w14:textId="77777777" w:rsidR="00B50E8C" w:rsidRDefault="00F37AE9">
      <w:pPr>
        <w:pBdr>
          <w:top w:val="nil"/>
          <w:left w:val="nil"/>
          <w:bottom w:val="nil"/>
          <w:right w:val="nil"/>
          <w:between w:val="nil"/>
        </w:pBdr>
        <w:jc w:val="both"/>
        <w:rPr>
          <w:color w:val="000000"/>
        </w:rPr>
      </w:pPr>
      <w:r>
        <w:rPr>
          <w:color w:val="000000"/>
        </w:rPr>
        <w:t xml:space="preserve">Perry, J. L., &amp; Wise, L. R. (1990). The motivational bases of public service. </w:t>
      </w:r>
      <w:r>
        <w:rPr>
          <w:i/>
          <w:iCs/>
          <w:color w:val="000000"/>
        </w:rPr>
        <w:t>Public Administration Review, 50</w:t>
      </w:r>
      <w:r>
        <w:rPr>
          <w:color w:val="000000"/>
        </w:rPr>
        <w:t>(3), 367–373.</w:t>
      </w:r>
    </w:p>
    <w:p w14:paraId="093A1587" w14:textId="77777777" w:rsidR="00B50E8C" w:rsidRDefault="00B50E8C">
      <w:pPr>
        <w:pBdr>
          <w:top w:val="nil"/>
          <w:left w:val="nil"/>
          <w:bottom w:val="nil"/>
          <w:right w:val="nil"/>
          <w:between w:val="nil"/>
        </w:pBdr>
        <w:jc w:val="both"/>
      </w:pPr>
    </w:p>
    <w:p w14:paraId="145894B1" w14:textId="77777777" w:rsidR="00B50E8C" w:rsidRDefault="00F37AE9">
      <w:pPr>
        <w:pBdr>
          <w:top w:val="nil"/>
          <w:left w:val="nil"/>
          <w:bottom w:val="nil"/>
          <w:right w:val="nil"/>
          <w:between w:val="nil"/>
        </w:pBdr>
        <w:jc w:val="both"/>
        <w:rPr>
          <w:color w:val="000000"/>
        </w:rPr>
      </w:pPr>
      <w:r>
        <w:rPr>
          <w:color w:val="000000"/>
        </w:rPr>
        <w:t xml:space="preserve">Ponce, P., &amp; Lanuza, J. (2019). Public service motivation and job satisfaction among Filipino public servants. </w:t>
      </w:r>
      <w:r>
        <w:rPr>
          <w:i/>
          <w:iCs/>
          <w:color w:val="000000"/>
        </w:rPr>
        <w:t>Philippine Journal of Public Administration, 63</w:t>
      </w:r>
      <w:r>
        <w:rPr>
          <w:color w:val="000000"/>
        </w:rPr>
        <w:t>(1), 1–24.</w:t>
      </w:r>
    </w:p>
    <w:p w14:paraId="254D0A11" w14:textId="77777777" w:rsidR="00B50E8C" w:rsidRDefault="00B50E8C">
      <w:pPr>
        <w:pBdr>
          <w:top w:val="nil"/>
          <w:left w:val="nil"/>
          <w:bottom w:val="nil"/>
          <w:right w:val="nil"/>
          <w:between w:val="nil"/>
        </w:pBdr>
        <w:jc w:val="both"/>
      </w:pPr>
    </w:p>
    <w:p w14:paraId="1787F7C2" w14:textId="77777777" w:rsidR="00B50E8C" w:rsidRDefault="00F37AE9">
      <w:pPr>
        <w:pBdr>
          <w:top w:val="nil"/>
          <w:left w:val="nil"/>
          <w:bottom w:val="nil"/>
          <w:right w:val="nil"/>
          <w:between w:val="nil"/>
        </w:pBdr>
        <w:jc w:val="both"/>
        <w:rPr>
          <w:color w:val="000000"/>
        </w:rPr>
      </w:pPr>
      <w:r>
        <w:rPr>
          <w:color w:val="000000"/>
        </w:rPr>
        <w:t xml:space="preserve">Rainey, H. G. (2009). </w:t>
      </w:r>
      <w:r>
        <w:rPr>
          <w:i/>
          <w:iCs/>
          <w:color w:val="000000"/>
        </w:rPr>
        <w:t>Understanding and managing public organizations</w:t>
      </w:r>
      <w:r>
        <w:rPr>
          <w:color w:val="000000"/>
        </w:rPr>
        <w:t>. Jossey-Bass.</w:t>
      </w:r>
    </w:p>
    <w:p w14:paraId="56388F30" w14:textId="77777777" w:rsidR="00B50E8C" w:rsidRDefault="00B50E8C">
      <w:pPr>
        <w:pBdr>
          <w:top w:val="nil"/>
          <w:left w:val="nil"/>
          <w:bottom w:val="nil"/>
          <w:right w:val="nil"/>
          <w:between w:val="nil"/>
        </w:pBdr>
        <w:jc w:val="both"/>
      </w:pPr>
    </w:p>
    <w:p w14:paraId="52DA09BD" w14:textId="77777777" w:rsidR="00B50E8C" w:rsidRDefault="00F37AE9">
      <w:pPr>
        <w:pBdr>
          <w:top w:val="nil"/>
          <w:left w:val="nil"/>
          <w:bottom w:val="nil"/>
          <w:right w:val="nil"/>
          <w:between w:val="nil"/>
        </w:pBdr>
        <w:jc w:val="both"/>
        <w:rPr>
          <w:color w:val="000000"/>
        </w:rPr>
      </w:pPr>
      <w:r>
        <w:rPr>
          <w:color w:val="000000"/>
        </w:rPr>
        <w:t xml:space="preserve">Ritz, A. (2011). Public service motivation and organizational performance in Swiss federal agencies. </w:t>
      </w:r>
      <w:r>
        <w:rPr>
          <w:i/>
          <w:iCs/>
          <w:color w:val="000000"/>
        </w:rPr>
        <w:t>International Review of Administrative Sciences, 77</w:t>
      </w:r>
      <w:r>
        <w:rPr>
          <w:color w:val="000000"/>
        </w:rPr>
        <w:t>(3), 451–477. https://doi.org/10.1177/0020852311405950</w:t>
      </w:r>
    </w:p>
    <w:p w14:paraId="11B487AE" w14:textId="77777777" w:rsidR="00B50E8C" w:rsidRDefault="00B50E8C">
      <w:pPr>
        <w:pBdr>
          <w:top w:val="nil"/>
          <w:left w:val="nil"/>
          <w:bottom w:val="nil"/>
          <w:right w:val="nil"/>
          <w:between w:val="nil"/>
        </w:pBdr>
        <w:jc w:val="both"/>
      </w:pPr>
    </w:p>
    <w:p w14:paraId="55C5E6E4" w14:textId="77777777" w:rsidR="00B50E8C" w:rsidRDefault="00F37AE9">
      <w:pPr>
        <w:pBdr>
          <w:top w:val="nil"/>
          <w:left w:val="nil"/>
          <w:bottom w:val="nil"/>
          <w:right w:val="nil"/>
          <w:between w:val="nil"/>
        </w:pBdr>
        <w:jc w:val="both"/>
        <w:rPr>
          <w:color w:val="000000"/>
        </w:rPr>
      </w:pPr>
      <w:r>
        <w:rPr>
          <w:color w:val="000000"/>
        </w:rPr>
        <w:t xml:space="preserve">Rosenbloom, D. H. (2020). </w:t>
      </w:r>
      <w:r>
        <w:rPr>
          <w:i/>
          <w:iCs/>
          <w:color w:val="000000"/>
        </w:rPr>
        <w:t>Public service values and democratic governance: An introduction</w:t>
      </w:r>
      <w:r>
        <w:rPr>
          <w:color w:val="000000"/>
        </w:rPr>
        <w:t>. Routledge.</w:t>
      </w:r>
    </w:p>
    <w:p w14:paraId="24379A03" w14:textId="77777777" w:rsidR="00B50E8C" w:rsidRDefault="00B50E8C">
      <w:pPr>
        <w:pBdr>
          <w:top w:val="nil"/>
          <w:left w:val="nil"/>
          <w:bottom w:val="nil"/>
          <w:right w:val="nil"/>
          <w:between w:val="nil"/>
        </w:pBdr>
        <w:jc w:val="both"/>
      </w:pPr>
    </w:p>
    <w:p w14:paraId="041C2F1F" w14:textId="77777777" w:rsidR="00B50E8C" w:rsidRDefault="00F37AE9">
      <w:pPr>
        <w:pBdr>
          <w:top w:val="nil"/>
          <w:left w:val="nil"/>
          <w:bottom w:val="nil"/>
          <w:right w:val="nil"/>
          <w:between w:val="nil"/>
        </w:pBdr>
        <w:jc w:val="both"/>
        <w:rPr>
          <w:color w:val="000000"/>
        </w:rPr>
      </w:pPr>
      <w:r>
        <w:rPr>
          <w:color w:val="000000"/>
        </w:rPr>
        <w:t xml:space="preserve">Schein, E. H. (2010). </w:t>
      </w:r>
      <w:r>
        <w:rPr>
          <w:i/>
          <w:iCs/>
          <w:color w:val="000000"/>
        </w:rPr>
        <w:t>Organizational culture and leadership</w:t>
      </w:r>
      <w:r>
        <w:rPr>
          <w:color w:val="000000"/>
        </w:rPr>
        <w:t xml:space="preserve"> (4th ed.). Jossey-Bass.</w:t>
      </w:r>
    </w:p>
    <w:p w14:paraId="48487D6C" w14:textId="77777777" w:rsidR="00B50E8C" w:rsidRDefault="00B50E8C">
      <w:pPr>
        <w:pBdr>
          <w:top w:val="nil"/>
          <w:left w:val="nil"/>
          <w:bottom w:val="nil"/>
          <w:right w:val="nil"/>
          <w:between w:val="nil"/>
        </w:pBdr>
        <w:jc w:val="both"/>
      </w:pPr>
    </w:p>
    <w:p w14:paraId="200064D0" w14:textId="77777777" w:rsidR="00B50E8C" w:rsidRDefault="00F37AE9">
      <w:pPr>
        <w:pBdr>
          <w:top w:val="nil"/>
          <w:left w:val="nil"/>
          <w:bottom w:val="nil"/>
          <w:right w:val="nil"/>
          <w:between w:val="nil"/>
        </w:pBdr>
        <w:jc w:val="both"/>
        <w:rPr>
          <w:color w:val="000000"/>
        </w:rPr>
      </w:pPr>
      <w:r>
        <w:rPr>
          <w:color w:val="000000"/>
        </w:rPr>
        <w:t xml:space="preserve">Warner, R. M. (2021). </w:t>
      </w:r>
      <w:r>
        <w:rPr>
          <w:i/>
          <w:iCs/>
          <w:color w:val="000000"/>
        </w:rPr>
        <w:t>Applied statistics: From bivariate through multivariate techniques</w:t>
      </w:r>
      <w:r>
        <w:rPr>
          <w:color w:val="000000"/>
        </w:rPr>
        <w:t xml:space="preserve"> (3rd ed.). SAGE Publications.</w:t>
      </w:r>
    </w:p>
    <w:p w14:paraId="4A284B77" w14:textId="77777777" w:rsidR="00B50E8C" w:rsidRDefault="00B50E8C">
      <w:pPr>
        <w:pBdr>
          <w:top w:val="nil"/>
          <w:left w:val="nil"/>
          <w:bottom w:val="nil"/>
          <w:right w:val="nil"/>
          <w:between w:val="nil"/>
        </w:pBdr>
        <w:jc w:val="both"/>
      </w:pPr>
    </w:p>
    <w:p w14:paraId="06E3EE26" w14:textId="77777777" w:rsidR="00B50E8C" w:rsidRDefault="00F37AE9">
      <w:pPr>
        <w:pBdr>
          <w:top w:val="nil"/>
          <w:left w:val="nil"/>
          <w:bottom w:val="nil"/>
          <w:right w:val="nil"/>
          <w:between w:val="nil"/>
        </w:pBdr>
        <w:jc w:val="both"/>
        <w:rPr>
          <w:rFonts w:ascii="Arial" w:eastAsia="Arial" w:hAnsi="Arial" w:cs="Arial"/>
          <w:smallCaps/>
          <w:sz w:val="22"/>
          <w:szCs w:val="22"/>
        </w:rPr>
      </w:pPr>
      <w:r>
        <w:rPr>
          <w:color w:val="000000"/>
        </w:rPr>
        <w:t xml:space="preserve">Wright, B. E., &amp; Pandey, S. K. (2008). Antecedents and consequences of public service motivation. </w:t>
      </w:r>
      <w:r>
        <w:rPr>
          <w:i/>
          <w:iCs/>
          <w:color w:val="000000"/>
        </w:rPr>
        <w:t>Public Administration Review, 68</w:t>
      </w:r>
      <w:r>
        <w:rPr>
          <w:color w:val="000000"/>
        </w:rPr>
        <w:t>(3)</w:t>
      </w:r>
      <w:r>
        <w:t>, 447–456.</w:t>
      </w:r>
    </w:p>
    <w:sectPr w:rsidR="00B50E8C" w:rsidSect="0081386F">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217DA" w14:textId="77777777" w:rsidR="00C569B9" w:rsidRDefault="00C569B9">
      <w:r>
        <w:separator/>
      </w:r>
    </w:p>
  </w:endnote>
  <w:endnote w:type="continuationSeparator" w:id="0">
    <w:p w14:paraId="0B4AD79E" w14:textId="77777777" w:rsidR="00C569B9" w:rsidRDefault="00C56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FE6953CF-4B0E-494B-84D6-C45AFEA72F8C}"/>
    <w:embedBold r:id="rId2" w:fontKey="{07BAED53-02AC-473A-A34D-F4E0AC27FD93}"/>
    <w:embedItalic r:id="rId3" w:fontKey="{60C75070-E4C9-4520-9CB9-69B51307396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454D7F2-9F9D-4E60-B039-72470CDEEDAA}"/>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75067E3A-FFC0-4103-B5E3-27567559CD5B}"/>
  </w:font>
  <w:font w:name="Helvetica">
    <w:panose1 w:val="020B0604020202020204"/>
    <w:charset w:val="00"/>
    <w:family w:val="swiss"/>
    <w:pitch w:val="variable"/>
    <w:sig w:usb0="E0002EFF" w:usb1="C000785B" w:usb2="00000009" w:usb3="00000000" w:csb0="000001FF" w:csb1="00000000"/>
    <w:embedRegular r:id="rId6" w:fontKey="{B3E41342-675E-445B-B1F7-A824A22DED77}"/>
  </w:font>
  <w:font w:name="Tahoma">
    <w:panose1 w:val="020B0604030504040204"/>
    <w:charset w:val="00"/>
    <w:family w:val="swiss"/>
    <w:pitch w:val="variable"/>
    <w:sig w:usb0="E1002EFF" w:usb1="C000605B" w:usb2="00000029" w:usb3="00000000" w:csb0="000101FF" w:csb1="00000000"/>
    <w:embedRegular r:id="rId7" w:fontKey="{363B8892-71D2-452C-9046-9A18C1CF9E54}"/>
  </w:font>
  <w:font w:name="Georgia">
    <w:panose1 w:val="02040502050405020303"/>
    <w:charset w:val="00"/>
    <w:family w:val="roman"/>
    <w:pitch w:val="variable"/>
    <w:sig w:usb0="00000287" w:usb1="00000000" w:usb2="00000000" w:usb3="00000000" w:csb0="0000009F" w:csb1="00000000"/>
    <w:embedItalic r:id="rId8" w:fontKey="{7461C3C7-5F04-44AD-94B9-DA9DC9EC32EC}"/>
  </w:font>
  <w:font w:name="Arial Unicode MS">
    <w:panose1 w:val="020B0604020202020204"/>
    <w:charset w:val="80"/>
    <w:family w:val="swiss"/>
    <w:pitch w:val="variable"/>
    <w:sig w:usb0="F7FFAFFF" w:usb1="E9DFFFFF" w:usb2="0000003F" w:usb3="00000000" w:csb0="003F01FF" w:csb1="00000000"/>
    <w:embedRegular r:id="rId9" w:subsetted="1" w:fontKey="{CD48D31F-78D0-46FE-AB64-E7A6F5B510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F22E4" w14:textId="77777777" w:rsidR="0081386F" w:rsidRDefault="008138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50594" w14:textId="77777777" w:rsidR="0081386F" w:rsidRDefault="008138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02E4F" w14:textId="77777777" w:rsidR="00F37AE9" w:rsidRDefault="00F37AE9">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73D8004" w14:textId="77777777" w:rsidR="00F37AE9" w:rsidRDefault="00F37AE9">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1D64E1D6" w14:textId="77777777" w:rsidR="00F37AE9" w:rsidRDefault="00F37AE9">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238940D" w14:textId="77777777" w:rsidR="00F37AE9" w:rsidRDefault="00F37AE9">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98D86" w14:textId="77777777" w:rsidR="00F37AE9" w:rsidRDefault="00F37AE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9E7C3" w14:textId="77777777" w:rsidR="00C569B9" w:rsidRDefault="00C569B9">
      <w:r>
        <w:separator/>
      </w:r>
    </w:p>
  </w:footnote>
  <w:footnote w:type="continuationSeparator" w:id="0">
    <w:p w14:paraId="4CA3A77D" w14:textId="77777777" w:rsidR="00C569B9" w:rsidRDefault="00C56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38614" w14:textId="2C47CD6F" w:rsidR="0081386F" w:rsidRDefault="0081386F">
    <w:pPr>
      <w:pStyle w:val="Header"/>
    </w:pPr>
    <w:r>
      <w:rPr>
        <w:noProof/>
      </w:rPr>
      <w:pict w14:anchorId="078C4B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89690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1A0FA" w14:textId="4F681E25" w:rsidR="0081386F" w:rsidRDefault="0081386F">
    <w:pPr>
      <w:pStyle w:val="Header"/>
    </w:pPr>
    <w:r>
      <w:rPr>
        <w:noProof/>
      </w:rPr>
      <w:pict w14:anchorId="529F9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89690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01B91" w14:textId="2D2B65F0" w:rsidR="00F37AE9" w:rsidRDefault="0081386F">
    <w:pPr>
      <w:ind w:left="2160"/>
      <w:jc w:val="center"/>
      <w:rPr>
        <w:rFonts w:ascii="Times New Roman" w:eastAsia="Times New Roman" w:hAnsi="Times New Roman" w:cs="Times New Roman"/>
        <w:i/>
        <w:iCs/>
        <w:sz w:val="18"/>
        <w:szCs w:val="18"/>
      </w:rPr>
    </w:pPr>
    <w:r>
      <w:rPr>
        <w:noProof/>
      </w:rPr>
      <w:pict w14:anchorId="5A05D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89690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5CFE646A" w14:textId="77777777" w:rsidR="00F37AE9" w:rsidRDefault="00F37AE9">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65F0F13" w14:textId="77777777" w:rsidR="00F37AE9" w:rsidRDefault="00F37AE9">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27D21A34" w14:textId="77777777" w:rsidR="00F37AE9" w:rsidRDefault="00F37AE9">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42440F9D" w14:textId="77777777" w:rsidR="00F37AE9" w:rsidRDefault="00F37AE9">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817C1E4" w14:textId="77777777" w:rsidR="00F37AE9" w:rsidRDefault="00F37AE9">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52762916" w14:textId="77777777" w:rsidR="00F37AE9" w:rsidRDefault="00F37AE9">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B8307" w14:textId="67400968" w:rsidR="0081386F" w:rsidRDefault="0081386F">
    <w:pPr>
      <w:pStyle w:val="Header"/>
    </w:pPr>
    <w:r>
      <w:rPr>
        <w:noProof/>
      </w:rPr>
      <w:pict w14:anchorId="0D0A82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89691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24493" w14:textId="0E704BE7" w:rsidR="0081386F" w:rsidRDefault="0081386F">
    <w:pPr>
      <w:pStyle w:val="Header"/>
    </w:pPr>
    <w:r>
      <w:rPr>
        <w:noProof/>
      </w:rPr>
      <w:pict w14:anchorId="28B3A2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89691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48D10" w14:textId="207337CD" w:rsidR="0081386F" w:rsidRDefault="0081386F">
    <w:pPr>
      <w:pStyle w:val="Header"/>
    </w:pPr>
    <w:r>
      <w:rPr>
        <w:noProof/>
      </w:rPr>
      <w:pict w14:anchorId="5E954B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89690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A66DD"/>
    <w:multiLevelType w:val="multilevel"/>
    <w:tmpl w:val="EBEEBD7A"/>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D9047F4"/>
    <w:multiLevelType w:val="multilevel"/>
    <w:tmpl w:val="326CE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8277E3"/>
    <w:multiLevelType w:val="multilevel"/>
    <w:tmpl w:val="1220DA34"/>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5F9A5C49"/>
    <w:multiLevelType w:val="multilevel"/>
    <w:tmpl w:val="40AEE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E8C"/>
    <w:rsid w:val="001C495D"/>
    <w:rsid w:val="002A4351"/>
    <w:rsid w:val="002C3811"/>
    <w:rsid w:val="003B3E75"/>
    <w:rsid w:val="004778CE"/>
    <w:rsid w:val="0081386F"/>
    <w:rsid w:val="00994DC4"/>
    <w:rsid w:val="00B50E8C"/>
    <w:rsid w:val="00B945E0"/>
    <w:rsid w:val="00C15C2B"/>
    <w:rsid w:val="00C35BDB"/>
    <w:rsid w:val="00C569B9"/>
    <w:rsid w:val="00D06E4C"/>
    <w:rsid w:val="00F37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58F842C"/>
  <w15:docId w15:val="{AADE9DE0-6C4E-48BF-99FE-4EB1735C4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link w:val="Heading2Char"/>
    <w:uiPriority w:val="9"/>
    <w:semiHidden/>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4"/>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3561E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3561E0"/>
    <w:rPr>
      <w:rFonts w:asciiTheme="majorHAnsi" w:eastAsiaTheme="majorEastAsia" w:hAnsiTheme="majorHAnsi" w:cstheme="majorBidi"/>
      <w:color w:val="243F60" w:themeColor="accent1" w:themeShade="7F"/>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2A43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5390/EB.2022.10838"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108/TG-01-2021-0001"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kG09lIqKbqUAcnKRyGD1E0DWpQ==">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6422</Words>
  <Characters>36606</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8</cp:revision>
  <dcterms:created xsi:type="dcterms:W3CDTF">2026-03-25T06:22:00Z</dcterms:created>
  <dcterms:modified xsi:type="dcterms:W3CDTF">2026-03-26T10:05:00Z</dcterms:modified>
</cp:coreProperties>
</file>