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EFC1F" w14:textId="20271B08" w:rsidR="00754C9A" w:rsidRDefault="00A5084C" w:rsidP="00A5084C">
      <w:pPr>
        <w:pStyle w:val="Title"/>
        <w:spacing w:after="0"/>
        <w:jc w:val="left"/>
        <w:rPr>
          <w:rFonts w:ascii="Arial" w:hAnsi="Arial" w:cs="Arial"/>
          <w:u w:val="single"/>
        </w:rPr>
      </w:pPr>
      <w:r w:rsidRPr="00A5084C">
        <w:rPr>
          <w:rFonts w:ascii="Arial" w:hAnsi="Arial" w:cs="Arial"/>
          <w:u w:val="single"/>
        </w:rPr>
        <w:t>Original Research Article</w:t>
      </w:r>
    </w:p>
    <w:p w14:paraId="73F44FE0" w14:textId="77777777" w:rsidR="00A5084C" w:rsidRPr="00A5084C" w:rsidRDefault="00A5084C" w:rsidP="00A5084C">
      <w:pPr>
        <w:pStyle w:val="Title"/>
        <w:spacing w:after="0"/>
        <w:jc w:val="left"/>
        <w:rPr>
          <w:rFonts w:ascii="Arial" w:hAnsi="Arial" w:cs="Arial"/>
          <w:u w:val="single"/>
        </w:rPr>
      </w:pPr>
    </w:p>
    <w:p w14:paraId="7FC39E1A" w14:textId="25A21D3E" w:rsidR="009458D4" w:rsidRDefault="009458D4" w:rsidP="009458D4">
      <w:pPr>
        <w:pStyle w:val="Author"/>
        <w:spacing w:line="240" w:lineRule="auto"/>
        <w:rPr>
          <w:rFonts w:ascii="Arial" w:hAnsi="Arial" w:cs="Arial"/>
          <w:bCs/>
          <w:iCs/>
          <w:kern w:val="28"/>
          <w:sz w:val="36"/>
        </w:rPr>
      </w:pPr>
      <w:r w:rsidRPr="009458D4">
        <w:rPr>
          <w:rFonts w:ascii="Arial" w:hAnsi="Arial" w:cs="Arial"/>
          <w:bCs/>
          <w:iCs/>
          <w:kern w:val="28"/>
          <w:sz w:val="36"/>
        </w:rPr>
        <w:t>The</w:t>
      </w:r>
      <w:r w:rsidR="00AD112A">
        <w:rPr>
          <w:rFonts w:ascii="Arial" w:hAnsi="Arial" w:cs="Arial"/>
          <w:bCs/>
          <w:iCs/>
          <w:kern w:val="28"/>
          <w:sz w:val="36"/>
        </w:rPr>
        <w:t xml:space="preserve"> </w:t>
      </w:r>
      <w:r w:rsidRPr="009458D4">
        <w:rPr>
          <w:rFonts w:ascii="Arial" w:hAnsi="Arial" w:cs="Arial"/>
          <w:bCs/>
          <w:iCs/>
          <w:kern w:val="28"/>
          <w:sz w:val="36"/>
        </w:rPr>
        <w:t xml:space="preserve">Gender Awareness, Discrimination, </w:t>
      </w:r>
      <w:r>
        <w:rPr>
          <w:rFonts w:ascii="Arial" w:hAnsi="Arial" w:cs="Arial"/>
          <w:bCs/>
          <w:iCs/>
          <w:kern w:val="28"/>
          <w:sz w:val="36"/>
        </w:rPr>
        <w:t>a</w:t>
      </w:r>
      <w:r w:rsidRPr="009458D4">
        <w:rPr>
          <w:rFonts w:ascii="Arial" w:hAnsi="Arial" w:cs="Arial"/>
          <w:bCs/>
          <w:iCs/>
          <w:kern w:val="28"/>
          <w:sz w:val="36"/>
        </w:rPr>
        <w:t xml:space="preserve">nd Equality Among Students </w:t>
      </w:r>
      <w:r>
        <w:rPr>
          <w:rFonts w:ascii="Arial" w:hAnsi="Arial" w:cs="Arial"/>
          <w:bCs/>
          <w:iCs/>
          <w:kern w:val="28"/>
          <w:sz w:val="36"/>
        </w:rPr>
        <w:t>i</w:t>
      </w:r>
      <w:r w:rsidRPr="009458D4">
        <w:rPr>
          <w:rFonts w:ascii="Arial" w:hAnsi="Arial" w:cs="Arial"/>
          <w:bCs/>
          <w:iCs/>
          <w:kern w:val="28"/>
          <w:sz w:val="36"/>
        </w:rPr>
        <w:t xml:space="preserve">n Higher </w:t>
      </w:r>
    </w:p>
    <w:p w14:paraId="5A4672CF" w14:textId="2974C559" w:rsidR="00A258C3" w:rsidRPr="00790ADA" w:rsidRDefault="009458D4" w:rsidP="009458D4">
      <w:pPr>
        <w:pStyle w:val="Author"/>
        <w:spacing w:line="240" w:lineRule="auto"/>
        <w:rPr>
          <w:rFonts w:ascii="Arial" w:hAnsi="Arial" w:cs="Arial"/>
          <w:sz w:val="36"/>
        </w:rPr>
      </w:pPr>
      <w:r w:rsidRPr="009458D4">
        <w:rPr>
          <w:rFonts w:ascii="Arial" w:hAnsi="Arial" w:cs="Arial"/>
          <w:bCs/>
          <w:iCs/>
          <w:kern w:val="28"/>
          <w:sz w:val="36"/>
        </w:rPr>
        <w:t>Education</w:t>
      </w:r>
      <w:r>
        <w:rPr>
          <w:rFonts w:ascii="Arial" w:hAnsi="Arial" w:cs="Arial"/>
          <w:bCs/>
          <w:iCs/>
          <w:kern w:val="28"/>
          <w:sz w:val="36"/>
        </w:rPr>
        <w:t xml:space="preserve"> i</w:t>
      </w:r>
      <w:r w:rsidRPr="009458D4">
        <w:rPr>
          <w:rFonts w:ascii="Arial" w:hAnsi="Arial" w:cs="Arial"/>
          <w:bCs/>
          <w:iCs/>
          <w:kern w:val="28"/>
          <w:sz w:val="36"/>
        </w:rPr>
        <w:t xml:space="preserve">n </w:t>
      </w:r>
      <w:r>
        <w:rPr>
          <w:rFonts w:ascii="Arial" w:hAnsi="Arial" w:cs="Arial"/>
          <w:bCs/>
          <w:iCs/>
          <w:kern w:val="28"/>
          <w:sz w:val="36"/>
        </w:rPr>
        <w:t>t</w:t>
      </w:r>
      <w:r w:rsidRPr="009458D4">
        <w:rPr>
          <w:rFonts w:ascii="Arial" w:hAnsi="Arial" w:cs="Arial"/>
          <w:bCs/>
          <w:iCs/>
          <w:kern w:val="28"/>
          <w:sz w:val="36"/>
        </w:rPr>
        <w:t>he Philippines</w:t>
      </w:r>
    </w:p>
    <w:p w14:paraId="6507E629" w14:textId="77777777" w:rsidR="009458D4" w:rsidRDefault="009458D4" w:rsidP="00441B6F">
      <w:pPr>
        <w:pStyle w:val="Author"/>
        <w:spacing w:line="240" w:lineRule="auto"/>
        <w:rPr>
          <w:rFonts w:ascii="Arial" w:hAnsi="Arial" w:cs="Arial"/>
        </w:rPr>
      </w:pPr>
    </w:p>
    <w:p w14:paraId="067F646C" w14:textId="70265E3C" w:rsidR="00790ADA" w:rsidRDefault="00790ADA" w:rsidP="00441B6F">
      <w:pPr>
        <w:pStyle w:val="Affiliation"/>
        <w:spacing w:after="0" w:line="240" w:lineRule="auto"/>
        <w:jc w:val="both"/>
        <w:rPr>
          <w:rFonts w:ascii="Arial" w:hAnsi="Arial" w:cs="Arial"/>
        </w:rPr>
      </w:pPr>
    </w:p>
    <w:p w14:paraId="0AFA092E" w14:textId="77777777" w:rsidR="009D5C90" w:rsidRDefault="009D5C90" w:rsidP="00441B6F">
      <w:pPr>
        <w:pStyle w:val="Affiliation"/>
        <w:spacing w:after="0" w:line="240" w:lineRule="auto"/>
        <w:jc w:val="both"/>
        <w:rPr>
          <w:rFonts w:ascii="Arial" w:hAnsi="Arial" w:cs="Arial"/>
        </w:rPr>
      </w:pPr>
    </w:p>
    <w:p w14:paraId="603C2879" w14:textId="77777777" w:rsidR="002C57D2" w:rsidRPr="00FB3A86" w:rsidRDefault="002C57D2" w:rsidP="00441B6F">
      <w:pPr>
        <w:pStyle w:val="Affiliation"/>
        <w:spacing w:after="0" w:line="240" w:lineRule="auto"/>
        <w:jc w:val="both"/>
        <w:rPr>
          <w:rFonts w:ascii="Arial" w:hAnsi="Arial" w:cs="Arial"/>
        </w:rPr>
      </w:pPr>
    </w:p>
    <w:p w14:paraId="7EE98E5C" w14:textId="49591214" w:rsidR="00B01FCD" w:rsidRPr="00FB3A86" w:rsidRDefault="00882250" w:rsidP="00441B6F">
      <w:pPr>
        <w:pStyle w:val="Copyright"/>
        <w:spacing w:after="0" w:line="240" w:lineRule="auto"/>
        <w:jc w:val="both"/>
        <w:rPr>
          <w:rFonts w:ascii="Arial" w:hAnsi="Arial" w:cs="Arial"/>
        </w:rPr>
        <w:sectPr w:rsidR="00B01FCD" w:rsidRPr="00FB3A86" w:rsidSect="009D5C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E74AFE" wp14:editId="25CD2033">
                <wp:extent cx="5303520" cy="635"/>
                <wp:effectExtent l="17145" t="15875" r="13335" b="12700"/>
                <wp:docPr id="43373636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05E5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07488B" w14:textId="05E9810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F76F6B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48483A5" w14:textId="77777777" w:rsidTr="001E44FE">
        <w:tc>
          <w:tcPr>
            <w:tcW w:w="9576" w:type="dxa"/>
            <w:shd w:val="clear" w:color="auto" w:fill="F2F2F2"/>
          </w:tcPr>
          <w:p w14:paraId="46CBD3AE" w14:textId="2B35C35A" w:rsidR="00505F06" w:rsidRPr="00BA1B01" w:rsidRDefault="00AD112A" w:rsidP="00441B6F">
            <w:pPr>
              <w:pStyle w:val="Body"/>
              <w:spacing w:after="0"/>
              <w:rPr>
                <w:rFonts w:ascii="Arial" w:eastAsia="Calibri" w:hAnsi="Arial" w:cs="Arial"/>
                <w:szCs w:val="22"/>
              </w:rPr>
            </w:pPr>
            <w:r w:rsidRPr="00AD112A">
              <w:rPr>
                <w:rFonts w:ascii="Arial" w:eastAsia="Calibri" w:hAnsi="Arial" w:cs="Arial"/>
                <w:szCs w:val="22"/>
              </w:rPr>
              <w:t xml:space="preserve">This study examined the levels of awareness on gender laws, discrimination, and equality among students of Davao Oriental State University – </w:t>
            </w:r>
            <w:proofErr w:type="spellStart"/>
            <w:r w:rsidRPr="00AD112A">
              <w:rPr>
                <w:rFonts w:ascii="Arial" w:eastAsia="Calibri" w:hAnsi="Arial" w:cs="Arial"/>
                <w:szCs w:val="22"/>
              </w:rPr>
              <w:t>Cateel</w:t>
            </w:r>
            <w:proofErr w:type="spellEnd"/>
            <w:r w:rsidRPr="00AD112A">
              <w:rPr>
                <w:rFonts w:ascii="Arial" w:eastAsia="Calibri" w:hAnsi="Arial" w:cs="Arial"/>
                <w:szCs w:val="22"/>
              </w:rPr>
              <w:t xml:space="preserve"> Campus during the second semester of Academic Year 2024–2025. Guided by Paulo Freire’s Consciousness-Raising Theory, the research used a quantitative-descriptive design and involved 321 respondents selected through stratified random sampling. Data were gathered via an adapted questionnaire and analyzed using descriptive statistics, t-tests, and ANOVA. Results showed a high level of awareness of gender laws (</w:t>
            </w:r>
            <w:r w:rsidRPr="00AD112A">
              <w:rPr>
                <w:rFonts w:ascii="Cambria Math" w:eastAsia="Calibri" w:hAnsi="Cambria Math" w:cs="Cambria Math"/>
                <w:szCs w:val="22"/>
              </w:rPr>
              <w:t>𝑥</w:t>
            </w:r>
            <w:r w:rsidRPr="00AD112A">
              <w:rPr>
                <w:rFonts w:ascii="Arial" w:eastAsia="Calibri" w:hAnsi="Arial" w:cs="Arial"/>
                <w:szCs w:val="22"/>
              </w:rPr>
              <w:t xml:space="preserve">̄= 3.89, </w:t>
            </w:r>
            <w:r w:rsidRPr="00AD112A">
              <w:rPr>
                <w:rFonts w:ascii="Cambria Math" w:eastAsia="Calibri" w:hAnsi="Cambria Math" w:cs="Cambria Math"/>
                <w:szCs w:val="22"/>
              </w:rPr>
              <w:t>𝑠</w:t>
            </w:r>
            <w:r w:rsidRPr="00AD112A">
              <w:rPr>
                <w:rFonts w:ascii="Arial" w:eastAsia="Calibri" w:hAnsi="Arial" w:cs="Arial"/>
                <w:szCs w:val="22"/>
              </w:rPr>
              <w:t xml:space="preserve"> = 0.79), especially on the Anti-Sexual Harassment Act (</w:t>
            </w:r>
            <w:r w:rsidRPr="00AD112A">
              <w:rPr>
                <w:rFonts w:ascii="Cambria Math" w:eastAsia="Calibri" w:hAnsi="Cambria Math" w:cs="Cambria Math"/>
                <w:szCs w:val="22"/>
              </w:rPr>
              <w:t>𝑥</w:t>
            </w:r>
            <w:r w:rsidRPr="00AD112A">
              <w:rPr>
                <w:rFonts w:ascii="Arial" w:eastAsia="Calibri" w:hAnsi="Arial" w:cs="Arial"/>
                <w:szCs w:val="22"/>
              </w:rPr>
              <w:t xml:space="preserve">̄= 3.98, </w:t>
            </w:r>
            <w:r w:rsidRPr="00AD112A">
              <w:rPr>
                <w:rFonts w:ascii="Cambria Math" w:eastAsia="Calibri" w:hAnsi="Cambria Math" w:cs="Cambria Math"/>
                <w:szCs w:val="22"/>
              </w:rPr>
              <w:t>𝑠</w:t>
            </w:r>
            <w:r w:rsidRPr="00AD112A">
              <w:rPr>
                <w:rFonts w:ascii="Arial" w:eastAsia="Calibri" w:hAnsi="Arial" w:cs="Arial"/>
                <w:szCs w:val="22"/>
              </w:rPr>
              <w:t xml:space="preserve"> = 0.96), but lower familiarity with the Gender and Development (GAD) Budget (</w:t>
            </w:r>
            <w:r w:rsidRPr="00AD112A">
              <w:rPr>
                <w:rFonts w:ascii="Cambria Math" w:eastAsia="Calibri" w:hAnsi="Cambria Math" w:cs="Cambria Math"/>
                <w:szCs w:val="22"/>
              </w:rPr>
              <w:t>𝑥</w:t>
            </w:r>
            <w:r w:rsidRPr="00AD112A">
              <w:rPr>
                <w:rFonts w:ascii="Arial" w:eastAsia="Calibri" w:hAnsi="Arial" w:cs="Arial"/>
                <w:szCs w:val="22"/>
              </w:rPr>
              <w:t xml:space="preserve">̄= 3.80, </w:t>
            </w:r>
            <w:r w:rsidRPr="00AD112A">
              <w:rPr>
                <w:rFonts w:ascii="Cambria Math" w:eastAsia="Calibri" w:hAnsi="Cambria Math" w:cs="Cambria Math"/>
                <w:szCs w:val="22"/>
              </w:rPr>
              <w:t>𝑠</w:t>
            </w:r>
            <w:r w:rsidRPr="00AD112A">
              <w:rPr>
                <w:rFonts w:ascii="Arial" w:eastAsia="Calibri" w:hAnsi="Arial" w:cs="Arial"/>
                <w:szCs w:val="22"/>
              </w:rPr>
              <w:t xml:space="preserve"> = 0.98). Gender discrimination awareness was moderate (</w:t>
            </w:r>
            <w:r w:rsidRPr="00AD112A">
              <w:rPr>
                <w:rFonts w:ascii="Cambria Math" w:eastAsia="Calibri" w:hAnsi="Cambria Math" w:cs="Cambria Math"/>
                <w:szCs w:val="22"/>
              </w:rPr>
              <w:t>𝑥</w:t>
            </w:r>
            <w:r w:rsidRPr="00AD112A">
              <w:rPr>
                <w:rFonts w:ascii="Arial" w:eastAsia="Calibri" w:hAnsi="Arial" w:cs="Arial"/>
                <w:szCs w:val="22"/>
              </w:rPr>
              <w:t xml:space="preserve">̄= 3.37, </w:t>
            </w:r>
            <w:r w:rsidRPr="00AD112A">
              <w:rPr>
                <w:rFonts w:ascii="Cambria Math" w:eastAsia="Calibri" w:hAnsi="Cambria Math" w:cs="Cambria Math"/>
                <w:szCs w:val="22"/>
              </w:rPr>
              <w:t>𝑠</w:t>
            </w:r>
            <w:r w:rsidRPr="00AD112A">
              <w:rPr>
                <w:rFonts w:ascii="Arial" w:eastAsia="Calibri" w:hAnsi="Arial" w:cs="Arial"/>
                <w:szCs w:val="22"/>
              </w:rPr>
              <w:t xml:space="preserve"> = 0.83), with notable recognition of feedback inequality (</w:t>
            </w:r>
            <w:r w:rsidRPr="00AD112A">
              <w:rPr>
                <w:rFonts w:ascii="Cambria Math" w:eastAsia="Calibri" w:hAnsi="Cambria Math" w:cs="Cambria Math"/>
                <w:szCs w:val="22"/>
              </w:rPr>
              <w:t>𝑥</w:t>
            </w:r>
            <w:r w:rsidRPr="00AD112A">
              <w:rPr>
                <w:rFonts w:ascii="Arial" w:eastAsia="Calibri" w:hAnsi="Arial" w:cs="Arial"/>
                <w:szCs w:val="22"/>
              </w:rPr>
              <w:t xml:space="preserve">̄= 3.52, </w:t>
            </w:r>
            <w:r w:rsidRPr="00AD112A">
              <w:rPr>
                <w:rFonts w:ascii="Cambria Math" w:eastAsia="Calibri" w:hAnsi="Cambria Math" w:cs="Cambria Math"/>
                <w:szCs w:val="22"/>
              </w:rPr>
              <w:t>𝑠</w:t>
            </w:r>
            <w:r w:rsidRPr="00AD112A">
              <w:rPr>
                <w:rFonts w:ascii="Arial" w:eastAsia="Calibri" w:hAnsi="Arial" w:cs="Arial"/>
                <w:szCs w:val="22"/>
              </w:rPr>
              <w:t xml:space="preserve"> = 1.03) but less awareness of subject-based discrimination, such as the belief that women are poor in mathematics (</w:t>
            </w:r>
            <w:r w:rsidRPr="00AD112A">
              <w:rPr>
                <w:rFonts w:ascii="Cambria Math" w:eastAsia="Calibri" w:hAnsi="Cambria Math" w:cs="Cambria Math"/>
                <w:szCs w:val="22"/>
              </w:rPr>
              <w:t>𝑥</w:t>
            </w:r>
            <w:r w:rsidRPr="00AD112A">
              <w:rPr>
                <w:rFonts w:ascii="Arial" w:eastAsia="Calibri" w:hAnsi="Arial" w:cs="Arial"/>
                <w:szCs w:val="22"/>
              </w:rPr>
              <w:t xml:space="preserve">̄= 3.23, </w:t>
            </w:r>
            <w:r w:rsidRPr="00AD112A">
              <w:rPr>
                <w:rFonts w:ascii="Cambria Math" w:eastAsia="Calibri" w:hAnsi="Cambria Math" w:cs="Cambria Math"/>
                <w:szCs w:val="22"/>
              </w:rPr>
              <w:t>𝑠</w:t>
            </w:r>
            <w:r w:rsidRPr="00AD112A">
              <w:rPr>
                <w:rFonts w:ascii="Arial" w:eastAsia="Calibri" w:hAnsi="Arial" w:cs="Arial"/>
                <w:szCs w:val="22"/>
              </w:rPr>
              <w:t xml:space="preserve"> = 1.12). Gender equality awareness was high (</w:t>
            </w:r>
            <w:r w:rsidRPr="00AD112A">
              <w:rPr>
                <w:rFonts w:ascii="Cambria Math" w:eastAsia="Calibri" w:hAnsi="Cambria Math" w:cs="Cambria Math"/>
                <w:szCs w:val="22"/>
              </w:rPr>
              <w:t>𝑥</w:t>
            </w:r>
            <w:r w:rsidRPr="00AD112A">
              <w:rPr>
                <w:rFonts w:ascii="Arial" w:eastAsia="Calibri" w:hAnsi="Arial" w:cs="Arial"/>
                <w:szCs w:val="22"/>
              </w:rPr>
              <w:t xml:space="preserve">̄= 4.16, </w:t>
            </w:r>
            <w:r w:rsidRPr="00AD112A">
              <w:rPr>
                <w:rFonts w:ascii="Cambria Math" w:eastAsia="Calibri" w:hAnsi="Cambria Math" w:cs="Cambria Math"/>
                <w:szCs w:val="22"/>
              </w:rPr>
              <w:t>𝑠</w:t>
            </w:r>
            <w:r w:rsidRPr="00AD112A">
              <w:rPr>
                <w:rFonts w:ascii="Arial" w:eastAsia="Calibri" w:hAnsi="Arial" w:cs="Arial"/>
                <w:szCs w:val="22"/>
              </w:rPr>
              <w:t xml:space="preserve"> = 0.56), particularly in classroom and leadership contexts, with strong support for gender-inclusive leadership roles (</w:t>
            </w:r>
            <w:r w:rsidRPr="00AD112A">
              <w:rPr>
                <w:rFonts w:ascii="Cambria Math" w:eastAsia="Calibri" w:hAnsi="Cambria Math" w:cs="Cambria Math"/>
                <w:szCs w:val="22"/>
              </w:rPr>
              <w:t>𝑥</w:t>
            </w:r>
            <w:r w:rsidRPr="00AD112A">
              <w:rPr>
                <w:rFonts w:ascii="Arial" w:eastAsia="Calibri" w:hAnsi="Arial" w:cs="Arial"/>
                <w:szCs w:val="22"/>
              </w:rPr>
              <w:t xml:space="preserve">̄= 4.36, </w:t>
            </w:r>
            <w:r w:rsidRPr="00AD112A">
              <w:rPr>
                <w:rFonts w:ascii="Cambria Math" w:eastAsia="Calibri" w:hAnsi="Cambria Math" w:cs="Cambria Math"/>
                <w:szCs w:val="22"/>
              </w:rPr>
              <w:t>𝑠</w:t>
            </w:r>
            <w:r w:rsidRPr="00AD112A">
              <w:rPr>
                <w:rFonts w:ascii="Arial" w:eastAsia="Calibri" w:hAnsi="Arial" w:cs="Arial"/>
                <w:szCs w:val="22"/>
              </w:rPr>
              <w:t xml:space="preserve"> = 0.75). Significant differences in gender laws awareness were found by age (f = 4.257, p = .006), gender (f = 6.114, p = .002), and academic program (f = 3.333, p = .011), but not by year level. For gender discrimination, significant differences were observed based on age (f = 4.509, p = .004), year level (f = 3.017, p = .030), and academic program (f = 2.859, p = .024), but not by gender (f = 0.188, p = .829). Regarding gender equality awareness, only the academic program showed a significant difference (f = 4.878, p = .001), while age (f = 2.837, p = .051), gender (f = 2.468, p = .086), and year level (f = 2.468, p = .086) did not. The findings suggest the need for targeted interventions such as integrating lesser-known gender laws in classroom discussions and enhancing gender sensitivity training across programs. The study recommends institutional efforts to promote inclusive practices and improve awareness of subtle forms of gender bias.</w:t>
            </w:r>
          </w:p>
        </w:tc>
      </w:tr>
    </w:tbl>
    <w:p w14:paraId="3ABB04B8" w14:textId="77777777" w:rsidR="00636EB2" w:rsidRDefault="00636EB2" w:rsidP="00441B6F">
      <w:pPr>
        <w:pStyle w:val="Body"/>
        <w:spacing w:after="0"/>
        <w:rPr>
          <w:rFonts w:ascii="Arial" w:hAnsi="Arial" w:cs="Arial"/>
          <w:i/>
        </w:rPr>
      </w:pPr>
    </w:p>
    <w:p w14:paraId="33B0CE07" w14:textId="750BCE6E" w:rsidR="00A24E7E" w:rsidRDefault="00A24E7E" w:rsidP="00AD112A">
      <w:pPr>
        <w:pStyle w:val="Body"/>
        <w:spacing w:after="0"/>
        <w:jc w:val="left"/>
        <w:rPr>
          <w:rFonts w:ascii="Arial" w:hAnsi="Arial" w:cs="Arial"/>
          <w:i/>
        </w:rPr>
      </w:pPr>
      <w:r>
        <w:rPr>
          <w:rFonts w:ascii="Arial" w:hAnsi="Arial" w:cs="Arial"/>
          <w:i/>
        </w:rPr>
        <w:t xml:space="preserve">Keywords: </w:t>
      </w:r>
      <w:r w:rsidR="00AD112A" w:rsidRPr="00AD112A">
        <w:rPr>
          <w:rFonts w:ascii="Arial" w:hAnsi="Arial" w:cs="Arial"/>
          <w:i/>
        </w:rPr>
        <w:t>gender awareness, discrimination, equality, higher education, gender laws</w:t>
      </w:r>
    </w:p>
    <w:p w14:paraId="20DCAB73" w14:textId="77777777" w:rsidR="00790ADA" w:rsidRDefault="00790ADA" w:rsidP="00441B6F">
      <w:pPr>
        <w:pStyle w:val="Body"/>
        <w:spacing w:after="0"/>
        <w:rPr>
          <w:rFonts w:ascii="Arial" w:hAnsi="Arial" w:cs="Arial"/>
          <w:i/>
        </w:rPr>
      </w:pPr>
    </w:p>
    <w:p w14:paraId="666342E0" w14:textId="77777777" w:rsidR="00505F06" w:rsidRDefault="00505F06" w:rsidP="00441B6F">
      <w:pPr>
        <w:pStyle w:val="Body"/>
        <w:spacing w:after="0"/>
        <w:rPr>
          <w:rFonts w:ascii="Arial" w:hAnsi="Arial" w:cs="Arial"/>
          <w:b/>
          <w:i/>
          <w:sz w:val="18"/>
        </w:rPr>
      </w:pPr>
    </w:p>
    <w:p w14:paraId="42495C26" w14:textId="77777777" w:rsidR="00073DEB" w:rsidRDefault="00073DEB" w:rsidP="00441B6F">
      <w:pPr>
        <w:pStyle w:val="Body"/>
        <w:spacing w:after="0"/>
        <w:rPr>
          <w:rFonts w:ascii="Arial" w:hAnsi="Arial" w:cs="Arial"/>
          <w:b/>
          <w:i/>
          <w:sz w:val="18"/>
        </w:rPr>
      </w:pPr>
    </w:p>
    <w:p w14:paraId="3F210179" w14:textId="77777777" w:rsidR="00073DEB" w:rsidRDefault="00073DEB" w:rsidP="00441B6F">
      <w:pPr>
        <w:pStyle w:val="Body"/>
        <w:spacing w:after="0"/>
        <w:rPr>
          <w:rFonts w:ascii="Arial" w:hAnsi="Arial" w:cs="Arial"/>
          <w:b/>
          <w:i/>
          <w:sz w:val="18"/>
        </w:rPr>
      </w:pPr>
    </w:p>
    <w:p w14:paraId="4DA2D7C7" w14:textId="77777777" w:rsidR="00073DEB" w:rsidRPr="00A24E7E" w:rsidRDefault="00073DEB" w:rsidP="00441B6F">
      <w:pPr>
        <w:pStyle w:val="Body"/>
        <w:spacing w:after="0"/>
        <w:rPr>
          <w:rFonts w:ascii="Arial" w:hAnsi="Arial" w:cs="Arial"/>
          <w:i/>
        </w:rPr>
      </w:pPr>
    </w:p>
    <w:p w14:paraId="09096AEA" w14:textId="7D82AE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5736D3" w14:textId="77777777" w:rsidR="00790ADA" w:rsidRPr="00FB3A86" w:rsidRDefault="00790ADA" w:rsidP="00441B6F">
      <w:pPr>
        <w:pStyle w:val="AbstHead"/>
        <w:spacing w:after="0"/>
        <w:jc w:val="both"/>
        <w:rPr>
          <w:rFonts w:ascii="Arial" w:hAnsi="Arial" w:cs="Arial"/>
        </w:rPr>
      </w:pPr>
    </w:p>
    <w:p w14:paraId="60224E4B" w14:textId="77777777" w:rsidR="00882250" w:rsidRDefault="00882250" w:rsidP="00441B6F">
      <w:pPr>
        <w:pStyle w:val="Body"/>
        <w:spacing w:after="0"/>
        <w:rPr>
          <w:rFonts w:ascii="Arial" w:hAnsi="Arial" w:cs="Arial"/>
        </w:rPr>
      </w:pPr>
      <w:r w:rsidRPr="00882250">
        <w:rPr>
          <w:rFonts w:ascii="Arial" w:hAnsi="Arial" w:cs="Arial"/>
        </w:rPr>
        <w:t xml:space="preserve">Gender equality implies that both women and men should have equal benefits from the same resources and opportunities (Iqbal et al., 2022). As stated by Copper (2020), equal rights for </w:t>
      </w:r>
      <w:r w:rsidRPr="00882250">
        <w:rPr>
          <w:rFonts w:ascii="Arial" w:hAnsi="Arial" w:cs="Arial"/>
        </w:rPr>
        <w:lastRenderedPageBreak/>
        <w:t>men and women do not imply that they should become the same; nonetheless, a person's rights, obligations, and opportunities must not be contingent on their gender at birth. Since both men and women have rights, responsibilities, and opportunities regardless of whether they are born male or female, gender equality is viewed as a human rights issue (</w:t>
      </w:r>
      <w:proofErr w:type="spellStart"/>
      <w:r w:rsidRPr="00882250">
        <w:rPr>
          <w:rFonts w:ascii="Arial" w:hAnsi="Arial" w:cs="Arial"/>
        </w:rPr>
        <w:t>Gavino-Gumba</w:t>
      </w:r>
      <w:proofErr w:type="spellEnd"/>
      <w:r w:rsidRPr="00882250">
        <w:rPr>
          <w:rFonts w:ascii="Arial" w:hAnsi="Arial" w:cs="Arial"/>
        </w:rPr>
        <w:t>, 2013). However, most societies tend to favor and celebrate masculine traits and behaviors. This bias often leads to increased male dominance and privilege (</w:t>
      </w:r>
      <w:proofErr w:type="spellStart"/>
      <w:r w:rsidRPr="00882250">
        <w:rPr>
          <w:rFonts w:ascii="Arial" w:hAnsi="Arial" w:cs="Arial"/>
        </w:rPr>
        <w:t>Yesil</w:t>
      </w:r>
      <w:proofErr w:type="spellEnd"/>
      <w:r w:rsidRPr="00882250">
        <w:rPr>
          <w:rFonts w:ascii="Arial" w:hAnsi="Arial" w:cs="Arial"/>
        </w:rPr>
        <w:t xml:space="preserve"> &amp; </w:t>
      </w:r>
      <w:proofErr w:type="spellStart"/>
      <w:r w:rsidRPr="00882250">
        <w:rPr>
          <w:rFonts w:ascii="Arial" w:hAnsi="Arial" w:cs="Arial"/>
        </w:rPr>
        <w:t>Balci</w:t>
      </w:r>
      <w:proofErr w:type="spellEnd"/>
      <w:r w:rsidRPr="00882250">
        <w:rPr>
          <w:rFonts w:ascii="Arial" w:hAnsi="Arial" w:cs="Arial"/>
        </w:rPr>
        <w:t xml:space="preserve"> </w:t>
      </w:r>
      <w:proofErr w:type="spellStart"/>
      <w:r w:rsidRPr="00882250">
        <w:rPr>
          <w:rFonts w:ascii="Arial" w:hAnsi="Arial" w:cs="Arial"/>
        </w:rPr>
        <w:t>Karaboga</w:t>
      </w:r>
      <w:proofErr w:type="spellEnd"/>
      <w:r w:rsidRPr="00882250">
        <w:rPr>
          <w:rFonts w:ascii="Arial" w:hAnsi="Arial" w:cs="Arial"/>
        </w:rPr>
        <w:t xml:space="preserve">, 2021). Consequently, gender equality has not been realized in many countries, where social, cultural, and tribal practices and norms have limited women's equal opportunities in all aspects of life, including education (Orfan &amp; Samady, 2023). </w:t>
      </w:r>
    </w:p>
    <w:p w14:paraId="42FF66E4" w14:textId="77777777" w:rsidR="00882250" w:rsidRDefault="00882250" w:rsidP="00441B6F">
      <w:pPr>
        <w:pStyle w:val="Body"/>
        <w:spacing w:after="0"/>
        <w:rPr>
          <w:rFonts w:ascii="Arial" w:hAnsi="Arial" w:cs="Arial"/>
        </w:rPr>
      </w:pPr>
      <w:r w:rsidRPr="00882250">
        <w:rPr>
          <w:rFonts w:ascii="Arial" w:hAnsi="Arial" w:cs="Arial"/>
        </w:rPr>
        <w:t xml:space="preserve">Moreover, research by </w:t>
      </w:r>
      <w:proofErr w:type="spellStart"/>
      <w:r w:rsidRPr="00882250">
        <w:rPr>
          <w:rFonts w:ascii="Arial" w:hAnsi="Arial" w:cs="Arial"/>
        </w:rPr>
        <w:t>Abalkhail</w:t>
      </w:r>
      <w:proofErr w:type="spellEnd"/>
      <w:r w:rsidRPr="00882250">
        <w:rPr>
          <w:rFonts w:ascii="Arial" w:hAnsi="Arial" w:cs="Arial"/>
        </w:rPr>
        <w:t xml:space="preserve"> (2017), </w:t>
      </w:r>
      <w:proofErr w:type="spellStart"/>
      <w:r w:rsidRPr="00882250">
        <w:rPr>
          <w:rFonts w:ascii="Arial" w:hAnsi="Arial" w:cs="Arial"/>
        </w:rPr>
        <w:t>Dahlan</w:t>
      </w:r>
      <w:proofErr w:type="spellEnd"/>
      <w:r w:rsidRPr="00882250">
        <w:rPr>
          <w:rFonts w:ascii="Arial" w:hAnsi="Arial" w:cs="Arial"/>
        </w:rPr>
        <w:t xml:space="preserve"> (2023), and </w:t>
      </w:r>
      <w:proofErr w:type="spellStart"/>
      <w:r w:rsidRPr="00882250">
        <w:rPr>
          <w:rFonts w:ascii="Arial" w:hAnsi="Arial" w:cs="Arial"/>
        </w:rPr>
        <w:t>Elhadary</w:t>
      </w:r>
      <w:proofErr w:type="spellEnd"/>
      <w:r w:rsidRPr="00882250">
        <w:rPr>
          <w:rFonts w:ascii="Arial" w:hAnsi="Arial" w:cs="Arial"/>
        </w:rPr>
        <w:t xml:space="preserve"> and </w:t>
      </w:r>
      <w:proofErr w:type="spellStart"/>
      <w:r w:rsidRPr="00882250">
        <w:rPr>
          <w:rFonts w:ascii="Arial" w:hAnsi="Arial" w:cs="Arial"/>
        </w:rPr>
        <w:t>Samat</w:t>
      </w:r>
      <w:proofErr w:type="spellEnd"/>
      <w:r w:rsidRPr="00882250">
        <w:rPr>
          <w:rFonts w:ascii="Arial" w:hAnsi="Arial" w:cs="Arial"/>
        </w:rPr>
        <w:t xml:space="preserve"> (2023) indicates that women have been significantly underrepresented in higher education globally for several decades. In Afghanistan, women are denied access to public, social, and cultural life, thus banned from attending state colleges and universities (Qazi Zada &amp; Qazi Zada, 2024). Additionally, hundreds of people are drowned in poverty, and girls and women are left uneducated, as mentioned in the study of Orfan and Feng (2021). Furthermore, students who are members of the LGBTQ community often experience a negative school environment where they are subject to victimization based on gender orientation, identity, and expression (Rusell et al., 2021). According to </w:t>
      </w:r>
      <w:proofErr w:type="spellStart"/>
      <w:r w:rsidRPr="00882250">
        <w:rPr>
          <w:rFonts w:ascii="Arial" w:hAnsi="Arial" w:cs="Arial"/>
        </w:rPr>
        <w:t>Eagly</w:t>
      </w:r>
      <w:proofErr w:type="spellEnd"/>
      <w:r w:rsidRPr="00882250">
        <w:rPr>
          <w:rFonts w:ascii="Arial" w:hAnsi="Arial" w:cs="Arial"/>
        </w:rPr>
        <w:t xml:space="preserve"> (2018), equity 2 in academia remains a long way off, despite the tremendous strides made over the past three decades to reduce gender bias. Presently, Saudi Arabia has a large number of females enrolled in higher education, which almost equals, and in some cases surpasses, that of males. However, despite this, gender inequality still exists (</w:t>
      </w:r>
      <w:proofErr w:type="spellStart"/>
      <w:r w:rsidRPr="00882250">
        <w:rPr>
          <w:rFonts w:ascii="Arial" w:hAnsi="Arial" w:cs="Arial"/>
        </w:rPr>
        <w:t>Abdelatti</w:t>
      </w:r>
      <w:proofErr w:type="spellEnd"/>
      <w:r w:rsidRPr="00882250">
        <w:rPr>
          <w:rFonts w:ascii="Arial" w:hAnsi="Arial" w:cs="Arial"/>
        </w:rPr>
        <w:t xml:space="preserve"> &amp; </w:t>
      </w:r>
      <w:proofErr w:type="spellStart"/>
      <w:r w:rsidRPr="00882250">
        <w:rPr>
          <w:rFonts w:ascii="Arial" w:hAnsi="Arial" w:cs="Arial"/>
        </w:rPr>
        <w:t>Elhadary</w:t>
      </w:r>
      <w:proofErr w:type="spellEnd"/>
      <w:r w:rsidRPr="00882250">
        <w:rPr>
          <w:rFonts w:ascii="Arial" w:hAnsi="Arial" w:cs="Arial"/>
        </w:rPr>
        <w:t xml:space="preserve">, 2024). According to various studies, when women have equal access to resources as men, such as education, they are deemed empowered. </w:t>
      </w:r>
    </w:p>
    <w:p w14:paraId="779FFAB8" w14:textId="77777777" w:rsidR="00882250" w:rsidRDefault="00882250" w:rsidP="00441B6F">
      <w:pPr>
        <w:pStyle w:val="Body"/>
        <w:spacing w:after="0"/>
        <w:rPr>
          <w:rFonts w:ascii="Arial" w:hAnsi="Arial" w:cs="Arial"/>
        </w:rPr>
      </w:pPr>
      <w:r w:rsidRPr="00882250">
        <w:rPr>
          <w:rFonts w:ascii="Arial" w:hAnsi="Arial" w:cs="Arial"/>
        </w:rPr>
        <w:t>The Philippines has seen a slight improvement in gender equality. In fact, in the country’s educational system, an increasing number of female students are enrolled in colleges and state universities (</w:t>
      </w:r>
      <w:proofErr w:type="spellStart"/>
      <w:r w:rsidRPr="00882250">
        <w:rPr>
          <w:rFonts w:ascii="Arial" w:hAnsi="Arial" w:cs="Arial"/>
        </w:rPr>
        <w:t>Gavino-Gumba</w:t>
      </w:r>
      <w:proofErr w:type="spellEnd"/>
      <w:r w:rsidRPr="00882250">
        <w:rPr>
          <w:rFonts w:ascii="Arial" w:hAnsi="Arial" w:cs="Arial"/>
        </w:rPr>
        <w:t>, 2013). Nevertheless, the study by Orbeta and Paqueo (2019) found that, since the 1970s, gender disparities in higher education completion have become strikingly evident, with a larger percentage of male graduates falling behind than female graduates. Persistent prejudice and stereotypes based on gender constitute one of the main hurdles. Traditional roles for boys and girls are frequently determined by cultural norms and societal expectations, which restrict their access to higher education (Dost, 2024). Gender-sensitive and inclusive Education is crucial in our educational system, for it lessens gender prejudice and increases gender awareness at all levels, including state colleges (</w:t>
      </w:r>
      <w:proofErr w:type="spellStart"/>
      <w:r w:rsidRPr="00882250">
        <w:rPr>
          <w:rFonts w:ascii="Arial" w:hAnsi="Arial" w:cs="Arial"/>
        </w:rPr>
        <w:t>Cagang</w:t>
      </w:r>
      <w:proofErr w:type="spellEnd"/>
      <w:r w:rsidRPr="00882250">
        <w:rPr>
          <w:rFonts w:ascii="Arial" w:hAnsi="Arial" w:cs="Arial"/>
        </w:rPr>
        <w:t xml:space="preserve"> et al., 2023). </w:t>
      </w:r>
    </w:p>
    <w:p w14:paraId="0263B604" w14:textId="77777777" w:rsidR="00882250" w:rsidRDefault="00882250" w:rsidP="00441B6F">
      <w:pPr>
        <w:pStyle w:val="Body"/>
        <w:spacing w:after="0"/>
        <w:rPr>
          <w:rFonts w:ascii="Arial" w:hAnsi="Arial" w:cs="Arial"/>
        </w:rPr>
      </w:pPr>
      <w:r w:rsidRPr="00882250">
        <w:rPr>
          <w:rFonts w:ascii="Arial" w:hAnsi="Arial" w:cs="Arial"/>
        </w:rPr>
        <w:t xml:space="preserve">Given the pervasive global challenge of gender inequality, the Municipality of </w:t>
      </w:r>
      <w:proofErr w:type="spellStart"/>
      <w:r w:rsidRPr="00882250">
        <w:rPr>
          <w:rFonts w:ascii="Arial" w:hAnsi="Arial" w:cs="Arial"/>
        </w:rPr>
        <w:t>Cateel</w:t>
      </w:r>
      <w:proofErr w:type="spellEnd"/>
      <w:r w:rsidRPr="00882250">
        <w:rPr>
          <w:rFonts w:ascii="Arial" w:hAnsi="Arial" w:cs="Arial"/>
        </w:rPr>
        <w:t xml:space="preserve"> is actively working to address and eliminate gender biases within its community, especially at school, where individuals under the umbrella of LGBTQIA+ are prone to discrimination and biases. Because of the growing scope of umbrella identity and sexual orientation, the lack of awareness among students about it causes so much trouble and discrimination that leads to gender crisis and, worst, dropping out of school. According to </w:t>
      </w:r>
      <w:proofErr w:type="spellStart"/>
      <w:r w:rsidRPr="00882250">
        <w:rPr>
          <w:rFonts w:ascii="Arial" w:hAnsi="Arial" w:cs="Arial"/>
        </w:rPr>
        <w:t>Tuvilla</w:t>
      </w:r>
      <w:proofErr w:type="spellEnd"/>
      <w:r w:rsidRPr="00882250">
        <w:rPr>
          <w:rFonts w:ascii="Arial" w:hAnsi="Arial" w:cs="Arial"/>
        </w:rPr>
        <w:t xml:space="preserve"> (2024), a Registered Social Worker assigned at the Municipal Social Welfare and 3 Development (MSWD), because of a lack of education and awareness of people about the LGBTQ community, some tend to discriminate and, worse, humiliate them for going against the typical men and women. With that, the researchers aim to determine the level of gender and equality awareness among students at DORSU-CC. </w:t>
      </w:r>
    </w:p>
    <w:p w14:paraId="2AD901A5" w14:textId="5E050A29" w:rsidR="00B01FCD" w:rsidRDefault="00882250" w:rsidP="00441B6F">
      <w:pPr>
        <w:pStyle w:val="Body"/>
        <w:spacing w:after="0"/>
        <w:rPr>
          <w:rFonts w:ascii="Arial" w:hAnsi="Arial" w:cs="Arial"/>
        </w:rPr>
      </w:pPr>
      <w:r w:rsidRPr="00882250">
        <w:rPr>
          <w:rFonts w:ascii="Arial" w:hAnsi="Arial" w:cs="Arial"/>
        </w:rPr>
        <w:t xml:space="preserve">Despite numerous studies on gender and equality, there are few, if any, comprehensive studies on gender equality awareness among students in the locality yet. There is an urgent need for teachers and school administrators to become aware of and sensitive to gender issues to promote gender-responsive teaching (Yuden et al., 2020). The existing problem of gender stereotypes, biases, and disparities within educational institutions is also the primary factor why it is necessary to conduct this research study. Thus, this study aims to determine the level of gender and equality awareness among students at Davao Oriental State University – </w:t>
      </w:r>
      <w:proofErr w:type="spellStart"/>
      <w:r w:rsidRPr="00882250">
        <w:rPr>
          <w:rFonts w:ascii="Arial" w:hAnsi="Arial" w:cs="Arial"/>
        </w:rPr>
        <w:t>Cateel</w:t>
      </w:r>
      <w:proofErr w:type="spellEnd"/>
      <w:r w:rsidRPr="00882250">
        <w:rPr>
          <w:rFonts w:ascii="Arial" w:hAnsi="Arial" w:cs="Arial"/>
        </w:rPr>
        <w:t xml:space="preserve"> Campus.</w:t>
      </w:r>
    </w:p>
    <w:p w14:paraId="6220E9CF" w14:textId="77777777" w:rsidR="00790ADA" w:rsidRPr="001F6A75" w:rsidRDefault="00790ADA" w:rsidP="00441B6F">
      <w:pPr>
        <w:pStyle w:val="Body"/>
        <w:spacing w:after="0"/>
        <w:rPr>
          <w:rFonts w:ascii="Arial" w:hAnsi="Arial" w:cs="Arial"/>
          <w:sz w:val="22"/>
          <w:szCs w:val="22"/>
        </w:rPr>
      </w:pPr>
    </w:p>
    <w:p w14:paraId="758AD90E" w14:textId="0F2FDB79" w:rsidR="00D578E2" w:rsidRDefault="00D578E2" w:rsidP="00E32BFA">
      <w:pPr>
        <w:pStyle w:val="AbstHead"/>
        <w:numPr>
          <w:ilvl w:val="1"/>
          <w:numId w:val="31"/>
        </w:numPr>
        <w:spacing w:after="0"/>
        <w:jc w:val="both"/>
        <w:rPr>
          <w:rFonts w:ascii="Arial" w:hAnsi="Arial" w:cs="Arial"/>
          <w:caps w:val="0"/>
          <w:szCs w:val="22"/>
        </w:rPr>
      </w:pPr>
      <w:r w:rsidRPr="001F6A75">
        <w:rPr>
          <w:rFonts w:ascii="Arial" w:hAnsi="Arial" w:cs="Arial"/>
          <w:caps w:val="0"/>
          <w:szCs w:val="22"/>
        </w:rPr>
        <w:t>Objectives</w:t>
      </w:r>
    </w:p>
    <w:p w14:paraId="5DA31F8A" w14:textId="77777777" w:rsidR="00E32BFA" w:rsidRDefault="00E32BFA" w:rsidP="00E32BFA">
      <w:pPr>
        <w:pStyle w:val="AbstHead"/>
        <w:spacing w:after="0"/>
        <w:jc w:val="both"/>
        <w:rPr>
          <w:rFonts w:ascii="Arial" w:hAnsi="Arial" w:cs="Arial"/>
          <w:caps w:val="0"/>
          <w:szCs w:val="22"/>
        </w:rPr>
      </w:pPr>
    </w:p>
    <w:p w14:paraId="56D9CC4D" w14:textId="77777777" w:rsidR="00754B58" w:rsidRDefault="00754B58" w:rsidP="00E32BFA">
      <w:pPr>
        <w:pStyle w:val="Body"/>
        <w:spacing w:after="0"/>
        <w:rPr>
          <w:rFonts w:ascii="Arial" w:hAnsi="Arial" w:cs="Arial"/>
        </w:rPr>
      </w:pPr>
      <w:r w:rsidRPr="00754B58">
        <w:rPr>
          <w:rFonts w:ascii="Arial" w:hAnsi="Arial" w:cs="Arial"/>
        </w:rPr>
        <w:t xml:space="preserve">The primary goal of this study was to determine the level of gender and equality awareness among students of the Davao Oriental State University – </w:t>
      </w:r>
      <w:proofErr w:type="spellStart"/>
      <w:r w:rsidRPr="00754B58">
        <w:rPr>
          <w:rFonts w:ascii="Arial" w:hAnsi="Arial" w:cs="Arial"/>
        </w:rPr>
        <w:t>Cateel</w:t>
      </w:r>
      <w:proofErr w:type="spellEnd"/>
      <w:r w:rsidRPr="00754B58">
        <w:rPr>
          <w:rFonts w:ascii="Arial" w:hAnsi="Arial" w:cs="Arial"/>
        </w:rPr>
        <w:t xml:space="preserve"> Campus. Thus, the researchers focused on the following objectives: </w:t>
      </w:r>
    </w:p>
    <w:p w14:paraId="0D830F33" w14:textId="77777777" w:rsidR="00804C7E" w:rsidRDefault="00754B58" w:rsidP="00E32BFA">
      <w:pPr>
        <w:pStyle w:val="Body"/>
        <w:spacing w:after="0"/>
        <w:rPr>
          <w:rFonts w:ascii="Arial" w:hAnsi="Arial" w:cs="Arial"/>
        </w:rPr>
      </w:pPr>
      <w:r w:rsidRPr="00754B58">
        <w:rPr>
          <w:rFonts w:ascii="Arial" w:hAnsi="Arial" w:cs="Arial"/>
        </w:rPr>
        <w:t xml:space="preserve">1. To determine the profile of the respondents in terms of: </w:t>
      </w:r>
    </w:p>
    <w:p w14:paraId="44BC95E9" w14:textId="77777777" w:rsidR="00804C7E" w:rsidRDefault="00754B58" w:rsidP="00E32BFA">
      <w:pPr>
        <w:pStyle w:val="Body"/>
        <w:spacing w:after="0"/>
        <w:rPr>
          <w:rFonts w:ascii="Arial" w:hAnsi="Arial" w:cs="Arial"/>
        </w:rPr>
      </w:pPr>
      <w:r w:rsidRPr="00754B58">
        <w:rPr>
          <w:rFonts w:ascii="Arial" w:hAnsi="Arial" w:cs="Arial"/>
        </w:rPr>
        <w:t xml:space="preserve">a. Age </w:t>
      </w:r>
    </w:p>
    <w:p w14:paraId="192E0363" w14:textId="77777777" w:rsidR="00804C7E" w:rsidRDefault="00754B58" w:rsidP="00E32BFA">
      <w:pPr>
        <w:pStyle w:val="Body"/>
        <w:spacing w:after="0"/>
        <w:rPr>
          <w:rFonts w:ascii="Arial" w:hAnsi="Arial" w:cs="Arial"/>
        </w:rPr>
      </w:pPr>
      <w:r w:rsidRPr="00754B58">
        <w:rPr>
          <w:rFonts w:ascii="Arial" w:hAnsi="Arial" w:cs="Arial"/>
        </w:rPr>
        <w:t xml:space="preserve">b. Gender </w:t>
      </w:r>
    </w:p>
    <w:p w14:paraId="04B3F100" w14:textId="77777777" w:rsidR="00804C7E" w:rsidRDefault="00754B58" w:rsidP="00E32BFA">
      <w:pPr>
        <w:pStyle w:val="Body"/>
        <w:spacing w:after="0"/>
        <w:rPr>
          <w:rFonts w:ascii="Arial" w:hAnsi="Arial" w:cs="Arial"/>
        </w:rPr>
      </w:pPr>
      <w:r w:rsidRPr="00754B58">
        <w:rPr>
          <w:rFonts w:ascii="Arial" w:hAnsi="Arial" w:cs="Arial"/>
        </w:rPr>
        <w:t xml:space="preserve">c. Year Level </w:t>
      </w:r>
    </w:p>
    <w:p w14:paraId="4FE0FD2D" w14:textId="7F6FFBE9" w:rsidR="00754B58" w:rsidRDefault="00754B58" w:rsidP="00E32BFA">
      <w:pPr>
        <w:pStyle w:val="Body"/>
        <w:spacing w:after="0"/>
        <w:rPr>
          <w:rFonts w:ascii="Arial" w:hAnsi="Arial" w:cs="Arial"/>
        </w:rPr>
      </w:pPr>
      <w:r w:rsidRPr="00754B58">
        <w:rPr>
          <w:rFonts w:ascii="Arial" w:hAnsi="Arial" w:cs="Arial"/>
        </w:rPr>
        <w:t>d. Program</w:t>
      </w:r>
      <w:r w:rsidR="00804C7E">
        <w:rPr>
          <w:rFonts w:ascii="Arial" w:hAnsi="Arial" w:cs="Arial"/>
        </w:rPr>
        <w:t>.</w:t>
      </w:r>
      <w:r w:rsidRPr="00754B58">
        <w:rPr>
          <w:rFonts w:ascii="Arial" w:hAnsi="Arial" w:cs="Arial"/>
        </w:rPr>
        <w:t xml:space="preserve"> </w:t>
      </w:r>
    </w:p>
    <w:p w14:paraId="0D7A5E78" w14:textId="52C87784" w:rsidR="005350DD" w:rsidRDefault="00754B58" w:rsidP="00E32BFA">
      <w:pPr>
        <w:pStyle w:val="Body"/>
        <w:spacing w:after="0"/>
        <w:rPr>
          <w:rFonts w:ascii="Arial" w:hAnsi="Arial" w:cs="Arial"/>
        </w:rPr>
      </w:pPr>
      <w:r w:rsidRPr="00754B58">
        <w:rPr>
          <w:rFonts w:ascii="Arial" w:hAnsi="Arial" w:cs="Arial"/>
        </w:rPr>
        <w:t>2.</w:t>
      </w:r>
      <w:r w:rsidR="00804C7E">
        <w:rPr>
          <w:rFonts w:ascii="Arial" w:hAnsi="Arial" w:cs="Arial"/>
        </w:rPr>
        <w:t xml:space="preserve"> </w:t>
      </w:r>
      <w:r w:rsidRPr="00754B58">
        <w:rPr>
          <w:rFonts w:ascii="Arial" w:hAnsi="Arial" w:cs="Arial"/>
        </w:rPr>
        <w:t xml:space="preserve">To identify the level of gender laws awareness among students. </w:t>
      </w:r>
    </w:p>
    <w:p w14:paraId="09081FE9" w14:textId="4330301F" w:rsidR="005350DD" w:rsidRDefault="00754B58" w:rsidP="00E32BFA">
      <w:pPr>
        <w:pStyle w:val="Body"/>
        <w:spacing w:after="0"/>
        <w:rPr>
          <w:rFonts w:ascii="Arial" w:hAnsi="Arial" w:cs="Arial"/>
        </w:rPr>
      </w:pPr>
      <w:r w:rsidRPr="00754B58">
        <w:rPr>
          <w:rFonts w:ascii="Arial" w:hAnsi="Arial" w:cs="Arial"/>
        </w:rPr>
        <w:t>3.</w:t>
      </w:r>
      <w:r w:rsidR="00804C7E">
        <w:rPr>
          <w:rFonts w:ascii="Arial" w:hAnsi="Arial" w:cs="Arial"/>
        </w:rPr>
        <w:t xml:space="preserve"> </w:t>
      </w:r>
      <w:r w:rsidRPr="00754B58">
        <w:rPr>
          <w:rFonts w:ascii="Arial" w:hAnsi="Arial" w:cs="Arial"/>
        </w:rPr>
        <w:t xml:space="preserve">To identify the level of gender discrimination among students. </w:t>
      </w:r>
    </w:p>
    <w:p w14:paraId="457C2568" w14:textId="52EC9999" w:rsidR="005350DD" w:rsidRDefault="00754B58" w:rsidP="00E32BFA">
      <w:pPr>
        <w:pStyle w:val="Body"/>
        <w:spacing w:after="0"/>
        <w:rPr>
          <w:rFonts w:ascii="Arial" w:hAnsi="Arial" w:cs="Arial"/>
        </w:rPr>
      </w:pPr>
      <w:r w:rsidRPr="00754B58">
        <w:rPr>
          <w:rFonts w:ascii="Arial" w:hAnsi="Arial" w:cs="Arial"/>
        </w:rPr>
        <w:t>4.</w:t>
      </w:r>
      <w:r w:rsidR="00804C7E">
        <w:rPr>
          <w:rFonts w:ascii="Arial" w:hAnsi="Arial" w:cs="Arial"/>
        </w:rPr>
        <w:t xml:space="preserve"> </w:t>
      </w:r>
      <w:r w:rsidRPr="00754B58">
        <w:rPr>
          <w:rFonts w:ascii="Arial" w:hAnsi="Arial" w:cs="Arial"/>
        </w:rPr>
        <w:t xml:space="preserve">To identify the level of gender equality among students. </w:t>
      </w:r>
    </w:p>
    <w:p w14:paraId="6873D9E1" w14:textId="058280BC" w:rsidR="004F6473" w:rsidRDefault="00754B58" w:rsidP="00E32BFA">
      <w:pPr>
        <w:pStyle w:val="Body"/>
        <w:spacing w:after="0"/>
        <w:rPr>
          <w:rFonts w:ascii="Arial" w:hAnsi="Arial" w:cs="Arial"/>
        </w:rPr>
      </w:pPr>
      <w:r w:rsidRPr="00754B58">
        <w:rPr>
          <w:rFonts w:ascii="Arial" w:hAnsi="Arial" w:cs="Arial"/>
        </w:rPr>
        <w:t>5.</w:t>
      </w:r>
      <w:r w:rsidR="00804C7E">
        <w:rPr>
          <w:rFonts w:ascii="Arial" w:hAnsi="Arial" w:cs="Arial"/>
        </w:rPr>
        <w:t xml:space="preserve"> </w:t>
      </w:r>
      <w:r w:rsidRPr="00754B58">
        <w:rPr>
          <w:rFonts w:ascii="Arial" w:hAnsi="Arial" w:cs="Arial"/>
        </w:rPr>
        <w:t>To determine the significant difference in the level of gender laws awareness when respondents are grouped in terms of profile.</w:t>
      </w:r>
      <w:r w:rsidR="00E32BFA" w:rsidRPr="00882250">
        <w:rPr>
          <w:rFonts w:ascii="Arial" w:hAnsi="Arial" w:cs="Arial"/>
        </w:rPr>
        <w:t xml:space="preserve"> </w:t>
      </w:r>
    </w:p>
    <w:p w14:paraId="304E2108" w14:textId="7C5605B7" w:rsidR="00804C7E" w:rsidRDefault="004F6473" w:rsidP="00E32BFA">
      <w:pPr>
        <w:pStyle w:val="Body"/>
        <w:spacing w:after="0"/>
        <w:rPr>
          <w:rFonts w:ascii="Arial" w:hAnsi="Arial" w:cs="Arial"/>
        </w:rPr>
      </w:pPr>
      <w:r w:rsidRPr="004F6473">
        <w:rPr>
          <w:rFonts w:ascii="Arial" w:hAnsi="Arial" w:cs="Arial"/>
        </w:rPr>
        <w:t>6.</w:t>
      </w:r>
      <w:r w:rsidR="00804C7E">
        <w:rPr>
          <w:rFonts w:ascii="Arial" w:hAnsi="Arial" w:cs="Arial"/>
        </w:rPr>
        <w:t xml:space="preserve"> </w:t>
      </w:r>
      <w:r w:rsidRPr="004F6473">
        <w:rPr>
          <w:rFonts w:ascii="Arial" w:hAnsi="Arial" w:cs="Arial"/>
        </w:rPr>
        <w:t xml:space="preserve">To determine the significant difference in the level of gender discrimination when respondents are grouped according to the enumeration of profiles. </w:t>
      </w:r>
    </w:p>
    <w:p w14:paraId="17EF147C" w14:textId="40379B50" w:rsidR="00E32BFA" w:rsidRDefault="004F6473" w:rsidP="00E32BFA">
      <w:pPr>
        <w:pStyle w:val="Body"/>
        <w:spacing w:after="0"/>
        <w:rPr>
          <w:rFonts w:ascii="Arial" w:hAnsi="Arial" w:cs="Arial"/>
        </w:rPr>
      </w:pPr>
      <w:r w:rsidRPr="004F6473">
        <w:rPr>
          <w:rFonts w:ascii="Arial" w:hAnsi="Arial" w:cs="Arial"/>
        </w:rPr>
        <w:t>7. To determine the significant difference in the level of gender equality when respondents are grouped according to profile.</w:t>
      </w:r>
    </w:p>
    <w:p w14:paraId="3B762F3B" w14:textId="77777777" w:rsidR="00E32BFA" w:rsidRPr="001F6A75" w:rsidRDefault="00E32BFA" w:rsidP="00E32BFA">
      <w:pPr>
        <w:pStyle w:val="AbstHead"/>
        <w:spacing w:after="0"/>
        <w:jc w:val="both"/>
        <w:rPr>
          <w:rFonts w:ascii="Arial" w:hAnsi="Arial" w:cs="Arial"/>
          <w:szCs w:val="22"/>
        </w:rPr>
      </w:pPr>
    </w:p>
    <w:p w14:paraId="23B6A65C" w14:textId="0381F800" w:rsidR="007F7B32" w:rsidRDefault="00902823" w:rsidP="00441B6F">
      <w:pPr>
        <w:pStyle w:val="AbstHead"/>
        <w:spacing w:after="0"/>
        <w:jc w:val="both"/>
        <w:rPr>
          <w:rFonts w:ascii="Arial" w:hAnsi="Arial" w:cs="Arial"/>
        </w:rPr>
      </w:pPr>
      <w:r>
        <w:rPr>
          <w:rFonts w:ascii="Arial" w:hAnsi="Arial" w:cs="Arial"/>
        </w:rPr>
        <w:t xml:space="preserve">2. </w:t>
      </w:r>
      <w:r w:rsidR="00A62455">
        <w:rPr>
          <w:rFonts w:ascii="Arial" w:hAnsi="Arial" w:cs="Arial"/>
        </w:rPr>
        <w:t>materi</w:t>
      </w:r>
      <w:r w:rsidR="00FB24FC">
        <w:rPr>
          <w:rFonts w:ascii="Arial" w:hAnsi="Arial" w:cs="Arial"/>
        </w:rPr>
        <w:t>al</w:t>
      </w:r>
      <w:r w:rsidR="00A62455">
        <w:rPr>
          <w:rFonts w:ascii="Arial" w:hAnsi="Arial" w:cs="Arial"/>
        </w:rPr>
        <w:t>s and method</w:t>
      </w:r>
      <w:r w:rsidR="009D278B">
        <w:rPr>
          <w:rFonts w:ascii="Arial" w:hAnsi="Arial" w:cs="Arial"/>
        </w:rPr>
        <w:t>s</w:t>
      </w:r>
    </w:p>
    <w:p w14:paraId="3118CA13" w14:textId="77777777" w:rsidR="00790ADA" w:rsidRDefault="00790ADA" w:rsidP="00441B6F">
      <w:pPr>
        <w:pStyle w:val="AbstHead"/>
        <w:spacing w:after="0"/>
        <w:jc w:val="both"/>
        <w:rPr>
          <w:rFonts w:ascii="Arial" w:hAnsi="Arial" w:cs="Arial"/>
        </w:rPr>
      </w:pPr>
    </w:p>
    <w:p w14:paraId="70BD48A6" w14:textId="7D7F2BB1" w:rsidR="009D278B" w:rsidRDefault="00C46233" w:rsidP="00441B6F">
      <w:pPr>
        <w:pStyle w:val="AbstHead"/>
        <w:spacing w:after="0"/>
        <w:jc w:val="both"/>
        <w:rPr>
          <w:rFonts w:ascii="Arial" w:hAnsi="Arial" w:cs="Arial"/>
          <w:caps w:val="0"/>
          <w:szCs w:val="22"/>
        </w:rPr>
      </w:pPr>
      <w:r>
        <w:rPr>
          <w:rFonts w:ascii="Arial" w:hAnsi="Arial" w:cs="Arial"/>
          <w:caps w:val="0"/>
          <w:szCs w:val="22"/>
        </w:rPr>
        <w:t>2.1 Research Design</w:t>
      </w:r>
    </w:p>
    <w:p w14:paraId="193A7489" w14:textId="77777777" w:rsidR="00B3197B" w:rsidRPr="00FB3A86" w:rsidRDefault="00B3197B" w:rsidP="00441B6F">
      <w:pPr>
        <w:pStyle w:val="AbstHead"/>
        <w:spacing w:after="0"/>
        <w:jc w:val="both"/>
        <w:rPr>
          <w:rFonts w:ascii="Arial" w:hAnsi="Arial" w:cs="Arial"/>
        </w:rPr>
      </w:pPr>
    </w:p>
    <w:p w14:paraId="1F0D0CA7" w14:textId="6EE3C489" w:rsidR="00B95236" w:rsidRDefault="00B3197B" w:rsidP="00441B6F">
      <w:pPr>
        <w:pStyle w:val="Body"/>
        <w:spacing w:after="0"/>
        <w:rPr>
          <w:rFonts w:ascii="Arial" w:hAnsi="Arial" w:cs="Arial"/>
        </w:rPr>
      </w:pPr>
      <w:r w:rsidRPr="00B3197B">
        <w:rPr>
          <w:rFonts w:ascii="Arial" w:hAnsi="Arial" w:cs="Arial"/>
        </w:rPr>
        <w:t xml:space="preserve">The study utilized a quantitative-descriptive survey research design to determine the level of gender equality awareness among students at Davao Oriental State University – </w:t>
      </w:r>
      <w:proofErr w:type="spellStart"/>
      <w:r w:rsidRPr="00B3197B">
        <w:rPr>
          <w:rFonts w:ascii="Arial" w:hAnsi="Arial" w:cs="Arial"/>
        </w:rPr>
        <w:t>Cateel</w:t>
      </w:r>
      <w:proofErr w:type="spellEnd"/>
      <w:r w:rsidRPr="00B3197B">
        <w:rPr>
          <w:rFonts w:ascii="Arial" w:hAnsi="Arial" w:cs="Arial"/>
        </w:rPr>
        <w:t xml:space="preserve"> Campus. This design allowed for the use of a multidimensional construct to assess gender awareness, as supported by Lusardi and Mitchell (2014). Descriptive research, by definition, describes a sample or population (Coe et al., 2017). Quantitative research focuses on data that can be quantified and analyzed using objective tools. </w:t>
      </w:r>
      <w:proofErr w:type="spellStart"/>
      <w:r w:rsidRPr="00B3197B">
        <w:rPr>
          <w:rFonts w:ascii="Arial" w:hAnsi="Arial" w:cs="Arial"/>
        </w:rPr>
        <w:t>Priadana</w:t>
      </w:r>
      <w:proofErr w:type="spellEnd"/>
      <w:r w:rsidRPr="00B3197B">
        <w:rPr>
          <w:rFonts w:ascii="Arial" w:hAnsi="Arial" w:cs="Arial"/>
        </w:rPr>
        <w:t xml:space="preserve"> and </w:t>
      </w:r>
      <w:proofErr w:type="spellStart"/>
      <w:r w:rsidRPr="00B3197B">
        <w:rPr>
          <w:rFonts w:ascii="Arial" w:hAnsi="Arial" w:cs="Arial"/>
        </w:rPr>
        <w:t>Sunarsi</w:t>
      </w:r>
      <w:proofErr w:type="spellEnd"/>
      <w:r w:rsidRPr="00B3197B">
        <w:rPr>
          <w:rFonts w:ascii="Arial" w:hAnsi="Arial" w:cs="Arial"/>
        </w:rPr>
        <w:t xml:space="preserve"> (2021) defined it as a method centered on collecting and analyzing numerical data. Similarly, Abdullah (2015) emphasized the use of objective measurement and statistical analysis derived from questionnaires. Hence, this research design was deemed appropriate for quantifying the level of gender equality awareness among the students. Additionally, it enabled the collection of data from a large and diverse student population, leading to the generation of factual and generalizable insights.</w:t>
      </w:r>
    </w:p>
    <w:p w14:paraId="52AB1CA9" w14:textId="77777777" w:rsidR="00790ADA" w:rsidRDefault="00790ADA" w:rsidP="00441B6F">
      <w:pPr>
        <w:pStyle w:val="Body"/>
        <w:spacing w:after="0"/>
        <w:rPr>
          <w:rFonts w:ascii="Arial" w:hAnsi="Arial" w:cs="Arial"/>
        </w:rPr>
      </w:pPr>
    </w:p>
    <w:p w14:paraId="6B955C8E" w14:textId="6FE24928" w:rsidR="00C46233" w:rsidRPr="00FB3A86" w:rsidRDefault="00C46233" w:rsidP="00C46233">
      <w:pPr>
        <w:pStyle w:val="AbstHead"/>
        <w:spacing w:after="0"/>
        <w:jc w:val="both"/>
        <w:rPr>
          <w:rFonts w:ascii="Arial" w:hAnsi="Arial" w:cs="Arial"/>
        </w:rPr>
      </w:pPr>
      <w:r>
        <w:rPr>
          <w:rFonts w:ascii="Arial" w:hAnsi="Arial" w:cs="Arial"/>
          <w:caps w:val="0"/>
          <w:szCs w:val="22"/>
        </w:rPr>
        <w:t>2.2 Research Instrument</w:t>
      </w:r>
    </w:p>
    <w:p w14:paraId="3BBF1524" w14:textId="77777777" w:rsidR="00C46233" w:rsidRDefault="00C46233" w:rsidP="00441B6F">
      <w:pPr>
        <w:pStyle w:val="Body"/>
        <w:spacing w:after="0"/>
        <w:rPr>
          <w:rFonts w:ascii="Arial" w:hAnsi="Arial" w:cs="Arial"/>
        </w:rPr>
      </w:pPr>
    </w:p>
    <w:p w14:paraId="2014AD0F" w14:textId="77777777" w:rsidR="00B126DD" w:rsidRDefault="00455D7A" w:rsidP="00441B6F">
      <w:pPr>
        <w:pStyle w:val="Body"/>
        <w:spacing w:after="0"/>
        <w:rPr>
          <w:rFonts w:ascii="Arial" w:hAnsi="Arial" w:cs="Arial"/>
        </w:rPr>
      </w:pPr>
      <w:r w:rsidRPr="00455D7A">
        <w:rPr>
          <w:rFonts w:ascii="Arial" w:hAnsi="Arial" w:cs="Arial"/>
        </w:rPr>
        <w:t xml:space="preserve">This study utilized an adapted survey questionnaire in gathering data. According to </w:t>
      </w:r>
      <w:proofErr w:type="spellStart"/>
      <w:r w:rsidRPr="00455D7A">
        <w:rPr>
          <w:rFonts w:ascii="Arial" w:hAnsi="Arial" w:cs="Arial"/>
        </w:rPr>
        <w:t>Arikunto</w:t>
      </w:r>
      <w:proofErr w:type="spellEnd"/>
      <w:r w:rsidRPr="00455D7A">
        <w:rPr>
          <w:rFonts w:ascii="Arial" w:hAnsi="Arial" w:cs="Arial"/>
        </w:rPr>
        <w:t xml:space="preserve"> (2019), a questionnaire is a list of questions given to the respondents with the intention of getting their responses. The survey questionnaire for this study was adapted from the research article by Generale and Cubing (2023), titled "Gender Awareness: Classroom Experiences of Senior High School Students," published in the Journal of Gender, Culture and Society. The adaptation ensured alignment with the study's objectives. </w:t>
      </w:r>
    </w:p>
    <w:p w14:paraId="0980B775" w14:textId="77777777" w:rsidR="00B126DD" w:rsidRDefault="00B126DD" w:rsidP="00441B6F">
      <w:pPr>
        <w:pStyle w:val="Body"/>
        <w:spacing w:after="0"/>
        <w:rPr>
          <w:rFonts w:ascii="Arial" w:hAnsi="Arial" w:cs="Arial"/>
        </w:rPr>
      </w:pPr>
    </w:p>
    <w:p w14:paraId="460B3D6A" w14:textId="702EFABF" w:rsidR="002E0D56" w:rsidRDefault="00455D7A" w:rsidP="00441B6F">
      <w:pPr>
        <w:pStyle w:val="Body"/>
        <w:spacing w:after="0"/>
        <w:rPr>
          <w:rFonts w:ascii="Arial" w:hAnsi="Arial" w:cs="Arial"/>
        </w:rPr>
      </w:pPr>
      <w:r w:rsidRPr="00455D7A">
        <w:rPr>
          <w:rFonts w:ascii="Arial" w:hAnsi="Arial" w:cs="Arial"/>
        </w:rPr>
        <w:t>Furthermore, the researchers used the Likert Scale for the questionnaire</w:t>
      </w:r>
      <w:r w:rsidR="00EE72A8">
        <w:rPr>
          <w:rFonts w:ascii="Arial" w:hAnsi="Arial" w:cs="Arial"/>
        </w:rPr>
        <w:t>,</w:t>
      </w:r>
      <w:r w:rsidRPr="00455D7A">
        <w:rPr>
          <w:rFonts w:ascii="Arial" w:hAnsi="Arial" w:cs="Arial"/>
        </w:rPr>
        <w:t xml:space="preserve"> involv</w:t>
      </w:r>
      <w:r w:rsidR="00EE72A8">
        <w:rPr>
          <w:rFonts w:ascii="Arial" w:hAnsi="Arial" w:cs="Arial"/>
        </w:rPr>
        <w:t>ing</w:t>
      </w:r>
      <w:r w:rsidRPr="00455D7A">
        <w:rPr>
          <w:rFonts w:ascii="Arial" w:hAnsi="Arial" w:cs="Arial"/>
        </w:rPr>
        <w:t xml:space="preserve"> a series of statements that respondents may choose from to rate their responses to evaluate questions. Anyhow, the adapted survey questionnaire is divided into three (3) parts. The first part has five categories in each construct in the questionnaire: Highly Aware, Aware, Moderately Aware, Slightly Aware, and Not Aware. The scores of the options range from five (5) to one </w:t>
      </w:r>
      <w:r w:rsidRPr="00455D7A">
        <w:rPr>
          <w:rFonts w:ascii="Arial" w:hAnsi="Arial" w:cs="Arial"/>
        </w:rPr>
        <w:lastRenderedPageBreak/>
        <w:t xml:space="preserve">(1). </w:t>
      </w:r>
      <w:r w:rsidR="004A2CBD">
        <w:rPr>
          <w:rFonts w:ascii="Arial" w:hAnsi="Arial" w:cs="Arial"/>
        </w:rPr>
        <w:t>Moreover</w:t>
      </w:r>
      <w:r w:rsidRPr="00455D7A">
        <w:rPr>
          <w:rFonts w:ascii="Arial" w:hAnsi="Arial" w:cs="Arial"/>
        </w:rPr>
        <w:t>, the researcher used a</w:t>
      </w:r>
      <w:r w:rsidR="00305401">
        <w:rPr>
          <w:rFonts w:ascii="Arial" w:hAnsi="Arial" w:cs="Arial"/>
        </w:rPr>
        <w:t>nother set of</w:t>
      </w:r>
      <w:r w:rsidRPr="00455D7A">
        <w:rPr>
          <w:rFonts w:ascii="Arial" w:hAnsi="Arial" w:cs="Arial"/>
        </w:rPr>
        <w:t xml:space="preserve"> 5- point Likert scale in </w:t>
      </w:r>
      <w:r w:rsidR="00060E4E">
        <w:rPr>
          <w:rFonts w:ascii="Arial" w:hAnsi="Arial" w:cs="Arial"/>
        </w:rPr>
        <w:t>second and last part of</w:t>
      </w:r>
      <w:r w:rsidRPr="00455D7A">
        <w:rPr>
          <w:rFonts w:ascii="Arial" w:hAnsi="Arial" w:cs="Arial"/>
        </w:rPr>
        <w:t xml:space="preserve"> study. It has five categories in each construct in the questionnaires: Strongly Agree, Agree, Neutral, Disagree, and Strongly Disagree. The scores of the options range from five (5) to one (1), respectively. </w:t>
      </w:r>
    </w:p>
    <w:p w14:paraId="6B956579" w14:textId="77777777" w:rsidR="00455D7A" w:rsidRDefault="00455D7A" w:rsidP="00441B6F">
      <w:pPr>
        <w:pStyle w:val="Body"/>
        <w:spacing w:after="0"/>
        <w:rPr>
          <w:rFonts w:ascii="Arial" w:hAnsi="Arial" w:cs="Arial"/>
        </w:rPr>
      </w:pPr>
    </w:p>
    <w:p w14:paraId="3FC31816" w14:textId="7BFAB619" w:rsidR="00C46233" w:rsidRPr="00FB3A86" w:rsidRDefault="00C46233" w:rsidP="00C46233">
      <w:pPr>
        <w:pStyle w:val="AbstHead"/>
        <w:spacing w:after="0"/>
        <w:jc w:val="both"/>
        <w:rPr>
          <w:rFonts w:ascii="Arial" w:hAnsi="Arial" w:cs="Arial"/>
        </w:rPr>
      </w:pPr>
      <w:r>
        <w:rPr>
          <w:rFonts w:ascii="Arial" w:hAnsi="Arial" w:cs="Arial"/>
          <w:caps w:val="0"/>
          <w:szCs w:val="22"/>
        </w:rPr>
        <w:t>2.</w:t>
      </w:r>
      <w:r w:rsidR="009825C2">
        <w:rPr>
          <w:rFonts w:ascii="Arial" w:hAnsi="Arial" w:cs="Arial"/>
          <w:caps w:val="0"/>
          <w:szCs w:val="22"/>
        </w:rPr>
        <w:t>3</w:t>
      </w:r>
      <w:r>
        <w:rPr>
          <w:rFonts w:ascii="Arial" w:hAnsi="Arial" w:cs="Arial"/>
          <w:caps w:val="0"/>
          <w:szCs w:val="22"/>
        </w:rPr>
        <w:t xml:space="preserve"> Respondents of the Study</w:t>
      </w:r>
    </w:p>
    <w:p w14:paraId="3A7FC88D" w14:textId="77777777" w:rsidR="00C46233" w:rsidRDefault="00C46233" w:rsidP="00C46233">
      <w:pPr>
        <w:pStyle w:val="Body"/>
        <w:spacing w:after="0"/>
        <w:rPr>
          <w:rFonts w:ascii="Arial" w:hAnsi="Arial" w:cs="Arial"/>
        </w:rPr>
      </w:pPr>
    </w:p>
    <w:p w14:paraId="03B37703" w14:textId="260DD5CB" w:rsidR="00790ADA" w:rsidRDefault="005F5F61" w:rsidP="00441B6F">
      <w:pPr>
        <w:pStyle w:val="Body"/>
        <w:spacing w:after="0"/>
        <w:rPr>
          <w:rFonts w:ascii="Arial" w:hAnsi="Arial" w:cs="Arial"/>
        </w:rPr>
      </w:pPr>
      <w:r w:rsidRPr="005F5F61">
        <w:rPr>
          <w:rFonts w:ascii="Arial" w:hAnsi="Arial" w:cs="Arial"/>
        </w:rPr>
        <w:t xml:space="preserve">This study employed stratified random sampling to ensure proportional representation of students from the different programs at Davao Oriental State University – </w:t>
      </w:r>
      <w:proofErr w:type="spellStart"/>
      <w:r w:rsidRPr="005F5F61">
        <w:rPr>
          <w:rFonts w:ascii="Arial" w:hAnsi="Arial" w:cs="Arial"/>
        </w:rPr>
        <w:t>Cateel</w:t>
      </w:r>
      <w:proofErr w:type="spellEnd"/>
      <w:r w:rsidRPr="005F5F61">
        <w:rPr>
          <w:rFonts w:ascii="Arial" w:hAnsi="Arial" w:cs="Arial"/>
        </w:rPr>
        <w:t xml:space="preserve">. The total population of 1,620 students was grouped into strata (BSBA, BSC, BSAM, BAT/BSA, BEED). Slovin’s formula </w:t>
      </w:r>
      <m:oMath>
        <m:r>
          <w:rPr>
            <w:rFonts w:ascii="Cambria Math" w:hAnsi="Cambria Math" w:cs="Arial"/>
          </w:rPr>
          <m:t>n=</m:t>
        </m:r>
        <m:f>
          <m:fPr>
            <m:ctrlPr>
              <w:rPr>
                <w:rFonts w:ascii="Cambria Math" w:hAnsi="Cambria Math" w:cs="Arial"/>
              </w:rPr>
            </m:ctrlPr>
          </m:fPr>
          <m:num>
            <m:r>
              <w:rPr>
                <w:rFonts w:ascii="Cambria Math" w:hAnsi="Cambria Math" w:cs="Arial"/>
              </w:rPr>
              <m:t>N</m:t>
            </m:r>
          </m:num>
          <m:den>
            <m:r>
              <w:rPr>
                <w:rFonts w:ascii="Cambria Math" w:hAnsi="Cambria Math" w:cs="Arial"/>
              </w:rPr>
              <m:t>1+N</m:t>
            </m:r>
            <m:sSup>
              <m:sSupPr>
                <m:ctrlPr>
                  <w:rPr>
                    <w:rFonts w:ascii="Cambria Math" w:hAnsi="Cambria Math" w:cs="Arial"/>
                  </w:rPr>
                </m:ctrlPr>
              </m:sSupPr>
              <m:e>
                <m:r>
                  <w:rPr>
                    <w:rFonts w:ascii="Cambria Math" w:hAnsi="Cambria Math" w:cs="Arial"/>
                  </w:rPr>
                  <m:t>e</m:t>
                </m:r>
              </m:e>
              <m:sup>
                <m:r>
                  <w:rPr>
                    <w:rFonts w:ascii="Cambria Math" w:hAnsi="Cambria Math" w:cs="Arial"/>
                  </w:rPr>
                  <m:t>2</m:t>
                </m:r>
              </m:sup>
            </m:sSup>
          </m:den>
        </m:f>
      </m:oMath>
      <w:r w:rsidRPr="005F5F61">
        <w:rPr>
          <w:rFonts w:ascii="Arial" w:hAnsi="Arial" w:cs="Arial"/>
        </w:rPr>
        <w:t>was used to determine the sample size, with a 5% margin of error.</w:t>
      </w:r>
      <w:r>
        <w:rPr>
          <w:rFonts w:ascii="Arial" w:hAnsi="Arial" w:cs="Arial"/>
        </w:rPr>
        <w:t xml:space="preserve"> </w:t>
      </w:r>
      <w:r w:rsidRPr="005F5F61">
        <w:rPr>
          <w:rFonts w:ascii="Arial" w:hAnsi="Arial" w:cs="Arial"/>
        </w:rPr>
        <w:t>The computed sample size was 321 respondents, proportionally distributed across programs, ensuring representativeness of the student population.</w:t>
      </w:r>
      <w:r>
        <w:rPr>
          <w:rFonts w:ascii="Arial" w:hAnsi="Arial" w:cs="Arial"/>
        </w:rPr>
        <w:t xml:space="preserve"> </w:t>
      </w:r>
      <w:r w:rsidR="00AB406A" w:rsidRPr="00AB406A">
        <w:rPr>
          <w:rFonts w:ascii="Arial" w:hAnsi="Arial" w:cs="Arial"/>
        </w:rPr>
        <w:t xml:space="preserve">The calculated total population of students of Davao Oriental State University – </w:t>
      </w:r>
      <w:proofErr w:type="spellStart"/>
      <w:r w:rsidR="00AB406A" w:rsidRPr="00AB406A">
        <w:rPr>
          <w:rFonts w:ascii="Arial" w:hAnsi="Arial" w:cs="Arial"/>
        </w:rPr>
        <w:t>Cateel</w:t>
      </w:r>
      <w:proofErr w:type="spellEnd"/>
      <w:r w:rsidR="00AB406A" w:rsidRPr="00AB406A">
        <w:rPr>
          <w:rFonts w:ascii="Arial" w:hAnsi="Arial" w:cs="Arial"/>
        </w:rPr>
        <w:t xml:space="preserve"> Campus, as the sample size of this study, according to their respective department, is a total of 321, as shown in Table 1</w:t>
      </w:r>
      <w:r w:rsidR="00AB406A">
        <w:rPr>
          <w:rFonts w:ascii="Arial" w:hAnsi="Arial" w:cs="Arial"/>
        </w:rPr>
        <w:t>.</w:t>
      </w:r>
    </w:p>
    <w:p w14:paraId="4BE8CBDF" w14:textId="77777777" w:rsidR="00AB13AA" w:rsidRDefault="00AB13AA" w:rsidP="00441B6F">
      <w:pPr>
        <w:pStyle w:val="Body"/>
        <w:spacing w:after="0"/>
        <w:rPr>
          <w:rFonts w:ascii="Arial" w:hAnsi="Arial" w:cs="Arial"/>
        </w:rPr>
      </w:pPr>
    </w:p>
    <w:p w14:paraId="1D2D4080" w14:textId="7B4F63A1" w:rsidR="00AB13AA" w:rsidRPr="00B21F05" w:rsidRDefault="00AB13AA" w:rsidP="00AB13AA">
      <w:pPr>
        <w:jc w:val="both"/>
        <w:rPr>
          <w:rFonts w:ascii="Arial" w:hAnsi="Arial" w:cs="Arial"/>
          <w:b/>
          <w:bCs/>
          <w:color w:val="000000" w:themeColor="text1"/>
        </w:rPr>
      </w:pPr>
      <w:r w:rsidRPr="00A51FB1">
        <w:rPr>
          <w:rFonts w:ascii="Arial" w:hAnsi="Arial" w:cs="Arial"/>
          <w:b/>
          <w:bCs/>
          <w:color w:val="000000" w:themeColor="text1"/>
        </w:rPr>
        <w:t>Table 1</w:t>
      </w:r>
      <w:r w:rsidR="00B21F05">
        <w:rPr>
          <w:rFonts w:ascii="Arial" w:hAnsi="Arial" w:cs="Arial"/>
          <w:b/>
          <w:bCs/>
          <w:color w:val="000000" w:themeColor="text1"/>
        </w:rPr>
        <w:t xml:space="preserve">. </w:t>
      </w:r>
      <w:r w:rsidRPr="00B21F05">
        <w:rPr>
          <w:rFonts w:ascii="Arial" w:hAnsi="Arial" w:cs="Arial"/>
          <w:b/>
          <w:bCs/>
          <w:color w:val="000000" w:themeColor="text1"/>
        </w:rPr>
        <w:t>Distribution of respondents</w:t>
      </w:r>
    </w:p>
    <w:tbl>
      <w:tblPr>
        <w:tblStyle w:val="TableGrid"/>
        <w:tblW w:w="8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2890"/>
        <w:gridCol w:w="2576"/>
      </w:tblGrid>
      <w:tr w:rsidR="00AB13AA" w:rsidRPr="00AB13AA" w14:paraId="5FB12667" w14:textId="77777777" w:rsidTr="00AB13AA">
        <w:trPr>
          <w:trHeight w:val="268"/>
        </w:trPr>
        <w:tc>
          <w:tcPr>
            <w:tcW w:w="2720" w:type="dxa"/>
            <w:tcBorders>
              <w:top w:val="single" w:sz="12" w:space="0" w:color="auto"/>
              <w:bottom w:val="single" w:sz="12" w:space="0" w:color="auto"/>
            </w:tcBorders>
            <w:vAlign w:val="center"/>
          </w:tcPr>
          <w:p w14:paraId="6C102E30"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Department</w:t>
            </w:r>
          </w:p>
        </w:tc>
        <w:tc>
          <w:tcPr>
            <w:tcW w:w="2890" w:type="dxa"/>
            <w:tcBorders>
              <w:top w:val="single" w:sz="12" w:space="0" w:color="auto"/>
              <w:bottom w:val="single" w:sz="12" w:space="0" w:color="auto"/>
            </w:tcBorders>
            <w:vAlign w:val="center"/>
          </w:tcPr>
          <w:p w14:paraId="43C8D06A"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Population Size (N)</w:t>
            </w:r>
          </w:p>
        </w:tc>
        <w:tc>
          <w:tcPr>
            <w:tcW w:w="2576" w:type="dxa"/>
            <w:tcBorders>
              <w:top w:val="single" w:sz="12" w:space="0" w:color="auto"/>
              <w:bottom w:val="single" w:sz="12" w:space="0" w:color="auto"/>
            </w:tcBorders>
            <w:vAlign w:val="center"/>
          </w:tcPr>
          <w:p w14:paraId="09F0386B"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Sample Size (n)</w:t>
            </w:r>
          </w:p>
        </w:tc>
      </w:tr>
      <w:tr w:rsidR="00AB13AA" w:rsidRPr="00AB13AA" w14:paraId="4C207A5C" w14:textId="77777777" w:rsidTr="00AB13AA">
        <w:trPr>
          <w:trHeight w:val="261"/>
        </w:trPr>
        <w:tc>
          <w:tcPr>
            <w:tcW w:w="2720" w:type="dxa"/>
            <w:tcBorders>
              <w:top w:val="single" w:sz="12" w:space="0" w:color="auto"/>
            </w:tcBorders>
            <w:vAlign w:val="center"/>
          </w:tcPr>
          <w:p w14:paraId="2A1B2CD7"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BSBA</w:t>
            </w:r>
          </w:p>
        </w:tc>
        <w:tc>
          <w:tcPr>
            <w:tcW w:w="2890" w:type="dxa"/>
            <w:tcBorders>
              <w:top w:val="single" w:sz="12" w:space="0" w:color="auto"/>
            </w:tcBorders>
            <w:vAlign w:val="center"/>
          </w:tcPr>
          <w:p w14:paraId="6F93EB66"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739</w:t>
            </w:r>
          </w:p>
        </w:tc>
        <w:tc>
          <w:tcPr>
            <w:tcW w:w="2576" w:type="dxa"/>
            <w:tcBorders>
              <w:top w:val="single" w:sz="12" w:space="0" w:color="auto"/>
            </w:tcBorders>
            <w:vAlign w:val="center"/>
          </w:tcPr>
          <w:p w14:paraId="18BAAA35"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146</w:t>
            </w:r>
          </w:p>
        </w:tc>
      </w:tr>
      <w:tr w:rsidR="00AB13AA" w:rsidRPr="00AB13AA" w14:paraId="5599D50B" w14:textId="77777777" w:rsidTr="00AB13AA">
        <w:trPr>
          <w:trHeight w:val="266"/>
        </w:trPr>
        <w:tc>
          <w:tcPr>
            <w:tcW w:w="2720" w:type="dxa"/>
            <w:vAlign w:val="center"/>
          </w:tcPr>
          <w:p w14:paraId="150303BA"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BSC</w:t>
            </w:r>
          </w:p>
        </w:tc>
        <w:tc>
          <w:tcPr>
            <w:tcW w:w="2890" w:type="dxa"/>
            <w:vAlign w:val="center"/>
          </w:tcPr>
          <w:p w14:paraId="2FB2A40E"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289</w:t>
            </w:r>
          </w:p>
        </w:tc>
        <w:tc>
          <w:tcPr>
            <w:tcW w:w="2576" w:type="dxa"/>
            <w:vAlign w:val="center"/>
          </w:tcPr>
          <w:p w14:paraId="734C6A60"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57</w:t>
            </w:r>
          </w:p>
        </w:tc>
      </w:tr>
      <w:tr w:rsidR="00AB13AA" w:rsidRPr="00AB13AA" w14:paraId="737BA743" w14:textId="77777777" w:rsidTr="00AB13AA">
        <w:trPr>
          <w:trHeight w:val="256"/>
        </w:trPr>
        <w:tc>
          <w:tcPr>
            <w:tcW w:w="2720" w:type="dxa"/>
            <w:vAlign w:val="center"/>
          </w:tcPr>
          <w:p w14:paraId="098EDDB1"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BSAM</w:t>
            </w:r>
          </w:p>
        </w:tc>
        <w:tc>
          <w:tcPr>
            <w:tcW w:w="2890" w:type="dxa"/>
            <w:vAlign w:val="center"/>
          </w:tcPr>
          <w:p w14:paraId="48DB88D8"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346</w:t>
            </w:r>
          </w:p>
        </w:tc>
        <w:tc>
          <w:tcPr>
            <w:tcW w:w="2576" w:type="dxa"/>
            <w:vAlign w:val="center"/>
          </w:tcPr>
          <w:p w14:paraId="291DB37E"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69</w:t>
            </w:r>
          </w:p>
        </w:tc>
      </w:tr>
      <w:tr w:rsidR="00AB13AA" w:rsidRPr="00AB13AA" w14:paraId="08BEB416" w14:textId="77777777" w:rsidTr="00AB13AA">
        <w:trPr>
          <w:trHeight w:val="267"/>
        </w:trPr>
        <w:tc>
          <w:tcPr>
            <w:tcW w:w="2720" w:type="dxa"/>
            <w:vAlign w:val="center"/>
          </w:tcPr>
          <w:p w14:paraId="69CCA1E9"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BAT/BSA</w:t>
            </w:r>
          </w:p>
        </w:tc>
        <w:tc>
          <w:tcPr>
            <w:tcW w:w="2890" w:type="dxa"/>
            <w:vAlign w:val="center"/>
          </w:tcPr>
          <w:p w14:paraId="6A6C4920"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142</w:t>
            </w:r>
          </w:p>
        </w:tc>
        <w:tc>
          <w:tcPr>
            <w:tcW w:w="2576" w:type="dxa"/>
            <w:vAlign w:val="center"/>
          </w:tcPr>
          <w:p w14:paraId="573E3687"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28</w:t>
            </w:r>
          </w:p>
        </w:tc>
      </w:tr>
      <w:tr w:rsidR="00AB13AA" w:rsidRPr="00AB13AA" w14:paraId="654ABD1C" w14:textId="77777777" w:rsidTr="00AB13AA">
        <w:trPr>
          <w:trHeight w:val="206"/>
        </w:trPr>
        <w:tc>
          <w:tcPr>
            <w:tcW w:w="2720" w:type="dxa"/>
            <w:vAlign w:val="center"/>
          </w:tcPr>
          <w:p w14:paraId="170F57B5"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BEED</w:t>
            </w:r>
          </w:p>
        </w:tc>
        <w:tc>
          <w:tcPr>
            <w:tcW w:w="2890" w:type="dxa"/>
            <w:vAlign w:val="center"/>
          </w:tcPr>
          <w:p w14:paraId="42A47892"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104</w:t>
            </w:r>
          </w:p>
        </w:tc>
        <w:tc>
          <w:tcPr>
            <w:tcW w:w="2576" w:type="dxa"/>
            <w:vAlign w:val="center"/>
          </w:tcPr>
          <w:p w14:paraId="3AB24D42"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21</w:t>
            </w:r>
          </w:p>
        </w:tc>
      </w:tr>
      <w:tr w:rsidR="00AB13AA" w:rsidRPr="00AB13AA" w14:paraId="694B3131" w14:textId="77777777" w:rsidTr="00AB13AA">
        <w:trPr>
          <w:trHeight w:val="268"/>
        </w:trPr>
        <w:tc>
          <w:tcPr>
            <w:tcW w:w="2720" w:type="dxa"/>
            <w:tcBorders>
              <w:top w:val="single" w:sz="12" w:space="0" w:color="auto"/>
              <w:bottom w:val="single" w:sz="12" w:space="0" w:color="auto"/>
            </w:tcBorders>
            <w:vAlign w:val="center"/>
          </w:tcPr>
          <w:p w14:paraId="7F45B6BB"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TOTAL</w:t>
            </w:r>
          </w:p>
        </w:tc>
        <w:tc>
          <w:tcPr>
            <w:tcW w:w="2890" w:type="dxa"/>
            <w:tcBorders>
              <w:top w:val="single" w:sz="12" w:space="0" w:color="auto"/>
              <w:bottom w:val="single" w:sz="12" w:space="0" w:color="auto"/>
            </w:tcBorders>
            <w:vAlign w:val="center"/>
          </w:tcPr>
          <w:p w14:paraId="308022CA"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1,620</w:t>
            </w:r>
          </w:p>
        </w:tc>
        <w:tc>
          <w:tcPr>
            <w:tcW w:w="2576" w:type="dxa"/>
            <w:tcBorders>
              <w:top w:val="single" w:sz="12" w:space="0" w:color="auto"/>
              <w:bottom w:val="single" w:sz="12" w:space="0" w:color="auto"/>
            </w:tcBorders>
            <w:vAlign w:val="center"/>
          </w:tcPr>
          <w:p w14:paraId="3EC366CA"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321</w:t>
            </w:r>
          </w:p>
        </w:tc>
      </w:tr>
    </w:tbl>
    <w:p w14:paraId="12698A6E" w14:textId="77777777" w:rsidR="00AB406A" w:rsidRDefault="00AB406A" w:rsidP="00441B6F">
      <w:pPr>
        <w:pStyle w:val="Body"/>
        <w:spacing w:after="0"/>
        <w:rPr>
          <w:rFonts w:ascii="Arial" w:hAnsi="Arial" w:cs="Arial"/>
        </w:rPr>
      </w:pPr>
    </w:p>
    <w:p w14:paraId="7A51EF8D" w14:textId="7D140C05" w:rsidR="009825C2" w:rsidRPr="00FB3A86" w:rsidRDefault="009825C2" w:rsidP="009825C2">
      <w:pPr>
        <w:pStyle w:val="AbstHead"/>
        <w:spacing w:after="0"/>
        <w:jc w:val="both"/>
        <w:rPr>
          <w:rFonts w:ascii="Arial" w:hAnsi="Arial" w:cs="Arial"/>
        </w:rPr>
      </w:pPr>
      <w:r>
        <w:rPr>
          <w:rFonts w:ascii="Arial" w:hAnsi="Arial" w:cs="Arial"/>
          <w:caps w:val="0"/>
          <w:szCs w:val="22"/>
        </w:rPr>
        <w:t xml:space="preserve">2.4 Data Gathering </w:t>
      </w:r>
    </w:p>
    <w:p w14:paraId="2BE12756" w14:textId="77777777" w:rsidR="009825C2" w:rsidRPr="00502516" w:rsidRDefault="009825C2" w:rsidP="00441B6F">
      <w:pPr>
        <w:pStyle w:val="Body"/>
        <w:spacing w:after="0"/>
        <w:rPr>
          <w:rFonts w:ascii="Arial" w:hAnsi="Arial" w:cs="Arial"/>
        </w:rPr>
      </w:pPr>
    </w:p>
    <w:p w14:paraId="1E5F8BC3" w14:textId="1153CF03" w:rsidR="00AA74E0" w:rsidRDefault="00E43608" w:rsidP="00B4581B">
      <w:pPr>
        <w:pStyle w:val="Body"/>
        <w:rPr>
          <w:rFonts w:ascii="Arial" w:hAnsi="Arial" w:cs="Arial"/>
        </w:rPr>
      </w:pPr>
      <w:r w:rsidRPr="00E43608">
        <w:rPr>
          <w:rFonts w:ascii="Arial" w:hAnsi="Arial" w:cs="Arial"/>
        </w:rPr>
        <w:t>The researchers followed the proper procedure</w:t>
      </w:r>
      <w:r>
        <w:rPr>
          <w:rFonts w:ascii="Arial" w:hAnsi="Arial" w:cs="Arial"/>
        </w:rPr>
        <w:t xml:space="preserve"> </w:t>
      </w:r>
      <w:r w:rsidRPr="00E43608">
        <w:rPr>
          <w:rFonts w:ascii="Arial" w:hAnsi="Arial" w:cs="Arial"/>
        </w:rPr>
        <w:t>for gathering data and collecting necessary</w:t>
      </w:r>
      <w:r>
        <w:rPr>
          <w:rFonts w:ascii="Arial" w:hAnsi="Arial" w:cs="Arial"/>
        </w:rPr>
        <w:t xml:space="preserve"> </w:t>
      </w:r>
      <w:r w:rsidRPr="00E43608">
        <w:rPr>
          <w:rFonts w:ascii="Arial" w:hAnsi="Arial" w:cs="Arial"/>
        </w:rPr>
        <w:t>information for the study.</w:t>
      </w:r>
      <w:r w:rsidR="00B4581B">
        <w:rPr>
          <w:rFonts w:ascii="Arial" w:hAnsi="Arial" w:cs="Arial"/>
        </w:rPr>
        <w:t xml:space="preserve"> </w:t>
      </w:r>
      <w:r w:rsidR="00B4581B" w:rsidRPr="00B4581B">
        <w:rPr>
          <w:rFonts w:ascii="Arial" w:hAnsi="Arial" w:cs="Arial"/>
        </w:rPr>
        <w:t xml:space="preserve">First, ethical clearance was secured from the University Research Ethics Board of Davao Oriental State University to ensure that the study complied with established ethical standards. After obtaining approval, the researchers sought formal permission from the Campus Administrator of Davao Oriental State University – </w:t>
      </w:r>
      <w:proofErr w:type="spellStart"/>
      <w:r w:rsidR="00B4581B" w:rsidRPr="00B4581B">
        <w:rPr>
          <w:rFonts w:ascii="Arial" w:hAnsi="Arial" w:cs="Arial"/>
        </w:rPr>
        <w:t>Cateel</w:t>
      </w:r>
      <w:proofErr w:type="spellEnd"/>
      <w:r w:rsidR="00B4581B" w:rsidRPr="00B4581B">
        <w:rPr>
          <w:rFonts w:ascii="Arial" w:hAnsi="Arial" w:cs="Arial"/>
        </w:rPr>
        <w:t xml:space="preserve"> Campus to conduct the study within the institution by submitting a written request letter together with copies of the approved research instruments. Once permission was granted, the researchers coordinated with program coordinators to facilitate the distribution of survey questionnaires. Prior to the administration of the survey, the respondents were provided with informed consent forms and were oriented regarding the purpose of the study, the voluntary nature of their participation, and the confidentiality of their responses. The questionnaires were then distributed at a convenient time for the respondents with minimal disruption to their academic activities. After completion, the questionnaires were systematically retrieved and checked for completeness before data encoding and tabulation. Finally, the collected data were analyzed using appropriate statistical tools by an expert statistician, and the results were interpreted in accordance with the objectives of the study while ensuring the anonymity and confidentiality of all respondents.</w:t>
      </w:r>
    </w:p>
    <w:p w14:paraId="49A2D83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4E5FF9" w14:textId="77777777" w:rsidR="00790ADA" w:rsidRPr="00FB3A86" w:rsidRDefault="00790ADA" w:rsidP="00441B6F">
      <w:pPr>
        <w:pStyle w:val="Head1"/>
        <w:spacing w:after="0"/>
        <w:jc w:val="both"/>
        <w:rPr>
          <w:rFonts w:ascii="Arial" w:hAnsi="Arial" w:cs="Arial"/>
        </w:rPr>
      </w:pPr>
    </w:p>
    <w:p w14:paraId="12A9A653" w14:textId="0CF0DBA9" w:rsidR="00E36FCA" w:rsidRDefault="004C4FC1" w:rsidP="00441B6F">
      <w:pPr>
        <w:pStyle w:val="Body"/>
        <w:spacing w:after="0"/>
        <w:rPr>
          <w:rFonts w:ascii="Arial" w:hAnsi="Arial" w:cs="Arial"/>
        </w:rPr>
      </w:pPr>
      <w:r w:rsidRPr="004C4FC1">
        <w:rPr>
          <w:rFonts w:ascii="Arial" w:hAnsi="Arial" w:cs="Arial"/>
        </w:rPr>
        <w:t xml:space="preserve">This section </w:t>
      </w:r>
      <w:proofErr w:type="gramStart"/>
      <w:r w:rsidRPr="004C4FC1">
        <w:rPr>
          <w:rFonts w:ascii="Arial" w:hAnsi="Arial" w:cs="Arial"/>
        </w:rPr>
        <w:t>presents .</w:t>
      </w:r>
      <w:proofErr w:type="gramEnd"/>
      <w:r w:rsidR="00531DF7">
        <w:rPr>
          <w:rFonts w:ascii="Arial" w:hAnsi="Arial" w:cs="Arial"/>
        </w:rPr>
        <w:t xml:space="preserve"> </w:t>
      </w:r>
    </w:p>
    <w:p w14:paraId="3686E4C0" w14:textId="77777777" w:rsidR="00E36FCA" w:rsidRDefault="00E36FCA" w:rsidP="00441B6F">
      <w:pPr>
        <w:pStyle w:val="Body"/>
        <w:spacing w:after="0"/>
        <w:rPr>
          <w:rFonts w:ascii="Arial" w:hAnsi="Arial" w:cs="Arial"/>
        </w:rPr>
      </w:pPr>
    </w:p>
    <w:p w14:paraId="5674525E" w14:textId="599F338B" w:rsidR="00E36FCA" w:rsidRDefault="00E36FCA"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410ADF">
        <w:rPr>
          <w:rFonts w:ascii="Arial" w:hAnsi="Arial" w:cs="Arial"/>
          <w:b/>
          <w:sz w:val="22"/>
        </w:rPr>
        <w:t>Profile of the Respondents</w:t>
      </w:r>
      <w:r w:rsidRPr="00C30A0F">
        <w:rPr>
          <w:rFonts w:ascii="Arial" w:hAnsi="Arial" w:cs="Arial"/>
          <w:b/>
          <w:sz w:val="22"/>
        </w:rPr>
        <w:t xml:space="preserve"> </w:t>
      </w:r>
    </w:p>
    <w:p w14:paraId="207A9A1D" w14:textId="77777777" w:rsidR="00E36FCA" w:rsidRDefault="00E36FCA" w:rsidP="00441B6F">
      <w:pPr>
        <w:pStyle w:val="Body"/>
        <w:spacing w:after="0"/>
        <w:rPr>
          <w:rFonts w:ascii="Arial" w:hAnsi="Arial" w:cs="Arial"/>
          <w:b/>
          <w:sz w:val="22"/>
        </w:rPr>
      </w:pPr>
    </w:p>
    <w:p w14:paraId="6D773B08" w14:textId="5836816F" w:rsidR="00863BD3" w:rsidRDefault="00410ADF" w:rsidP="00441B6F">
      <w:pPr>
        <w:pStyle w:val="Body"/>
        <w:spacing w:after="0"/>
        <w:rPr>
          <w:rFonts w:ascii="Arial" w:hAnsi="Arial" w:cs="Arial"/>
        </w:rPr>
      </w:pPr>
      <w:r w:rsidRPr="004C4FC1">
        <w:rPr>
          <w:rFonts w:ascii="Arial" w:hAnsi="Arial" w:cs="Arial"/>
        </w:rPr>
        <w:lastRenderedPageBreak/>
        <w:t>This section presents the demographic distribution of the respondents, namely their age, gender, year level, and program.</w:t>
      </w:r>
      <w:r>
        <w:rPr>
          <w:rFonts w:ascii="Arial" w:hAnsi="Arial" w:cs="Arial"/>
        </w:rPr>
        <w:t xml:space="preserve"> </w:t>
      </w:r>
      <w:r w:rsidR="00531DF7" w:rsidRPr="00531DF7">
        <w:rPr>
          <w:rFonts w:ascii="Arial" w:hAnsi="Arial" w:cs="Arial"/>
        </w:rPr>
        <w:t xml:space="preserve">Table </w:t>
      </w:r>
      <w:r w:rsidR="00C74CB4">
        <w:rPr>
          <w:rFonts w:ascii="Arial" w:hAnsi="Arial" w:cs="Arial"/>
        </w:rPr>
        <w:t>2</w:t>
      </w:r>
      <w:r w:rsidR="00531DF7" w:rsidRPr="00531DF7">
        <w:rPr>
          <w:rFonts w:ascii="Arial" w:hAnsi="Arial" w:cs="Arial"/>
        </w:rPr>
        <w:t xml:space="preserve"> presents the age profile of the respondents, revealing that the largest portion of respondents (f=124, p=38.63%) falls within the 21 to 23-year-old group. These findings indicate that the majority of the respondents are in their early adulthood, a developmental stage where awareness and understanding of social issues such as gender equality and discrimination are actively formed and challenged through academic, social, and digital experiences. Meanwhile, a small percentage (f-11, p=3.43%) belongs to the 27 years old and above category, which includes the lowest number of respondents. </w:t>
      </w:r>
    </w:p>
    <w:p w14:paraId="3226084D" w14:textId="77777777" w:rsidR="00FD5B5F" w:rsidRDefault="00FD5B5F" w:rsidP="00441B6F">
      <w:pPr>
        <w:pStyle w:val="Body"/>
        <w:spacing w:after="0"/>
        <w:rPr>
          <w:rFonts w:ascii="Arial" w:hAnsi="Arial" w:cs="Arial"/>
        </w:rPr>
      </w:pPr>
    </w:p>
    <w:p w14:paraId="6A77370A" w14:textId="2D5A5520" w:rsidR="00531DF7" w:rsidRPr="00B21F05" w:rsidRDefault="00FD5B5F" w:rsidP="00B21F05">
      <w:pPr>
        <w:jc w:val="both"/>
        <w:rPr>
          <w:rFonts w:ascii="Arial" w:hAnsi="Arial" w:cs="Arial"/>
          <w:b/>
          <w:bCs/>
          <w:color w:val="000000" w:themeColor="text1"/>
        </w:rPr>
      </w:pPr>
      <w:r w:rsidRPr="00A51FB1">
        <w:rPr>
          <w:rFonts w:ascii="Arial" w:hAnsi="Arial" w:cs="Arial"/>
          <w:b/>
          <w:bCs/>
          <w:color w:val="000000" w:themeColor="text1"/>
        </w:rPr>
        <w:t xml:space="preserve">Table </w:t>
      </w:r>
      <w:r w:rsidR="00741BD7">
        <w:rPr>
          <w:rFonts w:ascii="Arial" w:hAnsi="Arial" w:cs="Arial"/>
          <w:b/>
          <w:bCs/>
          <w:color w:val="000000" w:themeColor="text1"/>
        </w:rPr>
        <w:t>2</w:t>
      </w:r>
      <w:r w:rsidR="00B21F05">
        <w:rPr>
          <w:rFonts w:ascii="Arial" w:hAnsi="Arial" w:cs="Arial"/>
          <w:b/>
          <w:bCs/>
          <w:color w:val="000000" w:themeColor="text1"/>
        </w:rPr>
        <w:t xml:space="preserve">. </w:t>
      </w:r>
      <w:r w:rsidR="00741BD7" w:rsidRPr="00B21F05">
        <w:rPr>
          <w:rFonts w:ascii="Arial" w:hAnsi="Arial" w:cs="Arial"/>
          <w:b/>
          <w:bCs/>
          <w:color w:val="000000" w:themeColor="text1"/>
        </w:rPr>
        <w:t xml:space="preserve">Profile of the respondents in terms of age </w:t>
      </w:r>
    </w:p>
    <w:tbl>
      <w:tblPr>
        <w:tblStyle w:val="TableGrid"/>
        <w:tblW w:w="8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2890"/>
        <w:gridCol w:w="2576"/>
      </w:tblGrid>
      <w:tr w:rsidR="00FD5B5F" w:rsidRPr="00FD5B5F" w14:paraId="53242064" w14:textId="77777777" w:rsidTr="00FD5B5F">
        <w:trPr>
          <w:trHeight w:val="255"/>
        </w:trPr>
        <w:tc>
          <w:tcPr>
            <w:tcW w:w="2720" w:type="dxa"/>
            <w:tcBorders>
              <w:top w:val="single" w:sz="12" w:space="0" w:color="auto"/>
              <w:bottom w:val="single" w:sz="12" w:space="0" w:color="auto"/>
            </w:tcBorders>
          </w:tcPr>
          <w:p w14:paraId="27259403" w14:textId="1007E5EF" w:rsidR="00FD5B5F" w:rsidRPr="00FD5B5F" w:rsidRDefault="00FD5B5F" w:rsidP="00FD5B5F">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Age Interval</w:t>
            </w:r>
          </w:p>
        </w:tc>
        <w:tc>
          <w:tcPr>
            <w:tcW w:w="2890" w:type="dxa"/>
            <w:tcBorders>
              <w:top w:val="single" w:sz="12" w:space="0" w:color="auto"/>
              <w:bottom w:val="single" w:sz="12" w:space="0" w:color="auto"/>
            </w:tcBorders>
          </w:tcPr>
          <w:p w14:paraId="67AC06E3" w14:textId="77A7B935" w:rsidR="00FD5B5F" w:rsidRPr="00FD5B5F" w:rsidRDefault="00FD5B5F" w:rsidP="00FD5B5F">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Frequency</w:t>
            </w:r>
          </w:p>
        </w:tc>
        <w:tc>
          <w:tcPr>
            <w:tcW w:w="2576" w:type="dxa"/>
            <w:tcBorders>
              <w:top w:val="single" w:sz="12" w:space="0" w:color="auto"/>
              <w:bottom w:val="single" w:sz="12" w:space="0" w:color="auto"/>
            </w:tcBorders>
          </w:tcPr>
          <w:p w14:paraId="4D911D76" w14:textId="5835C5BC" w:rsidR="00FD5B5F" w:rsidRPr="00FD5B5F" w:rsidRDefault="00FD5B5F" w:rsidP="00FD5B5F">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Percent (%)</w:t>
            </w:r>
          </w:p>
        </w:tc>
      </w:tr>
      <w:tr w:rsidR="00FD5B5F" w:rsidRPr="00FD5B5F" w14:paraId="202B7ACB" w14:textId="77777777" w:rsidTr="00FD5B5F">
        <w:trPr>
          <w:trHeight w:val="249"/>
        </w:trPr>
        <w:tc>
          <w:tcPr>
            <w:tcW w:w="2720" w:type="dxa"/>
            <w:tcBorders>
              <w:top w:val="single" w:sz="12" w:space="0" w:color="auto"/>
            </w:tcBorders>
          </w:tcPr>
          <w:p w14:paraId="2BFB8514" w14:textId="2E401922" w:rsidR="00FD5B5F" w:rsidRPr="00FD5B5F" w:rsidRDefault="00FD5B5F" w:rsidP="00FD5B5F">
            <w:pPr>
              <w:contextualSpacing/>
              <w:rPr>
                <w:rFonts w:ascii="Arial" w:hAnsi="Arial" w:cs="Arial"/>
                <w:color w:val="000000" w:themeColor="text1"/>
                <w:sz w:val="20"/>
                <w:szCs w:val="20"/>
              </w:rPr>
            </w:pPr>
            <w:r w:rsidRPr="00483795">
              <w:rPr>
                <w:rFonts w:ascii="Arial" w:hAnsi="Arial" w:cs="Arial"/>
                <w:sz w:val="20"/>
                <w:szCs w:val="20"/>
                <w:lang w:val="en-PH"/>
              </w:rPr>
              <w:t>18 to 20 years old</w:t>
            </w:r>
          </w:p>
        </w:tc>
        <w:tc>
          <w:tcPr>
            <w:tcW w:w="2890" w:type="dxa"/>
            <w:tcBorders>
              <w:top w:val="single" w:sz="12" w:space="0" w:color="auto"/>
            </w:tcBorders>
          </w:tcPr>
          <w:p w14:paraId="6B2D278E" w14:textId="6156D69D"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120</w:t>
            </w:r>
          </w:p>
        </w:tc>
        <w:tc>
          <w:tcPr>
            <w:tcW w:w="2576" w:type="dxa"/>
            <w:tcBorders>
              <w:top w:val="single" w:sz="12" w:space="0" w:color="auto"/>
            </w:tcBorders>
          </w:tcPr>
          <w:p w14:paraId="3E5363E1" w14:textId="12D6B1C5"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37.38</w:t>
            </w:r>
          </w:p>
        </w:tc>
      </w:tr>
      <w:tr w:rsidR="00FD5B5F" w:rsidRPr="00FD5B5F" w14:paraId="60B78FA1" w14:textId="77777777" w:rsidTr="00FD5B5F">
        <w:trPr>
          <w:trHeight w:val="254"/>
        </w:trPr>
        <w:tc>
          <w:tcPr>
            <w:tcW w:w="2720" w:type="dxa"/>
          </w:tcPr>
          <w:p w14:paraId="3F127F3C" w14:textId="1BD93A7A" w:rsidR="00FD5B5F" w:rsidRPr="00FD5B5F" w:rsidRDefault="00FD5B5F" w:rsidP="00FD5B5F">
            <w:pPr>
              <w:contextualSpacing/>
              <w:rPr>
                <w:rFonts w:ascii="Arial" w:hAnsi="Arial" w:cs="Arial"/>
                <w:color w:val="000000" w:themeColor="text1"/>
                <w:sz w:val="20"/>
                <w:szCs w:val="20"/>
              </w:rPr>
            </w:pPr>
            <w:r w:rsidRPr="00483795">
              <w:rPr>
                <w:rFonts w:ascii="Arial" w:hAnsi="Arial" w:cs="Arial"/>
                <w:sz w:val="20"/>
                <w:szCs w:val="20"/>
                <w:lang w:val="en-PH"/>
              </w:rPr>
              <w:t>21 to 23 years old</w:t>
            </w:r>
          </w:p>
        </w:tc>
        <w:tc>
          <w:tcPr>
            <w:tcW w:w="2890" w:type="dxa"/>
          </w:tcPr>
          <w:p w14:paraId="43A7F132" w14:textId="12B0158B"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124</w:t>
            </w:r>
          </w:p>
        </w:tc>
        <w:tc>
          <w:tcPr>
            <w:tcW w:w="2576" w:type="dxa"/>
          </w:tcPr>
          <w:p w14:paraId="1CDCE12F" w14:textId="47092BAE"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38.63</w:t>
            </w:r>
          </w:p>
        </w:tc>
      </w:tr>
      <w:tr w:rsidR="00FD5B5F" w:rsidRPr="00FD5B5F" w14:paraId="495A3E93" w14:textId="77777777" w:rsidTr="00FD5B5F">
        <w:trPr>
          <w:trHeight w:val="244"/>
        </w:trPr>
        <w:tc>
          <w:tcPr>
            <w:tcW w:w="2720" w:type="dxa"/>
          </w:tcPr>
          <w:p w14:paraId="7D0DFF3B" w14:textId="60EACE07" w:rsidR="00FD5B5F" w:rsidRPr="00FD5B5F" w:rsidRDefault="00FD5B5F" w:rsidP="00FD5B5F">
            <w:pPr>
              <w:contextualSpacing/>
              <w:rPr>
                <w:rFonts w:ascii="Arial" w:hAnsi="Arial" w:cs="Arial"/>
                <w:color w:val="000000" w:themeColor="text1"/>
                <w:sz w:val="20"/>
                <w:szCs w:val="20"/>
              </w:rPr>
            </w:pPr>
            <w:r w:rsidRPr="00483795">
              <w:rPr>
                <w:rFonts w:ascii="Arial" w:hAnsi="Arial" w:cs="Arial"/>
                <w:sz w:val="20"/>
                <w:szCs w:val="20"/>
                <w:lang w:val="en-PH"/>
              </w:rPr>
              <w:t>24 to 26 years old</w:t>
            </w:r>
          </w:p>
        </w:tc>
        <w:tc>
          <w:tcPr>
            <w:tcW w:w="2890" w:type="dxa"/>
          </w:tcPr>
          <w:p w14:paraId="1D058248" w14:textId="27F69CA6"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66</w:t>
            </w:r>
          </w:p>
        </w:tc>
        <w:tc>
          <w:tcPr>
            <w:tcW w:w="2576" w:type="dxa"/>
          </w:tcPr>
          <w:p w14:paraId="7763C3C4" w14:textId="64DF45C1"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20.56</w:t>
            </w:r>
          </w:p>
        </w:tc>
      </w:tr>
      <w:tr w:rsidR="00FD5B5F" w:rsidRPr="00FD5B5F" w14:paraId="625A44D3" w14:textId="77777777" w:rsidTr="00FD5B5F">
        <w:trPr>
          <w:trHeight w:val="255"/>
        </w:trPr>
        <w:tc>
          <w:tcPr>
            <w:tcW w:w="2720" w:type="dxa"/>
          </w:tcPr>
          <w:p w14:paraId="261F575C" w14:textId="3186988E" w:rsidR="00FD5B5F" w:rsidRPr="00FD5B5F" w:rsidRDefault="00FD5B5F" w:rsidP="00FD5B5F">
            <w:pPr>
              <w:contextualSpacing/>
              <w:rPr>
                <w:rFonts w:ascii="Arial" w:hAnsi="Arial" w:cs="Arial"/>
                <w:color w:val="000000" w:themeColor="text1"/>
                <w:sz w:val="20"/>
                <w:szCs w:val="20"/>
              </w:rPr>
            </w:pPr>
            <w:r w:rsidRPr="00483795">
              <w:rPr>
                <w:rFonts w:ascii="Arial" w:hAnsi="Arial" w:cs="Arial"/>
                <w:sz w:val="20"/>
                <w:szCs w:val="20"/>
                <w:lang w:val="en-PH"/>
              </w:rPr>
              <w:t>27 years old and above</w:t>
            </w:r>
          </w:p>
        </w:tc>
        <w:tc>
          <w:tcPr>
            <w:tcW w:w="2890" w:type="dxa"/>
          </w:tcPr>
          <w:p w14:paraId="1B67229D" w14:textId="2DADDA88"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11</w:t>
            </w:r>
          </w:p>
        </w:tc>
        <w:tc>
          <w:tcPr>
            <w:tcW w:w="2576" w:type="dxa"/>
          </w:tcPr>
          <w:p w14:paraId="5EA7B1BB" w14:textId="4314D348" w:rsidR="00FD5B5F" w:rsidRPr="00FD5B5F" w:rsidRDefault="00FD5B5F" w:rsidP="00FD5B5F">
            <w:pPr>
              <w:contextualSpacing/>
              <w:jc w:val="center"/>
              <w:rPr>
                <w:rFonts w:ascii="Arial" w:hAnsi="Arial" w:cs="Arial"/>
                <w:color w:val="000000" w:themeColor="text1"/>
                <w:sz w:val="20"/>
                <w:szCs w:val="20"/>
              </w:rPr>
            </w:pPr>
            <w:r w:rsidRPr="00483795">
              <w:rPr>
                <w:rFonts w:ascii="Arial" w:hAnsi="Arial" w:cs="Arial"/>
                <w:sz w:val="20"/>
                <w:szCs w:val="20"/>
                <w:lang w:val="en-PH"/>
              </w:rPr>
              <w:t>3.43</w:t>
            </w:r>
          </w:p>
        </w:tc>
      </w:tr>
      <w:tr w:rsidR="00FD5B5F" w:rsidRPr="00FD5B5F" w14:paraId="75DA221F" w14:textId="77777777" w:rsidTr="00FD5B5F">
        <w:trPr>
          <w:trHeight w:val="255"/>
        </w:trPr>
        <w:tc>
          <w:tcPr>
            <w:tcW w:w="2720" w:type="dxa"/>
            <w:tcBorders>
              <w:top w:val="single" w:sz="12" w:space="0" w:color="auto"/>
              <w:bottom w:val="single" w:sz="12" w:space="0" w:color="auto"/>
            </w:tcBorders>
          </w:tcPr>
          <w:p w14:paraId="2086B547" w14:textId="6DC2AE45" w:rsidR="00FD5B5F" w:rsidRPr="00FD5B5F" w:rsidRDefault="00FD5B5F" w:rsidP="00FD5B5F">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Total</w:t>
            </w:r>
          </w:p>
        </w:tc>
        <w:tc>
          <w:tcPr>
            <w:tcW w:w="2890" w:type="dxa"/>
            <w:tcBorders>
              <w:top w:val="single" w:sz="12" w:space="0" w:color="auto"/>
              <w:bottom w:val="single" w:sz="12" w:space="0" w:color="auto"/>
            </w:tcBorders>
          </w:tcPr>
          <w:p w14:paraId="6AE53929" w14:textId="21345F9D" w:rsidR="00FD5B5F" w:rsidRPr="00FD5B5F" w:rsidRDefault="00FD5B5F" w:rsidP="00FD5B5F">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321</w:t>
            </w:r>
          </w:p>
        </w:tc>
        <w:tc>
          <w:tcPr>
            <w:tcW w:w="2576" w:type="dxa"/>
            <w:tcBorders>
              <w:top w:val="single" w:sz="12" w:space="0" w:color="auto"/>
              <w:bottom w:val="single" w:sz="12" w:space="0" w:color="auto"/>
            </w:tcBorders>
          </w:tcPr>
          <w:p w14:paraId="76CEC7F6" w14:textId="79C4871B" w:rsidR="00FD5B5F" w:rsidRPr="00FD5B5F" w:rsidRDefault="00FD5B5F" w:rsidP="00FD5B5F">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100.00</w:t>
            </w:r>
          </w:p>
        </w:tc>
      </w:tr>
    </w:tbl>
    <w:p w14:paraId="37AB0FE4" w14:textId="77777777" w:rsidR="004C4FC1" w:rsidRDefault="004C4FC1" w:rsidP="00441B6F">
      <w:pPr>
        <w:pStyle w:val="Body"/>
        <w:spacing w:after="0"/>
        <w:rPr>
          <w:rFonts w:ascii="Arial" w:hAnsi="Arial" w:cs="Arial"/>
        </w:rPr>
      </w:pPr>
    </w:p>
    <w:p w14:paraId="49DAA3DB" w14:textId="77777777" w:rsidR="00CB6692" w:rsidRDefault="00CB6692" w:rsidP="00441B6F">
      <w:pPr>
        <w:pStyle w:val="Body"/>
        <w:spacing w:after="0"/>
        <w:rPr>
          <w:rFonts w:ascii="Arial" w:hAnsi="Arial" w:cs="Arial"/>
        </w:rPr>
      </w:pPr>
      <w:r w:rsidRPr="00CB6692">
        <w:rPr>
          <w:rFonts w:ascii="Arial" w:hAnsi="Arial" w:cs="Arial"/>
        </w:rPr>
        <w:t xml:space="preserve">This result aligns with data from Cebu (2023), which confirms that the majority of college students in the Philippines are between 18 and 20 years old. According to Mauman and Cranney (2020), this age group represents the bulk of undergraduate enrollment, especially in public colleges and universities. Similarly, the findings of Liu et al. (2019) emphasized that students in this range are most likely to be in their undergraduate years. </w:t>
      </w:r>
    </w:p>
    <w:p w14:paraId="37BC4D7A" w14:textId="77777777" w:rsidR="00CB6692" w:rsidRDefault="00CB6692" w:rsidP="00441B6F">
      <w:pPr>
        <w:pStyle w:val="Body"/>
        <w:spacing w:after="0"/>
        <w:rPr>
          <w:rFonts w:ascii="Arial" w:hAnsi="Arial" w:cs="Arial"/>
        </w:rPr>
      </w:pPr>
    </w:p>
    <w:p w14:paraId="78DC4D97" w14:textId="4F8870AB" w:rsidR="009004AD" w:rsidRDefault="009004AD" w:rsidP="00441B6F">
      <w:pPr>
        <w:pStyle w:val="Body"/>
        <w:spacing w:after="0"/>
        <w:rPr>
          <w:rFonts w:ascii="Arial" w:hAnsi="Arial" w:cs="Arial"/>
        </w:rPr>
      </w:pPr>
      <w:r w:rsidRPr="009004AD">
        <w:rPr>
          <w:rFonts w:ascii="Arial" w:hAnsi="Arial" w:cs="Arial"/>
        </w:rPr>
        <w:t xml:space="preserve">Table </w:t>
      </w:r>
      <w:r w:rsidR="00DA06D4">
        <w:rPr>
          <w:rFonts w:ascii="Arial" w:hAnsi="Arial" w:cs="Arial"/>
        </w:rPr>
        <w:t>3</w:t>
      </w:r>
      <w:r w:rsidRPr="009004AD">
        <w:rPr>
          <w:rFonts w:ascii="Arial" w:hAnsi="Arial" w:cs="Arial"/>
        </w:rPr>
        <w:t xml:space="preserve"> presents the gender profile of the respondents, emphasizing that the majority of the respondents (f=210, p=65.42%) identify as female. On the other hand, a smaller portion (f=10, p=3.12%) identifies themselves as members of the LGBTQ+ community, which accounts for the lowest number of respondents in this study. The inclusion of LGBTQ+ respondents, though a minority in this study, is significant as it indicates growing visibility and acceptance of diverse gender identities within the academic community.</w:t>
      </w:r>
    </w:p>
    <w:p w14:paraId="2C9E41AC" w14:textId="77777777" w:rsidR="009004AD" w:rsidRDefault="009004AD" w:rsidP="00441B6F">
      <w:pPr>
        <w:pStyle w:val="Body"/>
        <w:spacing w:after="0"/>
        <w:rPr>
          <w:rFonts w:ascii="Arial" w:hAnsi="Arial" w:cs="Arial"/>
        </w:rPr>
      </w:pPr>
    </w:p>
    <w:p w14:paraId="635F92CA" w14:textId="216AF998" w:rsidR="009004AD" w:rsidRPr="00B21F05" w:rsidRDefault="009004AD" w:rsidP="00B21F05">
      <w:pPr>
        <w:jc w:val="both"/>
        <w:rPr>
          <w:rFonts w:ascii="Arial" w:hAnsi="Arial" w:cs="Arial"/>
          <w:b/>
          <w:bCs/>
          <w:color w:val="000000" w:themeColor="text1"/>
        </w:rPr>
      </w:pPr>
      <w:r w:rsidRPr="00A51FB1">
        <w:rPr>
          <w:rFonts w:ascii="Arial" w:hAnsi="Arial" w:cs="Arial"/>
          <w:b/>
          <w:bCs/>
          <w:color w:val="000000" w:themeColor="text1"/>
        </w:rPr>
        <w:t xml:space="preserve">Table </w:t>
      </w:r>
      <w:r>
        <w:rPr>
          <w:rFonts w:ascii="Arial" w:hAnsi="Arial" w:cs="Arial"/>
          <w:b/>
          <w:bCs/>
          <w:color w:val="000000" w:themeColor="text1"/>
        </w:rPr>
        <w:t>3</w:t>
      </w:r>
      <w:r w:rsidR="00B21F05">
        <w:rPr>
          <w:rFonts w:ascii="Arial" w:hAnsi="Arial" w:cs="Arial"/>
          <w:b/>
          <w:bCs/>
          <w:color w:val="000000" w:themeColor="text1"/>
        </w:rPr>
        <w:t xml:space="preserve">. </w:t>
      </w:r>
      <w:r w:rsidRPr="00B21F05">
        <w:rPr>
          <w:rFonts w:ascii="Arial" w:hAnsi="Arial" w:cs="Arial"/>
          <w:b/>
          <w:bCs/>
          <w:color w:val="000000" w:themeColor="text1"/>
        </w:rPr>
        <w:t xml:space="preserve">Profile of the respondents in terms of gender </w:t>
      </w:r>
    </w:p>
    <w:tbl>
      <w:tblPr>
        <w:tblStyle w:val="TableGrid"/>
        <w:tblW w:w="8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2890"/>
        <w:gridCol w:w="2576"/>
      </w:tblGrid>
      <w:tr w:rsidR="009004AD" w:rsidRPr="00FD5B5F" w14:paraId="662B4B3E" w14:textId="77777777" w:rsidTr="00982FB8">
        <w:trPr>
          <w:trHeight w:val="255"/>
        </w:trPr>
        <w:tc>
          <w:tcPr>
            <w:tcW w:w="2720" w:type="dxa"/>
            <w:tcBorders>
              <w:top w:val="single" w:sz="12" w:space="0" w:color="auto"/>
              <w:bottom w:val="single" w:sz="12" w:space="0" w:color="auto"/>
            </w:tcBorders>
          </w:tcPr>
          <w:p w14:paraId="648F2CBE" w14:textId="1756B65A" w:rsidR="009004AD" w:rsidRPr="00FD5B5F" w:rsidRDefault="00DA5A4B" w:rsidP="00982FB8">
            <w:pPr>
              <w:contextualSpacing/>
              <w:jc w:val="center"/>
              <w:rPr>
                <w:rFonts w:ascii="Arial" w:hAnsi="Arial" w:cs="Arial"/>
                <w:b/>
                <w:bCs/>
                <w:color w:val="000000" w:themeColor="text1"/>
                <w:sz w:val="20"/>
                <w:szCs w:val="20"/>
              </w:rPr>
            </w:pPr>
            <w:r>
              <w:rPr>
                <w:rFonts w:ascii="Arial" w:hAnsi="Arial" w:cs="Arial"/>
                <w:b/>
                <w:bCs/>
                <w:sz w:val="20"/>
                <w:szCs w:val="20"/>
                <w:lang w:val="en-PH"/>
              </w:rPr>
              <w:t>Gender</w:t>
            </w:r>
          </w:p>
        </w:tc>
        <w:tc>
          <w:tcPr>
            <w:tcW w:w="2890" w:type="dxa"/>
            <w:tcBorders>
              <w:top w:val="single" w:sz="12" w:space="0" w:color="auto"/>
              <w:bottom w:val="single" w:sz="12" w:space="0" w:color="auto"/>
            </w:tcBorders>
          </w:tcPr>
          <w:p w14:paraId="63B45B4C" w14:textId="77777777" w:rsidR="009004AD" w:rsidRPr="00FD5B5F" w:rsidRDefault="009004AD" w:rsidP="00982FB8">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Frequency</w:t>
            </w:r>
          </w:p>
        </w:tc>
        <w:tc>
          <w:tcPr>
            <w:tcW w:w="2576" w:type="dxa"/>
            <w:tcBorders>
              <w:top w:val="single" w:sz="12" w:space="0" w:color="auto"/>
              <w:bottom w:val="single" w:sz="12" w:space="0" w:color="auto"/>
            </w:tcBorders>
          </w:tcPr>
          <w:p w14:paraId="191F707E" w14:textId="77777777" w:rsidR="009004AD" w:rsidRPr="00FD5B5F" w:rsidRDefault="009004AD" w:rsidP="00982FB8">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Percent (%)</w:t>
            </w:r>
          </w:p>
        </w:tc>
      </w:tr>
      <w:tr w:rsidR="00DA5A4B" w:rsidRPr="00FD5B5F" w14:paraId="4CC7E578" w14:textId="77777777" w:rsidTr="00982FB8">
        <w:trPr>
          <w:trHeight w:val="249"/>
        </w:trPr>
        <w:tc>
          <w:tcPr>
            <w:tcW w:w="2720" w:type="dxa"/>
            <w:tcBorders>
              <w:top w:val="single" w:sz="12" w:space="0" w:color="auto"/>
            </w:tcBorders>
          </w:tcPr>
          <w:p w14:paraId="25F26F94" w14:textId="3C7B266A" w:rsidR="00DA5A4B" w:rsidRPr="00DA5A4B" w:rsidRDefault="00DA5A4B" w:rsidP="00DA5A4B">
            <w:pPr>
              <w:contextualSpacing/>
              <w:rPr>
                <w:rFonts w:ascii="Arial" w:hAnsi="Arial" w:cs="Arial"/>
                <w:color w:val="000000" w:themeColor="text1"/>
                <w:sz w:val="20"/>
                <w:szCs w:val="20"/>
              </w:rPr>
            </w:pPr>
            <w:r w:rsidRPr="00B87B46">
              <w:rPr>
                <w:rFonts w:ascii="Arial" w:hAnsi="Arial" w:cs="Arial"/>
                <w:color w:val="000000" w:themeColor="text1"/>
                <w:sz w:val="20"/>
                <w:szCs w:val="20"/>
              </w:rPr>
              <w:t>Female</w:t>
            </w:r>
          </w:p>
        </w:tc>
        <w:tc>
          <w:tcPr>
            <w:tcW w:w="2890" w:type="dxa"/>
            <w:tcBorders>
              <w:top w:val="single" w:sz="12" w:space="0" w:color="auto"/>
            </w:tcBorders>
          </w:tcPr>
          <w:p w14:paraId="60AF4360" w14:textId="7A6DA749" w:rsidR="00DA5A4B" w:rsidRPr="00DA5A4B" w:rsidRDefault="00DA5A4B" w:rsidP="00DA5A4B">
            <w:pPr>
              <w:contextualSpacing/>
              <w:jc w:val="center"/>
              <w:rPr>
                <w:rFonts w:ascii="Arial" w:hAnsi="Arial" w:cs="Arial"/>
                <w:color w:val="000000" w:themeColor="text1"/>
                <w:sz w:val="20"/>
                <w:szCs w:val="20"/>
              </w:rPr>
            </w:pPr>
            <w:r w:rsidRPr="00B87B46">
              <w:rPr>
                <w:rFonts w:ascii="Arial" w:hAnsi="Arial" w:cs="Arial"/>
                <w:color w:val="000000" w:themeColor="text1"/>
                <w:sz w:val="20"/>
                <w:szCs w:val="20"/>
              </w:rPr>
              <w:t>210</w:t>
            </w:r>
          </w:p>
        </w:tc>
        <w:tc>
          <w:tcPr>
            <w:tcW w:w="2576" w:type="dxa"/>
            <w:tcBorders>
              <w:top w:val="single" w:sz="12" w:space="0" w:color="auto"/>
            </w:tcBorders>
          </w:tcPr>
          <w:p w14:paraId="3EB8A612" w14:textId="2C540BBF" w:rsidR="00DA5A4B" w:rsidRPr="00DA5A4B" w:rsidRDefault="00DA5A4B" w:rsidP="00DA5A4B">
            <w:pPr>
              <w:contextualSpacing/>
              <w:jc w:val="center"/>
              <w:rPr>
                <w:rFonts w:ascii="Arial" w:hAnsi="Arial" w:cs="Arial"/>
                <w:color w:val="000000" w:themeColor="text1"/>
                <w:sz w:val="20"/>
                <w:szCs w:val="20"/>
              </w:rPr>
            </w:pPr>
            <w:r w:rsidRPr="00B87B46">
              <w:rPr>
                <w:rFonts w:ascii="Arial" w:hAnsi="Arial" w:cs="Arial"/>
                <w:color w:val="000000" w:themeColor="text1"/>
                <w:sz w:val="20"/>
                <w:szCs w:val="20"/>
              </w:rPr>
              <w:t>65.42</w:t>
            </w:r>
          </w:p>
        </w:tc>
      </w:tr>
      <w:tr w:rsidR="00DA5A4B" w:rsidRPr="00FD5B5F" w14:paraId="21F72181" w14:textId="77777777" w:rsidTr="00982FB8">
        <w:trPr>
          <w:trHeight w:val="254"/>
        </w:trPr>
        <w:tc>
          <w:tcPr>
            <w:tcW w:w="2720" w:type="dxa"/>
          </w:tcPr>
          <w:p w14:paraId="2BBAF9C5" w14:textId="309CB638" w:rsidR="00DA5A4B" w:rsidRPr="00DA5A4B" w:rsidRDefault="00DA5A4B" w:rsidP="00DA5A4B">
            <w:pPr>
              <w:contextualSpacing/>
              <w:rPr>
                <w:rFonts w:ascii="Arial" w:hAnsi="Arial" w:cs="Arial"/>
                <w:color w:val="000000" w:themeColor="text1"/>
                <w:sz w:val="20"/>
                <w:szCs w:val="20"/>
              </w:rPr>
            </w:pPr>
            <w:r w:rsidRPr="00B87B46">
              <w:rPr>
                <w:rFonts w:ascii="Arial" w:hAnsi="Arial" w:cs="Arial"/>
                <w:color w:val="000000" w:themeColor="text1"/>
                <w:sz w:val="20"/>
                <w:szCs w:val="20"/>
              </w:rPr>
              <w:t>Male</w:t>
            </w:r>
          </w:p>
        </w:tc>
        <w:tc>
          <w:tcPr>
            <w:tcW w:w="2890" w:type="dxa"/>
          </w:tcPr>
          <w:p w14:paraId="3F0CD7DA" w14:textId="3BF8DBD5" w:rsidR="00DA5A4B" w:rsidRPr="00DA5A4B" w:rsidRDefault="00DA5A4B" w:rsidP="00DA5A4B">
            <w:pPr>
              <w:contextualSpacing/>
              <w:jc w:val="center"/>
              <w:rPr>
                <w:rFonts w:ascii="Arial" w:hAnsi="Arial" w:cs="Arial"/>
                <w:color w:val="000000" w:themeColor="text1"/>
                <w:sz w:val="20"/>
                <w:szCs w:val="20"/>
              </w:rPr>
            </w:pPr>
            <w:r w:rsidRPr="00B87B46">
              <w:rPr>
                <w:rFonts w:ascii="Arial" w:hAnsi="Arial" w:cs="Arial"/>
                <w:color w:val="000000" w:themeColor="text1"/>
                <w:sz w:val="20"/>
                <w:szCs w:val="20"/>
              </w:rPr>
              <w:t>101</w:t>
            </w:r>
          </w:p>
        </w:tc>
        <w:tc>
          <w:tcPr>
            <w:tcW w:w="2576" w:type="dxa"/>
          </w:tcPr>
          <w:p w14:paraId="6AC1A580" w14:textId="5154006D" w:rsidR="00DA5A4B" w:rsidRPr="00DA5A4B" w:rsidRDefault="00DA5A4B" w:rsidP="00DA5A4B">
            <w:pPr>
              <w:contextualSpacing/>
              <w:jc w:val="center"/>
              <w:rPr>
                <w:rFonts w:ascii="Arial" w:hAnsi="Arial" w:cs="Arial"/>
                <w:color w:val="000000" w:themeColor="text1"/>
                <w:sz w:val="20"/>
                <w:szCs w:val="20"/>
              </w:rPr>
            </w:pPr>
            <w:r w:rsidRPr="00B87B46">
              <w:rPr>
                <w:rFonts w:ascii="Arial" w:hAnsi="Arial" w:cs="Arial"/>
                <w:color w:val="000000" w:themeColor="text1"/>
                <w:sz w:val="20"/>
                <w:szCs w:val="20"/>
              </w:rPr>
              <w:t>31.46</w:t>
            </w:r>
          </w:p>
        </w:tc>
      </w:tr>
      <w:tr w:rsidR="00DA5A4B" w:rsidRPr="00FD5B5F" w14:paraId="186ACD82" w14:textId="77777777" w:rsidTr="00982FB8">
        <w:trPr>
          <w:trHeight w:val="244"/>
        </w:trPr>
        <w:tc>
          <w:tcPr>
            <w:tcW w:w="2720" w:type="dxa"/>
          </w:tcPr>
          <w:p w14:paraId="20CD0AF6" w14:textId="28079479" w:rsidR="00DA5A4B" w:rsidRPr="00DA5A4B" w:rsidRDefault="00DA5A4B" w:rsidP="00DA5A4B">
            <w:pPr>
              <w:contextualSpacing/>
              <w:rPr>
                <w:rFonts w:ascii="Arial" w:hAnsi="Arial" w:cs="Arial"/>
                <w:color w:val="000000" w:themeColor="text1"/>
                <w:sz w:val="20"/>
                <w:szCs w:val="20"/>
              </w:rPr>
            </w:pPr>
            <w:r w:rsidRPr="00B87B46">
              <w:rPr>
                <w:rFonts w:ascii="Arial" w:hAnsi="Arial" w:cs="Arial"/>
                <w:color w:val="000000" w:themeColor="text1"/>
                <w:sz w:val="20"/>
                <w:szCs w:val="20"/>
              </w:rPr>
              <w:t>LGBTQ+</w:t>
            </w:r>
          </w:p>
        </w:tc>
        <w:tc>
          <w:tcPr>
            <w:tcW w:w="2890" w:type="dxa"/>
          </w:tcPr>
          <w:p w14:paraId="752A4293" w14:textId="004D6DA4" w:rsidR="00DA5A4B" w:rsidRPr="00DA5A4B" w:rsidRDefault="00DA5A4B" w:rsidP="00DA5A4B">
            <w:pPr>
              <w:contextualSpacing/>
              <w:jc w:val="center"/>
              <w:rPr>
                <w:rFonts w:ascii="Arial" w:hAnsi="Arial" w:cs="Arial"/>
                <w:color w:val="000000" w:themeColor="text1"/>
                <w:sz w:val="20"/>
                <w:szCs w:val="20"/>
              </w:rPr>
            </w:pPr>
            <w:r w:rsidRPr="00B87B46">
              <w:rPr>
                <w:rFonts w:ascii="Arial" w:hAnsi="Arial" w:cs="Arial"/>
                <w:color w:val="000000" w:themeColor="text1"/>
                <w:sz w:val="20"/>
                <w:szCs w:val="20"/>
              </w:rPr>
              <w:t>10</w:t>
            </w:r>
          </w:p>
        </w:tc>
        <w:tc>
          <w:tcPr>
            <w:tcW w:w="2576" w:type="dxa"/>
          </w:tcPr>
          <w:p w14:paraId="7148FEFB" w14:textId="3792BFD7" w:rsidR="00DA5A4B" w:rsidRPr="00DA5A4B" w:rsidRDefault="00DA5A4B" w:rsidP="00DA5A4B">
            <w:pPr>
              <w:contextualSpacing/>
              <w:jc w:val="center"/>
              <w:rPr>
                <w:rFonts w:ascii="Arial" w:hAnsi="Arial" w:cs="Arial"/>
                <w:color w:val="000000" w:themeColor="text1"/>
                <w:sz w:val="20"/>
                <w:szCs w:val="20"/>
              </w:rPr>
            </w:pPr>
            <w:r w:rsidRPr="00B87B46">
              <w:rPr>
                <w:rFonts w:ascii="Arial" w:hAnsi="Arial" w:cs="Arial"/>
                <w:color w:val="000000" w:themeColor="text1"/>
                <w:sz w:val="20"/>
                <w:szCs w:val="20"/>
              </w:rPr>
              <w:t>3.12</w:t>
            </w:r>
          </w:p>
        </w:tc>
      </w:tr>
      <w:tr w:rsidR="00DA5A4B" w:rsidRPr="00FD5B5F" w14:paraId="72EA4788" w14:textId="77777777" w:rsidTr="00982FB8">
        <w:trPr>
          <w:trHeight w:val="255"/>
        </w:trPr>
        <w:tc>
          <w:tcPr>
            <w:tcW w:w="2720" w:type="dxa"/>
            <w:tcBorders>
              <w:top w:val="single" w:sz="12" w:space="0" w:color="auto"/>
              <w:bottom w:val="single" w:sz="12" w:space="0" w:color="auto"/>
            </w:tcBorders>
          </w:tcPr>
          <w:p w14:paraId="1993B259" w14:textId="249661FE" w:rsidR="00DA5A4B" w:rsidRPr="00DA5A4B" w:rsidRDefault="00DA5A4B" w:rsidP="00DA5A4B">
            <w:pPr>
              <w:contextualSpacing/>
              <w:jc w:val="center"/>
              <w:rPr>
                <w:rFonts w:ascii="Arial" w:hAnsi="Arial" w:cs="Arial"/>
                <w:b/>
                <w:bCs/>
                <w:color w:val="000000" w:themeColor="text1"/>
                <w:sz w:val="20"/>
                <w:szCs w:val="20"/>
              </w:rPr>
            </w:pPr>
            <w:r w:rsidRPr="00B87B46">
              <w:rPr>
                <w:rFonts w:ascii="Arial" w:hAnsi="Arial" w:cs="Arial"/>
                <w:color w:val="000000" w:themeColor="text1"/>
                <w:sz w:val="20"/>
                <w:szCs w:val="20"/>
              </w:rPr>
              <w:t>Total</w:t>
            </w:r>
          </w:p>
        </w:tc>
        <w:tc>
          <w:tcPr>
            <w:tcW w:w="2890" w:type="dxa"/>
            <w:tcBorders>
              <w:top w:val="single" w:sz="12" w:space="0" w:color="auto"/>
              <w:bottom w:val="single" w:sz="12" w:space="0" w:color="auto"/>
            </w:tcBorders>
          </w:tcPr>
          <w:p w14:paraId="522DC2CB" w14:textId="29D03726" w:rsidR="00DA5A4B" w:rsidRPr="00DA5A4B" w:rsidRDefault="00DA5A4B" w:rsidP="00DA5A4B">
            <w:pPr>
              <w:contextualSpacing/>
              <w:jc w:val="center"/>
              <w:rPr>
                <w:rFonts w:ascii="Arial" w:hAnsi="Arial" w:cs="Arial"/>
                <w:b/>
                <w:bCs/>
                <w:color w:val="000000" w:themeColor="text1"/>
                <w:sz w:val="20"/>
                <w:szCs w:val="20"/>
              </w:rPr>
            </w:pPr>
            <w:r w:rsidRPr="00B87B46">
              <w:rPr>
                <w:rFonts w:ascii="Arial" w:hAnsi="Arial" w:cs="Arial"/>
                <w:b/>
                <w:color w:val="000000" w:themeColor="text1"/>
                <w:sz w:val="20"/>
                <w:szCs w:val="20"/>
              </w:rPr>
              <w:t>321</w:t>
            </w:r>
          </w:p>
        </w:tc>
        <w:tc>
          <w:tcPr>
            <w:tcW w:w="2576" w:type="dxa"/>
            <w:tcBorders>
              <w:top w:val="single" w:sz="12" w:space="0" w:color="auto"/>
              <w:bottom w:val="single" w:sz="12" w:space="0" w:color="auto"/>
            </w:tcBorders>
          </w:tcPr>
          <w:p w14:paraId="4096C402" w14:textId="454CF420" w:rsidR="00DA5A4B" w:rsidRPr="00DA5A4B" w:rsidRDefault="00DA5A4B" w:rsidP="00DA5A4B">
            <w:pPr>
              <w:contextualSpacing/>
              <w:jc w:val="center"/>
              <w:rPr>
                <w:rFonts w:ascii="Arial" w:hAnsi="Arial" w:cs="Arial"/>
                <w:b/>
                <w:bCs/>
                <w:color w:val="000000" w:themeColor="text1"/>
                <w:sz w:val="20"/>
                <w:szCs w:val="20"/>
              </w:rPr>
            </w:pPr>
            <w:r w:rsidRPr="00B87B46">
              <w:rPr>
                <w:rFonts w:ascii="Arial" w:hAnsi="Arial" w:cs="Arial"/>
                <w:b/>
                <w:color w:val="000000" w:themeColor="text1"/>
                <w:sz w:val="20"/>
                <w:szCs w:val="20"/>
              </w:rPr>
              <w:t>100.00</w:t>
            </w:r>
          </w:p>
        </w:tc>
      </w:tr>
    </w:tbl>
    <w:p w14:paraId="4AD7C504" w14:textId="77777777" w:rsidR="009004AD" w:rsidRDefault="009004AD" w:rsidP="00441B6F">
      <w:pPr>
        <w:pStyle w:val="Body"/>
        <w:spacing w:after="0"/>
        <w:rPr>
          <w:rFonts w:ascii="Arial" w:hAnsi="Arial" w:cs="Arial"/>
        </w:rPr>
      </w:pPr>
    </w:p>
    <w:p w14:paraId="4B97BD78" w14:textId="6055B819" w:rsidR="009004AD" w:rsidRDefault="009004AD" w:rsidP="00441B6F">
      <w:pPr>
        <w:pStyle w:val="Body"/>
        <w:spacing w:after="0"/>
        <w:rPr>
          <w:rFonts w:ascii="Arial" w:hAnsi="Arial" w:cs="Arial"/>
        </w:rPr>
      </w:pPr>
      <w:r w:rsidRPr="009004AD">
        <w:rPr>
          <w:rFonts w:ascii="Arial" w:hAnsi="Arial" w:cs="Arial"/>
        </w:rPr>
        <w:t>The predominance of female respondents is consistent with Viloria (2022), indicating that female students comprise a higher percentage of enrollees in Philippine higher education institutions, particularly in fields like education, business, and health</w:t>
      </w:r>
      <w:r w:rsidR="00DF60CE">
        <w:rPr>
          <w:rFonts w:ascii="Arial" w:hAnsi="Arial" w:cs="Arial"/>
        </w:rPr>
        <w:t>-</w:t>
      </w:r>
      <w:r w:rsidRPr="009004AD">
        <w:rPr>
          <w:rFonts w:ascii="Arial" w:hAnsi="Arial" w:cs="Arial"/>
        </w:rPr>
        <w:t>related programs. Additionally, Cheryan et al (2017) observed that women increasingly outnumber men in most university programs except engineering and technical fields. Moreover, the inclusion of LGBTQ+ as a category demonstrates an effort to recognize diverse gender identities, in line with inclusive academic practices. According to Pusateri (2023), recent institutional surveys now accommodate non-binary identities as part of ethical and gender-sensitive research protocols.</w:t>
      </w:r>
    </w:p>
    <w:p w14:paraId="155A0EC4" w14:textId="77777777" w:rsidR="009004AD" w:rsidRDefault="009004AD" w:rsidP="00441B6F">
      <w:pPr>
        <w:pStyle w:val="Body"/>
        <w:spacing w:after="0"/>
        <w:rPr>
          <w:rFonts w:ascii="Arial" w:hAnsi="Arial" w:cs="Arial"/>
        </w:rPr>
      </w:pPr>
    </w:p>
    <w:p w14:paraId="5169BE50" w14:textId="422F8655" w:rsidR="00BE11EE" w:rsidRDefault="00BE11EE" w:rsidP="00441B6F">
      <w:pPr>
        <w:pStyle w:val="Body"/>
        <w:spacing w:after="0"/>
        <w:rPr>
          <w:rFonts w:ascii="Arial" w:hAnsi="Arial" w:cs="Arial"/>
        </w:rPr>
      </w:pPr>
      <w:r w:rsidRPr="00BE11EE">
        <w:rPr>
          <w:rFonts w:ascii="Arial" w:hAnsi="Arial" w:cs="Arial"/>
        </w:rPr>
        <w:t xml:space="preserve">Table </w:t>
      </w:r>
      <w:r w:rsidR="00954151">
        <w:rPr>
          <w:rFonts w:ascii="Arial" w:hAnsi="Arial" w:cs="Arial"/>
        </w:rPr>
        <w:t>4</w:t>
      </w:r>
      <w:r w:rsidRPr="00BE11EE">
        <w:rPr>
          <w:rFonts w:ascii="Arial" w:hAnsi="Arial" w:cs="Arial"/>
        </w:rPr>
        <w:t xml:space="preserve"> displays the distribution of respondents, indicating a well</w:t>
      </w:r>
      <w:r w:rsidR="00E24B1F">
        <w:rPr>
          <w:rFonts w:ascii="Arial" w:hAnsi="Arial" w:cs="Arial"/>
        </w:rPr>
        <w:t>-</w:t>
      </w:r>
      <w:r w:rsidRPr="00BE11EE">
        <w:rPr>
          <w:rFonts w:ascii="Arial" w:hAnsi="Arial" w:cs="Arial"/>
        </w:rPr>
        <w:t>distributed sample across all year levels, with third-year students slightly leading (f=82, p=25.55%). Contrarily, second-year students account for the lowest number of respondents (24.61%). This even distribution allows for a balanced perspective on gender</w:t>
      </w:r>
      <w:r w:rsidR="005851F4">
        <w:rPr>
          <w:rFonts w:ascii="Arial" w:hAnsi="Arial" w:cs="Arial"/>
        </w:rPr>
        <w:t>-</w:t>
      </w:r>
      <w:r w:rsidRPr="00BE11EE">
        <w:rPr>
          <w:rFonts w:ascii="Arial" w:hAnsi="Arial" w:cs="Arial"/>
        </w:rPr>
        <w:t>related matters.</w:t>
      </w:r>
    </w:p>
    <w:p w14:paraId="26A39821" w14:textId="77777777" w:rsidR="00BE11EE" w:rsidRDefault="00BE11EE" w:rsidP="00441B6F">
      <w:pPr>
        <w:pStyle w:val="Body"/>
        <w:spacing w:after="0"/>
        <w:rPr>
          <w:rFonts w:ascii="Arial" w:hAnsi="Arial" w:cs="Arial"/>
        </w:rPr>
      </w:pPr>
    </w:p>
    <w:p w14:paraId="53AC47C3" w14:textId="629468E5" w:rsidR="002B1108" w:rsidRPr="00B21F05" w:rsidRDefault="002B1108" w:rsidP="00B21F05">
      <w:pPr>
        <w:jc w:val="both"/>
        <w:rPr>
          <w:rFonts w:ascii="Arial" w:hAnsi="Arial" w:cs="Arial"/>
          <w:b/>
          <w:bCs/>
          <w:color w:val="000000" w:themeColor="text1"/>
        </w:rPr>
      </w:pPr>
      <w:r w:rsidRPr="00A51FB1">
        <w:rPr>
          <w:rFonts w:ascii="Arial" w:hAnsi="Arial" w:cs="Arial"/>
          <w:b/>
          <w:bCs/>
          <w:color w:val="000000" w:themeColor="text1"/>
        </w:rPr>
        <w:t xml:space="preserve">Table </w:t>
      </w:r>
      <w:r w:rsidR="00954151">
        <w:rPr>
          <w:rFonts w:ascii="Arial" w:hAnsi="Arial" w:cs="Arial"/>
          <w:b/>
          <w:bCs/>
          <w:color w:val="000000" w:themeColor="text1"/>
        </w:rPr>
        <w:t>4</w:t>
      </w:r>
      <w:r w:rsidR="00B21F05">
        <w:rPr>
          <w:rFonts w:ascii="Arial" w:hAnsi="Arial" w:cs="Arial"/>
          <w:b/>
          <w:bCs/>
          <w:color w:val="000000" w:themeColor="text1"/>
        </w:rPr>
        <w:t xml:space="preserve">. </w:t>
      </w:r>
      <w:r w:rsidRPr="00B21F05">
        <w:rPr>
          <w:rFonts w:ascii="Arial" w:hAnsi="Arial" w:cs="Arial"/>
          <w:b/>
          <w:bCs/>
          <w:color w:val="000000" w:themeColor="text1"/>
        </w:rPr>
        <w:t xml:space="preserve">Profile of the respondents in terms of </w:t>
      </w:r>
      <w:r w:rsidR="00954151" w:rsidRPr="00B21F05">
        <w:rPr>
          <w:rFonts w:ascii="Arial" w:hAnsi="Arial" w:cs="Arial"/>
          <w:b/>
          <w:bCs/>
          <w:color w:val="000000" w:themeColor="text1"/>
        </w:rPr>
        <w:t>year level</w:t>
      </w:r>
      <w:r w:rsidRPr="00B21F05">
        <w:rPr>
          <w:rFonts w:ascii="Arial" w:hAnsi="Arial" w:cs="Arial"/>
          <w:b/>
          <w:bCs/>
          <w:color w:val="000000" w:themeColor="text1"/>
        </w:rPr>
        <w:t xml:space="preserve"> </w:t>
      </w:r>
    </w:p>
    <w:tbl>
      <w:tblPr>
        <w:tblStyle w:val="TableGrid"/>
        <w:tblW w:w="8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2890"/>
        <w:gridCol w:w="2576"/>
      </w:tblGrid>
      <w:tr w:rsidR="00DA06D4" w:rsidRPr="00FD5B5F" w14:paraId="69F33235" w14:textId="77777777" w:rsidTr="00982FB8">
        <w:trPr>
          <w:trHeight w:val="255"/>
        </w:trPr>
        <w:tc>
          <w:tcPr>
            <w:tcW w:w="2720" w:type="dxa"/>
            <w:tcBorders>
              <w:top w:val="single" w:sz="12" w:space="0" w:color="auto"/>
              <w:bottom w:val="single" w:sz="12" w:space="0" w:color="auto"/>
            </w:tcBorders>
          </w:tcPr>
          <w:p w14:paraId="1349D896" w14:textId="6C2BF78E" w:rsidR="00DA06D4" w:rsidRPr="00DA06D4" w:rsidRDefault="00DA06D4" w:rsidP="00DA06D4">
            <w:pPr>
              <w:contextualSpacing/>
              <w:jc w:val="center"/>
              <w:rPr>
                <w:rFonts w:ascii="Arial" w:hAnsi="Arial" w:cs="Arial"/>
                <w:b/>
                <w:bCs/>
                <w:color w:val="000000" w:themeColor="text1"/>
                <w:sz w:val="20"/>
                <w:szCs w:val="20"/>
              </w:rPr>
            </w:pPr>
            <w:r w:rsidRPr="00DA06D4">
              <w:rPr>
                <w:rFonts w:ascii="Arial" w:hAnsi="Arial" w:cs="Arial"/>
                <w:b/>
                <w:bCs/>
                <w:color w:val="000000" w:themeColor="text1"/>
                <w:sz w:val="20"/>
                <w:szCs w:val="20"/>
              </w:rPr>
              <w:t>Year Level</w:t>
            </w:r>
          </w:p>
        </w:tc>
        <w:tc>
          <w:tcPr>
            <w:tcW w:w="2890" w:type="dxa"/>
            <w:tcBorders>
              <w:top w:val="single" w:sz="12" w:space="0" w:color="auto"/>
              <w:bottom w:val="single" w:sz="12" w:space="0" w:color="auto"/>
            </w:tcBorders>
          </w:tcPr>
          <w:p w14:paraId="1306B6AE" w14:textId="38CF7F4D" w:rsidR="00DA06D4" w:rsidRPr="00DA06D4" w:rsidRDefault="00DA06D4" w:rsidP="00DA06D4">
            <w:pPr>
              <w:contextualSpacing/>
              <w:jc w:val="center"/>
              <w:rPr>
                <w:rFonts w:ascii="Arial" w:hAnsi="Arial" w:cs="Arial"/>
                <w:b/>
                <w:bCs/>
                <w:color w:val="000000" w:themeColor="text1"/>
                <w:sz w:val="20"/>
                <w:szCs w:val="20"/>
              </w:rPr>
            </w:pPr>
            <w:r w:rsidRPr="00DA06D4">
              <w:rPr>
                <w:rFonts w:ascii="Arial" w:hAnsi="Arial" w:cs="Arial"/>
                <w:b/>
                <w:bCs/>
                <w:color w:val="000000" w:themeColor="text1"/>
                <w:sz w:val="20"/>
                <w:szCs w:val="20"/>
              </w:rPr>
              <w:t>Frequency</w:t>
            </w:r>
          </w:p>
        </w:tc>
        <w:tc>
          <w:tcPr>
            <w:tcW w:w="2576" w:type="dxa"/>
            <w:tcBorders>
              <w:top w:val="single" w:sz="12" w:space="0" w:color="auto"/>
              <w:bottom w:val="single" w:sz="12" w:space="0" w:color="auto"/>
            </w:tcBorders>
          </w:tcPr>
          <w:p w14:paraId="039AEFEE" w14:textId="1EC3A719" w:rsidR="00DA06D4" w:rsidRPr="00DA06D4" w:rsidRDefault="00DA06D4" w:rsidP="00DA06D4">
            <w:pPr>
              <w:contextualSpacing/>
              <w:jc w:val="center"/>
              <w:rPr>
                <w:rFonts w:ascii="Arial" w:hAnsi="Arial" w:cs="Arial"/>
                <w:b/>
                <w:bCs/>
                <w:color w:val="000000" w:themeColor="text1"/>
                <w:sz w:val="20"/>
                <w:szCs w:val="20"/>
              </w:rPr>
            </w:pPr>
            <w:r w:rsidRPr="00DA06D4">
              <w:rPr>
                <w:rFonts w:ascii="Arial" w:hAnsi="Arial" w:cs="Arial"/>
                <w:b/>
                <w:bCs/>
                <w:color w:val="000000" w:themeColor="text1"/>
                <w:sz w:val="20"/>
                <w:szCs w:val="20"/>
              </w:rPr>
              <w:t>Percent (%)</w:t>
            </w:r>
          </w:p>
        </w:tc>
      </w:tr>
      <w:tr w:rsidR="00DA06D4" w:rsidRPr="00FD5B5F" w14:paraId="7F3E1FE8" w14:textId="77777777" w:rsidTr="00982FB8">
        <w:trPr>
          <w:trHeight w:val="249"/>
        </w:trPr>
        <w:tc>
          <w:tcPr>
            <w:tcW w:w="2720" w:type="dxa"/>
            <w:tcBorders>
              <w:top w:val="single" w:sz="12" w:space="0" w:color="auto"/>
            </w:tcBorders>
          </w:tcPr>
          <w:p w14:paraId="31DA16A9" w14:textId="171B6427" w:rsidR="00DA06D4" w:rsidRPr="00DA06D4" w:rsidRDefault="00DA06D4" w:rsidP="00DA06D4">
            <w:pPr>
              <w:contextualSpacing/>
              <w:rPr>
                <w:rFonts w:ascii="Arial" w:hAnsi="Arial" w:cs="Arial"/>
                <w:color w:val="000000" w:themeColor="text1"/>
                <w:sz w:val="20"/>
                <w:szCs w:val="20"/>
              </w:rPr>
            </w:pPr>
            <w:r w:rsidRPr="00DA06D4">
              <w:rPr>
                <w:rFonts w:ascii="Arial" w:hAnsi="Arial" w:cs="Arial"/>
                <w:color w:val="000000" w:themeColor="text1"/>
                <w:sz w:val="20"/>
                <w:szCs w:val="20"/>
              </w:rPr>
              <w:t>First Year</w:t>
            </w:r>
          </w:p>
        </w:tc>
        <w:tc>
          <w:tcPr>
            <w:tcW w:w="2890" w:type="dxa"/>
            <w:tcBorders>
              <w:top w:val="single" w:sz="12" w:space="0" w:color="auto"/>
            </w:tcBorders>
          </w:tcPr>
          <w:p w14:paraId="16A43175" w14:textId="2ED8E093"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80</w:t>
            </w:r>
          </w:p>
        </w:tc>
        <w:tc>
          <w:tcPr>
            <w:tcW w:w="2576" w:type="dxa"/>
            <w:tcBorders>
              <w:top w:val="single" w:sz="12" w:space="0" w:color="auto"/>
            </w:tcBorders>
          </w:tcPr>
          <w:p w14:paraId="340A03BC" w14:textId="285A0A02"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24.92</w:t>
            </w:r>
          </w:p>
        </w:tc>
      </w:tr>
      <w:tr w:rsidR="00DA06D4" w:rsidRPr="00FD5B5F" w14:paraId="6128B7F7" w14:textId="77777777" w:rsidTr="00982FB8">
        <w:trPr>
          <w:trHeight w:val="254"/>
        </w:trPr>
        <w:tc>
          <w:tcPr>
            <w:tcW w:w="2720" w:type="dxa"/>
          </w:tcPr>
          <w:p w14:paraId="0D5AF49B" w14:textId="005C3775" w:rsidR="00DA06D4" w:rsidRPr="00DA06D4" w:rsidRDefault="00DA06D4" w:rsidP="00DA06D4">
            <w:pPr>
              <w:contextualSpacing/>
              <w:rPr>
                <w:rFonts w:ascii="Arial" w:hAnsi="Arial" w:cs="Arial"/>
                <w:color w:val="000000" w:themeColor="text1"/>
                <w:sz w:val="20"/>
                <w:szCs w:val="20"/>
              </w:rPr>
            </w:pPr>
            <w:r w:rsidRPr="00DA06D4">
              <w:rPr>
                <w:rFonts w:ascii="Arial" w:hAnsi="Arial" w:cs="Arial"/>
                <w:color w:val="000000" w:themeColor="text1"/>
                <w:sz w:val="20"/>
                <w:szCs w:val="20"/>
              </w:rPr>
              <w:t>Second Year</w:t>
            </w:r>
          </w:p>
        </w:tc>
        <w:tc>
          <w:tcPr>
            <w:tcW w:w="2890" w:type="dxa"/>
          </w:tcPr>
          <w:p w14:paraId="75669261" w14:textId="5573E991"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79</w:t>
            </w:r>
          </w:p>
        </w:tc>
        <w:tc>
          <w:tcPr>
            <w:tcW w:w="2576" w:type="dxa"/>
          </w:tcPr>
          <w:p w14:paraId="7B0A9CA7" w14:textId="1BE5C0A9"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24.61</w:t>
            </w:r>
          </w:p>
        </w:tc>
      </w:tr>
      <w:tr w:rsidR="00DA06D4" w:rsidRPr="00FD5B5F" w14:paraId="4BF154CB" w14:textId="77777777" w:rsidTr="00982FB8">
        <w:trPr>
          <w:trHeight w:val="244"/>
        </w:trPr>
        <w:tc>
          <w:tcPr>
            <w:tcW w:w="2720" w:type="dxa"/>
          </w:tcPr>
          <w:p w14:paraId="72265DF6" w14:textId="653F5113" w:rsidR="00DA06D4" w:rsidRPr="00DA06D4" w:rsidRDefault="00DA06D4" w:rsidP="00DA06D4">
            <w:pPr>
              <w:contextualSpacing/>
              <w:rPr>
                <w:rFonts w:ascii="Arial" w:hAnsi="Arial" w:cs="Arial"/>
                <w:color w:val="000000" w:themeColor="text1"/>
                <w:sz w:val="20"/>
                <w:szCs w:val="20"/>
              </w:rPr>
            </w:pPr>
            <w:r w:rsidRPr="00DA06D4">
              <w:rPr>
                <w:rFonts w:ascii="Arial" w:hAnsi="Arial" w:cs="Arial"/>
                <w:color w:val="000000" w:themeColor="text1"/>
                <w:sz w:val="20"/>
                <w:szCs w:val="20"/>
              </w:rPr>
              <w:t>Third Year</w:t>
            </w:r>
          </w:p>
        </w:tc>
        <w:tc>
          <w:tcPr>
            <w:tcW w:w="2890" w:type="dxa"/>
          </w:tcPr>
          <w:p w14:paraId="44EFA166" w14:textId="74EE5E1A"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82</w:t>
            </w:r>
          </w:p>
        </w:tc>
        <w:tc>
          <w:tcPr>
            <w:tcW w:w="2576" w:type="dxa"/>
          </w:tcPr>
          <w:p w14:paraId="380FA9C9" w14:textId="5BB59501"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25.55</w:t>
            </w:r>
          </w:p>
        </w:tc>
      </w:tr>
      <w:tr w:rsidR="00DA06D4" w:rsidRPr="00FD5B5F" w14:paraId="649FA7A8" w14:textId="77777777" w:rsidTr="00982FB8">
        <w:trPr>
          <w:trHeight w:val="255"/>
        </w:trPr>
        <w:tc>
          <w:tcPr>
            <w:tcW w:w="2720" w:type="dxa"/>
          </w:tcPr>
          <w:p w14:paraId="044EC23F" w14:textId="1894573D" w:rsidR="00DA06D4" w:rsidRPr="00DA06D4" w:rsidRDefault="00DA06D4" w:rsidP="00DA06D4">
            <w:pPr>
              <w:contextualSpacing/>
              <w:rPr>
                <w:rFonts w:ascii="Arial" w:hAnsi="Arial" w:cs="Arial"/>
                <w:color w:val="000000" w:themeColor="text1"/>
                <w:sz w:val="20"/>
                <w:szCs w:val="20"/>
              </w:rPr>
            </w:pPr>
            <w:r w:rsidRPr="00DA06D4">
              <w:rPr>
                <w:rFonts w:ascii="Arial" w:hAnsi="Arial" w:cs="Arial"/>
                <w:color w:val="000000" w:themeColor="text1"/>
                <w:sz w:val="20"/>
                <w:szCs w:val="20"/>
              </w:rPr>
              <w:t>Fourth Year</w:t>
            </w:r>
          </w:p>
        </w:tc>
        <w:tc>
          <w:tcPr>
            <w:tcW w:w="2890" w:type="dxa"/>
          </w:tcPr>
          <w:p w14:paraId="5C7E9DD6" w14:textId="6A022543"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80</w:t>
            </w:r>
          </w:p>
        </w:tc>
        <w:tc>
          <w:tcPr>
            <w:tcW w:w="2576" w:type="dxa"/>
          </w:tcPr>
          <w:p w14:paraId="007A085E" w14:textId="49DF9676" w:rsidR="00DA06D4" w:rsidRPr="00DA06D4" w:rsidRDefault="00DA06D4" w:rsidP="00DA06D4">
            <w:pPr>
              <w:contextualSpacing/>
              <w:jc w:val="center"/>
              <w:rPr>
                <w:rFonts w:ascii="Arial" w:hAnsi="Arial" w:cs="Arial"/>
                <w:color w:val="000000" w:themeColor="text1"/>
                <w:sz w:val="20"/>
                <w:szCs w:val="20"/>
              </w:rPr>
            </w:pPr>
            <w:r w:rsidRPr="00DA06D4">
              <w:rPr>
                <w:rFonts w:ascii="Arial" w:hAnsi="Arial" w:cs="Arial"/>
                <w:color w:val="000000" w:themeColor="text1"/>
                <w:sz w:val="20"/>
                <w:szCs w:val="20"/>
              </w:rPr>
              <w:t>24.92</w:t>
            </w:r>
          </w:p>
        </w:tc>
      </w:tr>
      <w:tr w:rsidR="00DA06D4" w:rsidRPr="00FD5B5F" w14:paraId="01B11786" w14:textId="77777777" w:rsidTr="00982FB8">
        <w:trPr>
          <w:trHeight w:val="255"/>
        </w:trPr>
        <w:tc>
          <w:tcPr>
            <w:tcW w:w="2720" w:type="dxa"/>
            <w:tcBorders>
              <w:top w:val="single" w:sz="12" w:space="0" w:color="auto"/>
              <w:bottom w:val="single" w:sz="12" w:space="0" w:color="auto"/>
            </w:tcBorders>
          </w:tcPr>
          <w:p w14:paraId="5BEFC9FF" w14:textId="7A161B49" w:rsidR="00DA06D4" w:rsidRPr="00DA06D4" w:rsidRDefault="00DA06D4" w:rsidP="00DA06D4">
            <w:pPr>
              <w:contextualSpacing/>
              <w:jc w:val="center"/>
              <w:rPr>
                <w:rFonts w:ascii="Arial" w:hAnsi="Arial" w:cs="Arial"/>
                <w:b/>
                <w:bCs/>
                <w:color w:val="000000" w:themeColor="text1"/>
                <w:sz w:val="20"/>
                <w:szCs w:val="20"/>
              </w:rPr>
            </w:pPr>
            <w:r w:rsidRPr="00DA06D4">
              <w:rPr>
                <w:rFonts w:ascii="Arial" w:hAnsi="Arial" w:cs="Arial"/>
                <w:b/>
                <w:bCs/>
                <w:color w:val="000000" w:themeColor="text1"/>
                <w:sz w:val="20"/>
                <w:szCs w:val="20"/>
              </w:rPr>
              <w:t>Total</w:t>
            </w:r>
          </w:p>
        </w:tc>
        <w:tc>
          <w:tcPr>
            <w:tcW w:w="2890" w:type="dxa"/>
            <w:tcBorders>
              <w:top w:val="single" w:sz="12" w:space="0" w:color="auto"/>
              <w:bottom w:val="single" w:sz="12" w:space="0" w:color="auto"/>
            </w:tcBorders>
          </w:tcPr>
          <w:p w14:paraId="19252B82" w14:textId="502FCBB3" w:rsidR="00DA06D4" w:rsidRPr="00DA06D4" w:rsidRDefault="00DA06D4" w:rsidP="00DA06D4">
            <w:pPr>
              <w:contextualSpacing/>
              <w:jc w:val="center"/>
              <w:rPr>
                <w:rFonts w:ascii="Arial" w:hAnsi="Arial" w:cs="Arial"/>
                <w:b/>
                <w:bCs/>
                <w:color w:val="000000" w:themeColor="text1"/>
                <w:sz w:val="20"/>
                <w:szCs w:val="20"/>
              </w:rPr>
            </w:pPr>
            <w:r w:rsidRPr="00DA06D4">
              <w:rPr>
                <w:rFonts w:ascii="Arial" w:hAnsi="Arial" w:cs="Arial"/>
                <w:b/>
                <w:bCs/>
                <w:color w:val="000000" w:themeColor="text1"/>
                <w:sz w:val="20"/>
                <w:szCs w:val="20"/>
              </w:rPr>
              <w:t>321</w:t>
            </w:r>
          </w:p>
        </w:tc>
        <w:tc>
          <w:tcPr>
            <w:tcW w:w="2576" w:type="dxa"/>
            <w:tcBorders>
              <w:top w:val="single" w:sz="12" w:space="0" w:color="auto"/>
              <w:bottom w:val="single" w:sz="12" w:space="0" w:color="auto"/>
            </w:tcBorders>
          </w:tcPr>
          <w:p w14:paraId="4202D4F8" w14:textId="0ECFDD79" w:rsidR="00DA06D4" w:rsidRPr="00DA06D4" w:rsidRDefault="00DA06D4" w:rsidP="00DA06D4">
            <w:pPr>
              <w:contextualSpacing/>
              <w:jc w:val="center"/>
              <w:rPr>
                <w:rFonts w:ascii="Arial" w:hAnsi="Arial" w:cs="Arial"/>
                <w:b/>
                <w:bCs/>
                <w:color w:val="000000" w:themeColor="text1"/>
                <w:sz w:val="20"/>
                <w:szCs w:val="20"/>
              </w:rPr>
            </w:pPr>
            <w:r w:rsidRPr="00DA06D4">
              <w:rPr>
                <w:rFonts w:ascii="Arial" w:hAnsi="Arial" w:cs="Arial"/>
                <w:b/>
                <w:bCs/>
                <w:color w:val="000000" w:themeColor="text1"/>
                <w:sz w:val="20"/>
                <w:szCs w:val="20"/>
              </w:rPr>
              <w:t>100.00</w:t>
            </w:r>
          </w:p>
        </w:tc>
      </w:tr>
    </w:tbl>
    <w:p w14:paraId="424270FF" w14:textId="77777777" w:rsidR="002B1108" w:rsidRDefault="002B1108" w:rsidP="00441B6F">
      <w:pPr>
        <w:pStyle w:val="Body"/>
        <w:spacing w:after="0"/>
        <w:rPr>
          <w:rFonts w:ascii="Arial" w:hAnsi="Arial" w:cs="Arial"/>
        </w:rPr>
      </w:pPr>
    </w:p>
    <w:p w14:paraId="6C9C5E06" w14:textId="630D83F9" w:rsidR="00005598" w:rsidRDefault="00005598" w:rsidP="00441B6F">
      <w:pPr>
        <w:pStyle w:val="Body"/>
        <w:spacing w:after="0"/>
        <w:rPr>
          <w:rFonts w:ascii="Arial" w:hAnsi="Arial" w:cs="Arial"/>
        </w:rPr>
      </w:pPr>
      <w:r w:rsidRPr="00005598">
        <w:rPr>
          <w:rFonts w:ascii="Arial" w:hAnsi="Arial" w:cs="Arial"/>
        </w:rPr>
        <w:t>In line with the results, academic year level is often considered in student profiling as it relates to exposure to college-level learning experiences (</w:t>
      </w:r>
      <w:proofErr w:type="spellStart"/>
      <w:r w:rsidRPr="00005598">
        <w:rPr>
          <w:rFonts w:ascii="Arial" w:hAnsi="Arial" w:cs="Arial"/>
        </w:rPr>
        <w:t>Duncheon</w:t>
      </w:r>
      <w:proofErr w:type="spellEnd"/>
      <w:r w:rsidRPr="00005598">
        <w:rPr>
          <w:rFonts w:ascii="Arial" w:hAnsi="Arial" w:cs="Arial"/>
        </w:rPr>
        <w:t xml:space="preserve">, 2020). According to Tipton and Olsen (2018), even distribution across year levels allows for broader generalization of results in higher education research. The Jaggars and Bickerstaff (2018) further recommend proportional sampling across year levels for better insight into developmental trends in education. Furthermore, </w:t>
      </w:r>
      <w:proofErr w:type="spellStart"/>
      <w:r w:rsidRPr="00005598">
        <w:rPr>
          <w:rFonts w:ascii="Arial" w:hAnsi="Arial" w:cs="Arial"/>
        </w:rPr>
        <w:t>Masagca</w:t>
      </w:r>
      <w:proofErr w:type="spellEnd"/>
      <w:r w:rsidRPr="00005598">
        <w:rPr>
          <w:rFonts w:ascii="Arial" w:hAnsi="Arial" w:cs="Arial"/>
        </w:rPr>
        <w:t xml:space="preserve"> (2025) emphasized that students in different year levels have distinct academic loads and responsibilities, making year-level stratification essential in survey-based studies. </w:t>
      </w:r>
    </w:p>
    <w:p w14:paraId="1CB2B499" w14:textId="77777777" w:rsidR="00005598" w:rsidRDefault="00005598" w:rsidP="00441B6F">
      <w:pPr>
        <w:pStyle w:val="Body"/>
        <w:spacing w:after="0"/>
        <w:rPr>
          <w:rFonts w:ascii="Arial" w:hAnsi="Arial" w:cs="Arial"/>
        </w:rPr>
      </w:pPr>
    </w:p>
    <w:p w14:paraId="66877980" w14:textId="1C1939F9" w:rsidR="0003232C" w:rsidRDefault="00005598" w:rsidP="00441B6F">
      <w:pPr>
        <w:pStyle w:val="Body"/>
        <w:spacing w:after="0"/>
        <w:rPr>
          <w:rFonts w:ascii="Arial" w:hAnsi="Arial" w:cs="Arial"/>
        </w:rPr>
      </w:pPr>
      <w:r w:rsidRPr="00005598">
        <w:rPr>
          <w:rFonts w:ascii="Arial" w:hAnsi="Arial" w:cs="Arial"/>
        </w:rPr>
        <w:t xml:space="preserve">As shown in Table </w:t>
      </w:r>
      <w:r w:rsidR="00264EE8">
        <w:rPr>
          <w:rFonts w:ascii="Arial" w:hAnsi="Arial" w:cs="Arial"/>
        </w:rPr>
        <w:t>5</w:t>
      </w:r>
      <w:r w:rsidRPr="00005598">
        <w:rPr>
          <w:rFonts w:ascii="Arial" w:hAnsi="Arial" w:cs="Arial"/>
        </w:rPr>
        <w:t>, the distribution of respondents across academic programs reflects varying representation. The Business Administration program has the highest number of respondents (f=146, p=45.48%), indicating a strong presence of students from this discipline. In contrast, the Elementary Education program recorded the lowest number of respondents, contributing only 6.54%. This variation in program representation provides insight into the academic backgrounds of the participants</w:t>
      </w:r>
    </w:p>
    <w:p w14:paraId="0C035EF1" w14:textId="6F4D312C" w:rsidR="0003232C" w:rsidRDefault="0003232C" w:rsidP="00441B6F">
      <w:pPr>
        <w:pStyle w:val="Body"/>
        <w:spacing w:after="0"/>
        <w:rPr>
          <w:rFonts w:ascii="Arial" w:hAnsi="Arial" w:cs="Arial"/>
        </w:rPr>
      </w:pPr>
    </w:p>
    <w:p w14:paraId="241B49CD" w14:textId="507B7292" w:rsidR="002B1108" w:rsidRPr="00B21F05" w:rsidRDefault="002B1108" w:rsidP="00B21F05">
      <w:pPr>
        <w:jc w:val="both"/>
        <w:rPr>
          <w:rFonts w:ascii="Arial" w:hAnsi="Arial" w:cs="Arial"/>
          <w:b/>
          <w:bCs/>
          <w:color w:val="000000" w:themeColor="text1"/>
        </w:rPr>
      </w:pPr>
      <w:r w:rsidRPr="00A51FB1">
        <w:rPr>
          <w:rFonts w:ascii="Arial" w:hAnsi="Arial" w:cs="Arial"/>
          <w:b/>
          <w:bCs/>
          <w:color w:val="000000" w:themeColor="text1"/>
        </w:rPr>
        <w:t xml:space="preserve">Table </w:t>
      </w:r>
      <w:r w:rsidR="00B21F05">
        <w:rPr>
          <w:rFonts w:ascii="Arial" w:hAnsi="Arial" w:cs="Arial"/>
          <w:b/>
          <w:bCs/>
          <w:color w:val="000000" w:themeColor="text1"/>
        </w:rPr>
        <w:t xml:space="preserve">5. </w:t>
      </w:r>
      <w:r w:rsidRPr="00B21F05">
        <w:rPr>
          <w:rFonts w:ascii="Arial" w:hAnsi="Arial" w:cs="Arial"/>
          <w:b/>
          <w:bCs/>
          <w:color w:val="000000" w:themeColor="text1"/>
        </w:rPr>
        <w:t xml:space="preserve">Profile of the respondents in terms of </w:t>
      </w:r>
      <w:r w:rsidR="00264EE8" w:rsidRPr="00B21F05">
        <w:rPr>
          <w:rFonts w:ascii="Arial" w:hAnsi="Arial" w:cs="Arial"/>
          <w:b/>
          <w:bCs/>
          <w:color w:val="000000" w:themeColor="text1"/>
        </w:rPr>
        <w:t>program</w:t>
      </w:r>
      <w:r w:rsidRPr="00741BD7">
        <w:rPr>
          <w:rFonts w:ascii="Arial" w:hAnsi="Arial" w:cs="Arial"/>
          <w:i/>
          <w:iCs/>
          <w:color w:val="000000" w:themeColor="text1"/>
        </w:rPr>
        <w:t xml:space="preserve"> </w:t>
      </w:r>
    </w:p>
    <w:tbl>
      <w:tblPr>
        <w:tblStyle w:val="TableGrid"/>
        <w:tblW w:w="8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2890"/>
        <w:gridCol w:w="2576"/>
      </w:tblGrid>
      <w:tr w:rsidR="002B1108" w:rsidRPr="00FD5B5F" w14:paraId="1737E58C" w14:textId="77777777" w:rsidTr="00982FB8">
        <w:trPr>
          <w:trHeight w:val="255"/>
        </w:trPr>
        <w:tc>
          <w:tcPr>
            <w:tcW w:w="2720" w:type="dxa"/>
            <w:tcBorders>
              <w:top w:val="single" w:sz="12" w:space="0" w:color="auto"/>
              <w:bottom w:val="single" w:sz="12" w:space="0" w:color="auto"/>
            </w:tcBorders>
          </w:tcPr>
          <w:p w14:paraId="45EAFBBD" w14:textId="4C42DD65" w:rsidR="002B1108" w:rsidRPr="00FD5B5F" w:rsidRDefault="00031E34" w:rsidP="00982FB8">
            <w:pPr>
              <w:contextualSpacing/>
              <w:jc w:val="center"/>
              <w:rPr>
                <w:rFonts w:ascii="Arial" w:hAnsi="Arial" w:cs="Arial"/>
                <w:b/>
                <w:bCs/>
                <w:color w:val="000000" w:themeColor="text1"/>
                <w:sz w:val="20"/>
                <w:szCs w:val="20"/>
              </w:rPr>
            </w:pPr>
            <w:r>
              <w:rPr>
                <w:rFonts w:ascii="Arial" w:hAnsi="Arial" w:cs="Arial"/>
                <w:b/>
                <w:bCs/>
                <w:color w:val="000000" w:themeColor="text1"/>
                <w:sz w:val="20"/>
                <w:szCs w:val="20"/>
              </w:rPr>
              <w:t>Program</w:t>
            </w:r>
          </w:p>
        </w:tc>
        <w:tc>
          <w:tcPr>
            <w:tcW w:w="2890" w:type="dxa"/>
            <w:tcBorders>
              <w:top w:val="single" w:sz="12" w:space="0" w:color="auto"/>
              <w:bottom w:val="single" w:sz="12" w:space="0" w:color="auto"/>
            </w:tcBorders>
          </w:tcPr>
          <w:p w14:paraId="62C85953" w14:textId="77777777" w:rsidR="002B1108" w:rsidRPr="00FD5B5F" w:rsidRDefault="002B1108" w:rsidP="00982FB8">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Frequency</w:t>
            </w:r>
          </w:p>
        </w:tc>
        <w:tc>
          <w:tcPr>
            <w:tcW w:w="2576" w:type="dxa"/>
            <w:tcBorders>
              <w:top w:val="single" w:sz="12" w:space="0" w:color="auto"/>
              <w:bottom w:val="single" w:sz="12" w:space="0" w:color="auto"/>
            </w:tcBorders>
          </w:tcPr>
          <w:p w14:paraId="3B17B2EC" w14:textId="77777777" w:rsidR="002B1108" w:rsidRPr="00FD5B5F" w:rsidRDefault="002B1108" w:rsidP="00982FB8">
            <w:pPr>
              <w:contextualSpacing/>
              <w:jc w:val="center"/>
              <w:rPr>
                <w:rFonts w:ascii="Arial" w:hAnsi="Arial" w:cs="Arial"/>
                <w:b/>
                <w:bCs/>
                <w:color w:val="000000" w:themeColor="text1"/>
                <w:sz w:val="20"/>
                <w:szCs w:val="20"/>
              </w:rPr>
            </w:pPr>
            <w:r w:rsidRPr="00483795">
              <w:rPr>
                <w:rFonts w:ascii="Arial" w:hAnsi="Arial" w:cs="Arial"/>
                <w:b/>
                <w:bCs/>
                <w:sz w:val="20"/>
                <w:szCs w:val="20"/>
                <w:lang w:val="en-PH"/>
              </w:rPr>
              <w:t>Percent (%)</w:t>
            </w:r>
          </w:p>
        </w:tc>
      </w:tr>
      <w:tr w:rsidR="00031E34" w:rsidRPr="00FD5B5F" w14:paraId="33E23344" w14:textId="77777777" w:rsidTr="00982FB8">
        <w:trPr>
          <w:trHeight w:val="249"/>
        </w:trPr>
        <w:tc>
          <w:tcPr>
            <w:tcW w:w="2720" w:type="dxa"/>
            <w:tcBorders>
              <w:top w:val="single" w:sz="12" w:space="0" w:color="auto"/>
            </w:tcBorders>
          </w:tcPr>
          <w:p w14:paraId="566DEF38" w14:textId="58736B1C" w:rsidR="00031E34" w:rsidRPr="00031E34" w:rsidRDefault="00031E34" w:rsidP="00031E34">
            <w:pPr>
              <w:contextualSpacing/>
              <w:rPr>
                <w:rFonts w:ascii="Arial" w:hAnsi="Arial" w:cs="Arial"/>
                <w:color w:val="000000" w:themeColor="text1"/>
                <w:sz w:val="20"/>
                <w:szCs w:val="20"/>
              </w:rPr>
            </w:pPr>
            <w:r w:rsidRPr="00031E34">
              <w:rPr>
                <w:rFonts w:ascii="Arial" w:hAnsi="Arial" w:cs="Arial"/>
                <w:color w:val="000000" w:themeColor="text1"/>
                <w:sz w:val="20"/>
                <w:szCs w:val="20"/>
              </w:rPr>
              <w:t>Business Administration</w:t>
            </w:r>
          </w:p>
        </w:tc>
        <w:tc>
          <w:tcPr>
            <w:tcW w:w="2890" w:type="dxa"/>
            <w:tcBorders>
              <w:top w:val="single" w:sz="12" w:space="0" w:color="auto"/>
            </w:tcBorders>
          </w:tcPr>
          <w:p w14:paraId="527F1C7F" w14:textId="7479B135"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146</w:t>
            </w:r>
          </w:p>
        </w:tc>
        <w:tc>
          <w:tcPr>
            <w:tcW w:w="2576" w:type="dxa"/>
            <w:tcBorders>
              <w:top w:val="single" w:sz="12" w:space="0" w:color="auto"/>
            </w:tcBorders>
          </w:tcPr>
          <w:p w14:paraId="71751637" w14:textId="68A495A5"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45.48</w:t>
            </w:r>
          </w:p>
        </w:tc>
      </w:tr>
      <w:tr w:rsidR="00031E34" w:rsidRPr="00FD5B5F" w14:paraId="72DA3D28" w14:textId="77777777" w:rsidTr="00982FB8">
        <w:trPr>
          <w:trHeight w:val="254"/>
        </w:trPr>
        <w:tc>
          <w:tcPr>
            <w:tcW w:w="2720" w:type="dxa"/>
          </w:tcPr>
          <w:p w14:paraId="07D59824" w14:textId="63F3D646" w:rsidR="00031E34" w:rsidRPr="00031E34" w:rsidRDefault="00031E34" w:rsidP="00031E34">
            <w:pPr>
              <w:contextualSpacing/>
              <w:rPr>
                <w:rFonts w:ascii="Arial" w:hAnsi="Arial" w:cs="Arial"/>
                <w:color w:val="000000" w:themeColor="text1"/>
                <w:sz w:val="20"/>
                <w:szCs w:val="20"/>
              </w:rPr>
            </w:pPr>
            <w:r w:rsidRPr="00031E34">
              <w:rPr>
                <w:rFonts w:ascii="Arial" w:hAnsi="Arial" w:cs="Arial"/>
                <w:color w:val="000000" w:themeColor="text1"/>
                <w:sz w:val="20"/>
                <w:szCs w:val="20"/>
              </w:rPr>
              <w:t>Criminology</w:t>
            </w:r>
          </w:p>
        </w:tc>
        <w:tc>
          <w:tcPr>
            <w:tcW w:w="2890" w:type="dxa"/>
          </w:tcPr>
          <w:p w14:paraId="283A47CA" w14:textId="12F84939"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57</w:t>
            </w:r>
          </w:p>
        </w:tc>
        <w:tc>
          <w:tcPr>
            <w:tcW w:w="2576" w:type="dxa"/>
          </w:tcPr>
          <w:p w14:paraId="5EE0D863" w14:textId="460BCEC2"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17.76</w:t>
            </w:r>
          </w:p>
        </w:tc>
      </w:tr>
      <w:tr w:rsidR="00031E34" w:rsidRPr="00FD5B5F" w14:paraId="2A88DDEF" w14:textId="77777777" w:rsidTr="00982FB8">
        <w:trPr>
          <w:trHeight w:val="244"/>
        </w:trPr>
        <w:tc>
          <w:tcPr>
            <w:tcW w:w="2720" w:type="dxa"/>
          </w:tcPr>
          <w:p w14:paraId="396916A7" w14:textId="1C3D5D83" w:rsidR="00031E34" w:rsidRPr="00031E34" w:rsidRDefault="00031E34" w:rsidP="00031E34">
            <w:pPr>
              <w:contextualSpacing/>
              <w:rPr>
                <w:rFonts w:ascii="Arial" w:hAnsi="Arial" w:cs="Arial"/>
                <w:color w:val="000000" w:themeColor="text1"/>
                <w:sz w:val="20"/>
                <w:szCs w:val="20"/>
              </w:rPr>
            </w:pPr>
            <w:r w:rsidRPr="00031E34">
              <w:rPr>
                <w:rFonts w:ascii="Arial" w:hAnsi="Arial" w:cs="Arial"/>
                <w:color w:val="000000" w:themeColor="text1"/>
                <w:sz w:val="20"/>
                <w:szCs w:val="20"/>
              </w:rPr>
              <w:t>Agribusiness Management</w:t>
            </w:r>
          </w:p>
        </w:tc>
        <w:tc>
          <w:tcPr>
            <w:tcW w:w="2890" w:type="dxa"/>
          </w:tcPr>
          <w:p w14:paraId="0F96C689" w14:textId="2170EAC3"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69</w:t>
            </w:r>
          </w:p>
        </w:tc>
        <w:tc>
          <w:tcPr>
            <w:tcW w:w="2576" w:type="dxa"/>
          </w:tcPr>
          <w:p w14:paraId="264B1C49" w14:textId="679FE144"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21.50</w:t>
            </w:r>
          </w:p>
        </w:tc>
      </w:tr>
      <w:tr w:rsidR="00031E34" w:rsidRPr="00FD5B5F" w14:paraId="1DF23184" w14:textId="77777777" w:rsidTr="00982FB8">
        <w:trPr>
          <w:trHeight w:val="255"/>
        </w:trPr>
        <w:tc>
          <w:tcPr>
            <w:tcW w:w="2720" w:type="dxa"/>
          </w:tcPr>
          <w:p w14:paraId="5FB6E341" w14:textId="275DFA98" w:rsidR="00031E34" w:rsidRPr="00031E34" w:rsidRDefault="00031E34" w:rsidP="00031E34">
            <w:pPr>
              <w:contextualSpacing/>
              <w:rPr>
                <w:rFonts w:ascii="Arial" w:hAnsi="Arial" w:cs="Arial"/>
                <w:color w:val="000000" w:themeColor="text1"/>
                <w:sz w:val="20"/>
                <w:szCs w:val="20"/>
              </w:rPr>
            </w:pPr>
            <w:r w:rsidRPr="00031E34">
              <w:rPr>
                <w:rFonts w:ascii="Arial" w:hAnsi="Arial" w:cs="Arial"/>
                <w:color w:val="000000" w:themeColor="text1"/>
                <w:sz w:val="20"/>
                <w:szCs w:val="20"/>
              </w:rPr>
              <w:t>Agriculture</w:t>
            </w:r>
          </w:p>
        </w:tc>
        <w:tc>
          <w:tcPr>
            <w:tcW w:w="2890" w:type="dxa"/>
          </w:tcPr>
          <w:p w14:paraId="06390EC2" w14:textId="0F47EEE3"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28</w:t>
            </w:r>
          </w:p>
        </w:tc>
        <w:tc>
          <w:tcPr>
            <w:tcW w:w="2576" w:type="dxa"/>
          </w:tcPr>
          <w:p w14:paraId="55F7C94B" w14:textId="15E80F36" w:rsidR="00031E34" w:rsidRPr="00031E34" w:rsidRDefault="00031E34" w:rsidP="00031E34">
            <w:pPr>
              <w:contextualSpacing/>
              <w:jc w:val="center"/>
              <w:rPr>
                <w:rFonts w:ascii="Arial" w:hAnsi="Arial" w:cs="Arial"/>
                <w:color w:val="000000" w:themeColor="text1"/>
                <w:sz w:val="20"/>
                <w:szCs w:val="20"/>
              </w:rPr>
            </w:pPr>
            <w:r w:rsidRPr="00031E34">
              <w:rPr>
                <w:rFonts w:ascii="Arial" w:hAnsi="Arial" w:cs="Arial"/>
                <w:color w:val="000000" w:themeColor="text1"/>
                <w:sz w:val="20"/>
                <w:szCs w:val="20"/>
              </w:rPr>
              <w:t>8.72</w:t>
            </w:r>
          </w:p>
        </w:tc>
      </w:tr>
      <w:tr w:rsidR="00031E34" w:rsidRPr="00FD5B5F" w14:paraId="53AD1768" w14:textId="77777777" w:rsidTr="00982FB8">
        <w:trPr>
          <w:trHeight w:val="255"/>
        </w:trPr>
        <w:tc>
          <w:tcPr>
            <w:tcW w:w="2720" w:type="dxa"/>
          </w:tcPr>
          <w:p w14:paraId="325F3655" w14:textId="029C3601" w:rsidR="00031E34" w:rsidRPr="00031E34" w:rsidRDefault="00031E34" w:rsidP="00031E34">
            <w:pPr>
              <w:contextualSpacing/>
              <w:rPr>
                <w:rFonts w:ascii="Arial" w:hAnsi="Arial" w:cs="Arial"/>
                <w:sz w:val="20"/>
                <w:szCs w:val="20"/>
                <w:lang w:val="en-PH"/>
              </w:rPr>
            </w:pPr>
            <w:r w:rsidRPr="00031E34">
              <w:rPr>
                <w:rFonts w:ascii="Arial" w:hAnsi="Arial" w:cs="Arial"/>
                <w:color w:val="000000" w:themeColor="text1"/>
                <w:sz w:val="20"/>
                <w:szCs w:val="20"/>
              </w:rPr>
              <w:t>Elementary Education</w:t>
            </w:r>
          </w:p>
        </w:tc>
        <w:tc>
          <w:tcPr>
            <w:tcW w:w="2890" w:type="dxa"/>
          </w:tcPr>
          <w:p w14:paraId="09B41687" w14:textId="3DD07E5C" w:rsidR="00031E34" w:rsidRPr="00031E34" w:rsidRDefault="00031E34" w:rsidP="00031E34">
            <w:pPr>
              <w:contextualSpacing/>
              <w:jc w:val="center"/>
              <w:rPr>
                <w:rFonts w:ascii="Arial" w:hAnsi="Arial" w:cs="Arial"/>
                <w:sz w:val="20"/>
                <w:szCs w:val="20"/>
                <w:lang w:val="en-PH"/>
              </w:rPr>
            </w:pPr>
            <w:r w:rsidRPr="00031E34">
              <w:rPr>
                <w:rFonts w:ascii="Arial" w:hAnsi="Arial" w:cs="Arial"/>
                <w:color w:val="000000" w:themeColor="text1"/>
                <w:sz w:val="20"/>
                <w:szCs w:val="20"/>
              </w:rPr>
              <w:t>21</w:t>
            </w:r>
          </w:p>
        </w:tc>
        <w:tc>
          <w:tcPr>
            <w:tcW w:w="2576" w:type="dxa"/>
          </w:tcPr>
          <w:p w14:paraId="5CD0DCA2" w14:textId="028C5988" w:rsidR="00031E34" w:rsidRPr="00031E34" w:rsidRDefault="00031E34" w:rsidP="00031E34">
            <w:pPr>
              <w:contextualSpacing/>
              <w:jc w:val="center"/>
              <w:rPr>
                <w:rFonts w:ascii="Arial" w:hAnsi="Arial" w:cs="Arial"/>
                <w:sz w:val="20"/>
                <w:szCs w:val="20"/>
                <w:lang w:val="en-PH"/>
              </w:rPr>
            </w:pPr>
            <w:r w:rsidRPr="00031E34">
              <w:rPr>
                <w:rFonts w:ascii="Arial" w:hAnsi="Arial" w:cs="Arial"/>
                <w:color w:val="000000" w:themeColor="text1"/>
                <w:sz w:val="20"/>
                <w:szCs w:val="20"/>
              </w:rPr>
              <w:t>6.54</w:t>
            </w:r>
          </w:p>
        </w:tc>
      </w:tr>
      <w:tr w:rsidR="00031E34" w:rsidRPr="00FD5B5F" w14:paraId="01BD9211" w14:textId="77777777" w:rsidTr="00982FB8">
        <w:trPr>
          <w:trHeight w:val="255"/>
        </w:trPr>
        <w:tc>
          <w:tcPr>
            <w:tcW w:w="2720" w:type="dxa"/>
            <w:tcBorders>
              <w:top w:val="single" w:sz="12" w:space="0" w:color="auto"/>
              <w:bottom w:val="single" w:sz="12" w:space="0" w:color="auto"/>
            </w:tcBorders>
          </w:tcPr>
          <w:p w14:paraId="6F6264AD" w14:textId="657644BD" w:rsidR="00031E34" w:rsidRPr="00031E34" w:rsidRDefault="00031E34" w:rsidP="00031E34">
            <w:pPr>
              <w:contextualSpacing/>
              <w:jc w:val="center"/>
              <w:rPr>
                <w:rFonts w:ascii="Arial" w:hAnsi="Arial" w:cs="Arial"/>
                <w:b/>
                <w:bCs/>
                <w:color w:val="000000" w:themeColor="text1"/>
                <w:sz w:val="20"/>
                <w:szCs w:val="20"/>
              </w:rPr>
            </w:pPr>
            <w:r w:rsidRPr="00031E34">
              <w:rPr>
                <w:rFonts w:ascii="Arial" w:hAnsi="Arial" w:cs="Arial"/>
                <w:color w:val="000000" w:themeColor="text1"/>
                <w:sz w:val="20"/>
                <w:szCs w:val="20"/>
              </w:rPr>
              <w:t>Total</w:t>
            </w:r>
          </w:p>
        </w:tc>
        <w:tc>
          <w:tcPr>
            <w:tcW w:w="2890" w:type="dxa"/>
            <w:tcBorders>
              <w:top w:val="single" w:sz="12" w:space="0" w:color="auto"/>
              <w:bottom w:val="single" w:sz="12" w:space="0" w:color="auto"/>
            </w:tcBorders>
          </w:tcPr>
          <w:p w14:paraId="2CBD24E1" w14:textId="4D362E74" w:rsidR="00031E34" w:rsidRPr="00031E34" w:rsidRDefault="00031E34" w:rsidP="00031E34">
            <w:pPr>
              <w:contextualSpacing/>
              <w:jc w:val="center"/>
              <w:rPr>
                <w:rFonts w:ascii="Arial" w:hAnsi="Arial" w:cs="Arial"/>
                <w:b/>
                <w:bCs/>
                <w:color w:val="000000" w:themeColor="text1"/>
                <w:sz w:val="20"/>
                <w:szCs w:val="20"/>
              </w:rPr>
            </w:pPr>
            <w:r w:rsidRPr="00031E34">
              <w:rPr>
                <w:rFonts w:ascii="Arial" w:hAnsi="Arial" w:cs="Arial"/>
                <w:b/>
                <w:bCs/>
                <w:color w:val="000000" w:themeColor="text1"/>
                <w:sz w:val="20"/>
                <w:szCs w:val="20"/>
              </w:rPr>
              <w:t>321</w:t>
            </w:r>
          </w:p>
        </w:tc>
        <w:tc>
          <w:tcPr>
            <w:tcW w:w="2576" w:type="dxa"/>
            <w:tcBorders>
              <w:top w:val="single" w:sz="12" w:space="0" w:color="auto"/>
              <w:bottom w:val="single" w:sz="12" w:space="0" w:color="auto"/>
            </w:tcBorders>
          </w:tcPr>
          <w:p w14:paraId="6F3C9218" w14:textId="64FF89E1" w:rsidR="00031E34" w:rsidRPr="00031E34" w:rsidRDefault="00031E34" w:rsidP="00031E34">
            <w:pPr>
              <w:contextualSpacing/>
              <w:jc w:val="center"/>
              <w:rPr>
                <w:rFonts w:ascii="Arial" w:hAnsi="Arial" w:cs="Arial"/>
                <w:b/>
                <w:bCs/>
                <w:color w:val="000000" w:themeColor="text1"/>
                <w:sz w:val="20"/>
                <w:szCs w:val="20"/>
              </w:rPr>
            </w:pPr>
            <w:r w:rsidRPr="00031E34">
              <w:rPr>
                <w:rFonts w:ascii="Arial" w:hAnsi="Arial" w:cs="Arial"/>
                <w:b/>
                <w:bCs/>
                <w:color w:val="000000" w:themeColor="text1"/>
                <w:sz w:val="20"/>
                <w:szCs w:val="20"/>
              </w:rPr>
              <w:t>100.00</w:t>
            </w:r>
          </w:p>
        </w:tc>
      </w:tr>
    </w:tbl>
    <w:p w14:paraId="33E9A53E" w14:textId="77777777" w:rsidR="002B1108" w:rsidRDefault="002B1108" w:rsidP="00441B6F">
      <w:pPr>
        <w:pStyle w:val="Body"/>
        <w:spacing w:after="0"/>
        <w:rPr>
          <w:rFonts w:ascii="Arial" w:hAnsi="Arial" w:cs="Arial"/>
        </w:rPr>
      </w:pPr>
    </w:p>
    <w:p w14:paraId="4EE98D5F" w14:textId="2DF6B475" w:rsidR="00FD5B5F" w:rsidRDefault="0003232C" w:rsidP="00441B6F">
      <w:pPr>
        <w:pStyle w:val="Body"/>
        <w:spacing w:after="0"/>
        <w:rPr>
          <w:rFonts w:ascii="Arial" w:hAnsi="Arial" w:cs="Arial"/>
        </w:rPr>
      </w:pPr>
      <w:r w:rsidRPr="0003232C">
        <w:rPr>
          <w:rFonts w:ascii="Arial" w:hAnsi="Arial" w:cs="Arial"/>
        </w:rPr>
        <w:t>Aligned to the results, CHED's data on enrollment by discipline, programs such as Business Administration and related fields consistently have higher student populations due to their broad career applicability and market-driven curriculum (Aldaba et al., 2024). Studies by Fahim et al (2021) confirmed the popularity of business-related programs in regional state universities, often due to perceived job opportunities and flexible course content. Meanwhile, Agribusiness and Criminology programs attract students with interests in specialized and community-oriented careers (</w:t>
      </w:r>
      <w:proofErr w:type="spellStart"/>
      <w:r w:rsidRPr="0003232C">
        <w:rPr>
          <w:rFonts w:ascii="Arial" w:hAnsi="Arial" w:cs="Arial"/>
        </w:rPr>
        <w:t>Arkow</w:t>
      </w:r>
      <w:proofErr w:type="spellEnd"/>
      <w:r w:rsidRPr="0003232C">
        <w:rPr>
          <w:rFonts w:ascii="Arial" w:hAnsi="Arial" w:cs="Arial"/>
        </w:rPr>
        <w:t>, 2021). Lastly, Education and Agriculture programs, although less populated, remain essential due to national development priorities and scholarship availability (</w:t>
      </w:r>
      <w:proofErr w:type="spellStart"/>
      <w:r w:rsidRPr="0003232C">
        <w:rPr>
          <w:rFonts w:ascii="Arial" w:hAnsi="Arial" w:cs="Arial"/>
        </w:rPr>
        <w:t>Homillano</w:t>
      </w:r>
      <w:proofErr w:type="spellEnd"/>
      <w:r w:rsidRPr="0003232C">
        <w:rPr>
          <w:rFonts w:ascii="Arial" w:hAnsi="Arial" w:cs="Arial"/>
        </w:rPr>
        <w:t xml:space="preserve">, 2025). </w:t>
      </w:r>
    </w:p>
    <w:p w14:paraId="0FAB468A" w14:textId="77777777" w:rsidR="00652D84" w:rsidRDefault="00652D84" w:rsidP="00441B6F">
      <w:pPr>
        <w:pStyle w:val="Body"/>
        <w:spacing w:after="0"/>
        <w:rPr>
          <w:rFonts w:ascii="Arial" w:hAnsi="Arial" w:cs="Arial"/>
          <w:b/>
          <w:caps/>
          <w:sz w:val="22"/>
        </w:rPr>
      </w:pPr>
    </w:p>
    <w:p w14:paraId="4F8F93CE" w14:textId="0A198260" w:rsidR="00F72849"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5A5E1C">
        <w:rPr>
          <w:rFonts w:ascii="Arial" w:hAnsi="Arial" w:cs="Arial"/>
          <w:b/>
          <w:caps/>
          <w:sz w:val="22"/>
        </w:rPr>
        <w:t>2</w:t>
      </w:r>
      <w:r w:rsidRPr="00C30A0F">
        <w:rPr>
          <w:rFonts w:ascii="Arial" w:hAnsi="Arial" w:cs="Arial"/>
          <w:b/>
          <w:caps/>
          <w:sz w:val="22"/>
        </w:rPr>
        <w:t xml:space="preserve"> </w:t>
      </w:r>
      <w:r w:rsidR="00412E4C" w:rsidRPr="00412E4C">
        <w:rPr>
          <w:rFonts w:ascii="Arial" w:hAnsi="Arial" w:cs="Arial"/>
          <w:b/>
          <w:sz w:val="22"/>
        </w:rPr>
        <w:t>Level of Awareness on Gender Laws Among Students</w:t>
      </w:r>
    </w:p>
    <w:p w14:paraId="321848A3" w14:textId="77777777" w:rsidR="00F72849" w:rsidRDefault="00F72849" w:rsidP="00441B6F">
      <w:pPr>
        <w:pStyle w:val="Body"/>
        <w:spacing w:after="0"/>
        <w:rPr>
          <w:rFonts w:ascii="Arial" w:hAnsi="Arial" w:cs="Arial"/>
        </w:rPr>
      </w:pPr>
    </w:p>
    <w:p w14:paraId="1100B424" w14:textId="2A96A88D" w:rsidR="00F91A95" w:rsidRDefault="00F91A95" w:rsidP="00441B6F">
      <w:pPr>
        <w:pStyle w:val="Body"/>
        <w:spacing w:after="0"/>
        <w:rPr>
          <w:rFonts w:ascii="Arial" w:hAnsi="Arial" w:cs="Arial"/>
        </w:rPr>
      </w:pPr>
      <w:r w:rsidRPr="00F91A95">
        <w:rPr>
          <w:rFonts w:ascii="Arial" w:hAnsi="Arial" w:cs="Arial"/>
        </w:rPr>
        <w:t xml:space="preserve">This section presents the level of awareness of the respondents regarding </w:t>
      </w:r>
      <w:r w:rsidR="0071772A" w:rsidRPr="00F91A95">
        <w:rPr>
          <w:rFonts w:ascii="Arial" w:hAnsi="Arial" w:cs="Arial"/>
        </w:rPr>
        <w:t>gender</w:t>
      </w:r>
      <w:r w:rsidR="0071772A">
        <w:rPr>
          <w:rFonts w:ascii="Arial" w:hAnsi="Arial" w:cs="Arial"/>
        </w:rPr>
        <w:t>-</w:t>
      </w:r>
      <w:r w:rsidR="0071772A" w:rsidRPr="00F91A95">
        <w:rPr>
          <w:rFonts w:ascii="Arial" w:hAnsi="Arial" w:cs="Arial"/>
        </w:rPr>
        <w:t>related</w:t>
      </w:r>
      <w:r w:rsidRPr="00F91A95">
        <w:rPr>
          <w:rFonts w:ascii="Arial" w:hAnsi="Arial" w:cs="Arial"/>
        </w:rPr>
        <w:t xml:space="preserve"> legislation. The responses evaluate awareness of key laws and constitutional provisions that aim to promote gender equity, protect women’s rights, and institutionalize gender and development (GAD) policies. </w:t>
      </w:r>
    </w:p>
    <w:p w14:paraId="026F70ED" w14:textId="77777777" w:rsidR="00F91A95" w:rsidRDefault="00F91A95" w:rsidP="00441B6F">
      <w:pPr>
        <w:pStyle w:val="Body"/>
        <w:spacing w:after="0"/>
        <w:rPr>
          <w:rFonts w:ascii="Arial" w:hAnsi="Arial" w:cs="Arial"/>
        </w:rPr>
      </w:pPr>
    </w:p>
    <w:p w14:paraId="05D02257" w14:textId="76DA383A" w:rsidR="00505F06" w:rsidRDefault="00F91A95" w:rsidP="00441B6F">
      <w:pPr>
        <w:pStyle w:val="Body"/>
        <w:spacing w:after="0"/>
        <w:rPr>
          <w:rFonts w:ascii="Arial" w:hAnsi="Arial" w:cs="Arial"/>
        </w:rPr>
      </w:pPr>
      <w:r w:rsidRPr="00F91A95">
        <w:rPr>
          <w:rFonts w:ascii="Arial" w:hAnsi="Arial" w:cs="Arial"/>
        </w:rPr>
        <w:lastRenderedPageBreak/>
        <w:t xml:space="preserve">The data in Table </w:t>
      </w:r>
      <w:r w:rsidR="0051366E">
        <w:rPr>
          <w:rFonts w:ascii="Arial" w:hAnsi="Arial" w:cs="Arial"/>
        </w:rPr>
        <w:t>6</w:t>
      </w:r>
      <w:r w:rsidRPr="00F91A95">
        <w:rPr>
          <w:rFonts w:ascii="Arial" w:hAnsi="Arial" w:cs="Arial"/>
        </w:rPr>
        <w:t xml:space="preserve"> illustrates the public’s awareness of various gender-related laws. Notably, the highest mean score (x̄ =3.98, s=0.96) pertains to awareness of Republic Act 7877, also known as the Anti-Sexual Harassment Act of 2003. This score indicates that students are aware of this law. On the other hand, the lowest mean score (x̄=3.80, s=0.98) is recorded for awareness of Section 28 of the General Appropriations Act (GAD Budget). While this still falls within the same descriptive range, it suggests that students are comparatively less aware of administrative or fiscal policies concerning gender, despite maintaining a general awareness of them.</w:t>
      </w:r>
    </w:p>
    <w:p w14:paraId="05D4E996" w14:textId="77777777" w:rsidR="0071772A" w:rsidRDefault="0071772A" w:rsidP="00441B6F">
      <w:pPr>
        <w:pStyle w:val="Body"/>
        <w:spacing w:after="0"/>
        <w:rPr>
          <w:rFonts w:ascii="Arial" w:hAnsi="Arial" w:cs="Arial"/>
        </w:rPr>
      </w:pPr>
    </w:p>
    <w:p w14:paraId="00C3F2F6" w14:textId="06CCA75C" w:rsidR="00F13A4D" w:rsidRPr="0029638C" w:rsidRDefault="00F13A4D" w:rsidP="00F13A4D">
      <w:pPr>
        <w:contextualSpacing/>
        <w:jc w:val="both"/>
        <w:rPr>
          <w:rFonts w:ascii="Arial" w:hAnsi="Arial" w:cs="Arial"/>
          <w:b/>
          <w:bCs/>
          <w:color w:val="000000" w:themeColor="text1"/>
        </w:rPr>
      </w:pPr>
      <w:r w:rsidRPr="0029638C">
        <w:rPr>
          <w:rFonts w:ascii="Arial" w:hAnsi="Arial" w:cs="Arial"/>
          <w:b/>
          <w:bCs/>
          <w:color w:val="000000" w:themeColor="text1"/>
        </w:rPr>
        <w:t>Table 6. Level of awareness of gender laws among students</w:t>
      </w:r>
    </w:p>
    <w:tbl>
      <w:tblPr>
        <w:tblStyle w:val="PlainTable2"/>
        <w:tblW w:w="0" w:type="auto"/>
        <w:tblLook w:val="04A0" w:firstRow="1" w:lastRow="0" w:firstColumn="1" w:lastColumn="0" w:noHBand="0" w:noVBand="1"/>
      </w:tblPr>
      <w:tblGrid>
        <w:gridCol w:w="5070"/>
        <w:gridCol w:w="677"/>
        <w:gridCol w:w="1084"/>
        <w:gridCol w:w="1377"/>
      </w:tblGrid>
      <w:tr w:rsidR="00F13A4D" w:rsidRPr="00B87B46" w14:paraId="5C3C30F4" w14:textId="77777777" w:rsidTr="00982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4C8A6D" w14:textId="76FD1075" w:rsidR="00F13A4D" w:rsidRPr="0029638C" w:rsidRDefault="00014CE5" w:rsidP="00982FB8">
            <w:pPr>
              <w:jc w:val="center"/>
              <w:rPr>
                <w:rFonts w:ascii="Arial" w:hAnsi="Arial" w:cs="Arial"/>
                <w:b w:val="0"/>
                <w:bCs w:val="0"/>
                <w:color w:val="000000" w:themeColor="text1"/>
                <w:sz w:val="18"/>
                <w:szCs w:val="18"/>
              </w:rPr>
            </w:pPr>
            <w:r w:rsidRPr="0029638C">
              <w:rPr>
                <w:rFonts w:ascii="Arial" w:hAnsi="Arial" w:cs="Arial"/>
                <w:color w:val="000000" w:themeColor="text1"/>
                <w:sz w:val="18"/>
                <w:szCs w:val="18"/>
              </w:rPr>
              <w:t>Indicators</w:t>
            </w:r>
          </w:p>
        </w:tc>
        <w:tc>
          <w:tcPr>
            <w:tcW w:w="0" w:type="auto"/>
            <w:hideMark/>
          </w:tcPr>
          <w:p w14:paraId="2B67673E" w14:textId="77777777" w:rsidR="00F13A4D" w:rsidRPr="0029638C" w:rsidRDefault="00F13A4D" w:rsidP="00982FB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8"/>
                <w:szCs w:val="18"/>
              </w:rPr>
            </w:pPr>
            <w:r w:rsidRPr="0029638C">
              <w:rPr>
                <w:rFonts w:ascii="Arial" w:hAnsi="Arial" w:cs="Arial"/>
                <w:color w:val="000000" w:themeColor="text1"/>
                <w:sz w:val="18"/>
                <w:szCs w:val="18"/>
              </w:rPr>
              <w:t>Mean</w:t>
            </w:r>
          </w:p>
        </w:tc>
        <w:tc>
          <w:tcPr>
            <w:tcW w:w="0" w:type="auto"/>
            <w:hideMark/>
          </w:tcPr>
          <w:p w14:paraId="38F08D44" w14:textId="77777777" w:rsidR="00F13A4D" w:rsidRPr="0029638C" w:rsidRDefault="00F13A4D" w:rsidP="00982FB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8"/>
                <w:szCs w:val="18"/>
              </w:rPr>
            </w:pPr>
            <w:r w:rsidRPr="0029638C">
              <w:rPr>
                <w:rFonts w:ascii="Arial" w:hAnsi="Arial" w:cs="Arial"/>
                <w:color w:val="000000" w:themeColor="text1"/>
                <w:sz w:val="18"/>
                <w:szCs w:val="18"/>
              </w:rPr>
              <w:t>Std. Deviation</w:t>
            </w:r>
          </w:p>
        </w:tc>
        <w:tc>
          <w:tcPr>
            <w:tcW w:w="0" w:type="auto"/>
            <w:hideMark/>
          </w:tcPr>
          <w:p w14:paraId="7F683813" w14:textId="77777777" w:rsidR="00F13A4D" w:rsidRPr="0029638C" w:rsidRDefault="00F13A4D" w:rsidP="00982FB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18"/>
                <w:szCs w:val="18"/>
              </w:rPr>
            </w:pPr>
            <w:r w:rsidRPr="0029638C">
              <w:rPr>
                <w:rFonts w:ascii="Arial" w:hAnsi="Arial" w:cs="Arial"/>
                <w:color w:val="000000" w:themeColor="text1"/>
                <w:sz w:val="18"/>
                <w:szCs w:val="18"/>
              </w:rPr>
              <w:t>Interpretation</w:t>
            </w:r>
          </w:p>
        </w:tc>
      </w:tr>
      <w:tr w:rsidR="00F13A4D" w:rsidRPr="00B87B46" w14:paraId="2656706E"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2EEAD1" w14:textId="77777777" w:rsidR="00F13A4D" w:rsidRPr="0029638C" w:rsidRDefault="00F13A4D" w:rsidP="00982FB8">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the Republic Act (RA) 7192 – Women Development and Nation Building Act (An Act Promoting the Integration of Women as full and Equal Partners of Men in Development and Nation Building and for Other Purposes)</w:t>
            </w:r>
          </w:p>
        </w:tc>
        <w:tc>
          <w:tcPr>
            <w:tcW w:w="0" w:type="auto"/>
            <w:hideMark/>
          </w:tcPr>
          <w:p w14:paraId="7EF31629"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3.90</w:t>
            </w:r>
          </w:p>
        </w:tc>
        <w:tc>
          <w:tcPr>
            <w:tcW w:w="0" w:type="auto"/>
            <w:hideMark/>
          </w:tcPr>
          <w:p w14:paraId="4EA6129D"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0.96</w:t>
            </w:r>
          </w:p>
        </w:tc>
        <w:tc>
          <w:tcPr>
            <w:tcW w:w="0" w:type="auto"/>
            <w:hideMark/>
          </w:tcPr>
          <w:p w14:paraId="5424E448"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1981EA88" w14:textId="77777777" w:rsidTr="00982FB8">
        <w:tc>
          <w:tcPr>
            <w:cnfStyle w:val="001000000000" w:firstRow="0" w:lastRow="0" w:firstColumn="1" w:lastColumn="0" w:oddVBand="0" w:evenVBand="0" w:oddHBand="0" w:evenHBand="0" w:firstRowFirstColumn="0" w:firstRowLastColumn="0" w:lastRowFirstColumn="0" w:lastRowLastColumn="0"/>
            <w:tcW w:w="0" w:type="auto"/>
            <w:hideMark/>
          </w:tcPr>
          <w:p w14:paraId="5D23F05E" w14:textId="77777777" w:rsidR="00F13A4D" w:rsidRPr="0029638C" w:rsidRDefault="00F13A4D" w:rsidP="00982FB8">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the RA 9710 – The Magna Carta of Women (An Act Providing for the Magna Carta of Women)</w:t>
            </w:r>
          </w:p>
        </w:tc>
        <w:tc>
          <w:tcPr>
            <w:tcW w:w="0" w:type="auto"/>
            <w:hideMark/>
          </w:tcPr>
          <w:p w14:paraId="46C94022" w14:textId="77777777" w:rsidR="00F13A4D" w:rsidRPr="0029638C" w:rsidRDefault="00F13A4D" w:rsidP="00982FB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3.81</w:t>
            </w:r>
          </w:p>
        </w:tc>
        <w:tc>
          <w:tcPr>
            <w:tcW w:w="0" w:type="auto"/>
            <w:hideMark/>
          </w:tcPr>
          <w:p w14:paraId="31AE271A" w14:textId="77777777" w:rsidR="00F13A4D" w:rsidRPr="0029638C" w:rsidRDefault="00F13A4D" w:rsidP="00982FB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0.99</w:t>
            </w:r>
          </w:p>
        </w:tc>
        <w:tc>
          <w:tcPr>
            <w:tcW w:w="0" w:type="auto"/>
            <w:hideMark/>
          </w:tcPr>
          <w:p w14:paraId="011EE69E" w14:textId="77777777" w:rsidR="00F13A4D" w:rsidRPr="0029638C" w:rsidRDefault="00F13A4D" w:rsidP="00982FB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75681924"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0F208D" w14:textId="77777777" w:rsidR="00F13A4D" w:rsidRPr="0029638C" w:rsidRDefault="00F13A4D" w:rsidP="00982FB8">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the RA 7877 – Anti -Sexual Harassment Act of 2003 (An Act Declaring Sexual Harassment Unlawful in the Employment, Education, or Training Environment and for Other Purposes)</w:t>
            </w:r>
          </w:p>
        </w:tc>
        <w:tc>
          <w:tcPr>
            <w:tcW w:w="0" w:type="auto"/>
            <w:hideMark/>
          </w:tcPr>
          <w:p w14:paraId="67608897"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3.98</w:t>
            </w:r>
          </w:p>
        </w:tc>
        <w:tc>
          <w:tcPr>
            <w:tcW w:w="0" w:type="auto"/>
            <w:hideMark/>
          </w:tcPr>
          <w:p w14:paraId="7D64F65C"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0.96</w:t>
            </w:r>
          </w:p>
        </w:tc>
        <w:tc>
          <w:tcPr>
            <w:tcW w:w="0" w:type="auto"/>
            <w:hideMark/>
          </w:tcPr>
          <w:p w14:paraId="254C265A"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31994A77" w14:textId="77777777" w:rsidTr="00982FB8">
        <w:tc>
          <w:tcPr>
            <w:cnfStyle w:val="001000000000" w:firstRow="0" w:lastRow="0" w:firstColumn="1" w:lastColumn="0" w:oddVBand="0" w:evenVBand="0" w:oddHBand="0" w:evenHBand="0" w:firstRowFirstColumn="0" w:firstRowLastColumn="0" w:lastRowFirstColumn="0" w:lastRowLastColumn="0"/>
            <w:tcW w:w="0" w:type="auto"/>
            <w:hideMark/>
          </w:tcPr>
          <w:p w14:paraId="3599811A" w14:textId="77777777" w:rsidR="00F13A4D" w:rsidRPr="0029638C" w:rsidRDefault="00F13A4D" w:rsidP="00982FB8">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the RA 9208 – Anti -Trafficking in Persons Act of 2003 (An Act Instituting Policies to eliminate Trafficking in Persons, Especially Women and Children, Establishing the Necessary Institutional Mechanisms for the Protection and Support of Trafficked Persons, Providing Penalties for its Violations, and for other Purposes)</w:t>
            </w:r>
          </w:p>
        </w:tc>
        <w:tc>
          <w:tcPr>
            <w:tcW w:w="0" w:type="auto"/>
            <w:hideMark/>
          </w:tcPr>
          <w:p w14:paraId="5CFA8235" w14:textId="77777777" w:rsidR="00F13A4D" w:rsidRPr="0029638C" w:rsidRDefault="00F13A4D" w:rsidP="00982FB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3.93</w:t>
            </w:r>
          </w:p>
        </w:tc>
        <w:tc>
          <w:tcPr>
            <w:tcW w:w="0" w:type="auto"/>
            <w:hideMark/>
          </w:tcPr>
          <w:p w14:paraId="11621B33" w14:textId="77777777" w:rsidR="00F13A4D" w:rsidRPr="0029638C" w:rsidRDefault="00F13A4D" w:rsidP="00982FB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0.89</w:t>
            </w:r>
          </w:p>
        </w:tc>
        <w:tc>
          <w:tcPr>
            <w:tcW w:w="0" w:type="auto"/>
            <w:hideMark/>
          </w:tcPr>
          <w:p w14:paraId="7BBA353C" w14:textId="77777777" w:rsidR="00F13A4D" w:rsidRPr="0029638C" w:rsidRDefault="00F13A4D" w:rsidP="00982FB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699D44B0"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CA80E2" w14:textId="77777777" w:rsidR="00F13A4D" w:rsidRPr="0029638C" w:rsidRDefault="00F13A4D" w:rsidP="00982FB8">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 xml:space="preserve">Awareness of the RA 8353 – Anti -Rape Law of 1997 (An Act Expanding the Definition of the Crime of Rape, Reclassifying the Same as a Crime against Persons, </w:t>
            </w:r>
            <w:proofErr w:type="gramStart"/>
            <w:r w:rsidRPr="0029638C">
              <w:rPr>
                <w:rFonts w:ascii="Arial" w:hAnsi="Arial" w:cs="Arial"/>
                <w:b w:val="0"/>
                <w:bCs w:val="0"/>
                <w:color w:val="000000" w:themeColor="text1"/>
                <w:sz w:val="18"/>
                <w:szCs w:val="18"/>
              </w:rPr>
              <w:t>Amending</w:t>
            </w:r>
            <w:proofErr w:type="gramEnd"/>
            <w:r w:rsidRPr="0029638C">
              <w:rPr>
                <w:rFonts w:ascii="Arial" w:hAnsi="Arial" w:cs="Arial"/>
                <w:b w:val="0"/>
                <w:bCs w:val="0"/>
                <w:color w:val="000000" w:themeColor="text1"/>
                <w:sz w:val="18"/>
                <w:szCs w:val="18"/>
              </w:rPr>
              <w:t xml:space="preserve"> for the Purpose Act No. 3815, as amended, otherwise known as the Revised Penal Code, and for Other Purposes.</w:t>
            </w:r>
          </w:p>
        </w:tc>
        <w:tc>
          <w:tcPr>
            <w:tcW w:w="0" w:type="auto"/>
            <w:hideMark/>
          </w:tcPr>
          <w:p w14:paraId="53BF4D25"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3.94</w:t>
            </w:r>
          </w:p>
        </w:tc>
        <w:tc>
          <w:tcPr>
            <w:tcW w:w="0" w:type="auto"/>
            <w:hideMark/>
          </w:tcPr>
          <w:p w14:paraId="6CFF659F"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0.90</w:t>
            </w:r>
          </w:p>
        </w:tc>
        <w:tc>
          <w:tcPr>
            <w:tcW w:w="0" w:type="auto"/>
            <w:hideMark/>
          </w:tcPr>
          <w:p w14:paraId="1CEA7528"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00FB53C8" w14:textId="77777777" w:rsidTr="00982FB8">
        <w:tc>
          <w:tcPr>
            <w:cnfStyle w:val="001000000000" w:firstRow="0" w:lastRow="0" w:firstColumn="1" w:lastColumn="0" w:oddVBand="0" w:evenVBand="0" w:oddHBand="0" w:evenHBand="0" w:firstRowFirstColumn="0" w:firstRowLastColumn="0" w:lastRowFirstColumn="0" w:lastRowLastColumn="0"/>
            <w:tcW w:w="0" w:type="auto"/>
            <w:hideMark/>
          </w:tcPr>
          <w:p w14:paraId="516106E0" w14:textId="77777777" w:rsidR="00F13A4D" w:rsidRPr="0029638C" w:rsidRDefault="00F13A4D" w:rsidP="00982FB8">
            <w:pPr>
              <w:jc w:val="both"/>
              <w:rPr>
                <w:rFonts w:ascii="Arial" w:hAnsi="Arial" w:cs="Arial"/>
                <w:b w:val="0"/>
                <w:bCs w:val="0"/>
                <w:color w:val="000000" w:themeColor="text1"/>
                <w:sz w:val="18"/>
                <w:szCs w:val="18"/>
              </w:rPr>
            </w:pPr>
            <w:proofErr w:type="gramStart"/>
            <w:r w:rsidRPr="0029638C">
              <w:rPr>
                <w:rFonts w:ascii="Arial" w:hAnsi="Arial" w:cs="Arial"/>
                <w:b w:val="0"/>
                <w:bCs w:val="0"/>
                <w:color w:val="000000" w:themeColor="text1"/>
                <w:sz w:val="18"/>
                <w:szCs w:val="18"/>
              </w:rPr>
              <w:t>Awareness  of</w:t>
            </w:r>
            <w:proofErr w:type="gramEnd"/>
            <w:r w:rsidRPr="0029638C">
              <w:rPr>
                <w:rFonts w:ascii="Arial" w:hAnsi="Arial" w:cs="Arial"/>
                <w:b w:val="0"/>
                <w:bCs w:val="0"/>
                <w:color w:val="000000" w:themeColor="text1"/>
                <w:sz w:val="18"/>
                <w:szCs w:val="18"/>
              </w:rPr>
              <w:t xml:space="preserve"> Section 14, Article II of the 1987 Constitution (Recognizing the Role of Women in Nation Building and shall ensure the Fundamental Equality before the Law of Women and Men)</w:t>
            </w:r>
          </w:p>
        </w:tc>
        <w:tc>
          <w:tcPr>
            <w:tcW w:w="0" w:type="auto"/>
            <w:hideMark/>
          </w:tcPr>
          <w:p w14:paraId="1251B1A5" w14:textId="77777777" w:rsidR="00F13A4D" w:rsidRPr="0029638C" w:rsidRDefault="00F13A4D" w:rsidP="00982FB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3.94</w:t>
            </w:r>
          </w:p>
        </w:tc>
        <w:tc>
          <w:tcPr>
            <w:tcW w:w="0" w:type="auto"/>
            <w:hideMark/>
          </w:tcPr>
          <w:p w14:paraId="6318BA7E" w14:textId="77777777" w:rsidR="00F13A4D" w:rsidRPr="0029638C" w:rsidRDefault="00F13A4D" w:rsidP="00982FB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0.91</w:t>
            </w:r>
          </w:p>
        </w:tc>
        <w:tc>
          <w:tcPr>
            <w:tcW w:w="0" w:type="auto"/>
            <w:hideMark/>
          </w:tcPr>
          <w:p w14:paraId="46B74C6A" w14:textId="77777777" w:rsidR="00F13A4D" w:rsidRPr="0029638C" w:rsidRDefault="00F13A4D" w:rsidP="00982FB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28237374"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C9C7E5" w14:textId="77777777" w:rsidR="00F13A4D" w:rsidRPr="0029638C" w:rsidRDefault="00F13A4D" w:rsidP="00982FB8">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Section 28 of the General Appropriations Act (GAA) (Directing Government Entities to formulate a GAD plan, the Cost of which shall not be less than Five Percent of their Yearly Budget, otherwise known as the GAD Budget)</w:t>
            </w:r>
          </w:p>
        </w:tc>
        <w:tc>
          <w:tcPr>
            <w:tcW w:w="0" w:type="auto"/>
            <w:hideMark/>
          </w:tcPr>
          <w:p w14:paraId="0C06646D"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3.80</w:t>
            </w:r>
          </w:p>
        </w:tc>
        <w:tc>
          <w:tcPr>
            <w:tcW w:w="0" w:type="auto"/>
            <w:hideMark/>
          </w:tcPr>
          <w:p w14:paraId="6C476C6E"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0.98</w:t>
            </w:r>
          </w:p>
        </w:tc>
        <w:tc>
          <w:tcPr>
            <w:tcW w:w="0" w:type="auto"/>
            <w:hideMark/>
          </w:tcPr>
          <w:p w14:paraId="0B17B911"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2840B2DF" w14:textId="77777777" w:rsidTr="00982FB8">
        <w:tc>
          <w:tcPr>
            <w:cnfStyle w:val="001000000000" w:firstRow="0" w:lastRow="0" w:firstColumn="1" w:lastColumn="0" w:oddVBand="0" w:evenVBand="0" w:oddHBand="0" w:evenHBand="0" w:firstRowFirstColumn="0" w:firstRowLastColumn="0" w:lastRowFirstColumn="0" w:lastRowLastColumn="0"/>
            <w:tcW w:w="0" w:type="auto"/>
            <w:hideMark/>
          </w:tcPr>
          <w:p w14:paraId="7310FE68" w14:textId="77777777" w:rsidR="00F13A4D" w:rsidRPr="0029638C" w:rsidRDefault="00F13A4D" w:rsidP="00982FB8">
            <w:pPr>
              <w:jc w:val="both"/>
              <w:rPr>
                <w:rFonts w:ascii="Arial" w:hAnsi="Arial" w:cs="Arial"/>
                <w:b w:val="0"/>
                <w:bCs w:val="0"/>
                <w:color w:val="000000" w:themeColor="text1"/>
                <w:sz w:val="18"/>
                <w:szCs w:val="18"/>
              </w:rPr>
            </w:pPr>
            <w:r w:rsidRPr="0029638C">
              <w:rPr>
                <w:rFonts w:ascii="Arial" w:hAnsi="Arial" w:cs="Arial"/>
                <w:b w:val="0"/>
                <w:bCs w:val="0"/>
                <w:color w:val="000000" w:themeColor="text1"/>
                <w:sz w:val="18"/>
                <w:szCs w:val="18"/>
              </w:rPr>
              <w:t>Awareness of the Executive Order (EO) 273 (Directing all Government Agencies and Local Levels to institutionalize (GAD) efforts in Government by incorporating GAD concerns in their Planning, Programming, and Budgeting Processes</w:t>
            </w:r>
          </w:p>
        </w:tc>
        <w:tc>
          <w:tcPr>
            <w:tcW w:w="0" w:type="auto"/>
            <w:hideMark/>
          </w:tcPr>
          <w:p w14:paraId="6DFCD0BE" w14:textId="77777777" w:rsidR="00F13A4D" w:rsidRPr="0029638C" w:rsidRDefault="00F13A4D" w:rsidP="00982FB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3.83</w:t>
            </w:r>
          </w:p>
        </w:tc>
        <w:tc>
          <w:tcPr>
            <w:tcW w:w="0" w:type="auto"/>
            <w:hideMark/>
          </w:tcPr>
          <w:p w14:paraId="16E0F7B2" w14:textId="77777777" w:rsidR="00F13A4D" w:rsidRPr="0029638C" w:rsidRDefault="00F13A4D" w:rsidP="00982FB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0.94</w:t>
            </w:r>
          </w:p>
        </w:tc>
        <w:tc>
          <w:tcPr>
            <w:tcW w:w="0" w:type="auto"/>
            <w:hideMark/>
          </w:tcPr>
          <w:p w14:paraId="4F8B2614" w14:textId="77777777" w:rsidR="00F13A4D" w:rsidRPr="0029638C" w:rsidRDefault="00F13A4D" w:rsidP="00982FB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9638C">
              <w:rPr>
                <w:rFonts w:ascii="Arial" w:hAnsi="Arial" w:cs="Arial"/>
                <w:color w:val="000000" w:themeColor="text1"/>
                <w:sz w:val="18"/>
                <w:szCs w:val="18"/>
              </w:rPr>
              <w:t>High</w:t>
            </w:r>
          </w:p>
        </w:tc>
      </w:tr>
      <w:tr w:rsidR="00F13A4D" w:rsidRPr="00B87B46" w14:paraId="71FF90D0"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1AD42D" w14:textId="77777777" w:rsidR="00F13A4D" w:rsidRPr="0029638C" w:rsidRDefault="00F13A4D" w:rsidP="00982FB8">
            <w:pPr>
              <w:jc w:val="center"/>
              <w:rPr>
                <w:rFonts w:ascii="Arial" w:hAnsi="Arial" w:cs="Arial"/>
                <w:color w:val="000000" w:themeColor="text1"/>
                <w:sz w:val="18"/>
                <w:szCs w:val="18"/>
              </w:rPr>
            </w:pPr>
            <w:r w:rsidRPr="0029638C">
              <w:rPr>
                <w:rFonts w:ascii="Arial" w:hAnsi="Arial" w:cs="Arial"/>
                <w:color w:val="000000" w:themeColor="text1"/>
                <w:sz w:val="18"/>
                <w:szCs w:val="18"/>
              </w:rPr>
              <w:t>Overall Mean</w:t>
            </w:r>
          </w:p>
        </w:tc>
        <w:tc>
          <w:tcPr>
            <w:tcW w:w="0" w:type="auto"/>
            <w:hideMark/>
          </w:tcPr>
          <w:p w14:paraId="014AA0E9"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b/>
                <w:bCs/>
                <w:color w:val="000000" w:themeColor="text1"/>
                <w:sz w:val="18"/>
                <w:szCs w:val="18"/>
              </w:rPr>
              <w:t>3.89</w:t>
            </w:r>
          </w:p>
        </w:tc>
        <w:tc>
          <w:tcPr>
            <w:tcW w:w="0" w:type="auto"/>
            <w:hideMark/>
          </w:tcPr>
          <w:p w14:paraId="270BC6F7"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9638C">
              <w:rPr>
                <w:rFonts w:ascii="Arial" w:hAnsi="Arial" w:cs="Arial"/>
                <w:b/>
                <w:bCs/>
                <w:color w:val="000000" w:themeColor="text1"/>
                <w:sz w:val="18"/>
                <w:szCs w:val="18"/>
              </w:rPr>
              <w:t>0.79</w:t>
            </w:r>
          </w:p>
        </w:tc>
        <w:tc>
          <w:tcPr>
            <w:tcW w:w="0" w:type="auto"/>
            <w:hideMark/>
          </w:tcPr>
          <w:p w14:paraId="09DCADAE" w14:textId="77777777" w:rsidR="00F13A4D" w:rsidRPr="0029638C" w:rsidRDefault="00F13A4D" w:rsidP="00982FB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9638C">
              <w:rPr>
                <w:rFonts w:ascii="Arial" w:hAnsi="Arial" w:cs="Arial"/>
                <w:b/>
                <w:bCs/>
                <w:color w:val="000000" w:themeColor="text1"/>
                <w:sz w:val="18"/>
                <w:szCs w:val="18"/>
              </w:rPr>
              <w:t>High</w:t>
            </w:r>
          </w:p>
        </w:tc>
      </w:tr>
    </w:tbl>
    <w:p w14:paraId="67CCF7B4" w14:textId="77777777" w:rsidR="00F13A4D" w:rsidRDefault="00F13A4D" w:rsidP="0051366E">
      <w:pPr>
        <w:jc w:val="both"/>
        <w:rPr>
          <w:rFonts w:ascii="Arial" w:hAnsi="Arial" w:cs="Arial"/>
          <w:b/>
          <w:bCs/>
          <w:color w:val="000000" w:themeColor="text1"/>
        </w:rPr>
      </w:pPr>
    </w:p>
    <w:p w14:paraId="5E34681E" w14:textId="77777777" w:rsidR="00F13A4D" w:rsidRPr="00B21F05" w:rsidRDefault="00F13A4D" w:rsidP="0051366E">
      <w:pPr>
        <w:jc w:val="both"/>
        <w:rPr>
          <w:rFonts w:ascii="Arial" w:hAnsi="Arial" w:cs="Arial"/>
          <w:b/>
          <w:bCs/>
          <w:color w:val="000000" w:themeColor="text1"/>
        </w:rPr>
      </w:pPr>
    </w:p>
    <w:p w14:paraId="69EF2CEB" w14:textId="77777777" w:rsidR="00CC424E" w:rsidRPr="00CC424E" w:rsidRDefault="00CC424E" w:rsidP="00CC424E">
      <w:pPr>
        <w:pStyle w:val="Body"/>
        <w:spacing w:after="0"/>
        <w:rPr>
          <w:rFonts w:ascii="Arial" w:hAnsi="Arial" w:cs="Arial"/>
          <w:lang w:val="en-PH"/>
        </w:rPr>
      </w:pPr>
      <w:r w:rsidRPr="00CC424E">
        <w:rPr>
          <w:rFonts w:ascii="Arial" w:hAnsi="Arial" w:cs="Arial"/>
          <w:lang w:val="en-PH"/>
        </w:rPr>
        <w:t xml:space="preserve">In line with the findings, increased legal literacy empowers individuals to recognize and protect their rights, strengthening gender equality efforts. High awareness of laws such as RA 7877 (Anti-Sexual Harassment Act) and RA 9710 (Magna Carta of Women) reflects effective institutional advocacy and the integration of gender education in schools and government agencies, supported by Stromquist (2020), Eckes (2021), and Aranjuez et al. (2023). Foundational provisions like Section 14, Article II of the 1987 Constitution further reinforce gender equality as a national value (Aquino et al., 2023). However, lower awareness of technical policies such as Section 28 of the General Appropriations Act (GAD Budget) </w:t>
      </w:r>
      <w:r w:rsidRPr="00CC424E">
        <w:rPr>
          <w:rFonts w:ascii="Arial" w:hAnsi="Arial" w:cs="Arial"/>
          <w:lang w:val="en-PH"/>
        </w:rPr>
        <w:lastRenderedPageBreak/>
        <w:t xml:space="preserve">suggests challenges in accessibility and relevance (Price, 2020; Tang &amp; Lui, 2024). Consistent with Paulo Freire’s Consciousness-Raising Theory, the students’ high level of awareness indicates emerging critical consciousness, where knowledge of gender laws promotes reflection and engagement in addressing gender-based issues (Reyes, 2019; Shah, 2024), though deeper understanding requires making complex policies more relatable and accessible (Kettle, 2017; </w:t>
      </w:r>
      <w:proofErr w:type="spellStart"/>
      <w:r w:rsidRPr="00CC424E">
        <w:rPr>
          <w:rFonts w:ascii="Arial" w:hAnsi="Arial" w:cs="Arial"/>
          <w:lang w:val="en-PH"/>
        </w:rPr>
        <w:t>Takona</w:t>
      </w:r>
      <w:proofErr w:type="spellEnd"/>
      <w:r w:rsidRPr="00CC424E">
        <w:rPr>
          <w:rFonts w:ascii="Arial" w:hAnsi="Arial" w:cs="Arial"/>
          <w:lang w:val="en-PH"/>
        </w:rPr>
        <w:t>, 2024).</w:t>
      </w:r>
    </w:p>
    <w:p w14:paraId="4DF8D42F" w14:textId="77777777" w:rsidR="005A5E1C" w:rsidRDefault="005A5E1C" w:rsidP="00441B6F">
      <w:pPr>
        <w:pStyle w:val="Body"/>
        <w:spacing w:after="0"/>
        <w:rPr>
          <w:rFonts w:ascii="Arial" w:hAnsi="Arial" w:cs="Arial"/>
        </w:rPr>
      </w:pPr>
    </w:p>
    <w:p w14:paraId="1AE4F9E7" w14:textId="049D0290" w:rsidR="005A5E1C" w:rsidRDefault="005A5E1C" w:rsidP="005A5E1C">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3 </w:t>
      </w:r>
      <w:r w:rsidR="00DD7A20" w:rsidRPr="00DD7A20">
        <w:rPr>
          <w:rFonts w:ascii="Arial" w:hAnsi="Arial" w:cs="Arial"/>
          <w:b/>
          <w:sz w:val="22"/>
        </w:rPr>
        <w:t>Level of Gender Discrimination Among Students</w:t>
      </w:r>
    </w:p>
    <w:p w14:paraId="5D53C3FF" w14:textId="77777777" w:rsidR="005A5E1C" w:rsidRDefault="005A5E1C" w:rsidP="005A5E1C">
      <w:pPr>
        <w:pStyle w:val="Body"/>
        <w:spacing w:after="0"/>
        <w:rPr>
          <w:rFonts w:ascii="Arial" w:hAnsi="Arial" w:cs="Arial"/>
        </w:rPr>
      </w:pPr>
    </w:p>
    <w:p w14:paraId="744B3763" w14:textId="070AC969" w:rsidR="00790ADA" w:rsidRDefault="00DD7A20" w:rsidP="00441B6F">
      <w:pPr>
        <w:pStyle w:val="Body"/>
        <w:spacing w:after="0"/>
        <w:rPr>
          <w:rFonts w:ascii="Arial" w:hAnsi="Arial" w:cs="Arial"/>
        </w:rPr>
      </w:pPr>
      <w:r w:rsidRPr="00DD7A20">
        <w:rPr>
          <w:rFonts w:ascii="Arial" w:hAnsi="Arial" w:cs="Arial"/>
        </w:rPr>
        <w:t xml:space="preserve">This section addresses the level of gender discrimination experienced and observed among students in school-related situations. The results in Table </w:t>
      </w:r>
      <w:r w:rsidR="003E5FB6">
        <w:rPr>
          <w:rFonts w:ascii="Arial" w:hAnsi="Arial" w:cs="Arial"/>
        </w:rPr>
        <w:t>7</w:t>
      </w:r>
      <w:r w:rsidRPr="00DD7A20">
        <w:rPr>
          <w:rFonts w:ascii="Arial" w:hAnsi="Arial" w:cs="Arial"/>
        </w:rPr>
        <w:t xml:space="preserve"> indicate that gender discrimination is moderately present in the school environment (x̄ =3.37, s=0.83). In addition, several indicators fall under the high range, reflecting that gender discrimination is often observed, especially in areas such as classroom participation and teacher feedback (x̄ =3.52, s=1.03). The lowest-rated indicator (x̄ =3.23, s=1.12) suggests that while discrimination in subject-specific expectations, such as the belief that women are poor in mathematics, is less frequently perceived, it still occurs occasionally.</w:t>
      </w:r>
      <w:r w:rsidR="00C716FA">
        <w:rPr>
          <w:rFonts w:ascii="Arial" w:hAnsi="Arial" w:cs="Arial"/>
        </w:rPr>
        <w:t xml:space="preserve"> </w:t>
      </w:r>
      <w:r w:rsidRPr="00DD7A20">
        <w:rPr>
          <w:rFonts w:ascii="Arial" w:hAnsi="Arial" w:cs="Arial"/>
        </w:rPr>
        <w:t>The high and moderate levels of gender discrimination experienced and observed by students in school settings align with broader research emphasizing the persistence of gender-based disparities in educational environments.</w:t>
      </w:r>
    </w:p>
    <w:p w14:paraId="5BFFF41E" w14:textId="77777777" w:rsidR="00EB76EB" w:rsidRDefault="00EB76EB" w:rsidP="00441B6F">
      <w:pPr>
        <w:pStyle w:val="Body"/>
        <w:spacing w:after="0"/>
        <w:rPr>
          <w:rFonts w:ascii="Arial" w:hAnsi="Arial" w:cs="Arial"/>
        </w:rPr>
      </w:pPr>
    </w:p>
    <w:p w14:paraId="752933A1" w14:textId="59A18836" w:rsidR="00EB76EB" w:rsidRPr="008D452C" w:rsidRDefault="00EB76EB" w:rsidP="00EB76EB">
      <w:pPr>
        <w:contextualSpacing/>
        <w:jc w:val="both"/>
        <w:rPr>
          <w:rFonts w:ascii="Arial" w:hAnsi="Arial" w:cs="Arial"/>
          <w:b/>
          <w:bCs/>
          <w:color w:val="000000" w:themeColor="text1"/>
        </w:rPr>
      </w:pPr>
      <w:r w:rsidRPr="008D452C">
        <w:rPr>
          <w:rFonts w:ascii="Arial" w:hAnsi="Arial" w:cs="Arial"/>
          <w:b/>
          <w:bCs/>
          <w:color w:val="000000" w:themeColor="text1"/>
        </w:rPr>
        <w:t xml:space="preserve">Table </w:t>
      </w:r>
      <w:r w:rsidR="003E5FB6">
        <w:rPr>
          <w:rFonts w:ascii="Arial" w:hAnsi="Arial" w:cs="Arial"/>
          <w:b/>
          <w:bCs/>
          <w:color w:val="000000" w:themeColor="text1"/>
        </w:rPr>
        <w:t>7</w:t>
      </w:r>
      <w:r w:rsidRPr="008D452C">
        <w:rPr>
          <w:rFonts w:ascii="Arial" w:hAnsi="Arial" w:cs="Arial"/>
          <w:b/>
          <w:bCs/>
          <w:color w:val="000000" w:themeColor="text1"/>
        </w:rPr>
        <w:t>. Level of gender discrimination among students</w:t>
      </w:r>
    </w:p>
    <w:tbl>
      <w:tblPr>
        <w:tblStyle w:val="PlainTable2"/>
        <w:tblW w:w="0" w:type="auto"/>
        <w:tblLook w:val="04A0" w:firstRow="1" w:lastRow="0" w:firstColumn="1" w:lastColumn="0" w:noHBand="0" w:noVBand="1"/>
      </w:tblPr>
      <w:tblGrid>
        <w:gridCol w:w="4378"/>
        <w:gridCol w:w="1009"/>
        <w:gridCol w:w="1316"/>
        <w:gridCol w:w="1505"/>
      </w:tblGrid>
      <w:tr w:rsidR="00EB76EB" w:rsidRPr="00B87B46" w14:paraId="5C0BFADA" w14:textId="77777777" w:rsidTr="00014C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48AE8E4A" w14:textId="1A708A26" w:rsidR="00EB76EB" w:rsidRPr="00DC4BB3" w:rsidRDefault="00014CE5" w:rsidP="0015663F">
            <w:pPr>
              <w:contextualSpacing/>
              <w:jc w:val="center"/>
              <w:rPr>
                <w:rFonts w:ascii="Arial" w:hAnsi="Arial" w:cs="Arial"/>
                <w:b w:val="0"/>
                <w:bCs w:val="0"/>
                <w:color w:val="000000" w:themeColor="text1"/>
              </w:rPr>
            </w:pPr>
            <w:r w:rsidRPr="00DC4BB3">
              <w:rPr>
                <w:rFonts w:ascii="Arial" w:hAnsi="Arial" w:cs="Arial"/>
                <w:color w:val="000000" w:themeColor="text1"/>
              </w:rPr>
              <w:t>Indicators</w:t>
            </w:r>
          </w:p>
        </w:tc>
        <w:tc>
          <w:tcPr>
            <w:tcW w:w="1009" w:type="dxa"/>
            <w:hideMark/>
          </w:tcPr>
          <w:p w14:paraId="6B958ED0" w14:textId="77777777" w:rsidR="00EB76EB" w:rsidRPr="00DC4BB3" w:rsidRDefault="00EB76EB" w:rsidP="0015663F">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DC4BB3">
              <w:rPr>
                <w:rFonts w:ascii="Arial" w:hAnsi="Arial" w:cs="Arial"/>
                <w:color w:val="000000" w:themeColor="text1"/>
              </w:rPr>
              <w:t>Mean</w:t>
            </w:r>
          </w:p>
        </w:tc>
        <w:tc>
          <w:tcPr>
            <w:tcW w:w="1316" w:type="dxa"/>
            <w:hideMark/>
          </w:tcPr>
          <w:p w14:paraId="6394AAE9" w14:textId="77777777" w:rsidR="00EB76EB" w:rsidRPr="00DC4BB3" w:rsidRDefault="00EB76EB" w:rsidP="0015663F">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DC4BB3">
              <w:rPr>
                <w:rFonts w:ascii="Arial" w:hAnsi="Arial" w:cs="Arial"/>
                <w:color w:val="000000" w:themeColor="text1"/>
              </w:rPr>
              <w:t>Std. Deviation</w:t>
            </w:r>
          </w:p>
        </w:tc>
        <w:tc>
          <w:tcPr>
            <w:tcW w:w="0" w:type="auto"/>
            <w:hideMark/>
          </w:tcPr>
          <w:p w14:paraId="596D9578" w14:textId="77777777" w:rsidR="00EB76EB" w:rsidRPr="00DC4BB3" w:rsidRDefault="00EB76EB" w:rsidP="0015663F">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DC4BB3">
              <w:rPr>
                <w:rFonts w:ascii="Arial" w:hAnsi="Arial" w:cs="Arial"/>
                <w:color w:val="000000" w:themeColor="text1"/>
              </w:rPr>
              <w:t>Interpretation</w:t>
            </w:r>
          </w:p>
        </w:tc>
      </w:tr>
      <w:tr w:rsidR="00EB76EB" w:rsidRPr="00B87B46" w14:paraId="3B6C093F" w14:textId="77777777" w:rsidTr="00014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52A36A5D"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Men are given greater attention in terms of providing them with more opportunities to respond and participate than women.</w:t>
            </w:r>
          </w:p>
        </w:tc>
        <w:tc>
          <w:tcPr>
            <w:tcW w:w="1009" w:type="dxa"/>
            <w:hideMark/>
          </w:tcPr>
          <w:p w14:paraId="62346493"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3.49</w:t>
            </w:r>
          </w:p>
        </w:tc>
        <w:tc>
          <w:tcPr>
            <w:tcW w:w="1316" w:type="dxa"/>
            <w:hideMark/>
          </w:tcPr>
          <w:p w14:paraId="0F033FBC"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1.02</w:t>
            </w:r>
          </w:p>
        </w:tc>
        <w:tc>
          <w:tcPr>
            <w:tcW w:w="0" w:type="auto"/>
            <w:hideMark/>
          </w:tcPr>
          <w:p w14:paraId="0AB0CB18"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2C343EBA" w14:textId="77777777" w:rsidTr="00014CE5">
        <w:tc>
          <w:tcPr>
            <w:cnfStyle w:val="001000000000" w:firstRow="0" w:lastRow="0" w:firstColumn="1" w:lastColumn="0" w:oddVBand="0" w:evenVBand="0" w:oddHBand="0" w:evenHBand="0" w:firstRowFirstColumn="0" w:firstRowLastColumn="0" w:lastRowFirstColumn="0" w:lastRowLastColumn="0"/>
            <w:tcW w:w="4378" w:type="dxa"/>
            <w:hideMark/>
          </w:tcPr>
          <w:p w14:paraId="3AAB9233"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Men who shout out their answers or call out their teachers get more attention than girls who raise their hands to answer, because it gives women less chance of being heard.</w:t>
            </w:r>
          </w:p>
        </w:tc>
        <w:tc>
          <w:tcPr>
            <w:tcW w:w="1009" w:type="dxa"/>
            <w:hideMark/>
          </w:tcPr>
          <w:p w14:paraId="63147FF9"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3.52</w:t>
            </w:r>
          </w:p>
        </w:tc>
        <w:tc>
          <w:tcPr>
            <w:tcW w:w="1316" w:type="dxa"/>
            <w:hideMark/>
          </w:tcPr>
          <w:p w14:paraId="247E5E4F"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1.03</w:t>
            </w:r>
          </w:p>
        </w:tc>
        <w:tc>
          <w:tcPr>
            <w:tcW w:w="0" w:type="auto"/>
            <w:hideMark/>
          </w:tcPr>
          <w:p w14:paraId="1EF4B0ED"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0F9A221E" w14:textId="77777777" w:rsidTr="00014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6B573C1C"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Women are more likely to be praised for their appearance and neatness, while men are praised for their work.</w:t>
            </w:r>
          </w:p>
        </w:tc>
        <w:tc>
          <w:tcPr>
            <w:tcW w:w="1009" w:type="dxa"/>
            <w:hideMark/>
          </w:tcPr>
          <w:p w14:paraId="0CA9F683"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3.47</w:t>
            </w:r>
          </w:p>
        </w:tc>
        <w:tc>
          <w:tcPr>
            <w:tcW w:w="1316" w:type="dxa"/>
            <w:hideMark/>
          </w:tcPr>
          <w:p w14:paraId="6F62A846"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1.07</w:t>
            </w:r>
          </w:p>
        </w:tc>
        <w:tc>
          <w:tcPr>
            <w:tcW w:w="0" w:type="auto"/>
            <w:hideMark/>
          </w:tcPr>
          <w:p w14:paraId="36DE7779"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0BC65DB1" w14:textId="77777777" w:rsidTr="00014CE5">
        <w:tc>
          <w:tcPr>
            <w:cnfStyle w:val="001000000000" w:firstRow="0" w:lastRow="0" w:firstColumn="1" w:lastColumn="0" w:oddVBand="0" w:evenVBand="0" w:oddHBand="0" w:evenHBand="0" w:firstRowFirstColumn="0" w:firstRowLastColumn="0" w:lastRowFirstColumn="0" w:lastRowLastColumn="0"/>
            <w:tcW w:w="4378" w:type="dxa"/>
            <w:hideMark/>
          </w:tcPr>
          <w:p w14:paraId="271BA57A"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Men are offered or given more specific feedback on their work – including praise, criticism, and remedial tasks.</w:t>
            </w:r>
          </w:p>
        </w:tc>
        <w:tc>
          <w:tcPr>
            <w:tcW w:w="1009" w:type="dxa"/>
            <w:hideMark/>
          </w:tcPr>
          <w:p w14:paraId="6AA80538"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3.43</w:t>
            </w:r>
          </w:p>
        </w:tc>
        <w:tc>
          <w:tcPr>
            <w:tcW w:w="1316" w:type="dxa"/>
            <w:hideMark/>
          </w:tcPr>
          <w:p w14:paraId="4ADD359F"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1.03</w:t>
            </w:r>
          </w:p>
        </w:tc>
        <w:tc>
          <w:tcPr>
            <w:tcW w:w="0" w:type="auto"/>
            <w:hideMark/>
          </w:tcPr>
          <w:p w14:paraId="235EED67"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3EAB72D0" w14:textId="77777777" w:rsidTr="00014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5404F789"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Men are more often called up to answer or give their answers in a mathematics class because women are poor at Math.</w:t>
            </w:r>
          </w:p>
        </w:tc>
        <w:tc>
          <w:tcPr>
            <w:tcW w:w="1009" w:type="dxa"/>
            <w:hideMark/>
          </w:tcPr>
          <w:p w14:paraId="5D99315D"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3.23</w:t>
            </w:r>
          </w:p>
        </w:tc>
        <w:tc>
          <w:tcPr>
            <w:tcW w:w="1316" w:type="dxa"/>
            <w:hideMark/>
          </w:tcPr>
          <w:p w14:paraId="59079A85"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1.12</w:t>
            </w:r>
          </w:p>
        </w:tc>
        <w:tc>
          <w:tcPr>
            <w:tcW w:w="0" w:type="auto"/>
            <w:hideMark/>
          </w:tcPr>
          <w:p w14:paraId="13BFC313"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2E3A0889" w14:textId="77777777" w:rsidTr="00014CE5">
        <w:tc>
          <w:tcPr>
            <w:cnfStyle w:val="001000000000" w:firstRow="0" w:lastRow="0" w:firstColumn="1" w:lastColumn="0" w:oddVBand="0" w:evenVBand="0" w:oddHBand="0" w:evenHBand="0" w:firstRowFirstColumn="0" w:firstRowLastColumn="0" w:lastRowFirstColumn="0" w:lastRowLastColumn="0"/>
            <w:tcW w:w="4378" w:type="dxa"/>
            <w:hideMark/>
          </w:tcPr>
          <w:p w14:paraId="52607745"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When men spontaneously call out or shout out answers to questions, they get the teacher’s immediate attention. However, when women act similarly, they are often reprimanded or scolded to restrain themselves and told to behave.</w:t>
            </w:r>
          </w:p>
        </w:tc>
        <w:tc>
          <w:tcPr>
            <w:tcW w:w="1009" w:type="dxa"/>
            <w:hideMark/>
          </w:tcPr>
          <w:p w14:paraId="59CC6682"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3.26</w:t>
            </w:r>
          </w:p>
        </w:tc>
        <w:tc>
          <w:tcPr>
            <w:tcW w:w="1316" w:type="dxa"/>
            <w:hideMark/>
          </w:tcPr>
          <w:p w14:paraId="11857E45"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1.11</w:t>
            </w:r>
          </w:p>
        </w:tc>
        <w:tc>
          <w:tcPr>
            <w:tcW w:w="0" w:type="auto"/>
            <w:hideMark/>
          </w:tcPr>
          <w:p w14:paraId="4949C5E7"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242DD6E4" w14:textId="77777777" w:rsidTr="00014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03662C8A"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Women are given fewer opportunities to join in sports and engage in physical activities, while men are encouraged and better supported.</w:t>
            </w:r>
          </w:p>
        </w:tc>
        <w:tc>
          <w:tcPr>
            <w:tcW w:w="1009" w:type="dxa"/>
            <w:hideMark/>
          </w:tcPr>
          <w:p w14:paraId="01C76987"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3.31</w:t>
            </w:r>
          </w:p>
        </w:tc>
        <w:tc>
          <w:tcPr>
            <w:tcW w:w="1316" w:type="dxa"/>
            <w:hideMark/>
          </w:tcPr>
          <w:p w14:paraId="5A2806C8"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1.13</w:t>
            </w:r>
          </w:p>
        </w:tc>
        <w:tc>
          <w:tcPr>
            <w:tcW w:w="0" w:type="auto"/>
            <w:hideMark/>
          </w:tcPr>
          <w:p w14:paraId="4C98FCFA"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26F939AB" w14:textId="77777777" w:rsidTr="00014CE5">
        <w:tc>
          <w:tcPr>
            <w:cnfStyle w:val="001000000000" w:firstRow="0" w:lastRow="0" w:firstColumn="1" w:lastColumn="0" w:oddVBand="0" w:evenVBand="0" w:oddHBand="0" w:evenHBand="0" w:firstRowFirstColumn="0" w:firstRowLastColumn="0" w:lastRowFirstColumn="0" w:lastRowLastColumn="0"/>
            <w:tcW w:w="4378" w:type="dxa"/>
            <w:hideMark/>
          </w:tcPr>
          <w:p w14:paraId="0D99BB07"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Men receive harsher reprimands or punishments than women, even when the misbehavior is identical or similar.</w:t>
            </w:r>
          </w:p>
        </w:tc>
        <w:tc>
          <w:tcPr>
            <w:tcW w:w="1009" w:type="dxa"/>
            <w:hideMark/>
          </w:tcPr>
          <w:p w14:paraId="5DA8B8FC"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3.42</w:t>
            </w:r>
          </w:p>
        </w:tc>
        <w:tc>
          <w:tcPr>
            <w:tcW w:w="1316" w:type="dxa"/>
            <w:hideMark/>
          </w:tcPr>
          <w:p w14:paraId="2CCD734A"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1.10</w:t>
            </w:r>
          </w:p>
        </w:tc>
        <w:tc>
          <w:tcPr>
            <w:tcW w:w="0" w:type="auto"/>
            <w:hideMark/>
          </w:tcPr>
          <w:p w14:paraId="60CCAC42"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44CD71AE" w14:textId="77777777" w:rsidTr="00014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422618DB"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lastRenderedPageBreak/>
              <w:t>In class, female students are most likely to lose the position of class president because of their gender (being female).</w:t>
            </w:r>
          </w:p>
        </w:tc>
        <w:tc>
          <w:tcPr>
            <w:tcW w:w="1009" w:type="dxa"/>
            <w:hideMark/>
          </w:tcPr>
          <w:p w14:paraId="4A946B31"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3.30</w:t>
            </w:r>
          </w:p>
        </w:tc>
        <w:tc>
          <w:tcPr>
            <w:tcW w:w="1316" w:type="dxa"/>
            <w:hideMark/>
          </w:tcPr>
          <w:p w14:paraId="3AE10447"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1.19</w:t>
            </w:r>
          </w:p>
        </w:tc>
        <w:tc>
          <w:tcPr>
            <w:tcW w:w="0" w:type="auto"/>
            <w:hideMark/>
          </w:tcPr>
          <w:p w14:paraId="656DEA96"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576EB28C" w14:textId="77777777" w:rsidTr="00014CE5">
        <w:tc>
          <w:tcPr>
            <w:cnfStyle w:val="001000000000" w:firstRow="0" w:lastRow="0" w:firstColumn="1" w:lastColumn="0" w:oddVBand="0" w:evenVBand="0" w:oddHBand="0" w:evenHBand="0" w:firstRowFirstColumn="0" w:firstRowLastColumn="0" w:lastRowFirstColumn="0" w:lastRowLastColumn="0"/>
            <w:tcW w:w="4378" w:type="dxa"/>
            <w:hideMark/>
          </w:tcPr>
          <w:p w14:paraId="188EFD59"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Male students are given more opportunities to respond and participate in class than women.</w:t>
            </w:r>
          </w:p>
        </w:tc>
        <w:tc>
          <w:tcPr>
            <w:tcW w:w="1009" w:type="dxa"/>
            <w:hideMark/>
          </w:tcPr>
          <w:p w14:paraId="409A10B4"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3.26</w:t>
            </w:r>
          </w:p>
        </w:tc>
        <w:tc>
          <w:tcPr>
            <w:tcW w:w="1316" w:type="dxa"/>
            <w:hideMark/>
          </w:tcPr>
          <w:p w14:paraId="717FAD44"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1.12</w:t>
            </w:r>
          </w:p>
        </w:tc>
        <w:tc>
          <w:tcPr>
            <w:tcW w:w="0" w:type="auto"/>
            <w:hideMark/>
          </w:tcPr>
          <w:p w14:paraId="4A270EC7"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677C4A04" w14:textId="77777777" w:rsidTr="00014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hideMark/>
          </w:tcPr>
          <w:p w14:paraId="4CC47EEC" w14:textId="77777777" w:rsidR="00EB76EB" w:rsidRPr="00DC4BB3" w:rsidRDefault="00EB76EB" w:rsidP="0015663F">
            <w:pPr>
              <w:contextualSpacing/>
              <w:jc w:val="both"/>
              <w:rPr>
                <w:rFonts w:ascii="Arial" w:hAnsi="Arial" w:cs="Arial"/>
                <w:color w:val="000000" w:themeColor="text1"/>
              </w:rPr>
            </w:pPr>
            <w:r w:rsidRPr="00DC4BB3">
              <w:rPr>
                <w:rFonts w:ascii="Arial" w:hAnsi="Arial" w:cs="Arial"/>
                <w:color w:val="000000" w:themeColor="text1"/>
                <w:lang w:eastAsia="en-PH"/>
              </w:rPr>
              <w:t>Overall Gender Discrimination Awareness</w:t>
            </w:r>
          </w:p>
        </w:tc>
        <w:tc>
          <w:tcPr>
            <w:tcW w:w="1009" w:type="dxa"/>
            <w:hideMark/>
          </w:tcPr>
          <w:p w14:paraId="29460A50"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b/>
                <w:bCs/>
                <w:color w:val="000000" w:themeColor="text1"/>
              </w:rPr>
              <w:t>3.37</w:t>
            </w:r>
          </w:p>
        </w:tc>
        <w:tc>
          <w:tcPr>
            <w:tcW w:w="1316" w:type="dxa"/>
            <w:hideMark/>
          </w:tcPr>
          <w:p w14:paraId="7F066C16"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b/>
                <w:bCs/>
                <w:color w:val="000000" w:themeColor="text1"/>
              </w:rPr>
              <w:t>0.83</w:t>
            </w:r>
          </w:p>
        </w:tc>
        <w:tc>
          <w:tcPr>
            <w:tcW w:w="0" w:type="auto"/>
            <w:hideMark/>
          </w:tcPr>
          <w:p w14:paraId="346D7DB5" w14:textId="77777777" w:rsidR="00EB76EB" w:rsidRPr="00DC4BB3" w:rsidRDefault="00EB76EB" w:rsidP="008D45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C4BB3">
              <w:rPr>
                <w:rFonts w:ascii="Arial" w:hAnsi="Arial" w:cs="Arial"/>
                <w:b/>
                <w:bCs/>
                <w:color w:val="000000" w:themeColor="text1"/>
              </w:rPr>
              <w:t>Moderate</w:t>
            </w:r>
          </w:p>
        </w:tc>
      </w:tr>
    </w:tbl>
    <w:p w14:paraId="0E8038F6" w14:textId="77777777" w:rsidR="00EB76EB" w:rsidRPr="00EB76EB" w:rsidRDefault="00EB76EB" w:rsidP="00441B6F">
      <w:pPr>
        <w:pStyle w:val="Body"/>
        <w:spacing w:after="0"/>
        <w:rPr>
          <w:rFonts w:ascii="Arial" w:hAnsi="Arial" w:cs="Arial"/>
        </w:rPr>
      </w:pPr>
    </w:p>
    <w:p w14:paraId="63E89A0F" w14:textId="6550C701" w:rsidR="00B84A7C" w:rsidRPr="00B84A7C" w:rsidRDefault="005438DF" w:rsidP="00B84A7C">
      <w:pPr>
        <w:pStyle w:val="Body"/>
        <w:rPr>
          <w:rFonts w:ascii="Arial" w:hAnsi="Arial" w:cs="Arial"/>
          <w:lang w:val="en-PH"/>
        </w:rPr>
      </w:pPr>
      <w:r w:rsidRPr="005438DF">
        <w:rPr>
          <w:rFonts w:ascii="Arial" w:hAnsi="Arial" w:cs="Arial"/>
        </w:rPr>
        <w:t>As highlighted by Hodgins and O’Connor (2021), educational institutions often reflect the same structural inequalities seen in the workplace and other domains</w:t>
      </w:r>
      <w:r w:rsidR="009C01E1">
        <w:rPr>
          <w:rFonts w:ascii="Arial" w:hAnsi="Arial" w:cs="Arial"/>
        </w:rPr>
        <w:t xml:space="preserve"> </w:t>
      </w:r>
      <w:r w:rsidR="009C01E1" w:rsidRPr="009C01E1">
        <w:rPr>
          <w:rFonts w:ascii="Arial" w:hAnsi="Arial" w:cs="Arial"/>
        </w:rPr>
        <w:t>where cultural and institutional biases shape unequal treatment of students.</w:t>
      </w:r>
      <w:r w:rsidR="00E93F5E" w:rsidRPr="00E93F5E">
        <w:rPr>
          <w:rFonts w:ascii="Arial" w:hAnsi="Arial" w:cs="Arial"/>
        </w:rPr>
        <w:t xml:space="preserve"> De Welde and Stepnick (2023) also point out that such disparities are fueled by traditional societal expectations, which often lead to reduced support for female students, especially in competitive or leadership-driven spaces such as sports and class elections. </w:t>
      </w:r>
      <w:proofErr w:type="spellStart"/>
      <w:r w:rsidR="00B84A7C" w:rsidRPr="00B84A7C">
        <w:rPr>
          <w:rFonts w:ascii="Arial" w:hAnsi="Arial" w:cs="Arial"/>
          <w:lang w:val="en-PH"/>
        </w:rPr>
        <w:t>hese</w:t>
      </w:r>
      <w:proofErr w:type="spellEnd"/>
      <w:r w:rsidR="00B84A7C" w:rsidRPr="00B84A7C">
        <w:rPr>
          <w:rFonts w:ascii="Arial" w:hAnsi="Arial" w:cs="Arial"/>
          <w:lang w:val="en-PH"/>
        </w:rPr>
        <w:t xml:space="preserve"> patterns reflect subtle but persistent discrimination in classroom interactions, reinforced by stereotypes and toxic masculinity that promote dominance among males (Salter, 2019). Clavero and Galligan (2021) emphasize that gender awareness is essential in challenging these norms, though systemic issues and lack of intersectionality continue to disadvantage marginalized groups (Kuran et al., 2020). Consistent with Paulo Freire’s Consciousness-Raising Theory, students’ recognition of these biases indicates emerging critical consciousness, where awareness can evolve into active efforts to address gender inequalities through inclusive education and dialogue (</w:t>
      </w:r>
      <w:proofErr w:type="spellStart"/>
      <w:r w:rsidR="00B84A7C" w:rsidRPr="00B84A7C">
        <w:rPr>
          <w:rFonts w:ascii="Arial" w:hAnsi="Arial" w:cs="Arial"/>
          <w:lang w:val="en-PH"/>
        </w:rPr>
        <w:t>Kumlu</w:t>
      </w:r>
      <w:proofErr w:type="spellEnd"/>
      <w:r w:rsidR="00B84A7C" w:rsidRPr="00B84A7C">
        <w:rPr>
          <w:rFonts w:ascii="Arial" w:hAnsi="Arial" w:cs="Arial"/>
          <w:lang w:val="en-PH"/>
        </w:rPr>
        <w:t>, 2024; Sruthi, 2024).</w:t>
      </w:r>
    </w:p>
    <w:p w14:paraId="7BAA4777" w14:textId="20E6C791" w:rsidR="00617EAD" w:rsidRDefault="00617EAD" w:rsidP="00617EAD">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5C2A5A">
        <w:rPr>
          <w:rFonts w:ascii="Arial" w:hAnsi="Arial" w:cs="Arial"/>
          <w:b/>
          <w:caps/>
          <w:sz w:val="22"/>
        </w:rPr>
        <w:t>4</w:t>
      </w:r>
      <w:r>
        <w:rPr>
          <w:rFonts w:ascii="Arial" w:hAnsi="Arial" w:cs="Arial"/>
          <w:b/>
          <w:caps/>
          <w:sz w:val="22"/>
        </w:rPr>
        <w:t xml:space="preserve"> </w:t>
      </w:r>
      <w:r w:rsidR="00382D0B" w:rsidRPr="00382D0B">
        <w:rPr>
          <w:rFonts w:ascii="Arial" w:hAnsi="Arial" w:cs="Arial"/>
          <w:b/>
          <w:sz w:val="22"/>
        </w:rPr>
        <w:t>Level of Gender Equality Among Students</w:t>
      </w:r>
    </w:p>
    <w:p w14:paraId="15C8237F" w14:textId="4E84A959" w:rsidR="001C44E6" w:rsidRDefault="001C44E6" w:rsidP="00441B6F">
      <w:pPr>
        <w:pStyle w:val="Body"/>
        <w:spacing w:after="0"/>
        <w:rPr>
          <w:rFonts w:ascii="Arial" w:hAnsi="Arial" w:cs="Arial"/>
        </w:rPr>
      </w:pPr>
    </w:p>
    <w:p w14:paraId="36CCBA9F" w14:textId="69846BBC" w:rsidR="00EB76EB" w:rsidRDefault="00382D0B" w:rsidP="00441B6F">
      <w:pPr>
        <w:pStyle w:val="Body"/>
        <w:spacing w:after="0"/>
        <w:rPr>
          <w:rFonts w:ascii="Arial" w:hAnsi="Arial" w:cs="Arial"/>
        </w:rPr>
      </w:pPr>
      <w:r w:rsidRPr="00382D0B">
        <w:rPr>
          <w:rFonts w:ascii="Arial" w:hAnsi="Arial" w:cs="Arial"/>
        </w:rPr>
        <w:t xml:space="preserve">This section presents the findings on the level of gender equality among students, based on their perceptions of whether fair and equal treatment exists between male and female students across different aspects of school life. The data in Table </w:t>
      </w:r>
      <w:r w:rsidR="003E5FB6">
        <w:rPr>
          <w:rFonts w:ascii="Arial" w:hAnsi="Arial" w:cs="Arial"/>
        </w:rPr>
        <w:t>8</w:t>
      </w:r>
      <w:r w:rsidRPr="00382D0B">
        <w:rPr>
          <w:rFonts w:ascii="Arial" w:hAnsi="Arial" w:cs="Arial"/>
        </w:rPr>
        <w:t xml:space="preserve"> suggests that students perceive a generally high level of gender equality within the school environment (x̄=4.16, s=0.56). A majority of the indicators were rated very high, reflecting strong practices of fairness and inclusivity across academic, disciplinary, and extracurricular areas. The highest-rated indicator points to equal opportunities in leadership roles (x̄=4.36, s=0.75), while the lowest-rated item, though still in the high category, reveals areas where perceptions of equality, such as how discipline or participation dynamics are handled (x̄=3.84, s=0.97), could be further strengthened. Overall, these results highlight a positive and supportive climate for gender equality among students.</w:t>
      </w:r>
      <w:r w:rsidR="001C44E6" w:rsidRPr="001C44E6">
        <w:rPr>
          <w:rFonts w:ascii="Arial" w:hAnsi="Arial" w:cs="Arial"/>
        </w:rPr>
        <w:t xml:space="preserve"> </w:t>
      </w:r>
    </w:p>
    <w:p w14:paraId="304038D2" w14:textId="77777777" w:rsidR="00315783" w:rsidRDefault="00315783" w:rsidP="00315783">
      <w:pPr>
        <w:pStyle w:val="Body"/>
        <w:spacing w:after="0"/>
        <w:rPr>
          <w:rFonts w:ascii="Arial" w:hAnsi="Arial" w:cs="Arial"/>
        </w:rPr>
      </w:pPr>
    </w:p>
    <w:p w14:paraId="6BD8FB82" w14:textId="28FE8895" w:rsidR="00275C7C" w:rsidRPr="00014CE5" w:rsidRDefault="00275C7C" w:rsidP="00275C7C">
      <w:pPr>
        <w:contextualSpacing/>
        <w:jc w:val="both"/>
        <w:rPr>
          <w:rFonts w:ascii="Arial" w:hAnsi="Arial" w:cs="Arial"/>
          <w:color w:val="000000" w:themeColor="text1"/>
        </w:rPr>
      </w:pPr>
      <w:r w:rsidRPr="00014CE5">
        <w:rPr>
          <w:rFonts w:ascii="Arial" w:hAnsi="Arial" w:cs="Arial"/>
          <w:color w:val="000000" w:themeColor="text1"/>
        </w:rPr>
        <w:t xml:space="preserve">Table </w:t>
      </w:r>
      <w:r w:rsidR="003E5FB6">
        <w:rPr>
          <w:rFonts w:ascii="Arial" w:hAnsi="Arial" w:cs="Arial"/>
          <w:color w:val="000000" w:themeColor="text1"/>
        </w:rPr>
        <w:t>8</w:t>
      </w:r>
      <w:r w:rsidRPr="00014CE5">
        <w:rPr>
          <w:rFonts w:ascii="Arial" w:hAnsi="Arial" w:cs="Arial"/>
          <w:color w:val="000000" w:themeColor="text1"/>
        </w:rPr>
        <w:t>. Level of gender equality among students</w:t>
      </w:r>
    </w:p>
    <w:tbl>
      <w:tblPr>
        <w:tblStyle w:val="PlainTable2"/>
        <w:tblW w:w="0" w:type="auto"/>
        <w:tblLook w:val="04A0" w:firstRow="1" w:lastRow="0" w:firstColumn="1" w:lastColumn="0" w:noHBand="0" w:noVBand="1"/>
      </w:tblPr>
      <w:tblGrid>
        <w:gridCol w:w="4671"/>
        <w:gridCol w:w="728"/>
        <w:gridCol w:w="1304"/>
        <w:gridCol w:w="1505"/>
      </w:tblGrid>
      <w:tr w:rsidR="00275C7C" w:rsidRPr="00B87B46" w14:paraId="694FF326" w14:textId="77777777" w:rsidTr="00982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35A15C" w14:textId="77777777" w:rsidR="00275C7C" w:rsidRPr="00014CE5" w:rsidRDefault="00275C7C" w:rsidP="00014CE5">
            <w:pPr>
              <w:jc w:val="center"/>
              <w:rPr>
                <w:rFonts w:ascii="Arial" w:hAnsi="Arial" w:cs="Arial"/>
                <w:b w:val="0"/>
                <w:bCs w:val="0"/>
                <w:color w:val="000000" w:themeColor="text1"/>
              </w:rPr>
            </w:pPr>
            <w:r w:rsidRPr="00014CE5">
              <w:rPr>
                <w:rFonts w:ascii="Arial" w:hAnsi="Arial" w:cs="Arial"/>
                <w:color w:val="000000" w:themeColor="text1"/>
              </w:rPr>
              <w:t>Indicators</w:t>
            </w:r>
          </w:p>
        </w:tc>
        <w:tc>
          <w:tcPr>
            <w:tcW w:w="0" w:type="auto"/>
            <w:hideMark/>
          </w:tcPr>
          <w:p w14:paraId="6A7C3F6E" w14:textId="77777777" w:rsidR="00275C7C" w:rsidRPr="00014CE5" w:rsidRDefault="00275C7C" w:rsidP="008D452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014CE5">
              <w:rPr>
                <w:rFonts w:ascii="Arial" w:hAnsi="Arial" w:cs="Arial"/>
                <w:color w:val="000000" w:themeColor="text1"/>
              </w:rPr>
              <w:t>Mean</w:t>
            </w:r>
          </w:p>
        </w:tc>
        <w:tc>
          <w:tcPr>
            <w:tcW w:w="0" w:type="auto"/>
            <w:hideMark/>
          </w:tcPr>
          <w:p w14:paraId="3B9A464A" w14:textId="77777777" w:rsidR="00275C7C" w:rsidRPr="00014CE5" w:rsidRDefault="00275C7C" w:rsidP="008D452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014CE5">
              <w:rPr>
                <w:rFonts w:ascii="Arial" w:hAnsi="Arial" w:cs="Arial"/>
                <w:color w:val="000000" w:themeColor="text1"/>
              </w:rPr>
              <w:t>Std. Deviation</w:t>
            </w:r>
          </w:p>
        </w:tc>
        <w:tc>
          <w:tcPr>
            <w:tcW w:w="0" w:type="auto"/>
            <w:hideMark/>
          </w:tcPr>
          <w:p w14:paraId="28874ADE" w14:textId="77777777" w:rsidR="00275C7C" w:rsidRPr="00014CE5" w:rsidRDefault="00275C7C" w:rsidP="008D452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014CE5">
              <w:rPr>
                <w:rFonts w:ascii="Arial" w:hAnsi="Arial" w:cs="Arial"/>
                <w:color w:val="000000" w:themeColor="text1"/>
              </w:rPr>
              <w:t>Interpretation</w:t>
            </w:r>
          </w:p>
        </w:tc>
      </w:tr>
      <w:tr w:rsidR="00275C7C" w:rsidRPr="00B87B46" w14:paraId="57A3AF61"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2FE41A" w14:textId="77777777" w:rsidR="00275C7C" w:rsidRPr="00014CE5" w:rsidRDefault="00275C7C" w:rsidP="00982FB8">
            <w:pPr>
              <w:jc w:val="both"/>
              <w:rPr>
                <w:rFonts w:ascii="Arial" w:hAnsi="Arial" w:cs="Arial"/>
                <w:b w:val="0"/>
                <w:bCs w:val="0"/>
                <w:color w:val="000000" w:themeColor="text1"/>
              </w:rPr>
            </w:pPr>
            <w:r w:rsidRPr="00014CE5">
              <w:rPr>
                <w:rFonts w:ascii="Arial" w:hAnsi="Arial" w:cs="Arial"/>
                <w:b w:val="0"/>
                <w:bCs w:val="0"/>
                <w:color w:val="000000" w:themeColor="text1"/>
              </w:rPr>
              <w:t>Both male and female students are given equal attention and opportunities in class.</w:t>
            </w:r>
          </w:p>
        </w:tc>
        <w:tc>
          <w:tcPr>
            <w:tcW w:w="0" w:type="auto"/>
            <w:hideMark/>
          </w:tcPr>
          <w:p w14:paraId="374E977B"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4.34</w:t>
            </w:r>
          </w:p>
        </w:tc>
        <w:tc>
          <w:tcPr>
            <w:tcW w:w="0" w:type="auto"/>
            <w:hideMark/>
          </w:tcPr>
          <w:p w14:paraId="5D1621F3"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0.79</w:t>
            </w:r>
          </w:p>
        </w:tc>
        <w:tc>
          <w:tcPr>
            <w:tcW w:w="0" w:type="auto"/>
            <w:hideMark/>
          </w:tcPr>
          <w:p w14:paraId="35214011"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626E4203" w14:textId="77777777" w:rsidTr="00982FB8">
        <w:tc>
          <w:tcPr>
            <w:cnfStyle w:val="001000000000" w:firstRow="0" w:lastRow="0" w:firstColumn="1" w:lastColumn="0" w:oddVBand="0" w:evenVBand="0" w:oddHBand="0" w:evenHBand="0" w:firstRowFirstColumn="0" w:firstRowLastColumn="0" w:lastRowFirstColumn="0" w:lastRowLastColumn="0"/>
            <w:tcW w:w="0" w:type="auto"/>
            <w:hideMark/>
          </w:tcPr>
          <w:p w14:paraId="3D8C08F6" w14:textId="77777777" w:rsidR="00275C7C" w:rsidRPr="00014CE5" w:rsidRDefault="00275C7C" w:rsidP="00982FB8">
            <w:pPr>
              <w:jc w:val="both"/>
              <w:rPr>
                <w:rFonts w:ascii="Arial" w:hAnsi="Arial" w:cs="Arial"/>
                <w:b w:val="0"/>
                <w:bCs w:val="0"/>
                <w:color w:val="000000" w:themeColor="text1"/>
              </w:rPr>
            </w:pPr>
            <w:r w:rsidRPr="00014CE5">
              <w:rPr>
                <w:rFonts w:ascii="Arial" w:hAnsi="Arial" w:cs="Arial"/>
                <w:b w:val="0"/>
                <w:bCs w:val="0"/>
                <w:color w:val="000000" w:themeColor="text1"/>
              </w:rPr>
              <w:t>Equal chances are given to students who raise their hands or call out in class, regardless of gender.</w:t>
            </w:r>
          </w:p>
        </w:tc>
        <w:tc>
          <w:tcPr>
            <w:tcW w:w="0" w:type="auto"/>
            <w:hideMark/>
          </w:tcPr>
          <w:p w14:paraId="40408E59"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3.99</w:t>
            </w:r>
          </w:p>
        </w:tc>
        <w:tc>
          <w:tcPr>
            <w:tcW w:w="0" w:type="auto"/>
            <w:hideMark/>
          </w:tcPr>
          <w:p w14:paraId="07A1C307"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1.00</w:t>
            </w:r>
          </w:p>
        </w:tc>
        <w:tc>
          <w:tcPr>
            <w:tcW w:w="0" w:type="auto"/>
            <w:hideMark/>
          </w:tcPr>
          <w:p w14:paraId="63C39D16"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High</w:t>
            </w:r>
          </w:p>
        </w:tc>
      </w:tr>
      <w:tr w:rsidR="00275C7C" w:rsidRPr="00B87B46" w14:paraId="37CAA43F"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E751F2" w14:textId="77777777" w:rsidR="00275C7C" w:rsidRPr="00014CE5" w:rsidRDefault="00275C7C" w:rsidP="00982FB8">
            <w:pPr>
              <w:jc w:val="both"/>
              <w:rPr>
                <w:rFonts w:ascii="Arial" w:hAnsi="Arial" w:cs="Arial"/>
                <w:b w:val="0"/>
                <w:bCs w:val="0"/>
                <w:color w:val="000000" w:themeColor="text1"/>
              </w:rPr>
            </w:pPr>
            <w:r w:rsidRPr="00014CE5">
              <w:rPr>
                <w:rFonts w:ascii="Arial" w:hAnsi="Arial" w:cs="Arial"/>
                <w:b w:val="0"/>
                <w:bCs w:val="0"/>
                <w:color w:val="000000" w:themeColor="text1"/>
              </w:rPr>
              <w:t>Both women and men are praised for their appearance, neatness, and work.</w:t>
            </w:r>
          </w:p>
        </w:tc>
        <w:tc>
          <w:tcPr>
            <w:tcW w:w="0" w:type="auto"/>
            <w:hideMark/>
          </w:tcPr>
          <w:p w14:paraId="573F771F"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4.34</w:t>
            </w:r>
          </w:p>
        </w:tc>
        <w:tc>
          <w:tcPr>
            <w:tcW w:w="0" w:type="auto"/>
            <w:hideMark/>
          </w:tcPr>
          <w:p w14:paraId="38C9C1AB"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0.82</w:t>
            </w:r>
          </w:p>
        </w:tc>
        <w:tc>
          <w:tcPr>
            <w:tcW w:w="0" w:type="auto"/>
            <w:hideMark/>
          </w:tcPr>
          <w:p w14:paraId="2F179C0E"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1719B0C6" w14:textId="77777777" w:rsidTr="00982FB8">
        <w:tc>
          <w:tcPr>
            <w:cnfStyle w:val="001000000000" w:firstRow="0" w:lastRow="0" w:firstColumn="1" w:lastColumn="0" w:oddVBand="0" w:evenVBand="0" w:oddHBand="0" w:evenHBand="0" w:firstRowFirstColumn="0" w:firstRowLastColumn="0" w:lastRowFirstColumn="0" w:lastRowLastColumn="0"/>
            <w:tcW w:w="0" w:type="auto"/>
            <w:hideMark/>
          </w:tcPr>
          <w:p w14:paraId="740BD296" w14:textId="77777777" w:rsidR="00275C7C" w:rsidRPr="00014CE5" w:rsidRDefault="00275C7C" w:rsidP="00982FB8">
            <w:pPr>
              <w:jc w:val="both"/>
              <w:rPr>
                <w:rFonts w:ascii="Arial" w:hAnsi="Arial" w:cs="Arial"/>
                <w:b w:val="0"/>
                <w:bCs w:val="0"/>
                <w:color w:val="000000" w:themeColor="text1"/>
              </w:rPr>
            </w:pPr>
            <w:r w:rsidRPr="00014CE5">
              <w:rPr>
                <w:rFonts w:ascii="Arial" w:hAnsi="Arial" w:cs="Arial"/>
                <w:b w:val="0"/>
                <w:bCs w:val="0"/>
                <w:color w:val="000000" w:themeColor="text1"/>
              </w:rPr>
              <w:t>Equal feedback is given to both men and women regarding academic work.</w:t>
            </w:r>
          </w:p>
        </w:tc>
        <w:tc>
          <w:tcPr>
            <w:tcW w:w="0" w:type="auto"/>
            <w:hideMark/>
          </w:tcPr>
          <w:p w14:paraId="049AAC32"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4.34</w:t>
            </w:r>
          </w:p>
        </w:tc>
        <w:tc>
          <w:tcPr>
            <w:tcW w:w="0" w:type="auto"/>
            <w:hideMark/>
          </w:tcPr>
          <w:p w14:paraId="3CCCBCA0"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0.78</w:t>
            </w:r>
          </w:p>
        </w:tc>
        <w:tc>
          <w:tcPr>
            <w:tcW w:w="0" w:type="auto"/>
            <w:hideMark/>
          </w:tcPr>
          <w:p w14:paraId="156D2463"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3A8F207B"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9F685B" w14:textId="77777777" w:rsidR="00275C7C" w:rsidRPr="00014CE5" w:rsidRDefault="00275C7C" w:rsidP="00982FB8">
            <w:pPr>
              <w:jc w:val="both"/>
              <w:rPr>
                <w:rFonts w:ascii="Arial" w:hAnsi="Arial" w:cs="Arial"/>
                <w:b w:val="0"/>
                <w:bCs w:val="0"/>
                <w:color w:val="000000" w:themeColor="text1"/>
              </w:rPr>
            </w:pPr>
            <w:r w:rsidRPr="00014CE5">
              <w:rPr>
                <w:rFonts w:ascii="Arial" w:hAnsi="Arial" w:cs="Arial"/>
                <w:b w:val="0"/>
                <w:bCs w:val="0"/>
                <w:color w:val="000000" w:themeColor="text1"/>
              </w:rPr>
              <w:t>Equal time is provided in Math class, regardless of gender.</w:t>
            </w:r>
          </w:p>
        </w:tc>
        <w:tc>
          <w:tcPr>
            <w:tcW w:w="0" w:type="auto"/>
            <w:hideMark/>
          </w:tcPr>
          <w:p w14:paraId="31734F64"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3.85</w:t>
            </w:r>
          </w:p>
        </w:tc>
        <w:tc>
          <w:tcPr>
            <w:tcW w:w="0" w:type="auto"/>
            <w:hideMark/>
          </w:tcPr>
          <w:p w14:paraId="2FB96B1F"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1.07</w:t>
            </w:r>
          </w:p>
        </w:tc>
        <w:tc>
          <w:tcPr>
            <w:tcW w:w="0" w:type="auto"/>
            <w:hideMark/>
          </w:tcPr>
          <w:p w14:paraId="774F5C26"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High</w:t>
            </w:r>
          </w:p>
        </w:tc>
      </w:tr>
      <w:tr w:rsidR="00275C7C" w:rsidRPr="00B87B46" w14:paraId="6A6ED4C4" w14:textId="77777777" w:rsidTr="00982FB8">
        <w:tc>
          <w:tcPr>
            <w:cnfStyle w:val="001000000000" w:firstRow="0" w:lastRow="0" w:firstColumn="1" w:lastColumn="0" w:oddVBand="0" w:evenVBand="0" w:oddHBand="0" w:evenHBand="0" w:firstRowFirstColumn="0" w:firstRowLastColumn="0" w:lastRowFirstColumn="0" w:lastRowLastColumn="0"/>
            <w:tcW w:w="0" w:type="auto"/>
            <w:hideMark/>
          </w:tcPr>
          <w:p w14:paraId="1FDDE022" w14:textId="77777777" w:rsidR="00275C7C" w:rsidRPr="00014CE5" w:rsidRDefault="00275C7C" w:rsidP="00982FB8">
            <w:pPr>
              <w:jc w:val="both"/>
              <w:rPr>
                <w:rFonts w:ascii="Arial" w:hAnsi="Arial" w:cs="Arial"/>
                <w:b w:val="0"/>
                <w:bCs w:val="0"/>
                <w:color w:val="000000" w:themeColor="text1"/>
              </w:rPr>
            </w:pPr>
            <w:r w:rsidRPr="00014CE5">
              <w:rPr>
                <w:rFonts w:ascii="Arial" w:hAnsi="Arial" w:cs="Arial"/>
                <w:b w:val="0"/>
                <w:bCs w:val="0"/>
                <w:color w:val="000000" w:themeColor="text1"/>
              </w:rPr>
              <w:t>Equal opportunities and support are given to participate in sports.</w:t>
            </w:r>
          </w:p>
        </w:tc>
        <w:tc>
          <w:tcPr>
            <w:tcW w:w="0" w:type="auto"/>
            <w:hideMark/>
          </w:tcPr>
          <w:p w14:paraId="1DEC3CD7"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4.34</w:t>
            </w:r>
          </w:p>
        </w:tc>
        <w:tc>
          <w:tcPr>
            <w:tcW w:w="0" w:type="auto"/>
            <w:hideMark/>
          </w:tcPr>
          <w:p w14:paraId="0AE6B856"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0.77</w:t>
            </w:r>
          </w:p>
        </w:tc>
        <w:tc>
          <w:tcPr>
            <w:tcW w:w="0" w:type="auto"/>
            <w:hideMark/>
          </w:tcPr>
          <w:p w14:paraId="503A5F82"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07A0F8DD"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E55B8A" w14:textId="77777777" w:rsidR="00275C7C" w:rsidRPr="00014CE5" w:rsidRDefault="00275C7C" w:rsidP="00982FB8">
            <w:pPr>
              <w:jc w:val="both"/>
              <w:rPr>
                <w:rFonts w:ascii="Arial" w:hAnsi="Arial" w:cs="Arial"/>
                <w:b w:val="0"/>
                <w:bCs w:val="0"/>
                <w:color w:val="000000" w:themeColor="text1"/>
              </w:rPr>
            </w:pPr>
            <w:r w:rsidRPr="00014CE5">
              <w:rPr>
                <w:rFonts w:ascii="Arial" w:hAnsi="Arial" w:cs="Arial"/>
                <w:b w:val="0"/>
                <w:bCs w:val="0"/>
                <w:color w:val="000000" w:themeColor="text1"/>
              </w:rPr>
              <w:lastRenderedPageBreak/>
              <w:t>Female students who call out in class are not reprimanded more than males.</w:t>
            </w:r>
          </w:p>
        </w:tc>
        <w:tc>
          <w:tcPr>
            <w:tcW w:w="0" w:type="auto"/>
            <w:hideMark/>
          </w:tcPr>
          <w:p w14:paraId="51F58C08"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3.84</w:t>
            </w:r>
          </w:p>
        </w:tc>
        <w:tc>
          <w:tcPr>
            <w:tcW w:w="0" w:type="auto"/>
            <w:hideMark/>
          </w:tcPr>
          <w:p w14:paraId="5409F302"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0.97</w:t>
            </w:r>
          </w:p>
        </w:tc>
        <w:tc>
          <w:tcPr>
            <w:tcW w:w="0" w:type="auto"/>
            <w:hideMark/>
          </w:tcPr>
          <w:p w14:paraId="1CBC8758"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High</w:t>
            </w:r>
          </w:p>
        </w:tc>
      </w:tr>
      <w:tr w:rsidR="00275C7C" w:rsidRPr="00B87B46" w14:paraId="6F76C089" w14:textId="77777777" w:rsidTr="00982FB8">
        <w:tc>
          <w:tcPr>
            <w:cnfStyle w:val="001000000000" w:firstRow="0" w:lastRow="0" w:firstColumn="1" w:lastColumn="0" w:oddVBand="0" w:evenVBand="0" w:oddHBand="0" w:evenHBand="0" w:firstRowFirstColumn="0" w:firstRowLastColumn="0" w:lastRowFirstColumn="0" w:lastRowLastColumn="0"/>
            <w:tcW w:w="0" w:type="auto"/>
            <w:hideMark/>
          </w:tcPr>
          <w:p w14:paraId="4577EB1C" w14:textId="77777777" w:rsidR="00275C7C" w:rsidRPr="00014CE5" w:rsidRDefault="00275C7C" w:rsidP="00982FB8">
            <w:pPr>
              <w:jc w:val="both"/>
              <w:rPr>
                <w:rFonts w:ascii="Arial" w:hAnsi="Arial" w:cs="Arial"/>
                <w:b w:val="0"/>
                <w:bCs w:val="0"/>
                <w:color w:val="000000" w:themeColor="text1"/>
              </w:rPr>
            </w:pPr>
            <w:r w:rsidRPr="00014CE5">
              <w:rPr>
                <w:rFonts w:ascii="Arial" w:hAnsi="Arial" w:cs="Arial"/>
                <w:b w:val="0"/>
                <w:bCs w:val="0"/>
                <w:color w:val="000000" w:themeColor="text1"/>
              </w:rPr>
              <w:t>Discipline is administered equally to men and women for the same behavior.</w:t>
            </w:r>
          </w:p>
        </w:tc>
        <w:tc>
          <w:tcPr>
            <w:tcW w:w="0" w:type="auto"/>
            <w:hideMark/>
          </w:tcPr>
          <w:p w14:paraId="24836D30"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4.21</w:t>
            </w:r>
          </w:p>
        </w:tc>
        <w:tc>
          <w:tcPr>
            <w:tcW w:w="0" w:type="auto"/>
            <w:hideMark/>
          </w:tcPr>
          <w:p w14:paraId="61008002"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0.81</w:t>
            </w:r>
          </w:p>
        </w:tc>
        <w:tc>
          <w:tcPr>
            <w:tcW w:w="0" w:type="auto"/>
            <w:hideMark/>
          </w:tcPr>
          <w:p w14:paraId="6B3BC80E"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2479C906"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C546EC" w14:textId="77777777" w:rsidR="00275C7C" w:rsidRPr="00014CE5" w:rsidRDefault="00275C7C" w:rsidP="00982FB8">
            <w:pPr>
              <w:jc w:val="both"/>
              <w:rPr>
                <w:rFonts w:ascii="Arial" w:hAnsi="Arial" w:cs="Arial"/>
                <w:b w:val="0"/>
                <w:bCs w:val="0"/>
                <w:color w:val="000000" w:themeColor="text1"/>
              </w:rPr>
            </w:pPr>
            <w:r w:rsidRPr="00014CE5">
              <w:rPr>
                <w:rFonts w:ascii="Arial" w:hAnsi="Arial" w:cs="Arial"/>
                <w:b w:val="0"/>
                <w:bCs w:val="0"/>
                <w:color w:val="000000" w:themeColor="text1"/>
              </w:rPr>
              <w:t>Both male and female students have equal opportunities to run for class president.</w:t>
            </w:r>
          </w:p>
        </w:tc>
        <w:tc>
          <w:tcPr>
            <w:tcW w:w="0" w:type="auto"/>
            <w:hideMark/>
          </w:tcPr>
          <w:p w14:paraId="603EAF03"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4.36</w:t>
            </w:r>
          </w:p>
        </w:tc>
        <w:tc>
          <w:tcPr>
            <w:tcW w:w="0" w:type="auto"/>
            <w:hideMark/>
          </w:tcPr>
          <w:p w14:paraId="5FCCF9C7"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0.75</w:t>
            </w:r>
          </w:p>
        </w:tc>
        <w:tc>
          <w:tcPr>
            <w:tcW w:w="0" w:type="auto"/>
            <w:hideMark/>
          </w:tcPr>
          <w:p w14:paraId="55973284"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2BFBE846" w14:textId="77777777" w:rsidTr="00982FB8">
        <w:tc>
          <w:tcPr>
            <w:cnfStyle w:val="001000000000" w:firstRow="0" w:lastRow="0" w:firstColumn="1" w:lastColumn="0" w:oddVBand="0" w:evenVBand="0" w:oddHBand="0" w:evenHBand="0" w:firstRowFirstColumn="0" w:firstRowLastColumn="0" w:lastRowFirstColumn="0" w:lastRowLastColumn="0"/>
            <w:tcW w:w="0" w:type="auto"/>
            <w:hideMark/>
          </w:tcPr>
          <w:p w14:paraId="6F21A133" w14:textId="77777777" w:rsidR="00275C7C" w:rsidRPr="00014CE5" w:rsidRDefault="00275C7C" w:rsidP="00982FB8">
            <w:pPr>
              <w:jc w:val="both"/>
              <w:rPr>
                <w:rFonts w:ascii="Arial" w:hAnsi="Arial" w:cs="Arial"/>
                <w:b w:val="0"/>
                <w:bCs w:val="0"/>
                <w:color w:val="000000" w:themeColor="text1"/>
              </w:rPr>
            </w:pPr>
            <w:r w:rsidRPr="00014CE5">
              <w:rPr>
                <w:rFonts w:ascii="Arial" w:hAnsi="Arial" w:cs="Arial"/>
                <w:b w:val="0"/>
                <w:bCs w:val="0"/>
                <w:color w:val="000000" w:themeColor="text1"/>
              </w:rPr>
              <w:t>Equal opportunities are granted in school activities.</w:t>
            </w:r>
          </w:p>
        </w:tc>
        <w:tc>
          <w:tcPr>
            <w:tcW w:w="0" w:type="auto"/>
            <w:hideMark/>
          </w:tcPr>
          <w:p w14:paraId="7832204E"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3.97</w:t>
            </w:r>
          </w:p>
        </w:tc>
        <w:tc>
          <w:tcPr>
            <w:tcW w:w="0" w:type="auto"/>
            <w:hideMark/>
          </w:tcPr>
          <w:p w14:paraId="360E3710"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1.24</w:t>
            </w:r>
          </w:p>
        </w:tc>
        <w:tc>
          <w:tcPr>
            <w:tcW w:w="0" w:type="auto"/>
            <w:hideMark/>
          </w:tcPr>
          <w:p w14:paraId="5A633BD9"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High</w:t>
            </w:r>
          </w:p>
        </w:tc>
      </w:tr>
      <w:tr w:rsidR="00275C7C" w:rsidRPr="00B87B46" w14:paraId="5D3A8364"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0A833E" w14:textId="77777777" w:rsidR="00275C7C" w:rsidRPr="00014CE5" w:rsidRDefault="00275C7C" w:rsidP="00982FB8">
            <w:pPr>
              <w:jc w:val="both"/>
              <w:rPr>
                <w:rFonts w:ascii="Arial" w:hAnsi="Arial" w:cs="Arial"/>
                <w:color w:val="000000" w:themeColor="text1"/>
              </w:rPr>
            </w:pPr>
            <w:r w:rsidRPr="00014CE5">
              <w:rPr>
                <w:rFonts w:ascii="Arial" w:hAnsi="Arial" w:cs="Arial"/>
                <w:color w:val="000000" w:themeColor="text1"/>
              </w:rPr>
              <w:t>Overall Mean</w:t>
            </w:r>
          </w:p>
        </w:tc>
        <w:tc>
          <w:tcPr>
            <w:tcW w:w="0" w:type="auto"/>
            <w:hideMark/>
          </w:tcPr>
          <w:p w14:paraId="0059DC1C"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b/>
                <w:bCs/>
                <w:color w:val="000000" w:themeColor="text1"/>
              </w:rPr>
              <w:t>4.16</w:t>
            </w:r>
          </w:p>
        </w:tc>
        <w:tc>
          <w:tcPr>
            <w:tcW w:w="0" w:type="auto"/>
            <w:hideMark/>
          </w:tcPr>
          <w:p w14:paraId="125DD7F2"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b/>
                <w:bCs/>
                <w:color w:val="000000" w:themeColor="text1"/>
              </w:rPr>
              <w:t>0.56</w:t>
            </w:r>
          </w:p>
        </w:tc>
        <w:tc>
          <w:tcPr>
            <w:tcW w:w="0" w:type="auto"/>
            <w:hideMark/>
          </w:tcPr>
          <w:p w14:paraId="3532141E" w14:textId="77777777" w:rsidR="00275C7C" w:rsidRPr="00014CE5" w:rsidRDefault="00275C7C" w:rsidP="008D45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14CE5">
              <w:rPr>
                <w:rFonts w:ascii="Arial" w:hAnsi="Arial" w:cs="Arial"/>
                <w:b/>
                <w:bCs/>
                <w:color w:val="000000" w:themeColor="text1"/>
              </w:rPr>
              <w:t>High</w:t>
            </w:r>
          </w:p>
        </w:tc>
      </w:tr>
    </w:tbl>
    <w:p w14:paraId="23A58BDB" w14:textId="77777777" w:rsidR="001C44E6" w:rsidRPr="00014CE5" w:rsidRDefault="001C44E6" w:rsidP="00441B6F">
      <w:pPr>
        <w:pStyle w:val="Body"/>
        <w:spacing w:after="0"/>
        <w:rPr>
          <w:rFonts w:ascii="Arial" w:hAnsi="Arial" w:cs="Arial"/>
        </w:rPr>
      </w:pPr>
    </w:p>
    <w:p w14:paraId="6F8BBCFE" w14:textId="4A829289" w:rsidR="000F0057" w:rsidRPr="000F0057" w:rsidRDefault="000F0057" w:rsidP="000F0057">
      <w:pPr>
        <w:pStyle w:val="Body"/>
        <w:spacing w:after="0"/>
        <w:rPr>
          <w:rFonts w:ascii="Arial" w:hAnsi="Arial" w:cs="Arial"/>
          <w:lang w:val="en-PH"/>
        </w:rPr>
      </w:pPr>
      <w:r w:rsidRPr="000F0057">
        <w:rPr>
          <w:rFonts w:ascii="Arial" w:hAnsi="Arial" w:cs="Arial"/>
          <w:lang w:val="en-PH"/>
        </w:rPr>
        <w:t xml:space="preserve">The high level of gender equality observed in the school setting reflects the impact of institutional reforms and policies promoting inclusive practices, particularly the mainstreaming of Gender and Development (GAD) through CHED initiatives such as CMO No. 01, s. 2015, which integrates gender sensitivity across instruction, research, extension, and production functions (Manuel, 2024). As a result, students in such environments tend to develop more egalitarian views and inclusive behaviors, fostering balanced participation, fair feedback, and equal leadership opportunities (Lopez &amp; Andal, 2024; </w:t>
      </w:r>
      <w:proofErr w:type="spellStart"/>
      <w:r w:rsidRPr="000F0057">
        <w:rPr>
          <w:rFonts w:ascii="Arial" w:hAnsi="Arial" w:cs="Arial"/>
          <w:lang w:val="en-PH"/>
        </w:rPr>
        <w:t>Massouti</w:t>
      </w:r>
      <w:proofErr w:type="spellEnd"/>
      <w:r w:rsidRPr="000F0057">
        <w:rPr>
          <w:rFonts w:ascii="Arial" w:hAnsi="Arial" w:cs="Arial"/>
          <w:lang w:val="en-PH"/>
        </w:rPr>
        <w:t xml:space="preserve"> et al., 2024). Equitable practices in education are essential in dismantling structural barriers and enhancing both academic success and emotional well-being (Psaki et al., 2022), although persistent cultural norms and patriarchal attitudes still pose challenges to full gender parity (Smith &amp; </w:t>
      </w:r>
      <w:proofErr w:type="spellStart"/>
      <w:r w:rsidRPr="000F0057">
        <w:rPr>
          <w:rFonts w:ascii="Arial" w:hAnsi="Arial" w:cs="Arial"/>
          <w:lang w:val="en-PH"/>
        </w:rPr>
        <w:t>Sinkford</w:t>
      </w:r>
      <w:proofErr w:type="spellEnd"/>
      <w:r w:rsidRPr="000F0057">
        <w:rPr>
          <w:rFonts w:ascii="Arial" w:hAnsi="Arial" w:cs="Arial"/>
          <w:lang w:val="en-PH"/>
        </w:rPr>
        <w:t xml:space="preserve">, 2022; Kim, 2022). Recent literature also highlights the need for intersectional approaches to ensure inclusivity for marginalized groups, as well as the influence of media and evolving societal views in redefining gender as a continuum rather than a binary (Ryder &amp; Boone, 2021; </w:t>
      </w:r>
      <w:proofErr w:type="spellStart"/>
      <w:r w:rsidRPr="000F0057">
        <w:rPr>
          <w:rFonts w:ascii="Arial" w:hAnsi="Arial" w:cs="Arial"/>
          <w:lang w:val="en-PH"/>
        </w:rPr>
        <w:t>Mohajan</w:t>
      </w:r>
      <w:proofErr w:type="spellEnd"/>
      <w:r w:rsidRPr="000F0057">
        <w:rPr>
          <w:rFonts w:ascii="Arial" w:hAnsi="Arial" w:cs="Arial"/>
          <w:lang w:val="en-PH"/>
        </w:rPr>
        <w:t>, 2022). Anchored in Paulo Freire’s Consciousness-Raising Theory, students’ high perception of gender equality signifies an emerging critical consciousness, where awareness of both strengths and gaps in equity reflects a deeper engagement with social realities and movement toward transformative, inclusive education (Freire, 1970; Freire, 2021).</w:t>
      </w:r>
    </w:p>
    <w:p w14:paraId="08FD4ACA" w14:textId="77777777" w:rsidR="005C2A5A" w:rsidRDefault="005C2A5A" w:rsidP="00441B6F">
      <w:pPr>
        <w:pStyle w:val="Body"/>
        <w:spacing w:after="0"/>
        <w:rPr>
          <w:rFonts w:ascii="Arial" w:hAnsi="Arial" w:cs="Arial"/>
        </w:rPr>
      </w:pPr>
    </w:p>
    <w:p w14:paraId="5B7603CA" w14:textId="4D59500D" w:rsidR="005C2A5A" w:rsidRDefault="005C2A5A" w:rsidP="005C2A5A">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E97880">
        <w:rPr>
          <w:rFonts w:ascii="Arial" w:hAnsi="Arial" w:cs="Arial"/>
          <w:b/>
          <w:caps/>
          <w:sz w:val="22"/>
        </w:rPr>
        <w:t>5</w:t>
      </w:r>
      <w:r>
        <w:rPr>
          <w:rFonts w:ascii="Arial" w:hAnsi="Arial" w:cs="Arial"/>
          <w:b/>
          <w:caps/>
          <w:sz w:val="22"/>
        </w:rPr>
        <w:t xml:space="preserve"> </w:t>
      </w:r>
      <w:r w:rsidR="00E97880" w:rsidRPr="00E97880">
        <w:rPr>
          <w:rFonts w:ascii="Arial" w:hAnsi="Arial" w:cs="Arial"/>
          <w:b/>
          <w:sz w:val="22"/>
        </w:rPr>
        <w:t xml:space="preserve">Significant Differences in the Level of Awareness of Gender Laws Based on Respondents’ Demographic Profile </w:t>
      </w:r>
    </w:p>
    <w:p w14:paraId="053D859D" w14:textId="77777777" w:rsidR="005C2A5A" w:rsidRDefault="005C2A5A" w:rsidP="00441B6F">
      <w:pPr>
        <w:pStyle w:val="Body"/>
        <w:spacing w:after="0"/>
        <w:rPr>
          <w:rFonts w:ascii="Arial" w:hAnsi="Arial" w:cs="Arial"/>
        </w:rPr>
      </w:pPr>
    </w:p>
    <w:p w14:paraId="7E588A23" w14:textId="23EB0DE6" w:rsidR="00984F5D" w:rsidRDefault="00984F5D" w:rsidP="00441B6F">
      <w:pPr>
        <w:pStyle w:val="Body"/>
        <w:spacing w:after="0"/>
        <w:rPr>
          <w:rFonts w:ascii="Arial" w:hAnsi="Arial" w:cs="Arial"/>
        </w:rPr>
      </w:pPr>
      <w:r w:rsidRPr="00984F5D">
        <w:rPr>
          <w:rFonts w:ascii="Arial" w:hAnsi="Arial" w:cs="Arial"/>
        </w:rPr>
        <w:t xml:space="preserve">To determine whether significant differences exist in the level of awareness of respondents on gender laws when grouped according to demographic characteristics, Analysis of Variance (ANOVA) and post hoc tests were employed. </w:t>
      </w:r>
      <w:r w:rsidR="00895B9E">
        <w:rPr>
          <w:rFonts w:ascii="Arial" w:hAnsi="Arial" w:cs="Arial"/>
        </w:rPr>
        <w:t>T</w:t>
      </w:r>
      <w:r w:rsidR="003C1FC0" w:rsidRPr="00984F5D">
        <w:rPr>
          <w:rFonts w:ascii="Arial" w:hAnsi="Arial" w:cs="Arial"/>
        </w:rPr>
        <w:t xml:space="preserve">able </w:t>
      </w:r>
      <w:r w:rsidR="00895B9E">
        <w:rPr>
          <w:rFonts w:ascii="Arial" w:hAnsi="Arial" w:cs="Arial"/>
        </w:rPr>
        <w:t>9</w:t>
      </w:r>
      <w:r w:rsidR="003C1FC0" w:rsidRPr="00984F5D">
        <w:rPr>
          <w:rFonts w:ascii="Arial" w:hAnsi="Arial" w:cs="Arial"/>
        </w:rPr>
        <w:t xml:space="preserve"> shows that age significantly affects the respondents’ level of awareness regarding gender laws, as indicated by the ANOVA result (f=4.257, p=.006). This means that awareness varies among different age groups. </w:t>
      </w:r>
    </w:p>
    <w:p w14:paraId="4AB0EEA9" w14:textId="77777777" w:rsidR="00895B9E" w:rsidRDefault="00895B9E" w:rsidP="00441B6F">
      <w:pPr>
        <w:pStyle w:val="Body"/>
        <w:spacing w:after="0"/>
        <w:rPr>
          <w:rFonts w:ascii="Arial" w:hAnsi="Arial" w:cs="Arial"/>
        </w:rPr>
      </w:pPr>
    </w:p>
    <w:p w14:paraId="1EFDB576" w14:textId="0781F1DE" w:rsidR="00E150CA" w:rsidRPr="009447AE" w:rsidRDefault="00E150CA" w:rsidP="00BE6EE4">
      <w:pPr>
        <w:contextualSpacing/>
        <w:rPr>
          <w:rFonts w:ascii="Arial" w:hAnsi="Arial" w:cs="Arial"/>
          <w:b/>
          <w:bCs/>
          <w:color w:val="000000" w:themeColor="text1"/>
        </w:rPr>
      </w:pPr>
      <w:r w:rsidRPr="009447AE">
        <w:rPr>
          <w:rFonts w:ascii="Arial" w:hAnsi="Arial" w:cs="Arial"/>
          <w:b/>
          <w:bCs/>
          <w:color w:val="000000" w:themeColor="text1"/>
        </w:rPr>
        <w:t xml:space="preserve">Table </w:t>
      </w:r>
      <w:r w:rsidR="003E5FB6" w:rsidRPr="009447AE">
        <w:rPr>
          <w:rFonts w:ascii="Arial" w:hAnsi="Arial" w:cs="Arial"/>
          <w:b/>
          <w:bCs/>
          <w:color w:val="000000" w:themeColor="text1"/>
        </w:rPr>
        <w:t>9</w:t>
      </w:r>
      <w:r w:rsidRPr="009447AE">
        <w:rPr>
          <w:rFonts w:ascii="Arial" w:hAnsi="Arial" w:cs="Arial"/>
          <w:b/>
          <w:bCs/>
          <w:color w:val="000000" w:themeColor="text1"/>
        </w:rPr>
        <w:t>. Significant difference in the level of awareness of gender laws when grouped according to age</w:t>
      </w:r>
    </w:p>
    <w:tbl>
      <w:tblPr>
        <w:tblStyle w:val="PlainTable2"/>
        <w:tblW w:w="8188" w:type="dxa"/>
        <w:tblLook w:val="04A0" w:firstRow="1" w:lastRow="0" w:firstColumn="1" w:lastColumn="0" w:noHBand="0" w:noVBand="1"/>
      </w:tblPr>
      <w:tblGrid>
        <w:gridCol w:w="2061"/>
        <w:gridCol w:w="2100"/>
        <w:gridCol w:w="664"/>
        <w:gridCol w:w="1765"/>
        <w:gridCol w:w="866"/>
        <w:gridCol w:w="732"/>
      </w:tblGrid>
      <w:tr w:rsidR="00E150CA" w:rsidRPr="00B87B46" w14:paraId="32CDEAF3" w14:textId="77777777" w:rsidTr="00E150C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auto"/>
            <w:hideMark/>
          </w:tcPr>
          <w:p w14:paraId="06273A33" w14:textId="77777777" w:rsidR="00E150CA" w:rsidRPr="009447AE" w:rsidRDefault="00E150CA" w:rsidP="00BE6EE4">
            <w:pPr>
              <w:rPr>
                <w:rFonts w:ascii="Arial" w:hAnsi="Arial" w:cs="Arial"/>
                <w:b w:val="0"/>
                <w:bCs w:val="0"/>
                <w:color w:val="000000" w:themeColor="text1"/>
              </w:rPr>
            </w:pPr>
            <w:r w:rsidRPr="009447AE">
              <w:rPr>
                <w:rFonts w:ascii="Arial" w:hAnsi="Arial" w:cs="Arial"/>
                <w:color w:val="000000" w:themeColor="text1"/>
              </w:rPr>
              <w:t>Source</w:t>
            </w:r>
          </w:p>
        </w:tc>
        <w:tc>
          <w:tcPr>
            <w:tcW w:w="0" w:type="auto"/>
            <w:hideMark/>
          </w:tcPr>
          <w:p w14:paraId="29F07133"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Sum of Squares</w:t>
            </w:r>
          </w:p>
        </w:tc>
        <w:tc>
          <w:tcPr>
            <w:tcW w:w="0" w:type="auto"/>
            <w:hideMark/>
          </w:tcPr>
          <w:p w14:paraId="08336DA0"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df</w:t>
            </w:r>
          </w:p>
        </w:tc>
        <w:tc>
          <w:tcPr>
            <w:tcW w:w="0" w:type="auto"/>
            <w:hideMark/>
          </w:tcPr>
          <w:p w14:paraId="38013A2A"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Mean Square</w:t>
            </w:r>
          </w:p>
        </w:tc>
        <w:tc>
          <w:tcPr>
            <w:tcW w:w="0" w:type="auto"/>
            <w:hideMark/>
          </w:tcPr>
          <w:p w14:paraId="22212916"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F</w:t>
            </w:r>
          </w:p>
        </w:tc>
        <w:tc>
          <w:tcPr>
            <w:tcW w:w="0" w:type="auto"/>
            <w:hideMark/>
          </w:tcPr>
          <w:p w14:paraId="6D3203EF"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Sig.</w:t>
            </w:r>
          </w:p>
        </w:tc>
      </w:tr>
      <w:tr w:rsidR="00E150CA" w:rsidRPr="00B87B46" w14:paraId="177B374B" w14:textId="77777777" w:rsidTr="00E150C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20BB4153" w14:textId="77777777" w:rsidR="00E150CA" w:rsidRPr="009447AE" w:rsidRDefault="00E150CA" w:rsidP="00BE6EE4">
            <w:pPr>
              <w:rPr>
                <w:rFonts w:ascii="Arial" w:hAnsi="Arial" w:cs="Arial"/>
                <w:b w:val="0"/>
                <w:bCs w:val="0"/>
                <w:color w:val="000000" w:themeColor="text1"/>
              </w:rPr>
            </w:pPr>
            <w:r w:rsidRPr="009447AE">
              <w:rPr>
                <w:rFonts w:ascii="Arial" w:hAnsi="Arial" w:cs="Arial"/>
                <w:b w:val="0"/>
                <w:bCs w:val="0"/>
                <w:color w:val="000000" w:themeColor="text1"/>
              </w:rPr>
              <w:t>Between Groups</w:t>
            </w:r>
          </w:p>
        </w:tc>
        <w:tc>
          <w:tcPr>
            <w:tcW w:w="0" w:type="auto"/>
            <w:hideMark/>
          </w:tcPr>
          <w:p w14:paraId="4AC5C6D9"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7.687</w:t>
            </w:r>
          </w:p>
        </w:tc>
        <w:tc>
          <w:tcPr>
            <w:tcW w:w="0" w:type="auto"/>
            <w:hideMark/>
          </w:tcPr>
          <w:p w14:paraId="206A476E"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3</w:t>
            </w:r>
          </w:p>
        </w:tc>
        <w:tc>
          <w:tcPr>
            <w:tcW w:w="0" w:type="auto"/>
            <w:hideMark/>
          </w:tcPr>
          <w:p w14:paraId="2842FD36"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2.562</w:t>
            </w:r>
          </w:p>
        </w:tc>
        <w:tc>
          <w:tcPr>
            <w:tcW w:w="0" w:type="auto"/>
            <w:hideMark/>
          </w:tcPr>
          <w:p w14:paraId="2CF8C793"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4.257</w:t>
            </w:r>
          </w:p>
        </w:tc>
        <w:tc>
          <w:tcPr>
            <w:tcW w:w="0" w:type="auto"/>
            <w:hideMark/>
          </w:tcPr>
          <w:p w14:paraId="5F0D2CC4"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.006</w:t>
            </w:r>
          </w:p>
        </w:tc>
      </w:tr>
      <w:tr w:rsidR="00E150CA" w:rsidRPr="00B87B46" w14:paraId="6AAD5792" w14:textId="77777777" w:rsidTr="00E150CA">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6D04F4C9" w14:textId="77777777" w:rsidR="00E150CA" w:rsidRPr="009447AE" w:rsidRDefault="00E150CA" w:rsidP="00BE6EE4">
            <w:pPr>
              <w:rPr>
                <w:rFonts w:ascii="Arial" w:hAnsi="Arial" w:cs="Arial"/>
                <w:b w:val="0"/>
                <w:bCs w:val="0"/>
                <w:color w:val="000000" w:themeColor="text1"/>
              </w:rPr>
            </w:pPr>
            <w:r w:rsidRPr="009447AE">
              <w:rPr>
                <w:rFonts w:ascii="Arial" w:hAnsi="Arial" w:cs="Arial"/>
                <w:b w:val="0"/>
                <w:bCs w:val="0"/>
                <w:color w:val="000000" w:themeColor="text1"/>
              </w:rPr>
              <w:t>Within Groups</w:t>
            </w:r>
          </w:p>
        </w:tc>
        <w:tc>
          <w:tcPr>
            <w:tcW w:w="0" w:type="auto"/>
            <w:hideMark/>
          </w:tcPr>
          <w:p w14:paraId="722FBA3A"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190.789</w:t>
            </w:r>
          </w:p>
        </w:tc>
        <w:tc>
          <w:tcPr>
            <w:tcW w:w="0" w:type="auto"/>
            <w:hideMark/>
          </w:tcPr>
          <w:p w14:paraId="2C0842F9"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317</w:t>
            </w:r>
          </w:p>
        </w:tc>
        <w:tc>
          <w:tcPr>
            <w:tcW w:w="0" w:type="auto"/>
            <w:hideMark/>
          </w:tcPr>
          <w:p w14:paraId="53FE26B1"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0.602</w:t>
            </w:r>
          </w:p>
        </w:tc>
        <w:tc>
          <w:tcPr>
            <w:tcW w:w="0" w:type="auto"/>
            <w:hideMark/>
          </w:tcPr>
          <w:p w14:paraId="581F4524"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42AC650C"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E150CA" w:rsidRPr="00B87B46" w14:paraId="53DF7234" w14:textId="77777777" w:rsidTr="00E150C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1705708E" w14:textId="77777777" w:rsidR="00E150CA" w:rsidRPr="009447AE" w:rsidRDefault="00E150CA" w:rsidP="00BE6EE4">
            <w:pPr>
              <w:rPr>
                <w:rFonts w:ascii="Arial" w:hAnsi="Arial" w:cs="Arial"/>
                <w:color w:val="000000" w:themeColor="text1"/>
              </w:rPr>
            </w:pPr>
            <w:r w:rsidRPr="009447AE">
              <w:rPr>
                <w:rFonts w:ascii="Arial" w:hAnsi="Arial" w:cs="Arial"/>
                <w:color w:val="000000" w:themeColor="text1"/>
              </w:rPr>
              <w:t>Total</w:t>
            </w:r>
          </w:p>
        </w:tc>
        <w:tc>
          <w:tcPr>
            <w:tcW w:w="0" w:type="auto"/>
            <w:hideMark/>
          </w:tcPr>
          <w:p w14:paraId="46BBBC5F"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198.477</w:t>
            </w:r>
          </w:p>
        </w:tc>
        <w:tc>
          <w:tcPr>
            <w:tcW w:w="0" w:type="auto"/>
            <w:hideMark/>
          </w:tcPr>
          <w:p w14:paraId="2B36589D"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320</w:t>
            </w:r>
          </w:p>
        </w:tc>
        <w:tc>
          <w:tcPr>
            <w:tcW w:w="0" w:type="auto"/>
            <w:hideMark/>
          </w:tcPr>
          <w:p w14:paraId="5EF2392E"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0D8871C1"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4680BD00" w14:textId="77777777" w:rsidR="00E150CA" w:rsidRPr="009447AE" w:rsidRDefault="00E150CA"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786B9EB8" w14:textId="77777777" w:rsidR="0021182F" w:rsidRPr="00E150CA" w:rsidRDefault="0021182F" w:rsidP="00441B6F">
      <w:pPr>
        <w:pStyle w:val="Body"/>
        <w:spacing w:after="0"/>
        <w:rPr>
          <w:rFonts w:ascii="Arial" w:hAnsi="Arial" w:cs="Arial"/>
        </w:rPr>
      </w:pPr>
    </w:p>
    <w:p w14:paraId="1C409D10" w14:textId="5D808407" w:rsidR="003C62A0" w:rsidRDefault="00895B9E" w:rsidP="003C62A0">
      <w:pPr>
        <w:pStyle w:val="Body"/>
        <w:spacing w:after="0"/>
        <w:rPr>
          <w:rFonts w:ascii="Arial" w:hAnsi="Arial" w:cs="Arial"/>
        </w:rPr>
      </w:pPr>
      <w:r>
        <w:rPr>
          <w:rFonts w:ascii="Arial" w:hAnsi="Arial" w:cs="Arial"/>
        </w:rPr>
        <w:t xml:space="preserve">More specifically, Table 10 </w:t>
      </w:r>
      <w:r w:rsidR="003C62A0" w:rsidRPr="00984F5D">
        <w:rPr>
          <w:rFonts w:ascii="Arial" w:hAnsi="Arial" w:cs="Arial"/>
        </w:rPr>
        <w:t>revealed that respondents aged 27 years old and above exhibit significantly different levels of awareness compared to those aged 21 to 23 (mean difference = -0.66, p = .04) and 24 to 26 years old (mean difference = -0.75, p = .02). This suggests that older respondents tend to be more aware of gender laws than their slightly younger counterparts.</w:t>
      </w:r>
    </w:p>
    <w:p w14:paraId="14C366B9" w14:textId="77777777" w:rsidR="00984F5D" w:rsidRDefault="00984F5D" w:rsidP="00441B6F">
      <w:pPr>
        <w:pStyle w:val="Body"/>
        <w:spacing w:after="0"/>
        <w:rPr>
          <w:rFonts w:ascii="Arial" w:hAnsi="Arial" w:cs="Arial"/>
        </w:rPr>
      </w:pPr>
    </w:p>
    <w:p w14:paraId="68EBD9C6" w14:textId="3C1DC32A" w:rsidR="004A7014" w:rsidRPr="00677DEF" w:rsidRDefault="00677DEF" w:rsidP="009A3548">
      <w:pPr>
        <w:contextualSpacing/>
        <w:jc w:val="both"/>
        <w:rPr>
          <w:rFonts w:ascii="Arial" w:hAnsi="Arial" w:cs="Arial"/>
          <w:color w:val="000000" w:themeColor="text1"/>
        </w:rPr>
      </w:pPr>
      <w:r w:rsidRPr="009A3548">
        <w:rPr>
          <w:rFonts w:ascii="Arial" w:hAnsi="Arial" w:cs="Arial"/>
          <w:b/>
          <w:bCs/>
          <w:color w:val="000000" w:themeColor="text1"/>
        </w:rPr>
        <w:t>Table</w:t>
      </w:r>
      <w:r w:rsidR="009A3548">
        <w:rPr>
          <w:rFonts w:ascii="Arial" w:hAnsi="Arial" w:cs="Arial"/>
          <w:b/>
          <w:bCs/>
          <w:color w:val="000000" w:themeColor="text1"/>
        </w:rPr>
        <w:t xml:space="preserve"> </w:t>
      </w:r>
      <w:r w:rsidRPr="009A3548">
        <w:rPr>
          <w:rFonts w:ascii="Arial" w:hAnsi="Arial" w:cs="Arial"/>
          <w:b/>
          <w:bCs/>
          <w:color w:val="000000" w:themeColor="text1"/>
        </w:rPr>
        <w:t>1</w:t>
      </w:r>
      <w:r w:rsidR="00895B9E">
        <w:rPr>
          <w:rFonts w:ascii="Arial" w:hAnsi="Arial" w:cs="Arial"/>
          <w:b/>
          <w:bCs/>
          <w:color w:val="000000" w:themeColor="text1"/>
        </w:rPr>
        <w:t>0</w:t>
      </w:r>
      <w:r w:rsidR="004A7014" w:rsidRPr="009A3548">
        <w:rPr>
          <w:rFonts w:ascii="Arial" w:hAnsi="Arial" w:cs="Arial"/>
          <w:b/>
          <w:bCs/>
          <w:color w:val="000000" w:themeColor="text1"/>
        </w:rPr>
        <w:t>. Post hoc test – differences in gender laws awareness across age groups</w:t>
      </w:r>
    </w:p>
    <w:tbl>
      <w:tblPr>
        <w:tblStyle w:val="PlainTable2"/>
        <w:tblW w:w="0" w:type="auto"/>
        <w:tblLayout w:type="fixed"/>
        <w:tblLook w:val="04A0" w:firstRow="1" w:lastRow="0" w:firstColumn="1" w:lastColumn="0" w:noHBand="0" w:noVBand="1"/>
      </w:tblPr>
      <w:tblGrid>
        <w:gridCol w:w="2127"/>
        <w:gridCol w:w="1275"/>
        <w:gridCol w:w="800"/>
        <w:gridCol w:w="618"/>
        <w:gridCol w:w="1867"/>
        <w:gridCol w:w="1521"/>
      </w:tblGrid>
      <w:tr w:rsidR="004A7014" w:rsidRPr="00B87B46" w14:paraId="2AC17A1F" w14:textId="77777777" w:rsidTr="009A3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3B0E5D04"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color w:val="000000" w:themeColor="text1"/>
              </w:rPr>
              <w:t>Age Groups Compared</w:t>
            </w:r>
          </w:p>
        </w:tc>
        <w:tc>
          <w:tcPr>
            <w:tcW w:w="1275" w:type="dxa"/>
            <w:hideMark/>
          </w:tcPr>
          <w:p w14:paraId="3113455C"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Mean Difference</w:t>
            </w:r>
          </w:p>
        </w:tc>
        <w:tc>
          <w:tcPr>
            <w:tcW w:w="800" w:type="dxa"/>
            <w:hideMark/>
          </w:tcPr>
          <w:p w14:paraId="4B58AB45"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Std. Error</w:t>
            </w:r>
          </w:p>
        </w:tc>
        <w:tc>
          <w:tcPr>
            <w:tcW w:w="618" w:type="dxa"/>
            <w:hideMark/>
          </w:tcPr>
          <w:p w14:paraId="23AF4F88"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Sig.</w:t>
            </w:r>
          </w:p>
        </w:tc>
        <w:tc>
          <w:tcPr>
            <w:tcW w:w="1867" w:type="dxa"/>
            <w:hideMark/>
          </w:tcPr>
          <w:p w14:paraId="178AE99A"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95% Confidence Interval</w:t>
            </w:r>
          </w:p>
        </w:tc>
        <w:tc>
          <w:tcPr>
            <w:tcW w:w="1521" w:type="dxa"/>
            <w:hideMark/>
          </w:tcPr>
          <w:p w14:paraId="47308094"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Interpretation</w:t>
            </w:r>
          </w:p>
        </w:tc>
      </w:tr>
      <w:tr w:rsidR="004A7014" w:rsidRPr="00B87B46" w14:paraId="6E238BF6" w14:textId="77777777" w:rsidTr="009A3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5B76AE42"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lastRenderedPageBreak/>
              <w:t>18 to 20 vs. 21 to 23</w:t>
            </w:r>
          </w:p>
        </w:tc>
        <w:tc>
          <w:tcPr>
            <w:tcW w:w="1275" w:type="dxa"/>
            <w:hideMark/>
          </w:tcPr>
          <w:p w14:paraId="73080040"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0.19</w:t>
            </w:r>
          </w:p>
        </w:tc>
        <w:tc>
          <w:tcPr>
            <w:tcW w:w="800" w:type="dxa"/>
            <w:hideMark/>
          </w:tcPr>
          <w:p w14:paraId="14FE9522"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0.10</w:t>
            </w:r>
          </w:p>
        </w:tc>
        <w:tc>
          <w:tcPr>
            <w:tcW w:w="618" w:type="dxa"/>
            <w:hideMark/>
          </w:tcPr>
          <w:p w14:paraId="05ABF2D3"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0.24</w:t>
            </w:r>
          </w:p>
        </w:tc>
        <w:tc>
          <w:tcPr>
            <w:tcW w:w="1867" w:type="dxa"/>
            <w:hideMark/>
          </w:tcPr>
          <w:p w14:paraId="308F4858"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[-0.07, 0.44]</w:t>
            </w:r>
          </w:p>
        </w:tc>
        <w:tc>
          <w:tcPr>
            <w:tcW w:w="1521" w:type="dxa"/>
            <w:hideMark/>
          </w:tcPr>
          <w:p w14:paraId="03D71A96"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No Difference</w:t>
            </w:r>
          </w:p>
        </w:tc>
      </w:tr>
      <w:tr w:rsidR="004A7014" w:rsidRPr="00B87B46" w14:paraId="1446BD31" w14:textId="77777777" w:rsidTr="009A3548">
        <w:tc>
          <w:tcPr>
            <w:cnfStyle w:val="001000000000" w:firstRow="0" w:lastRow="0" w:firstColumn="1" w:lastColumn="0" w:oddVBand="0" w:evenVBand="0" w:oddHBand="0" w:evenHBand="0" w:firstRowFirstColumn="0" w:firstRowLastColumn="0" w:lastRowFirstColumn="0" w:lastRowLastColumn="0"/>
            <w:tcW w:w="2127" w:type="dxa"/>
            <w:hideMark/>
          </w:tcPr>
          <w:p w14:paraId="64BD414B"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18 to 20 vs. 24 to 26</w:t>
            </w:r>
          </w:p>
        </w:tc>
        <w:tc>
          <w:tcPr>
            <w:tcW w:w="1275" w:type="dxa"/>
            <w:hideMark/>
          </w:tcPr>
          <w:p w14:paraId="4B7ECDDC"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0.27</w:t>
            </w:r>
          </w:p>
        </w:tc>
        <w:tc>
          <w:tcPr>
            <w:tcW w:w="800" w:type="dxa"/>
            <w:hideMark/>
          </w:tcPr>
          <w:p w14:paraId="5AAC552D"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0.12</w:t>
            </w:r>
          </w:p>
        </w:tc>
        <w:tc>
          <w:tcPr>
            <w:tcW w:w="618" w:type="dxa"/>
            <w:hideMark/>
          </w:tcPr>
          <w:p w14:paraId="204C7A8A"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0.10</w:t>
            </w:r>
          </w:p>
        </w:tc>
        <w:tc>
          <w:tcPr>
            <w:tcW w:w="1867" w:type="dxa"/>
            <w:hideMark/>
          </w:tcPr>
          <w:p w14:paraId="3105B5C8"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[-0.03, 0.58]</w:t>
            </w:r>
          </w:p>
        </w:tc>
        <w:tc>
          <w:tcPr>
            <w:tcW w:w="1521" w:type="dxa"/>
            <w:hideMark/>
          </w:tcPr>
          <w:p w14:paraId="431B9598"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No Difference</w:t>
            </w:r>
          </w:p>
        </w:tc>
      </w:tr>
      <w:tr w:rsidR="004A7014" w:rsidRPr="00B87B46" w14:paraId="3925D1A3" w14:textId="77777777" w:rsidTr="009A3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78D4B386"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18 to 20 vs. 27 and above</w:t>
            </w:r>
          </w:p>
        </w:tc>
        <w:tc>
          <w:tcPr>
            <w:tcW w:w="1275" w:type="dxa"/>
            <w:hideMark/>
          </w:tcPr>
          <w:p w14:paraId="12F81AC3"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-0.47</w:t>
            </w:r>
          </w:p>
        </w:tc>
        <w:tc>
          <w:tcPr>
            <w:tcW w:w="800" w:type="dxa"/>
            <w:hideMark/>
          </w:tcPr>
          <w:p w14:paraId="532760B6"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0.24</w:t>
            </w:r>
          </w:p>
        </w:tc>
        <w:tc>
          <w:tcPr>
            <w:tcW w:w="618" w:type="dxa"/>
            <w:hideMark/>
          </w:tcPr>
          <w:p w14:paraId="28B616F6"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0.21</w:t>
            </w:r>
          </w:p>
        </w:tc>
        <w:tc>
          <w:tcPr>
            <w:tcW w:w="1867" w:type="dxa"/>
            <w:hideMark/>
          </w:tcPr>
          <w:p w14:paraId="6C9BA3F8"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[-1.11, 0.16]</w:t>
            </w:r>
          </w:p>
        </w:tc>
        <w:tc>
          <w:tcPr>
            <w:tcW w:w="1521" w:type="dxa"/>
            <w:hideMark/>
          </w:tcPr>
          <w:p w14:paraId="29EE61AC"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No Difference</w:t>
            </w:r>
          </w:p>
        </w:tc>
      </w:tr>
      <w:tr w:rsidR="004A7014" w:rsidRPr="00B87B46" w14:paraId="76EB6994" w14:textId="77777777" w:rsidTr="009A3548">
        <w:tc>
          <w:tcPr>
            <w:cnfStyle w:val="001000000000" w:firstRow="0" w:lastRow="0" w:firstColumn="1" w:lastColumn="0" w:oddVBand="0" w:evenVBand="0" w:oddHBand="0" w:evenHBand="0" w:firstRowFirstColumn="0" w:firstRowLastColumn="0" w:lastRowFirstColumn="0" w:lastRowLastColumn="0"/>
            <w:tcW w:w="2127" w:type="dxa"/>
            <w:hideMark/>
          </w:tcPr>
          <w:p w14:paraId="7AE81EFF"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21 to 23 vs. 24 to 26</w:t>
            </w:r>
          </w:p>
        </w:tc>
        <w:tc>
          <w:tcPr>
            <w:tcW w:w="1275" w:type="dxa"/>
            <w:hideMark/>
          </w:tcPr>
          <w:p w14:paraId="35FA1319"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0.09</w:t>
            </w:r>
          </w:p>
        </w:tc>
        <w:tc>
          <w:tcPr>
            <w:tcW w:w="800" w:type="dxa"/>
            <w:hideMark/>
          </w:tcPr>
          <w:p w14:paraId="55BB86AA"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0.12</w:t>
            </w:r>
          </w:p>
        </w:tc>
        <w:tc>
          <w:tcPr>
            <w:tcW w:w="618" w:type="dxa"/>
            <w:hideMark/>
          </w:tcPr>
          <w:p w14:paraId="162A06C5"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0.88</w:t>
            </w:r>
          </w:p>
        </w:tc>
        <w:tc>
          <w:tcPr>
            <w:tcW w:w="1867" w:type="dxa"/>
            <w:hideMark/>
          </w:tcPr>
          <w:p w14:paraId="65527354"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[-0.22, 0.39]</w:t>
            </w:r>
          </w:p>
        </w:tc>
        <w:tc>
          <w:tcPr>
            <w:tcW w:w="1521" w:type="dxa"/>
            <w:hideMark/>
          </w:tcPr>
          <w:p w14:paraId="271F4D76"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No Difference</w:t>
            </w:r>
          </w:p>
        </w:tc>
      </w:tr>
      <w:tr w:rsidR="004A7014" w:rsidRPr="00B87B46" w14:paraId="36112B17" w14:textId="77777777" w:rsidTr="009A3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403E3812"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21 to 23 vs. 27 and above</w:t>
            </w:r>
          </w:p>
        </w:tc>
        <w:tc>
          <w:tcPr>
            <w:tcW w:w="1275" w:type="dxa"/>
            <w:hideMark/>
          </w:tcPr>
          <w:p w14:paraId="2DF9D432"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-0.66</w:t>
            </w:r>
          </w:p>
        </w:tc>
        <w:tc>
          <w:tcPr>
            <w:tcW w:w="800" w:type="dxa"/>
            <w:hideMark/>
          </w:tcPr>
          <w:p w14:paraId="644E4AD8"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0.24</w:t>
            </w:r>
          </w:p>
        </w:tc>
        <w:tc>
          <w:tcPr>
            <w:tcW w:w="618" w:type="dxa"/>
            <w:hideMark/>
          </w:tcPr>
          <w:p w14:paraId="2A9A21A7"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0.04</w:t>
            </w:r>
          </w:p>
        </w:tc>
        <w:tc>
          <w:tcPr>
            <w:tcW w:w="1867" w:type="dxa"/>
            <w:hideMark/>
          </w:tcPr>
          <w:p w14:paraId="7609CDB2"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[-1.29, -0.03]</w:t>
            </w:r>
          </w:p>
        </w:tc>
        <w:tc>
          <w:tcPr>
            <w:tcW w:w="1521" w:type="dxa"/>
            <w:hideMark/>
          </w:tcPr>
          <w:p w14:paraId="7125112F" w14:textId="77777777" w:rsidR="004A7014" w:rsidRPr="00677DEF" w:rsidRDefault="004A7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Has Difference</w:t>
            </w:r>
          </w:p>
        </w:tc>
      </w:tr>
      <w:tr w:rsidR="004A7014" w:rsidRPr="00B87B46" w14:paraId="7C8871C9" w14:textId="77777777" w:rsidTr="009A3548">
        <w:tc>
          <w:tcPr>
            <w:cnfStyle w:val="001000000000" w:firstRow="0" w:lastRow="0" w:firstColumn="1" w:lastColumn="0" w:oddVBand="0" w:evenVBand="0" w:oddHBand="0" w:evenHBand="0" w:firstRowFirstColumn="0" w:firstRowLastColumn="0" w:lastRowFirstColumn="0" w:lastRowLastColumn="0"/>
            <w:tcW w:w="2127" w:type="dxa"/>
            <w:hideMark/>
          </w:tcPr>
          <w:p w14:paraId="4BAEE44D"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24 to 26 vs. 27 and above</w:t>
            </w:r>
          </w:p>
        </w:tc>
        <w:tc>
          <w:tcPr>
            <w:tcW w:w="1275" w:type="dxa"/>
            <w:hideMark/>
          </w:tcPr>
          <w:p w14:paraId="0F793ABD"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-0.75</w:t>
            </w:r>
          </w:p>
        </w:tc>
        <w:tc>
          <w:tcPr>
            <w:tcW w:w="800" w:type="dxa"/>
            <w:hideMark/>
          </w:tcPr>
          <w:p w14:paraId="38CF1331"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0.25</w:t>
            </w:r>
          </w:p>
        </w:tc>
        <w:tc>
          <w:tcPr>
            <w:tcW w:w="618" w:type="dxa"/>
            <w:hideMark/>
          </w:tcPr>
          <w:p w14:paraId="7B2010EB"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0.02</w:t>
            </w:r>
          </w:p>
        </w:tc>
        <w:tc>
          <w:tcPr>
            <w:tcW w:w="1867" w:type="dxa"/>
            <w:hideMark/>
          </w:tcPr>
          <w:p w14:paraId="18360A93"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[-1.40, -0.10]</w:t>
            </w:r>
          </w:p>
        </w:tc>
        <w:tc>
          <w:tcPr>
            <w:tcW w:w="1521" w:type="dxa"/>
            <w:hideMark/>
          </w:tcPr>
          <w:p w14:paraId="6C405EF9"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Has Difference</w:t>
            </w:r>
          </w:p>
        </w:tc>
      </w:tr>
    </w:tbl>
    <w:p w14:paraId="0CCAB7C9" w14:textId="77777777" w:rsidR="004A7014" w:rsidRPr="00677DEF" w:rsidRDefault="004A7014" w:rsidP="00441B6F">
      <w:pPr>
        <w:pStyle w:val="Body"/>
        <w:spacing w:after="0"/>
        <w:rPr>
          <w:rFonts w:ascii="Arial" w:hAnsi="Arial" w:cs="Arial"/>
        </w:rPr>
      </w:pPr>
    </w:p>
    <w:p w14:paraId="3CAC9EEB" w14:textId="42CFEB7C" w:rsidR="00984F5D" w:rsidRDefault="00915553" w:rsidP="00441B6F">
      <w:pPr>
        <w:pStyle w:val="Body"/>
        <w:spacing w:after="0"/>
        <w:rPr>
          <w:rFonts w:ascii="Arial" w:hAnsi="Arial" w:cs="Arial"/>
        </w:rPr>
      </w:pPr>
      <w:r>
        <w:rPr>
          <w:rFonts w:ascii="Arial" w:hAnsi="Arial" w:cs="Arial"/>
        </w:rPr>
        <w:t xml:space="preserve">In line with the results, </w:t>
      </w:r>
      <w:r w:rsidR="00984F5D" w:rsidRPr="00984F5D">
        <w:rPr>
          <w:rFonts w:ascii="Arial" w:hAnsi="Arial" w:cs="Arial"/>
        </w:rPr>
        <w:t>Cox (2021)</w:t>
      </w:r>
      <w:r>
        <w:rPr>
          <w:rFonts w:ascii="Arial" w:hAnsi="Arial" w:cs="Arial"/>
        </w:rPr>
        <w:t xml:space="preserve"> stated that </w:t>
      </w:r>
      <w:r w:rsidR="00984F5D" w:rsidRPr="00984F5D">
        <w:rPr>
          <w:rFonts w:ascii="Arial" w:hAnsi="Arial" w:cs="Arial"/>
        </w:rPr>
        <w:t xml:space="preserve">older adults are more likely to engage in discussions and media that focus on legal rights and social justice. Similarly, Huda et al. (2018) highlighted that civic knowledge and responsibility increase through life experience and formal education. Moreover, </w:t>
      </w:r>
      <w:proofErr w:type="spellStart"/>
      <w:r w:rsidR="00984F5D" w:rsidRPr="00984F5D">
        <w:rPr>
          <w:rFonts w:ascii="Arial" w:hAnsi="Arial" w:cs="Arial"/>
        </w:rPr>
        <w:t>Khamisy</w:t>
      </w:r>
      <w:proofErr w:type="spellEnd"/>
      <w:r w:rsidR="00984F5D" w:rsidRPr="00984F5D">
        <w:rPr>
          <w:rFonts w:ascii="Arial" w:hAnsi="Arial" w:cs="Arial"/>
        </w:rPr>
        <w:t xml:space="preserve">-Farah and </w:t>
      </w:r>
      <w:proofErr w:type="spellStart"/>
      <w:r w:rsidR="00984F5D" w:rsidRPr="00984F5D">
        <w:rPr>
          <w:rFonts w:ascii="Arial" w:hAnsi="Arial" w:cs="Arial"/>
        </w:rPr>
        <w:t>Bragazzi</w:t>
      </w:r>
      <w:proofErr w:type="spellEnd"/>
      <w:r w:rsidR="00984F5D" w:rsidRPr="00984F5D">
        <w:rPr>
          <w:rFonts w:ascii="Arial" w:hAnsi="Arial" w:cs="Arial"/>
        </w:rPr>
        <w:t xml:space="preserve"> (2022) found that older individuals are more likely to attend seminars or workshops on gender-related issues, particularly in professional or academic settings. Younger respondents, on the other hand, may not prioritize such topics due to a focus on peer dynamics or emerging adult responsibilities (</w:t>
      </w:r>
      <w:proofErr w:type="spellStart"/>
      <w:r w:rsidR="00984F5D" w:rsidRPr="00984F5D">
        <w:rPr>
          <w:rFonts w:ascii="Arial" w:hAnsi="Arial" w:cs="Arial"/>
        </w:rPr>
        <w:t>Katsiaficas</w:t>
      </w:r>
      <w:proofErr w:type="spellEnd"/>
      <w:r w:rsidR="00984F5D" w:rsidRPr="00984F5D">
        <w:rPr>
          <w:rFonts w:ascii="Arial" w:hAnsi="Arial" w:cs="Arial"/>
        </w:rPr>
        <w:t>, 2017)</w:t>
      </w:r>
      <w:r w:rsidR="00283474">
        <w:rPr>
          <w:rFonts w:ascii="Arial" w:hAnsi="Arial" w:cs="Arial"/>
        </w:rPr>
        <w:t xml:space="preserve">. </w:t>
      </w:r>
    </w:p>
    <w:p w14:paraId="6DD9C69D" w14:textId="77777777" w:rsidR="000E3C87" w:rsidRDefault="000E3C87" w:rsidP="00441B6F">
      <w:pPr>
        <w:pStyle w:val="Body"/>
        <w:spacing w:after="0"/>
        <w:rPr>
          <w:rFonts w:ascii="Arial" w:hAnsi="Arial" w:cs="Arial"/>
        </w:rPr>
      </w:pPr>
    </w:p>
    <w:p w14:paraId="7A9AD51F" w14:textId="77777777" w:rsidR="000E3C87" w:rsidRDefault="000E3C87" w:rsidP="000E3C87">
      <w:pPr>
        <w:pStyle w:val="Body"/>
        <w:spacing w:after="0"/>
        <w:rPr>
          <w:rFonts w:ascii="Arial" w:hAnsi="Arial" w:cs="Arial"/>
        </w:rPr>
      </w:pPr>
      <w:r w:rsidRPr="00283474">
        <w:rPr>
          <w:rFonts w:ascii="Arial" w:hAnsi="Arial" w:cs="Arial"/>
        </w:rPr>
        <w:t>As shown in Table 1</w:t>
      </w:r>
      <w:r>
        <w:rPr>
          <w:rFonts w:ascii="Arial" w:hAnsi="Arial" w:cs="Arial"/>
        </w:rPr>
        <w:t>1</w:t>
      </w:r>
      <w:r w:rsidRPr="00283474">
        <w:rPr>
          <w:rFonts w:ascii="Arial" w:hAnsi="Arial" w:cs="Arial"/>
        </w:rPr>
        <w:t xml:space="preserve">, gender also showed a significant difference in respondents’ awareness of gender laws (f=6.114, p=.002). The following post hoc test table specifies which gender groups significantly differ from each other. </w:t>
      </w:r>
    </w:p>
    <w:p w14:paraId="529502DF" w14:textId="77777777" w:rsidR="003D5AB5" w:rsidRDefault="003D5AB5" w:rsidP="00441B6F">
      <w:pPr>
        <w:pStyle w:val="Body"/>
        <w:spacing w:after="0"/>
        <w:rPr>
          <w:rFonts w:ascii="Arial" w:hAnsi="Arial" w:cs="Arial"/>
        </w:rPr>
      </w:pPr>
    </w:p>
    <w:p w14:paraId="79928D58" w14:textId="78886A59" w:rsidR="003D5AB5" w:rsidRPr="00895B9E" w:rsidRDefault="003D5AB5" w:rsidP="003D5AB5">
      <w:pPr>
        <w:contextualSpacing/>
        <w:jc w:val="both"/>
        <w:rPr>
          <w:rFonts w:ascii="Arial" w:hAnsi="Arial" w:cs="Arial"/>
          <w:color w:val="000000" w:themeColor="text1"/>
        </w:rPr>
      </w:pPr>
      <w:r w:rsidRPr="00895B9E">
        <w:rPr>
          <w:rFonts w:ascii="Arial" w:hAnsi="Arial" w:cs="Arial"/>
          <w:color w:val="000000" w:themeColor="text1"/>
        </w:rPr>
        <w:t>Table 1</w:t>
      </w:r>
      <w:r w:rsidR="00895B9E">
        <w:rPr>
          <w:rFonts w:ascii="Arial" w:hAnsi="Arial" w:cs="Arial"/>
          <w:color w:val="000000" w:themeColor="text1"/>
        </w:rPr>
        <w:t>1</w:t>
      </w:r>
      <w:r w:rsidRPr="00895B9E">
        <w:rPr>
          <w:rFonts w:ascii="Arial" w:hAnsi="Arial" w:cs="Arial"/>
          <w:color w:val="000000" w:themeColor="text1"/>
        </w:rPr>
        <w:t>. Significant difference in the level of awareness of gender laws when grouped according to gender</w:t>
      </w:r>
    </w:p>
    <w:tbl>
      <w:tblPr>
        <w:tblStyle w:val="PlainTable2"/>
        <w:tblW w:w="8233" w:type="dxa"/>
        <w:tblLook w:val="04A0" w:firstRow="1" w:lastRow="0" w:firstColumn="1" w:lastColumn="0" w:noHBand="0" w:noVBand="1"/>
      </w:tblPr>
      <w:tblGrid>
        <w:gridCol w:w="2072"/>
        <w:gridCol w:w="2112"/>
        <w:gridCol w:w="668"/>
        <w:gridCol w:w="1774"/>
        <w:gridCol w:w="871"/>
        <w:gridCol w:w="736"/>
      </w:tblGrid>
      <w:tr w:rsidR="003D5AB5" w:rsidRPr="00B87B46" w14:paraId="17D61E3B" w14:textId="77777777" w:rsidTr="00425627">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hideMark/>
          </w:tcPr>
          <w:p w14:paraId="06455B8A" w14:textId="77777777" w:rsidR="003D5AB5" w:rsidRPr="00895B9E" w:rsidRDefault="003D5AB5" w:rsidP="00BE6EE4">
            <w:pPr>
              <w:rPr>
                <w:rFonts w:ascii="Arial" w:hAnsi="Arial" w:cs="Arial"/>
                <w:b w:val="0"/>
                <w:bCs w:val="0"/>
                <w:color w:val="000000" w:themeColor="text1"/>
              </w:rPr>
            </w:pPr>
            <w:r w:rsidRPr="00895B9E">
              <w:rPr>
                <w:rFonts w:ascii="Arial" w:hAnsi="Arial" w:cs="Arial"/>
                <w:color w:val="000000" w:themeColor="text1"/>
              </w:rPr>
              <w:t>Source</w:t>
            </w:r>
          </w:p>
        </w:tc>
        <w:tc>
          <w:tcPr>
            <w:tcW w:w="0" w:type="auto"/>
            <w:hideMark/>
          </w:tcPr>
          <w:p w14:paraId="2DD56645"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Sum of Squares</w:t>
            </w:r>
          </w:p>
        </w:tc>
        <w:tc>
          <w:tcPr>
            <w:tcW w:w="0" w:type="auto"/>
            <w:hideMark/>
          </w:tcPr>
          <w:p w14:paraId="6EC13430"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df</w:t>
            </w:r>
          </w:p>
        </w:tc>
        <w:tc>
          <w:tcPr>
            <w:tcW w:w="0" w:type="auto"/>
            <w:hideMark/>
          </w:tcPr>
          <w:p w14:paraId="04FC0E73"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Mean Square</w:t>
            </w:r>
          </w:p>
        </w:tc>
        <w:tc>
          <w:tcPr>
            <w:tcW w:w="0" w:type="auto"/>
            <w:hideMark/>
          </w:tcPr>
          <w:p w14:paraId="54C312BD"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F</w:t>
            </w:r>
          </w:p>
        </w:tc>
        <w:tc>
          <w:tcPr>
            <w:tcW w:w="0" w:type="auto"/>
            <w:hideMark/>
          </w:tcPr>
          <w:p w14:paraId="5AB2C901"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Sig.</w:t>
            </w:r>
          </w:p>
        </w:tc>
      </w:tr>
      <w:tr w:rsidR="003D5AB5" w:rsidRPr="00B87B46" w14:paraId="368D42FD" w14:textId="77777777" w:rsidTr="0042562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0C52825F" w14:textId="77777777" w:rsidR="003D5AB5" w:rsidRPr="00895B9E" w:rsidRDefault="003D5AB5" w:rsidP="00BE6EE4">
            <w:pPr>
              <w:rPr>
                <w:rFonts w:ascii="Arial" w:hAnsi="Arial" w:cs="Arial"/>
                <w:b w:val="0"/>
                <w:bCs w:val="0"/>
                <w:color w:val="000000" w:themeColor="text1"/>
              </w:rPr>
            </w:pPr>
            <w:r w:rsidRPr="00895B9E">
              <w:rPr>
                <w:rFonts w:ascii="Arial" w:hAnsi="Arial" w:cs="Arial"/>
                <w:b w:val="0"/>
                <w:bCs w:val="0"/>
                <w:color w:val="000000" w:themeColor="text1"/>
              </w:rPr>
              <w:t>Between Groups</w:t>
            </w:r>
          </w:p>
        </w:tc>
        <w:tc>
          <w:tcPr>
            <w:tcW w:w="0" w:type="auto"/>
            <w:hideMark/>
          </w:tcPr>
          <w:p w14:paraId="54602E2F"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7.350</w:t>
            </w:r>
          </w:p>
        </w:tc>
        <w:tc>
          <w:tcPr>
            <w:tcW w:w="0" w:type="auto"/>
            <w:hideMark/>
          </w:tcPr>
          <w:p w14:paraId="08D89958"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2</w:t>
            </w:r>
          </w:p>
        </w:tc>
        <w:tc>
          <w:tcPr>
            <w:tcW w:w="0" w:type="auto"/>
            <w:hideMark/>
          </w:tcPr>
          <w:p w14:paraId="787F7764"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3.675</w:t>
            </w:r>
          </w:p>
        </w:tc>
        <w:tc>
          <w:tcPr>
            <w:tcW w:w="0" w:type="auto"/>
            <w:hideMark/>
          </w:tcPr>
          <w:p w14:paraId="4D1440E5"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6.114</w:t>
            </w:r>
          </w:p>
        </w:tc>
        <w:tc>
          <w:tcPr>
            <w:tcW w:w="0" w:type="auto"/>
            <w:hideMark/>
          </w:tcPr>
          <w:p w14:paraId="1D0A7DEA"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.002</w:t>
            </w:r>
          </w:p>
        </w:tc>
      </w:tr>
      <w:tr w:rsidR="003D5AB5" w:rsidRPr="00B87B46" w14:paraId="2523E962" w14:textId="77777777" w:rsidTr="00425627">
        <w:trPr>
          <w:trHeight w:val="266"/>
        </w:trPr>
        <w:tc>
          <w:tcPr>
            <w:cnfStyle w:val="001000000000" w:firstRow="0" w:lastRow="0" w:firstColumn="1" w:lastColumn="0" w:oddVBand="0" w:evenVBand="0" w:oddHBand="0" w:evenHBand="0" w:firstRowFirstColumn="0" w:firstRowLastColumn="0" w:lastRowFirstColumn="0" w:lastRowLastColumn="0"/>
            <w:tcW w:w="0" w:type="auto"/>
            <w:hideMark/>
          </w:tcPr>
          <w:p w14:paraId="644FBA9A" w14:textId="77777777" w:rsidR="003D5AB5" w:rsidRPr="00895B9E" w:rsidRDefault="003D5AB5" w:rsidP="00BE6EE4">
            <w:pPr>
              <w:rPr>
                <w:rFonts w:ascii="Arial" w:hAnsi="Arial" w:cs="Arial"/>
                <w:b w:val="0"/>
                <w:bCs w:val="0"/>
                <w:color w:val="000000" w:themeColor="text1"/>
              </w:rPr>
            </w:pPr>
            <w:r w:rsidRPr="00895B9E">
              <w:rPr>
                <w:rFonts w:ascii="Arial" w:hAnsi="Arial" w:cs="Arial"/>
                <w:b w:val="0"/>
                <w:bCs w:val="0"/>
                <w:color w:val="000000" w:themeColor="text1"/>
              </w:rPr>
              <w:t>Within Groups</w:t>
            </w:r>
          </w:p>
        </w:tc>
        <w:tc>
          <w:tcPr>
            <w:tcW w:w="0" w:type="auto"/>
            <w:hideMark/>
          </w:tcPr>
          <w:p w14:paraId="61B685DA"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191.127</w:t>
            </w:r>
          </w:p>
        </w:tc>
        <w:tc>
          <w:tcPr>
            <w:tcW w:w="0" w:type="auto"/>
            <w:hideMark/>
          </w:tcPr>
          <w:p w14:paraId="3239E938"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318</w:t>
            </w:r>
          </w:p>
        </w:tc>
        <w:tc>
          <w:tcPr>
            <w:tcW w:w="0" w:type="auto"/>
            <w:hideMark/>
          </w:tcPr>
          <w:p w14:paraId="72B4C7D5"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0.601</w:t>
            </w:r>
          </w:p>
        </w:tc>
        <w:tc>
          <w:tcPr>
            <w:tcW w:w="0" w:type="auto"/>
            <w:hideMark/>
          </w:tcPr>
          <w:p w14:paraId="1C6322F4"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2240A5C3"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3D5AB5" w:rsidRPr="00B87B46" w14:paraId="5ACDA35A" w14:textId="77777777" w:rsidTr="0042562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6DBD0946" w14:textId="77777777" w:rsidR="003D5AB5" w:rsidRPr="00895B9E" w:rsidRDefault="003D5AB5" w:rsidP="00BE6EE4">
            <w:pPr>
              <w:rPr>
                <w:rFonts w:ascii="Arial" w:hAnsi="Arial" w:cs="Arial"/>
                <w:color w:val="000000" w:themeColor="text1"/>
              </w:rPr>
            </w:pPr>
            <w:r w:rsidRPr="00895B9E">
              <w:rPr>
                <w:rFonts w:ascii="Arial" w:hAnsi="Arial" w:cs="Arial"/>
                <w:color w:val="000000" w:themeColor="text1"/>
              </w:rPr>
              <w:t>Total</w:t>
            </w:r>
          </w:p>
        </w:tc>
        <w:tc>
          <w:tcPr>
            <w:tcW w:w="0" w:type="auto"/>
            <w:hideMark/>
          </w:tcPr>
          <w:p w14:paraId="0819B6DF"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198.477</w:t>
            </w:r>
          </w:p>
        </w:tc>
        <w:tc>
          <w:tcPr>
            <w:tcW w:w="0" w:type="auto"/>
            <w:hideMark/>
          </w:tcPr>
          <w:p w14:paraId="5D8946FA"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320</w:t>
            </w:r>
          </w:p>
        </w:tc>
        <w:tc>
          <w:tcPr>
            <w:tcW w:w="0" w:type="auto"/>
            <w:hideMark/>
          </w:tcPr>
          <w:p w14:paraId="7674C6F9"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79023CB5"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65DFEE80" w14:textId="77777777" w:rsidR="003D5AB5" w:rsidRPr="00895B9E" w:rsidRDefault="003D5AB5"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03FE461F" w14:textId="77777777" w:rsidR="00283474" w:rsidRPr="00895B9E" w:rsidRDefault="00283474" w:rsidP="00441B6F">
      <w:pPr>
        <w:pStyle w:val="Body"/>
        <w:spacing w:after="0"/>
        <w:rPr>
          <w:rFonts w:ascii="Arial" w:hAnsi="Arial" w:cs="Arial"/>
        </w:rPr>
      </w:pPr>
    </w:p>
    <w:p w14:paraId="3AA88A03" w14:textId="6EBCBAA7" w:rsidR="00283474" w:rsidRDefault="000E3C87" w:rsidP="00441B6F">
      <w:pPr>
        <w:pStyle w:val="Body"/>
        <w:spacing w:after="0"/>
        <w:rPr>
          <w:rFonts w:ascii="Arial" w:hAnsi="Arial" w:cs="Arial"/>
        </w:rPr>
      </w:pPr>
      <w:r>
        <w:rPr>
          <w:rFonts w:ascii="Arial" w:hAnsi="Arial" w:cs="Arial"/>
        </w:rPr>
        <w:t xml:space="preserve">Specifically, </w:t>
      </w:r>
      <w:r w:rsidR="00915553">
        <w:rPr>
          <w:rFonts w:ascii="Arial" w:hAnsi="Arial" w:cs="Arial"/>
        </w:rPr>
        <w:t>Table 12</w:t>
      </w:r>
      <w:r w:rsidRPr="008F3AEF">
        <w:rPr>
          <w:rFonts w:ascii="Arial" w:hAnsi="Arial" w:cs="Arial"/>
        </w:rPr>
        <w:t xml:space="preserve"> shows that females have significantly higher awareness of gender laws compared to males (mean difference = 0.31, p = .00). However, no significant difference was found between the LGBTQ+ group and either male or female respondents. </w:t>
      </w:r>
    </w:p>
    <w:p w14:paraId="31D98792" w14:textId="77777777" w:rsidR="007238D8" w:rsidRDefault="007238D8" w:rsidP="00441B6F">
      <w:pPr>
        <w:pStyle w:val="Body"/>
        <w:spacing w:after="0"/>
        <w:rPr>
          <w:rFonts w:ascii="Arial" w:hAnsi="Arial" w:cs="Arial"/>
        </w:rPr>
      </w:pPr>
    </w:p>
    <w:p w14:paraId="370FA3E4" w14:textId="1788BC09" w:rsidR="00E23A0F" w:rsidRPr="00B87B46" w:rsidRDefault="00E23A0F" w:rsidP="00E23A0F">
      <w:pPr>
        <w:contextualSpacing/>
        <w:jc w:val="both"/>
        <w:rPr>
          <w:rFonts w:ascii="Arial" w:hAnsi="Arial" w:cs="Arial"/>
          <w:color w:val="000000" w:themeColor="text1"/>
        </w:rPr>
      </w:pPr>
      <w:r w:rsidRPr="00B87B46">
        <w:rPr>
          <w:rFonts w:ascii="Arial" w:hAnsi="Arial" w:cs="Arial"/>
          <w:color w:val="000000" w:themeColor="text1"/>
        </w:rPr>
        <w:t>Table 1</w:t>
      </w:r>
      <w:r w:rsidR="00895B9E" w:rsidRPr="00B87B46">
        <w:rPr>
          <w:rFonts w:ascii="Arial" w:hAnsi="Arial" w:cs="Arial"/>
          <w:color w:val="000000" w:themeColor="text1"/>
        </w:rPr>
        <w:t>2</w:t>
      </w:r>
      <w:r w:rsidRPr="00B87B46">
        <w:rPr>
          <w:rFonts w:ascii="Arial" w:hAnsi="Arial" w:cs="Arial"/>
          <w:color w:val="000000" w:themeColor="text1"/>
        </w:rPr>
        <w:t>. Post hoc test – differences in gender laws awareness across gender identities</w:t>
      </w:r>
    </w:p>
    <w:tbl>
      <w:tblPr>
        <w:tblStyle w:val="PlainTable2"/>
        <w:tblW w:w="0" w:type="auto"/>
        <w:tblLook w:val="04A0" w:firstRow="1" w:lastRow="0" w:firstColumn="1" w:lastColumn="0" w:noHBand="0" w:noVBand="1"/>
      </w:tblPr>
      <w:tblGrid>
        <w:gridCol w:w="2210"/>
        <w:gridCol w:w="1198"/>
        <w:gridCol w:w="706"/>
        <w:gridCol w:w="606"/>
        <w:gridCol w:w="1801"/>
        <w:gridCol w:w="1687"/>
      </w:tblGrid>
      <w:tr w:rsidR="00E23A0F" w:rsidRPr="00895B9E" w14:paraId="2EA3DA83" w14:textId="77777777" w:rsidTr="007238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hideMark/>
          </w:tcPr>
          <w:p w14:paraId="6E0F3765" w14:textId="77777777" w:rsidR="00E23A0F" w:rsidRPr="00B87B46" w:rsidRDefault="00E23A0F" w:rsidP="00BE6EE4">
            <w:pPr>
              <w:rPr>
                <w:rFonts w:ascii="Arial" w:hAnsi="Arial" w:cs="Arial"/>
                <w:b w:val="0"/>
                <w:color w:val="000000" w:themeColor="text1"/>
              </w:rPr>
            </w:pPr>
            <w:r w:rsidRPr="00B87B46">
              <w:rPr>
                <w:rFonts w:ascii="Arial" w:hAnsi="Arial" w:cs="Arial"/>
                <w:color w:val="000000" w:themeColor="text1"/>
              </w:rPr>
              <w:t>Genders Compared</w:t>
            </w:r>
          </w:p>
        </w:tc>
        <w:tc>
          <w:tcPr>
            <w:tcW w:w="1198" w:type="dxa"/>
            <w:hideMark/>
          </w:tcPr>
          <w:p w14:paraId="58CD082A"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Difference</w:t>
            </w:r>
          </w:p>
        </w:tc>
        <w:tc>
          <w:tcPr>
            <w:tcW w:w="0" w:type="auto"/>
            <w:hideMark/>
          </w:tcPr>
          <w:p w14:paraId="4CBF1171"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Std. Error</w:t>
            </w:r>
          </w:p>
        </w:tc>
        <w:tc>
          <w:tcPr>
            <w:tcW w:w="0" w:type="auto"/>
            <w:hideMark/>
          </w:tcPr>
          <w:p w14:paraId="590D0240"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c>
          <w:tcPr>
            <w:tcW w:w="1801" w:type="dxa"/>
            <w:hideMark/>
          </w:tcPr>
          <w:p w14:paraId="631C4829"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95% Confidence Interval</w:t>
            </w:r>
          </w:p>
        </w:tc>
        <w:tc>
          <w:tcPr>
            <w:tcW w:w="1687" w:type="dxa"/>
            <w:hideMark/>
          </w:tcPr>
          <w:p w14:paraId="4F0930D9"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Interpretation</w:t>
            </w:r>
          </w:p>
        </w:tc>
      </w:tr>
      <w:tr w:rsidR="00E23A0F" w:rsidRPr="00895B9E" w14:paraId="2E47CBAC" w14:textId="77777777" w:rsidTr="00723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hideMark/>
          </w:tcPr>
          <w:p w14:paraId="5F0299B9" w14:textId="77777777" w:rsidR="00E23A0F" w:rsidRPr="00B87B46" w:rsidRDefault="00E23A0F" w:rsidP="00BE6EE4">
            <w:pPr>
              <w:rPr>
                <w:rFonts w:ascii="Arial" w:hAnsi="Arial" w:cs="Arial"/>
                <w:b w:val="0"/>
                <w:color w:val="000000" w:themeColor="text1"/>
              </w:rPr>
            </w:pPr>
            <w:r w:rsidRPr="00B87B46">
              <w:rPr>
                <w:rFonts w:ascii="Arial" w:hAnsi="Arial" w:cs="Arial"/>
                <w:b w:val="0"/>
                <w:color w:val="000000" w:themeColor="text1"/>
              </w:rPr>
              <w:t>Female vs. Male</w:t>
            </w:r>
          </w:p>
        </w:tc>
        <w:tc>
          <w:tcPr>
            <w:tcW w:w="1198" w:type="dxa"/>
            <w:hideMark/>
          </w:tcPr>
          <w:p w14:paraId="01D028A6"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0.31</w:t>
            </w:r>
          </w:p>
        </w:tc>
        <w:tc>
          <w:tcPr>
            <w:tcW w:w="706" w:type="dxa"/>
            <w:hideMark/>
          </w:tcPr>
          <w:p w14:paraId="29B42500"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0.09</w:t>
            </w:r>
          </w:p>
        </w:tc>
        <w:tc>
          <w:tcPr>
            <w:tcW w:w="0" w:type="auto"/>
            <w:hideMark/>
          </w:tcPr>
          <w:p w14:paraId="7EFC296B"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0.00</w:t>
            </w:r>
          </w:p>
        </w:tc>
        <w:tc>
          <w:tcPr>
            <w:tcW w:w="1801" w:type="dxa"/>
            <w:hideMark/>
          </w:tcPr>
          <w:p w14:paraId="2ACDFC76"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[0.09, 0.53]</w:t>
            </w:r>
          </w:p>
        </w:tc>
        <w:tc>
          <w:tcPr>
            <w:tcW w:w="1687" w:type="dxa"/>
            <w:hideMark/>
          </w:tcPr>
          <w:p w14:paraId="3B5B07D2"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Has Difference</w:t>
            </w:r>
          </w:p>
        </w:tc>
      </w:tr>
      <w:tr w:rsidR="00E23A0F" w:rsidRPr="00895B9E" w14:paraId="5E9A6D3B" w14:textId="77777777" w:rsidTr="007238D8">
        <w:tc>
          <w:tcPr>
            <w:cnfStyle w:val="001000000000" w:firstRow="0" w:lastRow="0" w:firstColumn="1" w:lastColumn="0" w:oddVBand="0" w:evenVBand="0" w:oddHBand="0" w:evenHBand="0" w:firstRowFirstColumn="0" w:firstRowLastColumn="0" w:lastRowFirstColumn="0" w:lastRowLastColumn="0"/>
            <w:tcW w:w="2210" w:type="dxa"/>
            <w:hideMark/>
          </w:tcPr>
          <w:p w14:paraId="135D4ACC" w14:textId="77777777" w:rsidR="00E23A0F" w:rsidRPr="00B87B46" w:rsidRDefault="00E23A0F" w:rsidP="00BE6EE4">
            <w:pPr>
              <w:rPr>
                <w:rFonts w:ascii="Arial" w:hAnsi="Arial" w:cs="Arial"/>
                <w:b w:val="0"/>
                <w:color w:val="000000" w:themeColor="text1"/>
              </w:rPr>
            </w:pPr>
            <w:r w:rsidRPr="00B87B46">
              <w:rPr>
                <w:rFonts w:ascii="Arial" w:hAnsi="Arial" w:cs="Arial"/>
                <w:b w:val="0"/>
                <w:color w:val="000000" w:themeColor="text1"/>
              </w:rPr>
              <w:t>Female vs. LGBTQ+</w:t>
            </w:r>
          </w:p>
        </w:tc>
        <w:tc>
          <w:tcPr>
            <w:tcW w:w="1198" w:type="dxa"/>
            <w:hideMark/>
          </w:tcPr>
          <w:p w14:paraId="7D0B2842"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0.36</w:t>
            </w:r>
          </w:p>
        </w:tc>
        <w:tc>
          <w:tcPr>
            <w:tcW w:w="0" w:type="auto"/>
            <w:hideMark/>
          </w:tcPr>
          <w:p w14:paraId="30145600"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0.25</w:t>
            </w:r>
          </w:p>
        </w:tc>
        <w:tc>
          <w:tcPr>
            <w:tcW w:w="0" w:type="auto"/>
            <w:hideMark/>
          </w:tcPr>
          <w:p w14:paraId="173418BE"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0.32</w:t>
            </w:r>
          </w:p>
        </w:tc>
        <w:tc>
          <w:tcPr>
            <w:tcW w:w="1801" w:type="dxa"/>
            <w:hideMark/>
          </w:tcPr>
          <w:p w14:paraId="44A5E33A"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[-0.23, 0.95]</w:t>
            </w:r>
          </w:p>
        </w:tc>
        <w:tc>
          <w:tcPr>
            <w:tcW w:w="1687" w:type="dxa"/>
            <w:hideMark/>
          </w:tcPr>
          <w:p w14:paraId="2B0AF65F"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r w:rsidR="00E23A0F" w:rsidRPr="00895B9E" w14:paraId="02B2533F" w14:textId="77777777" w:rsidTr="00723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hideMark/>
          </w:tcPr>
          <w:p w14:paraId="655D5EA7" w14:textId="77777777" w:rsidR="00E23A0F" w:rsidRPr="00B87B46" w:rsidRDefault="00E23A0F" w:rsidP="00BE6EE4">
            <w:pPr>
              <w:rPr>
                <w:rFonts w:ascii="Arial" w:hAnsi="Arial" w:cs="Arial"/>
                <w:b w:val="0"/>
                <w:color w:val="000000" w:themeColor="text1"/>
              </w:rPr>
            </w:pPr>
            <w:r w:rsidRPr="00B87B46">
              <w:rPr>
                <w:rFonts w:ascii="Arial" w:hAnsi="Arial" w:cs="Arial"/>
                <w:b w:val="0"/>
                <w:color w:val="000000" w:themeColor="text1"/>
              </w:rPr>
              <w:t>Male vs. LGBTQ+</w:t>
            </w:r>
          </w:p>
        </w:tc>
        <w:tc>
          <w:tcPr>
            <w:tcW w:w="1198" w:type="dxa"/>
            <w:hideMark/>
          </w:tcPr>
          <w:p w14:paraId="4A050DED"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0.05</w:t>
            </w:r>
          </w:p>
        </w:tc>
        <w:tc>
          <w:tcPr>
            <w:tcW w:w="0" w:type="auto"/>
            <w:hideMark/>
          </w:tcPr>
          <w:p w14:paraId="3EF40E18"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0.26</w:t>
            </w:r>
          </w:p>
        </w:tc>
        <w:tc>
          <w:tcPr>
            <w:tcW w:w="0" w:type="auto"/>
            <w:hideMark/>
          </w:tcPr>
          <w:p w14:paraId="33CD961F"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0.98</w:t>
            </w:r>
          </w:p>
        </w:tc>
        <w:tc>
          <w:tcPr>
            <w:tcW w:w="1801" w:type="dxa"/>
            <w:hideMark/>
          </w:tcPr>
          <w:p w14:paraId="7104F036"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[-0.55, 0.66]</w:t>
            </w:r>
          </w:p>
        </w:tc>
        <w:tc>
          <w:tcPr>
            <w:tcW w:w="1687" w:type="dxa"/>
            <w:hideMark/>
          </w:tcPr>
          <w:p w14:paraId="6580365C" w14:textId="77777777" w:rsidR="00E23A0F" w:rsidRPr="00B87B46" w:rsidRDefault="00E23A0F"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bl>
    <w:p w14:paraId="75E9EF4C" w14:textId="77777777" w:rsidR="008F3AEF" w:rsidRDefault="008F3AEF" w:rsidP="00441B6F">
      <w:pPr>
        <w:pStyle w:val="Body"/>
        <w:spacing w:after="0"/>
        <w:rPr>
          <w:rFonts w:ascii="Arial" w:hAnsi="Arial" w:cs="Arial"/>
        </w:rPr>
      </w:pPr>
    </w:p>
    <w:p w14:paraId="2107EFAB" w14:textId="46D0FE39" w:rsidR="00283474" w:rsidRDefault="007238D8" w:rsidP="00441B6F">
      <w:pPr>
        <w:pStyle w:val="Body"/>
        <w:spacing w:after="0"/>
        <w:rPr>
          <w:rFonts w:ascii="Arial" w:hAnsi="Arial" w:cs="Arial"/>
        </w:rPr>
      </w:pPr>
      <w:r>
        <w:rPr>
          <w:rFonts w:ascii="Arial" w:hAnsi="Arial" w:cs="Arial"/>
        </w:rPr>
        <w:t>Relatively, a</w:t>
      </w:r>
      <w:r w:rsidR="008F3AEF" w:rsidRPr="008F3AEF">
        <w:rPr>
          <w:rFonts w:ascii="Arial" w:hAnsi="Arial" w:cs="Arial"/>
        </w:rPr>
        <w:t xml:space="preserve">ccording to Shah (2024), women often participate in awareness campaigns, educational programs, and community advocacy that elevate their knowledge on such laws. Moreover, </w:t>
      </w:r>
      <w:proofErr w:type="spellStart"/>
      <w:r w:rsidR="008F3AEF" w:rsidRPr="008F3AEF">
        <w:rPr>
          <w:rFonts w:ascii="Arial" w:hAnsi="Arial" w:cs="Arial"/>
        </w:rPr>
        <w:t>Clak</w:t>
      </w:r>
      <w:proofErr w:type="spellEnd"/>
      <w:r w:rsidR="008F3AEF" w:rsidRPr="008F3AEF">
        <w:rPr>
          <w:rFonts w:ascii="Arial" w:hAnsi="Arial" w:cs="Arial"/>
        </w:rPr>
        <w:t xml:space="preserve"> and </w:t>
      </w:r>
      <w:proofErr w:type="spellStart"/>
      <w:r w:rsidR="008F3AEF" w:rsidRPr="008F3AEF">
        <w:rPr>
          <w:rFonts w:ascii="Arial" w:hAnsi="Arial" w:cs="Arial"/>
        </w:rPr>
        <w:t>Vissandjée</w:t>
      </w:r>
      <w:proofErr w:type="spellEnd"/>
      <w:r w:rsidR="008F3AEF" w:rsidRPr="008F3AEF">
        <w:rPr>
          <w:rFonts w:ascii="Arial" w:hAnsi="Arial" w:cs="Arial"/>
        </w:rPr>
        <w:t xml:space="preserve"> (2019) explained that gender-based legal literacy is higher among women due to direct exposure to gender inequality and intersectional challenges. Meanwhile, male respondents may view gender laws as less relevant to their personal experiences, leading to lower engagement (</w:t>
      </w:r>
      <w:proofErr w:type="spellStart"/>
      <w:r w:rsidR="008F3AEF" w:rsidRPr="008F3AEF">
        <w:rPr>
          <w:rFonts w:ascii="Arial" w:hAnsi="Arial" w:cs="Arial"/>
        </w:rPr>
        <w:t>Meeussen</w:t>
      </w:r>
      <w:proofErr w:type="spellEnd"/>
      <w:r w:rsidR="008F3AEF" w:rsidRPr="008F3AEF">
        <w:rPr>
          <w:rFonts w:ascii="Arial" w:hAnsi="Arial" w:cs="Arial"/>
        </w:rPr>
        <w:t xml:space="preserve"> et al, 2020). Awareness among LGBTQ+ individuals can vary depending on societal openness and access to inclusive education (Galgo et al., 2023).</w:t>
      </w:r>
    </w:p>
    <w:p w14:paraId="1120FD8C" w14:textId="77777777" w:rsidR="008F3AEF" w:rsidRDefault="008F3AEF" w:rsidP="00441B6F">
      <w:pPr>
        <w:pStyle w:val="Body"/>
        <w:spacing w:after="0"/>
        <w:rPr>
          <w:rFonts w:ascii="Arial" w:hAnsi="Arial" w:cs="Arial"/>
        </w:rPr>
      </w:pPr>
    </w:p>
    <w:p w14:paraId="0C358426" w14:textId="0DEC7BFB" w:rsidR="002B5014" w:rsidRPr="008410E1" w:rsidRDefault="002B5014" w:rsidP="002B5014">
      <w:pPr>
        <w:contextualSpacing/>
        <w:jc w:val="both"/>
        <w:rPr>
          <w:rFonts w:ascii="Arial" w:hAnsi="Arial" w:cs="Arial"/>
          <w:color w:val="000000" w:themeColor="text1"/>
        </w:rPr>
      </w:pPr>
      <w:r w:rsidRPr="008410E1">
        <w:rPr>
          <w:rFonts w:ascii="Arial" w:hAnsi="Arial" w:cs="Arial"/>
          <w:color w:val="000000" w:themeColor="text1"/>
        </w:rPr>
        <w:t>Table 1</w:t>
      </w:r>
      <w:r w:rsidR="008410E1">
        <w:rPr>
          <w:rFonts w:ascii="Arial" w:hAnsi="Arial" w:cs="Arial"/>
          <w:color w:val="000000" w:themeColor="text1"/>
        </w:rPr>
        <w:t>3</w:t>
      </w:r>
      <w:r w:rsidRPr="008410E1">
        <w:rPr>
          <w:rFonts w:ascii="Arial" w:hAnsi="Arial" w:cs="Arial"/>
          <w:color w:val="000000" w:themeColor="text1"/>
        </w:rPr>
        <w:t>. Significant difference in the level of awareness of gender laws when grouped according to year level</w:t>
      </w:r>
    </w:p>
    <w:tbl>
      <w:tblPr>
        <w:tblStyle w:val="PlainTable2"/>
        <w:tblW w:w="8172" w:type="dxa"/>
        <w:tblLook w:val="04A0" w:firstRow="1" w:lastRow="0" w:firstColumn="1" w:lastColumn="0" w:noHBand="0" w:noVBand="1"/>
      </w:tblPr>
      <w:tblGrid>
        <w:gridCol w:w="2024"/>
        <w:gridCol w:w="2063"/>
        <w:gridCol w:w="652"/>
        <w:gridCol w:w="1733"/>
        <w:gridCol w:w="850"/>
        <w:gridCol w:w="850"/>
      </w:tblGrid>
      <w:tr w:rsidR="002B5014" w:rsidRPr="00B87B46" w14:paraId="62C79C48" w14:textId="77777777" w:rsidTr="00BE6EE4">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0" w:type="auto"/>
            <w:hideMark/>
          </w:tcPr>
          <w:p w14:paraId="7C1B5B73" w14:textId="77777777" w:rsidR="002B5014" w:rsidRPr="008410E1" w:rsidRDefault="002B5014" w:rsidP="00BE6EE4">
            <w:pPr>
              <w:contextualSpacing/>
              <w:rPr>
                <w:rFonts w:ascii="Arial" w:hAnsi="Arial" w:cs="Arial"/>
                <w:b w:val="0"/>
                <w:bCs w:val="0"/>
                <w:color w:val="000000" w:themeColor="text1"/>
              </w:rPr>
            </w:pPr>
            <w:r w:rsidRPr="008410E1">
              <w:rPr>
                <w:rFonts w:ascii="Arial" w:hAnsi="Arial" w:cs="Arial"/>
                <w:color w:val="000000" w:themeColor="text1"/>
              </w:rPr>
              <w:lastRenderedPageBreak/>
              <w:t>Source</w:t>
            </w:r>
          </w:p>
          <w:p w14:paraId="40904D14" w14:textId="77777777" w:rsidR="002B5014" w:rsidRPr="008410E1" w:rsidRDefault="002B5014" w:rsidP="00BE6EE4">
            <w:pPr>
              <w:contextualSpacing/>
              <w:rPr>
                <w:rFonts w:ascii="Arial" w:hAnsi="Arial" w:cs="Arial"/>
                <w:b w:val="0"/>
                <w:bCs w:val="0"/>
                <w:color w:val="000000" w:themeColor="text1"/>
              </w:rPr>
            </w:pPr>
          </w:p>
        </w:tc>
        <w:tc>
          <w:tcPr>
            <w:tcW w:w="0" w:type="auto"/>
            <w:hideMark/>
          </w:tcPr>
          <w:p w14:paraId="7AE9CD4E" w14:textId="77777777" w:rsidR="002B5014" w:rsidRPr="008410E1" w:rsidRDefault="002B5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Sum of Squares</w:t>
            </w:r>
          </w:p>
        </w:tc>
        <w:tc>
          <w:tcPr>
            <w:tcW w:w="0" w:type="auto"/>
            <w:hideMark/>
          </w:tcPr>
          <w:p w14:paraId="76762FC1" w14:textId="77777777" w:rsidR="002B5014" w:rsidRPr="008410E1" w:rsidRDefault="002B5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df</w:t>
            </w:r>
          </w:p>
        </w:tc>
        <w:tc>
          <w:tcPr>
            <w:tcW w:w="0" w:type="auto"/>
            <w:hideMark/>
          </w:tcPr>
          <w:p w14:paraId="2F12FA39" w14:textId="77777777" w:rsidR="002B5014" w:rsidRPr="008410E1" w:rsidRDefault="002B5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Mean Square</w:t>
            </w:r>
          </w:p>
        </w:tc>
        <w:tc>
          <w:tcPr>
            <w:tcW w:w="0" w:type="auto"/>
            <w:hideMark/>
          </w:tcPr>
          <w:p w14:paraId="061620F8" w14:textId="77777777" w:rsidR="002B5014" w:rsidRPr="008410E1" w:rsidRDefault="002B5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F</w:t>
            </w:r>
          </w:p>
        </w:tc>
        <w:tc>
          <w:tcPr>
            <w:tcW w:w="0" w:type="auto"/>
            <w:hideMark/>
          </w:tcPr>
          <w:p w14:paraId="19FB8FC8" w14:textId="77777777" w:rsidR="002B5014" w:rsidRPr="008410E1" w:rsidRDefault="002B5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Sig.</w:t>
            </w:r>
          </w:p>
        </w:tc>
      </w:tr>
      <w:tr w:rsidR="002B5014" w:rsidRPr="00B87B46" w14:paraId="5B5E7802" w14:textId="77777777" w:rsidTr="00BE6EE4">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hideMark/>
          </w:tcPr>
          <w:p w14:paraId="1EC371F1" w14:textId="77777777" w:rsidR="002B5014" w:rsidRPr="008410E1" w:rsidRDefault="002B5014" w:rsidP="00BE6EE4">
            <w:pPr>
              <w:contextualSpacing/>
              <w:rPr>
                <w:rFonts w:ascii="Arial" w:hAnsi="Arial" w:cs="Arial"/>
                <w:b w:val="0"/>
                <w:bCs w:val="0"/>
                <w:color w:val="000000" w:themeColor="text1"/>
              </w:rPr>
            </w:pPr>
            <w:r w:rsidRPr="008410E1">
              <w:rPr>
                <w:rFonts w:ascii="Arial" w:hAnsi="Arial" w:cs="Arial"/>
                <w:b w:val="0"/>
                <w:bCs w:val="0"/>
                <w:color w:val="000000" w:themeColor="text1"/>
              </w:rPr>
              <w:t>Between Groups</w:t>
            </w:r>
          </w:p>
        </w:tc>
        <w:tc>
          <w:tcPr>
            <w:tcW w:w="0" w:type="auto"/>
            <w:hideMark/>
          </w:tcPr>
          <w:p w14:paraId="4AF6E0B9" w14:textId="77777777" w:rsidR="002B5014" w:rsidRPr="008410E1" w:rsidRDefault="002B5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0.314</w:t>
            </w:r>
          </w:p>
        </w:tc>
        <w:tc>
          <w:tcPr>
            <w:tcW w:w="0" w:type="auto"/>
            <w:hideMark/>
          </w:tcPr>
          <w:p w14:paraId="7C17FF8E" w14:textId="77777777" w:rsidR="002B5014" w:rsidRPr="008410E1" w:rsidRDefault="002B5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3</w:t>
            </w:r>
          </w:p>
        </w:tc>
        <w:tc>
          <w:tcPr>
            <w:tcW w:w="0" w:type="auto"/>
            <w:hideMark/>
          </w:tcPr>
          <w:p w14:paraId="3FB3EF6F" w14:textId="77777777" w:rsidR="002B5014" w:rsidRPr="008410E1" w:rsidRDefault="002B5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0.105</w:t>
            </w:r>
          </w:p>
        </w:tc>
        <w:tc>
          <w:tcPr>
            <w:tcW w:w="0" w:type="auto"/>
            <w:hideMark/>
          </w:tcPr>
          <w:p w14:paraId="74F5511C" w14:textId="77777777" w:rsidR="002B5014" w:rsidRPr="008410E1" w:rsidRDefault="002B5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0.167</w:t>
            </w:r>
          </w:p>
        </w:tc>
        <w:tc>
          <w:tcPr>
            <w:tcW w:w="0" w:type="auto"/>
            <w:hideMark/>
          </w:tcPr>
          <w:p w14:paraId="02358C92" w14:textId="77777777" w:rsidR="002B5014" w:rsidRPr="008410E1" w:rsidRDefault="002B5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0.918</w:t>
            </w:r>
          </w:p>
        </w:tc>
      </w:tr>
      <w:tr w:rsidR="002B5014" w:rsidRPr="00B87B46" w14:paraId="0829ECD3" w14:textId="77777777" w:rsidTr="00BE6EE4">
        <w:trPr>
          <w:trHeight w:val="204"/>
        </w:trPr>
        <w:tc>
          <w:tcPr>
            <w:cnfStyle w:val="001000000000" w:firstRow="0" w:lastRow="0" w:firstColumn="1" w:lastColumn="0" w:oddVBand="0" w:evenVBand="0" w:oddHBand="0" w:evenHBand="0" w:firstRowFirstColumn="0" w:firstRowLastColumn="0" w:lastRowFirstColumn="0" w:lastRowLastColumn="0"/>
            <w:tcW w:w="0" w:type="auto"/>
            <w:hideMark/>
          </w:tcPr>
          <w:p w14:paraId="522EBCB2" w14:textId="77777777" w:rsidR="002B5014" w:rsidRPr="008410E1" w:rsidRDefault="002B5014" w:rsidP="00BE6EE4">
            <w:pPr>
              <w:contextualSpacing/>
              <w:rPr>
                <w:rFonts w:ascii="Arial" w:hAnsi="Arial" w:cs="Arial"/>
                <w:b w:val="0"/>
                <w:bCs w:val="0"/>
                <w:color w:val="000000" w:themeColor="text1"/>
              </w:rPr>
            </w:pPr>
            <w:r w:rsidRPr="008410E1">
              <w:rPr>
                <w:rFonts w:ascii="Arial" w:hAnsi="Arial" w:cs="Arial"/>
                <w:b w:val="0"/>
                <w:bCs w:val="0"/>
                <w:color w:val="000000" w:themeColor="text1"/>
              </w:rPr>
              <w:t>Within Groups</w:t>
            </w:r>
          </w:p>
        </w:tc>
        <w:tc>
          <w:tcPr>
            <w:tcW w:w="0" w:type="auto"/>
            <w:hideMark/>
          </w:tcPr>
          <w:p w14:paraId="6609CC95" w14:textId="77777777" w:rsidR="002B5014" w:rsidRPr="008410E1" w:rsidRDefault="002B5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198.163</w:t>
            </w:r>
          </w:p>
        </w:tc>
        <w:tc>
          <w:tcPr>
            <w:tcW w:w="0" w:type="auto"/>
            <w:hideMark/>
          </w:tcPr>
          <w:p w14:paraId="20FA5AC1" w14:textId="77777777" w:rsidR="002B5014" w:rsidRPr="008410E1" w:rsidRDefault="002B5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317</w:t>
            </w:r>
          </w:p>
        </w:tc>
        <w:tc>
          <w:tcPr>
            <w:tcW w:w="0" w:type="auto"/>
            <w:hideMark/>
          </w:tcPr>
          <w:p w14:paraId="3F7863CC" w14:textId="77777777" w:rsidR="002B5014" w:rsidRPr="008410E1" w:rsidRDefault="002B5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0.625</w:t>
            </w:r>
          </w:p>
        </w:tc>
        <w:tc>
          <w:tcPr>
            <w:tcW w:w="0" w:type="auto"/>
            <w:hideMark/>
          </w:tcPr>
          <w:p w14:paraId="0899601B" w14:textId="77777777" w:rsidR="002B5014" w:rsidRPr="008410E1" w:rsidRDefault="002B5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7F089ADC" w14:textId="77777777" w:rsidR="002B5014" w:rsidRPr="008410E1" w:rsidRDefault="002B5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B5014" w:rsidRPr="00B87B46" w14:paraId="62BB9E4B" w14:textId="77777777" w:rsidTr="00BE6EE4">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hideMark/>
          </w:tcPr>
          <w:p w14:paraId="4B6F1AB7" w14:textId="77777777" w:rsidR="002B5014" w:rsidRPr="008410E1" w:rsidRDefault="002B5014" w:rsidP="00BE6EE4">
            <w:pPr>
              <w:contextualSpacing/>
              <w:rPr>
                <w:rFonts w:ascii="Arial" w:hAnsi="Arial" w:cs="Arial"/>
                <w:color w:val="000000" w:themeColor="text1"/>
              </w:rPr>
            </w:pPr>
            <w:r w:rsidRPr="008410E1">
              <w:rPr>
                <w:rFonts w:ascii="Arial" w:hAnsi="Arial" w:cs="Arial"/>
                <w:color w:val="000000" w:themeColor="text1"/>
              </w:rPr>
              <w:t>Total</w:t>
            </w:r>
          </w:p>
        </w:tc>
        <w:tc>
          <w:tcPr>
            <w:tcW w:w="0" w:type="auto"/>
            <w:hideMark/>
          </w:tcPr>
          <w:p w14:paraId="0060C3F0" w14:textId="77777777" w:rsidR="002B5014" w:rsidRPr="008410E1" w:rsidRDefault="002B5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198.477</w:t>
            </w:r>
          </w:p>
        </w:tc>
        <w:tc>
          <w:tcPr>
            <w:tcW w:w="0" w:type="auto"/>
            <w:hideMark/>
          </w:tcPr>
          <w:p w14:paraId="1B497F6B" w14:textId="77777777" w:rsidR="002B5014" w:rsidRPr="008410E1" w:rsidRDefault="002B5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320</w:t>
            </w:r>
          </w:p>
        </w:tc>
        <w:tc>
          <w:tcPr>
            <w:tcW w:w="0" w:type="auto"/>
            <w:hideMark/>
          </w:tcPr>
          <w:p w14:paraId="6DA9EC4F" w14:textId="77777777" w:rsidR="002B5014" w:rsidRPr="008410E1" w:rsidRDefault="002B5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2ADB8305" w14:textId="77777777" w:rsidR="002B5014" w:rsidRPr="008410E1" w:rsidRDefault="002B5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423E1515" w14:textId="77777777" w:rsidR="002B5014" w:rsidRPr="008410E1" w:rsidRDefault="002B5014"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3C35ABEA" w14:textId="77777777" w:rsidR="002B5014" w:rsidRDefault="002B5014" w:rsidP="00441B6F">
      <w:pPr>
        <w:pStyle w:val="Body"/>
        <w:spacing w:after="0"/>
        <w:rPr>
          <w:rFonts w:ascii="Arial" w:hAnsi="Arial" w:cs="Arial"/>
        </w:rPr>
      </w:pPr>
    </w:p>
    <w:p w14:paraId="1251AE17" w14:textId="1CB874BC" w:rsidR="00E602F1" w:rsidRDefault="008F3AEF" w:rsidP="00AE610C">
      <w:pPr>
        <w:pStyle w:val="Body"/>
        <w:spacing w:after="0"/>
        <w:rPr>
          <w:rFonts w:ascii="Arial" w:hAnsi="Arial" w:cs="Arial"/>
        </w:rPr>
      </w:pPr>
      <w:r w:rsidRPr="008F3AEF">
        <w:rPr>
          <w:rFonts w:ascii="Arial" w:hAnsi="Arial" w:cs="Arial"/>
        </w:rPr>
        <w:t>Table 1</w:t>
      </w:r>
      <w:r w:rsidR="00AE610C">
        <w:rPr>
          <w:rFonts w:ascii="Arial" w:hAnsi="Arial" w:cs="Arial"/>
        </w:rPr>
        <w:t>3</w:t>
      </w:r>
      <w:r w:rsidRPr="008F3AEF">
        <w:rPr>
          <w:rFonts w:ascii="Arial" w:hAnsi="Arial" w:cs="Arial"/>
        </w:rPr>
        <w:t xml:space="preserve"> indicates that there is no significant difference in the level of awareness of gender laws among students when grouped according to year level, as evidenced by the result (f=0.167, p=.918). </w:t>
      </w:r>
      <w:r w:rsidR="00DE74A7">
        <w:rPr>
          <w:rFonts w:ascii="Arial" w:hAnsi="Arial" w:cs="Arial"/>
        </w:rPr>
        <w:t xml:space="preserve">In </w:t>
      </w:r>
      <w:r w:rsidR="00AE610C">
        <w:rPr>
          <w:rFonts w:ascii="Arial" w:hAnsi="Arial" w:cs="Arial"/>
        </w:rPr>
        <w:t>line with th</w:t>
      </w:r>
      <w:r w:rsidR="00ED7D83">
        <w:rPr>
          <w:rFonts w:ascii="Arial" w:hAnsi="Arial" w:cs="Arial"/>
        </w:rPr>
        <w:t>is</w:t>
      </w:r>
      <w:r w:rsidR="00AE610C">
        <w:rPr>
          <w:rFonts w:ascii="Arial" w:hAnsi="Arial" w:cs="Arial"/>
        </w:rPr>
        <w:t>, t</w:t>
      </w:r>
      <w:r w:rsidR="00E602F1" w:rsidRPr="00E602F1">
        <w:rPr>
          <w:rFonts w:ascii="Arial" w:hAnsi="Arial" w:cs="Arial"/>
        </w:rPr>
        <w:t xml:space="preserve">he consistency across groups implies that awareness may be shaped by factors outside the progression of academic standing, such as personal interest, exposure to external information, or informal learning rather than structured academic instruction (Darling-Hammond et al., 2020). As the data does not show any significant trend, it cannot be concluded that advancing through year levels inherently leads to greater knowledge of gender laws. Further, this may suggest that institutional curricula may not significantly expand gender law knowledge as </w:t>
      </w:r>
      <w:proofErr w:type="spellStart"/>
      <w:r w:rsidR="00E602F1" w:rsidRPr="00E602F1">
        <w:rPr>
          <w:rFonts w:ascii="Arial" w:hAnsi="Arial" w:cs="Arial"/>
        </w:rPr>
        <w:t>students</w:t>
      </w:r>
      <w:proofErr w:type="spellEnd"/>
      <w:r w:rsidR="00E602F1" w:rsidRPr="00E602F1">
        <w:rPr>
          <w:rFonts w:ascii="Arial" w:hAnsi="Arial" w:cs="Arial"/>
        </w:rPr>
        <w:t xml:space="preserve"> progress (Verge et al., 2018). </w:t>
      </w:r>
    </w:p>
    <w:p w14:paraId="21F3956A" w14:textId="77777777" w:rsidR="00DE74A7" w:rsidRDefault="00DE74A7" w:rsidP="00AE610C">
      <w:pPr>
        <w:pStyle w:val="Body"/>
        <w:spacing w:after="0"/>
        <w:rPr>
          <w:rFonts w:ascii="Arial" w:hAnsi="Arial" w:cs="Arial"/>
        </w:rPr>
      </w:pPr>
    </w:p>
    <w:p w14:paraId="7947DAF1" w14:textId="77777777" w:rsidR="00DE74A7" w:rsidRDefault="00DE74A7" w:rsidP="00DE74A7">
      <w:pPr>
        <w:pStyle w:val="Body"/>
        <w:spacing w:after="0"/>
        <w:rPr>
          <w:rFonts w:ascii="Arial" w:hAnsi="Arial" w:cs="Arial"/>
        </w:rPr>
      </w:pPr>
      <w:r w:rsidRPr="00A2642B">
        <w:rPr>
          <w:rFonts w:ascii="Arial" w:hAnsi="Arial" w:cs="Arial"/>
        </w:rPr>
        <w:t>The one-way ANOVA results shown in Table 1</w:t>
      </w:r>
      <w:r>
        <w:rPr>
          <w:rFonts w:ascii="Arial" w:hAnsi="Arial" w:cs="Arial"/>
        </w:rPr>
        <w:t>4</w:t>
      </w:r>
      <w:r w:rsidRPr="00A2642B">
        <w:rPr>
          <w:rFonts w:ascii="Arial" w:hAnsi="Arial" w:cs="Arial"/>
        </w:rPr>
        <w:t xml:space="preserve"> reveal a statistically significant difference in the level of awareness of gender laws when respondents are grouped according to their academic program (f=3.333, p=.011). This indicates that students’ academic disciplines play a role in shaping their level of awareness of gender-related legal frameworks. To identify where these differences specifically occur, a post hoc analysis was conducted. </w:t>
      </w:r>
    </w:p>
    <w:p w14:paraId="10B644DC" w14:textId="77777777" w:rsidR="00E602F1" w:rsidRDefault="00E602F1" w:rsidP="00441B6F">
      <w:pPr>
        <w:pStyle w:val="Body"/>
        <w:spacing w:after="0"/>
        <w:rPr>
          <w:rFonts w:ascii="Arial" w:hAnsi="Arial" w:cs="Arial"/>
        </w:rPr>
      </w:pPr>
    </w:p>
    <w:p w14:paraId="3533AE76" w14:textId="57E9178B" w:rsidR="005E553D" w:rsidRPr="0095209E" w:rsidRDefault="005E553D" w:rsidP="005E553D">
      <w:pPr>
        <w:contextualSpacing/>
        <w:jc w:val="both"/>
        <w:rPr>
          <w:rFonts w:ascii="Arial" w:hAnsi="Arial" w:cs="Arial"/>
          <w:color w:val="000000" w:themeColor="text1"/>
        </w:rPr>
      </w:pPr>
      <w:r w:rsidRPr="0095209E">
        <w:rPr>
          <w:rFonts w:ascii="Arial" w:hAnsi="Arial" w:cs="Arial"/>
          <w:color w:val="000000" w:themeColor="text1"/>
        </w:rPr>
        <w:t>Table 1</w:t>
      </w:r>
      <w:r w:rsidR="008410E1" w:rsidRPr="0095209E">
        <w:rPr>
          <w:rFonts w:ascii="Arial" w:hAnsi="Arial" w:cs="Arial"/>
          <w:color w:val="000000" w:themeColor="text1"/>
        </w:rPr>
        <w:t>4</w:t>
      </w:r>
      <w:r w:rsidRPr="0095209E">
        <w:rPr>
          <w:rFonts w:ascii="Arial" w:hAnsi="Arial" w:cs="Arial"/>
          <w:color w:val="000000" w:themeColor="text1"/>
        </w:rPr>
        <w:t>. Significant difference in the level of awareness of gender laws when grouped according to the program</w:t>
      </w:r>
    </w:p>
    <w:tbl>
      <w:tblPr>
        <w:tblStyle w:val="PlainTable2"/>
        <w:tblW w:w="8180" w:type="dxa"/>
        <w:tblLook w:val="0480" w:firstRow="0" w:lastRow="0" w:firstColumn="1" w:lastColumn="0" w:noHBand="0" w:noVBand="1"/>
      </w:tblPr>
      <w:tblGrid>
        <w:gridCol w:w="2025"/>
        <w:gridCol w:w="2065"/>
        <w:gridCol w:w="653"/>
        <w:gridCol w:w="1735"/>
        <w:gridCol w:w="851"/>
        <w:gridCol w:w="851"/>
      </w:tblGrid>
      <w:tr w:rsidR="005E553D" w:rsidRPr="00B87B46" w14:paraId="50E9AAF2" w14:textId="77777777" w:rsidTr="0042562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1AB8C800" w14:textId="77777777" w:rsidR="005E553D" w:rsidRPr="0095209E" w:rsidRDefault="005E553D" w:rsidP="00982FB8">
            <w:pPr>
              <w:contextualSpacing/>
              <w:jc w:val="center"/>
              <w:rPr>
                <w:rFonts w:ascii="Arial" w:hAnsi="Arial" w:cs="Arial"/>
                <w:b w:val="0"/>
                <w:bCs w:val="0"/>
                <w:color w:val="000000" w:themeColor="text1"/>
              </w:rPr>
            </w:pPr>
            <w:r w:rsidRPr="0095209E">
              <w:rPr>
                <w:rFonts w:ascii="Arial" w:hAnsi="Arial" w:cs="Arial"/>
                <w:color w:val="000000" w:themeColor="text1"/>
              </w:rPr>
              <w:t>Source</w:t>
            </w:r>
          </w:p>
        </w:tc>
        <w:tc>
          <w:tcPr>
            <w:tcW w:w="0" w:type="auto"/>
            <w:hideMark/>
          </w:tcPr>
          <w:p w14:paraId="3DDD6764" w14:textId="77777777" w:rsidR="005E553D" w:rsidRPr="0095209E" w:rsidRDefault="005E553D"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5209E">
              <w:rPr>
                <w:rFonts w:ascii="Arial" w:hAnsi="Arial" w:cs="Arial"/>
                <w:b/>
                <w:bCs/>
                <w:color w:val="000000" w:themeColor="text1"/>
              </w:rPr>
              <w:t>Sum of Squares</w:t>
            </w:r>
          </w:p>
        </w:tc>
        <w:tc>
          <w:tcPr>
            <w:tcW w:w="0" w:type="auto"/>
            <w:hideMark/>
          </w:tcPr>
          <w:p w14:paraId="71D4346D" w14:textId="77777777" w:rsidR="005E553D" w:rsidRPr="0095209E" w:rsidRDefault="005E553D"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5209E">
              <w:rPr>
                <w:rFonts w:ascii="Arial" w:hAnsi="Arial" w:cs="Arial"/>
                <w:b/>
                <w:bCs/>
                <w:color w:val="000000" w:themeColor="text1"/>
              </w:rPr>
              <w:t>df</w:t>
            </w:r>
          </w:p>
        </w:tc>
        <w:tc>
          <w:tcPr>
            <w:tcW w:w="0" w:type="auto"/>
            <w:hideMark/>
          </w:tcPr>
          <w:p w14:paraId="74EC3647" w14:textId="77777777" w:rsidR="005E553D" w:rsidRPr="0095209E" w:rsidRDefault="005E553D"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5209E">
              <w:rPr>
                <w:rFonts w:ascii="Arial" w:hAnsi="Arial" w:cs="Arial"/>
                <w:b/>
                <w:bCs/>
                <w:color w:val="000000" w:themeColor="text1"/>
              </w:rPr>
              <w:t>Mean Square</w:t>
            </w:r>
          </w:p>
        </w:tc>
        <w:tc>
          <w:tcPr>
            <w:tcW w:w="0" w:type="auto"/>
            <w:hideMark/>
          </w:tcPr>
          <w:p w14:paraId="24EB253A" w14:textId="77777777" w:rsidR="005E553D" w:rsidRPr="0095209E" w:rsidRDefault="005E553D"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5209E">
              <w:rPr>
                <w:rFonts w:ascii="Arial" w:hAnsi="Arial" w:cs="Arial"/>
                <w:b/>
                <w:bCs/>
                <w:color w:val="000000" w:themeColor="text1"/>
              </w:rPr>
              <w:t>F</w:t>
            </w:r>
          </w:p>
        </w:tc>
        <w:tc>
          <w:tcPr>
            <w:tcW w:w="0" w:type="auto"/>
            <w:hideMark/>
          </w:tcPr>
          <w:p w14:paraId="6BFFD70B" w14:textId="77777777" w:rsidR="005E553D" w:rsidRPr="0095209E" w:rsidRDefault="005E553D"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95209E">
              <w:rPr>
                <w:rFonts w:ascii="Arial" w:hAnsi="Arial" w:cs="Arial"/>
                <w:b/>
                <w:bCs/>
                <w:color w:val="000000" w:themeColor="text1"/>
              </w:rPr>
              <w:t>Sig.</w:t>
            </w:r>
          </w:p>
        </w:tc>
      </w:tr>
      <w:tr w:rsidR="005E553D" w:rsidRPr="00B87B46" w14:paraId="4535A5BD" w14:textId="77777777" w:rsidTr="00425627">
        <w:trPr>
          <w:trHeight w:val="114"/>
        </w:trPr>
        <w:tc>
          <w:tcPr>
            <w:cnfStyle w:val="001000000000" w:firstRow="0" w:lastRow="0" w:firstColumn="1" w:lastColumn="0" w:oddVBand="0" w:evenVBand="0" w:oddHBand="0" w:evenHBand="0" w:firstRowFirstColumn="0" w:firstRowLastColumn="0" w:lastRowFirstColumn="0" w:lastRowLastColumn="0"/>
            <w:tcW w:w="0" w:type="auto"/>
            <w:hideMark/>
          </w:tcPr>
          <w:p w14:paraId="2F4FD9C3" w14:textId="77777777" w:rsidR="005E553D" w:rsidRPr="0095209E" w:rsidRDefault="005E553D" w:rsidP="00982FB8">
            <w:pPr>
              <w:contextualSpacing/>
              <w:jc w:val="both"/>
              <w:rPr>
                <w:rFonts w:ascii="Arial" w:hAnsi="Arial" w:cs="Arial"/>
                <w:b w:val="0"/>
                <w:bCs w:val="0"/>
                <w:color w:val="000000" w:themeColor="text1"/>
              </w:rPr>
            </w:pPr>
            <w:r w:rsidRPr="0095209E">
              <w:rPr>
                <w:rFonts w:ascii="Arial" w:hAnsi="Arial" w:cs="Arial"/>
                <w:b w:val="0"/>
                <w:bCs w:val="0"/>
                <w:color w:val="000000" w:themeColor="text1"/>
              </w:rPr>
              <w:t>Between Groups</w:t>
            </w:r>
          </w:p>
        </w:tc>
        <w:tc>
          <w:tcPr>
            <w:tcW w:w="0" w:type="auto"/>
            <w:hideMark/>
          </w:tcPr>
          <w:p w14:paraId="2561CB22"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8.034</w:t>
            </w:r>
          </w:p>
        </w:tc>
        <w:tc>
          <w:tcPr>
            <w:tcW w:w="0" w:type="auto"/>
            <w:hideMark/>
          </w:tcPr>
          <w:p w14:paraId="33BAA128"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4</w:t>
            </w:r>
          </w:p>
        </w:tc>
        <w:tc>
          <w:tcPr>
            <w:tcW w:w="0" w:type="auto"/>
            <w:hideMark/>
          </w:tcPr>
          <w:p w14:paraId="19C55227"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2.009</w:t>
            </w:r>
          </w:p>
        </w:tc>
        <w:tc>
          <w:tcPr>
            <w:tcW w:w="0" w:type="auto"/>
            <w:hideMark/>
          </w:tcPr>
          <w:p w14:paraId="41ED54BF"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3.333</w:t>
            </w:r>
          </w:p>
        </w:tc>
        <w:tc>
          <w:tcPr>
            <w:tcW w:w="0" w:type="auto"/>
            <w:hideMark/>
          </w:tcPr>
          <w:p w14:paraId="48D8EE2A"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0.011</w:t>
            </w:r>
          </w:p>
        </w:tc>
      </w:tr>
      <w:tr w:rsidR="005E553D" w:rsidRPr="00B87B46" w14:paraId="4264888A" w14:textId="77777777" w:rsidTr="0042562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36240D64" w14:textId="77777777" w:rsidR="005E553D" w:rsidRPr="0095209E" w:rsidRDefault="005E553D" w:rsidP="00982FB8">
            <w:pPr>
              <w:contextualSpacing/>
              <w:jc w:val="both"/>
              <w:rPr>
                <w:rFonts w:ascii="Arial" w:hAnsi="Arial" w:cs="Arial"/>
                <w:b w:val="0"/>
                <w:bCs w:val="0"/>
                <w:color w:val="000000" w:themeColor="text1"/>
              </w:rPr>
            </w:pPr>
            <w:r w:rsidRPr="0095209E">
              <w:rPr>
                <w:rFonts w:ascii="Arial" w:hAnsi="Arial" w:cs="Arial"/>
                <w:b w:val="0"/>
                <w:bCs w:val="0"/>
                <w:color w:val="000000" w:themeColor="text1"/>
              </w:rPr>
              <w:t>Within Groups</w:t>
            </w:r>
          </w:p>
        </w:tc>
        <w:tc>
          <w:tcPr>
            <w:tcW w:w="0" w:type="auto"/>
            <w:hideMark/>
          </w:tcPr>
          <w:p w14:paraId="202284FB" w14:textId="77777777" w:rsidR="005E553D" w:rsidRPr="0095209E" w:rsidRDefault="005E553D" w:rsidP="0042562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190.443</w:t>
            </w:r>
          </w:p>
        </w:tc>
        <w:tc>
          <w:tcPr>
            <w:tcW w:w="0" w:type="auto"/>
            <w:hideMark/>
          </w:tcPr>
          <w:p w14:paraId="675447E1" w14:textId="77777777" w:rsidR="005E553D" w:rsidRPr="0095209E" w:rsidRDefault="005E553D" w:rsidP="0042562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316</w:t>
            </w:r>
          </w:p>
        </w:tc>
        <w:tc>
          <w:tcPr>
            <w:tcW w:w="0" w:type="auto"/>
            <w:hideMark/>
          </w:tcPr>
          <w:p w14:paraId="27567382" w14:textId="77777777" w:rsidR="005E553D" w:rsidRPr="0095209E" w:rsidRDefault="005E553D" w:rsidP="0042562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0.603</w:t>
            </w:r>
          </w:p>
        </w:tc>
        <w:tc>
          <w:tcPr>
            <w:tcW w:w="0" w:type="auto"/>
            <w:hideMark/>
          </w:tcPr>
          <w:p w14:paraId="3A9A03DD" w14:textId="77777777" w:rsidR="005E553D" w:rsidRPr="0095209E" w:rsidRDefault="005E553D" w:rsidP="0042562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4193139F" w14:textId="77777777" w:rsidR="005E553D" w:rsidRPr="0095209E" w:rsidRDefault="005E553D" w:rsidP="0042562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5E553D" w:rsidRPr="00B87B46" w14:paraId="1833034B" w14:textId="77777777" w:rsidTr="00425627">
        <w:trPr>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25D6DE71" w14:textId="77777777" w:rsidR="005E553D" w:rsidRPr="0095209E" w:rsidRDefault="005E553D" w:rsidP="00982FB8">
            <w:pPr>
              <w:contextualSpacing/>
              <w:jc w:val="both"/>
              <w:rPr>
                <w:rFonts w:ascii="Arial" w:hAnsi="Arial" w:cs="Arial"/>
                <w:color w:val="000000" w:themeColor="text1"/>
              </w:rPr>
            </w:pPr>
            <w:r w:rsidRPr="0095209E">
              <w:rPr>
                <w:rFonts w:ascii="Arial" w:hAnsi="Arial" w:cs="Arial"/>
                <w:color w:val="000000" w:themeColor="text1"/>
              </w:rPr>
              <w:t>Total</w:t>
            </w:r>
          </w:p>
        </w:tc>
        <w:tc>
          <w:tcPr>
            <w:tcW w:w="0" w:type="auto"/>
            <w:hideMark/>
          </w:tcPr>
          <w:p w14:paraId="3F205364"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198.477</w:t>
            </w:r>
          </w:p>
        </w:tc>
        <w:tc>
          <w:tcPr>
            <w:tcW w:w="0" w:type="auto"/>
            <w:hideMark/>
          </w:tcPr>
          <w:p w14:paraId="562C01F6"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320</w:t>
            </w:r>
          </w:p>
        </w:tc>
        <w:tc>
          <w:tcPr>
            <w:tcW w:w="0" w:type="auto"/>
            <w:hideMark/>
          </w:tcPr>
          <w:p w14:paraId="71542403"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43F68BA3"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6457D27D"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77348C8D" w14:textId="77777777" w:rsidR="005E553D" w:rsidRPr="0095209E" w:rsidRDefault="005E553D" w:rsidP="00441B6F">
      <w:pPr>
        <w:pStyle w:val="Body"/>
        <w:spacing w:after="0"/>
        <w:rPr>
          <w:rFonts w:ascii="Arial" w:hAnsi="Arial" w:cs="Arial"/>
        </w:rPr>
      </w:pPr>
    </w:p>
    <w:p w14:paraId="23FCC2FB" w14:textId="0FE9A363" w:rsidR="00E602F1" w:rsidRDefault="00A2642B" w:rsidP="00441B6F">
      <w:pPr>
        <w:pStyle w:val="Body"/>
        <w:spacing w:after="0"/>
        <w:rPr>
          <w:rFonts w:ascii="Arial" w:hAnsi="Arial" w:cs="Arial"/>
        </w:rPr>
      </w:pPr>
      <w:r w:rsidRPr="00A2642B">
        <w:rPr>
          <w:rFonts w:ascii="Arial" w:hAnsi="Arial" w:cs="Arial"/>
        </w:rPr>
        <w:t>As shown in Table 1</w:t>
      </w:r>
      <w:r w:rsidR="00256972">
        <w:rPr>
          <w:rFonts w:ascii="Arial" w:hAnsi="Arial" w:cs="Arial"/>
        </w:rPr>
        <w:t>5</w:t>
      </w:r>
      <w:r w:rsidRPr="00A2642B">
        <w:rPr>
          <w:rFonts w:ascii="Arial" w:hAnsi="Arial" w:cs="Arial"/>
        </w:rPr>
        <w:t xml:space="preserve">, significant differences were observed between students in the Elementary Education program and those in Business Administration (mean difference = -0.57, p = .01) and Agriculture (mean difference = -0.58, p = .07). These results suggest that students pursuing degrees in Elementary Education exhibit a different level of awareness regarding gender laws compared to their peers in Business Administration and </w:t>
      </w:r>
      <w:r w:rsidR="007F1614" w:rsidRPr="007F1614">
        <w:rPr>
          <w:rFonts w:ascii="Arial" w:hAnsi="Arial" w:cs="Arial"/>
        </w:rPr>
        <w:t>Agriculture. Other program comparisons, such as Criminology and Agricultural Management versus other fields, did not show statistically significant differences.</w:t>
      </w:r>
    </w:p>
    <w:p w14:paraId="066D5806" w14:textId="77777777" w:rsidR="00425627" w:rsidRDefault="00425627" w:rsidP="00441B6F">
      <w:pPr>
        <w:pStyle w:val="Body"/>
        <w:spacing w:after="0"/>
        <w:rPr>
          <w:rFonts w:ascii="Arial" w:hAnsi="Arial" w:cs="Arial"/>
        </w:rPr>
      </w:pPr>
    </w:p>
    <w:p w14:paraId="510C204E" w14:textId="4097E45E" w:rsidR="00825FDA" w:rsidRPr="00AB4297" w:rsidRDefault="00825FDA" w:rsidP="00825FDA">
      <w:pPr>
        <w:contextualSpacing/>
        <w:jc w:val="both"/>
        <w:rPr>
          <w:rFonts w:ascii="Arial" w:hAnsi="Arial" w:cs="Arial"/>
          <w:color w:val="000000" w:themeColor="text1"/>
        </w:rPr>
      </w:pPr>
      <w:r w:rsidRPr="00AB4297">
        <w:rPr>
          <w:rFonts w:ascii="Arial" w:hAnsi="Arial" w:cs="Arial"/>
          <w:color w:val="000000" w:themeColor="text1"/>
        </w:rPr>
        <w:t>Table 1</w:t>
      </w:r>
      <w:r w:rsidR="00DE74A7">
        <w:rPr>
          <w:rFonts w:ascii="Arial" w:hAnsi="Arial" w:cs="Arial"/>
          <w:color w:val="000000" w:themeColor="text1"/>
        </w:rPr>
        <w:t>5</w:t>
      </w:r>
      <w:r w:rsidRPr="00AB4297">
        <w:rPr>
          <w:rFonts w:ascii="Arial" w:hAnsi="Arial" w:cs="Arial"/>
          <w:color w:val="000000" w:themeColor="text1"/>
        </w:rPr>
        <w:t>. Post hoc test – differences in gender laws awareness across academic programs</w:t>
      </w:r>
    </w:p>
    <w:tbl>
      <w:tblPr>
        <w:tblStyle w:val="PlainTable2"/>
        <w:tblW w:w="0" w:type="auto"/>
        <w:tblLook w:val="04A0" w:firstRow="1" w:lastRow="0" w:firstColumn="1" w:lastColumn="0" w:noHBand="0" w:noVBand="1"/>
      </w:tblPr>
      <w:tblGrid>
        <w:gridCol w:w="1808"/>
        <w:gridCol w:w="1421"/>
        <w:gridCol w:w="992"/>
        <w:gridCol w:w="675"/>
        <w:gridCol w:w="1793"/>
        <w:gridCol w:w="1519"/>
      </w:tblGrid>
      <w:tr w:rsidR="00825FDA" w:rsidRPr="00B87B46" w14:paraId="19553028" w14:textId="77777777" w:rsidTr="00982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402707"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color w:val="000000" w:themeColor="text1"/>
              </w:rPr>
              <w:t>Programs Compared</w:t>
            </w:r>
          </w:p>
        </w:tc>
        <w:tc>
          <w:tcPr>
            <w:tcW w:w="0" w:type="auto"/>
            <w:hideMark/>
          </w:tcPr>
          <w:p w14:paraId="0D261774"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Mean Difference</w:t>
            </w:r>
          </w:p>
        </w:tc>
        <w:tc>
          <w:tcPr>
            <w:tcW w:w="0" w:type="auto"/>
            <w:hideMark/>
          </w:tcPr>
          <w:p w14:paraId="095E83CD"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Std. Error</w:t>
            </w:r>
          </w:p>
        </w:tc>
        <w:tc>
          <w:tcPr>
            <w:tcW w:w="0" w:type="auto"/>
            <w:hideMark/>
          </w:tcPr>
          <w:p w14:paraId="09F30DF7"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Sig.</w:t>
            </w:r>
          </w:p>
        </w:tc>
        <w:tc>
          <w:tcPr>
            <w:tcW w:w="0" w:type="auto"/>
            <w:hideMark/>
          </w:tcPr>
          <w:p w14:paraId="4C6B82F0"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95% Confidence Interval</w:t>
            </w:r>
          </w:p>
        </w:tc>
        <w:tc>
          <w:tcPr>
            <w:tcW w:w="0" w:type="auto"/>
            <w:hideMark/>
          </w:tcPr>
          <w:p w14:paraId="538B1298"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Interpretation</w:t>
            </w:r>
          </w:p>
        </w:tc>
      </w:tr>
      <w:tr w:rsidR="00825FDA" w:rsidRPr="00B87B46" w14:paraId="1B811CC7"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252753"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Bus. Ad. vs. Criminology</w:t>
            </w:r>
          </w:p>
        </w:tc>
        <w:tc>
          <w:tcPr>
            <w:tcW w:w="0" w:type="auto"/>
            <w:hideMark/>
          </w:tcPr>
          <w:p w14:paraId="50628F37"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-0.25</w:t>
            </w:r>
          </w:p>
        </w:tc>
        <w:tc>
          <w:tcPr>
            <w:tcW w:w="0" w:type="auto"/>
            <w:hideMark/>
          </w:tcPr>
          <w:p w14:paraId="701D18C1"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0.12</w:t>
            </w:r>
          </w:p>
        </w:tc>
        <w:tc>
          <w:tcPr>
            <w:tcW w:w="0" w:type="auto"/>
            <w:hideMark/>
          </w:tcPr>
          <w:p w14:paraId="274B93E8"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0.24</w:t>
            </w:r>
          </w:p>
        </w:tc>
        <w:tc>
          <w:tcPr>
            <w:tcW w:w="0" w:type="auto"/>
            <w:hideMark/>
          </w:tcPr>
          <w:p w14:paraId="1976056C"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[-0.58, 0.08]</w:t>
            </w:r>
          </w:p>
        </w:tc>
        <w:tc>
          <w:tcPr>
            <w:tcW w:w="0" w:type="auto"/>
            <w:hideMark/>
          </w:tcPr>
          <w:p w14:paraId="5FBAC76A"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No Difference</w:t>
            </w:r>
          </w:p>
        </w:tc>
      </w:tr>
      <w:tr w:rsidR="00825FDA" w:rsidRPr="00B87B46" w14:paraId="35CD6EB7" w14:textId="77777777" w:rsidTr="00982FB8">
        <w:tc>
          <w:tcPr>
            <w:cnfStyle w:val="001000000000" w:firstRow="0" w:lastRow="0" w:firstColumn="1" w:lastColumn="0" w:oddVBand="0" w:evenVBand="0" w:oddHBand="0" w:evenHBand="0" w:firstRowFirstColumn="0" w:firstRowLastColumn="0" w:lastRowFirstColumn="0" w:lastRowLastColumn="0"/>
            <w:tcW w:w="0" w:type="auto"/>
            <w:hideMark/>
          </w:tcPr>
          <w:p w14:paraId="4339CE04"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Bus. Ad. vs. Agri. Mgt.</w:t>
            </w:r>
          </w:p>
        </w:tc>
        <w:tc>
          <w:tcPr>
            <w:tcW w:w="0" w:type="auto"/>
            <w:hideMark/>
          </w:tcPr>
          <w:p w14:paraId="1BA1537C"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-0.17</w:t>
            </w:r>
          </w:p>
        </w:tc>
        <w:tc>
          <w:tcPr>
            <w:tcW w:w="0" w:type="auto"/>
            <w:hideMark/>
          </w:tcPr>
          <w:p w14:paraId="170C8255"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0.11</w:t>
            </w:r>
          </w:p>
        </w:tc>
        <w:tc>
          <w:tcPr>
            <w:tcW w:w="0" w:type="auto"/>
            <w:hideMark/>
          </w:tcPr>
          <w:p w14:paraId="55F0B8E4"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0.55</w:t>
            </w:r>
          </w:p>
        </w:tc>
        <w:tc>
          <w:tcPr>
            <w:tcW w:w="0" w:type="auto"/>
            <w:hideMark/>
          </w:tcPr>
          <w:p w14:paraId="0EF1DDA5"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[-0.48, 0.14]</w:t>
            </w:r>
          </w:p>
        </w:tc>
        <w:tc>
          <w:tcPr>
            <w:tcW w:w="0" w:type="auto"/>
            <w:hideMark/>
          </w:tcPr>
          <w:p w14:paraId="6FD0BC1C"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No Difference</w:t>
            </w:r>
          </w:p>
        </w:tc>
      </w:tr>
      <w:tr w:rsidR="00825FDA" w:rsidRPr="00B87B46" w14:paraId="6F74CEDD"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1D35BA"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Bus. Ad. vs. Agriculture</w:t>
            </w:r>
          </w:p>
        </w:tc>
        <w:tc>
          <w:tcPr>
            <w:tcW w:w="0" w:type="auto"/>
            <w:hideMark/>
          </w:tcPr>
          <w:p w14:paraId="6CA2F2D7"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0.01</w:t>
            </w:r>
          </w:p>
        </w:tc>
        <w:tc>
          <w:tcPr>
            <w:tcW w:w="0" w:type="auto"/>
            <w:hideMark/>
          </w:tcPr>
          <w:p w14:paraId="424B0CE1"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0.16</w:t>
            </w:r>
          </w:p>
        </w:tc>
        <w:tc>
          <w:tcPr>
            <w:tcW w:w="0" w:type="auto"/>
            <w:hideMark/>
          </w:tcPr>
          <w:p w14:paraId="5439E76F"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1.00</w:t>
            </w:r>
          </w:p>
        </w:tc>
        <w:tc>
          <w:tcPr>
            <w:tcW w:w="0" w:type="auto"/>
            <w:hideMark/>
          </w:tcPr>
          <w:p w14:paraId="4C70630B"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[-0.43, 0.45]</w:t>
            </w:r>
          </w:p>
        </w:tc>
        <w:tc>
          <w:tcPr>
            <w:tcW w:w="0" w:type="auto"/>
            <w:hideMark/>
          </w:tcPr>
          <w:p w14:paraId="0E946F0C"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No Difference</w:t>
            </w:r>
          </w:p>
        </w:tc>
      </w:tr>
      <w:tr w:rsidR="00825FDA" w:rsidRPr="00B87B46" w14:paraId="015DD077" w14:textId="77777777" w:rsidTr="00982FB8">
        <w:tc>
          <w:tcPr>
            <w:cnfStyle w:val="001000000000" w:firstRow="0" w:lastRow="0" w:firstColumn="1" w:lastColumn="0" w:oddVBand="0" w:evenVBand="0" w:oddHBand="0" w:evenHBand="0" w:firstRowFirstColumn="0" w:firstRowLastColumn="0" w:lastRowFirstColumn="0" w:lastRowLastColumn="0"/>
            <w:tcW w:w="0" w:type="auto"/>
            <w:hideMark/>
          </w:tcPr>
          <w:p w14:paraId="6F30D444"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Bus. Ad. vs. Elem. Educ.</w:t>
            </w:r>
          </w:p>
        </w:tc>
        <w:tc>
          <w:tcPr>
            <w:tcW w:w="0" w:type="auto"/>
            <w:hideMark/>
          </w:tcPr>
          <w:p w14:paraId="3F4C28C4"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-0.57</w:t>
            </w:r>
          </w:p>
        </w:tc>
        <w:tc>
          <w:tcPr>
            <w:tcW w:w="0" w:type="auto"/>
            <w:hideMark/>
          </w:tcPr>
          <w:p w14:paraId="67C4CEFA"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0.18</w:t>
            </w:r>
          </w:p>
        </w:tc>
        <w:tc>
          <w:tcPr>
            <w:tcW w:w="0" w:type="auto"/>
            <w:hideMark/>
          </w:tcPr>
          <w:p w14:paraId="04453C9E"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0.01</w:t>
            </w:r>
          </w:p>
        </w:tc>
        <w:tc>
          <w:tcPr>
            <w:tcW w:w="0" w:type="auto"/>
            <w:hideMark/>
          </w:tcPr>
          <w:p w14:paraId="6F332D2C"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[-1.07, -0.08]</w:t>
            </w:r>
          </w:p>
        </w:tc>
        <w:tc>
          <w:tcPr>
            <w:tcW w:w="0" w:type="auto"/>
            <w:hideMark/>
          </w:tcPr>
          <w:p w14:paraId="1958DE88"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Has Difference</w:t>
            </w:r>
          </w:p>
        </w:tc>
      </w:tr>
      <w:tr w:rsidR="00825FDA" w:rsidRPr="00B87B46" w14:paraId="66F41E77"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131C88"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Criminology vs. Others</w:t>
            </w:r>
          </w:p>
        </w:tc>
        <w:tc>
          <w:tcPr>
            <w:tcW w:w="0" w:type="auto"/>
            <w:hideMark/>
          </w:tcPr>
          <w:p w14:paraId="033A42D6"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Various</w:t>
            </w:r>
          </w:p>
        </w:tc>
        <w:tc>
          <w:tcPr>
            <w:tcW w:w="0" w:type="auto"/>
            <w:hideMark/>
          </w:tcPr>
          <w:p w14:paraId="6D22B7E9"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Various</w:t>
            </w:r>
          </w:p>
        </w:tc>
        <w:tc>
          <w:tcPr>
            <w:tcW w:w="0" w:type="auto"/>
            <w:hideMark/>
          </w:tcPr>
          <w:p w14:paraId="67F655A0"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&gt; 0.05</w:t>
            </w:r>
          </w:p>
        </w:tc>
        <w:tc>
          <w:tcPr>
            <w:tcW w:w="0" w:type="auto"/>
            <w:hideMark/>
          </w:tcPr>
          <w:p w14:paraId="703FCA8A"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5A4A1428" w14:textId="77777777" w:rsidR="00825FDA" w:rsidRPr="00AB4297" w:rsidRDefault="00825FD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No Difference</w:t>
            </w:r>
          </w:p>
        </w:tc>
      </w:tr>
      <w:tr w:rsidR="00825FDA" w:rsidRPr="00B87B46" w14:paraId="3CEEBC0C" w14:textId="77777777" w:rsidTr="00982FB8">
        <w:tc>
          <w:tcPr>
            <w:cnfStyle w:val="001000000000" w:firstRow="0" w:lastRow="0" w:firstColumn="1" w:lastColumn="0" w:oddVBand="0" w:evenVBand="0" w:oddHBand="0" w:evenHBand="0" w:firstRowFirstColumn="0" w:firstRowLastColumn="0" w:lastRowFirstColumn="0" w:lastRowLastColumn="0"/>
            <w:tcW w:w="0" w:type="auto"/>
            <w:hideMark/>
          </w:tcPr>
          <w:p w14:paraId="3E41B690"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Agriculture vs. Elem. Educ.</w:t>
            </w:r>
          </w:p>
        </w:tc>
        <w:tc>
          <w:tcPr>
            <w:tcW w:w="0" w:type="auto"/>
            <w:hideMark/>
          </w:tcPr>
          <w:p w14:paraId="7A058B66"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-0.58c</w:t>
            </w:r>
          </w:p>
        </w:tc>
        <w:tc>
          <w:tcPr>
            <w:tcW w:w="0" w:type="auto"/>
            <w:hideMark/>
          </w:tcPr>
          <w:p w14:paraId="41C1C722"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0.22</w:t>
            </w:r>
          </w:p>
        </w:tc>
        <w:tc>
          <w:tcPr>
            <w:tcW w:w="0" w:type="auto"/>
            <w:hideMark/>
          </w:tcPr>
          <w:p w14:paraId="42013F97"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0.07</w:t>
            </w:r>
          </w:p>
        </w:tc>
        <w:tc>
          <w:tcPr>
            <w:tcW w:w="0" w:type="auto"/>
            <w:hideMark/>
          </w:tcPr>
          <w:p w14:paraId="44F14E56"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[-1.20, 0.03]</w:t>
            </w:r>
          </w:p>
        </w:tc>
        <w:tc>
          <w:tcPr>
            <w:tcW w:w="0" w:type="auto"/>
            <w:hideMark/>
          </w:tcPr>
          <w:p w14:paraId="785701D8"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Has Difference</w:t>
            </w:r>
          </w:p>
        </w:tc>
      </w:tr>
    </w:tbl>
    <w:p w14:paraId="627F3D34" w14:textId="77777777" w:rsidR="00825FDA" w:rsidRPr="00AB4297" w:rsidRDefault="00825FDA" w:rsidP="00BE6EE4">
      <w:pPr>
        <w:pStyle w:val="Body"/>
        <w:spacing w:after="0"/>
        <w:jc w:val="left"/>
        <w:rPr>
          <w:rFonts w:ascii="Arial" w:hAnsi="Arial" w:cs="Arial"/>
        </w:rPr>
      </w:pPr>
    </w:p>
    <w:p w14:paraId="0C1FC1E5" w14:textId="4AC74B66" w:rsidR="00A87B51" w:rsidRDefault="007C6C63" w:rsidP="00441B6F">
      <w:pPr>
        <w:pStyle w:val="Body"/>
        <w:spacing w:after="0"/>
        <w:rPr>
          <w:rFonts w:ascii="Arial" w:hAnsi="Arial" w:cs="Arial"/>
        </w:rPr>
      </w:pPr>
      <w:r w:rsidRPr="007C6C63">
        <w:rPr>
          <w:rFonts w:ascii="Arial" w:hAnsi="Arial" w:cs="Arial"/>
        </w:rPr>
        <w:t>In line with the results, education-related programs commonly include components on child development, gender sensitivity, inclusive education, and legal protections, fostering stronger legal literacy and awareness of gender equity (Cerna et al., 2021; Cole, 2022). These programs also emphasize gender-responsive pedagogy and inclusive strategies, helping students better understand gender laws and policies (</w:t>
      </w:r>
      <w:proofErr w:type="spellStart"/>
      <w:r w:rsidRPr="007C6C63">
        <w:rPr>
          <w:rFonts w:ascii="Arial" w:hAnsi="Arial" w:cs="Arial"/>
        </w:rPr>
        <w:t>Rarieya</w:t>
      </w:r>
      <w:proofErr w:type="spellEnd"/>
      <w:r w:rsidRPr="007C6C63">
        <w:rPr>
          <w:rFonts w:ascii="Arial" w:hAnsi="Arial" w:cs="Arial"/>
        </w:rPr>
        <w:t xml:space="preserve"> et al., 2024). In contrast, fields like Business Administration and Agriculture tend to focus on technical and sector-specific skills, with less emphasis on gender and legal awareness (</w:t>
      </w:r>
      <w:proofErr w:type="spellStart"/>
      <w:r w:rsidRPr="007C6C63">
        <w:rPr>
          <w:rFonts w:ascii="Arial" w:hAnsi="Arial" w:cs="Arial"/>
        </w:rPr>
        <w:t>Upulwehera</w:t>
      </w:r>
      <w:proofErr w:type="spellEnd"/>
      <w:r w:rsidRPr="007C6C63">
        <w:rPr>
          <w:rFonts w:ascii="Arial" w:hAnsi="Arial" w:cs="Arial"/>
        </w:rPr>
        <w:t xml:space="preserve"> et al., 2024). This disparity highlights the uneven integration of gender-related content across disciplines and the need for more interdisciplinary approaches to legal and social education (Bin Latif et al., 2024).</w:t>
      </w:r>
    </w:p>
    <w:p w14:paraId="7D724668" w14:textId="77777777" w:rsidR="007C6C63" w:rsidRDefault="007C6C63" w:rsidP="00441B6F">
      <w:pPr>
        <w:pStyle w:val="Body"/>
        <w:spacing w:after="0"/>
        <w:rPr>
          <w:rFonts w:ascii="Arial" w:hAnsi="Arial" w:cs="Arial"/>
        </w:rPr>
      </w:pPr>
    </w:p>
    <w:p w14:paraId="059B2D69" w14:textId="1B4CE214" w:rsidR="00A83657" w:rsidRDefault="00A83657" w:rsidP="00A83657">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007F2740">
        <w:rPr>
          <w:rFonts w:ascii="Arial" w:hAnsi="Arial" w:cs="Arial"/>
          <w:b/>
          <w:caps/>
          <w:sz w:val="22"/>
        </w:rPr>
        <w:t xml:space="preserve"> </w:t>
      </w:r>
      <w:r w:rsidR="00630284" w:rsidRPr="00630284">
        <w:rPr>
          <w:rFonts w:ascii="Arial" w:hAnsi="Arial" w:cs="Arial"/>
          <w:b/>
          <w:sz w:val="22"/>
        </w:rPr>
        <w:t xml:space="preserve">Significant Differences in Gender Discrimination According to Respondents’ Demographic Profile </w:t>
      </w:r>
    </w:p>
    <w:p w14:paraId="6837EA07" w14:textId="77777777" w:rsidR="00A87B51" w:rsidRDefault="00A87B51" w:rsidP="00441B6F">
      <w:pPr>
        <w:pStyle w:val="Body"/>
        <w:spacing w:after="0"/>
        <w:rPr>
          <w:rFonts w:ascii="Arial" w:hAnsi="Arial" w:cs="Arial"/>
        </w:rPr>
      </w:pPr>
    </w:p>
    <w:p w14:paraId="61B1C833" w14:textId="20CA2702" w:rsidR="00DA4AB2" w:rsidRDefault="00DA4AB2" w:rsidP="00DA4AB2">
      <w:pPr>
        <w:pStyle w:val="Body"/>
        <w:spacing w:after="0"/>
        <w:rPr>
          <w:rFonts w:ascii="Arial" w:hAnsi="Arial" w:cs="Arial"/>
        </w:rPr>
      </w:pPr>
      <w:r w:rsidRPr="006A1DE1">
        <w:rPr>
          <w:rFonts w:ascii="Arial" w:hAnsi="Arial" w:cs="Arial"/>
        </w:rPr>
        <w:t xml:space="preserve">Table </w:t>
      </w:r>
      <w:r>
        <w:rPr>
          <w:rFonts w:ascii="Arial" w:hAnsi="Arial" w:cs="Arial"/>
        </w:rPr>
        <w:t xml:space="preserve">16 </w:t>
      </w:r>
      <w:r w:rsidRPr="006A1DE1">
        <w:rPr>
          <w:rFonts w:ascii="Arial" w:hAnsi="Arial" w:cs="Arial"/>
        </w:rPr>
        <w:t>presents the significant differences in the level of gender discrimination based on the age of respondents. The ANOVA results indicate that age has a statistically significant effect on how gender discrimination is perceived: (f= 4.509, p= .004. This finding implies that the respondents’ perceptions vary meaningfully across different age groups. The specific age brackets that contributed to this difference are examined in the post hoc test results below.</w:t>
      </w:r>
    </w:p>
    <w:p w14:paraId="13F96340" w14:textId="77777777" w:rsidR="005C4DCE" w:rsidRDefault="005C4DCE" w:rsidP="00441B6F">
      <w:pPr>
        <w:pStyle w:val="Body"/>
        <w:spacing w:after="0"/>
        <w:rPr>
          <w:rFonts w:ascii="Arial" w:hAnsi="Arial" w:cs="Arial"/>
        </w:rPr>
      </w:pPr>
    </w:p>
    <w:p w14:paraId="4C590508" w14:textId="6EA711DA" w:rsidR="00F94CDD" w:rsidRPr="00B87B46" w:rsidRDefault="00F94CDD" w:rsidP="00F94CDD">
      <w:pPr>
        <w:contextualSpacing/>
        <w:jc w:val="both"/>
        <w:rPr>
          <w:rFonts w:ascii="Arial" w:hAnsi="Arial" w:cs="Arial"/>
          <w:color w:val="000000" w:themeColor="text1"/>
        </w:rPr>
      </w:pPr>
      <w:r w:rsidRPr="00B87B46">
        <w:rPr>
          <w:rFonts w:ascii="Arial" w:hAnsi="Arial" w:cs="Arial"/>
          <w:color w:val="000000" w:themeColor="text1"/>
        </w:rPr>
        <w:t>Table 1</w:t>
      </w:r>
      <w:r w:rsidR="00AB4297" w:rsidRPr="00B87B46">
        <w:rPr>
          <w:rFonts w:ascii="Arial" w:hAnsi="Arial" w:cs="Arial"/>
          <w:color w:val="000000" w:themeColor="text1"/>
        </w:rPr>
        <w:t>6</w:t>
      </w:r>
      <w:r w:rsidRPr="00B87B46">
        <w:rPr>
          <w:rFonts w:ascii="Arial" w:hAnsi="Arial" w:cs="Arial"/>
          <w:color w:val="000000" w:themeColor="text1"/>
        </w:rPr>
        <w:t>. Significant difference in the level of gender discrimination when grouped according to age</w:t>
      </w:r>
    </w:p>
    <w:tbl>
      <w:tblPr>
        <w:tblStyle w:val="PlainTable2"/>
        <w:tblW w:w="8192" w:type="dxa"/>
        <w:tblLook w:val="04A0" w:firstRow="1" w:lastRow="0" w:firstColumn="1" w:lastColumn="0" w:noHBand="0" w:noVBand="1"/>
      </w:tblPr>
      <w:tblGrid>
        <w:gridCol w:w="2062"/>
        <w:gridCol w:w="2101"/>
        <w:gridCol w:w="665"/>
        <w:gridCol w:w="1766"/>
        <w:gridCol w:w="866"/>
        <w:gridCol w:w="732"/>
      </w:tblGrid>
      <w:tr w:rsidR="00256972" w:rsidRPr="00AB4297" w14:paraId="2E8B7480" w14:textId="77777777" w:rsidTr="00256972">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0E22EBE9" w14:textId="77777777" w:rsidR="00F94CDD" w:rsidRPr="00B87B46" w:rsidRDefault="00F94CDD" w:rsidP="00BE6EE4">
            <w:pPr>
              <w:contextualSpacing/>
              <w:rPr>
                <w:rFonts w:ascii="Arial" w:hAnsi="Arial" w:cs="Arial"/>
                <w:b w:val="0"/>
                <w:color w:val="000000" w:themeColor="text1"/>
              </w:rPr>
            </w:pPr>
            <w:r w:rsidRPr="00B87B46">
              <w:rPr>
                <w:rFonts w:ascii="Arial" w:hAnsi="Arial" w:cs="Arial"/>
                <w:color w:val="000000" w:themeColor="text1"/>
              </w:rPr>
              <w:t>Source</w:t>
            </w:r>
          </w:p>
        </w:tc>
        <w:tc>
          <w:tcPr>
            <w:tcW w:w="0" w:type="auto"/>
            <w:hideMark/>
          </w:tcPr>
          <w:p w14:paraId="6CC1019D"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Sum of Squares</w:t>
            </w:r>
          </w:p>
        </w:tc>
        <w:tc>
          <w:tcPr>
            <w:tcW w:w="0" w:type="auto"/>
            <w:hideMark/>
          </w:tcPr>
          <w:p w14:paraId="4367D82D"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df</w:t>
            </w:r>
          </w:p>
        </w:tc>
        <w:tc>
          <w:tcPr>
            <w:tcW w:w="0" w:type="auto"/>
            <w:hideMark/>
          </w:tcPr>
          <w:p w14:paraId="01DCFECF"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Square</w:t>
            </w:r>
          </w:p>
        </w:tc>
        <w:tc>
          <w:tcPr>
            <w:tcW w:w="0" w:type="auto"/>
            <w:hideMark/>
          </w:tcPr>
          <w:p w14:paraId="1627F11E"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F</w:t>
            </w:r>
          </w:p>
        </w:tc>
        <w:tc>
          <w:tcPr>
            <w:tcW w:w="0" w:type="auto"/>
            <w:hideMark/>
          </w:tcPr>
          <w:p w14:paraId="1559BBEF"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r>
      <w:tr w:rsidR="00256972" w:rsidRPr="00AB4297" w14:paraId="6075F43B" w14:textId="77777777" w:rsidTr="0025697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0" w:type="auto"/>
            <w:hideMark/>
          </w:tcPr>
          <w:p w14:paraId="37012093" w14:textId="77777777" w:rsidR="00F94CDD" w:rsidRPr="00B87B46" w:rsidRDefault="00F94CDD" w:rsidP="00BE6EE4">
            <w:pPr>
              <w:contextualSpacing/>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414B8B95"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8.986</w:t>
            </w:r>
          </w:p>
        </w:tc>
        <w:tc>
          <w:tcPr>
            <w:tcW w:w="0" w:type="auto"/>
            <w:hideMark/>
          </w:tcPr>
          <w:p w14:paraId="0A36A75A"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w:t>
            </w:r>
          </w:p>
        </w:tc>
        <w:tc>
          <w:tcPr>
            <w:tcW w:w="0" w:type="auto"/>
            <w:hideMark/>
          </w:tcPr>
          <w:p w14:paraId="6DBEE176"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2.995</w:t>
            </w:r>
          </w:p>
        </w:tc>
        <w:tc>
          <w:tcPr>
            <w:tcW w:w="0" w:type="auto"/>
            <w:hideMark/>
          </w:tcPr>
          <w:p w14:paraId="4EDC6DCB"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4.509</w:t>
            </w:r>
          </w:p>
        </w:tc>
        <w:tc>
          <w:tcPr>
            <w:tcW w:w="0" w:type="auto"/>
            <w:hideMark/>
          </w:tcPr>
          <w:p w14:paraId="796CDD62"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.004</w:t>
            </w:r>
          </w:p>
        </w:tc>
      </w:tr>
      <w:tr w:rsidR="00256972" w:rsidRPr="00AB4297" w14:paraId="23D2744E" w14:textId="77777777" w:rsidTr="00256972">
        <w:trPr>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2827708C" w14:textId="77777777" w:rsidR="00F94CDD" w:rsidRPr="00B87B46" w:rsidRDefault="00F94CDD" w:rsidP="00BE6EE4">
            <w:pPr>
              <w:contextualSpacing/>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0C158108"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210.575</w:t>
            </w:r>
          </w:p>
        </w:tc>
        <w:tc>
          <w:tcPr>
            <w:tcW w:w="0" w:type="auto"/>
            <w:hideMark/>
          </w:tcPr>
          <w:p w14:paraId="3003BF0A"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317</w:t>
            </w:r>
          </w:p>
        </w:tc>
        <w:tc>
          <w:tcPr>
            <w:tcW w:w="0" w:type="auto"/>
            <w:hideMark/>
          </w:tcPr>
          <w:p w14:paraId="1AC49FC7"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.664</w:t>
            </w:r>
          </w:p>
        </w:tc>
        <w:tc>
          <w:tcPr>
            <w:tcW w:w="0" w:type="auto"/>
            <w:hideMark/>
          </w:tcPr>
          <w:p w14:paraId="0432512A"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196070C2"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56972" w:rsidRPr="00AB4297" w14:paraId="57414A30" w14:textId="77777777" w:rsidTr="0025697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5BC4A628" w14:textId="77777777" w:rsidR="00F94CDD" w:rsidRPr="00B87B46" w:rsidRDefault="00F94CDD" w:rsidP="00BE6EE4">
            <w:pPr>
              <w:contextualSpacing/>
              <w:rPr>
                <w:rFonts w:ascii="Arial" w:hAnsi="Arial" w:cs="Arial"/>
                <w:color w:val="000000" w:themeColor="text1"/>
              </w:rPr>
            </w:pPr>
            <w:r w:rsidRPr="00B87B46">
              <w:rPr>
                <w:rFonts w:ascii="Arial" w:hAnsi="Arial" w:cs="Arial"/>
                <w:color w:val="000000" w:themeColor="text1"/>
              </w:rPr>
              <w:t>Total</w:t>
            </w:r>
          </w:p>
        </w:tc>
        <w:tc>
          <w:tcPr>
            <w:tcW w:w="0" w:type="auto"/>
            <w:hideMark/>
          </w:tcPr>
          <w:p w14:paraId="222733DC"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219.561</w:t>
            </w:r>
          </w:p>
        </w:tc>
        <w:tc>
          <w:tcPr>
            <w:tcW w:w="0" w:type="auto"/>
            <w:hideMark/>
          </w:tcPr>
          <w:p w14:paraId="54FD44E7"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134944C9"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7CE097F3"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4F3249AD" w14:textId="77777777" w:rsidR="00F94CDD" w:rsidRPr="00B87B46" w:rsidRDefault="00F94CD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3B20C521" w14:textId="77777777" w:rsidR="00F94CDD" w:rsidRDefault="00F94CDD" w:rsidP="00441B6F">
      <w:pPr>
        <w:pStyle w:val="Body"/>
        <w:spacing w:after="0"/>
        <w:rPr>
          <w:rFonts w:ascii="Arial" w:hAnsi="Arial" w:cs="Arial"/>
        </w:rPr>
      </w:pPr>
    </w:p>
    <w:p w14:paraId="1D716A1E" w14:textId="59916DE2" w:rsidR="0041398F" w:rsidRPr="00B87B46" w:rsidRDefault="0041398F" w:rsidP="0041398F">
      <w:pPr>
        <w:contextualSpacing/>
        <w:jc w:val="both"/>
        <w:rPr>
          <w:rFonts w:ascii="Arial" w:hAnsi="Arial" w:cs="Arial"/>
          <w:color w:val="000000" w:themeColor="text1"/>
        </w:rPr>
      </w:pPr>
      <w:r w:rsidRPr="00B87B46">
        <w:rPr>
          <w:rFonts w:ascii="Arial" w:hAnsi="Arial" w:cs="Arial"/>
          <w:color w:val="000000" w:themeColor="text1"/>
        </w:rPr>
        <w:t xml:space="preserve">Table </w:t>
      </w:r>
      <w:r w:rsidR="00AB4297" w:rsidRPr="00B87B46">
        <w:rPr>
          <w:rFonts w:ascii="Arial" w:hAnsi="Arial" w:cs="Arial"/>
          <w:color w:val="000000" w:themeColor="text1"/>
        </w:rPr>
        <w:t>17</w:t>
      </w:r>
      <w:r w:rsidRPr="00B87B46">
        <w:rPr>
          <w:rFonts w:ascii="Arial" w:hAnsi="Arial" w:cs="Arial"/>
          <w:color w:val="000000" w:themeColor="text1"/>
        </w:rPr>
        <w:t>. Post hoc test: significant difference in the level of gender discrimination by age group</w:t>
      </w:r>
    </w:p>
    <w:tbl>
      <w:tblPr>
        <w:tblStyle w:val="PlainTable2"/>
        <w:tblW w:w="0" w:type="auto"/>
        <w:tblLook w:val="04A0" w:firstRow="1" w:lastRow="0" w:firstColumn="1" w:lastColumn="0" w:noHBand="0" w:noVBand="1"/>
      </w:tblPr>
      <w:tblGrid>
        <w:gridCol w:w="1844"/>
        <w:gridCol w:w="1251"/>
        <w:gridCol w:w="1350"/>
        <w:gridCol w:w="697"/>
        <w:gridCol w:w="1561"/>
        <w:gridCol w:w="1505"/>
      </w:tblGrid>
      <w:tr w:rsidR="0041398F" w:rsidRPr="00AB4297" w14:paraId="58E3FA39" w14:textId="77777777" w:rsidTr="00982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2300B679" w14:textId="77777777" w:rsidR="0041398F" w:rsidRPr="00B87B46" w:rsidRDefault="0041398F" w:rsidP="00BE6EE4">
            <w:pPr>
              <w:contextualSpacing/>
              <w:rPr>
                <w:rFonts w:ascii="Arial" w:hAnsi="Arial" w:cs="Arial"/>
                <w:b w:val="0"/>
                <w:color w:val="000000" w:themeColor="text1"/>
              </w:rPr>
            </w:pPr>
            <w:r w:rsidRPr="00B87B46">
              <w:rPr>
                <w:rFonts w:ascii="Arial" w:hAnsi="Arial" w:cs="Arial"/>
                <w:color w:val="000000" w:themeColor="text1"/>
              </w:rPr>
              <w:t>(I) Age Group</w:t>
            </w:r>
          </w:p>
        </w:tc>
        <w:tc>
          <w:tcPr>
            <w:tcW w:w="1258" w:type="dxa"/>
            <w:hideMark/>
          </w:tcPr>
          <w:p w14:paraId="6D6514EC"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Difference (I–J)</w:t>
            </w:r>
          </w:p>
        </w:tc>
        <w:tc>
          <w:tcPr>
            <w:tcW w:w="1435" w:type="dxa"/>
            <w:hideMark/>
          </w:tcPr>
          <w:p w14:paraId="59E0A130"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Std. Error</w:t>
            </w:r>
          </w:p>
        </w:tc>
        <w:tc>
          <w:tcPr>
            <w:tcW w:w="709" w:type="dxa"/>
            <w:hideMark/>
          </w:tcPr>
          <w:p w14:paraId="1994873B"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c>
          <w:tcPr>
            <w:tcW w:w="1595" w:type="dxa"/>
            <w:hideMark/>
          </w:tcPr>
          <w:p w14:paraId="72149F46"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95% Confidence Interval</w:t>
            </w:r>
          </w:p>
        </w:tc>
        <w:tc>
          <w:tcPr>
            <w:tcW w:w="0" w:type="auto"/>
            <w:hideMark/>
          </w:tcPr>
          <w:p w14:paraId="1C2F2D27"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Interpretation</w:t>
            </w:r>
          </w:p>
        </w:tc>
      </w:tr>
      <w:tr w:rsidR="0041398F" w:rsidRPr="00AB4297" w14:paraId="2CC5DC18"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D033A5E"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18–20 vs. 21–23</w:t>
            </w:r>
          </w:p>
        </w:tc>
        <w:tc>
          <w:tcPr>
            <w:tcW w:w="1258" w:type="dxa"/>
            <w:hideMark/>
          </w:tcPr>
          <w:p w14:paraId="3FE303F0"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0.26</w:t>
            </w:r>
          </w:p>
        </w:tc>
        <w:tc>
          <w:tcPr>
            <w:tcW w:w="1435" w:type="dxa"/>
            <w:hideMark/>
          </w:tcPr>
          <w:p w14:paraId="031AD539"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0.10</w:t>
            </w:r>
          </w:p>
        </w:tc>
        <w:tc>
          <w:tcPr>
            <w:tcW w:w="709" w:type="dxa"/>
            <w:hideMark/>
          </w:tcPr>
          <w:p w14:paraId="3772A6AD"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0.06</w:t>
            </w:r>
          </w:p>
        </w:tc>
        <w:tc>
          <w:tcPr>
            <w:tcW w:w="1595" w:type="dxa"/>
            <w:hideMark/>
          </w:tcPr>
          <w:p w14:paraId="447112D1"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-0.01 to 0.53</w:t>
            </w:r>
          </w:p>
        </w:tc>
        <w:tc>
          <w:tcPr>
            <w:tcW w:w="0" w:type="auto"/>
            <w:hideMark/>
          </w:tcPr>
          <w:p w14:paraId="40EBAFD9"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Has Difference</w:t>
            </w:r>
          </w:p>
        </w:tc>
      </w:tr>
      <w:tr w:rsidR="0041398F" w:rsidRPr="00AB4297" w14:paraId="0C1E8AAA" w14:textId="77777777" w:rsidTr="00982FB8">
        <w:tc>
          <w:tcPr>
            <w:cnfStyle w:val="001000000000" w:firstRow="0" w:lastRow="0" w:firstColumn="1" w:lastColumn="0" w:oddVBand="0" w:evenVBand="0" w:oddHBand="0" w:evenHBand="0" w:firstRowFirstColumn="0" w:firstRowLastColumn="0" w:lastRowFirstColumn="0" w:lastRowLastColumn="0"/>
            <w:tcW w:w="1980" w:type="dxa"/>
            <w:hideMark/>
          </w:tcPr>
          <w:p w14:paraId="3D994A67"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18–20 vs. 24–26</w:t>
            </w:r>
          </w:p>
        </w:tc>
        <w:tc>
          <w:tcPr>
            <w:tcW w:w="1258" w:type="dxa"/>
            <w:hideMark/>
          </w:tcPr>
          <w:p w14:paraId="3CC82869"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0.38</w:t>
            </w:r>
          </w:p>
        </w:tc>
        <w:tc>
          <w:tcPr>
            <w:tcW w:w="1435" w:type="dxa"/>
            <w:hideMark/>
          </w:tcPr>
          <w:p w14:paraId="65C31990"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0.12</w:t>
            </w:r>
          </w:p>
        </w:tc>
        <w:tc>
          <w:tcPr>
            <w:tcW w:w="709" w:type="dxa"/>
            <w:hideMark/>
          </w:tcPr>
          <w:p w14:paraId="08B885DA"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0.02</w:t>
            </w:r>
          </w:p>
        </w:tc>
        <w:tc>
          <w:tcPr>
            <w:tcW w:w="1595" w:type="dxa"/>
            <w:hideMark/>
          </w:tcPr>
          <w:p w14:paraId="29F3BC30"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0.05 to 0.70</w:t>
            </w:r>
          </w:p>
        </w:tc>
        <w:tc>
          <w:tcPr>
            <w:tcW w:w="0" w:type="auto"/>
            <w:hideMark/>
          </w:tcPr>
          <w:p w14:paraId="06873590"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Has Difference</w:t>
            </w:r>
          </w:p>
        </w:tc>
      </w:tr>
      <w:tr w:rsidR="0041398F" w:rsidRPr="00AB4297" w14:paraId="582F9F0D"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0ABA5BD3"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18–20 vs. 27+</w:t>
            </w:r>
          </w:p>
        </w:tc>
        <w:tc>
          <w:tcPr>
            <w:tcW w:w="1258" w:type="dxa"/>
            <w:hideMark/>
          </w:tcPr>
          <w:p w14:paraId="2A616CBE"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0.59</w:t>
            </w:r>
          </w:p>
        </w:tc>
        <w:tc>
          <w:tcPr>
            <w:tcW w:w="1435" w:type="dxa"/>
            <w:hideMark/>
          </w:tcPr>
          <w:p w14:paraId="76958C9D"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0.26</w:t>
            </w:r>
          </w:p>
        </w:tc>
        <w:tc>
          <w:tcPr>
            <w:tcW w:w="709" w:type="dxa"/>
            <w:hideMark/>
          </w:tcPr>
          <w:p w14:paraId="624049D6"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0.10</w:t>
            </w:r>
          </w:p>
        </w:tc>
        <w:tc>
          <w:tcPr>
            <w:tcW w:w="1595" w:type="dxa"/>
            <w:hideMark/>
          </w:tcPr>
          <w:p w14:paraId="575D78AC"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-0.07 to 1.26</w:t>
            </w:r>
          </w:p>
        </w:tc>
        <w:tc>
          <w:tcPr>
            <w:tcW w:w="0" w:type="auto"/>
            <w:hideMark/>
          </w:tcPr>
          <w:p w14:paraId="37EB47D6"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r w:rsidR="0041398F" w:rsidRPr="00AB4297" w14:paraId="657808C6" w14:textId="77777777" w:rsidTr="00982FB8">
        <w:tc>
          <w:tcPr>
            <w:cnfStyle w:val="001000000000" w:firstRow="0" w:lastRow="0" w:firstColumn="1" w:lastColumn="0" w:oddVBand="0" w:evenVBand="0" w:oddHBand="0" w:evenHBand="0" w:firstRowFirstColumn="0" w:firstRowLastColumn="0" w:lastRowFirstColumn="0" w:lastRowLastColumn="0"/>
            <w:tcW w:w="1980" w:type="dxa"/>
            <w:hideMark/>
          </w:tcPr>
          <w:p w14:paraId="35F5AC69"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21–23 vs. 24–26</w:t>
            </w:r>
          </w:p>
        </w:tc>
        <w:tc>
          <w:tcPr>
            <w:tcW w:w="1258" w:type="dxa"/>
            <w:hideMark/>
          </w:tcPr>
          <w:p w14:paraId="2CE40732"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0.11</w:t>
            </w:r>
          </w:p>
        </w:tc>
        <w:tc>
          <w:tcPr>
            <w:tcW w:w="1435" w:type="dxa"/>
            <w:hideMark/>
          </w:tcPr>
          <w:p w14:paraId="42F4D4D7"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0.12</w:t>
            </w:r>
          </w:p>
        </w:tc>
        <w:tc>
          <w:tcPr>
            <w:tcW w:w="709" w:type="dxa"/>
            <w:hideMark/>
          </w:tcPr>
          <w:p w14:paraId="4596277A"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0.79</w:t>
            </w:r>
          </w:p>
        </w:tc>
        <w:tc>
          <w:tcPr>
            <w:tcW w:w="1595" w:type="dxa"/>
            <w:hideMark/>
          </w:tcPr>
          <w:p w14:paraId="2C755853"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-0.21 to 0.44</w:t>
            </w:r>
          </w:p>
        </w:tc>
        <w:tc>
          <w:tcPr>
            <w:tcW w:w="0" w:type="auto"/>
            <w:hideMark/>
          </w:tcPr>
          <w:p w14:paraId="2CCA3C4C"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r w:rsidR="0041398F" w:rsidRPr="00AB4297" w14:paraId="38A65C88" w14:textId="77777777" w:rsidTr="009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48F5739D"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21–23 vs. 27+</w:t>
            </w:r>
          </w:p>
        </w:tc>
        <w:tc>
          <w:tcPr>
            <w:tcW w:w="1258" w:type="dxa"/>
            <w:hideMark/>
          </w:tcPr>
          <w:p w14:paraId="0B612628"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0.33</w:t>
            </w:r>
          </w:p>
        </w:tc>
        <w:tc>
          <w:tcPr>
            <w:tcW w:w="1435" w:type="dxa"/>
            <w:hideMark/>
          </w:tcPr>
          <w:p w14:paraId="29017106"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0.26</w:t>
            </w:r>
          </w:p>
        </w:tc>
        <w:tc>
          <w:tcPr>
            <w:tcW w:w="709" w:type="dxa"/>
            <w:hideMark/>
          </w:tcPr>
          <w:p w14:paraId="3759B844"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0.56</w:t>
            </w:r>
          </w:p>
        </w:tc>
        <w:tc>
          <w:tcPr>
            <w:tcW w:w="1595" w:type="dxa"/>
            <w:hideMark/>
          </w:tcPr>
          <w:p w14:paraId="07FECE51"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-0.33 to 1.00</w:t>
            </w:r>
          </w:p>
        </w:tc>
        <w:tc>
          <w:tcPr>
            <w:tcW w:w="0" w:type="auto"/>
            <w:hideMark/>
          </w:tcPr>
          <w:p w14:paraId="553DA316" w14:textId="77777777" w:rsidR="0041398F" w:rsidRPr="00B87B46" w:rsidRDefault="0041398F"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r w:rsidR="0041398F" w:rsidRPr="00AB4297" w14:paraId="317CD230" w14:textId="77777777" w:rsidTr="00982FB8">
        <w:tc>
          <w:tcPr>
            <w:cnfStyle w:val="001000000000" w:firstRow="0" w:lastRow="0" w:firstColumn="1" w:lastColumn="0" w:oddVBand="0" w:evenVBand="0" w:oddHBand="0" w:evenHBand="0" w:firstRowFirstColumn="0" w:firstRowLastColumn="0" w:lastRowFirstColumn="0" w:lastRowLastColumn="0"/>
            <w:tcW w:w="1980" w:type="dxa"/>
            <w:hideMark/>
          </w:tcPr>
          <w:p w14:paraId="6138A991"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24–26 vs. 27+</w:t>
            </w:r>
          </w:p>
        </w:tc>
        <w:tc>
          <w:tcPr>
            <w:tcW w:w="1258" w:type="dxa"/>
            <w:hideMark/>
          </w:tcPr>
          <w:p w14:paraId="55CE098C"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0.22</w:t>
            </w:r>
          </w:p>
        </w:tc>
        <w:tc>
          <w:tcPr>
            <w:tcW w:w="1435" w:type="dxa"/>
            <w:hideMark/>
          </w:tcPr>
          <w:p w14:paraId="5C5132F3"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0.27</w:t>
            </w:r>
          </w:p>
        </w:tc>
        <w:tc>
          <w:tcPr>
            <w:tcW w:w="709" w:type="dxa"/>
            <w:hideMark/>
          </w:tcPr>
          <w:p w14:paraId="321C6E1E"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0.84</w:t>
            </w:r>
          </w:p>
        </w:tc>
        <w:tc>
          <w:tcPr>
            <w:tcW w:w="1595" w:type="dxa"/>
            <w:hideMark/>
          </w:tcPr>
          <w:p w14:paraId="07B94693"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-0.47 to 0.91</w:t>
            </w:r>
          </w:p>
        </w:tc>
        <w:tc>
          <w:tcPr>
            <w:tcW w:w="0" w:type="auto"/>
            <w:hideMark/>
          </w:tcPr>
          <w:p w14:paraId="69D5286D"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bl>
    <w:p w14:paraId="1D79BB55" w14:textId="77777777" w:rsidR="0041398F" w:rsidRPr="00AB4297" w:rsidRDefault="0041398F" w:rsidP="00441B6F">
      <w:pPr>
        <w:pStyle w:val="Body"/>
        <w:spacing w:after="0"/>
        <w:rPr>
          <w:rFonts w:ascii="Arial" w:hAnsi="Arial" w:cs="Arial"/>
        </w:rPr>
      </w:pPr>
    </w:p>
    <w:p w14:paraId="36A1ACE1" w14:textId="1AED5381" w:rsidR="006A1DE1" w:rsidRDefault="00FC7B79" w:rsidP="00441B6F">
      <w:pPr>
        <w:pStyle w:val="Body"/>
        <w:spacing w:after="0"/>
        <w:rPr>
          <w:rFonts w:ascii="Arial" w:hAnsi="Arial" w:cs="Arial"/>
        </w:rPr>
      </w:pPr>
      <w:r>
        <w:rPr>
          <w:rFonts w:ascii="Arial" w:hAnsi="Arial" w:cs="Arial"/>
        </w:rPr>
        <w:t>Table 17</w:t>
      </w:r>
      <w:r w:rsidR="006A1DE1" w:rsidRPr="006A1DE1">
        <w:rPr>
          <w:rFonts w:ascii="Arial" w:hAnsi="Arial" w:cs="Arial"/>
        </w:rPr>
        <w:t xml:space="preserve"> above reveals that respondents aged 18–20 years significantly differ in their perception of gender discrimination compared to those aged 21–23 (p = .06) and 24–26 (p = .02). Specifically, the younger group appears to perceive higher levels of gender discrimination. However, no significant differences were found between other age groups. </w:t>
      </w:r>
    </w:p>
    <w:p w14:paraId="226B94EB" w14:textId="77777777" w:rsidR="00163523" w:rsidRDefault="00163523" w:rsidP="00441B6F">
      <w:pPr>
        <w:pStyle w:val="Body"/>
        <w:spacing w:after="0"/>
        <w:rPr>
          <w:rFonts w:ascii="Arial" w:hAnsi="Arial" w:cs="Arial"/>
        </w:rPr>
      </w:pPr>
    </w:p>
    <w:p w14:paraId="6320E99F" w14:textId="557A1A89" w:rsidR="006A1DE1" w:rsidRDefault="00163523" w:rsidP="00441B6F">
      <w:pPr>
        <w:pStyle w:val="Body"/>
        <w:spacing w:after="0"/>
        <w:rPr>
          <w:rFonts w:ascii="Arial" w:hAnsi="Arial" w:cs="Arial"/>
        </w:rPr>
      </w:pPr>
      <w:r>
        <w:rPr>
          <w:rFonts w:ascii="Arial" w:hAnsi="Arial" w:cs="Arial"/>
        </w:rPr>
        <w:t>In relation to the results,</w:t>
      </w:r>
      <w:r w:rsidR="006A1DE1" w:rsidRPr="006A1DE1">
        <w:rPr>
          <w:rFonts w:ascii="Arial" w:hAnsi="Arial" w:cs="Arial"/>
        </w:rPr>
        <w:t xml:space="preserve"> Donna (2022)</w:t>
      </w:r>
      <w:r>
        <w:rPr>
          <w:rFonts w:ascii="Arial" w:hAnsi="Arial" w:cs="Arial"/>
        </w:rPr>
        <w:t xml:space="preserve"> indicated that</w:t>
      </w:r>
      <w:r w:rsidR="006A1DE1" w:rsidRPr="006A1DE1">
        <w:rPr>
          <w:rFonts w:ascii="Arial" w:hAnsi="Arial" w:cs="Arial"/>
        </w:rPr>
        <w:t xml:space="preserve"> younger generations such as Gen Z are more socially aware and vocal about inequality issues, including gender-based discrimination. Similarly, Earl et al (2017) found that youth are more likely to engage in gender equality movements and are more attuned to subtle forms of discrimination due to digital activism. On the other hand, older individuals may have been socialized in environments where traditional gender roles were normalized, resulting in less perceived discrimination (Anderson, 2020). </w:t>
      </w:r>
    </w:p>
    <w:p w14:paraId="7279DB26" w14:textId="77777777" w:rsidR="006A1DE1" w:rsidRDefault="006A1DE1" w:rsidP="00441B6F">
      <w:pPr>
        <w:pStyle w:val="Body"/>
        <w:spacing w:after="0"/>
        <w:rPr>
          <w:rFonts w:ascii="Arial" w:hAnsi="Arial" w:cs="Arial"/>
        </w:rPr>
      </w:pPr>
    </w:p>
    <w:p w14:paraId="10038852" w14:textId="77777777" w:rsidR="00163523" w:rsidRDefault="00163523" w:rsidP="00163523">
      <w:pPr>
        <w:pStyle w:val="Body"/>
        <w:spacing w:after="0"/>
        <w:rPr>
          <w:rFonts w:ascii="Arial" w:hAnsi="Arial" w:cs="Arial"/>
        </w:rPr>
      </w:pPr>
      <w:r w:rsidRPr="006A1DE1">
        <w:rPr>
          <w:rFonts w:ascii="Arial" w:hAnsi="Arial" w:cs="Arial"/>
        </w:rPr>
        <w:lastRenderedPageBreak/>
        <w:t xml:space="preserve">As shown in Table </w:t>
      </w:r>
      <w:r>
        <w:rPr>
          <w:rFonts w:ascii="Arial" w:hAnsi="Arial" w:cs="Arial"/>
        </w:rPr>
        <w:t>18</w:t>
      </w:r>
      <w:r w:rsidRPr="006A1DE1">
        <w:rPr>
          <w:rFonts w:ascii="Arial" w:hAnsi="Arial" w:cs="Arial"/>
        </w:rPr>
        <w:t xml:space="preserve">, the ANOVA results indicate that there is no significant difference in the perception of gender discrimination when respondents are grouped according to gender (f= 0.188, p=.829). This statistical outcome suggests that individuals, regardless of whether they identify as male, female, or another gender, report similar experiences or perceptions of gender-based discrimination within their environment. </w:t>
      </w:r>
    </w:p>
    <w:p w14:paraId="5793F4CE" w14:textId="77777777" w:rsidR="00163523" w:rsidRDefault="00163523" w:rsidP="00441B6F">
      <w:pPr>
        <w:pStyle w:val="Body"/>
        <w:spacing w:after="0"/>
        <w:rPr>
          <w:rFonts w:ascii="Arial" w:hAnsi="Arial" w:cs="Arial"/>
        </w:rPr>
      </w:pPr>
    </w:p>
    <w:p w14:paraId="442B6EFA" w14:textId="3A5980F1" w:rsidR="00CD743D" w:rsidRPr="00B87B46" w:rsidRDefault="00CD743D" w:rsidP="00CD743D">
      <w:pPr>
        <w:contextualSpacing/>
        <w:rPr>
          <w:rFonts w:ascii="Arial" w:hAnsi="Arial" w:cs="Arial"/>
          <w:color w:val="000000" w:themeColor="text1"/>
        </w:rPr>
      </w:pPr>
      <w:r w:rsidRPr="00B87B46">
        <w:rPr>
          <w:rFonts w:ascii="Arial" w:hAnsi="Arial" w:cs="Arial"/>
          <w:color w:val="000000" w:themeColor="text1"/>
        </w:rPr>
        <w:t>Table 1</w:t>
      </w:r>
      <w:r w:rsidR="00AB4297" w:rsidRPr="00B87B46">
        <w:rPr>
          <w:rFonts w:ascii="Arial" w:hAnsi="Arial" w:cs="Arial"/>
          <w:color w:val="000000" w:themeColor="text1"/>
        </w:rPr>
        <w:t>8</w:t>
      </w:r>
      <w:r w:rsidRPr="00B87B46">
        <w:rPr>
          <w:rFonts w:ascii="Arial" w:hAnsi="Arial" w:cs="Arial"/>
          <w:color w:val="000000" w:themeColor="text1"/>
        </w:rPr>
        <w:t>. Significant difference in the level of gender discrimination when grouped according to gender</w:t>
      </w:r>
    </w:p>
    <w:tbl>
      <w:tblPr>
        <w:tblStyle w:val="PlainTable2"/>
        <w:tblW w:w="8177" w:type="dxa"/>
        <w:tblLook w:val="04A0" w:firstRow="1" w:lastRow="0" w:firstColumn="1" w:lastColumn="0" w:noHBand="0" w:noVBand="1"/>
      </w:tblPr>
      <w:tblGrid>
        <w:gridCol w:w="2058"/>
        <w:gridCol w:w="2098"/>
        <w:gridCol w:w="663"/>
        <w:gridCol w:w="1762"/>
        <w:gridCol w:w="865"/>
        <w:gridCol w:w="731"/>
      </w:tblGrid>
      <w:tr w:rsidR="00CD743D" w:rsidRPr="00AB4297" w14:paraId="33E8565F" w14:textId="77777777" w:rsidTr="0016352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514D46F5" w14:textId="77777777" w:rsidR="00CD743D" w:rsidRPr="00B87B46" w:rsidRDefault="00CD743D" w:rsidP="00BE6EE4">
            <w:pPr>
              <w:contextualSpacing/>
              <w:rPr>
                <w:rFonts w:ascii="Arial" w:hAnsi="Arial" w:cs="Arial"/>
                <w:b w:val="0"/>
                <w:color w:val="000000" w:themeColor="text1"/>
              </w:rPr>
            </w:pPr>
            <w:r w:rsidRPr="00B87B46">
              <w:rPr>
                <w:rFonts w:ascii="Arial" w:hAnsi="Arial" w:cs="Arial"/>
                <w:color w:val="000000" w:themeColor="text1"/>
              </w:rPr>
              <w:t>Source</w:t>
            </w:r>
          </w:p>
        </w:tc>
        <w:tc>
          <w:tcPr>
            <w:tcW w:w="0" w:type="auto"/>
            <w:hideMark/>
          </w:tcPr>
          <w:p w14:paraId="1CA8128D"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Sum of Squares</w:t>
            </w:r>
          </w:p>
        </w:tc>
        <w:tc>
          <w:tcPr>
            <w:tcW w:w="0" w:type="auto"/>
            <w:hideMark/>
          </w:tcPr>
          <w:p w14:paraId="76DC7420"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df</w:t>
            </w:r>
          </w:p>
        </w:tc>
        <w:tc>
          <w:tcPr>
            <w:tcW w:w="0" w:type="auto"/>
            <w:hideMark/>
          </w:tcPr>
          <w:p w14:paraId="025FE5B7"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Square</w:t>
            </w:r>
          </w:p>
        </w:tc>
        <w:tc>
          <w:tcPr>
            <w:tcW w:w="0" w:type="auto"/>
            <w:hideMark/>
          </w:tcPr>
          <w:p w14:paraId="33FC5B26"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F</w:t>
            </w:r>
          </w:p>
        </w:tc>
        <w:tc>
          <w:tcPr>
            <w:tcW w:w="0" w:type="auto"/>
            <w:hideMark/>
          </w:tcPr>
          <w:p w14:paraId="73418716"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r>
      <w:tr w:rsidR="00CD743D" w:rsidRPr="00AB4297" w14:paraId="2F0FBD30" w14:textId="77777777" w:rsidTr="001635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hideMark/>
          </w:tcPr>
          <w:p w14:paraId="73464C41" w14:textId="77777777" w:rsidR="00CD743D" w:rsidRPr="00B87B46" w:rsidRDefault="00CD743D" w:rsidP="00BE6EE4">
            <w:pPr>
              <w:contextualSpacing/>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6AE86055"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0.259</w:t>
            </w:r>
          </w:p>
        </w:tc>
        <w:tc>
          <w:tcPr>
            <w:tcW w:w="0" w:type="auto"/>
            <w:hideMark/>
          </w:tcPr>
          <w:p w14:paraId="6FC48D7E"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w:t>
            </w:r>
          </w:p>
        </w:tc>
        <w:tc>
          <w:tcPr>
            <w:tcW w:w="0" w:type="auto"/>
            <w:hideMark/>
          </w:tcPr>
          <w:p w14:paraId="62751B46"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0.130</w:t>
            </w:r>
          </w:p>
        </w:tc>
        <w:tc>
          <w:tcPr>
            <w:tcW w:w="0" w:type="auto"/>
            <w:hideMark/>
          </w:tcPr>
          <w:p w14:paraId="41A43A0D"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0.188</w:t>
            </w:r>
          </w:p>
        </w:tc>
        <w:tc>
          <w:tcPr>
            <w:tcW w:w="0" w:type="auto"/>
            <w:hideMark/>
          </w:tcPr>
          <w:p w14:paraId="5453D498"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.829</w:t>
            </w:r>
          </w:p>
        </w:tc>
      </w:tr>
      <w:tr w:rsidR="00CD743D" w:rsidRPr="00AB4297" w14:paraId="68F87A5B" w14:textId="77777777" w:rsidTr="00163523">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09D9987B" w14:textId="77777777" w:rsidR="00CD743D" w:rsidRPr="00B87B46" w:rsidRDefault="00CD743D" w:rsidP="00BE6EE4">
            <w:pPr>
              <w:contextualSpacing/>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7BBB6971"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219.302</w:t>
            </w:r>
          </w:p>
        </w:tc>
        <w:tc>
          <w:tcPr>
            <w:tcW w:w="0" w:type="auto"/>
            <w:hideMark/>
          </w:tcPr>
          <w:p w14:paraId="5FC90E2F"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318</w:t>
            </w:r>
          </w:p>
        </w:tc>
        <w:tc>
          <w:tcPr>
            <w:tcW w:w="0" w:type="auto"/>
            <w:hideMark/>
          </w:tcPr>
          <w:p w14:paraId="3F31FDE9"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0.690</w:t>
            </w:r>
          </w:p>
        </w:tc>
        <w:tc>
          <w:tcPr>
            <w:tcW w:w="0" w:type="auto"/>
            <w:hideMark/>
          </w:tcPr>
          <w:p w14:paraId="7BE6AF81"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5BE7DC3A"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CD743D" w:rsidRPr="00AB4297" w14:paraId="6554E7FB" w14:textId="77777777" w:rsidTr="001635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1F7AD45F" w14:textId="77777777" w:rsidR="00CD743D" w:rsidRPr="00B87B46" w:rsidRDefault="00CD743D" w:rsidP="00BE6EE4">
            <w:pPr>
              <w:contextualSpacing/>
              <w:rPr>
                <w:rFonts w:ascii="Arial" w:hAnsi="Arial" w:cs="Arial"/>
                <w:color w:val="000000" w:themeColor="text1"/>
              </w:rPr>
            </w:pPr>
            <w:r w:rsidRPr="00B87B46">
              <w:rPr>
                <w:rFonts w:ascii="Arial" w:hAnsi="Arial" w:cs="Arial"/>
                <w:color w:val="000000" w:themeColor="text1"/>
              </w:rPr>
              <w:t>Total</w:t>
            </w:r>
          </w:p>
        </w:tc>
        <w:tc>
          <w:tcPr>
            <w:tcW w:w="0" w:type="auto"/>
            <w:hideMark/>
          </w:tcPr>
          <w:p w14:paraId="4631F5C9"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219.561</w:t>
            </w:r>
          </w:p>
        </w:tc>
        <w:tc>
          <w:tcPr>
            <w:tcW w:w="0" w:type="auto"/>
            <w:hideMark/>
          </w:tcPr>
          <w:p w14:paraId="05AEFF7B"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258BD4E5"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00732C6A"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5D7B7C1A" w14:textId="77777777" w:rsidR="00CD743D" w:rsidRPr="00B87B46" w:rsidRDefault="00CD743D"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68364116" w14:textId="77777777" w:rsidR="00CD743D" w:rsidRPr="00AB4297" w:rsidRDefault="00CD743D" w:rsidP="00441B6F">
      <w:pPr>
        <w:pStyle w:val="Body"/>
        <w:spacing w:after="0"/>
        <w:rPr>
          <w:rFonts w:ascii="Arial" w:hAnsi="Arial" w:cs="Arial"/>
        </w:rPr>
      </w:pPr>
    </w:p>
    <w:p w14:paraId="67FF0105" w14:textId="1721ACA6" w:rsidR="006A1DE1" w:rsidRDefault="00821919" w:rsidP="00441B6F">
      <w:pPr>
        <w:pStyle w:val="Body"/>
        <w:spacing w:after="0"/>
        <w:rPr>
          <w:rFonts w:ascii="Arial" w:hAnsi="Arial" w:cs="Arial"/>
        </w:rPr>
      </w:pPr>
      <w:r w:rsidRPr="00821919">
        <w:rPr>
          <w:rFonts w:ascii="Arial" w:hAnsi="Arial" w:cs="Arial"/>
        </w:rPr>
        <w:t xml:space="preserve">In line with the results, </w:t>
      </w:r>
      <w:r w:rsidR="006F0F75">
        <w:rPr>
          <w:rFonts w:ascii="Arial" w:hAnsi="Arial" w:cs="Arial"/>
        </w:rPr>
        <w:t>r</w:t>
      </w:r>
      <w:r w:rsidR="009E4AA7" w:rsidRPr="009E4AA7">
        <w:rPr>
          <w:rFonts w:ascii="Arial" w:hAnsi="Arial" w:cs="Arial"/>
        </w:rPr>
        <w:t>esearch shows that in environments with institutionalized gender equity initiatives, perceptions of discrimination tend to converge (</w:t>
      </w:r>
      <w:proofErr w:type="spellStart"/>
      <w:r w:rsidR="009E4AA7" w:rsidRPr="009E4AA7">
        <w:rPr>
          <w:rFonts w:ascii="Arial" w:hAnsi="Arial" w:cs="Arial"/>
        </w:rPr>
        <w:t>Kossek</w:t>
      </w:r>
      <w:proofErr w:type="spellEnd"/>
      <w:r w:rsidR="009E4AA7" w:rsidRPr="009E4AA7">
        <w:rPr>
          <w:rFonts w:ascii="Arial" w:hAnsi="Arial" w:cs="Arial"/>
        </w:rPr>
        <w:t xml:space="preserve"> et al., 2017). Studies also indicate that in academic settings promoting fairness and open dialogue, both men and women often report comparable levels of perceived bias, suggesting a collective recognition of discrimination rather than its absence (García-González et al., 2019; Thompson, 2020). Thus, the lack of significant differences in perception does not mean discrimination is absent, but that it is similarly recognized across gender groups.</w:t>
      </w:r>
    </w:p>
    <w:p w14:paraId="1E01EB39" w14:textId="77777777" w:rsidR="0026309A" w:rsidRDefault="0026309A" w:rsidP="0026309A">
      <w:pPr>
        <w:contextualSpacing/>
        <w:jc w:val="both"/>
        <w:rPr>
          <w:rFonts w:ascii="Arial" w:hAnsi="Arial" w:cs="Arial"/>
          <w:color w:val="000000" w:themeColor="text1"/>
          <w:sz w:val="22"/>
        </w:rPr>
      </w:pPr>
    </w:p>
    <w:p w14:paraId="05C30864" w14:textId="77777777" w:rsidR="006242DB" w:rsidRPr="00B87B46" w:rsidRDefault="006242DB">
      <w:pPr>
        <w:pStyle w:val="Body"/>
        <w:spacing w:after="0"/>
        <w:rPr>
          <w:rFonts w:ascii="Arial" w:hAnsi="Arial" w:cs="Arial"/>
        </w:rPr>
      </w:pPr>
      <w:r>
        <w:rPr>
          <w:rFonts w:ascii="Arial" w:hAnsi="Arial" w:cs="Arial"/>
        </w:rPr>
        <w:t xml:space="preserve">Table 19 </w:t>
      </w:r>
      <w:r w:rsidRPr="00B87B46">
        <w:rPr>
          <w:rFonts w:ascii="Arial" w:hAnsi="Arial" w:cs="Arial"/>
        </w:rPr>
        <w:t>indicate a significant difference in perceptions of gender discrimination when grouped according to year level: (f= 3.017, p= .030). This suggests that a respondent’s academic standing affects their views on gender discrimination. The post hoc results identify which year levels contributed to this finding.</w:t>
      </w:r>
    </w:p>
    <w:p w14:paraId="7952B49E" w14:textId="77777777" w:rsidR="000868C3" w:rsidRPr="00B87B46" w:rsidRDefault="000868C3" w:rsidP="0026309A">
      <w:pPr>
        <w:contextualSpacing/>
        <w:jc w:val="both"/>
        <w:rPr>
          <w:rFonts w:ascii="Arial" w:hAnsi="Arial" w:cs="Arial"/>
          <w:color w:val="000000" w:themeColor="text1"/>
          <w:sz w:val="22"/>
        </w:rPr>
      </w:pPr>
    </w:p>
    <w:p w14:paraId="29A29FFF" w14:textId="71EB59A5" w:rsidR="0026309A" w:rsidRPr="00B87B46" w:rsidRDefault="0026309A" w:rsidP="009E4AA7">
      <w:pPr>
        <w:contextualSpacing/>
        <w:jc w:val="both"/>
        <w:rPr>
          <w:rFonts w:ascii="Arial" w:hAnsi="Arial" w:cs="Arial"/>
          <w:color w:val="000000" w:themeColor="text1"/>
        </w:rPr>
      </w:pPr>
      <w:r w:rsidRPr="00B87B46">
        <w:rPr>
          <w:rFonts w:ascii="Arial" w:hAnsi="Arial" w:cs="Arial"/>
          <w:color w:val="000000" w:themeColor="text1"/>
        </w:rPr>
        <w:t xml:space="preserve">Table </w:t>
      </w:r>
      <w:r w:rsidR="00AB4297" w:rsidRPr="00B87B46">
        <w:rPr>
          <w:rFonts w:ascii="Arial" w:hAnsi="Arial" w:cs="Arial"/>
          <w:color w:val="000000" w:themeColor="text1"/>
        </w:rPr>
        <w:t>19</w:t>
      </w:r>
      <w:r w:rsidRPr="00B87B46">
        <w:rPr>
          <w:rFonts w:ascii="Arial" w:hAnsi="Arial" w:cs="Arial"/>
          <w:color w:val="000000" w:themeColor="text1"/>
        </w:rPr>
        <w:t>. Significant difference in the level of gender discrimination when grouped according to year level</w:t>
      </w:r>
    </w:p>
    <w:tbl>
      <w:tblPr>
        <w:tblStyle w:val="PlainTable2"/>
        <w:tblW w:w="8185" w:type="dxa"/>
        <w:tblLook w:val="04A0" w:firstRow="1" w:lastRow="0" w:firstColumn="1" w:lastColumn="0" w:noHBand="0" w:noVBand="1"/>
      </w:tblPr>
      <w:tblGrid>
        <w:gridCol w:w="2059"/>
        <w:gridCol w:w="2100"/>
        <w:gridCol w:w="664"/>
        <w:gridCol w:w="1764"/>
        <w:gridCol w:w="866"/>
        <w:gridCol w:w="732"/>
      </w:tblGrid>
      <w:tr w:rsidR="0026309A" w:rsidRPr="00AB4297" w14:paraId="52E82273" w14:textId="77777777" w:rsidTr="009E4AA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5EE0D4F9" w14:textId="77777777" w:rsidR="0026309A" w:rsidRPr="00B87B46" w:rsidRDefault="0026309A" w:rsidP="00BE6EE4">
            <w:pPr>
              <w:contextualSpacing/>
              <w:rPr>
                <w:rFonts w:ascii="Arial" w:hAnsi="Arial" w:cs="Arial"/>
                <w:b w:val="0"/>
                <w:color w:val="000000" w:themeColor="text1"/>
              </w:rPr>
            </w:pPr>
            <w:r w:rsidRPr="00B87B46">
              <w:rPr>
                <w:rFonts w:ascii="Arial" w:hAnsi="Arial" w:cs="Arial"/>
                <w:color w:val="000000" w:themeColor="text1"/>
              </w:rPr>
              <w:t>Source</w:t>
            </w:r>
          </w:p>
        </w:tc>
        <w:tc>
          <w:tcPr>
            <w:tcW w:w="0" w:type="auto"/>
            <w:hideMark/>
          </w:tcPr>
          <w:p w14:paraId="72573E67"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Sum of Squares</w:t>
            </w:r>
          </w:p>
        </w:tc>
        <w:tc>
          <w:tcPr>
            <w:tcW w:w="0" w:type="auto"/>
            <w:hideMark/>
          </w:tcPr>
          <w:p w14:paraId="1801EF7B"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df</w:t>
            </w:r>
          </w:p>
        </w:tc>
        <w:tc>
          <w:tcPr>
            <w:tcW w:w="0" w:type="auto"/>
            <w:hideMark/>
          </w:tcPr>
          <w:p w14:paraId="1D4CF11E"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Square</w:t>
            </w:r>
          </w:p>
        </w:tc>
        <w:tc>
          <w:tcPr>
            <w:tcW w:w="0" w:type="auto"/>
            <w:hideMark/>
          </w:tcPr>
          <w:p w14:paraId="2BCABE8D"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F</w:t>
            </w:r>
          </w:p>
        </w:tc>
        <w:tc>
          <w:tcPr>
            <w:tcW w:w="0" w:type="auto"/>
            <w:hideMark/>
          </w:tcPr>
          <w:p w14:paraId="1BFCF8F9"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r>
      <w:tr w:rsidR="0026309A" w:rsidRPr="00AB4297" w14:paraId="086CFD53" w14:textId="77777777" w:rsidTr="009E4AA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2E7E863F" w14:textId="77777777" w:rsidR="0026309A" w:rsidRPr="00B87B46" w:rsidRDefault="0026309A" w:rsidP="00BE6EE4">
            <w:pPr>
              <w:contextualSpacing/>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46F0EB04"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6.095</w:t>
            </w:r>
          </w:p>
        </w:tc>
        <w:tc>
          <w:tcPr>
            <w:tcW w:w="0" w:type="auto"/>
            <w:hideMark/>
          </w:tcPr>
          <w:p w14:paraId="2374C0E9"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w:t>
            </w:r>
          </w:p>
        </w:tc>
        <w:tc>
          <w:tcPr>
            <w:tcW w:w="0" w:type="auto"/>
            <w:hideMark/>
          </w:tcPr>
          <w:p w14:paraId="511976EC"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2.032</w:t>
            </w:r>
          </w:p>
        </w:tc>
        <w:tc>
          <w:tcPr>
            <w:tcW w:w="0" w:type="auto"/>
            <w:hideMark/>
          </w:tcPr>
          <w:p w14:paraId="58F41220"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3.017</w:t>
            </w:r>
          </w:p>
        </w:tc>
        <w:tc>
          <w:tcPr>
            <w:tcW w:w="0" w:type="auto"/>
            <w:hideMark/>
          </w:tcPr>
          <w:p w14:paraId="26684006"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.030</w:t>
            </w:r>
          </w:p>
        </w:tc>
      </w:tr>
      <w:tr w:rsidR="0026309A" w:rsidRPr="00AB4297" w14:paraId="5D74D179" w14:textId="77777777" w:rsidTr="009E4AA7">
        <w:trPr>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583F1625" w14:textId="77777777" w:rsidR="0026309A" w:rsidRPr="00B87B46" w:rsidRDefault="0026309A" w:rsidP="00BE6EE4">
            <w:pPr>
              <w:contextualSpacing/>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07415DBD"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213.466</w:t>
            </w:r>
          </w:p>
        </w:tc>
        <w:tc>
          <w:tcPr>
            <w:tcW w:w="0" w:type="auto"/>
            <w:hideMark/>
          </w:tcPr>
          <w:p w14:paraId="71B5DC65"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317</w:t>
            </w:r>
          </w:p>
        </w:tc>
        <w:tc>
          <w:tcPr>
            <w:tcW w:w="0" w:type="auto"/>
            <w:hideMark/>
          </w:tcPr>
          <w:p w14:paraId="68D50C7E"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0.673</w:t>
            </w:r>
          </w:p>
        </w:tc>
        <w:tc>
          <w:tcPr>
            <w:tcW w:w="0" w:type="auto"/>
            <w:hideMark/>
          </w:tcPr>
          <w:p w14:paraId="504D3D13"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3E2CF30B"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6309A" w:rsidRPr="00AB4297" w14:paraId="6192720A" w14:textId="77777777" w:rsidTr="009E4AA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6594FF0C" w14:textId="77777777" w:rsidR="0026309A" w:rsidRPr="00B87B46" w:rsidRDefault="0026309A" w:rsidP="00BE6EE4">
            <w:pPr>
              <w:contextualSpacing/>
              <w:rPr>
                <w:rFonts w:ascii="Arial" w:hAnsi="Arial" w:cs="Arial"/>
                <w:color w:val="000000" w:themeColor="text1"/>
              </w:rPr>
            </w:pPr>
            <w:r w:rsidRPr="00B87B46">
              <w:rPr>
                <w:rFonts w:ascii="Arial" w:hAnsi="Arial" w:cs="Arial"/>
                <w:color w:val="000000" w:themeColor="text1"/>
              </w:rPr>
              <w:t>Total</w:t>
            </w:r>
          </w:p>
        </w:tc>
        <w:tc>
          <w:tcPr>
            <w:tcW w:w="0" w:type="auto"/>
            <w:hideMark/>
          </w:tcPr>
          <w:p w14:paraId="20096560"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219.561</w:t>
            </w:r>
          </w:p>
        </w:tc>
        <w:tc>
          <w:tcPr>
            <w:tcW w:w="0" w:type="auto"/>
            <w:hideMark/>
          </w:tcPr>
          <w:p w14:paraId="2382CA93"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6BA233CE"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48AA4DD6"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4878E914" w14:textId="77777777" w:rsidR="0026309A" w:rsidRPr="00B87B46" w:rsidRDefault="0026309A" w:rsidP="00BE6EE4">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00CDE7AD" w14:textId="77777777" w:rsidR="006F0F75" w:rsidRDefault="006F0F75" w:rsidP="00441B6F">
      <w:pPr>
        <w:pStyle w:val="Body"/>
        <w:spacing w:after="0"/>
        <w:rPr>
          <w:rFonts w:ascii="Arial" w:hAnsi="Arial" w:cs="Arial"/>
        </w:rPr>
      </w:pPr>
    </w:p>
    <w:p w14:paraId="01438875" w14:textId="7A435597" w:rsidR="00BD2797" w:rsidRPr="00B87B46" w:rsidRDefault="00BD2797" w:rsidP="00BD2797">
      <w:pPr>
        <w:contextualSpacing/>
        <w:jc w:val="both"/>
        <w:rPr>
          <w:rFonts w:ascii="Arial" w:hAnsi="Arial" w:cs="Arial"/>
          <w:color w:val="000000" w:themeColor="text1"/>
        </w:rPr>
      </w:pPr>
      <w:r w:rsidRPr="00B87B46">
        <w:rPr>
          <w:rFonts w:ascii="Arial" w:hAnsi="Arial" w:cs="Arial"/>
          <w:color w:val="000000" w:themeColor="text1"/>
        </w:rPr>
        <w:t>Table 2</w:t>
      </w:r>
      <w:r w:rsidR="00AB4297" w:rsidRPr="00B87B46">
        <w:rPr>
          <w:rFonts w:ascii="Arial" w:hAnsi="Arial" w:cs="Arial"/>
          <w:color w:val="000000" w:themeColor="text1"/>
        </w:rPr>
        <w:t>0</w:t>
      </w:r>
      <w:r w:rsidRPr="00B87B46">
        <w:rPr>
          <w:rFonts w:ascii="Arial" w:hAnsi="Arial" w:cs="Arial"/>
          <w:color w:val="000000" w:themeColor="text1"/>
        </w:rPr>
        <w:t>. Post hoc test: significant difference in the level of gender discrimination by year level</w:t>
      </w:r>
    </w:p>
    <w:tbl>
      <w:tblPr>
        <w:tblStyle w:val="PlainTable2"/>
        <w:tblW w:w="8198" w:type="dxa"/>
        <w:tblLayout w:type="fixed"/>
        <w:tblLook w:val="04A0" w:firstRow="1" w:lastRow="0" w:firstColumn="1" w:lastColumn="0" w:noHBand="0" w:noVBand="1"/>
      </w:tblPr>
      <w:tblGrid>
        <w:gridCol w:w="1339"/>
        <w:gridCol w:w="1147"/>
        <w:gridCol w:w="1270"/>
        <w:gridCol w:w="701"/>
        <w:gridCol w:w="623"/>
        <w:gridCol w:w="779"/>
        <w:gridCol w:w="858"/>
        <w:gridCol w:w="1481"/>
      </w:tblGrid>
      <w:tr w:rsidR="00BD2797" w:rsidRPr="00B87B46" w14:paraId="51B691F4" w14:textId="77777777" w:rsidTr="006F0F75">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486" w:type="dxa"/>
            <w:gridSpan w:val="2"/>
            <w:vMerge w:val="restart"/>
            <w:hideMark/>
          </w:tcPr>
          <w:p w14:paraId="16D6A1A9" w14:textId="77777777" w:rsidR="00BD2797" w:rsidRPr="00BE6EE4" w:rsidRDefault="00BD2797" w:rsidP="00BE6EE4">
            <w:pPr>
              <w:rPr>
                <w:rFonts w:ascii="Arial" w:hAnsi="Arial" w:cs="Arial"/>
                <w:color w:val="000000" w:themeColor="text1"/>
                <w:lang w:eastAsia="en-PH"/>
              </w:rPr>
            </w:pPr>
            <w:r w:rsidRPr="00BE6EE4">
              <w:rPr>
                <w:rFonts w:ascii="Arial" w:hAnsi="Arial" w:cs="Arial"/>
                <w:color w:val="000000" w:themeColor="text1"/>
                <w:lang w:eastAsia="en-PH"/>
              </w:rPr>
              <w:t>Year Levels Being Compared</w:t>
            </w:r>
          </w:p>
        </w:tc>
        <w:tc>
          <w:tcPr>
            <w:tcW w:w="1270" w:type="dxa"/>
            <w:vMerge w:val="restart"/>
            <w:hideMark/>
          </w:tcPr>
          <w:p w14:paraId="430489DE" w14:textId="77777777" w:rsidR="00BD2797" w:rsidRPr="00BE6EE4"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Mean Difference</w:t>
            </w:r>
          </w:p>
        </w:tc>
        <w:tc>
          <w:tcPr>
            <w:tcW w:w="701" w:type="dxa"/>
            <w:vMerge w:val="restart"/>
            <w:hideMark/>
          </w:tcPr>
          <w:p w14:paraId="2029D4D7" w14:textId="77777777" w:rsidR="00BD2797" w:rsidRPr="00BE6EE4"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Std. Error</w:t>
            </w:r>
          </w:p>
        </w:tc>
        <w:tc>
          <w:tcPr>
            <w:tcW w:w="623" w:type="dxa"/>
            <w:vMerge w:val="restart"/>
            <w:hideMark/>
          </w:tcPr>
          <w:p w14:paraId="7FD70D53" w14:textId="77777777" w:rsidR="00BD2797" w:rsidRPr="00BE6EE4"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Sig.</w:t>
            </w:r>
          </w:p>
        </w:tc>
        <w:tc>
          <w:tcPr>
            <w:tcW w:w="1637" w:type="dxa"/>
            <w:gridSpan w:val="2"/>
            <w:hideMark/>
          </w:tcPr>
          <w:p w14:paraId="78272575" w14:textId="77777777" w:rsidR="00BD2797" w:rsidRPr="00BE6EE4"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95% Confidence Interval</w:t>
            </w:r>
          </w:p>
        </w:tc>
        <w:tc>
          <w:tcPr>
            <w:tcW w:w="1481" w:type="dxa"/>
            <w:vMerge w:val="restart"/>
            <w:noWrap/>
            <w:hideMark/>
          </w:tcPr>
          <w:p w14:paraId="10D4E089" w14:textId="77777777" w:rsidR="00BD2797" w:rsidRPr="00BE6EE4"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Interpretation</w:t>
            </w:r>
          </w:p>
        </w:tc>
      </w:tr>
      <w:tr w:rsidR="00BD2797" w:rsidRPr="00B87B46" w14:paraId="31C7401E" w14:textId="77777777" w:rsidTr="006F0F7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6" w:type="dxa"/>
            <w:gridSpan w:val="2"/>
            <w:vMerge/>
            <w:hideMark/>
          </w:tcPr>
          <w:p w14:paraId="640A2198" w14:textId="77777777" w:rsidR="00BD2797" w:rsidRPr="00BE6EE4" w:rsidRDefault="00BD2797" w:rsidP="00BE6EE4">
            <w:pPr>
              <w:rPr>
                <w:rFonts w:ascii="Arial" w:hAnsi="Arial" w:cs="Arial"/>
                <w:color w:val="000000" w:themeColor="text1"/>
                <w:lang w:eastAsia="en-PH"/>
              </w:rPr>
            </w:pPr>
          </w:p>
        </w:tc>
        <w:tc>
          <w:tcPr>
            <w:tcW w:w="1270" w:type="dxa"/>
            <w:vMerge/>
            <w:hideMark/>
          </w:tcPr>
          <w:p w14:paraId="73B7A9E5"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c>
          <w:tcPr>
            <w:tcW w:w="701" w:type="dxa"/>
            <w:vMerge/>
            <w:hideMark/>
          </w:tcPr>
          <w:p w14:paraId="67FDA2AF"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c>
          <w:tcPr>
            <w:tcW w:w="623" w:type="dxa"/>
            <w:vMerge/>
            <w:hideMark/>
          </w:tcPr>
          <w:p w14:paraId="08571461"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c>
          <w:tcPr>
            <w:tcW w:w="779" w:type="dxa"/>
            <w:hideMark/>
          </w:tcPr>
          <w:p w14:paraId="0FB589EF"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Lower Bound</w:t>
            </w:r>
          </w:p>
        </w:tc>
        <w:tc>
          <w:tcPr>
            <w:tcW w:w="858" w:type="dxa"/>
            <w:hideMark/>
          </w:tcPr>
          <w:p w14:paraId="42794E3F"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Upper Bound</w:t>
            </w:r>
          </w:p>
        </w:tc>
        <w:tc>
          <w:tcPr>
            <w:tcW w:w="1481" w:type="dxa"/>
            <w:vMerge/>
            <w:hideMark/>
          </w:tcPr>
          <w:p w14:paraId="42BB981C"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r>
      <w:tr w:rsidR="00BD2797" w:rsidRPr="00B87B46" w14:paraId="120BF7AC" w14:textId="77777777" w:rsidTr="006F0F75">
        <w:trPr>
          <w:trHeight w:val="238"/>
        </w:trPr>
        <w:tc>
          <w:tcPr>
            <w:cnfStyle w:val="001000000000" w:firstRow="0" w:lastRow="0" w:firstColumn="1" w:lastColumn="0" w:oddVBand="0" w:evenVBand="0" w:oddHBand="0" w:evenHBand="0" w:firstRowFirstColumn="0" w:firstRowLastColumn="0" w:lastRowFirstColumn="0" w:lastRowLastColumn="0"/>
            <w:tcW w:w="1339" w:type="dxa"/>
            <w:vMerge w:val="restart"/>
            <w:hideMark/>
          </w:tcPr>
          <w:p w14:paraId="43F37F7D" w14:textId="77777777" w:rsidR="00BD2797" w:rsidRPr="00BE6EE4" w:rsidRDefault="00BD2797" w:rsidP="00BE6EE4">
            <w:pPr>
              <w:rPr>
                <w:rFonts w:ascii="Arial" w:hAnsi="Arial" w:cs="Arial"/>
                <w:b w:val="0"/>
                <w:bCs w:val="0"/>
                <w:color w:val="000000" w:themeColor="text1"/>
                <w:lang w:eastAsia="en-PH"/>
              </w:rPr>
            </w:pPr>
            <w:r w:rsidRPr="00BE6EE4">
              <w:rPr>
                <w:rFonts w:ascii="Arial" w:hAnsi="Arial" w:cs="Arial"/>
                <w:b w:val="0"/>
                <w:bCs w:val="0"/>
                <w:color w:val="000000" w:themeColor="text1"/>
                <w:lang w:eastAsia="en-PH"/>
              </w:rPr>
              <w:t>First Year</w:t>
            </w:r>
          </w:p>
        </w:tc>
        <w:tc>
          <w:tcPr>
            <w:tcW w:w="1147" w:type="dxa"/>
            <w:hideMark/>
          </w:tcPr>
          <w:p w14:paraId="6F6EA7EA"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Second Year</w:t>
            </w:r>
          </w:p>
        </w:tc>
        <w:tc>
          <w:tcPr>
            <w:tcW w:w="1270" w:type="dxa"/>
            <w:noWrap/>
            <w:hideMark/>
          </w:tcPr>
          <w:p w14:paraId="032C9D1E"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-0.22</w:t>
            </w:r>
          </w:p>
        </w:tc>
        <w:tc>
          <w:tcPr>
            <w:tcW w:w="701" w:type="dxa"/>
            <w:noWrap/>
            <w:hideMark/>
          </w:tcPr>
          <w:p w14:paraId="61944AF5"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623" w:type="dxa"/>
            <w:noWrap/>
            <w:hideMark/>
          </w:tcPr>
          <w:p w14:paraId="110C88A7"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0.35</w:t>
            </w:r>
          </w:p>
        </w:tc>
        <w:tc>
          <w:tcPr>
            <w:tcW w:w="779" w:type="dxa"/>
            <w:noWrap/>
            <w:hideMark/>
          </w:tcPr>
          <w:p w14:paraId="28E32B83"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-0.55</w:t>
            </w:r>
          </w:p>
        </w:tc>
        <w:tc>
          <w:tcPr>
            <w:tcW w:w="858" w:type="dxa"/>
            <w:noWrap/>
            <w:hideMark/>
          </w:tcPr>
          <w:p w14:paraId="2E0906F3"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0.12</w:t>
            </w:r>
          </w:p>
        </w:tc>
        <w:tc>
          <w:tcPr>
            <w:tcW w:w="1481" w:type="dxa"/>
            <w:noWrap/>
            <w:hideMark/>
          </w:tcPr>
          <w:p w14:paraId="2B5C6142"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No Difference</w:t>
            </w:r>
          </w:p>
        </w:tc>
      </w:tr>
      <w:tr w:rsidR="00BD2797" w:rsidRPr="00B87B46" w14:paraId="5DE9661D" w14:textId="77777777" w:rsidTr="006F0F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39" w:type="dxa"/>
            <w:vMerge/>
            <w:hideMark/>
          </w:tcPr>
          <w:p w14:paraId="70293B07" w14:textId="77777777" w:rsidR="00BD2797" w:rsidRPr="00BE6EE4" w:rsidRDefault="00BD2797" w:rsidP="00BE6EE4">
            <w:pPr>
              <w:rPr>
                <w:rFonts w:ascii="Arial" w:hAnsi="Arial" w:cs="Arial"/>
                <w:b w:val="0"/>
                <w:bCs w:val="0"/>
                <w:color w:val="000000" w:themeColor="text1"/>
                <w:lang w:eastAsia="en-PH"/>
              </w:rPr>
            </w:pPr>
          </w:p>
        </w:tc>
        <w:tc>
          <w:tcPr>
            <w:tcW w:w="1147" w:type="dxa"/>
            <w:hideMark/>
          </w:tcPr>
          <w:p w14:paraId="78CA688F"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Third Year</w:t>
            </w:r>
          </w:p>
        </w:tc>
        <w:tc>
          <w:tcPr>
            <w:tcW w:w="1270" w:type="dxa"/>
            <w:noWrap/>
            <w:hideMark/>
          </w:tcPr>
          <w:p w14:paraId="081A413F"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-0.01</w:t>
            </w:r>
          </w:p>
        </w:tc>
        <w:tc>
          <w:tcPr>
            <w:tcW w:w="701" w:type="dxa"/>
            <w:noWrap/>
            <w:hideMark/>
          </w:tcPr>
          <w:p w14:paraId="7245B4C6"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623" w:type="dxa"/>
            <w:noWrap/>
            <w:hideMark/>
          </w:tcPr>
          <w:p w14:paraId="7734F42E"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1.00</w:t>
            </w:r>
          </w:p>
        </w:tc>
        <w:tc>
          <w:tcPr>
            <w:tcW w:w="779" w:type="dxa"/>
            <w:noWrap/>
            <w:hideMark/>
          </w:tcPr>
          <w:p w14:paraId="45888A69"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-0.34</w:t>
            </w:r>
          </w:p>
        </w:tc>
        <w:tc>
          <w:tcPr>
            <w:tcW w:w="858" w:type="dxa"/>
            <w:noWrap/>
            <w:hideMark/>
          </w:tcPr>
          <w:p w14:paraId="2232C82C"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0.32</w:t>
            </w:r>
          </w:p>
        </w:tc>
        <w:tc>
          <w:tcPr>
            <w:tcW w:w="1481" w:type="dxa"/>
            <w:noWrap/>
            <w:hideMark/>
          </w:tcPr>
          <w:p w14:paraId="1135F44A"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No Difference</w:t>
            </w:r>
          </w:p>
        </w:tc>
      </w:tr>
      <w:tr w:rsidR="00BD2797" w:rsidRPr="00B87B46" w14:paraId="27686532" w14:textId="77777777" w:rsidTr="006F0F75">
        <w:trPr>
          <w:trHeight w:val="238"/>
        </w:trPr>
        <w:tc>
          <w:tcPr>
            <w:cnfStyle w:val="001000000000" w:firstRow="0" w:lastRow="0" w:firstColumn="1" w:lastColumn="0" w:oddVBand="0" w:evenVBand="0" w:oddHBand="0" w:evenHBand="0" w:firstRowFirstColumn="0" w:firstRowLastColumn="0" w:lastRowFirstColumn="0" w:lastRowLastColumn="0"/>
            <w:tcW w:w="1339" w:type="dxa"/>
            <w:vMerge/>
            <w:hideMark/>
          </w:tcPr>
          <w:p w14:paraId="5DFF5F51" w14:textId="77777777" w:rsidR="00BD2797" w:rsidRPr="00BE6EE4" w:rsidRDefault="00BD2797" w:rsidP="00BE6EE4">
            <w:pPr>
              <w:rPr>
                <w:rFonts w:ascii="Arial" w:hAnsi="Arial" w:cs="Arial"/>
                <w:b w:val="0"/>
                <w:bCs w:val="0"/>
                <w:color w:val="000000" w:themeColor="text1"/>
                <w:lang w:eastAsia="en-PH"/>
              </w:rPr>
            </w:pPr>
          </w:p>
        </w:tc>
        <w:tc>
          <w:tcPr>
            <w:tcW w:w="1147" w:type="dxa"/>
            <w:hideMark/>
          </w:tcPr>
          <w:p w14:paraId="28F89F23"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Fourth Year</w:t>
            </w:r>
          </w:p>
        </w:tc>
        <w:tc>
          <w:tcPr>
            <w:tcW w:w="1270" w:type="dxa"/>
            <w:noWrap/>
            <w:hideMark/>
          </w:tcPr>
          <w:p w14:paraId="64FDCD17"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0.18</w:t>
            </w:r>
          </w:p>
        </w:tc>
        <w:tc>
          <w:tcPr>
            <w:tcW w:w="701" w:type="dxa"/>
            <w:noWrap/>
            <w:hideMark/>
          </w:tcPr>
          <w:p w14:paraId="77B1E137"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623" w:type="dxa"/>
            <w:noWrap/>
            <w:hideMark/>
          </w:tcPr>
          <w:p w14:paraId="7E19F077"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0.53</w:t>
            </w:r>
          </w:p>
        </w:tc>
        <w:tc>
          <w:tcPr>
            <w:tcW w:w="779" w:type="dxa"/>
            <w:noWrap/>
            <w:hideMark/>
          </w:tcPr>
          <w:p w14:paraId="442AFE3D"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-0.16</w:t>
            </w:r>
          </w:p>
        </w:tc>
        <w:tc>
          <w:tcPr>
            <w:tcW w:w="858" w:type="dxa"/>
            <w:noWrap/>
            <w:hideMark/>
          </w:tcPr>
          <w:p w14:paraId="4068517D"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0.51</w:t>
            </w:r>
          </w:p>
        </w:tc>
        <w:tc>
          <w:tcPr>
            <w:tcW w:w="1481" w:type="dxa"/>
            <w:noWrap/>
            <w:hideMark/>
          </w:tcPr>
          <w:p w14:paraId="7D0AEE64"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No Difference</w:t>
            </w:r>
          </w:p>
        </w:tc>
      </w:tr>
      <w:tr w:rsidR="00BD2797" w:rsidRPr="00B87B46" w14:paraId="33829A21" w14:textId="77777777" w:rsidTr="006F0F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39" w:type="dxa"/>
            <w:vMerge w:val="restart"/>
            <w:hideMark/>
          </w:tcPr>
          <w:p w14:paraId="6AFEF42C" w14:textId="77777777" w:rsidR="00BD2797" w:rsidRPr="00BE6EE4" w:rsidRDefault="00BD2797" w:rsidP="00BE6EE4">
            <w:pPr>
              <w:rPr>
                <w:rFonts w:ascii="Arial" w:hAnsi="Arial" w:cs="Arial"/>
                <w:b w:val="0"/>
                <w:bCs w:val="0"/>
                <w:color w:val="000000" w:themeColor="text1"/>
                <w:lang w:eastAsia="en-PH"/>
              </w:rPr>
            </w:pPr>
            <w:r w:rsidRPr="00BE6EE4">
              <w:rPr>
                <w:rFonts w:ascii="Arial" w:hAnsi="Arial" w:cs="Arial"/>
                <w:b w:val="0"/>
                <w:bCs w:val="0"/>
                <w:color w:val="000000" w:themeColor="text1"/>
                <w:lang w:eastAsia="en-PH"/>
              </w:rPr>
              <w:t>Second Year</w:t>
            </w:r>
          </w:p>
        </w:tc>
        <w:tc>
          <w:tcPr>
            <w:tcW w:w="1147" w:type="dxa"/>
            <w:hideMark/>
          </w:tcPr>
          <w:p w14:paraId="51EA20FD"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Third Year</w:t>
            </w:r>
          </w:p>
        </w:tc>
        <w:tc>
          <w:tcPr>
            <w:tcW w:w="1270" w:type="dxa"/>
            <w:noWrap/>
            <w:hideMark/>
          </w:tcPr>
          <w:p w14:paraId="1E005E0F"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0.21</w:t>
            </w:r>
          </w:p>
        </w:tc>
        <w:tc>
          <w:tcPr>
            <w:tcW w:w="701" w:type="dxa"/>
            <w:noWrap/>
            <w:hideMark/>
          </w:tcPr>
          <w:p w14:paraId="0F251841"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623" w:type="dxa"/>
            <w:noWrap/>
            <w:hideMark/>
          </w:tcPr>
          <w:p w14:paraId="1D202EF0"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0.38</w:t>
            </w:r>
          </w:p>
        </w:tc>
        <w:tc>
          <w:tcPr>
            <w:tcW w:w="779" w:type="dxa"/>
            <w:noWrap/>
            <w:hideMark/>
          </w:tcPr>
          <w:p w14:paraId="76B55EF0"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858" w:type="dxa"/>
            <w:noWrap/>
            <w:hideMark/>
          </w:tcPr>
          <w:p w14:paraId="27080E68"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0.54</w:t>
            </w:r>
          </w:p>
        </w:tc>
        <w:tc>
          <w:tcPr>
            <w:tcW w:w="1481" w:type="dxa"/>
            <w:noWrap/>
            <w:hideMark/>
          </w:tcPr>
          <w:p w14:paraId="7B1D70F0"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No Difference</w:t>
            </w:r>
          </w:p>
        </w:tc>
      </w:tr>
      <w:tr w:rsidR="00BD2797" w:rsidRPr="00B87B46" w14:paraId="4E5DBBD2" w14:textId="77777777" w:rsidTr="006F0F75">
        <w:trPr>
          <w:trHeight w:val="238"/>
        </w:trPr>
        <w:tc>
          <w:tcPr>
            <w:cnfStyle w:val="001000000000" w:firstRow="0" w:lastRow="0" w:firstColumn="1" w:lastColumn="0" w:oddVBand="0" w:evenVBand="0" w:oddHBand="0" w:evenHBand="0" w:firstRowFirstColumn="0" w:firstRowLastColumn="0" w:lastRowFirstColumn="0" w:lastRowLastColumn="0"/>
            <w:tcW w:w="1339" w:type="dxa"/>
            <w:vMerge/>
            <w:hideMark/>
          </w:tcPr>
          <w:p w14:paraId="345FB00B" w14:textId="77777777" w:rsidR="00BD2797" w:rsidRPr="00BE6EE4" w:rsidRDefault="00BD2797" w:rsidP="00BE6EE4">
            <w:pPr>
              <w:rPr>
                <w:rFonts w:ascii="Arial" w:hAnsi="Arial" w:cs="Arial"/>
                <w:b w:val="0"/>
                <w:bCs w:val="0"/>
                <w:color w:val="000000" w:themeColor="text1"/>
                <w:lang w:eastAsia="en-PH"/>
              </w:rPr>
            </w:pPr>
          </w:p>
        </w:tc>
        <w:tc>
          <w:tcPr>
            <w:tcW w:w="1147" w:type="dxa"/>
            <w:hideMark/>
          </w:tcPr>
          <w:p w14:paraId="55F1577B"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Fourth Year</w:t>
            </w:r>
          </w:p>
        </w:tc>
        <w:tc>
          <w:tcPr>
            <w:tcW w:w="1270" w:type="dxa"/>
            <w:noWrap/>
            <w:hideMark/>
          </w:tcPr>
          <w:p w14:paraId="26B60072"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0.39</w:t>
            </w:r>
          </w:p>
        </w:tc>
        <w:tc>
          <w:tcPr>
            <w:tcW w:w="701" w:type="dxa"/>
            <w:noWrap/>
            <w:hideMark/>
          </w:tcPr>
          <w:p w14:paraId="2F3BEB6F"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623" w:type="dxa"/>
            <w:noWrap/>
            <w:hideMark/>
          </w:tcPr>
          <w:p w14:paraId="28C3C8E2"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0.02</w:t>
            </w:r>
          </w:p>
        </w:tc>
        <w:tc>
          <w:tcPr>
            <w:tcW w:w="779" w:type="dxa"/>
            <w:noWrap/>
            <w:hideMark/>
          </w:tcPr>
          <w:p w14:paraId="79FE4B7B"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0.05</w:t>
            </w:r>
          </w:p>
        </w:tc>
        <w:tc>
          <w:tcPr>
            <w:tcW w:w="858" w:type="dxa"/>
            <w:noWrap/>
            <w:hideMark/>
          </w:tcPr>
          <w:p w14:paraId="2BA2B588"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0.73</w:t>
            </w:r>
          </w:p>
        </w:tc>
        <w:tc>
          <w:tcPr>
            <w:tcW w:w="1481" w:type="dxa"/>
            <w:noWrap/>
            <w:hideMark/>
          </w:tcPr>
          <w:p w14:paraId="1C1AE206" w14:textId="77777777" w:rsidR="00BD2797" w:rsidRPr="00BE6EE4"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Has Difference</w:t>
            </w:r>
          </w:p>
        </w:tc>
      </w:tr>
      <w:tr w:rsidR="00BD2797" w:rsidRPr="00B87B46" w14:paraId="3AC40C93" w14:textId="77777777" w:rsidTr="006F0F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39" w:type="dxa"/>
            <w:hideMark/>
          </w:tcPr>
          <w:p w14:paraId="7CFB579A" w14:textId="77777777" w:rsidR="00BD2797" w:rsidRPr="00BE6EE4" w:rsidRDefault="00BD2797" w:rsidP="00BE6EE4">
            <w:pPr>
              <w:rPr>
                <w:rFonts w:ascii="Arial" w:hAnsi="Arial" w:cs="Arial"/>
                <w:b w:val="0"/>
                <w:bCs w:val="0"/>
                <w:color w:val="000000" w:themeColor="text1"/>
                <w:lang w:eastAsia="en-PH"/>
              </w:rPr>
            </w:pPr>
            <w:r w:rsidRPr="00BE6EE4">
              <w:rPr>
                <w:rFonts w:ascii="Arial" w:hAnsi="Arial" w:cs="Arial"/>
                <w:b w:val="0"/>
                <w:bCs w:val="0"/>
                <w:color w:val="000000" w:themeColor="text1"/>
                <w:lang w:eastAsia="en-PH"/>
              </w:rPr>
              <w:lastRenderedPageBreak/>
              <w:t>Third Year</w:t>
            </w:r>
          </w:p>
        </w:tc>
        <w:tc>
          <w:tcPr>
            <w:tcW w:w="1147" w:type="dxa"/>
            <w:hideMark/>
          </w:tcPr>
          <w:p w14:paraId="515CB9DD"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Fourth Year</w:t>
            </w:r>
          </w:p>
        </w:tc>
        <w:tc>
          <w:tcPr>
            <w:tcW w:w="1270" w:type="dxa"/>
            <w:noWrap/>
            <w:hideMark/>
          </w:tcPr>
          <w:p w14:paraId="6D532421"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0.18</w:t>
            </w:r>
          </w:p>
        </w:tc>
        <w:tc>
          <w:tcPr>
            <w:tcW w:w="701" w:type="dxa"/>
            <w:noWrap/>
            <w:hideMark/>
          </w:tcPr>
          <w:p w14:paraId="299E05D1"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0.13</w:t>
            </w:r>
          </w:p>
        </w:tc>
        <w:tc>
          <w:tcPr>
            <w:tcW w:w="623" w:type="dxa"/>
            <w:noWrap/>
            <w:hideMark/>
          </w:tcPr>
          <w:p w14:paraId="2E51F845"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0.48</w:t>
            </w:r>
          </w:p>
        </w:tc>
        <w:tc>
          <w:tcPr>
            <w:tcW w:w="779" w:type="dxa"/>
            <w:noWrap/>
            <w:hideMark/>
          </w:tcPr>
          <w:p w14:paraId="19AE44A3"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-0.15</w:t>
            </w:r>
          </w:p>
        </w:tc>
        <w:tc>
          <w:tcPr>
            <w:tcW w:w="858" w:type="dxa"/>
            <w:noWrap/>
            <w:hideMark/>
          </w:tcPr>
          <w:p w14:paraId="4D8BE553"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0.52</w:t>
            </w:r>
          </w:p>
        </w:tc>
        <w:tc>
          <w:tcPr>
            <w:tcW w:w="1481" w:type="dxa"/>
            <w:noWrap/>
            <w:hideMark/>
          </w:tcPr>
          <w:p w14:paraId="0AE97F44" w14:textId="77777777" w:rsidR="00BD2797" w:rsidRPr="00BE6EE4" w:rsidRDefault="00BD2797" w:rsidP="00BE6EE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E6EE4">
              <w:rPr>
                <w:rFonts w:ascii="Arial" w:hAnsi="Arial" w:cs="Arial"/>
                <w:color w:val="000000" w:themeColor="text1"/>
                <w:lang w:eastAsia="en-PH"/>
              </w:rPr>
              <w:t>No Difference</w:t>
            </w:r>
          </w:p>
        </w:tc>
      </w:tr>
    </w:tbl>
    <w:p w14:paraId="64CFF8F2" w14:textId="77777777" w:rsidR="00085856" w:rsidRDefault="00085856" w:rsidP="00441B6F">
      <w:pPr>
        <w:pStyle w:val="Body"/>
        <w:spacing w:after="0"/>
        <w:rPr>
          <w:rFonts w:ascii="Arial" w:hAnsi="Arial" w:cs="Arial"/>
        </w:rPr>
      </w:pPr>
    </w:p>
    <w:p w14:paraId="0DF4C27E" w14:textId="2D8FAB7B" w:rsidR="00085856" w:rsidRDefault="0080271F" w:rsidP="00441B6F">
      <w:pPr>
        <w:pStyle w:val="Body"/>
        <w:spacing w:after="0"/>
        <w:rPr>
          <w:rFonts w:ascii="Arial" w:hAnsi="Arial" w:cs="Arial"/>
        </w:rPr>
      </w:pPr>
      <w:r>
        <w:rPr>
          <w:rFonts w:ascii="Arial" w:hAnsi="Arial" w:cs="Arial"/>
        </w:rPr>
        <w:t xml:space="preserve">Table 20 </w:t>
      </w:r>
      <w:r w:rsidR="007B1C33" w:rsidRPr="00B87B46">
        <w:rPr>
          <w:rFonts w:ascii="Arial" w:hAnsi="Arial" w:cs="Arial"/>
        </w:rPr>
        <w:t>show</w:t>
      </w:r>
      <w:r>
        <w:rPr>
          <w:rFonts w:ascii="Arial" w:hAnsi="Arial" w:cs="Arial"/>
        </w:rPr>
        <w:t>s</w:t>
      </w:r>
      <w:r w:rsidR="007B1C33" w:rsidRPr="007B1C33">
        <w:rPr>
          <w:rFonts w:ascii="Arial" w:hAnsi="Arial" w:cs="Arial"/>
        </w:rPr>
        <w:t xml:space="preserve"> a statistically significant difference in perceptions of gender discrimination between second- and fourth-year students (mean difference = 0.39, p = .02), with fourth-year students reporting higher awareness. Other comparisons were non-significant, indicating general consistency across year levels. This difference may be attributed to increased critical awareness among senior students, who are more exposed to complex coursework, field experiences, and real-world social issues, enhancing their ability to recognize subtle forms of discrimination (Sruthi, 2024; Gauci et al., 2022; Brown et al., 2020). Additionally, greater social and intellectual maturity enables them to better identify and articulate such experiences compared to younger students (Mallman &amp; Lee, 2017).</w:t>
      </w:r>
      <w:r w:rsidR="008240A6" w:rsidRPr="008240A6">
        <w:rPr>
          <w:rFonts w:ascii="Arial" w:hAnsi="Arial" w:cs="Arial"/>
        </w:rPr>
        <w:t xml:space="preserve"> </w:t>
      </w:r>
    </w:p>
    <w:p w14:paraId="7D018674" w14:textId="77777777" w:rsidR="006369B1" w:rsidRDefault="006369B1" w:rsidP="00441B6F">
      <w:pPr>
        <w:pStyle w:val="Body"/>
        <w:spacing w:after="0"/>
        <w:rPr>
          <w:rFonts w:ascii="Arial" w:hAnsi="Arial" w:cs="Arial"/>
        </w:rPr>
      </w:pPr>
    </w:p>
    <w:p w14:paraId="397435EA" w14:textId="77777777" w:rsidR="006369B1" w:rsidRDefault="006369B1" w:rsidP="006369B1">
      <w:pPr>
        <w:pStyle w:val="Body"/>
        <w:spacing w:after="0"/>
        <w:rPr>
          <w:rFonts w:ascii="Arial" w:hAnsi="Arial" w:cs="Arial"/>
        </w:rPr>
      </w:pPr>
      <w:r>
        <w:rPr>
          <w:rFonts w:ascii="Arial" w:hAnsi="Arial" w:cs="Arial"/>
        </w:rPr>
        <w:t>Table 21</w:t>
      </w:r>
      <w:r w:rsidRPr="008240A6">
        <w:rPr>
          <w:rFonts w:ascii="Arial" w:hAnsi="Arial" w:cs="Arial"/>
        </w:rPr>
        <w:t xml:space="preserve"> shows that academic program is a significant factor affecting the perception of gender discrimination: (f= 2.859, p=.024. This indicates that students from different programs perceive gender discrimination differently, as identified in the post hoc test.</w:t>
      </w:r>
    </w:p>
    <w:p w14:paraId="3CF79F89" w14:textId="77777777" w:rsidR="00D550AF" w:rsidRDefault="00D550AF" w:rsidP="00441B6F">
      <w:pPr>
        <w:pStyle w:val="Body"/>
        <w:spacing w:after="0"/>
        <w:rPr>
          <w:rFonts w:ascii="Arial" w:hAnsi="Arial" w:cs="Arial"/>
        </w:rPr>
      </w:pPr>
    </w:p>
    <w:p w14:paraId="490BB334" w14:textId="6D6C80BE" w:rsidR="00D550AF" w:rsidRPr="00B87B46" w:rsidRDefault="00D550AF" w:rsidP="00D550AF">
      <w:pPr>
        <w:contextualSpacing/>
        <w:jc w:val="both"/>
        <w:rPr>
          <w:rFonts w:ascii="Arial" w:hAnsi="Arial" w:cs="Arial"/>
          <w:color w:val="000000" w:themeColor="text1"/>
        </w:rPr>
      </w:pPr>
      <w:r w:rsidRPr="00B87B46">
        <w:rPr>
          <w:rFonts w:ascii="Arial" w:hAnsi="Arial" w:cs="Arial"/>
          <w:color w:val="000000" w:themeColor="text1"/>
        </w:rPr>
        <w:t>Table 2</w:t>
      </w:r>
      <w:r w:rsidR="00AB4297" w:rsidRPr="00B87B46">
        <w:rPr>
          <w:rFonts w:ascii="Arial" w:hAnsi="Arial" w:cs="Arial"/>
          <w:color w:val="000000" w:themeColor="text1"/>
        </w:rPr>
        <w:t>1</w:t>
      </w:r>
      <w:r w:rsidRPr="00B87B46">
        <w:rPr>
          <w:rFonts w:ascii="Arial" w:hAnsi="Arial" w:cs="Arial"/>
          <w:color w:val="000000" w:themeColor="text1"/>
        </w:rPr>
        <w:t>. Significant difference in the level of gender discrimination when grouped according to the program</w:t>
      </w:r>
    </w:p>
    <w:tbl>
      <w:tblPr>
        <w:tblStyle w:val="PlainTable2"/>
        <w:tblW w:w="8623" w:type="dxa"/>
        <w:tblLook w:val="04A0" w:firstRow="1" w:lastRow="0" w:firstColumn="1" w:lastColumn="0" w:noHBand="0" w:noVBand="1"/>
      </w:tblPr>
      <w:tblGrid>
        <w:gridCol w:w="2170"/>
        <w:gridCol w:w="2212"/>
        <w:gridCol w:w="700"/>
        <w:gridCol w:w="1858"/>
        <w:gridCol w:w="912"/>
        <w:gridCol w:w="771"/>
      </w:tblGrid>
      <w:tr w:rsidR="00D550AF" w:rsidRPr="00AB4297" w14:paraId="658C0A26" w14:textId="77777777" w:rsidTr="00982FB8">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hideMark/>
          </w:tcPr>
          <w:p w14:paraId="60E6BC96" w14:textId="77777777" w:rsidR="00D550AF" w:rsidRPr="00B87B46" w:rsidRDefault="00D550AF" w:rsidP="00982FB8">
            <w:pPr>
              <w:contextualSpacing/>
              <w:jc w:val="both"/>
              <w:rPr>
                <w:rFonts w:ascii="Arial" w:hAnsi="Arial" w:cs="Arial"/>
                <w:color w:val="000000" w:themeColor="text1"/>
              </w:rPr>
            </w:pPr>
            <w:r w:rsidRPr="00B87B46">
              <w:rPr>
                <w:rFonts w:ascii="Arial" w:hAnsi="Arial" w:cs="Arial"/>
                <w:color w:val="000000" w:themeColor="text1"/>
              </w:rPr>
              <w:t>Source</w:t>
            </w:r>
          </w:p>
        </w:tc>
        <w:tc>
          <w:tcPr>
            <w:tcW w:w="0" w:type="auto"/>
            <w:hideMark/>
          </w:tcPr>
          <w:p w14:paraId="0EDDB983" w14:textId="77777777" w:rsidR="00D550AF" w:rsidRPr="00B87B46" w:rsidRDefault="00D550AF" w:rsidP="00982FB8">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Sum of Squares</w:t>
            </w:r>
          </w:p>
        </w:tc>
        <w:tc>
          <w:tcPr>
            <w:tcW w:w="0" w:type="auto"/>
            <w:hideMark/>
          </w:tcPr>
          <w:p w14:paraId="6B228318" w14:textId="77777777" w:rsidR="00D550AF" w:rsidRPr="00B87B46" w:rsidRDefault="00D550AF" w:rsidP="00982FB8">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df</w:t>
            </w:r>
          </w:p>
        </w:tc>
        <w:tc>
          <w:tcPr>
            <w:tcW w:w="0" w:type="auto"/>
            <w:hideMark/>
          </w:tcPr>
          <w:p w14:paraId="260C2BE0" w14:textId="77777777" w:rsidR="00D550AF" w:rsidRPr="00B87B46" w:rsidRDefault="00D550AF" w:rsidP="00982FB8">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Mean Square</w:t>
            </w:r>
          </w:p>
        </w:tc>
        <w:tc>
          <w:tcPr>
            <w:tcW w:w="0" w:type="auto"/>
            <w:hideMark/>
          </w:tcPr>
          <w:p w14:paraId="3BFC0977" w14:textId="77777777" w:rsidR="00D550AF" w:rsidRPr="00B87B46" w:rsidRDefault="00D550AF" w:rsidP="00982FB8">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F</w:t>
            </w:r>
          </w:p>
        </w:tc>
        <w:tc>
          <w:tcPr>
            <w:tcW w:w="0" w:type="auto"/>
            <w:hideMark/>
          </w:tcPr>
          <w:p w14:paraId="4F03F2F2" w14:textId="77777777" w:rsidR="00D550AF" w:rsidRPr="00B87B46" w:rsidRDefault="00D550AF" w:rsidP="00982FB8">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Sig.</w:t>
            </w:r>
          </w:p>
        </w:tc>
      </w:tr>
      <w:tr w:rsidR="00D550AF" w:rsidRPr="00AB4297" w14:paraId="1046FCC8" w14:textId="77777777" w:rsidTr="00982FB8">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hideMark/>
          </w:tcPr>
          <w:p w14:paraId="486E44A6" w14:textId="77777777" w:rsidR="00D550AF" w:rsidRPr="00B87B46" w:rsidRDefault="00D550AF" w:rsidP="00982FB8">
            <w:pPr>
              <w:contextualSpacing/>
              <w:jc w:val="both"/>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494C5CE9" w14:textId="77777777" w:rsidR="00D550AF" w:rsidRPr="00B87B46" w:rsidRDefault="00D550AF" w:rsidP="00982FB8">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7.669</w:t>
            </w:r>
          </w:p>
        </w:tc>
        <w:tc>
          <w:tcPr>
            <w:tcW w:w="0" w:type="auto"/>
            <w:hideMark/>
          </w:tcPr>
          <w:p w14:paraId="119530DD" w14:textId="77777777" w:rsidR="00D550AF" w:rsidRPr="00B87B46" w:rsidRDefault="00D550AF" w:rsidP="00982FB8">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4</w:t>
            </w:r>
          </w:p>
        </w:tc>
        <w:tc>
          <w:tcPr>
            <w:tcW w:w="0" w:type="auto"/>
            <w:hideMark/>
          </w:tcPr>
          <w:p w14:paraId="23803613" w14:textId="77777777" w:rsidR="00D550AF" w:rsidRPr="00B87B46" w:rsidRDefault="00D550AF" w:rsidP="00982FB8">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1.917</w:t>
            </w:r>
          </w:p>
        </w:tc>
        <w:tc>
          <w:tcPr>
            <w:tcW w:w="0" w:type="auto"/>
            <w:hideMark/>
          </w:tcPr>
          <w:p w14:paraId="08A73BB1" w14:textId="77777777" w:rsidR="00D550AF" w:rsidRPr="00B87B46" w:rsidRDefault="00D550AF" w:rsidP="00982FB8">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2.859</w:t>
            </w:r>
          </w:p>
        </w:tc>
        <w:tc>
          <w:tcPr>
            <w:tcW w:w="0" w:type="auto"/>
            <w:hideMark/>
          </w:tcPr>
          <w:p w14:paraId="12A99F0A" w14:textId="77777777" w:rsidR="00D550AF" w:rsidRPr="00B87B46" w:rsidRDefault="00D550AF" w:rsidP="00982FB8">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.024</w:t>
            </w:r>
          </w:p>
        </w:tc>
      </w:tr>
      <w:tr w:rsidR="00D550AF" w:rsidRPr="00AB4297" w14:paraId="76991C4A" w14:textId="77777777" w:rsidTr="00982FB8">
        <w:trPr>
          <w:trHeight w:val="308"/>
        </w:trPr>
        <w:tc>
          <w:tcPr>
            <w:cnfStyle w:val="001000000000" w:firstRow="0" w:lastRow="0" w:firstColumn="1" w:lastColumn="0" w:oddVBand="0" w:evenVBand="0" w:oddHBand="0" w:evenHBand="0" w:firstRowFirstColumn="0" w:firstRowLastColumn="0" w:lastRowFirstColumn="0" w:lastRowLastColumn="0"/>
            <w:tcW w:w="0" w:type="auto"/>
            <w:hideMark/>
          </w:tcPr>
          <w:p w14:paraId="0E5C3656" w14:textId="77777777" w:rsidR="00D550AF" w:rsidRPr="00B87B46" w:rsidRDefault="00D550AF" w:rsidP="00982FB8">
            <w:pPr>
              <w:contextualSpacing/>
              <w:jc w:val="both"/>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029D4522" w14:textId="77777777" w:rsidR="00D550AF" w:rsidRPr="00B87B46" w:rsidRDefault="00D550AF" w:rsidP="00982FB8">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211.892</w:t>
            </w:r>
          </w:p>
        </w:tc>
        <w:tc>
          <w:tcPr>
            <w:tcW w:w="0" w:type="auto"/>
            <w:hideMark/>
          </w:tcPr>
          <w:p w14:paraId="6671CC31" w14:textId="77777777" w:rsidR="00D550AF" w:rsidRPr="00B87B46" w:rsidRDefault="00D550AF" w:rsidP="00982FB8">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316</w:t>
            </w:r>
          </w:p>
        </w:tc>
        <w:tc>
          <w:tcPr>
            <w:tcW w:w="0" w:type="auto"/>
            <w:hideMark/>
          </w:tcPr>
          <w:p w14:paraId="36B35F67" w14:textId="77777777" w:rsidR="00D550AF" w:rsidRPr="00B87B46" w:rsidRDefault="00D550AF" w:rsidP="00982FB8">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0.671</w:t>
            </w:r>
          </w:p>
        </w:tc>
        <w:tc>
          <w:tcPr>
            <w:tcW w:w="0" w:type="auto"/>
            <w:hideMark/>
          </w:tcPr>
          <w:p w14:paraId="1A5FB69B" w14:textId="77777777" w:rsidR="00D550AF" w:rsidRPr="00B87B46" w:rsidRDefault="00D550AF" w:rsidP="00982FB8">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64ED1706" w14:textId="77777777" w:rsidR="00D550AF" w:rsidRPr="00B87B46" w:rsidRDefault="00D550AF" w:rsidP="00982FB8">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D550AF" w:rsidRPr="00AB4297" w14:paraId="4AF459B7" w14:textId="77777777" w:rsidTr="00982FB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hideMark/>
          </w:tcPr>
          <w:p w14:paraId="6ADF3E4A" w14:textId="77777777" w:rsidR="00D550AF" w:rsidRPr="00B87B46" w:rsidRDefault="00D550AF" w:rsidP="00982FB8">
            <w:pPr>
              <w:contextualSpacing/>
              <w:jc w:val="both"/>
              <w:rPr>
                <w:rFonts w:ascii="Arial" w:hAnsi="Arial" w:cs="Arial"/>
                <w:color w:val="000000" w:themeColor="text1"/>
              </w:rPr>
            </w:pPr>
            <w:r w:rsidRPr="00B87B46">
              <w:rPr>
                <w:rFonts w:ascii="Arial" w:hAnsi="Arial" w:cs="Arial"/>
                <w:color w:val="000000" w:themeColor="text1"/>
              </w:rPr>
              <w:t>Total</w:t>
            </w:r>
          </w:p>
        </w:tc>
        <w:tc>
          <w:tcPr>
            <w:tcW w:w="0" w:type="auto"/>
            <w:hideMark/>
          </w:tcPr>
          <w:p w14:paraId="11657D05" w14:textId="77777777" w:rsidR="00D550AF" w:rsidRPr="00B87B46" w:rsidRDefault="00D550AF" w:rsidP="00982FB8">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219.561</w:t>
            </w:r>
          </w:p>
        </w:tc>
        <w:tc>
          <w:tcPr>
            <w:tcW w:w="0" w:type="auto"/>
            <w:hideMark/>
          </w:tcPr>
          <w:p w14:paraId="7D79DE16" w14:textId="77777777" w:rsidR="00D550AF" w:rsidRPr="00B87B46" w:rsidRDefault="00D550AF" w:rsidP="00982FB8">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4749F7D0" w14:textId="77777777" w:rsidR="00D550AF" w:rsidRPr="00B87B46" w:rsidRDefault="00D550AF" w:rsidP="00982FB8">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7BB4D048" w14:textId="77777777" w:rsidR="00D550AF" w:rsidRPr="00B87B46" w:rsidRDefault="00D550AF" w:rsidP="00982FB8">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62A765AC" w14:textId="77777777" w:rsidR="00D550AF" w:rsidRPr="00B87B46" w:rsidRDefault="00D550AF" w:rsidP="00982FB8">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2D5199CC" w14:textId="77777777" w:rsidR="008240A6" w:rsidRDefault="008240A6" w:rsidP="00441B6F">
      <w:pPr>
        <w:pStyle w:val="Body"/>
        <w:spacing w:after="0"/>
        <w:rPr>
          <w:rFonts w:ascii="Arial" w:hAnsi="Arial" w:cs="Arial"/>
        </w:rPr>
      </w:pPr>
    </w:p>
    <w:p w14:paraId="48848147" w14:textId="1F5D699C" w:rsidR="00957CE8" w:rsidRDefault="00957CE8" w:rsidP="00441B6F">
      <w:pPr>
        <w:pStyle w:val="Body"/>
        <w:spacing w:after="0"/>
        <w:rPr>
          <w:rFonts w:ascii="Arial" w:hAnsi="Arial" w:cs="Arial"/>
        </w:rPr>
      </w:pPr>
    </w:p>
    <w:p w14:paraId="2C332AF6" w14:textId="5132D06C" w:rsidR="002A0660" w:rsidRPr="00B87B46" w:rsidRDefault="002A0660" w:rsidP="002A0660">
      <w:pPr>
        <w:contextualSpacing/>
        <w:jc w:val="both"/>
        <w:rPr>
          <w:rFonts w:ascii="Arial" w:hAnsi="Arial" w:cs="Arial"/>
          <w:color w:val="000000" w:themeColor="text1"/>
        </w:rPr>
      </w:pPr>
      <w:r w:rsidRPr="00B87B46">
        <w:rPr>
          <w:rFonts w:ascii="Arial" w:hAnsi="Arial" w:cs="Arial"/>
          <w:color w:val="000000" w:themeColor="text1"/>
        </w:rPr>
        <w:t>Table 2</w:t>
      </w:r>
      <w:r w:rsidR="00AB4297" w:rsidRPr="00B87B46">
        <w:rPr>
          <w:rFonts w:ascii="Arial" w:hAnsi="Arial" w:cs="Arial"/>
          <w:color w:val="000000" w:themeColor="text1"/>
        </w:rPr>
        <w:t>2</w:t>
      </w:r>
      <w:r w:rsidRPr="00B87B46">
        <w:rPr>
          <w:rFonts w:ascii="Arial" w:hAnsi="Arial" w:cs="Arial"/>
          <w:color w:val="000000" w:themeColor="text1"/>
        </w:rPr>
        <w:t>. Post hoc test: significant difference in the level of gender discrimination by program</w:t>
      </w:r>
    </w:p>
    <w:tbl>
      <w:tblPr>
        <w:tblStyle w:val="PlainTable2"/>
        <w:tblW w:w="8635" w:type="dxa"/>
        <w:tblLook w:val="04A0" w:firstRow="1" w:lastRow="0" w:firstColumn="1" w:lastColumn="0" w:noHBand="0" w:noVBand="1"/>
      </w:tblPr>
      <w:tblGrid>
        <w:gridCol w:w="1348"/>
        <w:gridCol w:w="1812"/>
        <w:gridCol w:w="750"/>
        <w:gridCol w:w="811"/>
        <w:gridCol w:w="638"/>
        <w:gridCol w:w="928"/>
        <w:gridCol w:w="843"/>
        <w:gridCol w:w="1505"/>
      </w:tblGrid>
      <w:tr w:rsidR="002A0660" w:rsidRPr="00AB4297" w14:paraId="2FC2B7DB" w14:textId="77777777" w:rsidTr="00982FB8">
        <w:trPr>
          <w:cnfStyle w:val="100000000000" w:firstRow="1" w:lastRow="0" w:firstColumn="0" w:lastColumn="0" w:oddVBand="0" w:evenVBand="0" w:oddHBand="0"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261" w:type="dxa"/>
            <w:gridSpan w:val="2"/>
            <w:vMerge w:val="restart"/>
            <w:hideMark/>
          </w:tcPr>
          <w:p w14:paraId="4203F815" w14:textId="77777777" w:rsidR="002A0660" w:rsidRPr="00B87B46" w:rsidRDefault="002A0660" w:rsidP="00982FB8">
            <w:pPr>
              <w:contextualSpacing/>
              <w:jc w:val="center"/>
              <w:rPr>
                <w:rFonts w:ascii="Arial" w:hAnsi="Arial" w:cs="Arial"/>
                <w:color w:val="000000" w:themeColor="text1"/>
                <w:lang w:eastAsia="en-PH"/>
              </w:rPr>
            </w:pPr>
            <w:r w:rsidRPr="00B87B46">
              <w:rPr>
                <w:rFonts w:ascii="Arial" w:hAnsi="Arial" w:cs="Arial"/>
                <w:color w:val="000000" w:themeColor="text1"/>
                <w:lang w:eastAsia="en-PH"/>
              </w:rPr>
              <w:t>Departments Being Compared</w:t>
            </w:r>
          </w:p>
        </w:tc>
        <w:tc>
          <w:tcPr>
            <w:tcW w:w="662" w:type="dxa"/>
            <w:vMerge w:val="restart"/>
            <w:hideMark/>
          </w:tcPr>
          <w:p w14:paraId="2D5119DE" w14:textId="77777777" w:rsidR="002A0660" w:rsidRPr="00B87B46" w:rsidRDefault="002A0660" w:rsidP="00982FB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 xml:space="preserve">Mean </w:t>
            </w:r>
            <w:proofErr w:type="spellStart"/>
            <w:r w:rsidRPr="00B87B46">
              <w:rPr>
                <w:rFonts w:ascii="Arial" w:hAnsi="Arial" w:cs="Arial"/>
                <w:color w:val="000000" w:themeColor="text1"/>
                <w:lang w:eastAsia="en-PH"/>
              </w:rPr>
              <w:t>Diffe</w:t>
            </w:r>
            <w:proofErr w:type="spellEnd"/>
            <w:r w:rsidRPr="00B87B46">
              <w:rPr>
                <w:rFonts w:ascii="Arial" w:hAnsi="Arial" w:cs="Arial"/>
                <w:color w:val="000000" w:themeColor="text1"/>
                <w:lang w:eastAsia="en-PH"/>
              </w:rPr>
              <w:t>-</w:t>
            </w:r>
          </w:p>
          <w:p w14:paraId="1B5A2421" w14:textId="77777777" w:rsidR="002A0660" w:rsidRPr="00B87B46" w:rsidRDefault="002A0660" w:rsidP="00982FB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proofErr w:type="spellStart"/>
            <w:r w:rsidRPr="00B87B46">
              <w:rPr>
                <w:rFonts w:ascii="Arial" w:hAnsi="Arial" w:cs="Arial"/>
                <w:color w:val="000000" w:themeColor="text1"/>
                <w:lang w:eastAsia="en-PH"/>
              </w:rPr>
              <w:t>rence</w:t>
            </w:r>
            <w:proofErr w:type="spellEnd"/>
          </w:p>
        </w:tc>
        <w:tc>
          <w:tcPr>
            <w:tcW w:w="811" w:type="dxa"/>
            <w:vMerge w:val="restart"/>
            <w:hideMark/>
          </w:tcPr>
          <w:p w14:paraId="6C28CE97" w14:textId="77777777" w:rsidR="002A0660" w:rsidRPr="00B87B46" w:rsidRDefault="002A0660" w:rsidP="00982FB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Std. Error</w:t>
            </w:r>
          </w:p>
        </w:tc>
        <w:tc>
          <w:tcPr>
            <w:tcW w:w="638" w:type="dxa"/>
            <w:vMerge w:val="restart"/>
            <w:hideMark/>
          </w:tcPr>
          <w:p w14:paraId="748A776E" w14:textId="77777777" w:rsidR="002A0660" w:rsidRPr="00B87B46" w:rsidRDefault="002A0660" w:rsidP="00982FB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Sig.</w:t>
            </w:r>
          </w:p>
        </w:tc>
        <w:tc>
          <w:tcPr>
            <w:tcW w:w="1771" w:type="dxa"/>
            <w:gridSpan w:val="2"/>
            <w:hideMark/>
          </w:tcPr>
          <w:p w14:paraId="7F14AB79" w14:textId="77777777" w:rsidR="002A0660" w:rsidRPr="00B87B46" w:rsidRDefault="002A0660" w:rsidP="00982FB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95% Confidence Interval</w:t>
            </w:r>
          </w:p>
        </w:tc>
        <w:tc>
          <w:tcPr>
            <w:tcW w:w="1492" w:type="dxa"/>
            <w:vMerge w:val="restart"/>
            <w:noWrap/>
            <w:hideMark/>
          </w:tcPr>
          <w:p w14:paraId="57032C2E" w14:textId="77777777" w:rsidR="002A0660" w:rsidRPr="00B87B46" w:rsidRDefault="002A0660" w:rsidP="00982FB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Interpretation</w:t>
            </w:r>
          </w:p>
        </w:tc>
      </w:tr>
      <w:tr w:rsidR="002A0660" w:rsidRPr="00AB4297" w14:paraId="45DDCC09" w14:textId="77777777" w:rsidTr="00982FB8">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261" w:type="dxa"/>
            <w:gridSpan w:val="2"/>
            <w:vMerge/>
            <w:hideMark/>
          </w:tcPr>
          <w:p w14:paraId="5C14098D" w14:textId="77777777" w:rsidR="002A0660" w:rsidRPr="00B87B46" w:rsidRDefault="002A0660" w:rsidP="00982FB8">
            <w:pPr>
              <w:contextualSpacing/>
              <w:rPr>
                <w:rFonts w:ascii="Arial" w:hAnsi="Arial" w:cs="Arial"/>
                <w:color w:val="000000" w:themeColor="text1"/>
                <w:lang w:eastAsia="en-PH"/>
              </w:rPr>
            </w:pPr>
          </w:p>
        </w:tc>
        <w:tc>
          <w:tcPr>
            <w:tcW w:w="662" w:type="dxa"/>
            <w:vMerge/>
            <w:hideMark/>
          </w:tcPr>
          <w:p w14:paraId="07BF3A85"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c>
          <w:tcPr>
            <w:tcW w:w="811" w:type="dxa"/>
            <w:vMerge/>
            <w:hideMark/>
          </w:tcPr>
          <w:p w14:paraId="4E34C10E"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c>
          <w:tcPr>
            <w:tcW w:w="638" w:type="dxa"/>
            <w:vMerge/>
            <w:hideMark/>
          </w:tcPr>
          <w:p w14:paraId="58DF0D87"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c>
          <w:tcPr>
            <w:tcW w:w="928" w:type="dxa"/>
            <w:hideMark/>
          </w:tcPr>
          <w:p w14:paraId="0016CCEA"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Lower Bound</w:t>
            </w:r>
          </w:p>
        </w:tc>
        <w:tc>
          <w:tcPr>
            <w:tcW w:w="843" w:type="dxa"/>
            <w:hideMark/>
          </w:tcPr>
          <w:p w14:paraId="05BFCA75"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Upper Bound</w:t>
            </w:r>
          </w:p>
        </w:tc>
        <w:tc>
          <w:tcPr>
            <w:tcW w:w="1492" w:type="dxa"/>
            <w:vMerge/>
            <w:hideMark/>
          </w:tcPr>
          <w:p w14:paraId="29C6ACBE"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p>
        </w:tc>
      </w:tr>
      <w:tr w:rsidR="002A0660" w:rsidRPr="00AB4297" w14:paraId="694AC1F8" w14:textId="77777777" w:rsidTr="00982FB8">
        <w:trPr>
          <w:trHeight w:val="289"/>
        </w:trPr>
        <w:tc>
          <w:tcPr>
            <w:cnfStyle w:val="001000000000" w:firstRow="0" w:lastRow="0" w:firstColumn="1" w:lastColumn="0" w:oddVBand="0" w:evenVBand="0" w:oddHBand="0" w:evenHBand="0" w:firstRowFirstColumn="0" w:firstRowLastColumn="0" w:lastRowFirstColumn="0" w:lastRowLastColumn="0"/>
            <w:tcW w:w="1360" w:type="dxa"/>
            <w:vMerge w:val="restart"/>
            <w:hideMark/>
          </w:tcPr>
          <w:p w14:paraId="68E942D1" w14:textId="77777777" w:rsidR="002A0660" w:rsidRPr="00B87B46" w:rsidRDefault="002A0660" w:rsidP="00982FB8">
            <w:pPr>
              <w:contextualSpacing/>
              <w:rPr>
                <w:rFonts w:ascii="Arial" w:hAnsi="Arial" w:cs="Arial"/>
                <w:b w:val="0"/>
                <w:color w:val="000000" w:themeColor="text1"/>
                <w:lang w:eastAsia="en-PH"/>
              </w:rPr>
            </w:pPr>
            <w:r w:rsidRPr="00B87B46">
              <w:rPr>
                <w:rFonts w:ascii="Arial" w:hAnsi="Arial" w:cs="Arial"/>
                <w:b w:val="0"/>
                <w:color w:val="000000" w:themeColor="text1"/>
                <w:lang w:eastAsia="en-PH"/>
              </w:rPr>
              <w:t>Bus. Admin.</w:t>
            </w:r>
          </w:p>
        </w:tc>
        <w:tc>
          <w:tcPr>
            <w:tcW w:w="1901" w:type="dxa"/>
            <w:hideMark/>
          </w:tcPr>
          <w:p w14:paraId="57B54C0D" w14:textId="77777777" w:rsidR="002A0660" w:rsidRPr="00B87B46" w:rsidRDefault="002A0660" w:rsidP="00982FB8">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Criminology</w:t>
            </w:r>
          </w:p>
        </w:tc>
        <w:tc>
          <w:tcPr>
            <w:tcW w:w="662" w:type="dxa"/>
            <w:noWrap/>
            <w:hideMark/>
          </w:tcPr>
          <w:p w14:paraId="61337FCA"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-0.39</w:t>
            </w:r>
          </w:p>
        </w:tc>
        <w:tc>
          <w:tcPr>
            <w:tcW w:w="811" w:type="dxa"/>
            <w:noWrap/>
            <w:hideMark/>
          </w:tcPr>
          <w:p w14:paraId="0FBA45E6"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0.13</w:t>
            </w:r>
          </w:p>
        </w:tc>
        <w:tc>
          <w:tcPr>
            <w:tcW w:w="638" w:type="dxa"/>
            <w:noWrap/>
            <w:hideMark/>
          </w:tcPr>
          <w:p w14:paraId="7818300A"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0.02</w:t>
            </w:r>
          </w:p>
        </w:tc>
        <w:tc>
          <w:tcPr>
            <w:tcW w:w="928" w:type="dxa"/>
            <w:noWrap/>
            <w:hideMark/>
          </w:tcPr>
          <w:p w14:paraId="52F7E545"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-0.74</w:t>
            </w:r>
          </w:p>
        </w:tc>
        <w:tc>
          <w:tcPr>
            <w:tcW w:w="843" w:type="dxa"/>
            <w:noWrap/>
            <w:hideMark/>
          </w:tcPr>
          <w:p w14:paraId="0B2368CD"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-0.04</w:t>
            </w:r>
          </w:p>
        </w:tc>
        <w:tc>
          <w:tcPr>
            <w:tcW w:w="1492" w:type="dxa"/>
            <w:noWrap/>
            <w:hideMark/>
          </w:tcPr>
          <w:p w14:paraId="6878470E" w14:textId="77777777" w:rsidR="002A0660" w:rsidRPr="00B87B46" w:rsidRDefault="002A0660" w:rsidP="00982FB8">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Has Difference</w:t>
            </w:r>
          </w:p>
        </w:tc>
      </w:tr>
      <w:tr w:rsidR="002A0660" w:rsidRPr="00AB4297" w14:paraId="670EFB6D" w14:textId="77777777" w:rsidTr="00982FB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60" w:type="dxa"/>
            <w:vMerge/>
            <w:hideMark/>
          </w:tcPr>
          <w:p w14:paraId="740037C8" w14:textId="77777777" w:rsidR="002A0660" w:rsidRPr="00B87B46" w:rsidRDefault="002A0660" w:rsidP="00982FB8">
            <w:pPr>
              <w:contextualSpacing/>
              <w:rPr>
                <w:rFonts w:ascii="Arial" w:hAnsi="Arial" w:cs="Arial"/>
                <w:b w:val="0"/>
                <w:color w:val="000000" w:themeColor="text1"/>
                <w:lang w:eastAsia="en-PH"/>
              </w:rPr>
            </w:pPr>
          </w:p>
        </w:tc>
        <w:tc>
          <w:tcPr>
            <w:tcW w:w="1901" w:type="dxa"/>
            <w:hideMark/>
          </w:tcPr>
          <w:p w14:paraId="4768FB0D"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 Mgt.</w:t>
            </w:r>
          </w:p>
        </w:tc>
        <w:tc>
          <w:tcPr>
            <w:tcW w:w="662" w:type="dxa"/>
            <w:noWrap/>
            <w:hideMark/>
          </w:tcPr>
          <w:p w14:paraId="21740441"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-0.13</w:t>
            </w:r>
          </w:p>
        </w:tc>
        <w:tc>
          <w:tcPr>
            <w:tcW w:w="811" w:type="dxa"/>
            <w:noWrap/>
            <w:hideMark/>
          </w:tcPr>
          <w:p w14:paraId="7AD405FB"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0.12</w:t>
            </w:r>
          </w:p>
        </w:tc>
        <w:tc>
          <w:tcPr>
            <w:tcW w:w="638" w:type="dxa"/>
            <w:noWrap/>
            <w:hideMark/>
          </w:tcPr>
          <w:p w14:paraId="32F65C41"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0.81</w:t>
            </w:r>
          </w:p>
        </w:tc>
        <w:tc>
          <w:tcPr>
            <w:tcW w:w="928" w:type="dxa"/>
            <w:noWrap/>
            <w:hideMark/>
          </w:tcPr>
          <w:p w14:paraId="303DFD02"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-0.46</w:t>
            </w:r>
          </w:p>
        </w:tc>
        <w:tc>
          <w:tcPr>
            <w:tcW w:w="843" w:type="dxa"/>
            <w:noWrap/>
            <w:hideMark/>
          </w:tcPr>
          <w:p w14:paraId="552015EF"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0.20</w:t>
            </w:r>
          </w:p>
        </w:tc>
        <w:tc>
          <w:tcPr>
            <w:tcW w:w="1492" w:type="dxa"/>
            <w:noWrap/>
            <w:hideMark/>
          </w:tcPr>
          <w:p w14:paraId="4AF6545B"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1BAF0647" w14:textId="77777777" w:rsidTr="00982FB8">
        <w:trPr>
          <w:trHeight w:val="289"/>
        </w:trPr>
        <w:tc>
          <w:tcPr>
            <w:cnfStyle w:val="001000000000" w:firstRow="0" w:lastRow="0" w:firstColumn="1" w:lastColumn="0" w:oddVBand="0" w:evenVBand="0" w:oddHBand="0" w:evenHBand="0" w:firstRowFirstColumn="0" w:firstRowLastColumn="0" w:lastRowFirstColumn="0" w:lastRowLastColumn="0"/>
            <w:tcW w:w="1360" w:type="dxa"/>
            <w:vMerge/>
            <w:hideMark/>
          </w:tcPr>
          <w:p w14:paraId="44D072AB" w14:textId="77777777" w:rsidR="002A0660" w:rsidRPr="00B87B46" w:rsidRDefault="002A0660" w:rsidP="00982FB8">
            <w:pPr>
              <w:contextualSpacing/>
              <w:rPr>
                <w:rFonts w:ascii="Arial" w:hAnsi="Arial" w:cs="Arial"/>
                <w:b w:val="0"/>
                <w:color w:val="000000" w:themeColor="text1"/>
                <w:lang w:eastAsia="en-PH"/>
              </w:rPr>
            </w:pPr>
          </w:p>
        </w:tc>
        <w:tc>
          <w:tcPr>
            <w:tcW w:w="1901" w:type="dxa"/>
            <w:hideMark/>
          </w:tcPr>
          <w:p w14:paraId="0BCBDD72" w14:textId="77777777" w:rsidR="002A0660" w:rsidRPr="00B87B46" w:rsidRDefault="002A0660" w:rsidP="00982FB8">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Agriculture</w:t>
            </w:r>
          </w:p>
        </w:tc>
        <w:tc>
          <w:tcPr>
            <w:tcW w:w="662" w:type="dxa"/>
            <w:noWrap/>
            <w:hideMark/>
          </w:tcPr>
          <w:p w14:paraId="26FB114B"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-0.22</w:t>
            </w:r>
          </w:p>
        </w:tc>
        <w:tc>
          <w:tcPr>
            <w:tcW w:w="811" w:type="dxa"/>
            <w:noWrap/>
            <w:hideMark/>
          </w:tcPr>
          <w:p w14:paraId="08D32A8A"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0.17</w:t>
            </w:r>
          </w:p>
        </w:tc>
        <w:tc>
          <w:tcPr>
            <w:tcW w:w="638" w:type="dxa"/>
            <w:noWrap/>
            <w:hideMark/>
          </w:tcPr>
          <w:p w14:paraId="28139DC4"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0.70</w:t>
            </w:r>
          </w:p>
        </w:tc>
        <w:tc>
          <w:tcPr>
            <w:tcW w:w="928" w:type="dxa"/>
            <w:noWrap/>
            <w:hideMark/>
          </w:tcPr>
          <w:p w14:paraId="1398336F"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-0.68</w:t>
            </w:r>
          </w:p>
        </w:tc>
        <w:tc>
          <w:tcPr>
            <w:tcW w:w="843" w:type="dxa"/>
            <w:noWrap/>
            <w:hideMark/>
          </w:tcPr>
          <w:p w14:paraId="50F9EAE3"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0.25</w:t>
            </w:r>
          </w:p>
        </w:tc>
        <w:tc>
          <w:tcPr>
            <w:tcW w:w="1492" w:type="dxa"/>
            <w:noWrap/>
            <w:hideMark/>
          </w:tcPr>
          <w:p w14:paraId="1EB4DDD5" w14:textId="77777777" w:rsidR="002A0660" w:rsidRPr="00B87B46" w:rsidRDefault="002A0660" w:rsidP="00982FB8">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76B54584" w14:textId="77777777" w:rsidTr="00982FB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60" w:type="dxa"/>
            <w:vMerge/>
            <w:hideMark/>
          </w:tcPr>
          <w:p w14:paraId="249099BA" w14:textId="77777777" w:rsidR="002A0660" w:rsidRPr="00B87B46" w:rsidRDefault="002A0660" w:rsidP="00982FB8">
            <w:pPr>
              <w:contextualSpacing/>
              <w:rPr>
                <w:rFonts w:ascii="Arial" w:hAnsi="Arial" w:cs="Arial"/>
                <w:b w:val="0"/>
                <w:color w:val="000000" w:themeColor="text1"/>
                <w:lang w:eastAsia="en-PH"/>
              </w:rPr>
            </w:pPr>
          </w:p>
        </w:tc>
        <w:tc>
          <w:tcPr>
            <w:tcW w:w="1901" w:type="dxa"/>
            <w:hideMark/>
          </w:tcPr>
          <w:p w14:paraId="5A66366E"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Elem. Educ.</w:t>
            </w:r>
          </w:p>
        </w:tc>
        <w:tc>
          <w:tcPr>
            <w:tcW w:w="662" w:type="dxa"/>
            <w:noWrap/>
            <w:hideMark/>
          </w:tcPr>
          <w:p w14:paraId="1E430D34"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-0.36</w:t>
            </w:r>
          </w:p>
        </w:tc>
        <w:tc>
          <w:tcPr>
            <w:tcW w:w="811" w:type="dxa"/>
            <w:noWrap/>
            <w:hideMark/>
          </w:tcPr>
          <w:p w14:paraId="0D5E454E"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0.19</w:t>
            </w:r>
          </w:p>
        </w:tc>
        <w:tc>
          <w:tcPr>
            <w:tcW w:w="638" w:type="dxa"/>
            <w:noWrap/>
            <w:hideMark/>
          </w:tcPr>
          <w:p w14:paraId="74958AC3"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0.33</w:t>
            </w:r>
          </w:p>
        </w:tc>
        <w:tc>
          <w:tcPr>
            <w:tcW w:w="928" w:type="dxa"/>
            <w:noWrap/>
            <w:hideMark/>
          </w:tcPr>
          <w:p w14:paraId="27F95B58"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-0.89</w:t>
            </w:r>
          </w:p>
        </w:tc>
        <w:tc>
          <w:tcPr>
            <w:tcW w:w="843" w:type="dxa"/>
            <w:noWrap/>
            <w:hideMark/>
          </w:tcPr>
          <w:p w14:paraId="2432063A"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0.16</w:t>
            </w:r>
          </w:p>
        </w:tc>
        <w:tc>
          <w:tcPr>
            <w:tcW w:w="1492" w:type="dxa"/>
            <w:noWrap/>
            <w:hideMark/>
          </w:tcPr>
          <w:p w14:paraId="2E25AEF2"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1AECE6F5" w14:textId="77777777" w:rsidTr="00982FB8">
        <w:trPr>
          <w:trHeight w:val="289"/>
        </w:trPr>
        <w:tc>
          <w:tcPr>
            <w:cnfStyle w:val="001000000000" w:firstRow="0" w:lastRow="0" w:firstColumn="1" w:lastColumn="0" w:oddVBand="0" w:evenVBand="0" w:oddHBand="0" w:evenHBand="0" w:firstRowFirstColumn="0" w:firstRowLastColumn="0" w:lastRowFirstColumn="0" w:lastRowLastColumn="0"/>
            <w:tcW w:w="1360" w:type="dxa"/>
            <w:vMerge w:val="restart"/>
            <w:hideMark/>
          </w:tcPr>
          <w:p w14:paraId="2338BD5C" w14:textId="77777777" w:rsidR="002A0660" w:rsidRPr="00B87B46" w:rsidRDefault="002A0660" w:rsidP="00982FB8">
            <w:pPr>
              <w:contextualSpacing/>
              <w:rPr>
                <w:rFonts w:ascii="Arial" w:hAnsi="Arial" w:cs="Arial"/>
                <w:b w:val="0"/>
                <w:color w:val="000000" w:themeColor="text1"/>
                <w:lang w:eastAsia="en-PH"/>
              </w:rPr>
            </w:pPr>
            <w:r w:rsidRPr="00B87B46">
              <w:rPr>
                <w:rFonts w:ascii="Arial" w:hAnsi="Arial" w:cs="Arial"/>
                <w:b w:val="0"/>
                <w:color w:val="000000" w:themeColor="text1"/>
                <w:lang w:eastAsia="en-PH"/>
              </w:rPr>
              <w:t>Criminology</w:t>
            </w:r>
          </w:p>
        </w:tc>
        <w:tc>
          <w:tcPr>
            <w:tcW w:w="1901" w:type="dxa"/>
            <w:hideMark/>
          </w:tcPr>
          <w:p w14:paraId="52C5352F" w14:textId="77777777" w:rsidR="002A0660" w:rsidRPr="00B87B46" w:rsidRDefault="002A0660" w:rsidP="00982FB8">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 Mgt.</w:t>
            </w:r>
          </w:p>
        </w:tc>
        <w:tc>
          <w:tcPr>
            <w:tcW w:w="662" w:type="dxa"/>
            <w:noWrap/>
            <w:hideMark/>
          </w:tcPr>
          <w:p w14:paraId="72961FD7"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0.26</w:t>
            </w:r>
          </w:p>
        </w:tc>
        <w:tc>
          <w:tcPr>
            <w:tcW w:w="811" w:type="dxa"/>
            <w:noWrap/>
            <w:hideMark/>
          </w:tcPr>
          <w:p w14:paraId="04507E29"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0.15</w:t>
            </w:r>
          </w:p>
        </w:tc>
        <w:tc>
          <w:tcPr>
            <w:tcW w:w="638" w:type="dxa"/>
            <w:noWrap/>
            <w:hideMark/>
          </w:tcPr>
          <w:p w14:paraId="1F049289"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0.38</w:t>
            </w:r>
          </w:p>
        </w:tc>
        <w:tc>
          <w:tcPr>
            <w:tcW w:w="928" w:type="dxa"/>
            <w:noWrap/>
            <w:hideMark/>
          </w:tcPr>
          <w:p w14:paraId="0D76489F"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-0.14</w:t>
            </w:r>
          </w:p>
        </w:tc>
        <w:tc>
          <w:tcPr>
            <w:tcW w:w="843" w:type="dxa"/>
            <w:noWrap/>
            <w:hideMark/>
          </w:tcPr>
          <w:p w14:paraId="0DCCADBE"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0.66</w:t>
            </w:r>
          </w:p>
        </w:tc>
        <w:tc>
          <w:tcPr>
            <w:tcW w:w="1492" w:type="dxa"/>
            <w:noWrap/>
            <w:hideMark/>
          </w:tcPr>
          <w:p w14:paraId="00320B6C" w14:textId="77777777" w:rsidR="002A0660" w:rsidRPr="00B87B46" w:rsidRDefault="002A0660" w:rsidP="00982FB8">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25C6BADF" w14:textId="77777777" w:rsidTr="00982FB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60" w:type="dxa"/>
            <w:vMerge/>
            <w:hideMark/>
          </w:tcPr>
          <w:p w14:paraId="0D650BBE" w14:textId="77777777" w:rsidR="002A0660" w:rsidRPr="00B87B46" w:rsidRDefault="002A0660" w:rsidP="00982FB8">
            <w:pPr>
              <w:contextualSpacing/>
              <w:rPr>
                <w:rFonts w:ascii="Arial" w:hAnsi="Arial" w:cs="Arial"/>
                <w:b w:val="0"/>
                <w:color w:val="000000" w:themeColor="text1"/>
                <w:lang w:eastAsia="en-PH"/>
              </w:rPr>
            </w:pPr>
          </w:p>
        </w:tc>
        <w:tc>
          <w:tcPr>
            <w:tcW w:w="1901" w:type="dxa"/>
            <w:hideMark/>
          </w:tcPr>
          <w:p w14:paraId="78802580"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Agriculture</w:t>
            </w:r>
          </w:p>
        </w:tc>
        <w:tc>
          <w:tcPr>
            <w:tcW w:w="662" w:type="dxa"/>
            <w:noWrap/>
            <w:hideMark/>
          </w:tcPr>
          <w:p w14:paraId="672BA984"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0.17</w:t>
            </w:r>
          </w:p>
        </w:tc>
        <w:tc>
          <w:tcPr>
            <w:tcW w:w="811" w:type="dxa"/>
            <w:noWrap/>
            <w:hideMark/>
          </w:tcPr>
          <w:p w14:paraId="11131D46"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0.19</w:t>
            </w:r>
          </w:p>
        </w:tc>
        <w:tc>
          <w:tcPr>
            <w:tcW w:w="638" w:type="dxa"/>
            <w:noWrap/>
            <w:hideMark/>
          </w:tcPr>
          <w:p w14:paraId="2556C49F"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0.89</w:t>
            </w:r>
          </w:p>
        </w:tc>
        <w:tc>
          <w:tcPr>
            <w:tcW w:w="928" w:type="dxa"/>
            <w:noWrap/>
            <w:hideMark/>
          </w:tcPr>
          <w:p w14:paraId="0CC1D877"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-0.34</w:t>
            </w:r>
          </w:p>
        </w:tc>
        <w:tc>
          <w:tcPr>
            <w:tcW w:w="843" w:type="dxa"/>
            <w:noWrap/>
            <w:hideMark/>
          </w:tcPr>
          <w:p w14:paraId="0399F266"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0.69</w:t>
            </w:r>
          </w:p>
        </w:tc>
        <w:tc>
          <w:tcPr>
            <w:tcW w:w="1492" w:type="dxa"/>
            <w:noWrap/>
            <w:hideMark/>
          </w:tcPr>
          <w:p w14:paraId="43F4EA21"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77BAFC85" w14:textId="77777777" w:rsidTr="00982FB8">
        <w:trPr>
          <w:trHeight w:val="289"/>
        </w:trPr>
        <w:tc>
          <w:tcPr>
            <w:cnfStyle w:val="001000000000" w:firstRow="0" w:lastRow="0" w:firstColumn="1" w:lastColumn="0" w:oddVBand="0" w:evenVBand="0" w:oddHBand="0" w:evenHBand="0" w:firstRowFirstColumn="0" w:firstRowLastColumn="0" w:lastRowFirstColumn="0" w:lastRowLastColumn="0"/>
            <w:tcW w:w="1360" w:type="dxa"/>
            <w:vMerge/>
            <w:hideMark/>
          </w:tcPr>
          <w:p w14:paraId="53FBD068" w14:textId="77777777" w:rsidR="002A0660" w:rsidRPr="00B87B46" w:rsidRDefault="002A0660" w:rsidP="00982FB8">
            <w:pPr>
              <w:contextualSpacing/>
              <w:rPr>
                <w:rFonts w:ascii="Arial" w:hAnsi="Arial" w:cs="Arial"/>
                <w:b w:val="0"/>
                <w:color w:val="000000" w:themeColor="text1"/>
                <w:lang w:eastAsia="en-PH"/>
              </w:rPr>
            </w:pPr>
          </w:p>
        </w:tc>
        <w:tc>
          <w:tcPr>
            <w:tcW w:w="1901" w:type="dxa"/>
            <w:hideMark/>
          </w:tcPr>
          <w:p w14:paraId="7E7705FC" w14:textId="77777777" w:rsidR="002A0660" w:rsidRPr="00B87B46" w:rsidRDefault="002A0660" w:rsidP="00982FB8">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Elem. Educ.</w:t>
            </w:r>
          </w:p>
        </w:tc>
        <w:tc>
          <w:tcPr>
            <w:tcW w:w="662" w:type="dxa"/>
            <w:noWrap/>
            <w:hideMark/>
          </w:tcPr>
          <w:p w14:paraId="372D9D71"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0.03</w:t>
            </w:r>
          </w:p>
        </w:tc>
        <w:tc>
          <w:tcPr>
            <w:tcW w:w="811" w:type="dxa"/>
            <w:noWrap/>
            <w:hideMark/>
          </w:tcPr>
          <w:p w14:paraId="6BFDCC7E"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0.21</w:t>
            </w:r>
          </w:p>
        </w:tc>
        <w:tc>
          <w:tcPr>
            <w:tcW w:w="638" w:type="dxa"/>
            <w:noWrap/>
            <w:hideMark/>
          </w:tcPr>
          <w:p w14:paraId="029AF2D1"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1.00</w:t>
            </w:r>
          </w:p>
        </w:tc>
        <w:tc>
          <w:tcPr>
            <w:tcW w:w="928" w:type="dxa"/>
            <w:noWrap/>
            <w:hideMark/>
          </w:tcPr>
          <w:p w14:paraId="0D61E4EA"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-0.54</w:t>
            </w:r>
          </w:p>
        </w:tc>
        <w:tc>
          <w:tcPr>
            <w:tcW w:w="843" w:type="dxa"/>
            <w:noWrap/>
            <w:hideMark/>
          </w:tcPr>
          <w:p w14:paraId="7F97A632"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0.60</w:t>
            </w:r>
          </w:p>
        </w:tc>
        <w:tc>
          <w:tcPr>
            <w:tcW w:w="1492" w:type="dxa"/>
            <w:noWrap/>
            <w:hideMark/>
          </w:tcPr>
          <w:p w14:paraId="77CFBE0D" w14:textId="77777777" w:rsidR="002A0660" w:rsidRPr="00B87B46" w:rsidRDefault="002A0660" w:rsidP="00982FB8">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5C0EEBD4" w14:textId="77777777" w:rsidTr="00982FB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60" w:type="dxa"/>
            <w:vMerge w:val="restart"/>
            <w:hideMark/>
          </w:tcPr>
          <w:p w14:paraId="5B7667A3" w14:textId="77777777" w:rsidR="002A0660" w:rsidRPr="00B87B46" w:rsidRDefault="002A0660" w:rsidP="00982FB8">
            <w:pPr>
              <w:contextualSpacing/>
              <w:rPr>
                <w:rFonts w:ascii="Arial" w:hAnsi="Arial" w:cs="Arial"/>
                <w:b w:val="0"/>
                <w:color w:val="000000" w:themeColor="text1"/>
                <w:lang w:eastAsia="en-PH"/>
              </w:rPr>
            </w:pPr>
            <w:r w:rsidRPr="00B87B46">
              <w:rPr>
                <w:rFonts w:ascii="Arial" w:hAnsi="Arial" w:cs="Arial"/>
                <w:b w:val="0"/>
                <w:color w:val="000000" w:themeColor="text1"/>
                <w:lang w:eastAsia="en-PH"/>
              </w:rPr>
              <w:t>Agri. Mgt.</w:t>
            </w:r>
          </w:p>
        </w:tc>
        <w:tc>
          <w:tcPr>
            <w:tcW w:w="1901" w:type="dxa"/>
            <w:hideMark/>
          </w:tcPr>
          <w:p w14:paraId="6872B2A7"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Agriculture</w:t>
            </w:r>
          </w:p>
        </w:tc>
        <w:tc>
          <w:tcPr>
            <w:tcW w:w="662" w:type="dxa"/>
            <w:noWrap/>
            <w:hideMark/>
          </w:tcPr>
          <w:p w14:paraId="133C93BA"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-0.09</w:t>
            </w:r>
          </w:p>
        </w:tc>
        <w:tc>
          <w:tcPr>
            <w:tcW w:w="811" w:type="dxa"/>
            <w:noWrap/>
            <w:hideMark/>
          </w:tcPr>
          <w:p w14:paraId="15FBFEFF"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0.18</w:t>
            </w:r>
          </w:p>
        </w:tc>
        <w:tc>
          <w:tcPr>
            <w:tcW w:w="638" w:type="dxa"/>
            <w:noWrap/>
            <w:hideMark/>
          </w:tcPr>
          <w:p w14:paraId="7F72277E"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0.99</w:t>
            </w:r>
          </w:p>
        </w:tc>
        <w:tc>
          <w:tcPr>
            <w:tcW w:w="928" w:type="dxa"/>
            <w:noWrap/>
            <w:hideMark/>
          </w:tcPr>
          <w:p w14:paraId="59620914"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-0.59</w:t>
            </w:r>
          </w:p>
        </w:tc>
        <w:tc>
          <w:tcPr>
            <w:tcW w:w="843" w:type="dxa"/>
            <w:noWrap/>
            <w:hideMark/>
          </w:tcPr>
          <w:p w14:paraId="21032B4B"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0.42</w:t>
            </w:r>
          </w:p>
        </w:tc>
        <w:tc>
          <w:tcPr>
            <w:tcW w:w="1492" w:type="dxa"/>
            <w:noWrap/>
            <w:hideMark/>
          </w:tcPr>
          <w:p w14:paraId="11A0ACB9"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591A324E" w14:textId="77777777" w:rsidTr="00982FB8">
        <w:trPr>
          <w:trHeight w:val="289"/>
        </w:trPr>
        <w:tc>
          <w:tcPr>
            <w:cnfStyle w:val="001000000000" w:firstRow="0" w:lastRow="0" w:firstColumn="1" w:lastColumn="0" w:oddVBand="0" w:evenVBand="0" w:oddHBand="0" w:evenHBand="0" w:firstRowFirstColumn="0" w:firstRowLastColumn="0" w:lastRowFirstColumn="0" w:lastRowLastColumn="0"/>
            <w:tcW w:w="1360" w:type="dxa"/>
            <w:vMerge/>
            <w:hideMark/>
          </w:tcPr>
          <w:p w14:paraId="437A0DD1" w14:textId="77777777" w:rsidR="002A0660" w:rsidRPr="00B87B46" w:rsidRDefault="002A0660" w:rsidP="00982FB8">
            <w:pPr>
              <w:contextualSpacing/>
              <w:rPr>
                <w:rFonts w:ascii="Arial" w:hAnsi="Arial" w:cs="Arial"/>
                <w:b w:val="0"/>
                <w:color w:val="000000" w:themeColor="text1"/>
                <w:lang w:eastAsia="en-PH"/>
              </w:rPr>
            </w:pPr>
          </w:p>
        </w:tc>
        <w:tc>
          <w:tcPr>
            <w:tcW w:w="1901" w:type="dxa"/>
            <w:hideMark/>
          </w:tcPr>
          <w:p w14:paraId="3C70D0AF" w14:textId="77777777" w:rsidR="002A0660" w:rsidRPr="00B87B46" w:rsidRDefault="002A0660" w:rsidP="00982FB8">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Elem. Educ.</w:t>
            </w:r>
          </w:p>
        </w:tc>
        <w:tc>
          <w:tcPr>
            <w:tcW w:w="662" w:type="dxa"/>
            <w:noWrap/>
            <w:hideMark/>
          </w:tcPr>
          <w:p w14:paraId="4F02A789"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-0.23</w:t>
            </w:r>
          </w:p>
        </w:tc>
        <w:tc>
          <w:tcPr>
            <w:tcW w:w="811" w:type="dxa"/>
            <w:noWrap/>
            <w:hideMark/>
          </w:tcPr>
          <w:p w14:paraId="33E20411"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0.20</w:t>
            </w:r>
          </w:p>
        </w:tc>
        <w:tc>
          <w:tcPr>
            <w:tcW w:w="638" w:type="dxa"/>
            <w:noWrap/>
            <w:hideMark/>
          </w:tcPr>
          <w:p w14:paraId="00C2DD17"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0.79</w:t>
            </w:r>
          </w:p>
        </w:tc>
        <w:tc>
          <w:tcPr>
            <w:tcW w:w="928" w:type="dxa"/>
            <w:noWrap/>
            <w:hideMark/>
          </w:tcPr>
          <w:p w14:paraId="4EA877D2"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-0.79</w:t>
            </w:r>
          </w:p>
        </w:tc>
        <w:tc>
          <w:tcPr>
            <w:tcW w:w="843" w:type="dxa"/>
            <w:noWrap/>
            <w:hideMark/>
          </w:tcPr>
          <w:p w14:paraId="3009A389" w14:textId="77777777" w:rsidR="002A0660" w:rsidRPr="00B87B46" w:rsidRDefault="002A0660" w:rsidP="00982FB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0.33</w:t>
            </w:r>
          </w:p>
        </w:tc>
        <w:tc>
          <w:tcPr>
            <w:tcW w:w="1492" w:type="dxa"/>
            <w:noWrap/>
            <w:hideMark/>
          </w:tcPr>
          <w:p w14:paraId="7CD38174" w14:textId="77777777" w:rsidR="002A0660" w:rsidRPr="00B87B46" w:rsidRDefault="002A0660" w:rsidP="00982FB8">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514B6DDF" w14:textId="77777777" w:rsidTr="00982FB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60" w:type="dxa"/>
            <w:hideMark/>
          </w:tcPr>
          <w:p w14:paraId="5D08BB37" w14:textId="77777777" w:rsidR="002A0660" w:rsidRPr="00B87B46" w:rsidRDefault="002A0660" w:rsidP="00982FB8">
            <w:pPr>
              <w:contextualSpacing/>
              <w:rPr>
                <w:rFonts w:ascii="Arial" w:hAnsi="Arial" w:cs="Arial"/>
                <w:b w:val="0"/>
                <w:color w:val="000000" w:themeColor="text1"/>
                <w:lang w:eastAsia="en-PH"/>
              </w:rPr>
            </w:pPr>
            <w:r w:rsidRPr="00B87B46">
              <w:rPr>
                <w:rFonts w:ascii="Arial" w:hAnsi="Arial" w:cs="Arial"/>
                <w:b w:val="0"/>
                <w:color w:val="000000" w:themeColor="text1"/>
                <w:lang w:eastAsia="en-PH"/>
              </w:rPr>
              <w:t>Agriculture</w:t>
            </w:r>
          </w:p>
        </w:tc>
        <w:tc>
          <w:tcPr>
            <w:tcW w:w="1901" w:type="dxa"/>
            <w:hideMark/>
          </w:tcPr>
          <w:p w14:paraId="330327DD"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Elem. Educ.</w:t>
            </w:r>
          </w:p>
        </w:tc>
        <w:tc>
          <w:tcPr>
            <w:tcW w:w="662" w:type="dxa"/>
            <w:noWrap/>
            <w:hideMark/>
          </w:tcPr>
          <w:p w14:paraId="1B1D1EEE"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-0.14</w:t>
            </w:r>
          </w:p>
        </w:tc>
        <w:tc>
          <w:tcPr>
            <w:tcW w:w="811" w:type="dxa"/>
            <w:noWrap/>
            <w:hideMark/>
          </w:tcPr>
          <w:p w14:paraId="47385B8A"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0.24</w:t>
            </w:r>
          </w:p>
        </w:tc>
        <w:tc>
          <w:tcPr>
            <w:tcW w:w="638" w:type="dxa"/>
            <w:noWrap/>
            <w:hideMark/>
          </w:tcPr>
          <w:p w14:paraId="581C971F"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0.97</w:t>
            </w:r>
          </w:p>
        </w:tc>
        <w:tc>
          <w:tcPr>
            <w:tcW w:w="928" w:type="dxa"/>
            <w:noWrap/>
            <w:hideMark/>
          </w:tcPr>
          <w:p w14:paraId="5BDE5FDE"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-0.79</w:t>
            </w:r>
          </w:p>
        </w:tc>
        <w:tc>
          <w:tcPr>
            <w:tcW w:w="843" w:type="dxa"/>
            <w:noWrap/>
            <w:hideMark/>
          </w:tcPr>
          <w:p w14:paraId="7D10BF28" w14:textId="77777777" w:rsidR="002A0660" w:rsidRPr="00B87B46" w:rsidRDefault="002A0660" w:rsidP="00982FB8">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0.50</w:t>
            </w:r>
          </w:p>
        </w:tc>
        <w:tc>
          <w:tcPr>
            <w:tcW w:w="1492" w:type="dxa"/>
            <w:noWrap/>
            <w:hideMark/>
          </w:tcPr>
          <w:p w14:paraId="068256DF" w14:textId="77777777" w:rsidR="002A0660" w:rsidRPr="00B87B46" w:rsidRDefault="002A0660" w:rsidP="00982FB8">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bl>
    <w:p w14:paraId="30A96871" w14:textId="77777777" w:rsidR="002A0660" w:rsidRDefault="002A0660" w:rsidP="00441B6F">
      <w:pPr>
        <w:pStyle w:val="Body"/>
        <w:spacing w:after="0"/>
        <w:rPr>
          <w:rFonts w:ascii="Arial" w:hAnsi="Arial" w:cs="Arial"/>
        </w:rPr>
      </w:pPr>
    </w:p>
    <w:p w14:paraId="21144EE3" w14:textId="77777777" w:rsidR="00E47419" w:rsidRPr="00E47419" w:rsidRDefault="00E47419" w:rsidP="00E47419">
      <w:pPr>
        <w:pStyle w:val="Body"/>
        <w:spacing w:after="0"/>
        <w:rPr>
          <w:rFonts w:ascii="Arial" w:hAnsi="Arial" w:cs="Arial"/>
          <w:lang w:val="en-PH"/>
        </w:rPr>
      </w:pPr>
      <w:r w:rsidRPr="00E47419">
        <w:rPr>
          <w:rFonts w:ascii="Arial" w:hAnsi="Arial" w:cs="Arial"/>
          <w:lang w:val="en-PH"/>
        </w:rPr>
        <w:t>Table 22 indicates a significant difference only between Business Administration and Criminology students (p = .02), with Criminology students reporting higher perceived gender discrimination, likely due to the field’s traditionally male-dominated context. Literature supports that students in justice-related programs are more exposed to gender disparities and discussions on gender-based violence, roles, and legal inequalities, which heightens awareness (</w:t>
      </w:r>
      <w:proofErr w:type="spellStart"/>
      <w:r w:rsidRPr="00E47419">
        <w:rPr>
          <w:rFonts w:ascii="Arial" w:hAnsi="Arial" w:cs="Arial"/>
          <w:lang w:val="en-PH"/>
        </w:rPr>
        <w:t>Bottia</w:t>
      </w:r>
      <w:proofErr w:type="spellEnd"/>
      <w:r w:rsidRPr="00E47419">
        <w:rPr>
          <w:rFonts w:ascii="Arial" w:hAnsi="Arial" w:cs="Arial"/>
          <w:lang w:val="en-PH"/>
        </w:rPr>
        <w:t xml:space="preserve"> et al., 2016; Torres Diaz, 2020). In contrast, business programs often </w:t>
      </w:r>
      <w:r w:rsidRPr="00E47419">
        <w:rPr>
          <w:rFonts w:ascii="Arial" w:hAnsi="Arial" w:cs="Arial"/>
          <w:lang w:val="en-PH"/>
        </w:rPr>
        <w:lastRenderedPageBreak/>
        <w:t>emphasize competitive and profit-oriented frameworks with less focus on social justice issues, contributing to lower perceived awareness (Edward &amp; Ellis, 2020).</w:t>
      </w:r>
    </w:p>
    <w:p w14:paraId="3A90D2CA" w14:textId="77777777" w:rsidR="009147A8" w:rsidRDefault="009147A8" w:rsidP="00441B6F">
      <w:pPr>
        <w:pStyle w:val="Body"/>
        <w:spacing w:after="0"/>
        <w:rPr>
          <w:rFonts w:ascii="Arial" w:hAnsi="Arial" w:cs="Arial"/>
        </w:rPr>
      </w:pPr>
    </w:p>
    <w:p w14:paraId="42D1FB26" w14:textId="007366C1" w:rsidR="007F2740" w:rsidRDefault="007F2740" w:rsidP="007F2740">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6 </w:t>
      </w:r>
      <w:r w:rsidR="007F1611" w:rsidRPr="007F1611">
        <w:rPr>
          <w:rFonts w:ascii="Arial" w:hAnsi="Arial" w:cs="Arial"/>
          <w:b/>
          <w:sz w:val="22"/>
        </w:rPr>
        <w:t>Significant Differences in the Level of Gender Equality Based on Respondents’ Demographic Profile</w:t>
      </w:r>
    </w:p>
    <w:p w14:paraId="2CE0B9C5" w14:textId="2545131F" w:rsidR="009147A8" w:rsidRDefault="009147A8" w:rsidP="00441B6F">
      <w:pPr>
        <w:pStyle w:val="Body"/>
        <w:spacing w:after="0"/>
        <w:rPr>
          <w:rFonts w:ascii="Arial" w:hAnsi="Arial" w:cs="Arial"/>
        </w:rPr>
      </w:pPr>
    </w:p>
    <w:p w14:paraId="069BCC38" w14:textId="6D1F1DA5" w:rsidR="009147A8" w:rsidRDefault="00310BB9" w:rsidP="00441B6F">
      <w:pPr>
        <w:pStyle w:val="Body"/>
        <w:spacing w:after="0"/>
        <w:rPr>
          <w:rFonts w:ascii="Arial" w:hAnsi="Arial" w:cs="Arial"/>
        </w:rPr>
      </w:pPr>
      <w:r w:rsidRPr="00310BB9">
        <w:rPr>
          <w:rFonts w:ascii="Arial" w:hAnsi="Arial" w:cs="Arial"/>
        </w:rPr>
        <w:t xml:space="preserve">To examine whether significant differences exist in respondents' perceptions of gender equality based on their demographic characteristics, statistical analyses using Analysis of Variance (ANOVA) were conducted. </w:t>
      </w:r>
      <w:r w:rsidR="00D715C1">
        <w:rPr>
          <w:rFonts w:ascii="Arial" w:hAnsi="Arial" w:cs="Arial"/>
        </w:rPr>
        <w:t xml:space="preserve">Table 23 indicate no significant difference in perceptions of gender equality across age groups (f = 2.837, p = .051), suggesting that age is not a decisive factor in shaping views within this sample. Although close to the significance threshold, the result remains non-significant, indicating relatively uniform perceptions. </w:t>
      </w:r>
      <w:r w:rsidRPr="00B87B46">
        <w:rPr>
          <w:rFonts w:ascii="Arial" w:hAnsi="Arial" w:cs="Arial"/>
        </w:rPr>
        <w:t xml:space="preserve"> </w:t>
      </w:r>
    </w:p>
    <w:p w14:paraId="72243E39" w14:textId="77777777" w:rsidR="00310BB9" w:rsidRDefault="00310BB9" w:rsidP="00441B6F">
      <w:pPr>
        <w:pStyle w:val="Body"/>
        <w:spacing w:after="0"/>
        <w:rPr>
          <w:rFonts w:ascii="Arial" w:hAnsi="Arial" w:cs="Arial"/>
        </w:rPr>
      </w:pPr>
    </w:p>
    <w:p w14:paraId="6EC9247E" w14:textId="774E1502" w:rsidR="001C1577" w:rsidRPr="006C64CC" w:rsidRDefault="001C1577" w:rsidP="001C1577">
      <w:pPr>
        <w:contextualSpacing/>
        <w:jc w:val="both"/>
        <w:rPr>
          <w:rFonts w:ascii="Arial" w:hAnsi="Arial" w:cs="Arial"/>
          <w:b/>
          <w:color w:val="000000" w:themeColor="text1"/>
        </w:rPr>
      </w:pPr>
      <w:r w:rsidRPr="006C64CC">
        <w:rPr>
          <w:rFonts w:ascii="Arial" w:hAnsi="Arial" w:cs="Arial"/>
          <w:b/>
          <w:color w:val="000000" w:themeColor="text1"/>
        </w:rPr>
        <w:t>Table 2</w:t>
      </w:r>
      <w:r w:rsidR="006636C7" w:rsidRPr="006C64CC">
        <w:rPr>
          <w:rFonts w:ascii="Arial" w:hAnsi="Arial" w:cs="Arial"/>
          <w:b/>
          <w:color w:val="000000" w:themeColor="text1"/>
        </w:rPr>
        <w:t>3</w:t>
      </w:r>
      <w:r w:rsidRPr="006C64CC">
        <w:rPr>
          <w:rFonts w:ascii="Arial" w:hAnsi="Arial" w:cs="Arial"/>
          <w:b/>
          <w:color w:val="000000" w:themeColor="text1"/>
        </w:rPr>
        <w:t>. Significant difference in the level of gender equality when grouped according to age</w:t>
      </w:r>
    </w:p>
    <w:tbl>
      <w:tblPr>
        <w:tblStyle w:val="PlainTable2"/>
        <w:tblpPr w:leftFromText="180" w:rightFromText="180" w:vertAnchor="text" w:horzAnchor="margin" w:tblpY="39"/>
        <w:tblW w:w="8189" w:type="dxa"/>
        <w:tblLook w:val="04A0" w:firstRow="1" w:lastRow="0" w:firstColumn="1" w:lastColumn="0" w:noHBand="0" w:noVBand="1"/>
      </w:tblPr>
      <w:tblGrid>
        <w:gridCol w:w="2028"/>
        <w:gridCol w:w="2067"/>
        <w:gridCol w:w="654"/>
        <w:gridCol w:w="1736"/>
        <w:gridCol w:w="852"/>
        <w:gridCol w:w="852"/>
      </w:tblGrid>
      <w:tr w:rsidR="001C1577" w:rsidRPr="006636C7" w14:paraId="5C92DBDE" w14:textId="77777777" w:rsidTr="009204DF">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3589EBF0" w14:textId="77777777" w:rsidR="001C1577" w:rsidRPr="00B87B46" w:rsidRDefault="001C1577" w:rsidP="00982FB8">
            <w:pPr>
              <w:contextualSpacing/>
              <w:jc w:val="center"/>
              <w:rPr>
                <w:rFonts w:ascii="Arial" w:hAnsi="Arial" w:cs="Arial"/>
                <w:b w:val="0"/>
                <w:color w:val="000000" w:themeColor="text1"/>
              </w:rPr>
            </w:pPr>
            <w:r w:rsidRPr="00B87B46">
              <w:rPr>
                <w:rFonts w:ascii="Arial" w:hAnsi="Arial" w:cs="Arial"/>
                <w:color w:val="000000" w:themeColor="text1"/>
              </w:rPr>
              <w:t>Source</w:t>
            </w:r>
          </w:p>
        </w:tc>
        <w:tc>
          <w:tcPr>
            <w:tcW w:w="0" w:type="auto"/>
            <w:hideMark/>
          </w:tcPr>
          <w:p w14:paraId="072D1AE7" w14:textId="77777777" w:rsidR="001C1577" w:rsidRPr="00B87B46" w:rsidRDefault="001C1577" w:rsidP="00982FB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Sum of Squares</w:t>
            </w:r>
          </w:p>
        </w:tc>
        <w:tc>
          <w:tcPr>
            <w:tcW w:w="0" w:type="auto"/>
            <w:hideMark/>
          </w:tcPr>
          <w:p w14:paraId="686DB2AF" w14:textId="77777777" w:rsidR="001C1577" w:rsidRPr="00B87B46" w:rsidRDefault="001C1577" w:rsidP="00982FB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df</w:t>
            </w:r>
          </w:p>
        </w:tc>
        <w:tc>
          <w:tcPr>
            <w:tcW w:w="0" w:type="auto"/>
            <w:hideMark/>
          </w:tcPr>
          <w:p w14:paraId="536CC834" w14:textId="77777777" w:rsidR="001C1577" w:rsidRPr="00B87B46" w:rsidRDefault="001C1577" w:rsidP="00982FB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Square</w:t>
            </w:r>
          </w:p>
        </w:tc>
        <w:tc>
          <w:tcPr>
            <w:tcW w:w="0" w:type="auto"/>
            <w:hideMark/>
          </w:tcPr>
          <w:p w14:paraId="0F494A8F" w14:textId="77777777" w:rsidR="001C1577" w:rsidRPr="00B87B46" w:rsidRDefault="001C1577" w:rsidP="00982FB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F</w:t>
            </w:r>
          </w:p>
        </w:tc>
        <w:tc>
          <w:tcPr>
            <w:tcW w:w="0" w:type="auto"/>
            <w:hideMark/>
          </w:tcPr>
          <w:p w14:paraId="09BE175C" w14:textId="77777777" w:rsidR="001C1577" w:rsidRPr="00B87B46" w:rsidRDefault="001C1577" w:rsidP="00982FB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r>
      <w:tr w:rsidR="001C1577" w:rsidRPr="006636C7" w14:paraId="15DAAA33" w14:textId="77777777" w:rsidTr="00920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0909BD60" w14:textId="77777777" w:rsidR="001C1577" w:rsidRPr="00B87B46" w:rsidRDefault="001C1577" w:rsidP="00982FB8">
            <w:pPr>
              <w:contextualSpacing/>
              <w:jc w:val="both"/>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55B2CAAA"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2.636</w:t>
            </w:r>
          </w:p>
        </w:tc>
        <w:tc>
          <w:tcPr>
            <w:tcW w:w="0" w:type="auto"/>
            <w:hideMark/>
          </w:tcPr>
          <w:p w14:paraId="4715BDD7"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w:t>
            </w:r>
          </w:p>
        </w:tc>
        <w:tc>
          <w:tcPr>
            <w:tcW w:w="0" w:type="auto"/>
            <w:hideMark/>
          </w:tcPr>
          <w:p w14:paraId="2820B208"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0.879</w:t>
            </w:r>
          </w:p>
        </w:tc>
        <w:tc>
          <w:tcPr>
            <w:tcW w:w="0" w:type="auto"/>
            <w:hideMark/>
          </w:tcPr>
          <w:p w14:paraId="095A96FB"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2.837</w:t>
            </w:r>
          </w:p>
        </w:tc>
        <w:tc>
          <w:tcPr>
            <w:tcW w:w="0" w:type="auto"/>
            <w:hideMark/>
          </w:tcPr>
          <w:p w14:paraId="735EC5E4"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0.051</w:t>
            </w:r>
          </w:p>
        </w:tc>
      </w:tr>
      <w:tr w:rsidR="001C1577" w:rsidRPr="006636C7" w14:paraId="1C05FD8B" w14:textId="77777777" w:rsidTr="009204DF">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00C02F70" w14:textId="77777777" w:rsidR="001C1577" w:rsidRPr="00B87B46" w:rsidRDefault="001C1577" w:rsidP="00982FB8">
            <w:pPr>
              <w:contextualSpacing/>
              <w:jc w:val="both"/>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67E8850C"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98.188</w:t>
            </w:r>
          </w:p>
        </w:tc>
        <w:tc>
          <w:tcPr>
            <w:tcW w:w="0" w:type="auto"/>
            <w:hideMark/>
          </w:tcPr>
          <w:p w14:paraId="5E450163"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317</w:t>
            </w:r>
          </w:p>
        </w:tc>
        <w:tc>
          <w:tcPr>
            <w:tcW w:w="0" w:type="auto"/>
            <w:hideMark/>
          </w:tcPr>
          <w:p w14:paraId="18532B14"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0.310</w:t>
            </w:r>
          </w:p>
        </w:tc>
        <w:tc>
          <w:tcPr>
            <w:tcW w:w="0" w:type="auto"/>
            <w:hideMark/>
          </w:tcPr>
          <w:p w14:paraId="49A85843"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5A4ECC71"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1C1577" w:rsidRPr="006636C7" w14:paraId="65338BCF" w14:textId="77777777" w:rsidTr="00920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2CDC85F4" w14:textId="77777777" w:rsidR="001C1577" w:rsidRPr="00B87B46" w:rsidRDefault="001C1577" w:rsidP="00982FB8">
            <w:pPr>
              <w:contextualSpacing/>
              <w:jc w:val="both"/>
              <w:rPr>
                <w:rFonts w:ascii="Arial" w:hAnsi="Arial" w:cs="Arial"/>
                <w:color w:val="000000" w:themeColor="text1"/>
              </w:rPr>
            </w:pPr>
            <w:r w:rsidRPr="00B87B46">
              <w:rPr>
                <w:rFonts w:ascii="Arial" w:hAnsi="Arial" w:cs="Arial"/>
                <w:color w:val="000000" w:themeColor="text1"/>
              </w:rPr>
              <w:t>Total</w:t>
            </w:r>
          </w:p>
        </w:tc>
        <w:tc>
          <w:tcPr>
            <w:tcW w:w="0" w:type="auto"/>
            <w:hideMark/>
          </w:tcPr>
          <w:p w14:paraId="230BADEB"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100.824</w:t>
            </w:r>
          </w:p>
        </w:tc>
        <w:tc>
          <w:tcPr>
            <w:tcW w:w="0" w:type="auto"/>
            <w:hideMark/>
          </w:tcPr>
          <w:p w14:paraId="121BE6C4"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5370B13D"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254C484E"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7A7E9553" w14:textId="77777777" w:rsidR="001C1577" w:rsidRPr="00B87B46" w:rsidRDefault="001C1577" w:rsidP="009204DF">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2DA5848B" w14:textId="77777777" w:rsidR="001C1577" w:rsidRPr="006636C7" w:rsidRDefault="001C1577" w:rsidP="00441B6F">
      <w:pPr>
        <w:pStyle w:val="Body"/>
        <w:spacing w:after="0"/>
        <w:rPr>
          <w:rFonts w:ascii="Arial" w:hAnsi="Arial" w:cs="Arial"/>
        </w:rPr>
      </w:pPr>
    </w:p>
    <w:p w14:paraId="366E8D21" w14:textId="5014A3AA" w:rsidR="00A579D1" w:rsidRPr="00A579D1" w:rsidRDefault="00A579D1" w:rsidP="00A579D1">
      <w:pPr>
        <w:pStyle w:val="Body"/>
        <w:spacing w:after="0"/>
        <w:rPr>
          <w:rFonts w:ascii="Arial" w:hAnsi="Arial" w:cs="Arial"/>
          <w:lang w:val="en-PH"/>
        </w:rPr>
      </w:pPr>
      <w:r w:rsidRPr="00A579D1">
        <w:rPr>
          <w:rFonts w:ascii="Arial" w:hAnsi="Arial" w:cs="Arial"/>
          <w:lang w:val="en-PH"/>
        </w:rPr>
        <w:t>Supporting literature presents mixed findings, with some studies suggesting younger individuals hold more progressive views due to exposure to egalitarian values, while others argue that age alone is insufficient without influences such as education, culture, or media (Shakeri &amp; North, 2025; Knight &amp; Brinton, 2017; Genner &amp; Siss, 2017). Overall, the findings imply that perceptions of gender equality are similarly shared across age groups.</w:t>
      </w:r>
    </w:p>
    <w:p w14:paraId="6CBCEA08" w14:textId="77777777" w:rsidR="00310BB9" w:rsidRDefault="00310BB9" w:rsidP="00441B6F">
      <w:pPr>
        <w:pStyle w:val="Body"/>
        <w:spacing w:after="0"/>
        <w:rPr>
          <w:rFonts w:ascii="Arial" w:hAnsi="Arial" w:cs="Arial"/>
        </w:rPr>
      </w:pPr>
    </w:p>
    <w:p w14:paraId="5728ED67" w14:textId="3010E7E8" w:rsidR="00474F23" w:rsidRDefault="00474F23" w:rsidP="00441B6F">
      <w:pPr>
        <w:pStyle w:val="Body"/>
        <w:spacing w:after="0"/>
        <w:rPr>
          <w:rFonts w:ascii="Arial" w:hAnsi="Arial" w:cs="Arial"/>
        </w:rPr>
      </w:pPr>
      <w:r>
        <w:rPr>
          <w:rFonts w:ascii="Arial" w:hAnsi="Arial" w:cs="Arial"/>
        </w:rPr>
        <w:t xml:space="preserve">Table 24 shows that there is no statistically significant difference in perceptions of gender equality across genders (f=2.468, p=.086). This indicates that respondents, regardless of gender identity, express relatively similar perspectives on gender equality. </w:t>
      </w:r>
    </w:p>
    <w:p w14:paraId="19D55E6C" w14:textId="77777777" w:rsidR="00474F23" w:rsidRPr="00B87B46" w:rsidRDefault="00474F23" w:rsidP="00441B6F">
      <w:pPr>
        <w:pStyle w:val="Body"/>
        <w:spacing w:after="0"/>
        <w:rPr>
          <w:rFonts w:ascii="Arial" w:hAnsi="Arial" w:cs="Arial"/>
        </w:rPr>
      </w:pPr>
    </w:p>
    <w:p w14:paraId="6A57116B" w14:textId="26CC528C" w:rsidR="00735766" w:rsidRPr="006C64CC" w:rsidRDefault="00735766" w:rsidP="00735766">
      <w:pPr>
        <w:contextualSpacing/>
        <w:jc w:val="both"/>
        <w:rPr>
          <w:rFonts w:ascii="Arial" w:hAnsi="Arial" w:cs="Arial"/>
          <w:b/>
          <w:color w:val="000000" w:themeColor="text1"/>
          <w:szCs w:val="18"/>
        </w:rPr>
      </w:pPr>
      <w:r w:rsidRPr="006C64CC">
        <w:rPr>
          <w:rFonts w:ascii="Arial" w:hAnsi="Arial" w:cs="Arial"/>
          <w:b/>
          <w:color w:val="000000" w:themeColor="text1"/>
          <w:szCs w:val="18"/>
        </w:rPr>
        <w:t>Table 2</w:t>
      </w:r>
      <w:r w:rsidR="006636C7" w:rsidRPr="006C64CC">
        <w:rPr>
          <w:rFonts w:ascii="Arial" w:hAnsi="Arial" w:cs="Arial"/>
          <w:b/>
          <w:color w:val="000000" w:themeColor="text1"/>
          <w:szCs w:val="18"/>
        </w:rPr>
        <w:t>4</w:t>
      </w:r>
      <w:r w:rsidRPr="006C64CC">
        <w:rPr>
          <w:rFonts w:ascii="Arial" w:hAnsi="Arial" w:cs="Arial"/>
          <w:b/>
          <w:color w:val="000000" w:themeColor="text1"/>
          <w:szCs w:val="18"/>
        </w:rPr>
        <w:t>. Significant difference in the level of gender equality when grouped according to gender</w:t>
      </w:r>
    </w:p>
    <w:tbl>
      <w:tblPr>
        <w:tblStyle w:val="PlainTable2"/>
        <w:tblW w:w="8170" w:type="dxa"/>
        <w:tblLook w:val="04A0" w:firstRow="1" w:lastRow="0" w:firstColumn="1" w:lastColumn="0" w:noHBand="0" w:noVBand="1"/>
      </w:tblPr>
      <w:tblGrid>
        <w:gridCol w:w="2024"/>
        <w:gridCol w:w="2062"/>
        <w:gridCol w:w="652"/>
        <w:gridCol w:w="1732"/>
        <w:gridCol w:w="850"/>
        <w:gridCol w:w="850"/>
      </w:tblGrid>
      <w:tr w:rsidR="00735766" w:rsidRPr="006636C7" w14:paraId="6E001B56" w14:textId="77777777" w:rsidTr="009204DF">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2944243E" w14:textId="77777777" w:rsidR="00735766" w:rsidRPr="00B87B46" w:rsidRDefault="00735766" w:rsidP="009204DF">
            <w:pPr>
              <w:contextualSpacing/>
              <w:rPr>
                <w:rFonts w:ascii="Arial" w:hAnsi="Arial" w:cs="Arial"/>
                <w:color w:val="000000" w:themeColor="text1"/>
              </w:rPr>
            </w:pPr>
            <w:r w:rsidRPr="00B87B46">
              <w:rPr>
                <w:rFonts w:ascii="Arial" w:hAnsi="Arial" w:cs="Arial"/>
                <w:color w:val="000000" w:themeColor="text1"/>
              </w:rPr>
              <w:t>Source</w:t>
            </w:r>
          </w:p>
        </w:tc>
        <w:tc>
          <w:tcPr>
            <w:tcW w:w="0" w:type="auto"/>
            <w:hideMark/>
          </w:tcPr>
          <w:p w14:paraId="362F275B"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Sum of Squares</w:t>
            </w:r>
          </w:p>
        </w:tc>
        <w:tc>
          <w:tcPr>
            <w:tcW w:w="0" w:type="auto"/>
            <w:hideMark/>
          </w:tcPr>
          <w:p w14:paraId="4A0596D0"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df</w:t>
            </w:r>
          </w:p>
        </w:tc>
        <w:tc>
          <w:tcPr>
            <w:tcW w:w="0" w:type="auto"/>
            <w:hideMark/>
          </w:tcPr>
          <w:p w14:paraId="537791B6"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Mean Square</w:t>
            </w:r>
          </w:p>
        </w:tc>
        <w:tc>
          <w:tcPr>
            <w:tcW w:w="0" w:type="auto"/>
            <w:hideMark/>
          </w:tcPr>
          <w:p w14:paraId="2D1DDF64"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F</w:t>
            </w:r>
          </w:p>
        </w:tc>
        <w:tc>
          <w:tcPr>
            <w:tcW w:w="0" w:type="auto"/>
            <w:hideMark/>
          </w:tcPr>
          <w:p w14:paraId="6E0FC4DC"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Sig.</w:t>
            </w:r>
          </w:p>
        </w:tc>
      </w:tr>
      <w:tr w:rsidR="00735766" w:rsidRPr="006636C7" w14:paraId="33556051" w14:textId="77777777" w:rsidTr="009204D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1525B658" w14:textId="77777777" w:rsidR="00735766" w:rsidRPr="00B87B46" w:rsidRDefault="00735766" w:rsidP="00982FB8">
            <w:pPr>
              <w:contextualSpacing/>
              <w:jc w:val="both"/>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62D10A6F"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1.541</w:t>
            </w:r>
          </w:p>
        </w:tc>
        <w:tc>
          <w:tcPr>
            <w:tcW w:w="0" w:type="auto"/>
            <w:hideMark/>
          </w:tcPr>
          <w:p w14:paraId="088A3492"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w:t>
            </w:r>
          </w:p>
        </w:tc>
        <w:tc>
          <w:tcPr>
            <w:tcW w:w="0" w:type="auto"/>
            <w:hideMark/>
          </w:tcPr>
          <w:p w14:paraId="390F7C43"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0.771</w:t>
            </w:r>
          </w:p>
        </w:tc>
        <w:tc>
          <w:tcPr>
            <w:tcW w:w="0" w:type="auto"/>
            <w:hideMark/>
          </w:tcPr>
          <w:p w14:paraId="221EEB29"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2.468</w:t>
            </w:r>
          </w:p>
        </w:tc>
        <w:tc>
          <w:tcPr>
            <w:tcW w:w="0" w:type="auto"/>
            <w:hideMark/>
          </w:tcPr>
          <w:p w14:paraId="17304F0D"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0.086</w:t>
            </w:r>
          </w:p>
        </w:tc>
      </w:tr>
      <w:tr w:rsidR="00735766" w:rsidRPr="006636C7" w14:paraId="05C8674A" w14:textId="77777777" w:rsidTr="009204DF">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6D5CDEE9" w14:textId="77777777" w:rsidR="00735766" w:rsidRPr="00B87B46" w:rsidRDefault="00735766" w:rsidP="00982FB8">
            <w:pPr>
              <w:contextualSpacing/>
              <w:jc w:val="both"/>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1EE08888"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99.283</w:t>
            </w:r>
          </w:p>
        </w:tc>
        <w:tc>
          <w:tcPr>
            <w:tcW w:w="0" w:type="auto"/>
            <w:hideMark/>
          </w:tcPr>
          <w:p w14:paraId="26E294DC"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318</w:t>
            </w:r>
          </w:p>
        </w:tc>
        <w:tc>
          <w:tcPr>
            <w:tcW w:w="0" w:type="auto"/>
            <w:hideMark/>
          </w:tcPr>
          <w:p w14:paraId="5D759263"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0.312</w:t>
            </w:r>
          </w:p>
        </w:tc>
        <w:tc>
          <w:tcPr>
            <w:tcW w:w="0" w:type="auto"/>
            <w:hideMark/>
          </w:tcPr>
          <w:p w14:paraId="027DD156"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2FD47CE7"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735766" w:rsidRPr="006636C7" w14:paraId="55A99AF5" w14:textId="77777777" w:rsidTr="009204DF">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742F434B" w14:textId="77777777" w:rsidR="00735766" w:rsidRPr="00B87B46" w:rsidRDefault="00735766" w:rsidP="00982FB8">
            <w:pPr>
              <w:contextualSpacing/>
              <w:jc w:val="both"/>
              <w:rPr>
                <w:rFonts w:ascii="Arial" w:hAnsi="Arial" w:cs="Arial"/>
                <w:color w:val="000000" w:themeColor="text1"/>
              </w:rPr>
            </w:pPr>
            <w:r w:rsidRPr="00B87B46">
              <w:rPr>
                <w:rFonts w:ascii="Arial" w:hAnsi="Arial" w:cs="Arial"/>
                <w:color w:val="000000" w:themeColor="text1"/>
              </w:rPr>
              <w:t>Total</w:t>
            </w:r>
          </w:p>
        </w:tc>
        <w:tc>
          <w:tcPr>
            <w:tcW w:w="0" w:type="auto"/>
            <w:hideMark/>
          </w:tcPr>
          <w:p w14:paraId="5435840A"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100.824</w:t>
            </w:r>
          </w:p>
        </w:tc>
        <w:tc>
          <w:tcPr>
            <w:tcW w:w="0" w:type="auto"/>
            <w:hideMark/>
          </w:tcPr>
          <w:p w14:paraId="24174DC6"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2D0F6C1D"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43B35D71"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0" w:type="auto"/>
            <w:hideMark/>
          </w:tcPr>
          <w:p w14:paraId="531487C6" w14:textId="77777777" w:rsidR="00735766" w:rsidRPr="00B87B46" w:rsidRDefault="00735766" w:rsidP="00927FEC">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577437B8" w14:textId="77777777" w:rsidR="00A0182F" w:rsidRDefault="00A0182F" w:rsidP="00441B6F">
      <w:pPr>
        <w:pStyle w:val="Body"/>
        <w:spacing w:after="0"/>
        <w:rPr>
          <w:rFonts w:ascii="Arial" w:hAnsi="Arial" w:cs="Arial"/>
        </w:rPr>
      </w:pPr>
    </w:p>
    <w:p w14:paraId="5932C819" w14:textId="3F92FA1B" w:rsidR="00310BB9" w:rsidRDefault="00A0182F" w:rsidP="00441B6F">
      <w:pPr>
        <w:pStyle w:val="Body"/>
        <w:spacing w:after="0"/>
        <w:rPr>
          <w:rFonts w:ascii="Arial" w:hAnsi="Arial" w:cs="Arial"/>
        </w:rPr>
      </w:pPr>
      <w:r w:rsidRPr="00A0182F">
        <w:rPr>
          <w:rFonts w:ascii="Arial" w:hAnsi="Arial" w:cs="Arial"/>
        </w:rPr>
        <w:t xml:space="preserve">In line with the results, studies by Abbas &amp; Smith (2023) have examined </w:t>
      </w:r>
      <w:proofErr w:type="spellStart"/>
      <w:r w:rsidRPr="00A0182F">
        <w:rPr>
          <w:rFonts w:ascii="Arial" w:hAnsi="Arial" w:cs="Arial"/>
        </w:rPr>
        <w:t>genderbased</w:t>
      </w:r>
      <w:proofErr w:type="spellEnd"/>
      <w:r w:rsidRPr="00A0182F">
        <w:rPr>
          <w:rFonts w:ascii="Arial" w:hAnsi="Arial" w:cs="Arial"/>
        </w:rPr>
        <w:t xml:space="preserve"> perceptions of equality, noting that while men and women often differ in lived experiences, modern educational and societal shifts can foster similar views, particularly in environments that promote gender-sensitive learning. These environments, such as inclusive classrooms and co-curricular programs, often emphasize mutual respect and critical reflection, which can help bridge perceptual gaps among gender groups (Assefa, 2024). In support, Pattani et al. (2018) emphasize the importance of institutional policies in reducing gender-based disparities in perception.</w:t>
      </w:r>
    </w:p>
    <w:p w14:paraId="33021EDA" w14:textId="77777777" w:rsidR="007F1611" w:rsidRDefault="007F1611" w:rsidP="00441B6F">
      <w:pPr>
        <w:pStyle w:val="Body"/>
        <w:spacing w:after="0"/>
        <w:rPr>
          <w:rFonts w:ascii="Arial" w:hAnsi="Arial" w:cs="Arial"/>
        </w:rPr>
      </w:pPr>
    </w:p>
    <w:p w14:paraId="0986B806" w14:textId="13B86ADF" w:rsidR="00F72E19" w:rsidRDefault="00F72E19" w:rsidP="00441B6F">
      <w:pPr>
        <w:pStyle w:val="Body"/>
        <w:spacing w:after="0"/>
        <w:rPr>
          <w:rFonts w:ascii="Arial" w:hAnsi="Arial" w:cs="Arial"/>
        </w:rPr>
      </w:pPr>
      <w:r>
        <w:rPr>
          <w:rFonts w:ascii="Arial" w:hAnsi="Arial" w:cs="Arial"/>
        </w:rPr>
        <w:t xml:space="preserve">Table 25 indicates no significant difference in perceptions of gender equality based on year level (f=2.109, p=.099). This suggests that students across different academic standings hold relatively consistent views regarding gender equality. </w:t>
      </w:r>
    </w:p>
    <w:p w14:paraId="26120469" w14:textId="77777777" w:rsidR="00F72E19" w:rsidRPr="00B87B46" w:rsidRDefault="00F72E19" w:rsidP="00441B6F">
      <w:pPr>
        <w:pStyle w:val="Body"/>
        <w:spacing w:after="0"/>
        <w:rPr>
          <w:rFonts w:ascii="Arial" w:hAnsi="Arial" w:cs="Arial"/>
        </w:rPr>
      </w:pPr>
    </w:p>
    <w:p w14:paraId="120B33D9" w14:textId="1EAC5DF9" w:rsidR="00935242" w:rsidRPr="00F72E19" w:rsidRDefault="00935242" w:rsidP="00935242">
      <w:pPr>
        <w:contextualSpacing/>
        <w:jc w:val="both"/>
        <w:rPr>
          <w:rFonts w:ascii="Arial" w:hAnsi="Arial" w:cs="Arial"/>
          <w:b/>
          <w:color w:val="000000" w:themeColor="text1"/>
          <w:szCs w:val="18"/>
        </w:rPr>
      </w:pPr>
      <w:r w:rsidRPr="00F72E19">
        <w:rPr>
          <w:rFonts w:ascii="Arial" w:hAnsi="Arial" w:cs="Arial"/>
          <w:b/>
          <w:color w:val="000000" w:themeColor="text1"/>
          <w:szCs w:val="18"/>
        </w:rPr>
        <w:lastRenderedPageBreak/>
        <w:t>Table 2</w:t>
      </w:r>
      <w:r w:rsidR="006636C7" w:rsidRPr="00F72E19">
        <w:rPr>
          <w:rFonts w:ascii="Arial" w:hAnsi="Arial" w:cs="Arial"/>
          <w:b/>
          <w:color w:val="000000" w:themeColor="text1"/>
          <w:szCs w:val="18"/>
        </w:rPr>
        <w:t>5</w:t>
      </w:r>
      <w:r w:rsidRPr="00F72E19">
        <w:rPr>
          <w:rFonts w:ascii="Arial" w:hAnsi="Arial" w:cs="Arial"/>
          <w:b/>
          <w:color w:val="000000" w:themeColor="text1"/>
          <w:szCs w:val="18"/>
        </w:rPr>
        <w:t>. Significant difference in the level of gender equality when grouped according to year level</w:t>
      </w:r>
    </w:p>
    <w:tbl>
      <w:tblPr>
        <w:tblStyle w:val="PlainTable2"/>
        <w:tblW w:w="8190" w:type="dxa"/>
        <w:tblLook w:val="04A0" w:firstRow="1" w:lastRow="0" w:firstColumn="1" w:lastColumn="0" w:noHBand="0" w:noVBand="1"/>
      </w:tblPr>
      <w:tblGrid>
        <w:gridCol w:w="2028"/>
        <w:gridCol w:w="2067"/>
        <w:gridCol w:w="654"/>
        <w:gridCol w:w="1737"/>
        <w:gridCol w:w="852"/>
        <w:gridCol w:w="852"/>
      </w:tblGrid>
      <w:tr w:rsidR="00935242" w:rsidRPr="00B87B46" w14:paraId="31F4534A" w14:textId="77777777" w:rsidTr="009C328B">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52D0D4D0" w14:textId="77777777" w:rsidR="00935242" w:rsidRPr="00B87B46" w:rsidRDefault="00935242" w:rsidP="009C328B">
            <w:pPr>
              <w:rPr>
                <w:rFonts w:ascii="Arial" w:hAnsi="Arial" w:cs="Arial"/>
                <w:color w:val="000000" w:themeColor="text1"/>
                <w:szCs w:val="18"/>
              </w:rPr>
            </w:pPr>
            <w:r w:rsidRPr="00B87B46">
              <w:rPr>
                <w:rFonts w:ascii="Arial" w:hAnsi="Arial" w:cs="Arial"/>
                <w:color w:val="000000" w:themeColor="text1"/>
                <w:szCs w:val="18"/>
              </w:rPr>
              <w:t>Source</w:t>
            </w:r>
          </w:p>
        </w:tc>
        <w:tc>
          <w:tcPr>
            <w:tcW w:w="0" w:type="auto"/>
            <w:hideMark/>
          </w:tcPr>
          <w:p w14:paraId="30810641"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Sum of Squares</w:t>
            </w:r>
          </w:p>
        </w:tc>
        <w:tc>
          <w:tcPr>
            <w:tcW w:w="0" w:type="auto"/>
            <w:hideMark/>
          </w:tcPr>
          <w:p w14:paraId="60D9CB85"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df</w:t>
            </w:r>
          </w:p>
        </w:tc>
        <w:tc>
          <w:tcPr>
            <w:tcW w:w="0" w:type="auto"/>
            <w:hideMark/>
          </w:tcPr>
          <w:p w14:paraId="1E619A57"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Mean Square</w:t>
            </w:r>
          </w:p>
        </w:tc>
        <w:tc>
          <w:tcPr>
            <w:tcW w:w="0" w:type="auto"/>
            <w:hideMark/>
          </w:tcPr>
          <w:p w14:paraId="216ABA19"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F</w:t>
            </w:r>
          </w:p>
        </w:tc>
        <w:tc>
          <w:tcPr>
            <w:tcW w:w="0" w:type="auto"/>
            <w:hideMark/>
          </w:tcPr>
          <w:p w14:paraId="1672174B"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Sig.</w:t>
            </w:r>
          </w:p>
        </w:tc>
      </w:tr>
      <w:tr w:rsidR="00935242" w:rsidRPr="00B87B46" w14:paraId="710A93AF" w14:textId="77777777" w:rsidTr="009C32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052C1CD2" w14:textId="77777777" w:rsidR="00935242" w:rsidRPr="00B87B46" w:rsidRDefault="00935242" w:rsidP="009C328B">
            <w:pPr>
              <w:rPr>
                <w:rFonts w:ascii="Arial" w:hAnsi="Arial" w:cs="Arial"/>
                <w:b w:val="0"/>
                <w:color w:val="000000" w:themeColor="text1"/>
                <w:szCs w:val="18"/>
              </w:rPr>
            </w:pPr>
            <w:r w:rsidRPr="00B87B46">
              <w:rPr>
                <w:rFonts w:ascii="Arial" w:hAnsi="Arial" w:cs="Arial"/>
                <w:b w:val="0"/>
                <w:color w:val="000000" w:themeColor="text1"/>
                <w:szCs w:val="18"/>
              </w:rPr>
              <w:t>Between Groups</w:t>
            </w:r>
          </w:p>
        </w:tc>
        <w:tc>
          <w:tcPr>
            <w:tcW w:w="0" w:type="auto"/>
            <w:hideMark/>
          </w:tcPr>
          <w:p w14:paraId="085A5D17"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1.973</w:t>
            </w:r>
          </w:p>
        </w:tc>
        <w:tc>
          <w:tcPr>
            <w:tcW w:w="0" w:type="auto"/>
            <w:hideMark/>
          </w:tcPr>
          <w:p w14:paraId="0DB1E2B2"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w:t>
            </w:r>
          </w:p>
        </w:tc>
        <w:tc>
          <w:tcPr>
            <w:tcW w:w="0" w:type="auto"/>
            <w:hideMark/>
          </w:tcPr>
          <w:p w14:paraId="7C528800"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0.658</w:t>
            </w:r>
          </w:p>
        </w:tc>
        <w:tc>
          <w:tcPr>
            <w:tcW w:w="0" w:type="auto"/>
            <w:hideMark/>
          </w:tcPr>
          <w:p w14:paraId="053850D4"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2.109</w:t>
            </w:r>
          </w:p>
        </w:tc>
        <w:tc>
          <w:tcPr>
            <w:tcW w:w="0" w:type="auto"/>
            <w:hideMark/>
          </w:tcPr>
          <w:p w14:paraId="5C818CFC"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0.099</w:t>
            </w:r>
          </w:p>
        </w:tc>
      </w:tr>
      <w:tr w:rsidR="00935242" w:rsidRPr="00B87B46" w14:paraId="08EC7456" w14:textId="77777777" w:rsidTr="009C328B">
        <w:trPr>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3DD08F3E" w14:textId="77777777" w:rsidR="00935242" w:rsidRPr="00B87B46" w:rsidRDefault="00935242" w:rsidP="009C328B">
            <w:pPr>
              <w:rPr>
                <w:rFonts w:ascii="Arial" w:hAnsi="Arial" w:cs="Arial"/>
                <w:b w:val="0"/>
                <w:color w:val="000000" w:themeColor="text1"/>
                <w:szCs w:val="18"/>
              </w:rPr>
            </w:pPr>
            <w:r w:rsidRPr="00B87B46">
              <w:rPr>
                <w:rFonts w:ascii="Arial" w:hAnsi="Arial" w:cs="Arial"/>
                <w:b w:val="0"/>
                <w:color w:val="000000" w:themeColor="text1"/>
                <w:szCs w:val="18"/>
              </w:rPr>
              <w:t>Within Groups</w:t>
            </w:r>
          </w:p>
        </w:tc>
        <w:tc>
          <w:tcPr>
            <w:tcW w:w="0" w:type="auto"/>
            <w:hideMark/>
          </w:tcPr>
          <w:p w14:paraId="0514224E"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98.851</w:t>
            </w:r>
          </w:p>
        </w:tc>
        <w:tc>
          <w:tcPr>
            <w:tcW w:w="0" w:type="auto"/>
            <w:hideMark/>
          </w:tcPr>
          <w:p w14:paraId="7074C993"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317</w:t>
            </w:r>
          </w:p>
        </w:tc>
        <w:tc>
          <w:tcPr>
            <w:tcW w:w="0" w:type="auto"/>
            <w:hideMark/>
          </w:tcPr>
          <w:p w14:paraId="4B65F1EE"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0.312</w:t>
            </w:r>
          </w:p>
        </w:tc>
        <w:tc>
          <w:tcPr>
            <w:tcW w:w="0" w:type="auto"/>
            <w:hideMark/>
          </w:tcPr>
          <w:p w14:paraId="20FF1619"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p>
        </w:tc>
        <w:tc>
          <w:tcPr>
            <w:tcW w:w="0" w:type="auto"/>
            <w:hideMark/>
          </w:tcPr>
          <w:p w14:paraId="74FF805D"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p>
        </w:tc>
      </w:tr>
      <w:tr w:rsidR="00935242" w:rsidRPr="00B87B46" w14:paraId="0C065DDC" w14:textId="77777777" w:rsidTr="009C328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hideMark/>
          </w:tcPr>
          <w:p w14:paraId="7237C727" w14:textId="77777777" w:rsidR="00935242" w:rsidRPr="00B87B46" w:rsidRDefault="00935242" w:rsidP="009C328B">
            <w:pPr>
              <w:rPr>
                <w:rFonts w:ascii="Arial" w:hAnsi="Arial" w:cs="Arial"/>
                <w:color w:val="000000" w:themeColor="text1"/>
                <w:szCs w:val="18"/>
              </w:rPr>
            </w:pPr>
            <w:r w:rsidRPr="00B87B46">
              <w:rPr>
                <w:rFonts w:ascii="Arial" w:hAnsi="Arial" w:cs="Arial"/>
                <w:color w:val="000000" w:themeColor="text1"/>
                <w:szCs w:val="18"/>
              </w:rPr>
              <w:t>Total</w:t>
            </w:r>
          </w:p>
        </w:tc>
        <w:tc>
          <w:tcPr>
            <w:tcW w:w="0" w:type="auto"/>
            <w:hideMark/>
          </w:tcPr>
          <w:p w14:paraId="60E0210C"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100.824</w:t>
            </w:r>
          </w:p>
        </w:tc>
        <w:tc>
          <w:tcPr>
            <w:tcW w:w="0" w:type="auto"/>
            <w:hideMark/>
          </w:tcPr>
          <w:p w14:paraId="1160A932"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320</w:t>
            </w:r>
          </w:p>
        </w:tc>
        <w:tc>
          <w:tcPr>
            <w:tcW w:w="0" w:type="auto"/>
            <w:hideMark/>
          </w:tcPr>
          <w:p w14:paraId="4447A2DA"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p>
        </w:tc>
        <w:tc>
          <w:tcPr>
            <w:tcW w:w="0" w:type="auto"/>
            <w:hideMark/>
          </w:tcPr>
          <w:p w14:paraId="0B3F6E2C"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p>
        </w:tc>
        <w:tc>
          <w:tcPr>
            <w:tcW w:w="0" w:type="auto"/>
            <w:hideMark/>
          </w:tcPr>
          <w:p w14:paraId="1B7253D2" w14:textId="77777777" w:rsidR="00935242" w:rsidRPr="00B87B46" w:rsidRDefault="00935242"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p>
        </w:tc>
      </w:tr>
    </w:tbl>
    <w:p w14:paraId="27727B81" w14:textId="77777777" w:rsidR="00A0182F" w:rsidRDefault="00A0182F" w:rsidP="00441B6F">
      <w:pPr>
        <w:pStyle w:val="Body"/>
        <w:spacing w:after="0"/>
        <w:rPr>
          <w:rFonts w:ascii="Arial" w:hAnsi="Arial" w:cs="Arial"/>
        </w:rPr>
      </w:pPr>
    </w:p>
    <w:p w14:paraId="6EB5A5D0" w14:textId="7A90602A" w:rsidR="00A0182F" w:rsidRDefault="00A0182F" w:rsidP="00441B6F">
      <w:pPr>
        <w:pStyle w:val="Body"/>
        <w:spacing w:after="0"/>
        <w:rPr>
          <w:rFonts w:ascii="Arial" w:hAnsi="Arial" w:cs="Arial"/>
        </w:rPr>
      </w:pPr>
      <w:r w:rsidRPr="00A0182F">
        <w:rPr>
          <w:rFonts w:ascii="Arial" w:hAnsi="Arial" w:cs="Arial"/>
        </w:rPr>
        <w:t>In line with the results, Verge et al. (2018) stated that educational progression alone does not always equate to differences in gender-related attitudes unless it is accompanied by a specialized curricular emphasis on gender issues. Without intentional integration of gender-focused content, student attitudes may remain unchanged despite academic advancement (</w:t>
      </w:r>
      <w:proofErr w:type="spellStart"/>
      <w:r w:rsidRPr="00A0182F">
        <w:rPr>
          <w:rFonts w:ascii="Arial" w:hAnsi="Arial" w:cs="Arial"/>
        </w:rPr>
        <w:t>Cadeliña</w:t>
      </w:r>
      <w:proofErr w:type="spellEnd"/>
      <w:r w:rsidRPr="00A0182F">
        <w:rPr>
          <w:rFonts w:ascii="Arial" w:hAnsi="Arial" w:cs="Arial"/>
        </w:rPr>
        <w:t xml:space="preserve">, 2025). Moreover, Wu (2024) found that students in universities with inclusive environments and targeted programs tend to develop early and sustained gender-equal perspectives regardless of their academic year. </w:t>
      </w:r>
    </w:p>
    <w:p w14:paraId="3379A25C" w14:textId="77777777" w:rsidR="00540DA8" w:rsidRDefault="00540DA8" w:rsidP="00441B6F">
      <w:pPr>
        <w:pStyle w:val="Body"/>
        <w:spacing w:after="0"/>
        <w:rPr>
          <w:rFonts w:ascii="Arial" w:hAnsi="Arial" w:cs="Arial"/>
        </w:rPr>
      </w:pPr>
    </w:p>
    <w:p w14:paraId="74E39867" w14:textId="5E57F559" w:rsidR="005B2588" w:rsidRPr="00B87B46" w:rsidRDefault="005B2588" w:rsidP="005B2588">
      <w:pPr>
        <w:contextualSpacing/>
        <w:jc w:val="both"/>
        <w:rPr>
          <w:rFonts w:ascii="Arial" w:hAnsi="Arial" w:cs="Arial"/>
          <w:color w:val="000000" w:themeColor="text1"/>
          <w:szCs w:val="18"/>
        </w:rPr>
      </w:pPr>
      <w:r w:rsidRPr="00B87B46">
        <w:rPr>
          <w:rFonts w:ascii="Arial" w:hAnsi="Arial" w:cs="Arial"/>
          <w:color w:val="000000" w:themeColor="text1"/>
          <w:szCs w:val="18"/>
        </w:rPr>
        <w:t>Table 2</w:t>
      </w:r>
      <w:r w:rsidR="006636C7" w:rsidRPr="00B87B46">
        <w:rPr>
          <w:rFonts w:ascii="Arial" w:hAnsi="Arial" w:cs="Arial"/>
          <w:color w:val="000000" w:themeColor="text1"/>
          <w:szCs w:val="18"/>
        </w:rPr>
        <w:t>6</w:t>
      </w:r>
      <w:r w:rsidRPr="00B87B46">
        <w:rPr>
          <w:rFonts w:ascii="Arial" w:hAnsi="Arial" w:cs="Arial"/>
          <w:color w:val="000000" w:themeColor="text1"/>
          <w:szCs w:val="18"/>
        </w:rPr>
        <w:t>. Significant difference in the level of gender equality when grouped according to program</w:t>
      </w:r>
    </w:p>
    <w:tbl>
      <w:tblPr>
        <w:tblStyle w:val="PlainTable2"/>
        <w:tblW w:w="8223" w:type="dxa"/>
        <w:tblLook w:val="04A0" w:firstRow="1" w:lastRow="0" w:firstColumn="1" w:lastColumn="0" w:noHBand="0" w:noVBand="1"/>
      </w:tblPr>
      <w:tblGrid>
        <w:gridCol w:w="2036"/>
        <w:gridCol w:w="2075"/>
        <w:gridCol w:w="656"/>
        <w:gridCol w:w="1744"/>
        <w:gridCol w:w="856"/>
        <w:gridCol w:w="856"/>
      </w:tblGrid>
      <w:tr w:rsidR="005B2588" w:rsidRPr="00B87B46" w14:paraId="4B2724DB" w14:textId="77777777" w:rsidTr="009C328B">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5A5A8DFE" w14:textId="77777777" w:rsidR="005B2588" w:rsidRPr="00B87B46" w:rsidRDefault="005B2588" w:rsidP="009C328B">
            <w:pPr>
              <w:contextualSpacing/>
              <w:jc w:val="center"/>
              <w:rPr>
                <w:rFonts w:ascii="Arial" w:hAnsi="Arial" w:cs="Arial"/>
                <w:b w:val="0"/>
                <w:color w:val="000000" w:themeColor="text1"/>
                <w:szCs w:val="18"/>
              </w:rPr>
            </w:pPr>
            <w:r w:rsidRPr="00B87B46">
              <w:rPr>
                <w:rFonts w:ascii="Arial" w:hAnsi="Arial" w:cs="Arial"/>
                <w:color w:val="000000" w:themeColor="text1"/>
                <w:szCs w:val="18"/>
              </w:rPr>
              <w:t>Source</w:t>
            </w:r>
          </w:p>
        </w:tc>
        <w:tc>
          <w:tcPr>
            <w:tcW w:w="0" w:type="auto"/>
            <w:hideMark/>
          </w:tcPr>
          <w:p w14:paraId="5F063CBD"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Sum of Squares</w:t>
            </w:r>
          </w:p>
        </w:tc>
        <w:tc>
          <w:tcPr>
            <w:tcW w:w="0" w:type="auto"/>
            <w:hideMark/>
          </w:tcPr>
          <w:p w14:paraId="0D54F4FB"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df</w:t>
            </w:r>
          </w:p>
        </w:tc>
        <w:tc>
          <w:tcPr>
            <w:tcW w:w="0" w:type="auto"/>
            <w:hideMark/>
          </w:tcPr>
          <w:p w14:paraId="0F46FE41"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Mean Square</w:t>
            </w:r>
          </w:p>
        </w:tc>
        <w:tc>
          <w:tcPr>
            <w:tcW w:w="0" w:type="auto"/>
            <w:hideMark/>
          </w:tcPr>
          <w:p w14:paraId="3194B884"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F</w:t>
            </w:r>
          </w:p>
        </w:tc>
        <w:tc>
          <w:tcPr>
            <w:tcW w:w="0" w:type="auto"/>
            <w:hideMark/>
          </w:tcPr>
          <w:p w14:paraId="31775C92"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Sig.</w:t>
            </w:r>
          </w:p>
        </w:tc>
      </w:tr>
      <w:tr w:rsidR="005B2588" w:rsidRPr="00B87B46" w14:paraId="28016FD0" w14:textId="77777777" w:rsidTr="009C328B">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0" w:type="auto"/>
            <w:hideMark/>
          </w:tcPr>
          <w:p w14:paraId="37BDBAE7" w14:textId="77777777" w:rsidR="005B2588" w:rsidRPr="00B87B46" w:rsidRDefault="005B2588" w:rsidP="009C328B">
            <w:pPr>
              <w:contextualSpacing/>
              <w:jc w:val="both"/>
              <w:rPr>
                <w:rFonts w:ascii="Arial" w:hAnsi="Arial" w:cs="Arial"/>
                <w:b w:val="0"/>
                <w:color w:val="000000" w:themeColor="text1"/>
                <w:szCs w:val="18"/>
              </w:rPr>
            </w:pPr>
            <w:r w:rsidRPr="00B87B46">
              <w:rPr>
                <w:rFonts w:ascii="Arial" w:hAnsi="Arial" w:cs="Arial"/>
                <w:b w:val="0"/>
                <w:color w:val="000000" w:themeColor="text1"/>
                <w:szCs w:val="18"/>
              </w:rPr>
              <w:t>Between Groups</w:t>
            </w:r>
          </w:p>
        </w:tc>
        <w:tc>
          <w:tcPr>
            <w:tcW w:w="0" w:type="auto"/>
            <w:hideMark/>
          </w:tcPr>
          <w:p w14:paraId="04B8057D"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5.864</w:t>
            </w:r>
          </w:p>
        </w:tc>
        <w:tc>
          <w:tcPr>
            <w:tcW w:w="0" w:type="auto"/>
            <w:hideMark/>
          </w:tcPr>
          <w:p w14:paraId="22B75086"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4</w:t>
            </w:r>
          </w:p>
        </w:tc>
        <w:tc>
          <w:tcPr>
            <w:tcW w:w="0" w:type="auto"/>
            <w:hideMark/>
          </w:tcPr>
          <w:p w14:paraId="6D98DC6D"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1.466</w:t>
            </w:r>
          </w:p>
        </w:tc>
        <w:tc>
          <w:tcPr>
            <w:tcW w:w="0" w:type="auto"/>
            <w:hideMark/>
          </w:tcPr>
          <w:p w14:paraId="1C4D20D6"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4.878</w:t>
            </w:r>
          </w:p>
        </w:tc>
        <w:tc>
          <w:tcPr>
            <w:tcW w:w="0" w:type="auto"/>
            <w:hideMark/>
          </w:tcPr>
          <w:p w14:paraId="55F1601F"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0.001</w:t>
            </w:r>
          </w:p>
        </w:tc>
      </w:tr>
      <w:tr w:rsidR="005B2588" w:rsidRPr="00B87B46" w14:paraId="28108243" w14:textId="77777777" w:rsidTr="009C328B">
        <w:trPr>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5A2B3D47" w14:textId="77777777" w:rsidR="005B2588" w:rsidRPr="00B87B46" w:rsidRDefault="005B2588" w:rsidP="009C328B">
            <w:pPr>
              <w:contextualSpacing/>
              <w:jc w:val="both"/>
              <w:rPr>
                <w:rFonts w:ascii="Arial" w:hAnsi="Arial" w:cs="Arial"/>
                <w:b w:val="0"/>
                <w:color w:val="000000" w:themeColor="text1"/>
                <w:szCs w:val="18"/>
              </w:rPr>
            </w:pPr>
            <w:r w:rsidRPr="00B87B46">
              <w:rPr>
                <w:rFonts w:ascii="Arial" w:hAnsi="Arial" w:cs="Arial"/>
                <w:b w:val="0"/>
                <w:color w:val="000000" w:themeColor="text1"/>
                <w:szCs w:val="18"/>
              </w:rPr>
              <w:t>Within Groups</w:t>
            </w:r>
          </w:p>
        </w:tc>
        <w:tc>
          <w:tcPr>
            <w:tcW w:w="0" w:type="auto"/>
            <w:hideMark/>
          </w:tcPr>
          <w:p w14:paraId="47DAA7E8"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94.960</w:t>
            </w:r>
          </w:p>
        </w:tc>
        <w:tc>
          <w:tcPr>
            <w:tcW w:w="0" w:type="auto"/>
            <w:hideMark/>
          </w:tcPr>
          <w:p w14:paraId="2A684454"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316</w:t>
            </w:r>
          </w:p>
        </w:tc>
        <w:tc>
          <w:tcPr>
            <w:tcW w:w="0" w:type="auto"/>
            <w:hideMark/>
          </w:tcPr>
          <w:p w14:paraId="7D120435"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0.301</w:t>
            </w:r>
          </w:p>
        </w:tc>
        <w:tc>
          <w:tcPr>
            <w:tcW w:w="0" w:type="auto"/>
            <w:hideMark/>
          </w:tcPr>
          <w:p w14:paraId="37386036"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p>
        </w:tc>
        <w:tc>
          <w:tcPr>
            <w:tcW w:w="0" w:type="auto"/>
            <w:hideMark/>
          </w:tcPr>
          <w:p w14:paraId="08CFD44F"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p>
        </w:tc>
      </w:tr>
      <w:tr w:rsidR="005B2588" w:rsidRPr="00B87B46" w14:paraId="6F3BA386" w14:textId="77777777" w:rsidTr="009C32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1C621A96" w14:textId="77777777" w:rsidR="005B2588" w:rsidRPr="00B87B46" w:rsidRDefault="005B2588" w:rsidP="009C328B">
            <w:pPr>
              <w:contextualSpacing/>
              <w:jc w:val="both"/>
              <w:rPr>
                <w:rFonts w:ascii="Arial" w:hAnsi="Arial" w:cs="Arial"/>
                <w:color w:val="000000" w:themeColor="text1"/>
                <w:szCs w:val="18"/>
              </w:rPr>
            </w:pPr>
            <w:r w:rsidRPr="00B87B46">
              <w:rPr>
                <w:rFonts w:ascii="Arial" w:hAnsi="Arial" w:cs="Arial"/>
                <w:color w:val="000000" w:themeColor="text1"/>
                <w:szCs w:val="18"/>
              </w:rPr>
              <w:t>Total</w:t>
            </w:r>
          </w:p>
        </w:tc>
        <w:tc>
          <w:tcPr>
            <w:tcW w:w="0" w:type="auto"/>
            <w:hideMark/>
          </w:tcPr>
          <w:p w14:paraId="7AA2A296"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100.824</w:t>
            </w:r>
          </w:p>
        </w:tc>
        <w:tc>
          <w:tcPr>
            <w:tcW w:w="0" w:type="auto"/>
            <w:hideMark/>
          </w:tcPr>
          <w:p w14:paraId="4C445A3D"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320</w:t>
            </w:r>
          </w:p>
        </w:tc>
        <w:tc>
          <w:tcPr>
            <w:tcW w:w="0" w:type="auto"/>
            <w:hideMark/>
          </w:tcPr>
          <w:p w14:paraId="7546B8D6"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p>
        </w:tc>
        <w:tc>
          <w:tcPr>
            <w:tcW w:w="0" w:type="auto"/>
            <w:hideMark/>
          </w:tcPr>
          <w:p w14:paraId="352DF26A"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p>
        </w:tc>
        <w:tc>
          <w:tcPr>
            <w:tcW w:w="0" w:type="auto"/>
            <w:hideMark/>
          </w:tcPr>
          <w:p w14:paraId="3EB98BF9" w14:textId="77777777" w:rsidR="005B2588" w:rsidRPr="00B87B46" w:rsidRDefault="005B2588" w:rsidP="009C328B">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18"/>
              </w:rPr>
            </w:pPr>
          </w:p>
        </w:tc>
      </w:tr>
    </w:tbl>
    <w:p w14:paraId="26321163" w14:textId="77777777" w:rsidR="005B2588" w:rsidRPr="006636C7" w:rsidRDefault="005B2588" w:rsidP="00441B6F">
      <w:pPr>
        <w:pStyle w:val="Body"/>
        <w:spacing w:after="0"/>
        <w:rPr>
          <w:rFonts w:ascii="Arial" w:hAnsi="Arial" w:cs="Arial"/>
          <w:sz w:val="18"/>
          <w:szCs w:val="18"/>
        </w:rPr>
      </w:pPr>
    </w:p>
    <w:p w14:paraId="3F33DAE4" w14:textId="2E4FB3EB" w:rsidR="009C328B" w:rsidRDefault="00B00412" w:rsidP="00441B6F">
      <w:pPr>
        <w:pStyle w:val="Body"/>
        <w:spacing w:after="0"/>
        <w:rPr>
          <w:rFonts w:ascii="Arial" w:hAnsi="Arial" w:cs="Arial"/>
        </w:rPr>
      </w:pPr>
      <w:r w:rsidRPr="00B87B46">
        <w:rPr>
          <w:rFonts w:ascii="Arial" w:hAnsi="Arial" w:cs="Arial"/>
          <w:color w:val="000000" w:themeColor="text1"/>
          <w:szCs w:val="18"/>
        </w:rPr>
        <w:t>Table 2</w:t>
      </w:r>
      <w:r>
        <w:rPr>
          <w:rFonts w:ascii="Arial" w:hAnsi="Arial" w:cs="Arial"/>
          <w:color w:val="000000" w:themeColor="text1"/>
          <w:szCs w:val="18"/>
        </w:rPr>
        <w:t>6</w:t>
      </w:r>
      <w:r w:rsidR="00540DA8">
        <w:rPr>
          <w:rFonts w:ascii="Arial" w:hAnsi="Arial" w:cs="Arial"/>
          <w:color w:val="000000" w:themeColor="text1"/>
          <w:szCs w:val="18"/>
        </w:rPr>
        <w:t xml:space="preserve"> </w:t>
      </w:r>
      <w:r w:rsidR="00540DA8" w:rsidRPr="00540DA8">
        <w:rPr>
          <w:rFonts w:ascii="Arial" w:hAnsi="Arial" w:cs="Arial"/>
        </w:rPr>
        <w:t xml:space="preserve">revealed a significant difference in perceptions of gender equality when respondents were grouped according to their academic program (f 4.878, p=.001). This indicates that students’ views on gender equality vary notably depending on their field of study. </w:t>
      </w:r>
    </w:p>
    <w:p w14:paraId="2FCBEB8E" w14:textId="77777777" w:rsidR="009C328B" w:rsidRDefault="009C328B" w:rsidP="00441B6F">
      <w:pPr>
        <w:pStyle w:val="Body"/>
        <w:spacing w:after="0"/>
        <w:rPr>
          <w:rFonts w:ascii="Arial" w:hAnsi="Arial" w:cs="Arial"/>
        </w:rPr>
      </w:pPr>
    </w:p>
    <w:p w14:paraId="715DF094" w14:textId="521AFE0E" w:rsidR="00CC0AF0" w:rsidRPr="00B87B46" w:rsidRDefault="00CC0AF0" w:rsidP="00CC0AF0">
      <w:pPr>
        <w:contextualSpacing/>
        <w:jc w:val="both"/>
        <w:rPr>
          <w:rFonts w:ascii="Arial" w:hAnsi="Arial" w:cs="Arial"/>
          <w:color w:val="000000" w:themeColor="text1"/>
          <w:szCs w:val="18"/>
        </w:rPr>
      </w:pPr>
      <w:r w:rsidRPr="00B87B46">
        <w:rPr>
          <w:rFonts w:ascii="Arial" w:hAnsi="Arial" w:cs="Arial"/>
          <w:color w:val="000000" w:themeColor="text1"/>
          <w:szCs w:val="18"/>
        </w:rPr>
        <w:t xml:space="preserve">Table </w:t>
      </w:r>
      <w:r w:rsidR="006636C7" w:rsidRPr="00B87B46">
        <w:rPr>
          <w:rFonts w:ascii="Arial" w:hAnsi="Arial" w:cs="Arial"/>
          <w:color w:val="000000" w:themeColor="text1"/>
          <w:szCs w:val="18"/>
        </w:rPr>
        <w:t>27</w:t>
      </w:r>
      <w:r w:rsidRPr="00B87B46">
        <w:rPr>
          <w:rFonts w:ascii="Arial" w:hAnsi="Arial" w:cs="Arial"/>
          <w:color w:val="000000" w:themeColor="text1"/>
          <w:szCs w:val="18"/>
        </w:rPr>
        <w:t>. Post hoc test: significant difference in the level of gender equality by program</w:t>
      </w:r>
    </w:p>
    <w:tbl>
      <w:tblPr>
        <w:tblStyle w:val="PlainTable2"/>
        <w:tblW w:w="8184" w:type="dxa"/>
        <w:tblLayout w:type="fixed"/>
        <w:tblLook w:val="04A0" w:firstRow="1" w:lastRow="0" w:firstColumn="1" w:lastColumn="0" w:noHBand="0" w:noVBand="1"/>
      </w:tblPr>
      <w:tblGrid>
        <w:gridCol w:w="1478"/>
        <w:gridCol w:w="1344"/>
        <w:gridCol w:w="806"/>
        <w:gridCol w:w="670"/>
        <w:gridCol w:w="789"/>
        <w:gridCol w:w="906"/>
        <w:gridCol w:w="992"/>
        <w:gridCol w:w="1199"/>
      </w:tblGrid>
      <w:tr w:rsidR="00CC0AF0" w:rsidRPr="00B87B46" w14:paraId="231D9870" w14:textId="77777777" w:rsidTr="009C328B">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822" w:type="dxa"/>
            <w:gridSpan w:val="2"/>
            <w:vMerge w:val="restart"/>
            <w:hideMark/>
          </w:tcPr>
          <w:p w14:paraId="3BE34AF0" w14:textId="77777777" w:rsidR="00CC0AF0" w:rsidRPr="00B87B46" w:rsidRDefault="00CC0AF0" w:rsidP="009C328B">
            <w:pPr>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Departments Being Compared</w:t>
            </w:r>
          </w:p>
        </w:tc>
        <w:tc>
          <w:tcPr>
            <w:tcW w:w="806" w:type="dxa"/>
            <w:vMerge w:val="restart"/>
            <w:hideMark/>
          </w:tcPr>
          <w:p w14:paraId="19BEA5B1" w14:textId="77777777" w:rsidR="00CC0AF0" w:rsidRPr="00B87B4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 xml:space="preserve">Mean </w:t>
            </w:r>
            <w:proofErr w:type="spellStart"/>
            <w:r w:rsidRPr="00B87B46">
              <w:rPr>
                <w:rFonts w:ascii="Arial" w:hAnsi="Arial" w:cs="Arial"/>
                <w:color w:val="000000" w:themeColor="text1"/>
                <w:sz w:val="18"/>
                <w:szCs w:val="16"/>
                <w:lang w:eastAsia="en-PH"/>
              </w:rPr>
              <w:t>Diffe</w:t>
            </w:r>
            <w:proofErr w:type="spellEnd"/>
            <w:r w:rsidRPr="00B87B46">
              <w:rPr>
                <w:rFonts w:ascii="Arial" w:hAnsi="Arial" w:cs="Arial"/>
                <w:color w:val="000000" w:themeColor="text1"/>
                <w:sz w:val="18"/>
                <w:szCs w:val="16"/>
                <w:lang w:eastAsia="en-PH"/>
              </w:rPr>
              <w:t>-</w:t>
            </w:r>
          </w:p>
          <w:p w14:paraId="41E73C3C" w14:textId="77777777" w:rsidR="00CC0AF0" w:rsidRPr="00B87B4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Rence</w:t>
            </w:r>
          </w:p>
        </w:tc>
        <w:tc>
          <w:tcPr>
            <w:tcW w:w="670" w:type="dxa"/>
            <w:vMerge w:val="restart"/>
            <w:hideMark/>
          </w:tcPr>
          <w:p w14:paraId="5EFEA7D5" w14:textId="77777777" w:rsidR="00CC0AF0" w:rsidRPr="00B87B4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Std. Error</w:t>
            </w:r>
          </w:p>
        </w:tc>
        <w:tc>
          <w:tcPr>
            <w:tcW w:w="789" w:type="dxa"/>
            <w:vMerge w:val="restart"/>
            <w:hideMark/>
          </w:tcPr>
          <w:p w14:paraId="6A796EA4" w14:textId="77777777" w:rsidR="00CC0AF0" w:rsidRPr="00B87B4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Sig.</w:t>
            </w:r>
          </w:p>
        </w:tc>
        <w:tc>
          <w:tcPr>
            <w:tcW w:w="1898" w:type="dxa"/>
            <w:gridSpan w:val="2"/>
            <w:hideMark/>
          </w:tcPr>
          <w:p w14:paraId="4F9688BB" w14:textId="77777777" w:rsidR="00CC0AF0" w:rsidRPr="00B87B4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95% Confidence Interval</w:t>
            </w:r>
          </w:p>
        </w:tc>
        <w:tc>
          <w:tcPr>
            <w:tcW w:w="1199" w:type="dxa"/>
            <w:vMerge w:val="restart"/>
            <w:noWrap/>
            <w:hideMark/>
          </w:tcPr>
          <w:p w14:paraId="5D085123" w14:textId="77777777" w:rsidR="00CC0AF0" w:rsidRPr="00B87B4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Interpretation</w:t>
            </w:r>
          </w:p>
        </w:tc>
      </w:tr>
      <w:tr w:rsidR="00CC0AF0" w:rsidRPr="00B87B46" w14:paraId="64A89B90" w14:textId="77777777" w:rsidTr="009C328B">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822" w:type="dxa"/>
            <w:gridSpan w:val="2"/>
            <w:vMerge/>
            <w:hideMark/>
          </w:tcPr>
          <w:p w14:paraId="416DC9AB" w14:textId="77777777" w:rsidR="00CC0AF0" w:rsidRPr="00B87B46" w:rsidRDefault="00CC0AF0" w:rsidP="009C328B">
            <w:pPr>
              <w:rPr>
                <w:rFonts w:ascii="Arial" w:hAnsi="Arial" w:cs="Arial"/>
                <w:color w:val="000000" w:themeColor="text1"/>
                <w:sz w:val="18"/>
                <w:szCs w:val="16"/>
                <w:lang w:eastAsia="en-PH"/>
              </w:rPr>
            </w:pPr>
          </w:p>
        </w:tc>
        <w:tc>
          <w:tcPr>
            <w:tcW w:w="806" w:type="dxa"/>
            <w:vMerge/>
            <w:hideMark/>
          </w:tcPr>
          <w:p w14:paraId="2BDE7BD1"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p>
        </w:tc>
        <w:tc>
          <w:tcPr>
            <w:tcW w:w="670" w:type="dxa"/>
            <w:vMerge/>
            <w:hideMark/>
          </w:tcPr>
          <w:p w14:paraId="1140BA79"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p>
        </w:tc>
        <w:tc>
          <w:tcPr>
            <w:tcW w:w="789" w:type="dxa"/>
            <w:vMerge/>
            <w:hideMark/>
          </w:tcPr>
          <w:p w14:paraId="7B3E7A9C"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p>
        </w:tc>
        <w:tc>
          <w:tcPr>
            <w:tcW w:w="906" w:type="dxa"/>
            <w:hideMark/>
          </w:tcPr>
          <w:p w14:paraId="26F2BDE4"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Lower Bound</w:t>
            </w:r>
          </w:p>
        </w:tc>
        <w:tc>
          <w:tcPr>
            <w:tcW w:w="991" w:type="dxa"/>
            <w:hideMark/>
          </w:tcPr>
          <w:p w14:paraId="496B9A2F"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Upper Bound</w:t>
            </w:r>
          </w:p>
        </w:tc>
        <w:tc>
          <w:tcPr>
            <w:tcW w:w="1199" w:type="dxa"/>
            <w:vMerge/>
            <w:hideMark/>
          </w:tcPr>
          <w:p w14:paraId="4006EC6B"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p>
        </w:tc>
      </w:tr>
      <w:tr w:rsidR="009C328B" w:rsidRPr="00B87B46" w14:paraId="70F25793" w14:textId="77777777" w:rsidTr="009C328B">
        <w:trPr>
          <w:trHeight w:val="264"/>
        </w:trPr>
        <w:tc>
          <w:tcPr>
            <w:cnfStyle w:val="001000000000" w:firstRow="0" w:lastRow="0" w:firstColumn="1" w:lastColumn="0" w:oddVBand="0" w:evenVBand="0" w:oddHBand="0" w:evenHBand="0" w:firstRowFirstColumn="0" w:firstRowLastColumn="0" w:lastRowFirstColumn="0" w:lastRowLastColumn="0"/>
            <w:tcW w:w="1478" w:type="dxa"/>
            <w:vMerge w:val="restart"/>
            <w:hideMark/>
          </w:tcPr>
          <w:p w14:paraId="3364C339" w14:textId="77777777" w:rsidR="00CC0AF0" w:rsidRPr="00B87B46" w:rsidRDefault="00CC0AF0" w:rsidP="009C328B">
            <w:pPr>
              <w:rPr>
                <w:rFonts w:ascii="Arial" w:hAnsi="Arial" w:cs="Arial"/>
                <w:b w:val="0"/>
                <w:color w:val="000000" w:themeColor="text1"/>
                <w:sz w:val="18"/>
                <w:szCs w:val="16"/>
                <w:lang w:eastAsia="en-PH"/>
              </w:rPr>
            </w:pPr>
            <w:r w:rsidRPr="00B87B46">
              <w:rPr>
                <w:rFonts w:ascii="Arial" w:hAnsi="Arial" w:cs="Arial"/>
                <w:b w:val="0"/>
                <w:color w:val="000000" w:themeColor="text1"/>
                <w:sz w:val="18"/>
                <w:szCs w:val="16"/>
                <w:lang w:eastAsia="en-PH"/>
              </w:rPr>
              <w:t>Bus. Admin.</w:t>
            </w:r>
          </w:p>
        </w:tc>
        <w:tc>
          <w:tcPr>
            <w:tcW w:w="1343" w:type="dxa"/>
            <w:hideMark/>
          </w:tcPr>
          <w:p w14:paraId="3BA2285D"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Criminology</w:t>
            </w:r>
          </w:p>
        </w:tc>
        <w:tc>
          <w:tcPr>
            <w:tcW w:w="806" w:type="dxa"/>
            <w:noWrap/>
            <w:hideMark/>
          </w:tcPr>
          <w:p w14:paraId="56F35CA3"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-0.03</w:t>
            </w:r>
          </w:p>
        </w:tc>
        <w:tc>
          <w:tcPr>
            <w:tcW w:w="670" w:type="dxa"/>
            <w:noWrap/>
            <w:hideMark/>
          </w:tcPr>
          <w:p w14:paraId="5135C5C9"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0.09</w:t>
            </w:r>
          </w:p>
        </w:tc>
        <w:tc>
          <w:tcPr>
            <w:tcW w:w="789" w:type="dxa"/>
            <w:noWrap/>
            <w:hideMark/>
          </w:tcPr>
          <w:p w14:paraId="16F1916E"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1.00</w:t>
            </w:r>
          </w:p>
        </w:tc>
        <w:tc>
          <w:tcPr>
            <w:tcW w:w="906" w:type="dxa"/>
            <w:noWrap/>
            <w:hideMark/>
          </w:tcPr>
          <w:p w14:paraId="4C64E188"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-0.27</w:t>
            </w:r>
          </w:p>
        </w:tc>
        <w:tc>
          <w:tcPr>
            <w:tcW w:w="991" w:type="dxa"/>
            <w:noWrap/>
            <w:hideMark/>
          </w:tcPr>
          <w:p w14:paraId="552CFD90"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0.20</w:t>
            </w:r>
          </w:p>
        </w:tc>
        <w:tc>
          <w:tcPr>
            <w:tcW w:w="1199" w:type="dxa"/>
            <w:noWrap/>
            <w:hideMark/>
          </w:tcPr>
          <w:p w14:paraId="3A08716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18346BE8" w14:textId="77777777" w:rsidTr="009C328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1C168B3B" w14:textId="77777777" w:rsidR="00CC0AF0" w:rsidRPr="00B87B46" w:rsidRDefault="00CC0AF0" w:rsidP="009C328B">
            <w:pPr>
              <w:rPr>
                <w:rFonts w:ascii="Arial" w:hAnsi="Arial" w:cs="Arial"/>
                <w:b w:val="0"/>
                <w:color w:val="000000" w:themeColor="text1"/>
                <w:sz w:val="18"/>
                <w:szCs w:val="16"/>
                <w:lang w:eastAsia="en-PH"/>
              </w:rPr>
            </w:pPr>
          </w:p>
        </w:tc>
        <w:tc>
          <w:tcPr>
            <w:tcW w:w="1343" w:type="dxa"/>
            <w:hideMark/>
          </w:tcPr>
          <w:p w14:paraId="27E80E68"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Agri. Mgt.</w:t>
            </w:r>
          </w:p>
        </w:tc>
        <w:tc>
          <w:tcPr>
            <w:tcW w:w="806" w:type="dxa"/>
            <w:noWrap/>
            <w:hideMark/>
          </w:tcPr>
          <w:p w14:paraId="0C7D798F"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-0.27</w:t>
            </w:r>
          </w:p>
        </w:tc>
        <w:tc>
          <w:tcPr>
            <w:tcW w:w="670" w:type="dxa"/>
            <w:noWrap/>
            <w:hideMark/>
          </w:tcPr>
          <w:p w14:paraId="44AD2B41"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0.08</w:t>
            </w:r>
          </w:p>
        </w:tc>
        <w:tc>
          <w:tcPr>
            <w:tcW w:w="789" w:type="dxa"/>
            <w:noWrap/>
            <w:hideMark/>
          </w:tcPr>
          <w:p w14:paraId="42614151"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0.01</w:t>
            </w:r>
          </w:p>
        </w:tc>
        <w:tc>
          <w:tcPr>
            <w:tcW w:w="906" w:type="dxa"/>
            <w:noWrap/>
            <w:hideMark/>
          </w:tcPr>
          <w:p w14:paraId="28139F10"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-0.49</w:t>
            </w:r>
          </w:p>
        </w:tc>
        <w:tc>
          <w:tcPr>
            <w:tcW w:w="991" w:type="dxa"/>
            <w:noWrap/>
            <w:hideMark/>
          </w:tcPr>
          <w:p w14:paraId="13C9EC1A"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-0.05</w:t>
            </w:r>
          </w:p>
        </w:tc>
        <w:tc>
          <w:tcPr>
            <w:tcW w:w="1199" w:type="dxa"/>
            <w:noWrap/>
            <w:hideMark/>
          </w:tcPr>
          <w:p w14:paraId="44735944"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Has Difference</w:t>
            </w:r>
          </w:p>
        </w:tc>
      </w:tr>
      <w:tr w:rsidR="009C328B" w:rsidRPr="00B87B46" w14:paraId="6E9B9E31" w14:textId="77777777" w:rsidTr="009C328B">
        <w:trPr>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2E1C73D5" w14:textId="77777777" w:rsidR="00CC0AF0" w:rsidRPr="00B87B46" w:rsidRDefault="00CC0AF0" w:rsidP="009C328B">
            <w:pPr>
              <w:rPr>
                <w:rFonts w:ascii="Arial" w:hAnsi="Arial" w:cs="Arial"/>
                <w:b w:val="0"/>
                <w:color w:val="000000" w:themeColor="text1"/>
                <w:sz w:val="18"/>
                <w:szCs w:val="16"/>
                <w:lang w:eastAsia="en-PH"/>
              </w:rPr>
            </w:pPr>
          </w:p>
        </w:tc>
        <w:tc>
          <w:tcPr>
            <w:tcW w:w="1343" w:type="dxa"/>
            <w:hideMark/>
          </w:tcPr>
          <w:p w14:paraId="14946FF9"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Agriculture</w:t>
            </w:r>
          </w:p>
        </w:tc>
        <w:tc>
          <w:tcPr>
            <w:tcW w:w="806" w:type="dxa"/>
            <w:noWrap/>
            <w:hideMark/>
          </w:tcPr>
          <w:p w14:paraId="1D9862C6"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0.23</w:t>
            </w:r>
          </w:p>
        </w:tc>
        <w:tc>
          <w:tcPr>
            <w:tcW w:w="670" w:type="dxa"/>
            <w:noWrap/>
            <w:hideMark/>
          </w:tcPr>
          <w:p w14:paraId="7A120C0F"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0.11</w:t>
            </w:r>
          </w:p>
        </w:tc>
        <w:tc>
          <w:tcPr>
            <w:tcW w:w="789" w:type="dxa"/>
            <w:noWrap/>
            <w:hideMark/>
          </w:tcPr>
          <w:p w14:paraId="21659C4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0.27</w:t>
            </w:r>
          </w:p>
        </w:tc>
        <w:tc>
          <w:tcPr>
            <w:tcW w:w="906" w:type="dxa"/>
            <w:noWrap/>
            <w:hideMark/>
          </w:tcPr>
          <w:p w14:paraId="5228266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-0.08</w:t>
            </w:r>
          </w:p>
        </w:tc>
        <w:tc>
          <w:tcPr>
            <w:tcW w:w="991" w:type="dxa"/>
            <w:noWrap/>
            <w:hideMark/>
          </w:tcPr>
          <w:p w14:paraId="69553CFD"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0.54</w:t>
            </w:r>
          </w:p>
        </w:tc>
        <w:tc>
          <w:tcPr>
            <w:tcW w:w="1199" w:type="dxa"/>
            <w:noWrap/>
            <w:hideMark/>
          </w:tcPr>
          <w:p w14:paraId="0611A96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48F3159C" w14:textId="77777777" w:rsidTr="009C328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6310A13B" w14:textId="77777777" w:rsidR="00CC0AF0" w:rsidRPr="00B87B46" w:rsidRDefault="00CC0AF0" w:rsidP="009C328B">
            <w:pPr>
              <w:rPr>
                <w:rFonts w:ascii="Arial" w:hAnsi="Arial" w:cs="Arial"/>
                <w:b w:val="0"/>
                <w:color w:val="000000" w:themeColor="text1"/>
                <w:sz w:val="18"/>
                <w:szCs w:val="16"/>
                <w:lang w:eastAsia="en-PH"/>
              </w:rPr>
            </w:pPr>
          </w:p>
        </w:tc>
        <w:tc>
          <w:tcPr>
            <w:tcW w:w="1343" w:type="dxa"/>
            <w:hideMark/>
          </w:tcPr>
          <w:p w14:paraId="10062FC6"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Elem. Educ.</w:t>
            </w:r>
          </w:p>
        </w:tc>
        <w:tc>
          <w:tcPr>
            <w:tcW w:w="806" w:type="dxa"/>
            <w:noWrap/>
            <w:hideMark/>
          </w:tcPr>
          <w:p w14:paraId="58638284"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-0.08</w:t>
            </w:r>
          </w:p>
        </w:tc>
        <w:tc>
          <w:tcPr>
            <w:tcW w:w="670" w:type="dxa"/>
            <w:noWrap/>
            <w:hideMark/>
          </w:tcPr>
          <w:p w14:paraId="7C92D5A5"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0.13</w:t>
            </w:r>
          </w:p>
        </w:tc>
        <w:tc>
          <w:tcPr>
            <w:tcW w:w="789" w:type="dxa"/>
            <w:noWrap/>
            <w:hideMark/>
          </w:tcPr>
          <w:p w14:paraId="281B1706"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0.97</w:t>
            </w:r>
          </w:p>
        </w:tc>
        <w:tc>
          <w:tcPr>
            <w:tcW w:w="906" w:type="dxa"/>
            <w:noWrap/>
            <w:hideMark/>
          </w:tcPr>
          <w:p w14:paraId="324F133A"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-0.43</w:t>
            </w:r>
          </w:p>
        </w:tc>
        <w:tc>
          <w:tcPr>
            <w:tcW w:w="991" w:type="dxa"/>
            <w:noWrap/>
            <w:hideMark/>
          </w:tcPr>
          <w:p w14:paraId="1EA16DF1"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0.27</w:t>
            </w:r>
          </w:p>
        </w:tc>
        <w:tc>
          <w:tcPr>
            <w:tcW w:w="1199" w:type="dxa"/>
            <w:noWrap/>
            <w:hideMark/>
          </w:tcPr>
          <w:p w14:paraId="3203702C"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2148EF37" w14:textId="77777777" w:rsidTr="009C328B">
        <w:trPr>
          <w:trHeight w:val="264"/>
        </w:trPr>
        <w:tc>
          <w:tcPr>
            <w:cnfStyle w:val="001000000000" w:firstRow="0" w:lastRow="0" w:firstColumn="1" w:lastColumn="0" w:oddVBand="0" w:evenVBand="0" w:oddHBand="0" w:evenHBand="0" w:firstRowFirstColumn="0" w:firstRowLastColumn="0" w:lastRowFirstColumn="0" w:lastRowLastColumn="0"/>
            <w:tcW w:w="1478" w:type="dxa"/>
            <w:vMerge w:val="restart"/>
            <w:hideMark/>
          </w:tcPr>
          <w:p w14:paraId="3090E268" w14:textId="77777777" w:rsidR="00CC0AF0" w:rsidRPr="00B87B46" w:rsidRDefault="00CC0AF0" w:rsidP="009C328B">
            <w:pPr>
              <w:rPr>
                <w:rFonts w:ascii="Arial" w:hAnsi="Arial" w:cs="Arial"/>
                <w:b w:val="0"/>
                <w:color w:val="000000" w:themeColor="text1"/>
                <w:sz w:val="18"/>
                <w:szCs w:val="16"/>
                <w:lang w:eastAsia="en-PH"/>
              </w:rPr>
            </w:pPr>
            <w:r w:rsidRPr="00B87B46">
              <w:rPr>
                <w:rFonts w:ascii="Arial" w:hAnsi="Arial" w:cs="Arial"/>
                <w:b w:val="0"/>
                <w:color w:val="000000" w:themeColor="text1"/>
                <w:sz w:val="18"/>
                <w:szCs w:val="16"/>
                <w:lang w:eastAsia="en-PH"/>
              </w:rPr>
              <w:t>Criminology</w:t>
            </w:r>
          </w:p>
        </w:tc>
        <w:tc>
          <w:tcPr>
            <w:tcW w:w="1343" w:type="dxa"/>
            <w:hideMark/>
          </w:tcPr>
          <w:p w14:paraId="414A765D"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Agri. Mgt.</w:t>
            </w:r>
          </w:p>
        </w:tc>
        <w:tc>
          <w:tcPr>
            <w:tcW w:w="806" w:type="dxa"/>
            <w:noWrap/>
            <w:hideMark/>
          </w:tcPr>
          <w:p w14:paraId="60ABABAB"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-0.24</w:t>
            </w:r>
          </w:p>
        </w:tc>
        <w:tc>
          <w:tcPr>
            <w:tcW w:w="670" w:type="dxa"/>
            <w:noWrap/>
            <w:hideMark/>
          </w:tcPr>
          <w:p w14:paraId="34E5AFD0"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0.10</w:t>
            </w:r>
          </w:p>
        </w:tc>
        <w:tc>
          <w:tcPr>
            <w:tcW w:w="789" w:type="dxa"/>
            <w:noWrap/>
            <w:hideMark/>
          </w:tcPr>
          <w:p w14:paraId="6A969F98"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0.11</w:t>
            </w:r>
          </w:p>
        </w:tc>
        <w:tc>
          <w:tcPr>
            <w:tcW w:w="906" w:type="dxa"/>
            <w:noWrap/>
            <w:hideMark/>
          </w:tcPr>
          <w:p w14:paraId="2F756CAD"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-0.51</w:t>
            </w:r>
          </w:p>
        </w:tc>
        <w:tc>
          <w:tcPr>
            <w:tcW w:w="991" w:type="dxa"/>
            <w:noWrap/>
            <w:hideMark/>
          </w:tcPr>
          <w:p w14:paraId="46D6F640"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0.03</w:t>
            </w:r>
          </w:p>
        </w:tc>
        <w:tc>
          <w:tcPr>
            <w:tcW w:w="1199" w:type="dxa"/>
            <w:noWrap/>
            <w:hideMark/>
          </w:tcPr>
          <w:p w14:paraId="3FB1C114"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084A0C33" w14:textId="77777777" w:rsidTr="009C328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060DC762" w14:textId="77777777" w:rsidR="00CC0AF0" w:rsidRPr="00B87B46" w:rsidRDefault="00CC0AF0" w:rsidP="009C328B">
            <w:pPr>
              <w:rPr>
                <w:rFonts w:ascii="Arial" w:hAnsi="Arial" w:cs="Arial"/>
                <w:b w:val="0"/>
                <w:color w:val="000000" w:themeColor="text1"/>
                <w:sz w:val="18"/>
                <w:szCs w:val="16"/>
                <w:lang w:eastAsia="en-PH"/>
              </w:rPr>
            </w:pPr>
          </w:p>
        </w:tc>
        <w:tc>
          <w:tcPr>
            <w:tcW w:w="1343" w:type="dxa"/>
            <w:hideMark/>
          </w:tcPr>
          <w:p w14:paraId="59A6A921"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Agriculture</w:t>
            </w:r>
          </w:p>
        </w:tc>
        <w:tc>
          <w:tcPr>
            <w:tcW w:w="806" w:type="dxa"/>
            <w:noWrap/>
            <w:hideMark/>
          </w:tcPr>
          <w:p w14:paraId="69B34F79"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0.26</w:t>
            </w:r>
          </w:p>
        </w:tc>
        <w:tc>
          <w:tcPr>
            <w:tcW w:w="670" w:type="dxa"/>
            <w:noWrap/>
            <w:hideMark/>
          </w:tcPr>
          <w:p w14:paraId="1EFCB1CC"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0.13</w:t>
            </w:r>
          </w:p>
        </w:tc>
        <w:tc>
          <w:tcPr>
            <w:tcW w:w="789" w:type="dxa"/>
            <w:noWrap/>
            <w:hideMark/>
          </w:tcPr>
          <w:p w14:paraId="5F3D949B"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0.25</w:t>
            </w:r>
          </w:p>
        </w:tc>
        <w:tc>
          <w:tcPr>
            <w:tcW w:w="906" w:type="dxa"/>
            <w:noWrap/>
            <w:hideMark/>
          </w:tcPr>
          <w:p w14:paraId="587AF2AC"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-0.09</w:t>
            </w:r>
          </w:p>
        </w:tc>
        <w:tc>
          <w:tcPr>
            <w:tcW w:w="991" w:type="dxa"/>
            <w:noWrap/>
            <w:hideMark/>
          </w:tcPr>
          <w:p w14:paraId="7FBC8DB1"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0.61</w:t>
            </w:r>
          </w:p>
        </w:tc>
        <w:tc>
          <w:tcPr>
            <w:tcW w:w="1199" w:type="dxa"/>
            <w:noWrap/>
            <w:hideMark/>
          </w:tcPr>
          <w:p w14:paraId="7F94BE00"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26F26E39" w14:textId="77777777" w:rsidTr="009C328B">
        <w:trPr>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1BC2C04B" w14:textId="77777777" w:rsidR="00CC0AF0" w:rsidRPr="00B87B46" w:rsidRDefault="00CC0AF0" w:rsidP="009C328B">
            <w:pPr>
              <w:rPr>
                <w:rFonts w:ascii="Arial" w:hAnsi="Arial" w:cs="Arial"/>
                <w:b w:val="0"/>
                <w:color w:val="000000" w:themeColor="text1"/>
                <w:sz w:val="18"/>
                <w:szCs w:val="16"/>
                <w:lang w:eastAsia="en-PH"/>
              </w:rPr>
            </w:pPr>
          </w:p>
        </w:tc>
        <w:tc>
          <w:tcPr>
            <w:tcW w:w="1343" w:type="dxa"/>
            <w:hideMark/>
          </w:tcPr>
          <w:p w14:paraId="1957C6D4"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Elem. Educ.</w:t>
            </w:r>
          </w:p>
        </w:tc>
        <w:tc>
          <w:tcPr>
            <w:tcW w:w="806" w:type="dxa"/>
            <w:noWrap/>
            <w:hideMark/>
          </w:tcPr>
          <w:p w14:paraId="577374BA"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-0.05</w:t>
            </w:r>
          </w:p>
        </w:tc>
        <w:tc>
          <w:tcPr>
            <w:tcW w:w="670" w:type="dxa"/>
            <w:noWrap/>
            <w:hideMark/>
          </w:tcPr>
          <w:p w14:paraId="0351E8E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0.14</w:t>
            </w:r>
          </w:p>
        </w:tc>
        <w:tc>
          <w:tcPr>
            <w:tcW w:w="789" w:type="dxa"/>
            <w:noWrap/>
            <w:hideMark/>
          </w:tcPr>
          <w:p w14:paraId="785FA307"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1.00</w:t>
            </w:r>
          </w:p>
        </w:tc>
        <w:tc>
          <w:tcPr>
            <w:tcW w:w="906" w:type="dxa"/>
            <w:noWrap/>
            <w:hideMark/>
          </w:tcPr>
          <w:p w14:paraId="07FE3298"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-0.43</w:t>
            </w:r>
          </w:p>
        </w:tc>
        <w:tc>
          <w:tcPr>
            <w:tcW w:w="991" w:type="dxa"/>
            <w:noWrap/>
            <w:hideMark/>
          </w:tcPr>
          <w:p w14:paraId="3DE79CC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0.34</w:t>
            </w:r>
          </w:p>
        </w:tc>
        <w:tc>
          <w:tcPr>
            <w:tcW w:w="1199" w:type="dxa"/>
            <w:noWrap/>
            <w:hideMark/>
          </w:tcPr>
          <w:p w14:paraId="7975600B"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3D46713F" w14:textId="77777777" w:rsidTr="009C328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78" w:type="dxa"/>
            <w:vMerge w:val="restart"/>
            <w:hideMark/>
          </w:tcPr>
          <w:p w14:paraId="3D7B4DA9" w14:textId="77777777" w:rsidR="00CC0AF0" w:rsidRPr="00B87B46" w:rsidRDefault="00CC0AF0" w:rsidP="009C328B">
            <w:pPr>
              <w:rPr>
                <w:rFonts w:ascii="Arial" w:hAnsi="Arial" w:cs="Arial"/>
                <w:b w:val="0"/>
                <w:color w:val="000000" w:themeColor="text1"/>
                <w:sz w:val="18"/>
                <w:szCs w:val="16"/>
                <w:lang w:eastAsia="en-PH"/>
              </w:rPr>
            </w:pPr>
            <w:r w:rsidRPr="00B87B46">
              <w:rPr>
                <w:rFonts w:ascii="Arial" w:hAnsi="Arial" w:cs="Arial"/>
                <w:b w:val="0"/>
                <w:color w:val="000000" w:themeColor="text1"/>
                <w:sz w:val="18"/>
                <w:szCs w:val="16"/>
                <w:lang w:eastAsia="en-PH"/>
              </w:rPr>
              <w:t>Agri. Mgt.</w:t>
            </w:r>
          </w:p>
        </w:tc>
        <w:tc>
          <w:tcPr>
            <w:tcW w:w="1343" w:type="dxa"/>
            <w:hideMark/>
          </w:tcPr>
          <w:p w14:paraId="3E5F14C7"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Agriculture</w:t>
            </w:r>
          </w:p>
        </w:tc>
        <w:tc>
          <w:tcPr>
            <w:tcW w:w="806" w:type="dxa"/>
            <w:noWrap/>
            <w:hideMark/>
          </w:tcPr>
          <w:p w14:paraId="60ACDB9A"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0.50</w:t>
            </w:r>
          </w:p>
        </w:tc>
        <w:tc>
          <w:tcPr>
            <w:tcW w:w="670" w:type="dxa"/>
            <w:noWrap/>
            <w:hideMark/>
          </w:tcPr>
          <w:p w14:paraId="62717D75"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0.12</w:t>
            </w:r>
          </w:p>
        </w:tc>
        <w:tc>
          <w:tcPr>
            <w:tcW w:w="789" w:type="dxa"/>
            <w:noWrap/>
            <w:hideMark/>
          </w:tcPr>
          <w:p w14:paraId="36E6DB87"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0.00</w:t>
            </w:r>
          </w:p>
        </w:tc>
        <w:tc>
          <w:tcPr>
            <w:tcW w:w="906" w:type="dxa"/>
            <w:noWrap/>
            <w:hideMark/>
          </w:tcPr>
          <w:p w14:paraId="5180A4B5"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0.16</w:t>
            </w:r>
          </w:p>
        </w:tc>
        <w:tc>
          <w:tcPr>
            <w:tcW w:w="991" w:type="dxa"/>
            <w:noWrap/>
            <w:hideMark/>
          </w:tcPr>
          <w:p w14:paraId="4F3B855A"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0.83</w:t>
            </w:r>
          </w:p>
        </w:tc>
        <w:tc>
          <w:tcPr>
            <w:tcW w:w="1199" w:type="dxa"/>
            <w:noWrap/>
            <w:hideMark/>
          </w:tcPr>
          <w:p w14:paraId="3977A01E"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Has Difference</w:t>
            </w:r>
          </w:p>
        </w:tc>
      </w:tr>
      <w:tr w:rsidR="009C328B" w:rsidRPr="00B87B46" w14:paraId="423AA17F" w14:textId="77777777" w:rsidTr="009C328B">
        <w:trPr>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52734944" w14:textId="77777777" w:rsidR="00CC0AF0" w:rsidRPr="00B87B46" w:rsidRDefault="00CC0AF0" w:rsidP="009C328B">
            <w:pPr>
              <w:rPr>
                <w:rFonts w:ascii="Arial" w:hAnsi="Arial" w:cs="Arial"/>
                <w:b w:val="0"/>
                <w:color w:val="000000" w:themeColor="text1"/>
                <w:sz w:val="18"/>
                <w:szCs w:val="16"/>
                <w:lang w:eastAsia="en-PH"/>
              </w:rPr>
            </w:pPr>
          </w:p>
        </w:tc>
        <w:tc>
          <w:tcPr>
            <w:tcW w:w="1343" w:type="dxa"/>
            <w:hideMark/>
          </w:tcPr>
          <w:p w14:paraId="2BCE8534"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Elem. Educ.</w:t>
            </w:r>
          </w:p>
        </w:tc>
        <w:tc>
          <w:tcPr>
            <w:tcW w:w="806" w:type="dxa"/>
            <w:noWrap/>
            <w:hideMark/>
          </w:tcPr>
          <w:p w14:paraId="2CD8EB04"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0.19</w:t>
            </w:r>
          </w:p>
        </w:tc>
        <w:tc>
          <w:tcPr>
            <w:tcW w:w="670" w:type="dxa"/>
            <w:noWrap/>
            <w:hideMark/>
          </w:tcPr>
          <w:p w14:paraId="18BCCB1A"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0.14</w:t>
            </w:r>
          </w:p>
        </w:tc>
        <w:tc>
          <w:tcPr>
            <w:tcW w:w="789" w:type="dxa"/>
            <w:noWrap/>
            <w:hideMark/>
          </w:tcPr>
          <w:p w14:paraId="1DC86556"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0.62</w:t>
            </w:r>
          </w:p>
        </w:tc>
        <w:tc>
          <w:tcPr>
            <w:tcW w:w="906" w:type="dxa"/>
            <w:noWrap/>
            <w:hideMark/>
          </w:tcPr>
          <w:p w14:paraId="2BE45342"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-0.18</w:t>
            </w:r>
          </w:p>
        </w:tc>
        <w:tc>
          <w:tcPr>
            <w:tcW w:w="991" w:type="dxa"/>
            <w:noWrap/>
            <w:hideMark/>
          </w:tcPr>
          <w:p w14:paraId="715ADB99"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0.57</w:t>
            </w:r>
          </w:p>
        </w:tc>
        <w:tc>
          <w:tcPr>
            <w:tcW w:w="1199" w:type="dxa"/>
            <w:noWrap/>
            <w:hideMark/>
          </w:tcPr>
          <w:p w14:paraId="45A76781" w14:textId="77777777" w:rsidR="00CC0AF0" w:rsidRPr="00B87B4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r w:rsidR="009C328B" w:rsidRPr="00B87B46" w14:paraId="57055302" w14:textId="77777777" w:rsidTr="009C328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78" w:type="dxa"/>
            <w:hideMark/>
          </w:tcPr>
          <w:p w14:paraId="5E52529C" w14:textId="77777777" w:rsidR="00CC0AF0" w:rsidRPr="00B87B46" w:rsidRDefault="00CC0AF0" w:rsidP="009C328B">
            <w:pPr>
              <w:rPr>
                <w:rFonts w:ascii="Arial" w:hAnsi="Arial" w:cs="Arial"/>
                <w:b w:val="0"/>
                <w:color w:val="000000" w:themeColor="text1"/>
                <w:sz w:val="18"/>
                <w:szCs w:val="16"/>
                <w:lang w:eastAsia="en-PH"/>
              </w:rPr>
            </w:pPr>
            <w:r w:rsidRPr="00B87B46">
              <w:rPr>
                <w:rFonts w:ascii="Arial" w:hAnsi="Arial" w:cs="Arial"/>
                <w:b w:val="0"/>
                <w:color w:val="000000" w:themeColor="text1"/>
                <w:sz w:val="18"/>
                <w:szCs w:val="16"/>
                <w:lang w:eastAsia="en-PH"/>
              </w:rPr>
              <w:t>Agriculture</w:t>
            </w:r>
          </w:p>
        </w:tc>
        <w:tc>
          <w:tcPr>
            <w:tcW w:w="1343" w:type="dxa"/>
            <w:hideMark/>
          </w:tcPr>
          <w:p w14:paraId="173823D5"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Elem. Educ.</w:t>
            </w:r>
          </w:p>
        </w:tc>
        <w:tc>
          <w:tcPr>
            <w:tcW w:w="806" w:type="dxa"/>
            <w:noWrap/>
            <w:hideMark/>
          </w:tcPr>
          <w:p w14:paraId="5FC37134"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-0.30</w:t>
            </w:r>
          </w:p>
        </w:tc>
        <w:tc>
          <w:tcPr>
            <w:tcW w:w="670" w:type="dxa"/>
            <w:noWrap/>
            <w:hideMark/>
          </w:tcPr>
          <w:p w14:paraId="67DAB506"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0.16</w:t>
            </w:r>
          </w:p>
        </w:tc>
        <w:tc>
          <w:tcPr>
            <w:tcW w:w="789" w:type="dxa"/>
            <w:noWrap/>
            <w:hideMark/>
          </w:tcPr>
          <w:p w14:paraId="4C5F9EEA"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0.31</w:t>
            </w:r>
          </w:p>
        </w:tc>
        <w:tc>
          <w:tcPr>
            <w:tcW w:w="906" w:type="dxa"/>
            <w:noWrap/>
            <w:hideMark/>
          </w:tcPr>
          <w:p w14:paraId="0B605AE4"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-0.74</w:t>
            </w:r>
          </w:p>
        </w:tc>
        <w:tc>
          <w:tcPr>
            <w:tcW w:w="991" w:type="dxa"/>
            <w:noWrap/>
            <w:hideMark/>
          </w:tcPr>
          <w:p w14:paraId="0A8B952E"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0.13</w:t>
            </w:r>
          </w:p>
        </w:tc>
        <w:tc>
          <w:tcPr>
            <w:tcW w:w="1199" w:type="dxa"/>
            <w:noWrap/>
            <w:hideMark/>
          </w:tcPr>
          <w:p w14:paraId="27E6A99A" w14:textId="77777777" w:rsidR="00CC0AF0" w:rsidRPr="00B87B46" w:rsidRDefault="00CC0AF0" w:rsidP="009C328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6"/>
                <w:lang w:eastAsia="en-PH"/>
              </w:rPr>
            </w:pPr>
            <w:r w:rsidRPr="00B87B46">
              <w:rPr>
                <w:rFonts w:ascii="Arial" w:hAnsi="Arial" w:cs="Arial"/>
                <w:color w:val="000000" w:themeColor="text1"/>
                <w:sz w:val="18"/>
                <w:szCs w:val="16"/>
                <w:lang w:eastAsia="en-PH"/>
              </w:rPr>
              <w:t>No Difference</w:t>
            </w:r>
          </w:p>
        </w:tc>
      </w:tr>
    </w:tbl>
    <w:p w14:paraId="48458604" w14:textId="77777777" w:rsidR="00CC0AF0" w:rsidRDefault="00CC0AF0" w:rsidP="00441B6F">
      <w:pPr>
        <w:pStyle w:val="Body"/>
        <w:spacing w:after="0"/>
        <w:rPr>
          <w:rFonts w:ascii="Arial" w:hAnsi="Arial" w:cs="Arial"/>
        </w:rPr>
      </w:pPr>
    </w:p>
    <w:p w14:paraId="639D277A" w14:textId="7FB3C428" w:rsidR="00540DA8" w:rsidRDefault="00010C8D" w:rsidP="00441B6F">
      <w:pPr>
        <w:pStyle w:val="Body"/>
        <w:spacing w:after="0"/>
        <w:rPr>
          <w:rFonts w:ascii="Arial" w:hAnsi="Arial" w:cs="Arial"/>
        </w:rPr>
      </w:pPr>
      <w:r>
        <w:rPr>
          <w:rFonts w:ascii="Arial" w:hAnsi="Arial" w:cs="Arial"/>
        </w:rPr>
        <w:lastRenderedPageBreak/>
        <w:t xml:space="preserve">Table 27 </w:t>
      </w:r>
      <w:r w:rsidR="00540DA8" w:rsidRPr="00B87B46">
        <w:rPr>
          <w:rFonts w:ascii="Arial" w:hAnsi="Arial" w:cs="Arial"/>
        </w:rPr>
        <w:t>show</w:t>
      </w:r>
      <w:r>
        <w:rPr>
          <w:rFonts w:ascii="Arial" w:hAnsi="Arial" w:cs="Arial"/>
        </w:rPr>
        <w:t>s</w:t>
      </w:r>
      <w:r w:rsidR="00540DA8" w:rsidRPr="00540DA8">
        <w:rPr>
          <w:rFonts w:ascii="Arial" w:hAnsi="Arial" w:cs="Arial"/>
        </w:rPr>
        <w:t xml:space="preserve"> that significant differences were found between Agricultural Management and Business Administration (p = .01) as well as Agricultural Management and Agriculture (p = .00). These findings imply that students in Agricultural Management perceive gender equality differently compared to those in other programs. These results may reflect program-specific cultures or curriculum content. For instance, Levy (2024) </w:t>
      </w:r>
      <w:r w:rsidR="00ED620F" w:rsidRPr="00ED620F">
        <w:rPr>
          <w:rFonts w:ascii="Arial" w:hAnsi="Arial" w:cs="Arial"/>
        </w:rPr>
        <w:t>emphasizes that disciplines such as education and the social sciences often engage more critically with gender-related content, while fields like agriculture and management may carry more traditional gender role expectations. Moreover, Lu (2018) suggests that student exposure to gender issues varies by academic context, influencing their sensitivity to equality matters. Thus, the difference may arise from differing institutional emphasis or the gender dynamics typically experienced in each field.</w:t>
      </w:r>
    </w:p>
    <w:p w14:paraId="1C723EB6" w14:textId="77777777" w:rsidR="00ED620F" w:rsidRDefault="00ED620F" w:rsidP="00441B6F">
      <w:pPr>
        <w:pStyle w:val="Body"/>
        <w:spacing w:after="0"/>
        <w:rPr>
          <w:rFonts w:ascii="Arial" w:hAnsi="Arial" w:cs="Arial"/>
        </w:rPr>
      </w:pPr>
    </w:p>
    <w:p w14:paraId="0498CEC6" w14:textId="34C9D443"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C5122F">
        <w:rPr>
          <w:rFonts w:ascii="Arial" w:hAnsi="Arial" w:cs="Arial"/>
        </w:rPr>
        <w:t>s</w:t>
      </w:r>
      <w:r w:rsidR="00587C0F">
        <w:rPr>
          <w:rFonts w:ascii="Arial" w:hAnsi="Arial" w:cs="Arial"/>
        </w:rPr>
        <w:t xml:space="preserve"> AND RECOMMENDATION</w:t>
      </w:r>
      <w:r w:rsidR="00C5122F">
        <w:rPr>
          <w:rFonts w:ascii="Arial" w:hAnsi="Arial" w:cs="Arial"/>
        </w:rPr>
        <w:t>s</w:t>
      </w:r>
    </w:p>
    <w:p w14:paraId="75413481" w14:textId="77777777" w:rsidR="00790ADA" w:rsidRPr="00FB3A86" w:rsidRDefault="00790ADA" w:rsidP="00441B6F">
      <w:pPr>
        <w:pStyle w:val="ConcHead"/>
        <w:spacing w:after="0"/>
        <w:jc w:val="both"/>
        <w:rPr>
          <w:rFonts w:ascii="Arial" w:hAnsi="Arial" w:cs="Arial"/>
        </w:rPr>
      </w:pPr>
    </w:p>
    <w:p w14:paraId="55C4D93B" w14:textId="4F3A77AC" w:rsidR="00C5122F" w:rsidRDefault="00C5122F" w:rsidP="00441B6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 xml:space="preserve">1 </w:t>
      </w:r>
      <w:r>
        <w:rPr>
          <w:rFonts w:ascii="Arial" w:hAnsi="Arial" w:cs="Arial"/>
          <w:b/>
          <w:sz w:val="22"/>
        </w:rPr>
        <w:t>Conclusions</w:t>
      </w:r>
    </w:p>
    <w:p w14:paraId="3691360A" w14:textId="77777777" w:rsidR="00C5122F" w:rsidRDefault="00C5122F" w:rsidP="00441B6F">
      <w:pPr>
        <w:pStyle w:val="Body"/>
        <w:spacing w:after="0"/>
        <w:rPr>
          <w:rFonts w:ascii="Arial" w:hAnsi="Arial" w:cs="Arial"/>
        </w:rPr>
      </w:pPr>
    </w:p>
    <w:p w14:paraId="3FC04CFE" w14:textId="6DB86342" w:rsidR="00790ADA" w:rsidRDefault="002C4EFF" w:rsidP="00441B6F">
      <w:pPr>
        <w:pStyle w:val="Body"/>
        <w:spacing w:after="0"/>
        <w:rPr>
          <w:rFonts w:ascii="Arial" w:hAnsi="Arial" w:cs="Arial"/>
        </w:rPr>
      </w:pPr>
      <w:r w:rsidRPr="002C4EFF">
        <w:rPr>
          <w:rFonts w:ascii="Arial" w:hAnsi="Arial" w:cs="Arial"/>
        </w:rPr>
        <w:t>Based on the analyzed results, the following conclusions were drawn:</w:t>
      </w:r>
    </w:p>
    <w:p w14:paraId="16E39B52" w14:textId="77777777" w:rsidR="002C4EFF" w:rsidRDefault="002C4EFF" w:rsidP="00441B6F">
      <w:pPr>
        <w:pStyle w:val="Body"/>
        <w:spacing w:after="0"/>
        <w:rPr>
          <w:rFonts w:ascii="Arial" w:hAnsi="Arial" w:cs="Arial"/>
        </w:rPr>
      </w:pPr>
    </w:p>
    <w:p w14:paraId="613778E5" w14:textId="77777777" w:rsidR="00590BBF" w:rsidRDefault="00590BBF" w:rsidP="002C4EFF">
      <w:pPr>
        <w:pStyle w:val="Body"/>
        <w:numPr>
          <w:ilvl w:val="0"/>
          <w:numId w:val="33"/>
        </w:numPr>
        <w:spacing w:after="0"/>
        <w:rPr>
          <w:rFonts w:ascii="Arial" w:hAnsi="Arial" w:cs="Arial"/>
        </w:rPr>
      </w:pPr>
      <w:r w:rsidRPr="00590BBF">
        <w:rPr>
          <w:rFonts w:ascii="Arial" w:hAnsi="Arial" w:cs="Arial"/>
        </w:rPr>
        <w:t xml:space="preserve">Based on the findings of the study, it can be concluded that the respondents come from a demographically diverse background. The majority of them were aged 21 to 23 years old (f=124, p=38.63%), predominantly female (f=210, p=65.42%), and evenly distributed across all academic year levels. Most of the respondents were enrolled in the Business Administration program (f=146, p=45.48%). This diversity in profile suggests a wide-ranging perspective on gender-related awareness among the student population. </w:t>
      </w:r>
    </w:p>
    <w:p w14:paraId="4C035814" w14:textId="77777777" w:rsidR="00590BBF" w:rsidRDefault="00590BBF" w:rsidP="002C4EFF">
      <w:pPr>
        <w:pStyle w:val="Body"/>
        <w:numPr>
          <w:ilvl w:val="0"/>
          <w:numId w:val="33"/>
        </w:numPr>
        <w:spacing w:after="0"/>
        <w:rPr>
          <w:rFonts w:ascii="Arial" w:hAnsi="Arial" w:cs="Arial"/>
        </w:rPr>
      </w:pPr>
      <w:r w:rsidRPr="00590BBF">
        <w:rPr>
          <w:rFonts w:ascii="Arial" w:hAnsi="Arial" w:cs="Arial"/>
        </w:rPr>
        <w:t xml:space="preserve">It can be concluded that the respondents exhibited an overall high level of awareness regarding gender-related laws (x̄ =3.89, s=0.79). This indicates that students are generally aware of the legal provisions designed to promote gender equality and protect individuals from gender-based discrimination and violence. The highest level of awareness was observed for RA 7877 (x̄ =3.98, s=0.96), while awareness of the GAD Budget provision under the General Appropriations Act was comparatively lower (x̄=3.80, s=0.98), though still within the high category. </w:t>
      </w:r>
    </w:p>
    <w:p w14:paraId="106AD16E" w14:textId="03005A3D" w:rsidR="002C4EFF" w:rsidRDefault="00590BBF" w:rsidP="002C4EFF">
      <w:pPr>
        <w:pStyle w:val="Body"/>
        <w:numPr>
          <w:ilvl w:val="0"/>
          <w:numId w:val="33"/>
        </w:numPr>
        <w:spacing w:after="0"/>
        <w:rPr>
          <w:rFonts w:ascii="Arial" w:hAnsi="Arial" w:cs="Arial"/>
        </w:rPr>
      </w:pPr>
      <w:r w:rsidRPr="00590BBF">
        <w:rPr>
          <w:rFonts w:ascii="Arial" w:hAnsi="Arial" w:cs="Arial"/>
        </w:rPr>
        <w:t>The results revealed a moderate level of awareness regarding gender discrimination (x̄ =3.37, s=0.83). While respondents showed high gender</w:t>
      </w:r>
      <w:r w:rsidR="00032035">
        <w:rPr>
          <w:rFonts w:ascii="Arial" w:hAnsi="Arial" w:cs="Arial"/>
        </w:rPr>
        <w:t xml:space="preserve"> </w:t>
      </w:r>
      <w:r w:rsidR="00032035" w:rsidRPr="00032035">
        <w:rPr>
          <w:rFonts w:ascii="Arial" w:hAnsi="Arial" w:cs="Arial"/>
        </w:rPr>
        <w:t>discrimination in areas such as classroom participation and teacher feedback (x̄ =3.52, s=1.03), moderate gender discrimination (x̄ =3.23, s=1.12) was observed in more subtle forms of discrimination, such as stereotypes in math abilities. This suggests that although many respondents recognize visible forms of discrimination, there remains a need for a deeper understanding of more ingrained gender biases.</w:t>
      </w:r>
    </w:p>
    <w:p w14:paraId="1C694C68" w14:textId="022B00C6" w:rsidR="00032035" w:rsidRDefault="00032035" w:rsidP="002C4EFF">
      <w:pPr>
        <w:pStyle w:val="Body"/>
        <w:numPr>
          <w:ilvl w:val="0"/>
          <w:numId w:val="33"/>
        </w:numPr>
        <w:spacing w:after="0"/>
        <w:rPr>
          <w:rFonts w:ascii="Arial" w:hAnsi="Arial" w:cs="Arial"/>
        </w:rPr>
      </w:pPr>
      <w:r w:rsidRPr="00032035">
        <w:rPr>
          <w:rFonts w:ascii="Arial" w:hAnsi="Arial" w:cs="Arial"/>
        </w:rPr>
        <w:t>It can be concluded that the respondents had a high level of gender equality (x̄=4.16, s=0.56). This reflects a strong belief in equal treatment and opportunities for all genders, particularly in education and classroom settings. Respondents showed clear support for gender equity in leadership opportunities (x̄=4.36, s=0.75). The overall result highlights a positive mindset among students regarding gender equality.</w:t>
      </w:r>
    </w:p>
    <w:p w14:paraId="2B04D071" w14:textId="77777777" w:rsidR="00032035" w:rsidRDefault="00032035" w:rsidP="002C4EFF">
      <w:pPr>
        <w:pStyle w:val="Body"/>
        <w:numPr>
          <w:ilvl w:val="0"/>
          <w:numId w:val="33"/>
        </w:numPr>
        <w:spacing w:after="0"/>
        <w:rPr>
          <w:rFonts w:ascii="Arial" w:hAnsi="Arial" w:cs="Arial"/>
        </w:rPr>
      </w:pPr>
      <w:r w:rsidRPr="00032035">
        <w:rPr>
          <w:rFonts w:ascii="Arial" w:hAnsi="Arial" w:cs="Arial"/>
        </w:rPr>
        <w:t xml:space="preserve">The study concludes that there are significant differences in gender laws awareness when respondents are grouped by age (f=4.257, p=.006), gender (f=6.114, p=.002), and academic program (f=3.333, p=.011). Specifically, students aged 21–26 showed greater awareness than those 27 and above. Females were significantly more aware of gender laws than males, while LGBTQ+ respondents did not differ significantly from either group. Additionally, students enrolled in Business Administration were more aware than those in Elementary Education. No significant differences were found across year levels. </w:t>
      </w:r>
    </w:p>
    <w:p w14:paraId="3772EE27" w14:textId="77777777" w:rsidR="00C5122F" w:rsidRDefault="00032035" w:rsidP="002C4EFF">
      <w:pPr>
        <w:pStyle w:val="Body"/>
        <w:numPr>
          <w:ilvl w:val="0"/>
          <w:numId w:val="33"/>
        </w:numPr>
        <w:spacing w:after="0"/>
        <w:rPr>
          <w:rFonts w:ascii="Arial" w:hAnsi="Arial" w:cs="Arial"/>
        </w:rPr>
      </w:pPr>
      <w:r w:rsidRPr="00032035">
        <w:rPr>
          <w:rFonts w:ascii="Arial" w:hAnsi="Arial" w:cs="Arial"/>
        </w:rPr>
        <w:lastRenderedPageBreak/>
        <w:t xml:space="preserve">It can be concluded that there is no significant difference in gender discrimination awareness when respondents are grouped according to gender (f= 0.188, p=.829). However, significant differences exist based on age (f= 4.509, p= .004), year level (f= 3.017, p= .030), and academic program (f= 2.859, p=.024), suggesting that the </w:t>
      </w:r>
      <w:r w:rsidR="00C5122F" w:rsidRPr="00C5122F">
        <w:rPr>
          <w:rFonts w:ascii="Arial" w:hAnsi="Arial" w:cs="Arial"/>
        </w:rPr>
        <w:t xml:space="preserve">said demographic factors may influence their level of awareness regarding gender discrimination. </w:t>
      </w:r>
    </w:p>
    <w:p w14:paraId="6E72178D" w14:textId="6BE125C5" w:rsidR="00032035" w:rsidRDefault="00C5122F" w:rsidP="002C4EFF">
      <w:pPr>
        <w:pStyle w:val="Body"/>
        <w:numPr>
          <w:ilvl w:val="0"/>
          <w:numId w:val="33"/>
        </w:numPr>
        <w:spacing w:after="0"/>
        <w:rPr>
          <w:rFonts w:ascii="Arial" w:hAnsi="Arial" w:cs="Arial"/>
        </w:rPr>
      </w:pPr>
      <w:r w:rsidRPr="00C5122F">
        <w:rPr>
          <w:rFonts w:ascii="Arial" w:hAnsi="Arial" w:cs="Arial"/>
        </w:rPr>
        <w:t xml:space="preserve">The findings indicate that there is no significant difference in gender equality awareness when respondents are grouped by age (f=2.837, p=.051), gender (f=2.468, p=.086), and year level (f=2.468, p=.086). However, there is a significant difference in terms of academic program (f= 4.878, p=.001). This implies that the field of study may influence students’ views and awareness of gender equality. </w:t>
      </w:r>
    </w:p>
    <w:p w14:paraId="40BB9E01" w14:textId="77777777" w:rsidR="00C5122F" w:rsidRDefault="00C5122F" w:rsidP="00C5122F">
      <w:pPr>
        <w:pStyle w:val="Body"/>
        <w:spacing w:after="0"/>
        <w:rPr>
          <w:rFonts w:ascii="Arial" w:hAnsi="Arial" w:cs="Arial"/>
        </w:rPr>
      </w:pPr>
    </w:p>
    <w:p w14:paraId="1D61662D" w14:textId="0991E86D" w:rsidR="00C5122F" w:rsidRDefault="00C5122F" w:rsidP="00C5122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 xml:space="preserve">2 </w:t>
      </w:r>
      <w:r>
        <w:rPr>
          <w:rFonts w:ascii="Arial" w:hAnsi="Arial" w:cs="Arial"/>
          <w:b/>
          <w:sz w:val="22"/>
        </w:rPr>
        <w:t>Recommendations</w:t>
      </w:r>
    </w:p>
    <w:p w14:paraId="36C7E921" w14:textId="77777777" w:rsidR="00C5122F" w:rsidRDefault="00C5122F" w:rsidP="00C5122F">
      <w:pPr>
        <w:pStyle w:val="Body"/>
        <w:spacing w:after="0"/>
        <w:rPr>
          <w:rFonts w:ascii="Arial" w:hAnsi="Arial" w:cs="Arial"/>
        </w:rPr>
      </w:pPr>
    </w:p>
    <w:p w14:paraId="4646500F" w14:textId="78D933E4" w:rsidR="00C5122F" w:rsidRDefault="00633167" w:rsidP="00C5122F">
      <w:pPr>
        <w:pStyle w:val="Body"/>
        <w:spacing w:after="0"/>
        <w:rPr>
          <w:rFonts w:ascii="Arial" w:hAnsi="Arial" w:cs="Arial"/>
        </w:rPr>
      </w:pPr>
      <w:r w:rsidRPr="00633167">
        <w:rPr>
          <w:rFonts w:ascii="Arial" w:hAnsi="Arial" w:cs="Arial"/>
        </w:rPr>
        <w:t>Based on the study’s findings and conclusions, the following recommendations are made:</w:t>
      </w:r>
    </w:p>
    <w:p w14:paraId="1A1547E7" w14:textId="77777777" w:rsidR="00633167" w:rsidRDefault="00633167" w:rsidP="00C5122F">
      <w:pPr>
        <w:pStyle w:val="Body"/>
        <w:spacing w:after="0"/>
        <w:rPr>
          <w:rFonts w:ascii="Arial" w:hAnsi="Arial" w:cs="Arial"/>
        </w:rPr>
      </w:pPr>
    </w:p>
    <w:p w14:paraId="0F8A3DF6" w14:textId="54277A16" w:rsidR="00633167" w:rsidRDefault="00633167" w:rsidP="00633167">
      <w:pPr>
        <w:pStyle w:val="Body"/>
        <w:numPr>
          <w:ilvl w:val="0"/>
          <w:numId w:val="34"/>
        </w:numPr>
        <w:spacing w:after="0"/>
        <w:rPr>
          <w:rFonts w:ascii="Arial" w:hAnsi="Arial" w:cs="Arial"/>
        </w:rPr>
      </w:pPr>
      <w:r w:rsidRPr="00633167">
        <w:rPr>
          <w:rFonts w:ascii="Arial" w:hAnsi="Arial" w:cs="Arial"/>
        </w:rPr>
        <w:t xml:space="preserve">Given the demographically diverse composition of the respondents, particularly in terms of age, gender identity, academic year, and field of study, it is recommended that the institution implement inclusive gender-related initiatives. These should be sensitive to the varied perspectives of different student groups. Activities such as focus group discussions, modular content delivery, and student-led forums can help ensure that diverse experiences and viewpoints are acknowledged and integrated into gender-related efforts on campus. </w:t>
      </w:r>
    </w:p>
    <w:p w14:paraId="7CC37165" w14:textId="5B57A2F9" w:rsidR="00633167" w:rsidRDefault="00373749" w:rsidP="00633167">
      <w:pPr>
        <w:pStyle w:val="Body"/>
        <w:numPr>
          <w:ilvl w:val="0"/>
          <w:numId w:val="34"/>
        </w:numPr>
        <w:spacing w:after="0"/>
        <w:rPr>
          <w:rFonts w:ascii="Arial" w:hAnsi="Arial" w:cs="Arial"/>
        </w:rPr>
      </w:pPr>
      <w:r w:rsidRPr="00373749">
        <w:rPr>
          <w:rFonts w:ascii="Arial" w:hAnsi="Arial" w:cs="Arial"/>
        </w:rPr>
        <w:t>As students exhibited high awareness of major gender-related laws, the institution should focus on strengthening familiarity with lesser-known but equally important legal provisions, particularly the Gender and Development (GAD) Budget under the General Appropriations Act. This can be done by incorporating these topics into classroom discussions, legal literacy sessions, and distributing informative materials that explain the real-life applications of these laws in educational and community settings</w:t>
      </w:r>
    </w:p>
    <w:p w14:paraId="78F50B24" w14:textId="77777777" w:rsidR="00373749" w:rsidRDefault="00373749" w:rsidP="00633167">
      <w:pPr>
        <w:pStyle w:val="Body"/>
        <w:numPr>
          <w:ilvl w:val="0"/>
          <w:numId w:val="34"/>
        </w:numPr>
        <w:spacing w:after="0"/>
        <w:rPr>
          <w:rFonts w:ascii="Arial" w:hAnsi="Arial" w:cs="Arial"/>
        </w:rPr>
      </w:pPr>
      <w:r w:rsidRPr="00373749">
        <w:rPr>
          <w:rFonts w:ascii="Arial" w:hAnsi="Arial" w:cs="Arial"/>
        </w:rPr>
        <w:t xml:space="preserve">Since the results indicate a moderate level of gender discrimination, it is recommended that the institution develop learning activities and engagement platforms that challenge discriminatory norms and behaviors. Educational interventions such as scenario analysis, role-playing exercises, and discussions on social norms can encourage students to critically examine how gender discrimination manifests in both obvious and subtle ways. Programs should also include student-led dialogues that promote respectful peer interaction and challenge everyday instances of bias within the campus environment. </w:t>
      </w:r>
    </w:p>
    <w:p w14:paraId="36B91B64" w14:textId="77777777" w:rsidR="00373749" w:rsidRDefault="00373749" w:rsidP="00633167">
      <w:pPr>
        <w:pStyle w:val="Body"/>
        <w:numPr>
          <w:ilvl w:val="0"/>
          <w:numId w:val="34"/>
        </w:numPr>
        <w:spacing w:after="0"/>
        <w:rPr>
          <w:rFonts w:ascii="Arial" w:hAnsi="Arial" w:cs="Arial"/>
        </w:rPr>
      </w:pPr>
      <w:r w:rsidRPr="00373749">
        <w:rPr>
          <w:rFonts w:ascii="Arial" w:hAnsi="Arial" w:cs="Arial"/>
        </w:rPr>
        <w:t xml:space="preserve">Given the high level of gender equality observed among respondents, the institution is encouraged to sustain this by involving students in practices that reinforce inclusive values. This may include support for student organizations that advocate for equitable participation, recognition of diverse leadership, and the promotion of balanced representation in school activities. Opportunities for joint projects, leadership roles, and classroom collaboration across genders should be consistently provided to embed equitable practices into everyday academic and social experiences. </w:t>
      </w:r>
    </w:p>
    <w:p w14:paraId="031B309B" w14:textId="77777777" w:rsidR="00373749" w:rsidRDefault="00373749" w:rsidP="00633167">
      <w:pPr>
        <w:pStyle w:val="Body"/>
        <w:numPr>
          <w:ilvl w:val="0"/>
          <w:numId w:val="34"/>
        </w:numPr>
        <w:spacing w:after="0"/>
        <w:rPr>
          <w:rFonts w:ascii="Arial" w:hAnsi="Arial" w:cs="Arial"/>
        </w:rPr>
      </w:pPr>
      <w:r w:rsidRPr="00373749">
        <w:rPr>
          <w:rFonts w:ascii="Arial" w:hAnsi="Arial" w:cs="Arial"/>
        </w:rPr>
        <w:t xml:space="preserve">Significant differences in gender law awareness across age, gender, and academic programs suggest the need for more targeted educational strategies. Students in programs with lower awareness, such as Elementary Education, should receive customized content that emphasizes the relevance of gender laws to their future professional roles. Younger and male students may benefit from participatory sessions that relate gender laws to their personal experiences and societal roles. </w:t>
      </w:r>
    </w:p>
    <w:p w14:paraId="7553FC56" w14:textId="77777777" w:rsidR="007244F9" w:rsidRDefault="00373749" w:rsidP="00633167">
      <w:pPr>
        <w:pStyle w:val="Body"/>
        <w:numPr>
          <w:ilvl w:val="0"/>
          <w:numId w:val="34"/>
        </w:numPr>
        <w:spacing w:after="0"/>
        <w:rPr>
          <w:rFonts w:ascii="Arial" w:hAnsi="Arial" w:cs="Arial"/>
        </w:rPr>
      </w:pPr>
      <w:r w:rsidRPr="00373749">
        <w:rPr>
          <w:rFonts w:ascii="Arial" w:hAnsi="Arial" w:cs="Arial"/>
        </w:rPr>
        <w:t xml:space="preserve">Since levels of understanding about gender discrimination vary by age, academic program, and year level, it is recommended that the school adopt a differentiated </w:t>
      </w:r>
      <w:r w:rsidR="007244F9" w:rsidRPr="007244F9">
        <w:rPr>
          <w:rFonts w:ascii="Arial" w:hAnsi="Arial" w:cs="Arial"/>
        </w:rPr>
        <w:lastRenderedPageBreak/>
        <w:t xml:space="preserve">approach to gender sensitivity training. Curricular revisions should ensure that concepts of gender fairness and social justice are meaningfully addressed across subjects. Peer mentoring, discussions, and scenario-based learning activities can also help bridge understanding gaps among different student groups. </w:t>
      </w:r>
    </w:p>
    <w:p w14:paraId="027E41C7" w14:textId="666CC1CE" w:rsidR="00373749" w:rsidRDefault="007244F9" w:rsidP="00633167">
      <w:pPr>
        <w:pStyle w:val="Body"/>
        <w:numPr>
          <w:ilvl w:val="0"/>
          <w:numId w:val="34"/>
        </w:numPr>
        <w:spacing w:after="0"/>
        <w:rPr>
          <w:rFonts w:ascii="Arial" w:hAnsi="Arial" w:cs="Arial"/>
        </w:rPr>
      </w:pPr>
      <w:r w:rsidRPr="007244F9">
        <w:rPr>
          <w:rFonts w:ascii="Arial" w:hAnsi="Arial" w:cs="Arial"/>
        </w:rPr>
        <w:t>Given that the perception of gender equality varies significantly across academic programs, the institution should conduct a curriculum audit to evaluate how gender equality is integrated in each course of study. Fields showing lower engagement with gender equality principles should be provided with additional instructional resources, professional development for instructors, and interdepartmental collaboration. These efforts aim to build a school-wide culture of gender responsiveness across all programs.</w:t>
      </w:r>
    </w:p>
    <w:p w14:paraId="0D6CD535" w14:textId="77777777" w:rsidR="00633167" w:rsidRPr="00FB3A86" w:rsidRDefault="00633167" w:rsidP="00C5122F">
      <w:pPr>
        <w:pStyle w:val="Body"/>
        <w:spacing w:after="0"/>
        <w:rPr>
          <w:rFonts w:ascii="Arial" w:hAnsi="Arial" w:cs="Arial"/>
        </w:rPr>
      </w:pPr>
    </w:p>
    <w:p w14:paraId="1C1F348E" w14:textId="015E4BA8" w:rsidR="000F2A8D" w:rsidRPr="00B87B46" w:rsidRDefault="0048092A">
      <w:pPr>
        <w:pStyle w:val="AcknHead"/>
        <w:spacing w:after="0"/>
        <w:jc w:val="both"/>
        <w:rPr>
          <w:rFonts w:ascii="Arial" w:hAnsi="Arial" w:cs="Arial"/>
        </w:rPr>
      </w:pPr>
      <w:r>
        <w:rPr>
          <w:rFonts w:ascii="Arial" w:hAnsi="Arial" w:cs="Arial"/>
        </w:rPr>
        <w:t>CONSENT AND ETHICAL APPROVAL</w:t>
      </w:r>
    </w:p>
    <w:p w14:paraId="20519383" w14:textId="77777777" w:rsidR="000F2A8D" w:rsidRDefault="000F2A8D" w:rsidP="00441B6F">
      <w:pPr>
        <w:pStyle w:val="AcknHead"/>
        <w:spacing w:after="0"/>
        <w:jc w:val="both"/>
        <w:rPr>
          <w:rFonts w:ascii="Arial" w:hAnsi="Arial" w:cs="Arial"/>
        </w:rPr>
      </w:pPr>
    </w:p>
    <w:p w14:paraId="7CD4882F" w14:textId="5A936692" w:rsidR="00C13532" w:rsidRPr="00B87B46" w:rsidRDefault="00C13532" w:rsidP="003B40C0">
      <w:pPr>
        <w:pStyle w:val="Body"/>
        <w:spacing w:after="0"/>
        <w:rPr>
          <w:rFonts w:ascii="Arial" w:hAnsi="Arial" w:cs="Arial"/>
        </w:rPr>
      </w:pPr>
      <w:r>
        <w:rPr>
          <w:rFonts w:ascii="Arial" w:hAnsi="Arial" w:cs="Arial"/>
        </w:rPr>
        <w:t xml:space="preserve">The researchers first secured ethical clearance from the University Research Ethics Board of Davao Oriental State University by submitting a complete research proposal, informed consent forms, data collection instruments, and a detailed explanation of potential risks and benefits. </w:t>
      </w:r>
    </w:p>
    <w:p w14:paraId="04D9BAFB" w14:textId="77777777" w:rsidR="003B40C0" w:rsidRDefault="003B40C0" w:rsidP="00441B6F">
      <w:pPr>
        <w:pStyle w:val="AcknHead"/>
        <w:spacing w:after="0"/>
        <w:jc w:val="both"/>
        <w:rPr>
          <w:rFonts w:ascii="Arial" w:hAnsi="Arial" w:cs="Arial"/>
        </w:rPr>
      </w:pPr>
    </w:p>
    <w:p w14:paraId="0FF5039B" w14:textId="77777777" w:rsidR="00315186" w:rsidRPr="00B87B46" w:rsidRDefault="00315186" w:rsidP="00441B6F">
      <w:pPr>
        <w:rPr>
          <w:rFonts w:ascii="Arial" w:hAnsi="Arial" w:cs="Arial"/>
        </w:rPr>
      </w:pPr>
      <w:bookmarkStart w:id="0" w:name="_GoBack"/>
      <w:bookmarkEnd w:id="0"/>
    </w:p>
    <w:p w14:paraId="45980250"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39D88F5" w14:textId="77777777" w:rsidR="00860000" w:rsidRPr="00786D36" w:rsidRDefault="00860000" w:rsidP="00441B6F">
      <w:pPr>
        <w:pStyle w:val="ReferHead"/>
        <w:spacing w:after="0"/>
        <w:jc w:val="both"/>
        <w:rPr>
          <w:rFonts w:ascii="Arial" w:hAnsi="Arial" w:cs="Arial"/>
        </w:rPr>
      </w:pPr>
    </w:p>
    <w:p w14:paraId="7D9C0D4B" w14:textId="0928E8B3" w:rsidR="00860000" w:rsidRDefault="002A57C8" w:rsidP="00441B6F">
      <w:pPr>
        <w:pStyle w:val="ReferHead"/>
        <w:spacing w:after="0"/>
        <w:jc w:val="both"/>
        <w:rPr>
          <w:rFonts w:ascii="Arial" w:hAnsi="Arial" w:cs="Arial"/>
          <w:b w:val="0"/>
          <w:caps w:val="0"/>
          <w:sz w:val="20"/>
        </w:rPr>
      </w:pPr>
      <w:r>
        <w:rPr>
          <w:rFonts w:ascii="Arial" w:hAnsi="Arial" w:cs="Arial"/>
          <w:b w:val="0"/>
          <w:caps w:val="0"/>
          <w:sz w:val="20"/>
        </w:rPr>
        <w:t>The authors declare that no competing interests exist.</w:t>
      </w:r>
    </w:p>
    <w:p w14:paraId="4B5F050F" w14:textId="77777777" w:rsidR="007B6701" w:rsidRDefault="007B6701" w:rsidP="00441B6F">
      <w:pPr>
        <w:pStyle w:val="ReferHead"/>
        <w:spacing w:after="0"/>
        <w:jc w:val="both"/>
        <w:rPr>
          <w:rFonts w:ascii="Arial" w:hAnsi="Arial" w:cs="Arial"/>
          <w:b w:val="0"/>
          <w:caps w:val="0"/>
          <w:sz w:val="20"/>
        </w:rPr>
      </w:pPr>
    </w:p>
    <w:p w14:paraId="252304CB" w14:textId="77777777" w:rsidR="007B6701" w:rsidRDefault="007B6701" w:rsidP="00441B6F">
      <w:pPr>
        <w:pStyle w:val="ReferHead"/>
        <w:spacing w:after="0"/>
        <w:jc w:val="both"/>
        <w:rPr>
          <w:rFonts w:ascii="Arial" w:hAnsi="Arial" w:cs="Arial"/>
          <w:b w:val="0"/>
          <w:caps w:val="0"/>
          <w:sz w:val="20"/>
        </w:rPr>
      </w:pPr>
    </w:p>
    <w:p w14:paraId="221D94BA" w14:textId="77777777" w:rsidR="007B6701" w:rsidRPr="007B6701" w:rsidRDefault="007B6701" w:rsidP="007B6701">
      <w:pPr>
        <w:spacing w:after="200" w:line="276" w:lineRule="auto"/>
        <w:rPr>
          <w:rFonts w:ascii="Arial" w:eastAsiaTheme="minorEastAsia" w:hAnsi="Arial" w:cs="Arial"/>
          <w:b/>
          <w:bCs/>
          <w:sz w:val="22"/>
          <w:szCs w:val="22"/>
          <w:lang w:val="en-GB" w:eastAsia="en-GB"/>
        </w:rPr>
      </w:pPr>
      <w:r w:rsidRPr="007B6701">
        <w:rPr>
          <w:rFonts w:ascii="Arial" w:eastAsiaTheme="minorEastAsia" w:hAnsi="Arial" w:cs="Arial"/>
          <w:b/>
          <w:bCs/>
          <w:sz w:val="22"/>
          <w:szCs w:val="22"/>
          <w:lang w:val="en-GB" w:eastAsia="en-GB"/>
        </w:rPr>
        <w:t>COMPETING INTERESTS DISCLAIMER:</w:t>
      </w:r>
    </w:p>
    <w:p w14:paraId="63DF5EB0" w14:textId="77777777" w:rsidR="007B6701" w:rsidRPr="007B6701" w:rsidRDefault="007B6701" w:rsidP="007B6701">
      <w:pPr>
        <w:spacing w:after="200" w:line="276" w:lineRule="auto"/>
        <w:rPr>
          <w:rFonts w:asciiTheme="minorHAnsi" w:eastAsiaTheme="minorEastAsia" w:hAnsiTheme="minorHAnsi" w:cstheme="minorBidi"/>
          <w:sz w:val="22"/>
          <w:szCs w:val="22"/>
          <w:lang w:val="en-GB" w:eastAsia="en-GB"/>
        </w:rPr>
      </w:pPr>
      <w:r w:rsidRPr="007B6701">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C83B2B6" w14:textId="77777777" w:rsidR="007B6701" w:rsidRDefault="007B6701" w:rsidP="00441B6F">
      <w:pPr>
        <w:pStyle w:val="ReferHead"/>
        <w:spacing w:after="0"/>
        <w:jc w:val="both"/>
        <w:rPr>
          <w:rFonts w:ascii="Arial" w:hAnsi="Arial" w:cs="Arial"/>
          <w:b w:val="0"/>
          <w:caps w:val="0"/>
          <w:sz w:val="20"/>
        </w:rPr>
      </w:pPr>
    </w:p>
    <w:p w14:paraId="046F1EE6" w14:textId="77777777" w:rsidR="00860000" w:rsidRDefault="00860000" w:rsidP="00441B6F">
      <w:pPr>
        <w:pStyle w:val="ReferHead"/>
        <w:spacing w:after="0"/>
        <w:jc w:val="both"/>
        <w:rPr>
          <w:rFonts w:ascii="Arial" w:hAnsi="Arial" w:cs="Arial"/>
        </w:rPr>
      </w:pPr>
    </w:p>
    <w:p w14:paraId="36011F1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139943" w14:textId="77777777" w:rsidR="00790ADA" w:rsidRPr="00FB3A86" w:rsidRDefault="00790ADA" w:rsidP="00441B6F">
      <w:pPr>
        <w:pStyle w:val="ReferHead"/>
        <w:spacing w:after="0"/>
        <w:jc w:val="both"/>
        <w:rPr>
          <w:rFonts w:ascii="Arial" w:hAnsi="Arial" w:cs="Arial"/>
        </w:rPr>
      </w:pPr>
    </w:p>
    <w:p w14:paraId="4BC763C6" w14:textId="77777777" w:rsidR="004B4184" w:rsidRPr="002073EE" w:rsidRDefault="004B4184" w:rsidP="004943A8">
      <w:pPr>
        <w:pStyle w:val="Body"/>
        <w:spacing w:after="0"/>
        <w:rPr>
          <w:color w:val="000000" w:themeColor="text1"/>
        </w:rPr>
      </w:pPr>
      <w:proofErr w:type="spellStart"/>
      <w:r w:rsidRPr="004943A8">
        <w:rPr>
          <w:rFonts w:ascii="Arial" w:hAnsi="Arial" w:cs="Arial"/>
          <w:color w:val="000000" w:themeColor="text1"/>
          <w:lang w:val="en-PH"/>
        </w:rPr>
        <w:t>Abalkhail</w:t>
      </w:r>
      <w:proofErr w:type="spellEnd"/>
      <w:r w:rsidRPr="004943A8">
        <w:rPr>
          <w:rFonts w:ascii="Arial" w:hAnsi="Arial" w:cs="Arial"/>
          <w:color w:val="000000" w:themeColor="text1"/>
          <w:lang w:val="en-PH"/>
        </w:rPr>
        <w:t xml:space="preserve">, J. M. (2017). Women and leadership: challenges and opportunities in Saudi higher education. Career Development International, 22(2), 165–183. </w:t>
      </w:r>
      <w:hyperlink r:id="rId14" w:history="1">
        <w:r w:rsidRPr="004943A8">
          <w:rPr>
            <w:rStyle w:val="Hyperlink"/>
            <w:rFonts w:ascii="Arial" w:hAnsi="Arial" w:cs="Arial"/>
            <w:color w:val="000000" w:themeColor="text1"/>
            <w:u w:val="none"/>
            <w:lang w:val="en-PH"/>
          </w:rPr>
          <w:t>https://doi.org/10.1108/cdi-03-2016-0029</w:t>
        </w:r>
      </w:hyperlink>
    </w:p>
    <w:p w14:paraId="21C5E110" w14:textId="77777777" w:rsidR="004B4184" w:rsidRPr="004943A8" w:rsidRDefault="004B4184" w:rsidP="004943A8">
      <w:pPr>
        <w:pStyle w:val="Body"/>
        <w:spacing w:after="0"/>
        <w:rPr>
          <w:rFonts w:ascii="Arial" w:hAnsi="Arial" w:cs="Arial"/>
          <w:color w:val="000000" w:themeColor="text1"/>
          <w:lang w:val="en-PH"/>
        </w:rPr>
      </w:pPr>
    </w:p>
    <w:p w14:paraId="5CE9C19D" w14:textId="0F7A4D1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Abbas, A., &amp; Smith, J. (2023). Gender inequality in education: a comprehensive examination of social science studies. The Critical Review of Social Sciences Studies, 1(01), 11-22.</w:t>
      </w:r>
    </w:p>
    <w:p w14:paraId="0EB58020" w14:textId="77777777" w:rsidR="004B4184" w:rsidRPr="004943A8"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 xml:space="preserve">Abdelatti, H., &amp; </w:t>
      </w:r>
      <w:proofErr w:type="spellStart"/>
      <w:r w:rsidRPr="004943A8">
        <w:rPr>
          <w:rFonts w:ascii="Arial" w:hAnsi="Arial" w:cs="Arial"/>
          <w:color w:val="000000" w:themeColor="text1"/>
          <w:lang w:val="en-PH"/>
        </w:rPr>
        <w:t>Elhadary</w:t>
      </w:r>
      <w:proofErr w:type="spellEnd"/>
      <w:r w:rsidRPr="004943A8">
        <w:rPr>
          <w:rFonts w:ascii="Arial" w:hAnsi="Arial" w:cs="Arial"/>
          <w:color w:val="000000" w:themeColor="text1"/>
          <w:lang w:val="en-PH"/>
        </w:rPr>
        <w:t xml:space="preserve">, Y. (2024). Gender Equality at Public Universities in Saudi Arabia: Achievements and Ambitions. Journal of Educational and Social Research. DOI: </w:t>
      </w:r>
      <w:hyperlink r:id="rId15" w:history="1">
        <w:r w:rsidRPr="004943A8">
          <w:rPr>
            <w:rStyle w:val="Hyperlink"/>
            <w:rFonts w:ascii="Arial" w:hAnsi="Arial" w:cs="Arial"/>
            <w:color w:val="000000" w:themeColor="text1"/>
            <w:u w:val="none"/>
            <w:lang w:val="en-PH"/>
          </w:rPr>
          <w:t>https://doi.org/10.36941/jesr-2024-0084</w:t>
        </w:r>
      </w:hyperlink>
    </w:p>
    <w:p w14:paraId="6401082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Abdelatti, H., &amp; </w:t>
      </w:r>
      <w:proofErr w:type="spellStart"/>
      <w:r w:rsidRPr="002073EE">
        <w:rPr>
          <w:rFonts w:ascii="Arial" w:hAnsi="Arial" w:cs="Arial"/>
          <w:color w:val="000000" w:themeColor="text1"/>
        </w:rPr>
        <w:t>Elhadary</w:t>
      </w:r>
      <w:proofErr w:type="spellEnd"/>
      <w:r w:rsidRPr="002073EE">
        <w:rPr>
          <w:rFonts w:ascii="Arial" w:hAnsi="Arial" w:cs="Arial"/>
          <w:color w:val="000000" w:themeColor="text1"/>
        </w:rPr>
        <w:t>, Y. (2024). Gender Equality at Public Universities in Saudi Arabia: Achievements and Ambitions. Journal of Educational and Social Research. DOI: https://doi.org/10.36941/jesr-2024-0084</w:t>
      </w:r>
    </w:p>
    <w:p w14:paraId="16A32A79"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Aldaba, F. T., </w:t>
      </w:r>
      <w:proofErr w:type="spellStart"/>
      <w:r w:rsidRPr="002073EE">
        <w:rPr>
          <w:rFonts w:ascii="Arial" w:hAnsi="Arial" w:cs="Arial"/>
          <w:color w:val="000000" w:themeColor="text1"/>
        </w:rPr>
        <w:t>Sescon</w:t>
      </w:r>
      <w:proofErr w:type="spellEnd"/>
      <w:r w:rsidRPr="002073EE">
        <w:rPr>
          <w:rFonts w:ascii="Arial" w:hAnsi="Arial" w:cs="Arial"/>
          <w:color w:val="000000" w:themeColor="text1"/>
        </w:rPr>
        <w:t xml:space="preserve">, J. T., &amp; </w:t>
      </w:r>
      <w:proofErr w:type="spellStart"/>
      <w:r w:rsidRPr="002073EE">
        <w:rPr>
          <w:rFonts w:ascii="Arial" w:hAnsi="Arial" w:cs="Arial"/>
          <w:color w:val="000000" w:themeColor="text1"/>
        </w:rPr>
        <w:t>Alconis</w:t>
      </w:r>
      <w:proofErr w:type="spellEnd"/>
      <w:r w:rsidRPr="002073EE">
        <w:rPr>
          <w:rFonts w:ascii="Arial" w:hAnsi="Arial" w:cs="Arial"/>
          <w:color w:val="000000" w:themeColor="text1"/>
        </w:rPr>
        <w:t>, K. E. (2024). Strengthening CHED's developmental and regulatory capacity.</w:t>
      </w:r>
    </w:p>
    <w:p w14:paraId="0CA1171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lastRenderedPageBreak/>
        <w:t>Anderson, S. M. (2020). Gender matters: The perceived role of gender expression in discrimination against cisgender and transgender LGBQ individuals. Psychology of Women Quarterly, 44(3), 323-341.</w:t>
      </w:r>
    </w:p>
    <w:p w14:paraId="1AFE6FA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Aquino, M. G., &amp; Villarosa, J. C. (2023). Walking into the Philippine Legislation: An In-Depth Analysis of the Daughter Clause of Article 247 of the Revised Penal Code. International Journal of Law and Politics Studies, 5(3), 18-98.</w:t>
      </w:r>
    </w:p>
    <w:p w14:paraId="63A0D7C1"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Assefa, E. A. (2024). Are Co-Curricular Activities Useful for Diversity Management? Evidence </w:t>
      </w:r>
      <w:proofErr w:type="gramStart"/>
      <w:r w:rsidRPr="002073EE">
        <w:rPr>
          <w:rFonts w:ascii="Arial" w:hAnsi="Arial" w:cs="Arial"/>
          <w:color w:val="000000" w:themeColor="text1"/>
        </w:rPr>
        <w:t>From</w:t>
      </w:r>
      <w:proofErr w:type="gramEnd"/>
      <w:r w:rsidRPr="002073EE">
        <w:rPr>
          <w:rFonts w:ascii="Arial" w:hAnsi="Arial" w:cs="Arial"/>
          <w:color w:val="000000" w:themeColor="text1"/>
        </w:rPr>
        <w:t xml:space="preserve"> Secondary Schools in Addis Ababa, Ethiopia. Advances in Social Sciences and Management, 2(3), 26-47.</w:t>
      </w:r>
    </w:p>
    <w:p w14:paraId="2C81E47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Bin Latif, W., Yasin, I. M., Rahaman, M. A., Ali, M. J., Forid, M. S., &amp; Islam, M. N. (2024). Interdisciplinary Approaches to Social Justice: Bridging Sociology, Law, and Education. Library of Progress-Library Science, Information Technology &amp; Computer, 44(3).</w:t>
      </w:r>
    </w:p>
    <w:p w14:paraId="0E26DC3D" w14:textId="77777777"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t>Bottia</w:t>
      </w:r>
      <w:proofErr w:type="spellEnd"/>
      <w:r w:rsidRPr="002073EE">
        <w:rPr>
          <w:rFonts w:ascii="Arial" w:hAnsi="Arial" w:cs="Arial"/>
          <w:color w:val="000000" w:themeColor="text1"/>
        </w:rPr>
        <w:t>, M. C., Giersch, J., Mickelson, R. A., Stearns, E., &amp; Moller, S. (2016). Distributive justice antecedents of race and gender disparities in first-year college performance. Social Justice Research, 29, 35-72.</w:t>
      </w:r>
    </w:p>
    <w:p w14:paraId="03DBC151"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Brown, M. E., Hunt, G. E., Hughes, F., &amp; Finn, G. M. (2020). ‘Too male, too pale, too stale’: a qualitative exploration of student experiences of gender bias within medical education. BMJ open, 10(8), e039092.</w:t>
      </w:r>
    </w:p>
    <w:p w14:paraId="2093F9E6" w14:textId="77777777"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t>Cadeliña</w:t>
      </w:r>
      <w:proofErr w:type="spellEnd"/>
      <w:r w:rsidRPr="002073EE">
        <w:rPr>
          <w:rFonts w:ascii="Arial" w:hAnsi="Arial" w:cs="Arial"/>
          <w:color w:val="000000" w:themeColor="text1"/>
        </w:rPr>
        <w:t>, J. M. (2025). Gendered Perspective Flexible Learning Modality in Social Science: Navigating Students’ Attitudes and Challenges to Achieve SDG 5 Gender Equality. SUKISOK Journal of the Arts and Sciences, 5(1), 44-59.</w:t>
      </w:r>
    </w:p>
    <w:p w14:paraId="67E6AC3E" w14:textId="77777777" w:rsidR="004B4184" w:rsidRPr="004943A8" w:rsidRDefault="004B4184" w:rsidP="004943A8">
      <w:pPr>
        <w:pStyle w:val="Body"/>
        <w:spacing w:after="0"/>
        <w:rPr>
          <w:rFonts w:ascii="Arial" w:hAnsi="Arial" w:cs="Arial"/>
          <w:color w:val="000000" w:themeColor="text1"/>
          <w:lang w:val="en-PH"/>
        </w:rPr>
      </w:pPr>
      <w:proofErr w:type="spellStart"/>
      <w:r w:rsidRPr="004943A8">
        <w:rPr>
          <w:rFonts w:ascii="Arial" w:hAnsi="Arial" w:cs="Arial"/>
          <w:color w:val="000000" w:themeColor="text1"/>
          <w:lang w:val="en-PH"/>
        </w:rPr>
        <w:t>Cagang</w:t>
      </w:r>
      <w:proofErr w:type="spellEnd"/>
      <w:r w:rsidRPr="004943A8">
        <w:rPr>
          <w:rFonts w:ascii="Arial" w:hAnsi="Arial" w:cs="Arial"/>
          <w:color w:val="000000" w:themeColor="text1"/>
          <w:lang w:val="en-PH"/>
        </w:rPr>
        <w:t xml:space="preserve"> et al. (2023). Asian J. Educ. Soc. Stud., vol. 49, no. 3, pp. 266–280; Article no. AJESS.107717</w:t>
      </w:r>
    </w:p>
    <w:p w14:paraId="17C43CC7" w14:textId="77777777" w:rsidR="004B4184" w:rsidRPr="002073EE" w:rsidRDefault="004B4184" w:rsidP="00896A80">
      <w:pPr>
        <w:pStyle w:val="Body"/>
        <w:rPr>
          <w:rFonts w:ascii="Arial" w:hAnsi="Arial" w:cs="Arial"/>
          <w:color w:val="000000" w:themeColor="text1"/>
        </w:rPr>
      </w:pPr>
    </w:p>
    <w:p w14:paraId="72DB8755" w14:textId="54BDFDF3"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Cerna, L., Mezzanotte, C., Rutigliano, A., Brussino, O., Santiago, P., </w:t>
      </w:r>
      <w:proofErr w:type="spellStart"/>
      <w:r w:rsidRPr="002073EE">
        <w:rPr>
          <w:rFonts w:ascii="Arial" w:hAnsi="Arial" w:cs="Arial"/>
          <w:color w:val="000000" w:themeColor="text1"/>
        </w:rPr>
        <w:t>Borgonovi</w:t>
      </w:r>
      <w:proofErr w:type="spellEnd"/>
      <w:r w:rsidRPr="002073EE">
        <w:rPr>
          <w:rFonts w:ascii="Arial" w:hAnsi="Arial" w:cs="Arial"/>
          <w:color w:val="000000" w:themeColor="text1"/>
        </w:rPr>
        <w:t>, F., &amp; Guthrie, C. (2021). Promoting inclusive education for diverse societies: A conceptual framework. OECD Education Working Papers, (260), 0_1-57.</w:t>
      </w:r>
    </w:p>
    <w:p w14:paraId="6AE3ACCE"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Cheryan, S., Ziegler, S. A., Montoya, A. K., &amp; Jiang, L. (2017). Why are some STEM fields more gender balanced than </w:t>
      </w:r>
      <w:proofErr w:type="gramStart"/>
      <w:r w:rsidRPr="002073EE">
        <w:rPr>
          <w:rFonts w:ascii="Arial" w:hAnsi="Arial" w:cs="Arial"/>
          <w:color w:val="000000" w:themeColor="text1"/>
        </w:rPr>
        <w:t>others?.</w:t>
      </w:r>
      <w:proofErr w:type="gramEnd"/>
      <w:r w:rsidRPr="002073EE">
        <w:rPr>
          <w:rFonts w:ascii="Arial" w:hAnsi="Arial" w:cs="Arial"/>
          <w:color w:val="000000" w:themeColor="text1"/>
        </w:rPr>
        <w:t xml:space="preserve"> Psychological bulletin, 143(1), 1.</w:t>
      </w:r>
    </w:p>
    <w:p w14:paraId="3B694E73"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Clark, N., &amp; </w:t>
      </w:r>
      <w:proofErr w:type="spellStart"/>
      <w:r w:rsidRPr="002073EE">
        <w:rPr>
          <w:rFonts w:ascii="Arial" w:hAnsi="Arial" w:cs="Arial"/>
          <w:color w:val="000000" w:themeColor="text1"/>
        </w:rPr>
        <w:t>Vissandjée</w:t>
      </w:r>
      <w:proofErr w:type="spellEnd"/>
      <w:r w:rsidRPr="002073EE">
        <w:rPr>
          <w:rFonts w:ascii="Arial" w:hAnsi="Arial" w:cs="Arial"/>
          <w:color w:val="000000" w:themeColor="text1"/>
        </w:rPr>
        <w:t xml:space="preserve">, B. (2019). Exploring intersectionality as a policy tool for </w:t>
      </w:r>
      <w:proofErr w:type="gramStart"/>
      <w:r w:rsidRPr="002073EE">
        <w:rPr>
          <w:rFonts w:ascii="Arial" w:hAnsi="Arial" w:cs="Arial"/>
          <w:color w:val="000000" w:themeColor="text1"/>
        </w:rPr>
        <w:t>gender based</w:t>
      </w:r>
      <w:proofErr w:type="gramEnd"/>
      <w:r w:rsidRPr="002073EE">
        <w:rPr>
          <w:rFonts w:ascii="Arial" w:hAnsi="Arial" w:cs="Arial"/>
          <w:color w:val="000000" w:themeColor="text1"/>
        </w:rPr>
        <w:t xml:space="preserve"> policy analysis: Implications for language and health literacy as key determinants of integration. The Palgrave handbook of intersectionality in public policy, 603-623.</w:t>
      </w:r>
    </w:p>
    <w:p w14:paraId="51F3761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Clavero, S., &amp; Galligan, Y. (2021). Delivering gender justice in academia through gender equality plans? Normative and practical challenges. Gender Work and Organization, 28(3), 1115–1132. https://doi.org/10.1111/gwao.12658</w:t>
      </w:r>
    </w:p>
    <w:p w14:paraId="0406CBF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Cole, M. (Ed.). (2022). Education, equality and human rights: issues of </w:t>
      </w:r>
      <w:proofErr w:type="spellStart"/>
      <w:r w:rsidRPr="002073EE">
        <w:rPr>
          <w:rFonts w:ascii="Arial" w:hAnsi="Arial" w:cs="Arial"/>
          <w:color w:val="000000" w:themeColor="text1"/>
        </w:rPr>
        <w:t>gender,'race</w:t>
      </w:r>
      <w:proofErr w:type="spellEnd"/>
      <w:r w:rsidRPr="002073EE">
        <w:rPr>
          <w:rFonts w:ascii="Arial" w:hAnsi="Arial" w:cs="Arial"/>
          <w:color w:val="000000" w:themeColor="text1"/>
        </w:rPr>
        <w:t>', sexuality, disability and social class. Taylor &amp; Francis.</w:t>
      </w:r>
    </w:p>
    <w:p w14:paraId="13CB9AA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Cox, C. (2021). Older adults and Covid 19: Social justice, disparities, and social work practice. In Gerontological Social Work and COVID-19 (pp. 118-131). Routledge.</w:t>
      </w:r>
    </w:p>
    <w:p w14:paraId="04F7A214" w14:textId="77777777" w:rsidR="004B4184" w:rsidRPr="002073EE"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lastRenderedPageBreak/>
        <w:t>Dahlan, A. (2023). Current state of Female Leadership in Higher Education Institutions in Saudi Arabia, Cogent Business &amp; Management, 10, 1–17.</w:t>
      </w:r>
    </w:p>
    <w:p w14:paraId="10F906A9" w14:textId="77777777" w:rsidR="004B4184" w:rsidRPr="004943A8" w:rsidRDefault="004B4184" w:rsidP="004943A8">
      <w:pPr>
        <w:pStyle w:val="Body"/>
        <w:spacing w:after="0"/>
        <w:rPr>
          <w:rFonts w:ascii="Arial" w:hAnsi="Arial" w:cs="Arial"/>
          <w:color w:val="000000" w:themeColor="text1"/>
          <w:lang w:val="en-PH"/>
        </w:rPr>
      </w:pPr>
    </w:p>
    <w:p w14:paraId="2B11845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Darling-Hammond, L., Flook, L., Cook-Harvey, C., Barron, B., &amp; Osher, D. (2020). Implications for educational practice of the science of learning and development. Applied developmental science, 24(2), 97-140.</w:t>
      </w:r>
    </w:p>
    <w:p w14:paraId="5A0F352E"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De Welde, K., &amp; Stepnick, A. eds. (2023). Disrupting the culture of silence: Confronting gender inequality and making change in higher education. Taylor &amp; Francis. </w:t>
      </w:r>
    </w:p>
    <w:p w14:paraId="1478004D"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Donna, G. S. (2022). A Comparative Study </w:t>
      </w:r>
      <w:proofErr w:type="gramStart"/>
      <w:r w:rsidRPr="002073EE">
        <w:rPr>
          <w:rFonts w:ascii="Arial" w:hAnsi="Arial" w:cs="Arial"/>
          <w:color w:val="000000" w:themeColor="text1"/>
        </w:rPr>
        <w:t>On</w:t>
      </w:r>
      <w:proofErr w:type="gramEnd"/>
      <w:r w:rsidRPr="002073EE">
        <w:rPr>
          <w:rFonts w:ascii="Arial" w:hAnsi="Arial" w:cs="Arial"/>
          <w:color w:val="000000" w:themeColor="text1"/>
        </w:rPr>
        <w:t xml:space="preserve"> Gender Inequality Between Females Of Millennial Period And Gen Z In </w:t>
      </w:r>
      <w:proofErr w:type="spellStart"/>
      <w:r w:rsidRPr="002073EE">
        <w:rPr>
          <w:rFonts w:ascii="Arial" w:hAnsi="Arial" w:cs="Arial"/>
          <w:color w:val="000000" w:themeColor="text1"/>
        </w:rPr>
        <w:t>Selceted</w:t>
      </w:r>
      <w:proofErr w:type="spellEnd"/>
      <w:r w:rsidRPr="002073EE">
        <w:rPr>
          <w:rFonts w:ascii="Arial" w:hAnsi="Arial" w:cs="Arial"/>
          <w:color w:val="000000" w:themeColor="text1"/>
        </w:rPr>
        <w:t xml:space="preserve"> Districts Of Kerala (Doctoral dissertation, St Teresa's College (Autonomous), Ernakulam).</w:t>
      </w:r>
    </w:p>
    <w:p w14:paraId="5AB0549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Dost, G. (2024). Students’ perspectives on the ‘STEM </w:t>
      </w:r>
      <w:proofErr w:type="spellStart"/>
      <w:r w:rsidRPr="002073EE">
        <w:rPr>
          <w:rFonts w:ascii="Arial" w:hAnsi="Arial" w:cs="Arial"/>
          <w:color w:val="000000" w:themeColor="text1"/>
        </w:rPr>
        <w:t>belonging’concept</w:t>
      </w:r>
      <w:proofErr w:type="spellEnd"/>
      <w:r w:rsidRPr="002073EE">
        <w:rPr>
          <w:rFonts w:ascii="Arial" w:hAnsi="Arial" w:cs="Arial"/>
          <w:color w:val="000000" w:themeColor="text1"/>
        </w:rPr>
        <w:t xml:space="preserve"> at A-level, undergraduate, and postgraduate levels: an examination of gender and ethnicity in student descriptions. International Journal of STEM Education, 11(1), 1-33.</w:t>
      </w:r>
    </w:p>
    <w:p w14:paraId="39AA6E7D" w14:textId="77777777"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t>Duncheon</w:t>
      </w:r>
      <w:proofErr w:type="spellEnd"/>
      <w:r w:rsidRPr="002073EE">
        <w:rPr>
          <w:rFonts w:ascii="Arial" w:hAnsi="Arial" w:cs="Arial"/>
          <w:color w:val="000000" w:themeColor="text1"/>
        </w:rPr>
        <w:t>, J. C. (2020). “We are exposed to that college environment”: Exploring the socialization of early college high school students. Community College Review, 48(2), 173-194.</w:t>
      </w:r>
    </w:p>
    <w:p w14:paraId="5A5D8361" w14:textId="77777777" w:rsidR="004B4184" w:rsidRPr="004943A8" w:rsidRDefault="004B4184" w:rsidP="004943A8">
      <w:pPr>
        <w:pStyle w:val="Body"/>
        <w:spacing w:after="0"/>
        <w:rPr>
          <w:rFonts w:ascii="Arial" w:hAnsi="Arial" w:cs="Arial"/>
          <w:color w:val="000000" w:themeColor="text1"/>
          <w:lang w:val="en-PH"/>
        </w:rPr>
      </w:pPr>
      <w:proofErr w:type="spellStart"/>
      <w:r w:rsidRPr="004943A8">
        <w:rPr>
          <w:rFonts w:ascii="Arial" w:hAnsi="Arial" w:cs="Arial"/>
          <w:color w:val="000000" w:themeColor="text1"/>
          <w:lang w:val="en-PH"/>
        </w:rPr>
        <w:t>Eagly</w:t>
      </w:r>
      <w:proofErr w:type="spellEnd"/>
      <w:r w:rsidRPr="004943A8">
        <w:rPr>
          <w:rFonts w:ascii="Arial" w:hAnsi="Arial" w:cs="Arial"/>
          <w:color w:val="000000" w:themeColor="text1"/>
          <w:lang w:val="en-PH"/>
        </w:rPr>
        <w:t>, A. H. (2018). The shaping of science by ideology: How feminism inspired, led, and constrained scientific understanding of sex and gender. J. Soc. Issues, 74, 871–888.</w:t>
      </w:r>
    </w:p>
    <w:p w14:paraId="5086158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Earl, J., Maher, T. V., &amp; Elliott, T. (2017). Youth, activism, and social movements. Sociology Compass, 11(4), e12465.</w:t>
      </w:r>
    </w:p>
    <w:p w14:paraId="42F3B39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Eckes, S. (2021). Sex Discrimination in Schools: The law and its impact on school policies. Laws, 10(2), 34. https://doi.org/10.3390/laws10020034</w:t>
      </w:r>
    </w:p>
    <w:p w14:paraId="1A3E0E9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Edwards, E., &amp; Ellis, N. J. (2020). Action research </w:t>
      </w:r>
      <w:proofErr w:type="spellStart"/>
      <w:r w:rsidRPr="002073EE">
        <w:rPr>
          <w:rFonts w:ascii="Arial" w:hAnsi="Arial" w:cs="Arial"/>
          <w:color w:val="000000" w:themeColor="text1"/>
        </w:rPr>
        <w:t>remodelled</w:t>
      </w:r>
      <w:proofErr w:type="spellEnd"/>
      <w:r w:rsidRPr="002073EE">
        <w:rPr>
          <w:rFonts w:ascii="Arial" w:hAnsi="Arial" w:cs="Arial"/>
          <w:color w:val="000000" w:themeColor="text1"/>
        </w:rPr>
        <w:t xml:space="preserve"> in a competitive, profit-oriented sector: Teachers’ and managers’ perspectives. Educational Action Research, 28(3), 480-496.</w:t>
      </w:r>
    </w:p>
    <w:p w14:paraId="59C16834" w14:textId="77777777" w:rsidR="004B4184" w:rsidRPr="002073EE" w:rsidRDefault="004B4184" w:rsidP="004943A8">
      <w:pPr>
        <w:pStyle w:val="Body"/>
        <w:spacing w:after="0"/>
        <w:rPr>
          <w:color w:val="000000" w:themeColor="text1"/>
        </w:rPr>
      </w:pPr>
      <w:proofErr w:type="spellStart"/>
      <w:r w:rsidRPr="004943A8">
        <w:rPr>
          <w:rFonts w:ascii="Arial" w:hAnsi="Arial" w:cs="Arial"/>
          <w:color w:val="000000" w:themeColor="text1"/>
          <w:lang w:val="en-PH"/>
        </w:rPr>
        <w:t>Elhadary</w:t>
      </w:r>
      <w:proofErr w:type="spellEnd"/>
      <w:r w:rsidRPr="004943A8">
        <w:rPr>
          <w:rFonts w:ascii="Arial" w:hAnsi="Arial" w:cs="Arial"/>
          <w:color w:val="000000" w:themeColor="text1"/>
          <w:lang w:val="en-PH"/>
        </w:rPr>
        <w:t xml:space="preserve">, Y., &amp; Samat, N. (2023). Addressing Gender Disparity in Public Universities of Malaysia: Challenges and Achievements. Journal of Higher Education Theory and Practice, 23(14), 156–172. </w:t>
      </w:r>
      <w:hyperlink r:id="rId16" w:history="1">
        <w:r w:rsidRPr="004943A8">
          <w:rPr>
            <w:rStyle w:val="Hyperlink"/>
            <w:rFonts w:ascii="Arial" w:hAnsi="Arial" w:cs="Arial"/>
            <w:color w:val="000000" w:themeColor="text1"/>
            <w:u w:val="none"/>
            <w:lang w:val="en-PH"/>
          </w:rPr>
          <w:t>https://doi.org/10.33423/jhetp.v23i14.6390</w:t>
        </w:r>
      </w:hyperlink>
    </w:p>
    <w:p w14:paraId="282FB4D7" w14:textId="77777777" w:rsidR="002073EE" w:rsidRPr="004943A8" w:rsidRDefault="002073EE" w:rsidP="004943A8">
      <w:pPr>
        <w:pStyle w:val="Body"/>
        <w:spacing w:after="0"/>
        <w:rPr>
          <w:rFonts w:ascii="Arial" w:hAnsi="Arial" w:cs="Arial"/>
          <w:color w:val="000000" w:themeColor="text1"/>
          <w:lang w:val="en-PH"/>
        </w:rPr>
      </w:pPr>
    </w:p>
    <w:p w14:paraId="5CD6D147"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Fahim, A., Addae, B. A., Ofosu-</w:t>
      </w:r>
      <w:proofErr w:type="spellStart"/>
      <w:r w:rsidRPr="002073EE">
        <w:rPr>
          <w:rFonts w:ascii="Arial" w:hAnsi="Arial" w:cs="Arial"/>
          <w:color w:val="000000" w:themeColor="text1"/>
        </w:rPr>
        <w:t>Adarkwa</w:t>
      </w:r>
      <w:proofErr w:type="spellEnd"/>
      <w:r w:rsidRPr="002073EE">
        <w:rPr>
          <w:rFonts w:ascii="Arial" w:hAnsi="Arial" w:cs="Arial"/>
          <w:color w:val="000000" w:themeColor="text1"/>
        </w:rPr>
        <w:t>, J., Qingmei, T., &amp; Bhatti, U. A. (2021). Industry 4.0 and higher education: an evaluation of barriers affecting master’s in business administration enrolments using a grey incidence analysis. IEEE Access, 9, 76991-77008.</w:t>
      </w:r>
    </w:p>
    <w:p w14:paraId="38276CB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Freire, P. (1978). Pedagogy of the oppressed. In Toward a sociology of education (pp. 374-386). Routledge.</w:t>
      </w:r>
    </w:p>
    <w:p w14:paraId="5B8316E7"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Freire, P. (2021). Education for critical consciousness.</w:t>
      </w:r>
    </w:p>
    <w:p w14:paraId="4F127502"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Galgo, J., Galan, M. B., </w:t>
      </w:r>
      <w:proofErr w:type="spellStart"/>
      <w:r w:rsidRPr="002073EE">
        <w:rPr>
          <w:rFonts w:ascii="Arial" w:hAnsi="Arial" w:cs="Arial"/>
          <w:color w:val="000000" w:themeColor="text1"/>
        </w:rPr>
        <w:t>Subsuban</w:t>
      </w:r>
      <w:proofErr w:type="spellEnd"/>
      <w:r w:rsidRPr="002073EE">
        <w:rPr>
          <w:rFonts w:ascii="Arial" w:hAnsi="Arial" w:cs="Arial"/>
          <w:color w:val="000000" w:themeColor="text1"/>
        </w:rPr>
        <w:t>, L. S., Tinaja, K. S. H., Fuertes, A. R. B., Cadenas, G. R., ... &amp; Mendaña14, C. C. (2023). Inclusivity of the LGBTQ+ community in the learning environment as perceived by the students and teachers. International Journal of Educational Research, 2, 285-296.</w:t>
      </w:r>
    </w:p>
    <w:p w14:paraId="121FA672"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García-González, J., </w:t>
      </w:r>
      <w:proofErr w:type="spellStart"/>
      <w:r w:rsidRPr="002073EE">
        <w:rPr>
          <w:rFonts w:ascii="Arial" w:hAnsi="Arial" w:cs="Arial"/>
          <w:color w:val="000000" w:themeColor="text1"/>
        </w:rPr>
        <w:t>Forcén</w:t>
      </w:r>
      <w:proofErr w:type="spellEnd"/>
      <w:r w:rsidRPr="002073EE">
        <w:rPr>
          <w:rFonts w:ascii="Arial" w:hAnsi="Arial" w:cs="Arial"/>
          <w:color w:val="000000" w:themeColor="text1"/>
        </w:rPr>
        <w:t xml:space="preserve">, P., &amp; Jimenez-Sanchez, M. (2019). Men and women differ in their perception of gender bias in research institutions. </w:t>
      </w:r>
      <w:proofErr w:type="spellStart"/>
      <w:r w:rsidRPr="002073EE">
        <w:rPr>
          <w:rFonts w:ascii="Arial" w:hAnsi="Arial" w:cs="Arial"/>
          <w:color w:val="000000" w:themeColor="text1"/>
        </w:rPr>
        <w:t>PloS</w:t>
      </w:r>
      <w:proofErr w:type="spellEnd"/>
      <w:r w:rsidRPr="002073EE">
        <w:rPr>
          <w:rFonts w:ascii="Arial" w:hAnsi="Arial" w:cs="Arial"/>
          <w:color w:val="000000" w:themeColor="text1"/>
        </w:rPr>
        <w:t xml:space="preserve"> one, 14(12), e0225763.</w:t>
      </w:r>
    </w:p>
    <w:p w14:paraId="63411949"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lastRenderedPageBreak/>
        <w:t>Gauci, H., Robson, J., Golding, J., &amp; Wallace, J. (2022). Practical or data-based projects? Types of undergraduate capstone projects chosen by distance-learning biology and environmental science students at the Open University.</w:t>
      </w:r>
    </w:p>
    <w:p w14:paraId="5373F65C"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Genner, S., &amp; Süss, D. (2017). Socialization as media effect. The international encyclopedia of media effects, 1(15), 1-16.</w:t>
      </w:r>
    </w:p>
    <w:p w14:paraId="22BF166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Goldsmith, L., Raditz, V., &amp; Méndez, M. (2021). Queer and present danger: understanding the disparate impacts of disasters on LGBTQ+ communities. Disasters, 46(4), 946–973. https://doi.org/10.1111/disa.12509</w:t>
      </w:r>
    </w:p>
    <w:p w14:paraId="17CAD48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Hodgins, M., &amp; O’Connor, P. (2021). Progress, but at the expense of male power? Institutional resistance to gender equality in an Irish university. Frontiers in Sociology, 6. https://doi.org/10.3389/fsoc.2021.696446</w:t>
      </w:r>
    </w:p>
    <w:p w14:paraId="5B48A6A5" w14:textId="77777777"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t>Homillano</w:t>
      </w:r>
      <w:proofErr w:type="spellEnd"/>
      <w:r w:rsidRPr="002073EE">
        <w:rPr>
          <w:rFonts w:ascii="Arial" w:hAnsi="Arial" w:cs="Arial"/>
          <w:color w:val="000000" w:themeColor="text1"/>
        </w:rPr>
        <w:t>, L. B. (2025). Quality Assurance and Institutional Development in Agricultural Graduate Programs: A Case Study of Central Bicol State University of Agriculture, Philippines. Asian Journal of Agricultural Extension, Economics &amp; Sociology, 43(2), 96-115.</w:t>
      </w:r>
    </w:p>
    <w:p w14:paraId="0D2DF31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Huda, M., Jasmi, K. A., Alas, Y., </w:t>
      </w:r>
      <w:proofErr w:type="spellStart"/>
      <w:r w:rsidRPr="002073EE">
        <w:rPr>
          <w:rFonts w:ascii="Arial" w:hAnsi="Arial" w:cs="Arial"/>
          <w:color w:val="000000" w:themeColor="text1"/>
        </w:rPr>
        <w:t>Qodriah</w:t>
      </w:r>
      <w:proofErr w:type="spellEnd"/>
      <w:r w:rsidRPr="002073EE">
        <w:rPr>
          <w:rFonts w:ascii="Arial" w:hAnsi="Arial" w:cs="Arial"/>
          <w:color w:val="000000" w:themeColor="text1"/>
        </w:rPr>
        <w:t xml:space="preserve">, S. L., </w:t>
      </w:r>
      <w:proofErr w:type="spellStart"/>
      <w:r w:rsidRPr="002073EE">
        <w:rPr>
          <w:rFonts w:ascii="Arial" w:hAnsi="Arial" w:cs="Arial"/>
          <w:color w:val="000000" w:themeColor="text1"/>
        </w:rPr>
        <w:t>Dacholfany</w:t>
      </w:r>
      <w:proofErr w:type="spellEnd"/>
      <w:r w:rsidRPr="002073EE">
        <w:rPr>
          <w:rFonts w:ascii="Arial" w:hAnsi="Arial" w:cs="Arial"/>
          <w:color w:val="000000" w:themeColor="text1"/>
        </w:rPr>
        <w:t xml:space="preserve">, M. I., &amp; </w:t>
      </w:r>
      <w:proofErr w:type="spellStart"/>
      <w:r w:rsidRPr="002073EE">
        <w:rPr>
          <w:rFonts w:ascii="Arial" w:hAnsi="Arial" w:cs="Arial"/>
          <w:color w:val="000000" w:themeColor="text1"/>
        </w:rPr>
        <w:t>Jamsari</w:t>
      </w:r>
      <w:proofErr w:type="spellEnd"/>
      <w:r w:rsidRPr="002073EE">
        <w:rPr>
          <w:rFonts w:ascii="Arial" w:hAnsi="Arial" w:cs="Arial"/>
          <w:color w:val="000000" w:themeColor="text1"/>
        </w:rPr>
        <w:t>, E. A. (2018). Empowering civic responsibility: Insights from service learning. In Engaged scholarship and civic responsibility in higher education (pp. 144-165). IGI Global.</w:t>
      </w:r>
    </w:p>
    <w:p w14:paraId="36D38974"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Iqbal, A., Hassan, S., Mahmood, H., &amp; Tanveer, M. (2022). Gender equality, education, economic growth and religious tensions nexus in developing countries: A spatial analysis approach. </w:t>
      </w:r>
      <w:proofErr w:type="spellStart"/>
      <w:r w:rsidRPr="004943A8">
        <w:rPr>
          <w:rFonts w:ascii="Arial" w:hAnsi="Arial" w:cs="Arial"/>
          <w:color w:val="000000" w:themeColor="text1"/>
          <w:lang w:val="en-PH"/>
        </w:rPr>
        <w:t>Heliyon</w:t>
      </w:r>
      <w:proofErr w:type="spellEnd"/>
      <w:r w:rsidRPr="004943A8">
        <w:rPr>
          <w:rFonts w:ascii="Arial" w:hAnsi="Arial" w:cs="Arial"/>
          <w:color w:val="000000" w:themeColor="text1"/>
          <w:lang w:val="en-PH"/>
        </w:rPr>
        <w:t xml:space="preserve">, 8, e11394. Received 4 April 2022; Received in revised form 15 July 2022; Accepted 31 October 2022. </w:t>
      </w:r>
      <w:hyperlink r:id="rId17" w:history="1">
        <w:r w:rsidRPr="004943A8">
          <w:rPr>
            <w:rStyle w:val="Hyperlink"/>
            <w:rFonts w:ascii="Arial" w:hAnsi="Arial" w:cs="Arial"/>
            <w:color w:val="000000" w:themeColor="text1"/>
            <w:u w:val="none"/>
            <w:lang w:val="en-PH"/>
          </w:rPr>
          <w:t>https://doi.org/10.1016/j.heliyon.2022</w:t>
        </w:r>
      </w:hyperlink>
    </w:p>
    <w:p w14:paraId="16AF653D" w14:textId="77777777" w:rsidR="002073EE" w:rsidRPr="004943A8" w:rsidRDefault="002073EE" w:rsidP="004943A8">
      <w:pPr>
        <w:pStyle w:val="Body"/>
        <w:spacing w:after="0"/>
        <w:rPr>
          <w:rFonts w:ascii="Arial" w:hAnsi="Arial" w:cs="Arial"/>
          <w:color w:val="000000" w:themeColor="text1"/>
          <w:lang w:val="en-PH"/>
        </w:rPr>
      </w:pPr>
    </w:p>
    <w:p w14:paraId="6C4D07A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Jaggars, S. S., &amp; Bickerstaff, S. (2018). Developmental education: The evolution of research and reform. Higher education: Handbook of theory and research: Published under the sponsorship of the Association for Institutional Research (AIR) and the Association for the Study of Higher Education (ASHE), 469-503.</w:t>
      </w:r>
    </w:p>
    <w:p w14:paraId="622B4358" w14:textId="77777777"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t>Katsiaficas</w:t>
      </w:r>
      <w:proofErr w:type="spellEnd"/>
      <w:r w:rsidRPr="002073EE">
        <w:rPr>
          <w:rFonts w:ascii="Arial" w:hAnsi="Arial" w:cs="Arial"/>
          <w:color w:val="000000" w:themeColor="text1"/>
        </w:rPr>
        <w:t xml:space="preserve">, D. (2017). “I Know I’m an Adult When… I Can Care for Myself and Others” </w:t>
      </w:r>
      <w:proofErr w:type="gramStart"/>
      <w:r w:rsidRPr="002073EE">
        <w:rPr>
          <w:rFonts w:ascii="Arial" w:hAnsi="Arial" w:cs="Arial"/>
          <w:color w:val="000000" w:themeColor="text1"/>
        </w:rPr>
        <w:t>The</w:t>
      </w:r>
      <w:proofErr w:type="gramEnd"/>
      <w:r w:rsidRPr="002073EE">
        <w:rPr>
          <w:rFonts w:ascii="Arial" w:hAnsi="Arial" w:cs="Arial"/>
          <w:color w:val="000000" w:themeColor="text1"/>
        </w:rPr>
        <w:t xml:space="preserve"> Role of Social Responsibilities in Emerging Adulthood for Community College Students. Emerging Adulthood, 5(6), 392-405.</w:t>
      </w:r>
    </w:p>
    <w:p w14:paraId="30C3714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Kettle, M. (2017). International student engagement in higher education: Transforming practices, pedagogies and participation. Multilingual Matters.</w:t>
      </w:r>
    </w:p>
    <w:p w14:paraId="54DE1A6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Khamisy-Farah, R., &amp; </w:t>
      </w:r>
      <w:proofErr w:type="spellStart"/>
      <w:r w:rsidRPr="002073EE">
        <w:rPr>
          <w:rFonts w:ascii="Arial" w:hAnsi="Arial" w:cs="Arial"/>
          <w:color w:val="000000" w:themeColor="text1"/>
        </w:rPr>
        <w:t>Bragazzi</w:t>
      </w:r>
      <w:proofErr w:type="spellEnd"/>
      <w:r w:rsidRPr="002073EE">
        <w:rPr>
          <w:rFonts w:ascii="Arial" w:hAnsi="Arial" w:cs="Arial"/>
          <w:color w:val="000000" w:themeColor="text1"/>
        </w:rPr>
        <w:t>, N. L. (2022). How to integrate sex and gender medicine into medical and allied health profession undergraduate, graduate, and post-graduate education: insights from a rapid systematic literature review and a thematic meta-synthesis. Journal of Personalized Medicine, 12(4), 612.</w:t>
      </w:r>
    </w:p>
    <w:p w14:paraId="67A8625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Kim, S. Y. (2022). Analyzing the impacts of informal institutional factors affecting gender inequality: Evidence from 43 countries. World Development Perspectives, 28, 100470. https://doi.org/10.1016/j.wdp.2022.100470</w:t>
      </w:r>
    </w:p>
    <w:p w14:paraId="41D1C44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Knight, C. R., &amp; Brinton, M. C. (2017). One egalitarianism or several? Two decades of gender-role attitude change in Europe. </w:t>
      </w:r>
      <w:proofErr w:type="spellStart"/>
      <w:r w:rsidRPr="002073EE">
        <w:rPr>
          <w:rFonts w:ascii="Arial" w:hAnsi="Arial" w:cs="Arial"/>
          <w:color w:val="000000" w:themeColor="text1"/>
        </w:rPr>
        <w:t>american</w:t>
      </w:r>
      <w:proofErr w:type="spellEnd"/>
      <w:r w:rsidRPr="002073EE">
        <w:rPr>
          <w:rFonts w:ascii="Arial" w:hAnsi="Arial" w:cs="Arial"/>
          <w:color w:val="000000" w:themeColor="text1"/>
        </w:rPr>
        <w:t xml:space="preserve"> Journal of Sociology, 122(5), 1485-1532.</w:t>
      </w:r>
    </w:p>
    <w:p w14:paraId="2762B5E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lastRenderedPageBreak/>
        <w:t>Kossek, E. E., Su, R., &amp; Wu, L. (2017). “Opting out” or “pushed out”? Integrating perspectives on women’s career equality for gender inclusion and interventions. Journal of Management, 43(1), 228-254.</w:t>
      </w:r>
    </w:p>
    <w:p w14:paraId="10E81810" w14:textId="77777777"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t>Kumlu</w:t>
      </w:r>
      <w:proofErr w:type="spellEnd"/>
      <w:r w:rsidRPr="002073EE">
        <w:rPr>
          <w:rFonts w:ascii="Arial" w:hAnsi="Arial" w:cs="Arial"/>
          <w:color w:val="000000" w:themeColor="text1"/>
        </w:rPr>
        <w:t>, E. (2024). The Use of Critical Consciousness for Gender Equality in Pre-Service Teacher Education: A New Perception for an Egalitarian World. SAGE Open, 14(4), 21582440241308004.</w:t>
      </w:r>
    </w:p>
    <w:p w14:paraId="34CF9A7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Kuran, C. H. A., </w:t>
      </w:r>
      <w:proofErr w:type="spellStart"/>
      <w:r w:rsidRPr="002073EE">
        <w:rPr>
          <w:rFonts w:ascii="Arial" w:hAnsi="Arial" w:cs="Arial"/>
          <w:color w:val="000000" w:themeColor="text1"/>
        </w:rPr>
        <w:t>Morsut</w:t>
      </w:r>
      <w:proofErr w:type="spellEnd"/>
      <w:r w:rsidRPr="002073EE">
        <w:rPr>
          <w:rFonts w:ascii="Arial" w:hAnsi="Arial" w:cs="Arial"/>
          <w:color w:val="000000" w:themeColor="text1"/>
        </w:rPr>
        <w:t xml:space="preserve">, C., </w:t>
      </w:r>
      <w:proofErr w:type="spellStart"/>
      <w:r w:rsidRPr="002073EE">
        <w:rPr>
          <w:rFonts w:ascii="Arial" w:hAnsi="Arial" w:cs="Arial"/>
          <w:color w:val="000000" w:themeColor="text1"/>
        </w:rPr>
        <w:t>Kruke</w:t>
      </w:r>
      <w:proofErr w:type="spellEnd"/>
      <w:r w:rsidRPr="002073EE">
        <w:rPr>
          <w:rFonts w:ascii="Arial" w:hAnsi="Arial" w:cs="Arial"/>
          <w:color w:val="000000" w:themeColor="text1"/>
        </w:rPr>
        <w:t xml:space="preserve">, B. I., Krüger, M., </w:t>
      </w:r>
      <w:proofErr w:type="spellStart"/>
      <w:r w:rsidRPr="002073EE">
        <w:rPr>
          <w:rFonts w:ascii="Arial" w:hAnsi="Arial" w:cs="Arial"/>
          <w:color w:val="000000" w:themeColor="text1"/>
        </w:rPr>
        <w:t>Segnestam</w:t>
      </w:r>
      <w:proofErr w:type="spellEnd"/>
      <w:r w:rsidRPr="002073EE">
        <w:rPr>
          <w:rFonts w:ascii="Arial" w:hAnsi="Arial" w:cs="Arial"/>
          <w:color w:val="000000" w:themeColor="text1"/>
        </w:rPr>
        <w:t xml:space="preserve">, L., Orru, K., </w:t>
      </w:r>
      <w:proofErr w:type="spellStart"/>
      <w:r w:rsidRPr="002073EE">
        <w:rPr>
          <w:rFonts w:ascii="Arial" w:hAnsi="Arial" w:cs="Arial"/>
          <w:color w:val="000000" w:themeColor="text1"/>
        </w:rPr>
        <w:t>Nævestad</w:t>
      </w:r>
      <w:proofErr w:type="spellEnd"/>
      <w:r w:rsidRPr="002073EE">
        <w:rPr>
          <w:rFonts w:ascii="Arial" w:hAnsi="Arial" w:cs="Arial"/>
          <w:color w:val="000000" w:themeColor="text1"/>
        </w:rPr>
        <w:t xml:space="preserve">, T. O., Airola, M., Keränen, J., Gabel, F., Hansson, S., &amp; </w:t>
      </w:r>
      <w:proofErr w:type="spellStart"/>
      <w:r w:rsidRPr="002073EE">
        <w:rPr>
          <w:rFonts w:ascii="Arial" w:hAnsi="Arial" w:cs="Arial"/>
          <w:color w:val="000000" w:themeColor="text1"/>
        </w:rPr>
        <w:t>Torpan</w:t>
      </w:r>
      <w:proofErr w:type="spellEnd"/>
      <w:r w:rsidRPr="002073EE">
        <w:rPr>
          <w:rFonts w:ascii="Arial" w:hAnsi="Arial" w:cs="Arial"/>
          <w:color w:val="000000" w:themeColor="text1"/>
        </w:rPr>
        <w:t>, S. (2020). Vulnerability and vulnerable groups from an intersectionality perspective. International Journal of Disaster Risk Reduction, 50, 101826. https://doi.org/10.1016/j.ijdrr.2020.101826</w:t>
      </w:r>
    </w:p>
    <w:p w14:paraId="2B083A5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Levy, B. J. (2024). Gender Stereotypes in the United States: The Dichotomy of Men and Women in Professions Traditionally Occupied by Women (Doctoral dissertation, Southern University and Agricultural and Mechanical College).</w:t>
      </w:r>
    </w:p>
    <w:p w14:paraId="75B2FA16"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Liu, X., Ping, S., &amp; Gao, W. (2019). Changes in undergraduate students’ psychological well-being as they experience university life. International journal of environmental research and public health, 16(16), 2864.</w:t>
      </w:r>
    </w:p>
    <w:p w14:paraId="6E312011"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Lopez, M. S., &amp; Andal, E. Z. (2024). Gender- Responsive Pedagogy and Attitude toward Sensitivity in Basic Education. TWIST Journal. https://twistjournal.net/twist/article/view/393</w:t>
      </w:r>
    </w:p>
    <w:p w14:paraId="6DA8129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Lu, H. (2018). Caring teacher and sensitive student: is it a gender issue in the university </w:t>
      </w:r>
      <w:proofErr w:type="gramStart"/>
      <w:r w:rsidRPr="002073EE">
        <w:rPr>
          <w:rFonts w:ascii="Arial" w:hAnsi="Arial" w:cs="Arial"/>
          <w:color w:val="000000" w:themeColor="text1"/>
        </w:rPr>
        <w:t>context?.</w:t>
      </w:r>
      <w:proofErr w:type="gramEnd"/>
      <w:r w:rsidRPr="002073EE">
        <w:rPr>
          <w:rFonts w:ascii="Arial" w:hAnsi="Arial" w:cs="Arial"/>
          <w:color w:val="000000" w:themeColor="text1"/>
        </w:rPr>
        <w:t xml:space="preserve"> Gender and Education, 30(1), 74-91.</w:t>
      </w:r>
    </w:p>
    <w:p w14:paraId="63DE8379"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Mallman, M., &amp; Lee, H. (2016). </w:t>
      </w:r>
      <w:proofErr w:type="spellStart"/>
      <w:r w:rsidRPr="002073EE">
        <w:rPr>
          <w:rFonts w:ascii="Arial" w:hAnsi="Arial" w:cs="Arial"/>
          <w:color w:val="000000" w:themeColor="text1"/>
        </w:rPr>
        <w:t>Stigmatised</w:t>
      </w:r>
      <w:proofErr w:type="spellEnd"/>
      <w:r w:rsidRPr="002073EE">
        <w:rPr>
          <w:rFonts w:ascii="Arial" w:hAnsi="Arial" w:cs="Arial"/>
          <w:color w:val="000000" w:themeColor="text1"/>
        </w:rPr>
        <w:t xml:space="preserve"> learners: mature-age students negotiating university culture. British Journal of Sociology of Education, 37(5), 684-701</w:t>
      </w:r>
    </w:p>
    <w:p w14:paraId="6A669797" w14:textId="77777777"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t>Masagca</w:t>
      </w:r>
      <w:proofErr w:type="spellEnd"/>
      <w:r w:rsidRPr="002073EE">
        <w:rPr>
          <w:rFonts w:ascii="Arial" w:hAnsi="Arial" w:cs="Arial"/>
          <w:color w:val="000000" w:themeColor="text1"/>
        </w:rPr>
        <w:t>, R. P. E.  (2025). Development of the College Student Life Satisfaction Scale (CSLSS): Initial Validation among Filipino College Students.</w:t>
      </w:r>
    </w:p>
    <w:p w14:paraId="7CD26580" w14:textId="77777777"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t>Massouti</w:t>
      </w:r>
      <w:proofErr w:type="spellEnd"/>
      <w:r w:rsidRPr="002073EE">
        <w:rPr>
          <w:rFonts w:ascii="Arial" w:hAnsi="Arial" w:cs="Arial"/>
          <w:color w:val="000000" w:themeColor="text1"/>
        </w:rPr>
        <w:t xml:space="preserve">, A., Shaya, N., &amp; </w:t>
      </w:r>
      <w:proofErr w:type="spellStart"/>
      <w:r w:rsidRPr="002073EE">
        <w:rPr>
          <w:rFonts w:ascii="Arial" w:hAnsi="Arial" w:cs="Arial"/>
          <w:color w:val="000000" w:themeColor="text1"/>
        </w:rPr>
        <w:t>Qareiny</w:t>
      </w:r>
      <w:proofErr w:type="spellEnd"/>
      <w:r w:rsidRPr="002073EE">
        <w:rPr>
          <w:rFonts w:ascii="Arial" w:hAnsi="Arial" w:cs="Arial"/>
          <w:color w:val="000000" w:themeColor="text1"/>
        </w:rPr>
        <w:t>, S. M. A. (2024). Exploring the nexus between female school leaders' perceptions of distributed instructional leadership, socio-cultural dynamics, and student achievement in the Arab world. International Journal of Educational Research Open, 7, 100372.</w:t>
      </w:r>
    </w:p>
    <w:p w14:paraId="2E8CE40D"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Meeussen, L., Van Laar, C., &amp; Van </w:t>
      </w:r>
      <w:proofErr w:type="spellStart"/>
      <w:r w:rsidRPr="002073EE">
        <w:rPr>
          <w:rFonts w:ascii="Arial" w:hAnsi="Arial" w:cs="Arial"/>
          <w:color w:val="000000" w:themeColor="text1"/>
        </w:rPr>
        <w:t>Grootel</w:t>
      </w:r>
      <w:proofErr w:type="spellEnd"/>
      <w:r w:rsidRPr="002073EE">
        <w:rPr>
          <w:rFonts w:ascii="Arial" w:hAnsi="Arial" w:cs="Arial"/>
          <w:color w:val="000000" w:themeColor="text1"/>
        </w:rPr>
        <w:t>, S. (2020). How to foster male engagement in traditionally female communal roles and occupations: Insights from research on gender norms and precarious manhood. Social Issues and Policy Review, 14(1), 297-328.</w:t>
      </w:r>
    </w:p>
    <w:p w14:paraId="4ADAF2BB" w14:textId="77777777"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t>Mohajan</w:t>
      </w:r>
      <w:proofErr w:type="spellEnd"/>
      <w:r w:rsidRPr="002073EE">
        <w:rPr>
          <w:rFonts w:ascii="Arial" w:hAnsi="Arial" w:cs="Arial"/>
          <w:color w:val="000000" w:themeColor="text1"/>
        </w:rPr>
        <w:t xml:space="preserve">, H. (2022). An Overview on the Feminism and Its Categories. Published in: Research and Advances in </w:t>
      </w:r>
      <w:proofErr w:type="gramStart"/>
      <w:r w:rsidRPr="002073EE">
        <w:rPr>
          <w:rFonts w:ascii="Arial" w:hAnsi="Arial" w:cs="Arial"/>
          <w:color w:val="000000" w:themeColor="text1"/>
        </w:rPr>
        <w:t>Education ,</w:t>
      </w:r>
      <w:proofErr w:type="gramEnd"/>
      <w:r w:rsidRPr="002073EE">
        <w:rPr>
          <w:rFonts w:ascii="Arial" w:hAnsi="Arial" w:cs="Arial"/>
          <w:color w:val="000000" w:themeColor="text1"/>
        </w:rPr>
        <w:t xml:space="preserve"> Vol. 1, No. 3: pp. 11-26. Retrieved from https://mpra.ub.uni-muenchen.de/114625/1/MPRA_paper_114625.pdf</w:t>
      </w:r>
    </w:p>
    <w:p w14:paraId="03957842" w14:textId="77777777" w:rsidR="004B4184" w:rsidRPr="002073EE"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Orbeta, A. C., &amp; Paqueo, V. B. (2019). Gender Equity in Education: Helping the Boys Catch Up. Discussion Paper Series No. 2019-01</w:t>
      </w:r>
    </w:p>
    <w:p w14:paraId="39149626" w14:textId="77777777" w:rsidR="002073EE" w:rsidRPr="004943A8" w:rsidRDefault="002073EE" w:rsidP="004943A8">
      <w:pPr>
        <w:pStyle w:val="Body"/>
        <w:spacing w:after="0"/>
        <w:rPr>
          <w:rFonts w:ascii="Arial" w:hAnsi="Arial" w:cs="Arial"/>
          <w:color w:val="000000" w:themeColor="text1"/>
          <w:lang w:val="en-PH"/>
        </w:rPr>
      </w:pPr>
    </w:p>
    <w:p w14:paraId="18333E97"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Orfan, S. N., &amp; Feng, G. C. (2021). Political participation of Afghan youths on Facebook: A case study of Northeastern Afghanistan. Cogent Social Sciences, 7(1), 1857916. </w:t>
      </w:r>
      <w:hyperlink r:id="rId18" w:history="1">
        <w:r w:rsidRPr="004943A8">
          <w:rPr>
            <w:rStyle w:val="Hyperlink"/>
            <w:rFonts w:ascii="Arial" w:hAnsi="Arial" w:cs="Arial"/>
            <w:color w:val="000000" w:themeColor="text1"/>
            <w:u w:val="none"/>
            <w:lang w:val="en-PH"/>
          </w:rPr>
          <w:t>https://doi.org/10.1080/23311886.2020.1857916</w:t>
        </w:r>
      </w:hyperlink>
    </w:p>
    <w:p w14:paraId="5A97024E" w14:textId="77777777" w:rsidR="002073EE" w:rsidRPr="004943A8" w:rsidRDefault="002073EE" w:rsidP="004943A8">
      <w:pPr>
        <w:pStyle w:val="Body"/>
        <w:spacing w:after="0"/>
        <w:rPr>
          <w:rFonts w:ascii="Arial" w:hAnsi="Arial" w:cs="Arial"/>
          <w:color w:val="000000" w:themeColor="text1"/>
          <w:lang w:val="en-PH"/>
        </w:rPr>
      </w:pPr>
    </w:p>
    <w:p w14:paraId="4F2900DE"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lastRenderedPageBreak/>
        <w:t xml:space="preserve">Pattani, R., Marquez, C., </w:t>
      </w:r>
      <w:proofErr w:type="spellStart"/>
      <w:r w:rsidRPr="002073EE">
        <w:rPr>
          <w:rFonts w:ascii="Arial" w:hAnsi="Arial" w:cs="Arial"/>
          <w:color w:val="000000" w:themeColor="text1"/>
        </w:rPr>
        <w:t>Dinyarian</w:t>
      </w:r>
      <w:proofErr w:type="spellEnd"/>
      <w:r w:rsidRPr="002073EE">
        <w:rPr>
          <w:rFonts w:ascii="Arial" w:hAnsi="Arial" w:cs="Arial"/>
          <w:color w:val="000000" w:themeColor="text1"/>
        </w:rPr>
        <w:t>, C., Sharma, M., Bain, J., Moore, J. E., &amp; Straus, S. E. (2018). The perceived organizational impact of the gender gap across a Canadian department of medicine and proposed strategies to combat it: a qualitative study. BMC medicine, 16, 1-10.</w:t>
      </w:r>
    </w:p>
    <w:p w14:paraId="731311D3"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Price, C. (2020). Women’s Spaces, Women’s Rights: Feminism and the Transgender Rights movement. Marquette Law Scholarly Commons. https://scholarship.law.marquette.edu/mulr/vol103/iss4/7/</w:t>
      </w:r>
    </w:p>
    <w:p w14:paraId="3D9FB467"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Psaki, S., Haberland, N., Mensch, B., </w:t>
      </w:r>
      <w:proofErr w:type="spellStart"/>
      <w:r w:rsidRPr="002073EE">
        <w:rPr>
          <w:rFonts w:ascii="Arial" w:hAnsi="Arial" w:cs="Arial"/>
          <w:color w:val="000000" w:themeColor="text1"/>
        </w:rPr>
        <w:t>Woyczynski</w:t>
      </w:r>
      <w:proofErr w:type="spellEnd"/>
      <w:r w:rsidRPr="002073EE">
        <w:rPr>
          <w:rFonts w:ascii="Arial" w:hAnsi="Arial" w:cs="Arial"/>
          <w:color w:val="000000" w:themeColor="text1"/>
        </w:rPr>
        <w:t>, L., &amp; Chuang, E. (2022). Policies and interventions to remove gender</w:t>
      </w:r>
      <w:r w:rsidRPr="002073EE">
        <w:rPr>
          <w:rFonts w:ascii="Cambria Math" w:hAnsi="Cambria Math" w:cs="Cambria Math"/>
          <w:color w:val="000000" w:themeColor="text1"/>
        </w:rPr>
        <w:t>‐</w:t>
      </w:r>
      <w:r w:rsidRPr="002073EE">
        <w:rPr>
          <w:rFonts w:ascii="Arial" w:hAnsi="Arial" w:cs="Arial"/>
          <w:color w:val="000000" w:themeColor="text1"/>
        </w:rPr>
        <w:t>related barriers to girls’ school participation and learning in low</w:t>
      </w:r>
      <w:r w:rsidRPr="002073EE">
        <w:rPr>
          <w:rFonts w:ascii="Cambria Math" w:hAnsi="Cambria Math" w:cs="Cambria Math"/>
          <w:color w:val="000000" w:themeColor="text1"/>
        </w:rPr>
        <w:t>‐</w:t>
      </w:r>
      <w:r w:rsidRPr="002073EE">
        <w:rPr>
          <w:rFonts w:ascii="Arial" w:hAnsi="Arial" w:cs="Arial"/>
          <w:color w:val="000000" w:themeColor="text1"/>
        </w:rPr>
        <w:t xml:space="preserve"> and middle</w:t>
      </w:r>
      <w:r w:rsidRPr="002073EE">
        <w:rPr>
          <w:rFonts w:ascii="Cambria Math" w:hAnsi="Cambria Math" w:cs="Cambria Math"/>
          <w:color w:val="000000" w:themeColor="text1"/>
        </w:rPr>
        <w:t>‐</w:t>
      </w:r>
      <w:r w:rsidRPr="002073EE">
        <w:rPr>
          <w:rFonts w:ascii="Arial" w:hAnsi="Arial" w:cs="Arial"/>
          <w:color w:val="000000" w:themeColor="text1"/>
        </w:rPr>
        <w:t>income countries: A systematic review of the evidence. Campbell Systematic Reviews, 18(1). https://doi.org/10.1002/cl2.1207</w:t>
      </w:r>
    </w:p>
    <w:p w14:paraId="32D8AADC"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Pusateri, D. N. (2023). Building Gender Justice Leaders: How a Series of Professional Learning Conversations Can Assist Early Learning Professionals in Supporting Transgender/Non-Binary Children and Their Families (Doctoral dissertation, Northeastern University).</w:t>
      </w:r>
    </w:p>
    <w:p w14:paraId="3D1F92C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Qazi Zada, S. &amp; Qazi Zada, M.Z. (2024). The Taliban and women’s human rights in Afghanistan: </w:t>
      </w:r>
      <w:proofErr w:type="spellStart"/>
      <w:r w:rsidRPr="002073EE">
        <w:rPr>
          <w:rFonts w:ascii="Arial" w:hAnsi="Arial" w:cs="Arial"/>
          <w:color w:val="000000" w:themeColor="text1"/>
        </w:rPr>
        <w:t>theway</w:t>
      </w:r>
      <w:proofErr w:type="spellEnd"/>
      <w:r w:rsidRPr="002073EE">
        <w:rPr>
          <w:rFonts w:ascii="Arial" w:hAnsi="Arial" w:cs="Arial"/>
          <w:color w:val="000000" w:themeColor="text1"/>
        </w:rPr>
        <w:t xml:space="preserve"> forward. The International Journal of Human Rights. VOL. 28, NO. 10, 1687–1722https://doi.org/10.1080/13642987.2024.2369584</w:t>
      </w:r>
    </w:p>
    <w:p w14:paraId="17A02767" w14:textId="77777777"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t>Rarieya</w:t>
      </w:r>
      <w:proofErr w:type="spellEnd"/>
      <w:r w:rsidRPr="002073EE">
        <w:rPr>
          <w:rFonts w:ascii="Arial" w:hAnsi="Arial" w:cs="Arial"/>
          <w:color w:val="000000" w:themeColor="text1"/>
        </w:rPr>
        <w:t xml:space="preserve">, J., Wango, N., </w:t>
      </w:r>
      <w:proofErr w:type="spellStart"/>
      <w:r w:rsidRPr="002073EE">
        <w:rPr>
          <w:rFonts w:ascii="Arial" w:hAnsi="Arial" w:cs="Arial"/>
          <w:color w:val="000000" w:themeColor="text1"/>
        </w:rPr>
        <w:t>Oluga</w:t>
      </w:r>
      <w:proofErr w:type="spellEnd"/>
      <w:r w:rsidRPr="002073EE">
        <w:rPr>
          <w:rFonts w:ascii="Arial" w:hAnsi="Arial" w:cs="Arial"/>
          <w:color w:val="000000" w:themeColor="text1"/>
        </w:rPr>
        <w:t xml:space="preserve">, M., &amp; </w:t>
      </w:r>
      <w:proofErr w:type="spellStart"/>
      <w:r w:rsidRPr="002073EE">
        <w:rPr>
          <w:rFonts w:ascii="Arial" w:hAnsi="Arial" w:cs="Arial"/>
          <w:color w:val="000000" w:themeColor="text1"/>
        </w:rPr>
        <w:t>Abunga</w:t>
      </w:r>
      <w:proofErr w:type="spellEnd"/>
      <w:r w:rsidRPr="002073EE">
        <w:rPr>
          <w:rFonts w:ascii="Arial" w:hAnsi="Arial" w:cs="Arial"/>
          <w:color w:val="000000" w:themeColor="text1"/>
        </w:rPr>
        <w:t xml:space="preserve">, O. (2024). Accelerating primary education tutors’ acquisition of Gender-Responsive Pedagogies. </w:t>
      </w:r>
      <w:proofErr w:type="spellStart"/>
      <w:r w:rsidRPr="002073EE">
        <w:rPr>
          <w:rFonts w:ascii="Arial" w:hAnsi="Arial" w:cs="Arial"/>
          <w:color w:val="000000" w:themeColor="text1"/>
        </w:rPr>
        <w:t>eCommons@AKU</w:t>
      </w:r>
      <w:proofErr w:type="spellEnd"/>
      <w:r w:rsidRPr="002073EE">
        <w:rPr>
          <w:rFonts w:ascii="Arial" w:hAnsi="Arial" w:cs="Arial"/>
          <w:color w:val="000000" w:themeColor="text1"/>
        </w:rPr>
        <w:t>. https://ecommons.aku.edu/eastafrica_ied/209/</w:t>
      </w:r>
    </w:p>
    <w:p w14:paraId="761463C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Reyes, S. D. (2019). Conscious or Unconscious:  The Role of Education in Consciousness Raising among Chilean Youth. Digital Commons @ Trinity. https://digitalcommons.trinity.edu/socanthro_honors/8/</w:t>
      </w:r>
    </w:p>
    <w:p w14:paraId="0744761B"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Russell, S. T., Bishop, M. D., Saba, V. C., &amp; James, I. (2021). Promoting School Safety for LGBTQ and All Students. Policy Insights from the Behavioral and Brain Sciences, 8(2), 160–166. </w:t>
      </w:r>
      <w:hyperlink r:id="rId19" w:history="1">
        <w:r w:rsidRPr="004943A8">
          <w:rPr>
            <w:rStyle w:val="Hyperlink"/>
            <w:rFonts w:ascii="Arial" w:hAnsi="Arial" w:cs="Arial"/>
            <w:color w:val="000000" w:themeColor="text1"/>
            <w:u w:val="none"/>
            <w:lang w:val="en-PH"/>
          </w:rPr>
          <w:t>https://doi.org/10.1177/23727322211031938</w:t>
        </w:r>
      </w:hyperlink>
    </w:p>
    <w:p w14:paraId="2FAD9F50" w14:textId="77777777" w:rsidR="002073EE" w:rsidRPr="004943A8" w:rsidRDefault="002073EE" w:rsidP="004943A8">
      <w:pPr>
        <w:pStyle w:val="Body"/>
        <w:spacing w:after="0"/>
        <w:rPr>
          <w:rFonts w:ascii="Arial" w:hAnsi="Arial" w:cs="Arial"/>
          <w:color w:val="000000" w:themeColor="text1"/>
          <w:lang w:val="en-PH"/>
        </w:rPr>
      </w:pPr>
    </w:p>
    <w:p w14:paraId="343DE406"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Ryder, S., &amp; Boone, K. (2021). Intersectionality and sustainable development. In Encyclopedia of the UN sustainable development goals (pp. 878–888). https://doi.org/10.1007/978-3-319-95687-9_51</w:t>
      </w:r>
    </w:p>
    <w:p w14:paraId="4561852F"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Salter, M. (2019). The problem with a fight against toxic masculinity. The Atlantic, 27. Retrieved from https://www.speechwire.com/files/9316-7%20-%20Discussion%20Artifact%20-%20CURRENT%20EVENTS.pdf</w:t>
      </w:r>
    </w:p>
    <w:p w14:paraId="17FE8F73"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Shakeri, A., &amp; North, M. S. (2025). The gender convergence effect in older age: A meta-analytic review comparing modern attitudes toward younger, middle-aged, and older women and men. Psychological Bulletin.</w:t>
      </w:r>
    </w:p>
    <w:p w14:paraId="1BD1FF8D"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Smith, S. G., &amp; </w:t>
      </w:r>
      <w:proofErr w:type="spellStart"/>
      <w:r w:rsidRPr="002073EE">
        <w:rPr>
          <w:rFonts w:ascii="Arial" w:hAnsi="Arial" w:cs="Arial"/>
          <w:color w:val="000000" w:themeColor="text1"/>
        </w:rPr>
        <w:t>Sinkford</w:t>
      </w:r>
      <w:proofErr w:type="spellEnd"/>
      <w:r w:rsidRPr="002073EE">
        <w:rPr>
          <w:rFonts w:ascii="Arial" w:hAnsi="Arial" w:cs="Arial"/>
          <w:color w:val="000000" w:themeColor="text1"/>
        </w:rPr>
        <w:t>, J. C. (2022). Gender equality in the 21st century: Overcoming barriers to women’s leadership in global health. Journal of Dental Education, 86(9), 1144–1173. https://doi.org/10.1002/jdd.13059</w:t>
      </w:r>
    </w:p>
    <w:p w14:paraId="624596B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lastRenderedPageBreak/>
        <w:t xml:space="preserve">Sruthi, S. (2024). Promoting Gender Sensitivity </w:t>
      </w:r>
      <w:proofErr w:type="gramStart"/>
      <w:r w:rsidRPr="002073EE">
        <w:rPr>
          <w:rFonts w:ascii="Arial" w:hAnsi="Arial" w:cs="Arial"/>
          <w:color w:val="000000" w:themeColor="text1"/>
        </w:rPr>
        <w:t>In</w:t>
      </w:r>
      <w:proofErr w:type="gramEnd"/>
      <w:r w:rsidRPr="002073EE">
        <w:rPr>
          <w:rFonts w:ascii="Arial" w:hAnsi="Arial" w:cs="Arial"/>
          <w:color w:val="000000" w:themeColor="text1"/>
        </w:rPr>
        <w:t xml:space="preserve"> Education: Addressing Key Areas For An Inclusive Future. Interdisciplinary e-Journal of Education and Allied Subjects Volume 5, Issue 1 – June 2024. Pages 21 – 24</w:t>
      </w:r>
    </w:p>
    <w:p w14:paraId="22B3EA29"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Stromquist, N. P. (2020). Gender policies in American Education: </w:t>
      </w:r>
      <w:proofErr w:type="spellStart"/>
      <w:r w:rsidRPr="002073EE">
        <w:rPr>
          <w:rFonts w:ascii="Arial" w:hAnsi="Arial" w:cs="Arial"/>
          <w:color w:val="000000" w:themeColor="text1"/>
        </w:rPr>
        <w:t>Refelections</w:t>
      </w:r>
      <w:proofErr w:type="spellEnd"/>
      <w:r w:rsidRPr="002073EE">
        <w:rPr>
          <w:rFonts w:ascii="Arial" w:hAnsi="Arial" w:cs="Arial"/>
          <w:color w:val="000000" w:themeColor="text1"/>
        </w:rPr>
        <w:t xml:space="preserve"> on </w:t>
      </w:r>
      <w:proofErr w:type="spellStart"/>
      <w:r w:rsidRPr="002073EE">
        <w:rPr>
          <w:rFonts w:ascii="Arial" w:hAnsi="Arial" w:cs="Arial"/>
          <w:color w:val="000000" w:themeColor="text1"/>
        </w:rPr>
        <w:t>Fedral</w:t>
      </w:r>
      <w:proofErr w:type="spellEnd"/>
      <w:r w:rsidRPr="002073EE">
        <w:rPr>
          <w:rFonts w:ascii="Arial" w:hAnsi="Arial" w:cs="Arial"/>
          <w:color w:val="000000" w:themeColor="text1"/>
        </w:rPr>
        <w:t xml:space="preserve"> legislation and action. In Routledge eBooks (pp. 54–72). https://doi.org/10.4324/9781003071174-4</w:t>
      </w:r>
    </w:p>
    <w:p w14:paraId="6B2AEE26" w14:textId="77777777"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t>Takona</w:t>
      </w:r>
      <w:proofErr w:type="spellEnd"/>
      <w:r w:rsidRPr="002073EE">
        <w:rPr>
          <w:rFonts w:ascii="Arial" w:hAnsi="Arial" w:cs="Arial"/>
          <w:color w:val="000000" w:themeColor="text1"/>
        </w:rPr>
        <w:t>, J. P. (2024). Five Decades after Paulo Freire’s Enduring Legacy in Modern Education: A Reflective Essay. The International Journal of Interdisciplinary Educational Studies, 19(2), 25</w:t>
      </w:r>
    </w:p>
    <w:p w14:paraId="68FF1E0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Tang, E. C. H., &amp; Lui, W. C. Y. (2024). Women’s rights in the Muslim societies and jurisdiction. In Perspectives on development in the Middle East and North Africa (MENA) region (pp. 119–138). https://doi.org/10.1007/978-3-031-62739-2_8</w:t>
      </w:r>
    </w:p>
    <w:p w14:paraId="1E3057C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Thompson, N. (2020). Anti-discriminatory practice: Equality, diversity and social justice. Bloomsbury Publishing.</w:t>
      </w:r>
    </w:p>
    <w:p w14:paraId="3FA32CB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Tipton, E., &amp; Olsen, R. B. (2018). A review of statistical methods for generalizing from evaluations of educational interventions. Educational Researcher, 47(8), 516-524.</w:t>
      </w:r>
    </w:p>
    <w:p w14:paraId="71F7BC73"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Torres Díaz, M. C. (2020). Law and Criminology. Guides to mainstreaming gender in university teaching.</w:t>
      </w:r>
    </w:p>
    <w:p w14:paraId="480582A9" w14:textId="77777777"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t>Upulwehera</w:t>
      </w:r>
      <w:proofErr w:type="spellEnd"/>
      <w:r w:rsidRPr="002073EE">
        <w:rPr>
          <w:rFonts w:ascii="Arial" w:hAnsi="Arial" w:cs="Arial"/>
          <w:color w:val="000000" w:themeColor="text1"/>
        </w:rPr>
        <w:t>, J. M. H. M., Senanayake, S. M. S. N., Gamage, S. K. N., Jayasundara, J. M. S. B., Ekanayake, E. M. S., Lalani, J. M. G., ... &amp; Prasanna, R. P. I. R. (2024). Is Women Entrepreneurship a Key Driver for Business Performance of the SMEs in Asian Developing Nations? A Case Study of SMEs in the Agricultural Sector in Sri Lanka. Journal of the Knowledge Economy, 1-36.</w:t>
      </w:r>
    </w:p>
    <w:p w14:paraId="1672630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Verge, T., Ferrer-Fons, M., &amp; González, M. J. (2018). Resistance to mainstreaming gender into the higher education curriculum. European Journal of Women's Studies, 25(1), 86-101.</w:t>
      </w:r>
    </w:p>
    <w:p w14:paraId="7E3BBD1A"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Yesil, A., &amp; </w:t>
      </w:r>
      <w:proofErr w:type="spellStart"/>
      <w:r w:rsidRPr="004943A8">
        <w:rPr>
          <w:rFonts w:ascii="Arial" w:hAnsi="Arial" w:cs="Arial"/>
          <w:color w:val="000000" w:themeColor="text1"/>
          <w:lang w:val="en-PH"/>
        </w:rPr>
        <w:t>Karaboga</w:t>
      </w:r>
      <w:proofErr w:type="spellEnd"/>
      <w:r w:rsidRPr="004943A8">
        <w:rPr>
          <w:rFonts w:ascii="Arial" w:hAnsi="Arial" w:cs="Arial"/>
          <w:color w:val="000000" w:themeColor="text1"/>
          <w:lang w:val="en-PH"/>
        </w:rPr>
        <w:t xml:space="preserve">, F. A. B. (2021). Gender Equality Awareness among Middle School Students. Journal of Qualitative Research in Education, 21(28). </w:t>
      </w:r>
      <w:hyperlink r:id="rId20" w:history="1">
        <w:r w:rsidRPr="004943A8">
          <w:rPr>
            <w:rStyle w:val="Hyperlink"/>
            <w:rFonts w:ascii="Arial" w:hAnsi="Arial" w:cs="Arial"/>
            <w:color w:val="000000" w:themeColor="text1"/>
            <w:u w:val="none"/>
            <w:lang w:val="en-PH"/>
          </w:rPr>
          <w:t>https://doi.org/10.14689/enad.28.3</w:t>
        </w:r>
      </w:hyperlink>
    </w:p>
    <w:p w14:paraId="0DE443F5" w14:textId="77777777" w:rsidR="002073EE" w:rsidRPr="004943A8" w:rsidRDefault="002073EE" w:rsidP="004943A8">
      <w:pPr>
        <w:pStyle w:val="Body"/>
        <w:spacing w:after="0"/>
        <w:rPr>
          <w:rFonts w:ascii="Arial" w:hAnsi="Arial" w:cs="Arial"/>
          <w:color w:val="000000" w:themeColor="text1"/>
          <w:lang w:val="en-PH"/>
        </w:rPr>
      </w:pPr>
    </w:p>
    <w:p w14:paraId="2D949E05" w14:textId="77777777" w:rsidR="004B4184" w:rsidRPr="004943A8"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 xml:space="preserve">Yuden, Y., Chuki, S., &amp; Dorji, T. (2020). Gender sensitivity in pedagogical practices in secondary education in Bhutan. Research in Educational Policy and Management, 2(2), 38–51. </w:t>
      </w:r>
      <w:hyperlink r:id="rId21" w:history="1">
        <w:r w:rsidRPr="004943A8">
          <w:rPr>
            <w:rStyle w:val="Hyperlink"/>
            <w:rFonts w:ascii="Arial" w:hAnsi="Arial" w:cs="Arial"/>
            <w:color w:val="000000" w:themeColor="text1"/>
            <w:u w:val="none"/>
            <w:lang w:val="en-PH"/>
          </w:rPr>
          <w:t>https://doi.org/10.46303/repam.2020.3</w:t>
        </w:r>
      </w:hyperlink>
    </w:p>
    <w:p w14:paraId="4EF3A867" w14:textId="6F29F5B1" w:rsidR="004D4277" w:rsidRPr="00FB3A86" w:rsidRDefault="004D4277" w:rsidP="00441B6F">
      <w:pPr>
        <w:pStyle w:val="Appendix"/>
        <w:spacing w:after="0"/>
        <w:jc w:val="both"/>
        <w:rPr>
          <w:rFonts w:ascii="Arial" w:hAnsi="Arial" w:cs="Arial"/>
          <w:b w:val="0"/>
        </w:rPr>
        <w:sectPr w:rsidR="004D4277" w:rsidRPr="00FB3A86" w:rsidSect="009D5C90">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74905FA4" w14:textId="6A1B671B" w:rsidR="00B01FCD" w:rsidRPr="00FB3A86" w:rsidRDefault="00B01FCD" w:rsidP="00B31AF2">
      <w:pPr>
        <w:pStyle w:val="Appendix"/>
        <w:spacing w:after="0"/>
        <w:jc w:val="both"/>
        <w:rPr>
          <w:rFonts w:ascii="Arial" w:hAnsi="Arial" w:cs="Arial"/>
          <w:b w:val="0"/>
        </w:rPr>
      </w:pPr>
    </w:p>
    <w:sectPr w:rsidR="00B01FCD" w:rsidRPr="00FB3A86" w:rsidSect="009D5C9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27F7C" w14:textId="77777777" w:rsidR="00EB6855" w:rsidRDefault="00EB6855" w:rsidP="00C37E61">
      <w:r>
        <w:separator/>
      </w:r>
    </w:p>
  </w:endnote>
  <w:endnote w:type="continuationSeparator" w:id="0">
    <w:p w14:paraId="7BCDF240" w14:textId="77777777" w:rsidR="00EB6855" w:rsidRDefault="00EB68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7D7AC" w14:textId="77777777" w:rsidR="009D5C90" w:rsidRDefault="009D5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3A3E5" w14:textId="77777777" w:rsidR="009D5C90" w:rsidRDefault="009D5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06653" w14:textId="77777777" w:rsidR="009E048A" w:rsidRDefault="009E048A">
    <w:pPr>
      <w:pStyle w:val="Footer"/>
      <w:rPr>
        <w:rFonts w:ascii="Arial" w:hAnsi="Arial" w:cs="Arial"/>
        <w:sz w:val="16"/>
      </w:rPr>
    </w:pPr>
  </w:p>
  <w:p w14:paraId="3062443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DF9F16" w14:textId="77777777" w:rsidR="009E048A" w:rsidRDefault="009E048A">
    <w:pPr>
      <w:pStyle w:val="Footer"/>
      <w:rPr>
        <w:rFonts w:ascii="Arial" w:hAnsi="Arial" w:cs="Arial"/>
        <w:sz w:val="16"/>
      </w:rPr>
    </w:pPr>
  </w:p>
  <w:p w14:paraId="51E6F6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3D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0B1BC" w14:textId="77777777" w:rsidR="00EB6855" w:rsidRDefault="00EB6855" w:rsidP="00C37E61">
      <w:r>
        <w:separator/>
      </w:r>
    </w:p>
  </w:footnote>
  <w:footnote w:type="continuationSeparator" w:id="0">
    <w:p w14:paraId="0347DB33" w14:textId="77777777" w:rsidR="00EB6855" w:rsidRDefault="00EB68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9BE3" w14:textId="05DEBF10" w:rsidR="009D5C90" w:rsidRDefault="009D5C90">
    <w:pPr>
      <w:pStyle w:val="Header"/>
    </w:pPr>
    <w:r>
      <w:rPr>
        <w:noProof/>
      </w:rPr>
      <w:pict w14:anchorId="7292D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6D4CC" w14:textId="2807695D" w:rsidR="009D5C90" w:rsidRDefault="009D5C90">
    <w:pPr>
      <w:pStyle w:val="Header"/>
    </w:pPr>
    <w:r>
      <w:rPr>
        <w:noProof/>
      </w:rPr>
      <w:pict w14:anchorId="5E922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1FA8" w14:textId="1C4B5DA3" w:rsidR="00296529" w:rsidRPr="00296529" w:rsidRDefault="009D5C90" w:rsidP="00296529">
    <w:pPr>
      <w:ind w:left="2160"/>
      <w:jc w:val="center"/>
      <w:rPr>
        <w:rFonts w:ascii="Times New Roman" w:eastAsia="Calibri" w:hAnsi="Times New Roman"/>
        <w:i/>
        <w:sz w:val="18"/>
        <w:szCs w:val="22"/>
      </w:rPr>
    </w:pPr>
    <w:r>
      <w:rPr>
        <w:noProof/>
      </w:rPr>
      <w:pict w14:anchorId="749F3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3DD60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D19A5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1BEE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A222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1616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7A90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1C157" w14:textId="54E27E97" w:rsidR="009D5C90" w:rsidRDefault="009D5C90">
    <w:pPr>
      <w:pStyle w:val="Header"/>
    </w:pPr>
    <w:r>
      <w:rPr>
        <w:noProof/>
      </w:rPr>
      <w:pict w14:anchorId="7C654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994F4" w14:textId="5DB033B9" w:rsidR="009D5C90" w:rsidRDefault="009D5C90">
    <w:pPr>
      <w:pStyle w:val="Header"/>
    </w:pPr>
    <w:r>
      <w:rPr>
        <w:noProof/>
      </w:rPr>
      <w:pict w14:anchorId="7049E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B748D" w14:textId="500007DE" w:rsidR="009D5C90" w:rsidRDefault="009D5C90">
    <w:pPr>
      <w:pStyle w:val="Header"/>
    </w:pPr>
    <w:r>
      <w:rPr>
        <w:noProof/>
      </w:rPr>
      <w:pict w14:anchorId="74FAA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AC6C6F"/>
    <w:multiLevelType w:val="hybridMultilevel"/>
    <w:tmpl w:val="EEDE786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AF4D42"/>
    <w:multiLevelType w:val="multilevel"/>
    <w:tmpl w:val="22A09A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3B7BF0"/>
    <w:multiLevelType w:val="hybridMultilevel"/>
    <w:tmpl w:val="D062FCE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EC1342"/>
    <w:multiLevelType w:val="multilevel"/>
    <w:tmpl w:val="2064E70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6"/>
  </w:num>
  <w:num w:numId="9">
    <w:abstractNumId w:val="29"/>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8"/>
  </w:num>
  <w:num w:numId="19">
    <w:abstractNumId w:val="32"/>
  </w:num>
  <w:num w:numId="20">
    <w:abstractNumId w:val="15"/>
  </w:num>
  <w:num w:numId="21">
    <w:abstractNumId w:val="12"/>
  </w:num>
  <w:num w:numId="22">
    <w:abstractNumId w:val="17"/>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4"/>
  </w:num>
  <w:num w:numId="31">
    <w:abstractNumId w:val="13"/>
  </w:num>
  <w:num w:numId="32">
    <w:abstractNumId w:val="8"/>
  </w:num>
  <w:num w:numId="33">
    <w:abstractNumId w:val="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598"/>
    <w:rsid w:val="00010C8D"/>
    <w:rsid w:val="00014CE5"/>
    <w:rsid w:val="00022902"/>
    <w:rsid w:val="00030174"/>
    <w:rsid w:val="00031E34"/>
    <w:rsid w:val="00032035"/>
    <w:rsid w:val="0003232C"/>
    <w:rsid w:val="0004579C"/>
    <w:rsid w:val="00060E4E"/>
    <w:rsid w:val="00072878"/>
    <w:rsid w:val="00073DEB"/>
    <w:rsid w:val="00085856"/>
    <w:rsid w:val="000868C3"/>
    <w:rsid w:val="000A47FA"/>
    <w:rsid w:val="000A65D3"/>
    <w:rsid w:val="000B1E33"/>
    <w:rsid w:val="000D689F"/>
    <w:rsid w:val="000E3C87"/>
    <w:rsid w:val="000E7B7B"/>
    <w:rsid w:val="000E7D62"/>
    <w:rsid w:val="000F0057"/>
    <w:rsid w:val="000F2A8D"/>
    <w:rsid w:val="000F70FA"/>
    <w:rsid w:val="001015BB"/>
    <w:rsid w:val="00103357"/>
    <w:rsid w:val="00111DB9"/>
    <w:rsid w:val="001203EF"/>
    <w:rsid w:val="00123C9F"/>
    <w:rsid w:val="00126190"/>
    <w:rsid w:val="00130F17"/>
    <w:rsid w:val="001320BF"/>
    <w:rsid w:val="0015663F"/>
    <w:rsid w:val="00163523"/>
    <w:rsid w:val="00163BC4"/>
    <w:rsid w:val="001819F2"/>
    <w:rsid w:val="00191062"/>
    <w:rsid w:val="00192B72"/>
    <w:rsid w:val="0019639E"/>
    <w:rsid w:val="001A29D8"/>
    <w:rsid w:val="001A5CAA"/>
    <w:rsid w:val="001B0427"/>
    <w:rsid w:val="001C06F3"/>
    <w:rsid w:val="001C1577"/>
    <w:rsid w:val="001C44E6"/>
    <w:rsid w:val="001D3A51"/>
    <w:rsid w:val="001E10D2"/>
    <w:rsid w:val="001E25B4"/>
    <w:rsid w:val="001E44FE"/>
    <w:rsid w:val="001F6A75"/>
    <w:rsid w:val="00200595"/>
    <w:rsid w:val="00204835"/>
    <w:rsid w:val="002073EE"/>
    <w:rsid w:val="0021182F"/>
    <w:rsid w:val="00217BB4"/>
    <w:rsid w:val="00224B7A"/>
    <w:rsid w:val="00231920"/>
    <w:rsid w:val="0023195C"/>
    <w:rsid w:val="00231BC8"/>
    <w:rsid w:val="0024282C"/>
    <w:rsid w:val="002460DC"/>
    <w:rsid w:val="00250985"/>
    <w:rsid w:val="002517F9"/>
    <w:rsid w:val="00252150"/>
    <w:rsid w:val="002537BE"/>
    <w:rsid w:val="002556F6"/>
    <w:rsid w:val="00256972"/>
    <w:rsid w:val="0026309A"/>
    <w:rsid w:val="00264EE8"/>
    <w:rsid w:val="00275C7C"/>
    <w:rsid w:val="00283105"/>
    <w:rsid w:val="00283474"/>
    <w:rsid w:val="00284C4C"/>
    <w:rsid w:val="00287587"/>
    <w:rsid w:val="00287E68"/>
    <w:rsid w:val="0029638C"/>
    <w:rsid w:val="00296529"/>
    <w:rsid w:val="002A0660"/>
    <w:rsid w:val="002A57C8"/>
    <w:rsid w:val="002B1108"/>
    <w:rsid w:val="002B27FB"/>
    <w:rsid w:val="002B5014"/>
    <w:rsid w:val="002B685A"/>
    <w:rsid w:val="002C0DC6"/>
    <w:rsid w:val="002C4EFF"/>
    <w:rsid w:val="002C57D2"/>
    <w:rsid w:val="002E0D56"/>
    <w:rsid w:val="00305401"/>
    <w:rsid w:val="00310BB9"/>
    <w:rsid w:val="00315186"/>
    <w:rsid w:val="00315783"/>
    <w:rsid w:val="00320F9B"/>
    <w:rsid w:val="0033343E"/>
    <w:rsid w:val="0033434A"/>
    <w:rsid w:val="00342249"/>
    <w:rsid w:val="003512C2"/>
    <w:rsid w:val="00371FB6"/>
    <w:rsid w:val="00373749"/>
    <w:rsid w:val="003763C1"/>
    <w:rsid w:val="00376BBE"/>
    <w:rsid w:val="00382D0B"/>
    <w:rsid w:val="0038631E"/>
    <w:rsid w:val="0039224F"/>
    <w:rsid w:val="00396D6C"/>
    <w:rsid w:val="003A43A4"/>
    <w:rsid w:val="003A7E18"/>
    <w:rsid w:val="003B40C0"/>
    <w:rsid w:val="003C1FC0"/>
    <w:rsid w:val="003C4C86"/>
    <w:rsid w:val="003C6258"/>
    <w:rsid w:val="003C62A0"/>
    <w:rsid w:val="003D5AB5"/>
    <w:rsid w:val="003E15E2"/>
    <w:rsid w:val="003E21C5"/>
    <w:rsid w:val="003E2904"/>
    <w:rsid w:val="003E56DC"/>
    <w:rsid w:val="003E5FB6"/>
    <w:rsid w:val="00401927"/>
    <w:rsid w:val="0041027F"/>
    <w:rsid w:val="00410ADF"/>
    <w:rsid w:val="00412475"/>
    <w:rsid w:val="00412E4C"/>
    <w:rsid w:val="0041398F"/>
    <w:rsid w:val="00423789"/>
    <w:rsid w:val="00425627"/>
    <w:rsid w:val="004330DC"/>
    <w:rsid w:val="00434041"/>
    <w:rsid w:val="00440F43"/>
    <w:rsid w:val="00441B6F"/>
    <w:rsid w:val="00446221"/>
    <w:rsid w:val="00450E62"/>
    <w:rsid w:val="004539DB"/>
    <w:rsid w:val="00455D7A"/>
    <w:rsid w:val="00456DC4"/>
    <w:rsid w:val="004625C0"/>
    <w:rsid w:val="0046487C"/>
    <w:rsid w:val="00471A80"/>
    <w:rsid w:val="00474F23"/>
    <w:rsid w:val="0048092A"/>
    <w:rsid w:val="00483795"/>
    <w:rsid w:val="0048544B"/>
    <w:rsid w:val="004943A8"/>
    <w:rsid w:val="004A2CBD"/>
    <w:rsid w:val="004A7014"/>
    <w:rsid w:val="004B4184"/>
    <w:rsid w:val="004C0D51"/>
    <w:rsid w:val="004C1CEB"/>
    <w:rsid w:val="004C4FC1"/>
    <w:rsid w:val="004D305E"/>
    <w:rsid w:val="004D4277"/>
    <w:rsid w:val="004F6473"/>
    <w:rsid w:val="004F66E6"/>
    <w:rsid w:val="00502516"/>
    <w:rsid w:val="00505F06"/>
    <w:rsid w:val="00506828"/>
    <w:rsid w:val="00511151"/>
    <w:rsid w:val="00511F0C"/>
    <w:rsid w:val="005127C1"/>
    <w:rsid w:val="0051366E"/>
    <w:rsid w:val="00515929"/>
    <w:rsid w:val="0051729F"/>
    <w:rsid w:val="00526CD4"/>
    <w:rsid w:val="0053056E"/>
    <w:rsid w:val="0053136A"/>
    <w:rsid w:val="00531DF7"/>
    <w:rsid w:val="005323C3"/>
    <w:rsid w:val="005350DD"/>
    <w:rsid w:val="00540DA8"/>
    <w:rsid w:val="00540DE0"/>
    <w:rsid w:val="005438DF"/>
    <w:rsid w:val="0054777E"/>
    <w:rsid w:val="00554FDA"/>
    <w:rsid w:val="00571B97"/>
    <w:rsid w:val="005851F4"/>
    <w:rsid w:val="00586FDF"/>
    <w:rsid w:val="00587C0F"/>
    <w:rsid w:val="00590BBF"/>
    <w:rsid w:val="005978D1"/>
    <w:rsid w:val="005A5E1C"/>
    <w:rsid w:val="005B2588"/>
    <w:rsid w:val="005C2A5A"/>
    <w:rsid w:val="005C4DCE"/>
    <w:rsid w:val="005C6F7D"/>
    <w:rsid w:val="005C784C"/>
    <w:rsid w:val="005D17F6"/>
    <w:rsid w:val="005E5539"/>
    <w:rsid w:val="005E553D"/>
    <w:rsid w:val="005F0818"/>
    <w:rsid w:val="005F5F61"/>
    <w:rsid w:val="00602BF5"/>
    <w:rsid w:val="00617EAD"/>
    <w:rsid w:val="00617FDD"/>
    <w:rsid w:val="006242DB"/>
    <w:rsid w:val="00630284"/>
    <w:rsid w:val="00633167"/>
    <w:rsid w:val="00633614"/>
    <w:rsid w:val="00633F68"/>
    <w:rsid w:val="006369B1"/>
    <w:rsid w:val="00636EB2"/>
    <w:rsid w:val="006375B8"/>
    <w:rsid w:val="00637CB3"/>
    <w:rsid w:val="00652D84"/>
    <w:rsid w:val="006636C7"/>
    <w:rsid w:val="0066510A"/>
    <w:rsid w:val="00673F9F"/>
    <w:rsid w:val="00677DEF"/>
    <w:rsid w:val="00686953"/>
    <w:rsid w:val="00687DEA"/>
    <w:rsid w:val="00687E67"/>
    <w:rsid w:val="0069278C"/>
    <w:rsid w:val="006967F7"/>
    <w:rsid w:val="00696869"/>
    <w:rsid w:val="006A1DE1"/>
    <w:rsid w:val="006A250C"/>
    <w:rsid w:val="006A360D"/>
    <w:rsid w:val="006A4BA4"/>
    <w:rsid w:val="006B21D3"/>
    <w:rsid w:val="006B57D0"/>
    <w:rsid w:val="006C64CC"/>
    <w:rsid w:val="006D30FF"/>
    <w:rsid w:val="006D6874"/>
    <w:rsid w:val="006D6940"/>
    <w:rsid w:val="006E0591"/>
    <w:rsid w:val="006E0D1F"/>
    <w:rsid w:val="006F0F75"/>
    <w:rsid w:val="006F11EC"/>
    <w:rsid w:val="006F34C6"/>
    <w:rsid w:val="0070082C"/>
    <w:rsid w:val="00701CE4"/>
    <w:rsid w:val="007107E8"/>
    <w:rsid w:val="00717208"/>
    <w:rsid w:val="0071772A"/>
    <w:rsid w:val="007238D8"/>
    <w:rsid w:val="007244F9"/>
    <w:rsid w:val="00735766"/>
    <w:rsid w:val="007369E6"/>
    <w:rsid w:val="007373C5"/>
    <w:rsid w:val="00737483"/>
    <w:rsid w:val="00741BD7"/>
    <w:rsid w:val="00746E59"/>
    <w:rsid w:val="00754B58"/>
    <w:rsid w:val="00754C9A"/>
    <w:rsid w:val="0075599A"/>
    <w:rsid w:val="00761D52"/>
    <w:rsid w:val="0076676C"/>
    <w:rsid w:val="00772C93"/>
    <w:rsid w:val="0077749E"/>
    <w:rsid w:val="0078473B"/>
    <w:rsid w:val="00790ADA"/>
    <w:rsid w:val="007A10D9"/>
    <w:rsid w:val="007B1C33"/>
    <w:rsid w:val="007B6701"/>
    <w:rsid w:val="007B78D0"/>
    <w:rsid w:val="007C4853"/>
    <w:rsid w:val="007C6C63"/>
    <w:rsid w:val="007D2288"/>
    <w:rsid w:val="007E088F"/>
    <w:rsid w:val="007F1611"/>
    <w:rsid w:val="007F1614"/>
    <w:rsid w:val="007F2740"/>
    <w:rsid w:val="007F7B32"/>
    <w:rsid w:val="0080271F"/>
    <w:rsid w:val="00804BC2"/>
    <w:rsid w:val="00804C7E"/>
    <w:rsid w:val="0081431A"/>
    <w:rsid w:val="00821919"/>
    <w:rsid w:val="008240A6"/>
    <w:rsid w:val="008244D8"/>
    <w:rsid w:val="00825FDA"/>
    <w:rsid w:val="0083216F"/>
    <w:rsid w:val="008410E1"/>
    <w:rsid w:val="00842DA3"/>
    <w:rsid w:val="00857B0B"/>
    <w:rsid w:val="00860000"/>
    <w:rsid w:val="00863BD3"/>
    <w:rsid w:val="008641ED"/>
    <w:rsid w:val="00866D66"/>
    <w:rsid w:val="008671C6"/>
    <w:rsid w:val="00875803"/>
    <w:rsid w:val="00882250"/>
    <w:rsid w:val="00895B9E"/>
    <w:rsid w:val="00896A80"/>
    <w:rsid w:val="00897C47"/>
    <w:rsid w:val="008A67BD"/>
    <w:rsid w:val="008B459E"/>
    <w:rsid w:val="008C022A"/>
    <w:rsid w:val="008D452C"/>
    <w:rsid w:val="008D6E4D"/>
    <w:rsid w:val="008E13AE"/>
    <w:rsid w:val="008E1506"/>
    <w:rsid w:val="008E710C"/>
    <w:rsid w:val="008F3AEF"/>
    <w:rsid w:val="008F69D6"/>
    <w:rsid w:val="008F6B44"/>
    <w:rsid w:val="009004AD"/>
    <w:rsid w:val="00902823"/>
    <w:rsid w:val="009147A8"/>
    <w:rsid w:val="00915553"/>
    <w:rsid w:val="00915CA6"/>
    <w:rsid w:val="009204DF"/>
    <w:rsid w:val="00927834"/>
    <w:rsid w:val="00927FEC"/>
    <w:rsid w:val="00935242"/>
    <w:rsid w:val="0094317E"/>
    <w:rsid w:val="009447AE"/>
    <w:rsid w:val="009458D4"/>
    <w:rsid w:val="009500A6"/>
    <w:rsid w:val="0095209E"/>
    <w:rsid w:val="00954151"/>
    <w:rsid w:val="00957C18"/>
    <w:rsid w:val="00957CE8"/>
    <w:rsid w:val="00961C5A"/>
    <w:rsid w:val="00963975"/>
    <w:rsid w:val="009641E9"/>
    <w:rsid w:val="009659BA"/>
    <w:rsid w:val="009825C2"/>
    <w:rsid w:val="00983040"/>
    <w:rsid w:val="00984F5D"/>
    <w:rsid w:val="009872E8"/>
    <w:rsid w:val="009A3548"/>
    <w:rsid w:val="009B3FB9"/>
    <w:rsid w:val="009B6DDB"/>
    <w:rsid w:val="009C01E1"/>
    <w:rsid w:val="009C2465"/>
    <w:rsid w:val="009C328B"/>
    <w:rsid w:val="009D278B"/>
    <w:rsid w:val="009D35A0"/>
    <w:rsid w:val="009D5C90"/>
    <w:rsid w:val="009D7EB7"/>
    <w:rsid w:val="009E048A"/>
    <w:rsid w:val="009E08E9"/>
    <w:rsid w:val="009E177B"/>
    <w:rsid w:val="009E3DB9"/>
    <w:rsid w:val="009E4AA7"/>
    <w:rsid w:val="009E557F"/>
    <w:rsid w:val="009E57D9"/>
    <w:rsid w:val="009E6E35"/>
    <w:rsid w:val="009F0E51"/>
    <w:rsid w:val="009F0EDA"/>
    <w:rsid w:val="00A0182F"/>
    <w:rsid w:val="00A03B96"/>
    <w:rsid w:val="00A04717"/>
    <w:rsid w:val="00A05B19"/>
    <w:rsid w:val="00A1134E"/>
    <w:rsid w:val="00A24E7E"/>
    <w:rsid w:val="00A258C3"/>
    <w:rsid w:val="00A2642B"/>
    <w:rsid w:val="00A26620"/>
    <w:rsid w:val="00A347C0"/>
    <w:rsid w:val="00A34E8A"/>
    <w:rsid w:val="00A364BC"/>
    <w:rsid w:val="00A5084C"/>
    <w:rsid w:val="00A51431"/>
    <w:rsid w:val="00A51FB1"/>
    <w:rsid w:val="00A539AD"/>
    <w:rsid w:val="00A548EE"/>
    <w:rsid w:val="00A579D1"/>
    <w:rsid w:val="00A6225D"/>
    <w:rsid w:val="00A62455"/>
    <w:rsid w:val="00A83657"/>
    <w:rsid w:val="00A87B51"/>
    <w:rsid w:val="00A94063"/>
    <w:rsid w:val="00AA2A79"/>
    <w:rsid w:val="00AA2E19"/>
    <w:rsid w:val="00AA6219"/>
    <w:rsid w:val="00AA74E0"/>
    <w:rsid w:val="00AB13AA"/>
    <w:rsid w:val="00AB406A"/>
    <w:rsid w:val="00AB4297"/>
    <w:rsid w:val="00AB703F"/>
    <w:rsid w:val="00AC6BB8"/>
    <w:rsid w:val="00AD112A"/>
    <w:rsid w:val="00AE008F"/>
    <w:rsid w:val="00AE610C"/>
    <w:rsid w:val="00B00412"/>
    <w:rsid w:val="00B01FCD"/>
    <w:rsid w:val="00B04BAD"/>
    <w:rsid w:val="00B126DD"/>
    <w:rsid w:val="00B1776C"/>
    <w:rsid w:val="00B21F05"/>
    <w:rsid w:val="00B275F8"/>
    <w:rsid w:val="00B3197B"/>
    <w:rsid w:val="00B31AF2"/>
    <w:rsid w:val="00B378C6"/>
    <w:rsid w:val="00B4581B"/>
    <w:rsid w:val="00B52583"/>
    <w:rsid w:val="00B52896"/>
    <w:rsid w:val="00B54C09"/>
    <w:rsid w:val="00B71220"/>
    <w:rsid w:val="00B84A7C"/>
    <w:rsid w:val="00B84F4D"/>
    <w:rsid w:val="00B87B46"/>
    <w:rsid w:val="00B95236"/>
    <w:rsid w:val="00B96BD9"/>
    <w:rsid w:val="00BA1B01"/>
    <w:rsid w:val="00BA2641"/>
    <w:rsid w:val="00BB37AA"/>
    <w:rsid w:val="00BC53A0"/>
    <w:rsid w:val="00BC600A"/>
    <w:rsid w:val="00BD2797"/>
    <w:rsid w:val="00BE11EE"/>
    <w:rsid w:val="00BE62AD"/>
    <w:rsid w:val="00BE6EE4"/>
    <w:rsid w:val="00BF121F"/>
    <w:rsid w:val="00BF124D"/>
    <w:rsid w:val="00BF1F80"/>
    <w:rsid w:val="00C0002A"/>
    <w:rsid w:val="00C13532"/>
    <w:rsid w:val="00C166EF"/>
    <w:rsid w:val="00C17EB0"/>
    <w:rsid w:val="00C220EA"/>
    <w:rsid w:val="00C27F5F"/>
    <w:rsid w:val="00C30A0F"/>
    <w:rsid w:val="00C37E61"/>
    <w:rsid w:val="00C46233"/>
    <w:rsid w:val="00C5122F"/>
    <w:rsid w:val="00C70F1B"/>
    <w:rsid w:val="00C716FA"/>
    <w:rsid w:val="00C71A47"/>
    <w:rsid w:val="00C7464C"/>
    <w:rsid w:val="00C74CB4"/>
    <w:rsid w:val="00C85588"/>
    <w:rsid w:val="00C97D7D"/>
    <w:rsid w:val="00CB6692"/>
    <w:rsid w:val="00CC0AF0"/>
    <w:rsid w:val="00CC252F"/>
    <w:rsid w:val="00CC424E"/>
    <w:rsid w:val="00CD2AC6"/>
    <w:rsid w:val="00CD6755"/>
    <w:rsid w:val="00CD6856"/>
    <w:rsid w:val="00CD743D"/>
    <w:rsid w:val="00CE0089"/>
    <w:rsid w:val="00CE793C"/>
    <w:rsid w:val="00CF193C"/>
    <w:rsid w:val="00CF5ED5"/>
    <w:rsid w:val="00D173F1"/>
    <w:rsid w:val="00D33651"/>
    <w:rsid w:val="00D45473"/>
    <w:rsid w:val="00D550AF"/>
    <w:rsid w:val="00D578E2"/>
    <w:rsid w:val="00D63777"/>
    <w:rsid w:val="00D715C1"/>
    <w:rsid w:val="00D74CB0"/>
    <w:rsid w:val="00D8295D"/>
    <w:rsid w:val="00D87038"/>
    <w:rsid w:val="00D97AFF"/>
    <w:rsid w:val="00DA06D4"/>
    <w:rsid w:val="00DA4AB2"/>
    <w:rsid w:val="00DA5A4B"/>
    <w:rsid w:val="00DC2A65"/>
    <w:rsid w:val="00DC4BB3"/>
    <w:rsid w:val="00DC754B"/>
    <w:rsid w:val="00DD7A20"/>
    <w:rsid w:val="00DE15F0"/>
    <w:rsid w:val="00DE5663"/>
    <w:rsid w:val="00DE74A7"/>
    <w:rsid w:val="00DE78AA"/>
    <w:rsid w:val="00DF0858"/>
    <w:rsid w:val="00DF60CE"/>
    <w:rsid w:val="00E053D0"/>
    <w:rsid w:val="00E150CA"/>
    <w:rsid w:val="00E15994"/>
    <w:rsid w:val="00E23A0F"/>
    <w:rsid w:val="00E24B1F"/>
    <w:rsid w:val="00E3114E"/>
    <w:rsid w:val="00E31A70"/>
    <w:rsid w:val="00E32BFA"/>
    <w:rsid w:val="00E34059"/>
    <w:rsid w:val="00E35B02"/>
    <w:rsid w:val="00E36FCA"/>
    <w:rsid w:val="00E43608"/>
    <w:rsid w:val="00E47419"/>
    <w:rsid w:val="00E56999"/>
    <w:rsid w:val="00E602F1"/>
    <w:rsid w:val="00E66496"/>
    <w:rsid w:val="00E66B35"/>
    <w:rsid w:val="00E66E10"/>
    <w:rsid w:val="00E769F6"/>
    <w:rsid w:val="00E81929"/>
    <w:rsid w:val="00E8407C"/>
    <w:rsid w:val="00E84F3C"/>
    <w:rsid w:val="00E91486"/>
    <w:rsid w:val="00E91F71"/>
    <w:rsid w:val="00E923BB"/>
    <w:rsid w:val="00E93F5E"/>
    <w:rsid w:val="00E97880"/>
    <w:rsid w:val="00EA012C"/>
    <w:rsid w:val="00EB6855"/>
    <w:rsid w:val="00EB76EB"/>
    <w:rsid w:val="00EC6A55"/>
    <w:rsid w:val="00ED0288"/>
    <w:rsid w:val="00ED620F"/>
    <w:rsid w:val="00ED6731"/>
    <w:rsid w:val="00ED7D83"/>
    <w:rsid w:val="00EE2279"/>
    <w:rsid w:val="00EE52CB"/>
    <w:rsid w:val="00EE72A8"/>
    <w:rsid w:val="00EF106A"/>
    <w:rsid w:val="00EF575E"/>
    <w:rsid w:val="00EF581D"/>
    <w:rsid w:val="00EF7FD8"/>
    <w:rsid w:val="00F04E0E"/>
    <w:rsid w:val="00F06F59"/>
    <w:rsid w:val="00F13A4D"/>
    <w:rsid w:val="00F17988"/>
    <w:rsid w:val="00F20F91"/>
    <w:rsid w:val="00F261C2"/>
    <w:rsid w:val="00F3451B"/>
    <w:rsid w:val="00F469F0"/>
    <w:rsid w:val="00F53273"/>
    <w:rsid w:val="00F54A35"/>
    <w:rsid w:val="00F72849"/>
    <w:rsid w:val="00F72E19"/>
    <w:rsid w:val="00F755E4"/>
    <w:rsid w:val="00F77D02"/>
    <w:rsid w:val="00F80C9A"/>
    <w:rsid w:val="00F91A95"/>
    <w:rsid w:val="00F94CDD"/>
    <w:rsid w:val="00FA5DC7"/>
    <w:rsid w:val="00FB24FC"/>
    <w:rsid w:val="00FB3A86"/>
    <w:rsid w:val="00FC7B79"/>
    <w:rsid w:val="00FD36C8"/>
    <w:rsid w:val="00FD5B5F"/>
    <w:rsid w:val="00FF04E9"/>
    <w:rsid w:val="00FF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A370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4837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2517F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semiHidden/>
    <w:unhideWhenUsed/>
    <w:rsid w:val="00B84A7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23311886.2020.18579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46303/repam.2020.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heliyon.2022"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33423/jhetp.v23i14.6390" TargetMode="External"/><Relationship Id="rId20" Type="http://schemas.openxmlformats.org/officeDocument/2006/relationships/hyperlink" Target="https://doi.org/10.14689/enad.2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36941/jesr-2024-0084"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177/237273222110319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8/cdi-03-2016-0029"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E494F-22EE-479F-8C67-A04A3E0E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2844</TotalTime>
  <Pages>26</Pages>
  <Words>11558</Words>
  <Characters>65882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77286</CharactersWithSpaces>
  <SharedDoc>false</SharedDoc>
  <HLinks>
    <vt:vector size="60" baseType="variant">
      <vt:variant>
        <vt:i4>4718681</vt:i4>
      </vt:variant>
      <vt:variant>
        <vt:i4>27</vt:i4>
      </vt:variant>
      <vt:variant>
        <vt:i4>0</vt:i4>
      </vt:variant>
      <vt:variant>
        <vt:i4>5</vt:i4>
      </vt:variant>
      <vt:variant>
        <vt:lpwstr>https://doi.org/10.46303/repam.2020.3</vt:lpwstr>
      </vt:variant>
      <vt:variant>
        <vt:lpwstr/>
      </vt:variant>
      <vt:variant>
        <vt:i4>2228335</vt:i4>
      </vt:variant>
      <vt:variant>
        <vt:i4>24</vt:i4>
      </vt:variant>
      <vt:variant>
        <vt:i4>0</vt:i4>
      </vt:variant>
      <vt:variant>
        <vt:i4>5</vt:i4>
      </vt:variant>
      <vt:variant>
        <vt:lpwstr>https://doi.org/10.14689/enad.28.3</vt:lpwstr>
      </vt:variant>
      <vt:variant>
        <vt:lpwstr/>
      </vt:variant>
      <vt:variant>
        <vt:i4>1507413</vt:i4>
      </vt:variant>
      <vt:variant>
        <vt:i4>21</vt:i4>
      </vt:variant>
      <vt:variant>
        <vt:i4>0</vt:i4>
      </vt:variant>
      <vt:variant>
        <vt:i4>5</vt:i4>
      </vt:variant>
      <vt:variant>
        <vt:lpwstr>https://doi.org/10.1177/23727322211031938</vt:lpwstr>
      </vt:variant>
      <vt:variant>
        <vt:lpwstr/>
      </vt:variant>
      <vt:variant>
        <vt:i4>917580</vt:i4>
      </vt:variant>
      <vt:variant>
        <vt:i4>18</vt:i4>
      </vt:variant>
      <vt:variant>
        <vt:i4>0</vt:i4>
      </vt:variant>
      <vt:variant>
        <vt:i4>5</vt:i4>
      </vt:variant>
      <vt:variant>
        <vt:lpwstr>https://doi.org/10.1080/13642987.2024.2369584</vt:lpwstr>
      </vt:variant>
      <vt:variant>
        <vt:lpwstr/>
      </vt:variant>
      <vt:variant>
        <vt:i4>983111</vt:i4>
      </vt:variant>
      <vt:variant>
        <vt:i4>15</vt:i4>
      </vt:variant>
      <vt:variant>
        <vt:i4>0</vt:i4>
      </vt:variant>
      <vt:variant>
        <vt:i4>5</vt:i4>
      </vt:variant>
      <vt:variant>
        <vt:lpwstr>https://doi.org/10.1080/23311886.2023.2225819</vt:lpwstr>
      </vt:variant>
      <vt:variant>
        <vt:lpwstr/>
      </vt:variant>
      <vt:variant>
        <vt:i4>458817</vt:i4>
      </vt:variant>
      <vt:variant>
        <vt:i4>12</vt:i4>
      </vt:variant>
      <vt:variant>
        <vt:i4>0</vt:i4>
      </vt:variant>
      <vt:variant>
        <vt:i4>5</vt:i4>
      </vt:variant>
      <vt:variant>
        <vt:lpwstr>https://doi.org/10.1080/23311886.2020.1857916</vt:lpwstr>
      </vt:variant>
      <vt:variant>
        <vt:lpwstr/>
      </vt:variant>
      <vt:variant>
        <vt:i4>7536677</vt:i4>
      </vt:variant>
      <vt:variant>
        <vt:i4>9</vt:i4>
      </vt:variant>
      <vt:variant>
        <vt:i4>0</vt:i4>
      </vt:variant>
      <vt:variant>
        <vt:i4>5</vt:i4>
      </vt:variant>
      <vt:variant>
        <vt:lpwstr>https://doi.org/10.1016/j.heliyon.2022</vt:lpwstr>
      </vt:variant>
      <vt:variant>
        <vt:lpwstr/>
      </vt:variant>
      <vt:variant>
        <vt:i4>3080230</vt:i4>
      </vt:variant>
      <vt:variant>
        <vt:i4>6</vt:i4>
      </vt:variant>
      <vt:variant>
        <vt:i4>0</vt:i4>
      </vt:variant>
      <vt:variant>
        <vt:i4>5</vt:i4>
      </vt:variant>
      <vt:variant>
        <vt:lpwstr>https://doi.org/10.33423/jhetp.v23i14.6390</vt:lpwstr>
      </vt:variant>
      <vt:variant>
        <vt:lpwstr/>
      </vt:variant>
      <vt:variant>
        <vt:i4>4063357</vt:i4>
      </vt:variant>
      <vt:variant>
        <vt:i4>3</vt:i4>
      </vt:variant>
      <vt:variant>
        <vt:i4>0</vt:i4>
      </vt:variant>
      <vt:variant>
        <vt:i4>5</vt:i4>
      </vt:variant>
      <vt:variant>
        <vt:lpwstr>https://doi.org/10.36941/jesr-2024-0084</vt:lpwstr>
      </vt:variant>
      <vt:variant>
        <vt:lpwstr/>
      </vt:variant>
      <vt:variant>
        <vt:i4>5111872</vt:i4>
      </vt:variant>
      <vt:variant>
        <vt:i4>0</vt:i4>
      </vt:variant>
      <vt:variant>
        <vt:i4>0</vt:i4>
      </vt:variant>
      <vt:variant>
        <vt:i4>5</vt:i4>
      </vt:variant>
      <vt:variant>
        <vt:lpwstr>https://doi.org/10.1108/cdi-03-2016-0029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244</cp:revision>
  <cp:lastPrinted>1999-07-06T11:00:00Z</cp:lastPrinted>
  <dcterms:created xsi:type="dcterms:W3CDTF">2026-03-15T16:18:00Z</dcterms:created>
  <dcterms:modified xsi:type="dcterms:W3CDTF">2026-03-18T11:34:00Z</dcterms:modified>
</cp:coreProperties>
</file>