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F2FFA" w14:textId="77777777" w:rsidR="00754C9A" w:rsidRDefault="00754C9A" w:rsidP="00441B6F">
      <w:pPr>
        <w:pStyle w:val="Title"/>
        <w:spacing w:after="0"/>
        <w:jc w:val="both"/>
        <w:rPr>
          <w:rFonts w:ascii="Arial" w:hAnsi="Arial" w:cs="Arial"/>
        </w:rPr>
      </w:pPr>
    </w:p>
    <w:p w14:paraId="57C2582F" w14:textId="221D4EA6" w:rsidR="00A258C3" w:rsidRPr="00D807F8" w:rsidRDefault="004A62CB" w:rsidP="00D807F8">
      <w:pPr>
        <w:pStyle w:val="Title"/>
        <w:jc w:val="center"/>
        <w:rPr>
          <w:rFonts w:ascii="Arial" w:hAnsi="Arial" w:cs="Arial"/>
          <w:b w:val="0"/>
          <w:bCs/>
          <w:szCs w:val="36"/>
          <w:lang w:eastAsia="id-ID"/>
        </w:rPr>
      </w:pPr>
      <w:r w:rsidRPr="00D807F8">
        <w:rPr>
          <w:rFonts w:ascii="Arial" w:hAnsi="Arial" w:cs="Arial"/>
          <w:bCs/>
          <w:szCs w:val="36"/>
          <w:lang w:eastAsia="id-ID"/>
        </w:rPr>
        <w:t>Vocational training for women Gig workers: a review</w:t>
      </w:r>
    </w:p>
    <w:p w14:paraId="08462EDB" w14:textId="2C4E6412" w:rsidR="00790ADA" w:rsidRPr="002C14AD" w:rsidRDefault="00790ADA" w:rsidP="00441B6F">
      <w:pPr>
        <w:pStyle w:val="Affiliation"/>
        <w:spacing w:after="0" w:line="240" w:lineRule="auto"/>
        <w:jc w:val="both"/>
        <w:rPr>
          <w:rFonts w:ascii="Arial" w:hAnsi="Arial" w:cs="Arial"/>
          <w:vertAlign w:val="superscript"/>
        </w:rPr>
      </w:pPr>
    </w:p>
    <w:p w14:paraId="078047DA" w14:textId="77777777" w:rsidR="002C57D2" w:rsidRPr="00FB3A86" w:rsidRDefault="002C57D2" w:rsidP="00441B6F">
      <w:pPr>
        <w:pStyle w:val="Affiliation"/>
        <w:spacing w:after="0" w:line="240" w:lineRule="auto"/>
        <w:jc w:val="both"/>
        <w:rPr>
          <w:rFonts w:ascii="Arial" w:hAnsi="Arial" w:cs="Arial"/>
        </w:rPr>
      </w:pPr>
    </w:p>
    <w:p w14:paraId="5F5123D3" w14:textId="0480CB95" w:rsidR="00B01FCD" w:rsidRPr="00FB3A86" w:rsidRDefault="00063F24" w:rsidP="00441B6F">
      <w:pPr>
        <w:pStyle w:val="Copyright"/>
        <w:spacing w:after="0" w:line="240" w:lineRule="auto"/>
        <w:jc w:val="both"/>
        <w:rPr>
          <w:rFonts w:ascii="Arial" w:hAnsi="Arial" w:cs="Arial"/>
        </w:rPr>
        <w:sectPr w:rsidR="00B01FCD" w:rsidRPr="00FB3A86" w:rsidSect="008F04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6C037F" wp14:editId="1D3E9257">
                <wp:extent cx="5303520" cy="635"/>
                <wp:effectExtent l="11430" t="15240" r="9525" b="13335"/>
                <wp:docPr id="17888116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DA625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D8473E" w14:textId="31EC9AD0" w:rsidR="00B01FCD" w:rsidRDefault="00B01FCD" w:rsidP="00441B6F">
      <w:pPr>
        <w:pStyle w:val="AbstHead"/>
        <w:spacing w:after="0"/>
        <w:jc w:val="both"/>
        <w:rPr>
          <w:rFonts w:ascii="Arial" w:hAnsi="Arial" w:cs="Arial"/>
        </w:rPr>
      </w:pPr>
      <w:r w:rsidRPr="00FB3A86">
        <w:rPr>
          <w:rFonts w:ascii="Arial" w:hAnsi="Arial" w:cs="Arial"/>
        </w:rPr>
        <w:t>ABSTRACT</w:t>
      </w:r>
    </w:p>
    <w:p w14:paraId="7231FD72" w14:textId="77777777" w:rsidR="00790ADA" w:rsidRPr="00FB3A86" w:rsidRDefault="00790ADA" w:rsidP="00441B6F">
      <w:pPr>
        <w:pStyle w:val="AbstHead"/>
        <w:spacing w:after="0"/>
        <w:jc w:val="both"/>
        <w:rPr>
          <w:rFonts w:ascii="Arial" w:hAnsi="Arial" w:cs="Arial"/>
        </w:rPr>
      </w:pPr>
    </w:p>
    <w:tbl>
      <w:tblPr>
        <w:tblW w:w="8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18"/>
      </w:tblGrid>
      <w:tr w:rsidR="00296529" w:rsidRPr="001E44FE" w14:paraId="4D8164A2" w14:textId="77777777" w:rsidTr="00AB7913">
        <w:trPr>
          <w:trHeight w:val="6639"/>
        </w:trPr>
        <w:tc>
          <w:tcPr>
            <w:tcW w:w="8518" w:type="dxa"/>
            <w:shd w:val="clear" w:color="auto" w:fill="F2F2F2"/>
          </w:tcPr>
          <w:p w14:paraId="7E0A7CD9" w14:textId="77777777" w:rsidR="00AB7913" w:rsidRDefault="00AB7913" w:rsidP="00AB7913">
            <w:pPr>
              <w:pStyle w:val="NormalWeb"/>
              <w:spacing w:line="360" w:lineRule="auto"/>
              <w:jc w:val="both"/>
              <w:rPr>
                <w:lang w:val="en-IN"/>
              </w:rPr>
            </w:pPr>
            <w:r>
              <w:rPr>
                <w:lang w:val="en-IN"/>
              </w:rPr>
              <w:t>T</w:t>
            </w:r>
            <w:r>
              <w:t>he aims of this study are reviewing previous study findings on women who working as a gig worker in India and develop specific job expertise through vocational training and the way these effects their jobs in gig economy. This investigation attempts to identify their benefits and drawbacks. Furthermore, the research will assess the findings from existing studies and analysis the how well they work in various vocational training programmes and seek to provide idea to improve female change for jobs and skill development. Also, a comprehensive and structured review on female gig workers in context of vocational training, an organised review has been performed and data was collected from google scholar</w:t>
            </w:r>
            <w:r w:rsidRPr="000323E7">
              <w:rPr>
                <w:b/>
                <w:bCs/>
                <w:lang w:val="en-IN"/>
              </w:rPr>
              <w:t>.</w:t>
            </w:r>
            <w:r>
              <w:rPr>
                <w:b/>
                <w:bCs/>
                <w:lang w:val="en-IN"/>
              </w:rPr>
              <w:t xml:space="preserve"> </w:t>
            </w:r>
            <w:r w:rsidRPr="00C20F3F">
              <w:rPr>
                <w:lang w:val="en-IN"/>
              </w:rPr>
              <w:t>Additionally, based on the review vocational training enhances the efficiency and confidence of women gig workers. Women are able to get more jobs and boost their financial positions through vocational training.</w:t>
            </w:r>
            <w:r>
              <w:rPr>
                <w:lang w:val="en-IN"/>
              </w:rPr>
              <w:t xml:space="preserve"> And the problems that women gig workers face are addressed as well in this research.  It shows how open and freely accessible vocational training programs, promotes women achievements and improves equality of workplace for all. </w:t>
            </w:r>
            <w:r w:rsidRPr="00097B21">
              <w:rPr>
                <w:lang w:val="en-IN"/>
              </w:rPr>
              <w:t xml:space="preserve">This paper </w:t>
            </w:r>
            <w:r>
              <w:rPr>
                <w:lang w:val="en-IN"/>
              </w:rPr>
              <w:t xml:space="preserve">covers </w:t>
            </w:r>
            <w:r w:rsidRPr="00097B21">
              <w:rPr>
                <w:lang w:val="en-IN"/>
              </w:rPr>
              <w:t>vocational training</w:t>
            </w:r>
            <w:r>
              <w:rPr>
                <w:lang w:val="en-IN"/>
              </w:rPr>
              <w:t xml:space="preserve"> </w:t>
            </w:r>
            <w:r w:rsidRPr="00097B21">
              <w:rPr>
                <w:lang w:val="en-IN"/>
              </w:rPr>
              <w:t>in the gig economy</w:t>
            </w:r>
            <w:r>
              <w:rPr>
                <w:lang w:val="en-IN"/>
              </w:rPr>
              <w:t>, with special focus on the view of women gig workers.</w:t>
            </w:r>
          </w:p>
          <w:p w14:paraId="3FD9E97D" w14:textId="77777777" w:rsidR="00A03B96" w:rsidRDefault="00A03B96" w:rsidP="00441B6F">
            <w:pPr>
              <w:pStyle w:val="Body"/>
              <w:spacing w:after="0"/>
              <w:rPr>
                <w:rFonts w:ascii="Arial" w:eastAsia="Calibri" w:hAnsi="Arial" w:cs="Arial"/>
                <w:szCs w:val="22"/>
              </w:rPr>
            </w:pPr>
          </w:p>
          <w:p w14:paraId="25DF3648" w14:textId="77777777" w:rsidR="00E3114E" w:rsidRDefault="00E3114E" w:rsidP="00441B6F">
            <w:pPr>
              <w:pStyle w:val="Body"/>
              <w:spacing w:after="0"/>
              <w:rPr>
                <w:rFonts w:ascii="Arial" w:eastAsia="Calibri" w:hAnsi="Arial" w:cs="Arial"/>
                <w:szCs w:val="22"/>
              </w:rPr>
            </w:pPr>
          </w:p>
          <w:p w14:paraId="6D6EC4D1" w14:textId="3E2D982B" w:rsidR="00505F06" w:rsidRPr="00BA1B01" w:rsidRDefault="00505F06" w:rsidP="00441B6F">
            <w:pPr>
              <w:pStyle w:val="Body"/>
              <w:spacing w:after="0"/>
              <w:rPr>
                <w:rFonts w:ascii="Arial" w:eastAsia="Calibri" w:hAnsi="Arial" w:cs="Arial"/>
                <w:szCs w:val="22"/>
              </w:rPr>
            </w:pPr>
          </w:p>
        </w:tc>
      </w:tr>
    </w:tbl>
    <w:p w14:paraId="3968541C" w14:textId="60C992B3" w:rsidR="009F6710" w:rsidRPr="009F6710" w:rsidRDefault="00A24E7E" w:rsidP="009F6710">
      <w:pPr>
        <w:pStyle w:val="NormalWeb"/>
        <w:spacing w:line="360" w:lineRule="auto"/>
        <w:jc w:val="both"/>
        <w:rPr>
          <w:rFonts w:ascii="Arial" w:hAnsi="Arial" w:cs="Arial"/>
          <w:sz w:val="20"/>
          <w:szCs w:val="20"/>
          <w:lang w:val="en-IN"/>
        </w:rPr>
      </w:pPr>
      <w:r w:rsidRPr="009F6710">
        <w:rPr>
          <w:rFonts w:ascii="Arial" w:hAnsi="Arial" w:cs="Arial"/>
          <w:i/>
          <w:sz w:val="20"/>
          <w:szCs w:val="20"/>
        </w:rPr>
        <w:t xml:space="preserve">Keywords: </w:t>
      </w:r>
      <w:r w:rsidR="009F6710" w:rsidRPr="009F6710">
        <w:rPr>
          <w:rFonts w:ascii="Arial" w:hAnsi="Arial" w:cs="Arial"/>
          <w:sz w:val="20"/>
          <w:szCs w:val="20"/>
          <w:lang w:val="en-IN"/>
        </w:rPr>
        <w:t>Vocational training, Women gig workers, Gig economy</w:t>
      </w:r>
    </w:p>
    <w:p w14:paraId="44F130FF" w14:textId="48313B2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D9FE910" w14:textId="6EE40B7D" w:rsidR="00B33111" w:rsidRPr="00B33111" w:rsidRDefault="00B33111" w:rsidP="00B33111">
      <w:pPr>
        <w:spacing w:line="360" w:lineRule="auto"/>
        <w:jc w:val="both"/>
        <w:rPr>
          <w:rFonts w:ascii="Arial" w:hAnsi="Arial" w:cs="Arial"/>
          <w:b/>
          <w:bCs/>
        </w:rPr>
      </w:pPr>
      <w:r w:rsidRPr="00B33111">
        <w:rPr>
          <w:rFonts w:ascii="Arial" w:hAnsi="Arial" w:cs="Arial"/>
        </w:rPr>
        <w:t xml:space="preserve">The gig economy has experienced significant growth globally, with the number of gig workers in India increasing from 2.52 million in 2011-12 to 6.8 million in 2019-20, representing a CAGR of 16.78% (Sood &amp; Singh, 2023). This shift towards flexible work arrangements is driven by </w:t>
      </w:r>
      <w:r w:rsidR="00020633" w:rsidRPr="00B33111">
        <w:rPr>
          <w:rFonts w:ascii="Arial" w:hAnsi="Arial" w:cs="Arial"/>
        </w:rPr>
        <w:t>digitalization</w:t>
      </w:r>
      <w:r w:rsidRPr="00B33111">
        <w:rPr>
          <w:rFonts w:ascii="Arial" w:hAnsi="Arial" w:cs="Arial"/>
        </w:rPr>
        <w:t xml:space="preserve"> and changing business models (Datta et al., 2023). However, the rise </w:t>
      </w:r>
      <w:r w:rsidRPr="00B33111">
        <w:rPr>
          <w:rFonts w:ascii="Arial" w:hAnsi="Arial" w:cs="Arial"/>
        </w:rPr>
        <w:lastRenderedPageBreak/>
        <w:t xml:space="preserve">of gig work is most evident in the transportation services sector, where growth has been substantial and rapid (Abraham et al., 2019). While praised by some as a response to entrepreneurial desires, the gig economy is likely driven by businesses seeking to reduce costs and legal vulnerabilities (Friedman, 2014). Digital platforms have played a crucial role in this transformation, creating new opportunities for workers globally (Datta et al., 2023). Despite its potential for growth and employment generation, the gig economy presents challenges for social policy, as it shifts economic risks onto workers and often excludes them from traditional social insurance programs (Friedman, 2014). The gig economy's growth has changed the nature of work globally, creating flexible, non-demanding jobs full of opportunities and problems. This economic change includes </w:t>
      </w:r>
      <w:bookmarkStart w:id="0" w:name="_Hlk183085746"/>
      <w:r w:rsidRPr="00B33111">
        <w:rPr>
          <w:rFonts w:ascii="Arial" w:hAnsi="Arial" w:cs="Arial"/>
        </w:rPr>
        <w:t>contract, temporary, and freelance work</w:t>
      </w:r>
      <w:bookmarkEnd w:id="0"/>
      <w:r w:rsidRPr="00B33111">
        <w:rPr>
          <w:rFonts w:ascii="Arial" w:hAnsi="Arial" w:cs="Arial"/>
        </w:rPr>
        <w:t>, frequently made possible by digital platforms (Kässi &amp; Lehdonvirta, 2018; Graham et al., 2017). Now, most people, such as women, can do things in different ways that are better for their lives. This change has helped many people join the workforce, but it has had various consequences for other people (De Stefano, 2016). For women, working in the gig economy means earning money while caring for the home and family. But it can be difficult because they don't always get a steady salary, health benefits, or opportunities to advance in their jobs (Wood et al., 2019). The researchers found some tough problems, so they believe it is important to help women working in short-term jobs learn new skills. Therefore, vocational training can help them get better jobs and become stronger in difficult times (Berg et al., 2018).</w:t>
      </w:r>
    </w:p>
    <w:p w14:paraId="0ABCD838" w14:textId="77777777" w:rsidR="00B33111" w:rsidRPr="00B33111" w:rsidRDefault="00B33111" w:rsidP="00B33111">
      <w:pPr>
        <w:spacing w:line="360" w:lineRule="auto"/>
        <w:jc w:val="both"/>
        <w:rPr>
          <w:rFonts w:ascii="Arial" w:hAnsi="Arial" w:cs="Arial"/>
        </w:rPr>
      </w:pPr>
      <w:r w:rsidRPr="00B33111">
        <w:rPr>
          <w:rFonts w:ascii="Arial" w:hAnsi="Arial" w:cs="Arial"/>
        </w:rPr>
        <w:t xml:space="preserve">               Women who work in jobs where they can choose when and how much they work, such as food delivery or driving, often face special challenges. These challenges include being maltreated simply because they are women, concerns about their safety, being paid less than men for the same work, and having fewer opportunities to get a good job (Galperin, H. 2019). For instance, Adeel et al. (2024) examined that in the last few years, there has been much change in how people work, especially for women. This has given women new work opportunities but has also brought some difficulties. Many women are now working short-term jobs or "gig" work, meaning they work for different companies independently instead of having the same job. It is important to see how this change affects them, what good things come with it, what difficulties come with it, and how it affects everyone in society.</w:t>
      </w:r>
    </w:p>
    <w:p w14:paraId="09BF81D0" w14:textId="77777777" w:rsidR="00B33111" w:rsidRPr="00B33111" w:rsidRDefault="00B33111" w:rsidP="00B33111">
      <w:pPr>
        <w:spacing w:line="360" w:lineRule="auto"/>
        <w:jc w:val="both"/>
        <w:rPr>
          <w:rFonts w:ascii="Arial" w:hAnsi="Arial" w:cs="Arial"/>
        </w:rPr>
      </w:pPr>
      <w:r w:rsidRPr="00B33111">
        <w:rPr>
          <w:rFonts w:ascii="Arial" w:hAnsi="Arial" w:cs="Arial"/>
        </w:rPr>
        <w:t xml:space="preserve">                Vocational training has become a key intervention to eliminate the skills gap that prevents employability in today's dynamic labour market. Since the economy is flexible, getting work done on an employment basis has become quicker. Special training needs have become important. In particular, women face unique problems in this evolving ecosystem, which means that vocational training strengthens them and increases their participation in the Gig economy. The gig economy is changing how people work, creating new opportunities and difficulties for employees and their bosses. It is crucial to learn vocational training here, like going to a particular school for a job. Employees with these specific skills are often selected for jobs requiring them (Van Slageren &amp; Herrmann, 2024). However, People who work for themselves, such as delivering food or driving cars, typically do not receive the same support that regular employees receive, such as health insurance or paid vacation. This allows insurance companies to provide new types of help to these employees (Kajwang, 2023). For women, the gig economy is a way of working where people can choose their hours and jobs, helping them achieve work-life balance. But it can also be difficult because sometimes the job may not be stable, and people may not get a fair salary (Sonawane 2023, James 2022).</w:t>
      </w:r>
    </w:p>
    <w:p w14:paraId="12E3B526" w14:textId="5EF56DF4" w:rsidR="00B33111" w:rsidRPr="00B0035D" w:rsidRDefault="00B0035D" w:rsidP="00B33111">
      <w:pPr>
        <w:spacing w:line="360" w:lineRule="auto"/>
        <w:jc w:val="both"/>
        <w:rPr>
          <w:rFonts w:ascii="Arial" w:hAnsi="Arial" w:cs="Arial"/>
          <w:b/>
          <w:bCs/>
          <w:sz w:val="22"/>
          <w:szCs w:val="22"/>
        </w:rPr>
      </w:pPr>
      <w:r w:rsidRPr="00B0035D">
        <w:rPr>
          <w:rFonts w:ascii="Arial" w:hAnsi="Arial" w:cs="Arial"/>
          <w:b/>
          <w:bCs/>
          <w:sz w:val="22"/>
          <w:szCs w:val="22"/>
        </w:rPr>
        <w:t xml:space="preserve">1.1 </w:t>
      </w:r>
      <w:r w:rsidR="00B33111" w:rsidRPr="00B0035D">
        <w:rPr>
          <w:rFonts w:ascii="Arial" w:hAnsi="Arial" w:cs="Arial"/>
          <w:b/>
          <w:bCs/>
          <w:sz w:val="22"/>
          <w:szCs w:val="22"/>
        </w:rPr>
        <w:t>Rationale for the Study</w:t>
      </w:r>
    </w:p>
    <w:p w14:paraId="44A92934" w14:textId="77777777" w:rsidR="00B33111" w:rsidRPr="00B33111" w:rsidRDefault="00B33111" w:rsidP="00B33111">
      <w:pPr>
        <w:spacing w:line="360" w:lineRule="auto"/>
        <w:jc w:val="both"/>
        <w:rPr>
          <w:rFonts w:ascii="Arial" w:hAnsi="Arial" w:cs="Arial"/>
        </w:rPr>
      </w:pPr>
      <w:r w:rsidRPr="00B33111">
        <w:rPr>
          <w:rFonts w:ascii="Arial" w:hAnsi="Arial" w:cs="Arial"/>
        </w:rPr>
        <w:t xml:space="preserve">Women are able to select many kinds of professions that permit them to find jobs wherever they want in gig economy, that is similar to a playing in a big filed and this convenience types of job really helps women. But such jobs are sometimes difficult due to the fails to pay and there is no guaranty that job will stay regular. Therefore, it is important to acquire new skills via vocational training. This improves female workers get better employment, and boos their earning and grow in their </w:t>
      </w:r>
      <w:r w:rsidRPr="00B33111">
        <w:rPr>
          <w:rFonts w:ascii="Arial" w:hAnsi="Arial" w:cs="Arial"/>
        </w:rPr>
        <w:lastRenderedPageBreak/>
        <w:t xml:space="preserve">professional lives. Considering the </w:t>
      </w:r>
      <w:proofErr w:type="gramStart"/>
      <w:r w:rsidRPr="00B33111">
        <w:rPr>
          <w:rFonts w:ascii="Arial" w:hAnsi="Arial" w:cs="Arial"/>
        </w:rPr>
        <w:t>reality</w:t>
      </w:r>
      <w:proofErr w:type="gramEnd"/>
      <w:r w:rsidRPr="00B33111">
        <w:rPr>
          <w:rFonts w:ascii="Arial" w:hAnsi="Arial" w:cs="Arial"/>
        </w:rPr>
        <w:t xml:space="preserve"> a growing number of individual working as a gig workers such driving for rideshare or delivering food, many of them don’t know what is vocational training and how its helps women workers in their jobs. Mostly studies look at regular employment rather than paying attention on the specific problem and possibilities that females face in the gig jobs. The study suggests that a deeper look into the way vocational training may enhance women ability and feeling of responsibility in gig job is vital.</w:t>
      </w:r>
    </w:p>
    <w:p w14:paraId="289E84C9" w14:textId="77777777" w:rsidR="00B33111" w:rsidRPr="00B33111" w:rsidRDefault="00B33111" w:rsidP="00B33111">
      <w:pPr>
        <w:spacing w:line="360" w:lineRule="auto"/>
        <w:jc w:val="both"/>
        <w:rPr>
          <w:rFonts w:ascii="Arial" w:hAnsi="Arial" w:cs="Arial"/>
        </w:rPr>
      </w:pPr>
      <w:r w:rsidRPr="00B33111">
        <w:rPr>
          <w:rFonts w:ascii="Arial" w:hAnsi="Arial" w:cs="Arial"/>
        </w:rPr>
        <w:t xml:space="preserve">            The intent of this research to gather additional information on vocational training program that helps female participation in various jobs such rideshare and delivery food. Also, it will look into the way that this kind of trainings helps women to acquire new skills, growing their career and succeeding in their field of employment. And the overview will deliver useful details the best vocational training program, why it is difficult for females to get admitted in these programmes and how females can enhance their ability at gig jobs through reviewing multiple research studies.</w:t>
      </w:r>
    </w:p>
    <w:p w14:paraId="6458E524" w14:textId="77777777" w:rsidR="00B33111" w:rsidRPr="00B33111" w:rsidRDefault="00B33111" w:rsidP="00B33111">
      <w:pPr>
        <w:spacing w:line="360" w:lineRule="auto"/>
        <w:jc w:val="both"/>
        <w:rPr>
          <w:rFonts w:ascii="Arial" w:hAnsi="Arial" w:cs="Arial"/>
        </w:rPr>
      </w:pPr>
      <w:r w:rsidRPr="00B33111">
        <w:rPr>
          <w:rFonts w:ascii="Arial" w:hAnsi="Arial" w:cs="Arial"/>
        </w:rPr>
        <w:t xml:space="preserve">    Therefore, the main purpose and research questions of this study are as follows:</w:t>
      </w:r>
    </w:p>
    <w:p w14:paraId="415B72EA" w14:textId="77777777" w:rsidR="00B33111" w:rsidRPr="00B33111" w:rsidRDefault="00B33111" w:rsidP="00B33111">
      <w:pPr>
        <w:pStyle w:val="ListParagraph"/>
        <w:numPr>
          <w:ilvl w:val="0"/>
          <w:numId w:val="31"/>
        </w:numPr>
        <w:spacing w:line="360" w:lineRule="auto"/>
        <w:rPr>
          <w:rFonts w:ascii="Arial" w:hAnsi="Arial" w:cs="Arial"/>
          <w:sz w:val="20"/>
          <w:szCs w:val="20"/>
        </w:rPr>
      </w:pPr>
      <w:r w:rsidRPr="00B33111">
        <w:rPr>
          <w:rFonts w:ascii="Arial" w:hAnsi="Arial" w:cs="Arial"/>
          <w:sz w:val="20"/>
          <w:szCs w:val="20"/>
        </w:rPr>
        <w:t>What types of vocational training programs can help women workers in the gig economy?</w:t>
      </w:r>
    </w:p>
    <w:p w14:paraId="6C5456DE" w14:textId="77777777" w:rsidR="00B33111" w:rsidRPr="00B33111" w:rsidRDefault="00B33111" w:rsidP="00B33111">
      <w:pPr>
        <w:pStyle w:val="ListParagraph"/>
        <w:numPr>
          <w:ilvl w:val="0"/>
          <w:numId w:val="31"/>
        </w:numPr>
        <w:spacing w:line="360" w:lineRule="auto"/>
        <w:rPr>
          <w:rFonts w:ascii="Arial" w:hAnsi="Arial" w:cs="Arial"/>
          <w:sz w:val="20"/>
          <w:szCs w:val="20"/>
        </w:rPr>
      </w:pPr>
      <w:r w:rsidRPr="00B33111">
        <w:rPr>
          <w:rFonts w:ascii="Arial" w:hAnsi="Arial" w:cs="Arial"/>
          <w:sz w:val="20"/>
          <w:szCs w:val="20"/>
        </w:rPr>
        <w:t>What is the role of vocational training for women in the gig economy?</w:t>
      </w:r>
    </w:p>
    <w:p w14:paraId="7A957702" w14:textId="77777777" w:rsidR="00B33111" w:rsidRPr="00B33111" w:rsidRDefault="00B33111" w:rsidP="00B33111">
      <w:pPr>
        <w:pStyle w:val="ListParagraph"/>
        <w:numPr>
          <w:ilvl w:val="0"/>
          <w:numId w:val="31"/>
        </w:numPr>
        <w:rPr>
          <w:rFonts w:ascii="Arial" w:hAnsi="Arial" w:cs="Arial"/>
          <w:sz w:val="20"/>
          <w:szCs w:val="20"/>
        </w:rPr>
      </w:pPr>
      <w:r w:rsidRPr="00B33111">
        <w:rPr>
          <w:rFonts w:ascii="Arial" w:hAnsi="Arial" w:cs="Arial"/>
          <w:sz w:val="20"/>
          <w:szCs w:val="20"/>
        </w:rPr>
        <w:t>What should the future study about female gig workers and vocational training?</w:t>
      </w:r>
    </w:p>
    <w:p w14:paraId="4A06C142" w14:textId="353FF337" w:rsidR="00B33111" w:rsidRPr="00B0035D" w:rsidRDefault="00B0035D" w:rsidP="00B33111">
      <w:pPr>
        <w:spacing w:line="360" w:lineRule="auto"/>
        <w:jc w:val="both"/>
        <w:rPr>
          <w:rFonts w:ascii="Arial" w:hAnsi="Arial" w:cs="Arial"/>
          <w:b/>
          <w:bCs/>
          <w:sz w:val="22"/>
          <w:szCs w:val="22"/>
        </w:rPr>
      </w:pPr>
      <w:r w:rsidRPr="00B0035D">
        <w:rPr>
          <w:rFonts w:ascii="Arial" w:hAnsi="Arial" w:cs="Arial"/>
          <w:b/>
          <w:bCs/>
          <w:sz w:val="22"/>
          <w:szCs w:val="22"/>
        </w:rPr>
        <w:t xml:space="preserve">1.2 </w:t>
      </w:r>
      <w:r w:rsidR="00B33111" w:rsidRPr="00B0035D">
        <w:rPr>
          <w:rFonts w:ascii="Arial" w:hAnsi="Arial" w:cs="Arial"/>
          <w:b/>
          <w:bCs/>
          <w:sz w:val="22"/>
          <w:szCs w:val="22"/>
        </w:rPr>
        <w:t xml:space="preserve">A </w:t>
      </w:r>
      <w:r w:rsidRPr="00B0035D">
        <w:rPr>
          <w:rFonts w:ascii="Arial" w:hAnsi="Arial" w:cs="Arial"/>
          <w:b/>
          <w:bCs/>
          <w:sz w:val="22"/>
          <w:szCs w:val="22"/>
        </w:rPr>
        <w:t>synthesized</w:t>
      </w:r>
      <w:r w:rsidR="00B33111" w:rsidRPr="00B0035D">
        <w:rPr>
          <w:rFonts w:ascii="Arial" w:hAnsi="Arial" w:cs="Arial"/>
          <w:b/>
          <w:bCs/>
          <w:sz w:val="22"/>
          <w:szCs w:val="22"/>
        </w:rPr>
        <w:t xml:space="preserve"> Framework for Vocational Training in the Gig Economy</w:t>
      </w:r>
    </w:p>
    <w:p w14:paraId="0030E396" w14:textId="77777777" w:rsidR="00B33111" w:rsidRPr="00B33111" w:rsidRDefault="00B33111" w:rsidP="00B33111">
      <w:pPr>
        <w:spacing w:line="360" w:lineRule="auto"/>
        <w:jc w:val="both"/>
        <w:rPr>
          <w:rFonts w:ascii="Arial" w:hAnsi="Arial" w:cs="Arial"/>
          <w:b/>
          <w:bCs/>
        </w:rPr>
      </w:pPr>
      <w:r w:rsidRPr="00B33111">
        <w:rPr>
          <w:rFonts w:ascii="Arial" w:hAnsi="Arial" w:cs="Arial"/>
        </w:rPr>
        <w:t>Vocational training in the gig economy helps people learn specialised skills for freelance jobs, which are jobs you can do yourself, like becoming a writer or designer. The training is practical, meaning you can work on real projects to practice what you learn. Its goal is to help you become flexible and think like an entrepreneur, which means you can create your own opportunities. When you complete this training, you will be ready to succeed in a world where jobs and tasks can change all the time.</w:t>
      </w:r>
    </w:p>
    <w:p w14:paraId="6E97A677" w14:textId="77777777" w:rsidR="00B33111" w:rsidRPr="00B0035D" w:rsidRDefault="00B33111" w:rsidP="00B33111">
      <w:pPr>
        <w:spacing w:line="360" w:lineRule="auto"/>
        <w:jc w:val="both"/>
        <w:rPr>
          <w:rFonts w:ascii="Arial" w:hAnsi="Arial" w:cs="Arial"/>
          <w:b/>
          <w:bCs/>
        </w:rPr>
      </w:pPr>
      <w:r w:rsidRPr="00B0035D">
        <w:rPr>
          <w:rFonts w:ascii="Arial" w:hAnsi="Arial" w:cs="Arial"/>
          <w:b/>
          <w:bCs/>
        </w:rPr>
        <w:t>Table. 1 Perspectives of women workers in Gig economy</w:t>
      </w:r>
    </w:p>
    <w:tbl>
      <w:tblPr>
        <w:tblStyle w:val="TableGrid"/>
        <w:tblW w:w="9214" w:type="dxa"/>
        <w:tblInd w:w="108" w:type="dxa"/>
        <w:tblLook w:val="04A0" w:firstRow="1" w:lastRow="0" w:firstColumn="1" w:lastColumn="0" w:noHBand="0" w:noVBand="1"/>
      </w:tblPr>
      <w:tblGrid>
        <w:gridCol w:w="1451"/>
        <w:gridCol w:w="2235"/>
        <w:gridCol w:w="2927"/>
        <w:gridCol w:w="2601"/>
      </w:tblGrid>
      <w:tr w:rsidR="00B33111" w:rsidRPr="00FB1B73" w14:paraId="56AF2FA8" w14:textId="77777777" w:rsidTr="002A2225">
        <w:tc>
          <w:tcPr>
            <w:tcW w:w="1451" w:type="dxa"/>
          </w:tcPr>
          <w:p w14:paraId="4ADA0D2E" w14:textId="77777777" w:rsidR="00B33111" w:rsidRPr="009E402F" w:rsidRDefault="00B33111" w:rsidP="00C52F3D">
            <w:pPr>
              <w:rPr>
                <w:rFonts w:ascii="Arial" w:hAnsi="Arial" w:cs="Arial"/>
                <w:sz w:val="20"/>
                <w:szCs w:val="20"/>
              </w:rPr>
            </w:pPr>
            <w:r w:rsidRPr="009E402F">
              <w:rPr>
                <w:rFonts w:ascii="Arial" w:hAnsi="Arial" w:cs="Arial"/>
                <w:sz w:val="20"/>
                <w:szCs w:val="20"/>
              </w:rPr>
              <w:t>Perspectives</w:t>
            </w:r>
          </w:p>
        </w:tc>
        <w:tc>
          <w:tcPr>
            <w:tcW w:w="2235" w:type="dxa"/>
          </w:tcPr>
          <w:p w14:paraId="2A387FCB" w14:textId="77777777" w:rsidR="00B33111" w:rsidRPr="009E402F" w:rsidRDefault="00B33111" w:rsidP="00C52F3D">
            <w:pPr>
              <w:rPr>
                <w:rFonts w:ascii="Arial" w:hAnsi="Arial" w:cs="Arial"/>
                <w:sz w:val="20"/>
                <w:szCs w:val="20"/>
              </w:rPr>
            </w:pPr>
            <w:r w:rsidRPr="009E402F">
              <w:rPr>
                <w:rFonts w:ascii="Arial" w:hAnsi="Arial" w:cs="Arial"/>
                <w:sz w:val="20"/>
                <w:szCs w:val="20"/>
              </w:rPr>
              <w:t xml:space="preserve">    Training Type</w:t>
            </w:r>
          </w:p>
        </w:tc>
        <w:tc>
          <w:tcPr>
            <w:tcW w:w="2927" w:type="dxa"/>
          </w:tcPr>
          <w:p w14:paraId="548B5FAB" w14:textId="77777777" w:rsidR="00B33111" w:rsidRPr="009E402F" w:rsidRDefault="00B33111" w:rsidP="00C52F3D">
            <w:pPr>
              <w:rPr>
                <w:rFonts w:ascii="Arial" w:hAnsi="Arial" w:cs="Arial"/>
                <w:sz w:val="20"/>
                <w:szCs w:val="20"/>
              </w:rPr>
            </w:pPr>
            <w:r w:rsidRPr="009E402F">
              <w:rPr>
                <w:rFonts w:ascii="Arial" w:hAnsi="Arial" w:cs="Arial"/>
                <w:sz w:val="20"/>
                <w:szCs w:val="20"/>
              </w:rPr>
              <w:t xml:space="preserve">  Primary Focus  </w:t>
            </w:r>
          </w:p>
        </w:tc>
        <w:tc>
          <w:tcPr>
            <w:tcW w:w="2601" w:type="dxa"/>
          </w:tcPr>
          <w:p w14:paraId="01E2038F" w14:textId="77777777" w:rsidR="00B33111" w:rsidRPr="009E402F" w:rsidRDefault="00B33111" w:rsidP="00C52F3D">
            <w:pPr>
              <w:rPr>
                <w:rFonts w:ascii="Arial" w:hAnsi="Arial" w:cs="Arial"/>
                <w:sz w:val="20"/>
                <w:szCs w:val="20"/>
              </w:rPr>
            </w:pPr>
            <w:r w:rsidRPr="009E402F">
              <w:rPr>
                <w:rFonts w:ascii="Arial" w:hAnsi="Arial" w:cs="Arial"/>
                <w:sz w:val="20"/>
                <w:szCs w:val="20"/>
              </w:rPr>
              <w:t>Output</w:t>
            </w:r>
          </w:p>
        </w:tc>
      </w:tr>
      <w:tr w:rsidR="00B33111" w:rsidRPr="00FB1B73" w14:paraId="43E7738C" w14:textId="77777777" w:rsidTr="002A2225">
        <w:trPr>
          <w:trHeight w:val="1565"/>
        </w:trPr>
        <w:tc>
          <w:tcPr>
            <w:tcW w:w="1451" w:type="dxa"/>
          </w:tcPr>
          <w:p w14:paraId="19C42E68" w14:textId="77777777" w:rsidR="00B33111" w:rsidRPr="009E402F" w:rsidRDefault="00B33111" w:rsidP="00C52F3D">
            <w:pPr>
              <w:rPr>
                <w:rFonts w:ascii="Arial" w:hAnsi="Arial" w:cs="Arial"/>
                <w:sz w:val="20"/>
                <w:szCs w:val="20"/>
              </w:rPr>
            </w:pPr>
          </w:p>
          <w:p w14:paraId="16350541" w14:textId="77777777" w:rsidR="00B33111" w:rsidRPr="009E402F" w:rsidRDefault="00B33111" w:rsidP="00C52F3D">
            <w:pPr>
              <w:rPr>
                <w:rFonts w:ascii="Arial" w:hAnsi="Arial" w:cs="Arial"/>
                <w:sz w:val="20"/>
                <w:szCs w:val="20"/>
              </w:rPr>
            </w:pPr>
          </w:p>
          <w:p w14:paraId="0B174E4E"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xml:space="preserve">Social perspectives </w:t>
            </w:r>
          </w:p>
          <w:p w14:paraId="1823C8F3" w14:textId="77777777" w:rsidR="00B33111" w:rsidRPr="009E402F" w:rsidRDefault="00B33111" w:rsidP="00C52F3D">
            <w:pPr>
              <w:rPr>
                <w:rFonts w:ascii="Arial" w:hAnsi="Arial" w:cs="Arial"/>
                <w:sz w:val="20"/>
                <w:szCs w:val="20"/>
              </w:rPr>
            </w:pPr>
          </w:p>
        </w:tc>
        <w:tc>
          <w:tcPr>
            <w:tcW w:w="2235" w:type="dxa"/>
          </w:tcPr>
          <w:p w14:paraId="2FE0D81D"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-Soft Skill Training</w:t>
            </w:r>
          </w:p>
          <w:p w14:paraId="5FCF8F19"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-Empowerment Program</w:t>
            </w:r>
          </w:p>
          <w:p w14:paraId="38B1A59F"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Work-life balance program</w:t>
            </w:r>
          </w:p>
        </w:tc>
        <w:tc>
          <w:tcPr>
            <w:tcW w:w="2927" w:type="dxa"/>
          </w:tcPr>
          <w:p w14:paraId="122BA20D"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Providing social and financial support is necessary to address gender hurdles throughout training and provide equal chances for everyone involved.</w:t>
            </w:r>
          </w:p>
          <w:p w14:paraId="2EF485AB" w14:textId="77777777" w:rsidR="00B33111" w:rsidRPr="009E402F" w:rsidRDefault="00B33111" w:rsidP="00C52F3D">
            <w:pPr>
              <w:rPr>
                <w:rFonts w:ascii="Arial" w:hAnsi="Arial" w:cs="Arial"/>
                <w:sz w:val="20"/>
                <w:szCs w:val="20"/>
              </w:rPr>
            </w:pPr>
          </w:p>
        </w:tc>
        <w:tc>
          <w:tcPr>
            <w:tcW w:w="2601" w:type="dxa"/>
          </w:tcPr>
          <w:p w14:paraId="75B8CCC1"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Enhances societal acceptance results from better decision-making and confidence.</w:t>
            </w:r>
          </w:p>
          <w:p w14:paraId="4D940DEF" w14:textId="77777777" w:rsidR="00B33111" w:rsidRPr="009E402F" w:rsidRDefault="00B33111" w:rsidP="00C52F3D">
            <w:pPr>
              <w:rPr>
                <w:rFonts w:ascii="Arial" w:hAnsi="Arial" w:cs="Arial"/>
                <w:sz w:val="20"/>
                <w:szCs w:val="20"/>
              </w:rPr>
            </w:pPr>
          </w:p>
        </w:tc>
      </w:tr>
      <w:tr w:rsidR="00B33111" w:rsidRPr="00FB1B73" w14:paraId="039B3EDF" w14:textId="77777777" w:rsidTr="002A2225">
        <w:trPr>
          <w:trHeight w:val="2967"/>
        </w:trPr>
        <w:tc>
          <w:tcPr>
            <w:tcW w:w="1451" w:type="dxa"/>
          </w:tcPr>
          <w:p w14:paraId="2148A704" w14:textId="77777777" w:rsidR="00B33111" w:rsidRPr="009E402F" w:rsidRDefault="00B33111" w:rsidP="00C52F3D">
            <w:pPr>
              <w:rPr>
                <w:rFonts w:ascii="Arial" w:hAnsi="Arial" w:cs="Arial"/>
                <w:sz w:val="20"/>
                <w:szCs w:val="20"/>
              </w:rPr>
            </w:pPr>
          </w:p>
          <w:p w14:paraId="7B3C002B" w14:textId="77777777" w:rsidR="00B33111" w:rsidRPr="009E402F" w:rsidRDefault="00B33111" w:rsidP="00C52F3D">
            <w:pPr>
              <w:rPr>
                <w:rFonts w:ascii="Arial" w:hAnsi="Arial" w:cs="Arial"/>
                <w:sz w:val="20"/>
                <w:szCs w:val="20"/>
              </w:rPr>
            </w:pPr>
          </w:p>
          <w:p w14:paraId="47DF68E8"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Trainee perspective</w:t>
            </w:r>
          </w:p>
        </w:tc>
        <w:tc>
          <w:tcPr>
            <w:tcW w:w="2235" w:type="dxa"/>
          </w:tcPr>
          <w:p w14:paraId="60C86CB6"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-Career Development Training</w:t>
            </w:r>
          </w:p>
          <w:p w14:paraId="03FF798F"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Entrepreneurial Training</w:t>
            </w:r>
          </w:p>
          <w:p w14:paraId="7AE70497"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-Workplace Safety &amp; Ethics</w:t>
            </w:r>
          </w:p>
        </w:tc>
        <w:tc>
          <w:tcPr>
            <w:tcW w:w="2927" w:type="dxa"/>
          </w:tcPr>
          <w:p w14:paraId="0BA8040D"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To guarantee the security and usability of training platforms for all learners, learning modes must be flexible.</w:t>
            </w:r>
          </w:p>
          <w:p w14:paraId="47B02F7A" w14:textId="77777777" w:rsidR="00B33111" w:rsidRPr="009E402F" w:rsidRDefault="00B33111" w:rsidP="00C52F3D">
            <w:pPr>
              <w:rPr>
                <w:rFonts w:ascii="Arial" w:hAnsi="Arial" w:cs="Arial"/>
                <w:sz w:val="20"/>
                <w:szCs w:val="20"/>
              </w:rPr>
            </w:pPr>
          </w:p>
        </w:tc>
        <w:tc>
          <w:tcPr>
            <w:tcW w:w="2601" w:type="dxa"/>
          </w:tcPr>
          <w:p w14:paraId="4D1A4378"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Enhancing employment prospects and generating a steady income for gig workers benefits women in the labour market and also the workforce as a whole.</w:t>
            </w:r>
          </w:p>
        </w:tc>
      </w:tr>
      <w:tr w:rsidR="00B33111" w:rsidRPr="00FB1B73" w14:paraId="76980BD9" w14:textId="77777777" w:rsidTr="002A2225">
        <w:trPr>
          <w:trHeight w:val="1970"/>
        </w:trPr>
        <w:tc>
          <w:tcPr>
            <w:tcW w:w="1451" w:type="dxa"/>
          </w:tcPr>
          <w:p w14:paraId="75C7902E" w14:textId="77777777" w:rsidR="00B33111" w:rsidRPr="009E402F" w:rsidRDefault="00B33111" w:rsidP="00C52F3D">
            <w:pPr>
              <w:rPr>
                <w:rFonts w:ascii="Arial" w:hAnsi="Arial" w:cs="Arial"/>
                <w:sz w:val="20"/>
                <w:szCs w:val="20"/>
              </w:rPr>
            </w:pPr>
          </w:p>
          <w:p w14:paraId="03F32422" w14:textId="77777777" w:rsidR="00B33111" w:rsidRPr="009E402F" w:rsidRDefault="00B33111" w:rsidP="00C52F3D">
            <w:pPr>
              <w:rPr>
                <w:rFonts w:ascii="Arial" w:hAnsi="Arial" w:cs="Arial"/>
                <w:sz w:val="20"/>
                <w:szCs w:val="20"/>
              </w:rPr>
            </w:pPr>
          </w:p>
          <w:p w14:paraId="21BDE3BA"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xml:space="preserve">Technological perspective </w:t>
            </w:r>
          </w:p>
        </w:tc>
        <w:tc>
          <w:tcPr>
            <w:tcW w:w="2235" w:type="dxa"/>
          </w:tcPr>
          <w:p w14:paraId="0CD612F7"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-Digital Literacy Training</w:t>
            </w:r>
          </w:p>
          <w:p w14:paraId="0BA250A5"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-Platform-specific Training</w:t>
            </w:r>
          </w:p>
          <w:p w14:paraId="6CFC8548"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-Digital Marketing and E-Commerce</w:t>
            </w:r>
          </w:p>
        </w:tc>
        <w:tc>
          <w:tcPr>
            <w:tcW w:w="2927" w:type="dxa"/>
          </w:tcPr>
          <w:p w14:paraId="2E9215F7"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For workers who want to excel in online courses, digital literacy learning and training through e-learning platforms is essential.</w:t>
            </w:r>
          </w:p>
        </w:tc>
        <w:tc>
          <w:tcPr>
            <w:tcW w:w="2601" w:type="dxa"/>
          </w:tcPr>
          <w:p w14:paraId="3561737B" w14:textId="77777777" w:rsidR="00B33111" w:rsidRPr="009E402F" w:rsidRDefault="00B33111" w:rsidP="00C52F3D">
            <w:pPr>
              <w:spacing w:line="360" w:lineRule="auto"/>
              <w:rPr>
                <w:rFonts w:ascii="Arial" w:hAnsi="Arial" w:cs="Arial"/>
                <w:sz w:val="20"/>
                <w:szCs w:val="20"/>
              </w:rPr>
            </w:pPr>
            <w:r w:rsidRPr="009E402F">
              <w:rPr>
                <w:rFonts w:ascii="Arial" w:hAnsi="Arial" w:cs="Arial"/>
                <w:sz w:val="20"/>
                <w:szCs w:val="20"/>
              </w:rPr>
              <w:t xml:space="preserve">Training programs are critical to closing the digital skills gap and giving remote workers </w:t>
            </w:r>
            <w:proofErr w:type="gramStart"/>
            <w:r w:rsidRPr="009E402F">
              <w:rPr>
                <w:rFonts w:ascii="Arial" w:hAnsi="Arial" w:cs="Arial"/>
                <w:sz w:val="20"/>
                <w:szCs w:val="20"/>
              </w:rPr>
              <w:t>the tools</w:t>
            </w:r>
            <w:proofErr w:type="gramEnd"/>
            <w:r w:rsidRPr="009E402F">
              <w:rPr>
                <w:rFonts w:ascii="Arial" w:hAnsi="Arial" w:cs="Arial"/>
                <w:sz w:val="20"/>
                <w:szCs w:val="20"/>
              </w:rPr>
              <w:t xml:space="preserve"> they need to succeed.</w:t>
            </w:r>
          </w:p>
        </w:tc>
      </w:tr>
    </w:tbl>
    <w:p w14:paraId="71F8A472" w14:textId="77777777" w:rsidR="002A2225" w:rsidRDefault="002A2225" w:rsidP="00441B6F">
      <w:pPr>
        <w:pStyle w:val="AbstHead"/>
        <w:spacing w:after="0"/>
        <w:jc w:val="both"/>
        <w:rPr>
          <w:rFonts w:ascii="Arial" w:hAnsi="Arial" w:cs="Arial"/>
        </w:rPr>
      </w:pPr>
    </w:p>
    <w:p w14:paraId="1805EDF0" w14:textId="7920B908" w:rsidR="007F7B32" w:rsidRDefault="00902823" w:rsidP="00441B6F">
      <w:pPr>
        <w:pStyle w:val="AbstHead"/>
        <w:spacing w:after="0"/>
        <w:jc w:val="both"/>
        <w:rPr>
          <w:rFonts w:ascii="Arial" w:hAnsi="Arial" w:cs="Arial"/>
        </w:rPr>
      </w:pPr>
      <w:r>
        <w:rPr>
          <w:rFonts w:ascii="Arial" w:hAnsi="Arial" w:cs="Arial"/>
        </w:rPr>
        <w:t xml:space="preserve">2. </w:t>
      </w:r>
      <w:r w:rsidR="00212971">
        <w:rPr>
          <w:rFonts w:ascii="Arial" w:hAnsi="Arial" w:cs="Arial"/>
        </w:rPr>
        <w:t>RESEARCH</w:t>
      </w:r>
      <w:r w:rsidR="006B57D0">
        <w:rPr>
          <w:rFonts w:ascii="Arial" w:hAnsi="Arial" w:cs="Arial"/>
        </w:rPr>
        <w:t xml:space="preserve"> methodology</w:t>
      </w:r>
    </w:p>
    <w:p w14:paraId="3685BFC5" w14:textId="77777777" w:rsidR="00790ADA" w:rsidRPr="00FB3A86" w:rsidRDefault="00790ADA" w:rsidP="00441B6F">
      <w:pPr>
        <w:pStyle w:val="AbstHead"/>
        <w:spacing w:after="0"/>
        <w:jc w:val="both"/>
        <w:rPr>
          <w:rFonts w:ascii="Arial" w:hAnsi="Arial" w:cs="Arial"/>
        </w:rPr>
      </w:pPr>
    </w:p>
    <w:p w14:paraId="252A14A3" w14:textId="77777777" w:rsidR="00020633" w:rsidRPr="00020633" w:rsidRDefault="00020633" w:rsidP="00020633">
      <w:pPr>
        <w:spacing w:line="360" w:lineRule="auto"/>
        <w:jc w:val="both"/>
        <w:rPr>
          <w:rFonts w:ascii="Arial" w:hAnsi="Arial" w:cs="Arial"/>
        </w:rPr>
      </w:pPr>
      <w:r w:rsidRPr="00020633">
        <w:rPr>
          <w:rFonts w:ascii="Arial" w:hAnsi="Arial" w:cs="Arial"/>
        </w:rPr>
        <w:t xml:space="preserve">This study attempts to better understand what other scholars have revealed regarding vocational training for female workers. And the research reviewed quite a bit of already published data and research. SLR is a distinctive technique using when researcher evaluate the work of others people. To determine common ideas and patterns, they carefully analysis and compare different research findings. This helps researchers to better understand what already has been studied about an area of study (Tranfield et al., 2003). </w:t>
      </w:r>
    </w:p>
    <w:p w14:paraId="5A667087" w14:textId="77777777" w:rsidR="00020633" w:rsidRPr="00020633" w:rsidRDefault="00020633" w:rsidP="00020633">
      <w:pPr>
        <w:spacing w:line="360" w:lineRule="auto"/>
        <w:jc w:val="both"/>
        <w:rPr>
          <w:rFonts w:ascii="Arial" w:hAnsi="Arial" w:cs="Arial"/>
        </w:rPr>
      </w:pPr>
      <w:r w:rsidRPr="00020633">
        <w:rPr>
          <w:rFonts w:ascii="Arial" w:hAnsi="Arial" w:cs="Arial"/>
        </w:rPr>
        <w:t xml:space="preserve">                   In this study, researchers become extra careful about selecting the correct data for this research as well as throw away any data that is not useful for research purpose. We adopted such steps in order to ensure the accuracy and confidentiality of our research. Scholars finds the information that require by choosing the most relevant data.  And </w:t>
      </w:r>
      <w:proofErr w:type="gramStart"/>
      <w:r w:rsidRPr="00020633">
        <w:rPr>
          <w:rFonts w:ascii="Arial" w:hAnsi="Arial" w:cs="Arial"/>
        </w:rPr>
        <w:t>additionally</w:t>
      </w:r>
      <w:proofErr w:type="gramEnd"/>
      <w:r w:rsidRPr="00020633">
        <w:rPr>
          <w:rFonts w:ascii="Arial" w:hAnsi="Arial" w:cs="Arial"/>
        </w:rPr>
        <w:t xml:space="preserve"> carry out several vital examinations to make sure that each thing us found was reliable and accurate for the purpose to improve the findings more.</w:t>
      </w:r>
    </w:p>
    <w:p w14:paraId="26F7D78A" w14:textId="77777777" w:rsidR="00020633" w:rsidRPr="00020633" w:rsidRDefault="00020633" w:rsidP="00020633">
      <w:pPr>
        <w:spacing w:line="360" w:lineRule="auto"/>
        <w:jc w:val="both"/>
        <w:rPr>
          <w:rFonts w:ascii="Arial" w:hAnsi="Arial" w:cs="Arial"/>
        </w:rPr>
      </w:pPr>
      <w:r w:rsidRPr="00020633">
        <w:rPr>
          <w:rFonts w:ascii="Arial" w:hAnsi="Arial" w:cs="Arial"/>
        </w:rPr>
        <w:t xml:space="preserve">                                 (Table 2) Inclusion and Exclusion Criteria</w:t>
      </w:r>
    </w:p>
    <w:tbl>
      <w:tblPr>
        <w:tblStyle w:val="TableGrid"/>
        <w:tblW w:w="0" w:type="auto"/>
        <w:tblLook w:val="04A0" w:firstRow="1" w:lastRow="0" w:firstColumn="1" w:lastColumn="0" w:noHBand="0" w:noVBand="1"/>
      </w:tblPr>
      <w:tblGrid>
        <w:gridCol w:w="2155"/>
        <w:gridCol w:w="3510"/>
        <w:gridCol w:w="3351"/>
      </w:tblGrid>
      <w:tr w:rsidR="00020633" w:rsidRPr="00020633" w14:paraId="50847429" w14:textId="77777777" w:rsidTr="00C52F3D">
        <w:tc>
          <w:tcPr>
            <w:tcW w:w="2155" w:type="dxa"/>
          </w:tcPr>
          <w:p w14:paraId="0D14A393"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Criteria</w:t>
            </w:r>
          </w:p>
        </w:tc>
        <w:tc>
          <w:tcPr>
            <w:tcW w:w="3510" w:type="dxa"/>
          </w:tcPr>
          <w:p w14:paraId="6BD3FB18"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Inclusion</w:t>
            </w:r>
          </w:p>
        </w:tc>
        <w:tc>
          <w:tcPr>
            <w:tcW w:w="3351" w:type="dxa"/>
          </w:tcPr>
          <w:p w14:paraId="3E54A681"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Exclusion</w:t>
            </w:r>
          </w:p>
        </w:tc>
      </w:tr>
      <w:tr w:rsidR="00020633" w:rsidRPr="00020633" w14:paraId="078AA197" w14:textId="77777777" w:rsidTr="00C52F3D">
        <w:tc>
          <w:tcPr>
            <w:tcW w:w="2155" w:type="dxa"/>
          </w:tcPr>
          <w:p w14:paraId="046925CF"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Language</w:t>
            </w:r>
          </w:p>
        </w:tc>
        <w:tc>
          <w:tcPr>
            <w:tcW w:w="3510" w:type="dxa"/>
          </w:tcPr>
          <w:p w14:paraId="50DC32AA"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English</w:t>
            </w:r>
          </w:p>
        </w:tc>
        <w:tc>
          <w:tcPr>
            <w:tcW w:w="3351" w:type="dxa"/>
          </w:tcPr>
          <w:p w14:paraId="2A909401"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Non-English</w:t>
            </w:r>
          </w:p>
        </w:tc>
      </w:tr>
      <w:tr w:rsidR="00020633" w:rsidRPr="00020633" w14:paraId="27CD9C8C" w14:textId="77777777" w:rsidTr="00C52F3D">
        <w:tc>
          <w:tcPr>
            <w:tcW w:w="2155" w:type="dxa"/>
          </w:tcPr>
          <w:p w14:paraId="6C65CC4F"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Publication Period</w:t>
            </w:r>
          </w:p>
        </w:tc>
        <w:tc>
          <w:tcPr>
            <w:tcW w:w="3510" w:type="dxa"/>
          </w:tcPr>
          <w:p w14:paraId="185BE438" w14:textId="5D4D8713"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2015 to 202</w:t>
            </w:r>
            <w:r w:rsidR="0031511D">
              <w:rPr>
                <w:rFonts w:ascii="Arial" w:hAnsi="Arial" w:cs="Arial"/>
                <w:sz w:val="20"/>
                <w:szCs w:val="20"/>
              </w:rPr>
              <w:t>6</w:t>
            </w:r>
          </w:p>
        </w:tc>
        <w:tc>
          <w:tcPr>
            <w:tcW w:w="3351" w:type="dxa"/>
          </w:tcPr>
          <w:p w14:paraId="184EF304"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Before 2015</w:t>
            </w:r>
          </w:p>
        </w:tc>
      </w:tr>
      <w:tr w:rsidR="00020633" w:rsidRPr="00020633" w14:paraId="14AF9571" w14:textId="77777777" w:rsidTr="00C52F3D">
        <w:tc>
          <w:tcPr>
            <w:tcW w:w="2155" w:type="dxa"/>
          </w:tcPr>
          <w:p w14:paraId="15FB7443"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Populations</w:t>
            </w:r>
          </w:p>
        </w:tc>
        <w:tc>
          <w:tcPr>
            <w:tcW w:w="3510" w:type="dxa"/>
          </w:tcPr>
          <w:p w14:paraId="6AA7FA2A"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Women engaged in the gig economy</w:t>
            </w:r>
          </w:p>
        </w:tc>
        <w:tc>
          <w:tcPr>
            <w:tcW w:w="3351" w:type="dxa"/>
          </w:tcPr>
          <w:p w14:paraId="49351691"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Men and women workers not   engaged in the gig economy</w:t>
            </w:r>
          </w:p>
        </w:tc>
      </w:tr>
      <w:tr w:rsidR="00020633" w:rsidRPr="00020633" w14:paraId="1C9ED7DB" w14:textId="77777777" w:rsidTr="00C52F3D">
        <w:tc>
          <w:tcPr>
            <w:tcW w:w="2155" w:type="dxa"/>
          </w:tcPr>
          <w:p w14:paraId="2F04BE95"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Intervention</w:t>
            </w:r>
          </w:p>
        </w:tc>
        <w:tc>
          <w:tcPr>
            <w:tcW w:w="3510" w:type="dxa"/>
          </w:tcPr>
          <w:p w14:paraId="64102C40"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Vocational training or skill development programmes</w:t>
            </w:r>
          </w:p>
        </w:tc>
        <w:tc>
          <w:tcPr>
            <w:tcW w:w="3351" w:type="dxa"/>
          </w:tcPr>
          <w:p w14:paraId="5B7E7016"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Studies were not specific to vocational training </w:t>
            </w:r>
          </w:p>
        </w:tc>
      </w:tr>
    </w:tbl>
    <w:p w14:paraId="14CBBA90" w14:textId="4E821D85" w:rsidR="00020633" w:rsidRPr="00020633" w:rsidRDefault="00020633" w:rsidP="00020633">
      <w:pPr>
        <w:spacing w:line="360" w:lineRule="auto"/>
        <w:jc w:val="both"/>
        <w:rPr>
          <w:rFonts w:ascii="Arial" w:hAnsi="Arial" w:cs="Arial"/>
          <w:b/>
          <w:bCs/>
          <w:sz w:val="22"/>
          <w:szCs w:val="22"/>
        </w:rPr>
      </w:pPr>
      <w:r w:rsidRPr="00020633">
        <w:rPr>
          <w:rFonts w:ascii="Arial" w:hAnsi="Arial" w:cs="Arial"/>
          <w:b/>
          <w:bCs/>
          <w:sz w:val="22"/>
          <w:szCs w:val="22"/>
        </w:rPr>
        <w:t>2.1 Search</w:t>
      </w:r>
    </w:p>
    <w:p w14:paraId="66C0DD28" w14:textId="31908BC7" w:rsidR="00020633" w:rsidRDefault="00020633" w:rsidP="00020633">
      <w:pPr>
        <w:spacing w:line="360" w:lineRule="auto"/>
        <w:jc w:val="both"/>
        <w:rPr>
          <w:rFonts w:ascii="Arial" w:hAnsi="Arial" w:cs="Arial"/>
        </w:rPr>
      </w:pPr>
      <w:r w:rsidRPr="00020633">
        <w:rPr>
          <w:rFonts w:ascii="Arial" w:hAnsi="Arial" w:cs="Arial"/>
        </w:rPr>
        <w:t xml:space="preserve">We looked for information in important places where researchers conduct their studies, such as the google scholar database. for select the articles that are to be included in our review. We used the google scholar database as it has the largest article collection spanning over thousands of journals; after using the keywords on google scholar we find </w:t>
      </w:r>
      <w:r w:rsidR="0031511D">
        <w:rPr>
          <w:rFonts w:ascii="Arial" w:hAnsi="Arial" w:cs="Arial"/>
        </w:rPr>
        <w:t>208</w:t>
      </w:r>
      <w:r w:rsidRPr="00020633">
        <w:rPr>
          <w:rFonts w:ascii="Arial" w:hAnsi="Arial" w:cs="Arial"/>
        </w:rPr>
        <w:t xml:space="preserve"> papers for our research between 2015 to 202</w:t>
      </w:r>
      <w:r w:rsidR="0031511D">
        <w:rPr>
          <w:rFonts w:ascii="Arial" w:hAnsi="Arial" w:cs="Arial"/>
        </w:rPr>
        <w:t>6</w:t>
      </w:r>
      <w:r w:rsidRPr="00020633">
        <w:rPr>
          <w:rFonts w:ascii="Arial" w:hAnsi="Arial" w:cs="Arial"/>
        </w:rPr>
        <w:t xml:space="preserve"> and we use 41 paper which is relevant of this study. The articles extracted from the google scholar were based on various disciplines (e.g. business, accounting and management, psychology). We used specific terms and tools to get the information we needed, and you can see those terms in Table 3.</w:t>
      </w:r>
    </w:p>
    <w:p w14:paraId="1D320C8B" w14:textId="7D720B31" w:rsidR="00340551" w:rsidRPr="00020633" w:rsidRDefault="00340551" w:rsidP="00020633">
      <w:pPr>
        <w:spacing w:line="360" w:lineRule="auto"/>
        <w:jc w:val="both"/>
        <w:rPr>
          <w:rFonts w:ascii="Arial" w:hAnsi="Arial" w:cs="Arial"/>
        </w:rPr>
      </w:pPr>
      <w:r>
        <w:rPr>
          <w:rFonts w:ascii="Arial" w:hAnsi="Arial" w:cs="Arial"/>
        </w:rPr>
        <w:t>Table 3-</w:t>
      </w:r>
      <w:r w:rsidR="00760759">
        <w:rPr>
          <w:rFonts w:ascii="Arial" w:hAnsi="Arial" w:cs="Arial"/>
        </w:rPr>
        <w:t xml:space="preserve"> keywords of </w:t>
      </w:r>
      <w:r w:rsidR="00760759" w:rsidRPr="00020633">
        <w:rPr>
          <w:rFonts w:ascii="Arial" w:hAnsi="Arial" w:cs="Arial"/>
        </w:rPr>
        <w:t>Boolean Operators</w:t>
      </w:r>
    </w:p>
    <w:tbl>
      <w:tblPr>
        <w:tblStyle w:val="TableGrid"/>
        <w:tblW w:w="0" w:type="auto"/>
        <w:tblLook w:val="04A0" w:firstRow="1" w:lastRow="0" w:firstColumn="1" w:lastColumn="0" w:noHBand="0" w:noVBand="1"/>
      </w:tblPr>
      <w:tblGrid>
        <w:gridCol w:w="4219"/>
        <w:gridCol w:w="4205"/>
      </w:tblGrid>
      <w:tr w:rsidR="00020633" w:rsidRPr="00020633" w14:paraId="0FFF65AC" w14:textId="77777777" w:rsidTr="0031511D">
        <w:tc>
          <w:tcPr>
            <w:tcW w:w="4219" w:type="dxa"/>
          </w:tcPr>
          <w:p w14:paraId="0FF1463D"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Keywords</w:t>
            </w:r>
          </w:p>
        </w:tc>
        <w:tc>
          <w:tcPr>
            <w:tcW w:w="4205" w:type="dxa"/>
          </w:tcPr>
          <w:p w14:paraId="36204B8E"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Boolean Operators</w:t>
            </w:r>
          </w:p>
        </w:tc>
      </w:tr>
      <w:tr w:rsidR="00020633" w:rsidRPr="00020633" w14:paraId="263433ED" w14:textId="77777777" w:rsidTr="0031511D">
        <w:tc>
          <w:tcPr>
            <w:tcW w:w="4219" w:type="dxa"/>
          </w:tcPr>
          <w:p w14:paraId="53EC3E37"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“Vocational Training”</w:t>
            </w:r>
          </w:p>
        </w:tc>
        <w:tc>
          <w:tcPr>
            <w:tcW w:w="4205" w:type="dxa"/>
          </w:tcPr>
          <w:p w14:paraId="291BAFCE"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AND </w:t>
            </w:r>
          </w:p>
        </w:tc>
      </w:tr>
      <w:tr w:rsidR="00020633" w:rsidRPr="00020633" w14:paraId="56698DB3" w14:textId="77777777" w:rsidTr="0031511D">
        <w:tc>
          <w:tcPr>
            <w:tcW w:w="4219" w:type="dxa"/>
          </w:tcPr>
          <w:p w14:paraId="3BB8C684"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“Gig Economy”</w:t>
            </w:r>
          </w:p>
        </w:tc>
        <w:tc>
          <w:tcPr>
            <w:tcW w:w="4205" w:type="dxa"/>
          </w:tcPr>
          <w:p w14:paraId="3AA4915E" w14:textId="57CC137E"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w:t>
            </w:r>
            <w:r w:rsidR="0031511D">
              <w:rPr>
                <w:rFonts w:ascii="Arial" w:hAnsi="Arial" w:cs="Arial"/>
                <w:sz w:val="20"/>
                <w:szCs w:val="20"/>
              </w:rPr>
              <w:t>AND</w:t>
            </w:r>
          </w:p>
        </w:tc>
      </w:tr>
      <w:tr w:rsidR="00020633" w:rsidRPr="00020633" w14:paraId="289A0B2E" w14:textId="77777777" w:rsidTr="0031511D">
        <w:tc>
          <w:tcPr>
            <w:tcW w:w="4219" w:type="dxa"/>
          </w:tcPr>
          <w:p w14:paraId="2A6E01F7" w14:textId="5AE5E244"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“Women Workers”</w:t>
            </w:r>
          </w:p>
        </w:tc>
        <w:tc>
          <w:tcPr>
            <w:tcW w:w="4205" w:type="dxa"/>
          </w:tcPr>
          <w:p w14:paraId="594E36D2" w14:textId="77777777" w:rsidR="00020633" w:rsidRPr="00020633" w:rsidRDefault="00020633" w:rsidP="00C52F3D">
            <w:pPr>
              <w:spacing w:line="360" w:lineRule="auto"/>
              <w:jc w:val="both"/>
              <w:rPr>
                <w:rFonts w:ascii="Arial" w:hAnsi="Arial" w:cs="Arial"/>
                <w:sz w:val="20"/>
                <w:szCs w:val="20"/>
              </w:rPr>
            </w:pPr>
            <w:r w:rsidRPr="00020633">
              <w:rPr>
                <w:rFonts w:ascii="Arial" w:hAnsi="Arial" w:cs="Arial"/>
                <w:sz w:val="20"/>
                <w:szCs w:val="20"/>
              </w:rPr>
              <w:t xml:space="preserve">                    AND</w:t>
            </w:r>
          </w:p>
        </w:tc>
      </w:tr>
    </w:tbl>
    <w:p w14:paraId="79557B58" w14:textId="4AF3F6D4" w:rsidR="00790ADA" w:rsidRPr="00FB3A86" w:rsidRDefault="00E66E10" w:rsidP="00441B6F">
      <w:pPr>
        <w:pStyle w:val="Body"/>
        <w:spacing w:after="0"/>
        <w:rPr>
          <w:rFonts w:ascii="Arial" w:hAnsi="Arial" w:cs="Arial"/>
        </w:rPr>
      </w:pPr>
      <w:r>
        <w:rPr>
          <w:rFonts w:ascii="Arial" w:eastAsia="Calibri" w:hAnsi="Arial" w:cs="Arial"/>
          <w:color w:val="FF0000"/>
          <w:szCs w:val="22"/>
        </w:rPr>
        <w:t>.</w:t>
      </w:r>
    </w:p>
    <w:p w14:paraId="5F69E6AA" w14:textId="709DACD3" w:rsidR="00902823" w:rsidRDefault="00000F8F" w:rsidP="00D3423C">
      <w:pPr>
        <w:pStyle w:val="Head1"/>
        <w:numPr>
          <w:ilvl w:val="0"/>
          <w:numId w:val="31"/>
        </w:numPr>
        <w:spacing w:after="0"/>
        <w:jc w:val="both"/>
        <w:rPr>
          <w:rFonts w:ascii="Arial" w:hAnsi="Arial" w:cs="Arial"/>
        </w:rPr>
      </w:pPr>
      <w:r>
        <w:rPr>
          <w:rFonts w:ascii="Arial" w:hAnsi="Arial" w:cs="Arial"/>
        </w:rPr>
        <w:lastRenderedPageBreak/>
        <w:t>results and discussion</w:t>
      </w:r>
    </w:p>
    <w:p w14:paraId="50B9C431" w14:textId="77777777" w:rsidR="00D3423C" w:rsidRPr="00D3423C" w:rsidRDefault="00D3423C" w:rsidP="00D3423C">
      <w:pPr>
        <w:spacing w:line="360" w:lineRule="auto"/>
        <w:ind w:left="360"/>
        <w:jc w:val="both"/>
        <w:rPr>
          <w:rFonts w:ascii="Arial" w:hAnsi="Arial" w:cs="Arial"/>
        </w:rPr>
      </w:pPr>
      <w:r w:rsidRPr="00D3423C">
        <w:rPr>
          <w:rFonts w:ascii="Arial" w:hAnsi="Arial" w:cs="Arial"/>
        </w:rPr>
        <w:t>Vocational training programs help women who work in jobs that are not regular, such as online work or food delivery. These programs teach women important skills so they can start their businesses and earn money independently. Furthermore, they allow better for women participation in their professional lives and become less dependent and supporting them for face the particular problems that occurs at workplace.</w:t>
      </w:r>
      <w:r w:rsidRPr="00D3423C">
        <w:rPr>
          <w:rFonts w:ascii="Arial" w:hAnsi="Arial" w:cs="Arial"/>
          <w:b/>
          <w:bCs/>
        </w:rPr>
        <w:t xml:space="preserve"> </w:t>
      </w:r>
      <w:r w:rsidRPr="00D3423C">
        <w:rPr>
          <w:rFonts w:ascii="Arial" w:hAnsi="Arial" w:cs="Arial"/>
        </w:rPr>
        <w:t>Also,</w:t>
      </w:r>
      <w:r w:rsidRPr="00D3423C">
        <w:rPr>
          <w:rFonts w:ascii="Arial" w:hAnsi="Arial" w:cs="Arial"/>
          <w:b/>
          <w:bCs/>
        </w:rPr>
        <w:t xml:space="preserve"> </w:t>
      </w:r>
      <w:r w:rsidRPr="00D3423C">
        <w:rPr>
          <w:rFonts w:ascii="Arial" w:hAnsi="Arial" w:cs="Arial"/>
        </w:rPr>
        <w:t>institute providing vocational training to help female gig workers have various skilled-based and cover both digital and non-digital working environment. according to</w:t>
      </w:r>
      <w:r w:rsidRPr="00D3423C">
        <w:rPr>
          <w:rFonts w:ascii="Arial" w:hAnsi="Arial" w:cs="Arial"/>
          <w:lang w:eastAsia="en-IN"/>
        </w:rPr>
        <w:t xml:space="preserve"> </w:t>
      </w:r>
      <w:r w:rsidRPr="00D3423C">
        <w:rPr>
          <w:rFonts w:ascii="Arial" w:hAnsi="Arial" w:cs="Arial"/>
        </w:rPr>
        <w:t>Mehta et al. (2021) digital knowledge and technical skills are basic skills that allowing online platform, mobiles and application for gig work like e-commerce, delivery work, ride sharing. Moreover, in platform-oriented jobs, employment creation and networking skills also helping females in facing uncertainty, adapting to work evaluation system and improving happiness at work (Idowu &amp; Elbanna, 2020). Overall, most effective way to enhance women’s employability and stability in a gig economy by providing holistic vocational training that includes soft skills and digital skills.</w:t>
      </w:r>
    </w:p>
    <w:p w14:paraId="43EEAAF9" w14:textId="77777777" w:rsidR="001F5E84" w:rsidRPr="001F5E84" w:rsidRDefault="001F5E84" w:rsidP="001F5E84">
      <w:pPr>
        <w:spacing w:line="360" w:lineRule="auto"/>
        <w:rPr>
          <w:rFonts w:ascii="Arial" w:hAnsi="Arial" w:cs="Arial"/>
          <w:b/>
          <w:bCs/>
        </w:rPr>
      </w:pPr>
      <w:r w:rsidRPr="001F5E84">
        <w:rPr>
          <w:rFonts w:ascii="Arial" w:hAnsi="Arial" w:cs="Arial"/>
          <w:b/>
          <w:bCs/>
        </w:rPr>
        <w:t>RQ 1. What types of vocational training programs can help women workers in the gig economy?</w:t>
      </w:r>
    </w:p>
    <w:p w14:paraId="4DD4D865" w14:textId="77777777" w:rsidR="001F5E84" w:rsidRPr="002B5D1C" w:rsidRDefault="001F5E84" w:rsidP="001F5E84">
      <w:pPr>
        <w:spacing w:line="360" w:lineRule="auto"/>
        <w:jc w:val="both"/>
        <w:rPr>
          <w:rFonts w:ascii="Arial" w:hAnsi="Arial" w:cs="Arial"/>
        </w:rPr>
      </w:pPr>
      <w:r w:rsidRPr="002B5D1C">
        <w:rPr>
          <w:rFonts w:ascii="Arial" w:hAnsi="Arial" w:cs="Arial"/>
        </w:rPr>
        <w:t>Table. 4 types of vocational training programs can help women workers</w:t>
      </w:r>
    </w:p>
    <w:tbl>
      <w:tblPr>
        <w:tblStyle w:val="TableGrid"/>
        <w:tblW w:w="9985" w:type="dxa"/>
        <w:tblLook w:val="04A0" w:firstRow="1" w:lastRow="0" w:firstColumn="1" w:lastColumn="0" w:noHBand="0" w:noVBand="1"/>
      </w:tblPr>
      <w:tblGrid>
        <w:gridCol w:w="2150"/>
        <w:gridCol w:w="1576"/>
        <w:gridCol w:w="4653"/>
        <w:gridCol w:w="1606"/>
      </w:tblGrid>
      <w:tr w:rsidR="001F5E84" w:rsidRPr="001F2B27" w14:paraId="556E1411" w14:textId="77777777" w:rsidTr="00001F54">
        <w:tc>
          <w:tcPr>
            <w:tcW w:w="2150" w:type="dxa"/>
          </w:tcPr>
          <w:p w14:paraId="797E708E"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Authors and years</w:t>
            </w:r>
          </w:p>
        </w:tc>
        <w:tc>
          <w:tcPr>
            <w:tcW w:w="1576" w:type="dxa"/>
          </w:tcPr>
          <w:p w14:paraId="02B0FDF0" w14:textId="77777777" w:rsidR="001F5E84" w:rsidRPr="001F5E84" w:rsidRDefault="001F5E84" w:rsidP="00C52F3D">
            <w:pPr>
              <w:spacing w:line="360" w:lineRule="auto"/>
              <w:jc w:val="center"/>
              <w:rPr>
                <w:rFonts w:ascii="Arial" w:hAnsi="Arial" w:cs="Arial"/>
                <w:sz w:val="20"/>
                <w:szCs w:val="20"/>
              </w:rPr>
            </w:pPr>
            <w:r w:rsidRPr="001F5E84">
              <w:rPr>
                <w:rFonts w:ascii="Arial" w:hAnsi="Arial" w:cs="Arial"/>
                <w:sz w:val="20"/>
                <w:szCs w:val="20"/>
              </w:rPr>
              <w:t>Methods      used</w:t>
            </w:r>
          </w:p>
        </w:tc>
        <w:tc>
          <w:tcPr>
            <w:tcW w:w="4653" w:type="dxa"/>
          </w:tcPr>
          <w:p w14:paraId="5B0A8786" w14:textId="77777777" w:rsidR="001F5E84" w:rsidRPr="001F5E84" w:rsidRDefault="001F5E84" w:rsidP="00C52F3D">
            <w:pPr>
              <w:spacing w:line="360" w:lineRule="auto"/>
              <w:jc w:val="center"/>
              <w:rPr>
                <w:rFonts w:ascii="Arial" w:hAnsi="Arial" w:cs="Arial"/>
                <w:sz w:val="20"/>
                <w:szCs w:val="20"/>
              </w:rPr>
            </w:pPr>
            <w:r w:rsidRPr="001F5E84">
              <w:rPr>
                <w:rFonts w:ascii="Arial" w:hAnsi="Arial" w:cs="Arial"/>
                <w:sz w:val="20"/>
                <w:szCs w:val="20"/>
              </w:rPr>
              <w:t>Findings</w:t>
            </w:r>
          </w:p>
        </w:tc>
        <w:tc>
          <w:tcPr>
            <w:tcW w:w="1606" w:type="dxa"/>
          </w:tcPr>
          <w:p w14:paraId="3DFE0762" w14:textId="77777777" w:rsidR="001F5E84" w:rsidRPr="001F5E84" w:rsidRDefault="001F5E84" w:rsidP="00C52F3D">
            <w:pPr>
              <w:spacing w:line="360" w:lineRule="auto"/>
              <w:jc w:val="center"/>
              <w:rPr>
                <w:rFonts w:ascii="Arial" w:hAnsi="Arial" w:cs="Arial"/>
                <w:sz w:val="20"/>
                <w:szCs w:val="20"/>
              </w:rPr>
            </w:pPr>
            <w:r w:rsidRPr="001F5E84">
              <w:rPr>
                <w:rFonts w:ascii="Arial" w:hAnsi="Arial" w:cs="Arial"/>
                <w:sz w:val="20"/>
                <w:szCs w:val="20"/>
              </w:rPr>
              <w:t>Specific training/Skills</w:t>
            </w:r>
          </w:p>
        </w:tc>
      </w:tr>
      <w:tr w:rsidR="001F5E84" w14:paraId="77196EF4" w14:textId="77777777" w:rsidTr="00001F54">
        <w:tc>
          <w:tcPr>
            <w:tcW w:w="2150" w:type="dxa"/>
          </w:tcPr>
          <w:p w14:paraId="7B04A55E"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Dhar and Thuppilikkat (2022)</w:t>
            </w:r>
          </w:p>
        </w:tc>
        <w:tc>
          <w:tcPr>
            <w:tcW w:w="1576" w:type="dxa"/>
          </w:tcPr>
          <w:p w14:paraId="7C48F524"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 xml:space="preserve">Qualitative          </w:t>
            </w:r>
            <w:proofErr w:type="gramStart"/>
            <w:r w:rsidRPr="001F5E84">
              <w:rPr>
                <w:rFonts w:ascii="Arial" w:hAnsi="Arial" w:cs="Arial"/>
                <w:sz w:val="20"/>
                <w:szCs w:val="20"/>
              </w:rPr>
              <w:t xml:space="preserve">   (</w:t>
            </w:r>
            <w:proofErr w:type="gramEnd"/>
            <w:r w:rsidRPr="001F5E84">
              <w:rPr>
                <w:rFonts w:ascii="Arial" w:hAnsi="Arial" w:cs="Arial"/>
                <w:sz w:val="20"/>
                <w:szCs w:val="20"/>
              </w:rPr>
              <w:t>interview)</w:t>
            </w:r>
          </w:p>
        </w:tc>
        <w:tc>
          <w:tcPr>
            <w:tcW w:w="4653" w:type="dxa"/>
          </w:tcPr>
          <w:p w14:paraId="15F158CC"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Female workers stop their job and want salary during covid. For the purpose of to help each other and working together, they also used tools like laptop and phones.</w:t>
            </w:r>
          </w:p>
        </w:tc>
        <w:tc>
          <w:tcPr>
            <w:tcW w:w="1606" w:type="dxa"/>
          </w:tcPr>
          <w:p w14:paraId="66E8412E"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Digital literacy skill</w:t>
            </w:r>
          </w:p>
        </w:tc>
      </w:tr>
      <w:tr w:rsidR="001F5E84" w14:paraId="08A94384" w14:textId="77777777" w:rsidTr="00001F54">
        <w:tc>
          <w:tcPr>
            <w:tcW w:w="2150" w:type="dxa"/>
          </w:tcPr>
          <w:p w14:paraId="25C28067"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Chen et al. (2023)</w:t>
            </w:r>
          </w:p>
        </w:tc>
        <w:tc>
          <w:tcPr>
            <w:tcW w:w="1576" w:type="dxa"/>
          </w:tcPr>
          <w:p w14:paraId="31C4A957"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Qualitative</w:t>
            </w:r>
          </w:p>
        </w:tc>
        <w:tc>
          <w:tcPr>
            <w:tcW w:w="4653" w:type="dxa"/>
          </w:tcPr>
          <w:p w14:paraId="60A131BD"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Gig workers, like people that delivery work, rideshare applications might be less changing their jobs, when company established rules how they asses their employee’s productivity. Helps in their joy it manages by making clear how their work evaluates and to improve their work and makes better their own when things chaoite and unclear.</w:t>
            </w:r>
          </w:p>
        </w:tc>
        <w:tc>
          <w:tcPr>
            <w:tcW w:w="1606" w:type="dxa"/>
          </w:tcPr>
          <w:p w14:paraId="22FE1646"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Job crafting skills</w:t>
            </w:r>
          </w:p>
        </w:tc>
      </w:tr>
      <w:tr w:rsidR="001F5E84" w14:paraId="2FF8A10F" w14:textId="77777777" w:rsidTr="00001F54">
        <w:tc>
          <w:tcPr>
            <w:tcW w:w="2150" w:type="dxa"/>
          </w:tcPr>
          <w:p w14:paraId="608FC863"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Behl et al. (2022)</w:t>
            </w:r>
          </w:p>
        </w:tc>
        <w:tc>
          <w:tcPr>
            <w:tcW w:w="1576" w:type="dxa"/>
          </w:tcPr>
          <w:p w14:paraId="070768F7"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 xml:space="preserve">Mix method </w:t>
            </w:r>
          </w:p>
        </w:tc>
        <w:tc>
          <w:tcPr>
            <w:tcW w:w="4653" w:type="dxa"/>
          </w:tcPr>
          <w:p w14:paraId="42528DE4" w14:textId="2690DAF5"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Gig workers who deliver food face many challenges because several individuals are fight for same job. Which ask workers to put in </w:t>
            </w:r>
            <w:proofErr w:type="gramStart"/>
            <w:r w:rsidRPr="001F5E84">
              <w:rPr>
                <w:rFonts w:ascii="Arial" w:hAnsi="Arial" w:cs="Arial"/>
                <w:sz w:val="20"/>
                <w:szCs w:val="20"/>
              </w:rPr>
              <w:t>a</w:t>
            </w:r>
            <w:proofErr w:type="gramEnd"/>
            <w:r w:rsidRPr="001F5E84">
              <w:rPr>
                <w:rFonts w:ascii="Arial" w:hAnsi="Arial" w:cs="Arial"/>
                <w:sz w:val="20"/>
                <w:szCs w:val="20"/>
              </w:rPr>
              <w:t xml:space="preserve"> overtime for them to check in and </w:t>
            </w:r>
            <w:r w:rsidR="00B071B3" w:rsidRPr="001F5E84">
              <w:rPr>
                <w:rFonts w:ascii="Arial" w:hAnsi="Arial" w:cs="Arial"/>
                <w:sz w:val="20"/>
                <w:szCs w:val="20"/>
              </w:rPr>
              <w:t>sometimes</w:t>
            </w:r>
            <w:r w:rsidRPr="001F5E84">
              <w:rPr>
                <w:rFonts w:ascii="Arial" w:hAnsi="Arial" w:cs="Arial"/>
                <w:sz w:val="20"/>
                <w:szCs w:val="20"/>
              </w:rPr>
              <w:t xml:space="preserve"> work at late night. They find it’s hard to work as a gig worker because of such problems.</w:t>
            </w:r>
          </w:p>
        </w:tc>
        <w:tc>
          <w:tcPr>
            <w:tcW w:w="1606" w:type="dxa"/>
          </w:tcPr>
          <w:p w14:paraId="741A4C93"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Technological proficiency</w:t>
            </w:r>
          </w:p>
        </w:tc>
      </w:tr>
      <w:tr w:rsidR="001F5E84" w14:paraId="56174B0D" w14:textId="77777777" w:rsidTr="00001F54">
        <w:tc>
          <w:tcPr>
            <w:tcW w:w="2150" w:type="dxa"/>
          </w:tcPr>
          <w:p w14:paraId="70478773" w14:textId="77777777" w:rsidR="001F5E84" w:rsidRPr="001F5E84" w:rsidRDefault="001F5E84" w:rsidP="00C52F3D">
            <w:pPr>
              <w:spacing w:line="360" w:lineRule="auto"/>
              <w:rPr>
                <w:rFonts w:ascii="Arial" w:hAnsi="Arial" w:cs="Arial"/>
                <w:b/>
                <w:bCs/>
                <w:sz w:val="20"/>
                <w:szCs w:val="20"/>
              </w:rPr>
            </w:pPr>
            <w:r w:rsidRPr="001F5E84">
              <w:rPr>
                <w:rFonts w:ascii="Arial" w:hAnsi="Arial" w:cs="Arial"/>
                <w:sz w:val="20"/>
                <w:szCs w:val="20"/>
              </w:rPr>
              <w:t>(Nugraha et al., 2020)</w:t>
            </w:r>
          </w:p>
        </w:tc>
        <w:tc>
          <w:tcPr>
            <w:tcW w:w="1576" w:type="dxa"/>
          </w:tcPr>
          <w:p w14:paraId="0324402A"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Literature review</w:t>
            </w:r>
          </w:p>
        </w:tc>
        <w:tc>
          <w:tcPr>
            <w:tcW w:w="4653" w:type="dxa"/>
          </w:tcPr>
          <w:p w14:paraId="20BE48A0"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This study investigates the skills that are most important for getting jobs. The most essential qualities like social skills, digital knowledge and soft skill. Author develops a way that helps vocational training students for enhancing their skills so they can find decent jobs. </w:t>
            </w:r>
          </w:p>
        </w:tc>
        <w:tc>
          <w:tcPr>
            <w:tcW w:w="1606" w:type="dxa"/>
          </w:tcPr>
          <w:p w14:paraId="3EF4F2E7"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Social Skills, Communication Skills, Problem-Solving Skills</w:t>
            </w:r>
          </w:p>
        </w:tc>
      </w:tr>
      <w:tr w:rsidR="001F5E84" w14:paraId="3F9EBCF4" w14:textId="77777777" w:rsidTr="00001F54">
        <w:tc>
          <w:tcPr>
            <w:tcW w:w="2150" w:type="dxa"/>
          </w:tcPr>
          <w:p w14:paraId="56A72855"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lastRenderedPageBreak/>
              <w:t>(Daud, 2013)</w:t>
            </w:r>
          </w:p>
        </w:tc>
        <w:tc>
          <w:tcPr>
            <w:tcW w:w="1576" w:type="dxa"/>
          </w:tcPr>
          <w:p w14:paraId="65C33352"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Literature review</w:t>
            </w:r>
          </w:p>
        </w:tc>
        <w:tc>
          <w:tcPr>
            <w:tcW w:w="4653" w:type="dxa"/>
          </w:tcPr>
          <w:p w14:paraId="0C94C6F4"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This study reveals a personal level of ability in crucial skills. Thus, we have to make sure that our findings are reliable and measure the required data. Recent advancement and changes in the society at large could be an effect on how we build such evaluations.</w:t>
            </w:r>
          </w:p>
        </w:tc>
        <w:tc>
          <w:tcPr>
            <w:tcW w:w="1606" w:type="dxa"/>
          </w:tcPr>
          <w:p w14:paraId="42A14346"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Technical Skills: Practical Skills in Engineering and Vocational Training</w:t>
            </w:r>
          </w:p>
        </w:tc>
      </w:tr>
      <w:tr w:rsidR="001F5E84" w14:paraId="316F309F" w14:textId="77777777" w:rsidTr="00001F54">
        <w:tc>
          <w:tcPr>
            <w:tcW w:w="2150" w:type="dxa"/>
          </w:tcPr>
          <w:p w14:paraId="47C3C564" w14:textId="77777777" w:rsidR="001F5E84" w:rsidRPr="001F5E84" w:rsidRDefault="001F5E84" w:rsidP="00C52F3D">
            <w:pPr>
              <w:spacing w:line="360" w:lineRule="auto"/>
              <w:rPr>
                <w:rFonts w:ascii="Arial" w:hAnsi="Arial" w:cs="Arial"/>
                <w:b/>
                <w:bCs/>
                <w:sz w:val="20"/>
                <w:szCs w:val="20"/>
              </w:rPr>
            </w:pPr>
            <w:r w:rsidRPr="001F5E84">
              <w:rPr>
                <w:rFonts w:ascii="Arial" w:hAnsi="Arial" w:cs="Arial"/>
                <w:sz w:val="20"/>
                <w:szCs w:val="20"/>
              </w:rPr>
              <w:t>(Morell, 2022)</w:t>
            </w:r>
          </w:p>
        </w:tc>
        <w:tc>
          <w:tcPr>
            <w:tcW w:w="1576" w:type="dxa"/>
          </w:tcPr>
          <w:p w14:paraId="3C78649F"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Analysis of Gender Hierarchy in Platform Business Ecosystem</w:t>
            </w:r>
          </w:p>
        </w:tc>
        <w:tc>
          <w:tcPr>
            <w:tcW w:w="4653" w:type="dxa"/>
          </w:tcPr>
          <w:p w14:paraId="71B8F2B0" w14:textId="2A2E161E"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Being good with technology is a must for women who want to have jobs they can do themselves, such as driving a car for a ride service or delivering food. People may secure more jobs if their skill </w:t>
            </w:r>
            <w:r w:rsidR="00B071B3" w:rsidRPr="001F5E84">
              <w:rPr>
                <w:rFonts w:ascii="Arial" w:hAnsi="Arial" w:cs="Arial"/>
                <w:sz w:val="20"/>
                <w:szCs w:val="20"/>
              </w:rPr>
              <w:t>is</w:t>
            </w:r>
            <w:r w:rsidRPr="001F5E84">
              <w:rPr>
                <w:rFonts w:ascii="Arial" w:hAnsi="Arial" w:cs="Arial"/>
                <w:sz w:val="20"/>
                <w:szCs w:val="20"/>
              </w:rPr>
              <w:t xml:space="preserve"> efficient with application and technology. However, there are several situations in which biased rules and digital issues that make difficult for women get that kind of jobs. Because of this, we need special plans to correct these injustices and give women a better chance to succeed.</w:t>
            </w:r>
          </w:p>
        </w:tc>
        <w:tc>
          <w:tcPr>
            <w:tcW w:w="1606" w:type="dxa"/>
          </w:tcPr>
          <w:p w14:paraId="5F433C5A" w14:textId="77777777" w:rsidR="001F5E84" w:rsidRPr="001F5E84" w:rsidRDefault="001F5E84" w:rsidP="00C52F3D">
            <w:pPr>
              <w:spacing w:line="360" w:lineRule="auto"/>
              <w:rPr>
                <w:rFonts w:ascii="Arial" w:hAnsi="Arial" w:cs="Arial"/>
                <w:b/>
                <w:bCs/>
                <w:sz w:val="20"/>
                <w:szCs w:val="20"/>
              </w:rPr>
            </w:pPr>
            <w:r w:rsidRPr="001F5E84">
              <w:rPr>
                <w:rFonts w:ascii="Arial" w:hAnsi="Arial" w:cs="Arial"/>
                <w:sz w:val="20"/>
                <w:szCs w:val="20"/>
              </w:rPr>
              <w:t>Digital literacy skill</w:t>
            </w:r>
          </w:p>
        </w:tc>
      </w:tr>
      <w:tr w:rsidR="001F5E84" w14:paraId="2BD2AC53" w14:textId="77777777" w:rsidTr="00001F54">
        <w:trPr>
          <w:trHeight w:val="3428"/>
        </w:trPr>
        <w:tc>
          <w:tcPr>
            <w:tcW w:w="2150" w:type="dxa"/>
          </w:tcPr>
          <w:p w14:paraId="11A91B22" w14:textId="77777777" w:rsidR="001F5E84" w:rsidRPr="001F5E84" w:rsidRDefault="001F5E84" w:rsidP="00C52F3D">
            <w:pPr>
              <w:spacing w:line="360" w:lineRule="auto"/>
              <w:rPr>
                <w:rFonts w:ascii="Arial" w:hAnsi="Arial" w:cs="Arial"/>
                <w:b/>
                <w:bCs/>
                <w:sz w:val="20"/>
                <w:szCs w:val="20"/>
              </w:rPr>
            </w:pPr>
            <w:r w:rsidRPr="001F5E84">
              <w:rPr>
                <w:rFonts w:ascii="Arial" w:hAnsi="Arial" w:cs="Arial"/>
                <w:sz w:val="20"/>
                <w:szCs w:val="20"/>
              </w:rPr>
              <w:t>(Anwar et al., 2022)</w:t>
            </w:r>
          </w:p>
        </w:tc>
        <w:tc>
          <w:tcPr>
            <w:tcW w:w="1576" w:type="dxa"/>
          </w:tcPr>
          <w:p w14:paraId="1F8292E3"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Semi-structured interviews with women beauty workers</w:t>
            </w:r>
          </w:p>
        </w:tc>
        <w:tc>
          <w:tcPr>
            <w:tcW w:w="4653" w:type="dxa"/>
          </w:tcPr>
          <w:p w14:paraId="6F49D665"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The paper reported that some job platforms in India had promised to help female beauty workers earn stable incomes and receive benefits during the pandemic. But these platforms are not as helpful as they promised. Instead of making things easier, they make it harder for these workers and create much uncertainty in their jobs.</w:t>
            </w:r>
          </w:p>
        </w:tc>
        <w:tc>
          <w:tcPr>
            <w:tcW w:w="1606" w:type="dxa"/>
          </w:tcPr>
          <w:p w14:paraId="7EB2C8EA"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Beautician skill</w:t>
            </w:r>
          </w:p>
        </w:tc>
      </w:tr>
      <w:tr w:rsidR="001F5E84" w14:paraId="2A17D755" w14:textId="77777777" w:rsidTr="00001F54">
        <w:tc>
          <w:tcPr>
            <w:tcW w:w="2150" w:type="dxa"/>
          </w:tcPr>
          <w:p w14:paraId="4C29B49C"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(Vogt et al., 2023)</w:t>
            </w:r>
          </w:p>
        </w:tc>
        <w:tc>
          <w:tcPr>
            <w:tcW w:w="1576" w:type="dxa"/>
          </w:tcPr>
          <w:p w14:paraId="770290F2"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N/A.</w:t>
            </w:r>
          </w:p>
        </w:tc>
        <w:tc>
          <w:tcPr>
            <w:tcW w:w="4653" w:type="dxa"/>
          </w:tcPr>
          <w:p w14:paraId="387F90AC"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Monroe Matthews College's Aspect Systems Technology program now includes a 40-hour Diamond Turning Workshop offering highly sought-after diamond turning parts throughout the United States. This initiative has inspired students to gain confidence in optics and photonics-enabled restoration.</w:t>
            </w:r>
          </w:p>
        </w:tc>
        <w:tc>
          <w:tcPr>
            <w:tcW w:w="1606" w:type="dxa"/>
          </w:tcPr>
          <w:p w14:paraId="10DDDA99"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40-Hour Diamond Turning Workshop for Technicians</w:t>
            </w:r>
          </w:p>
        </w:tc>
      </w:tr>
      <w:tr w:rsidR="001F5E84" w14:paraId="12ED1758" w14:textId="77777777" w:rsidTr="00001F54">
        <w:tc>
          <w:tcPr>
            <w:tcW w:w="2150" w:type="dxa"/>
          </w:tcPr>
          <w:p w14:paraId="6FAC90BF"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t>(Nguyen-Phuoc et al., 2023)</w:t>
            </w:r>
          </w:p>
        </w:tc>
        <w:tc>
          <w:tcPr>
            <w:tcW w:w="1576" w:type="dxa"/>
          </w:tcPr>
          <w:p w14:paraId="4A39EA6B"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Quantitative </w:t>
            </w:r>
          </w:p>
        </w:tc>
        <w:tc>
          <w:tcPr>
            <w:tcW w:w="4653" w:type="dxa"/>
          </w:tcPr>
          <w:p w14:paraId="2AE2EE9A"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 xml:space="preserve">This paper suggests a new way to understand why food delivery motorcyclists ride their bikes dangerously. It </w:t>
            </w:r>
            <w:proofErr w:type="gramStart"/>
            <w:r w:rsidRPr="001F5E84">
              <w:rPr>
                <w:rFonts w:ascii="Arial" w:hAnsi="Arial" w:cs="Arial"/>
                <w:sz w:val="20"/>
                <w:szCs w:val="20"/>
              </w:rPr>
              <w:t>takes into account</w:t>
            </w:r>
            <w:proofErr w:type="gramEnd"/>
            <w:r w:rsidRPr="001F5E84">
              <w:rPr>
                <w:rFonts w:ascii="Arial" w:hAnsi="Arial" w:cs="Arial"/>
                <w:sz w:val="20"/>
                <w:szCs w:val="20"/>
              </w:rPr>
              <w:t xml:space="preserve"> how burnt out they feel from their job, what help or tools do they have at work, and what do they need personally. It finds that feeling too tired from work is the biggest reason why they take risks while riding.</w:t>
            </w:r>
          </w:p>
        </w:tc>
        <w:tc>
          <w:tcPr>
            <w:tcW w:w="1606" w:type="dxa"/>
          </w:tcPr>
          <w:p w14:paraId="5EE85AB7"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Service and Safety</w:t>
            </w:r>
          </w:p>
        </w:tc>
      </w:tr>
      <w:tr w:rsidR="001F5E84" w14:paraId="18364430" w14:textId="77777777" w:rsidTr="00001F54">
        <w:tc>
          <w:tcPr>
            <w:tcW w:w="2150" w:type="dxa"/>
          </w:tcPr>
          <w:p w14:paraId="2CA53DEC" w14:textId="77777777" w:rsidR="001F5E84" w:rsidRPr="001F5E84" w:rsidRDefault="001F5E84" w:rsidP="00C52F3D">
            <w:pPr>
              <w:spacing w:line="360" w:lineRule="auto"/>
              <w:rPr>
                <w:rFonts w:ascii="Arial" w:hAnsi="Arial" w:cs="Arial"/>
                <w:sz w:val="20"/>
                <w:szCs w:val="20"/>
              </w:rPr>
            </w:pPr>
            <w:r w:rsidRPr="001F5E84">
              <w:rPr>
                <w:rFonts w:ascii="Arial" w:hAnsi="Arial" w:cs="Arial"/>
                <w:sz w:val="20"/>
                <w:szCs w:val="20"/>
              </w:rPr>
              <w:lastRenderedPageBreak/>
              <w:t>(Aarif et al., 2023)</w:t>
            </w:r>
          </w:p>
        </w:tc>
        <w:tc>
          <w:tcPr>
            <w:tcW w:w="1576" w:type="dxa"/>
          </w:tcPr>
          <w:p w14:paraId="5A454DFD"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Mix- method</w:t>
            </w:r>
          </w:p>
        </w:tc>
        <w:tc>
          <w:tcPr>
            <w:tcW w:w="4653" w:type="dxa"/>
          </w:tcPr>
          <w:p w14:paraId="2FCDD926"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Learning job skills helps women earn more money and start their own businesses, making them stronger and more independent. The study shows that it is important to create specialized training programs that fit the needs of individual women. This helps everyone treat women and men equally and improves the entire community.</w:t>
            </w:r>
          </w:p>
        </w:tc>
        <w:tc>
          <w:tcPr>
            <w:tcW w:w="1606" w:type="dxa"/>
          </w:tcPr>
          <w:p w14:paraId="07105269" w14:textId="77777777" w:rsidR="001F5E84" w:rsidRPr="001F5E84" w:rsidRDefault="001F5E84" w:rsidP="00C52F3D">
            <w:pPr>
              <w:spacing w:line="360" w:lineRule="auto"/>
              <w:jc w:val="both"/>
              <w:rPr>
                <w:rFonts w:ascii="Arial" w:hAnsi="Arial" w:cs="Arial"/>
                <w:sz w:val="20"/>
                <w:szCs w:val="20"/>
              </w:rPr>
            </w:pPr>
            <w:r w:rsidRPr="001F5E84">
              <w:rPr>
                <w:rFonts w:ascii="Arial" w:hAnsi="Arial" w:cs="Arial"/>
                <w:sz w:val="20"/>
                <w:szCs w:val="20"/>
              </w:rPr>
              <w:t>Handicrafts, Computer Literacy</w:t>
            </w:r>
          </w:p>
        </w:tc>
      </w:tr>
    </w:tbl>
    <w:p w14:paraId="17AD0F43" w14:textId="77777777" w:rsidR="007508CB" w:rsidRDefault="007508CB" w:rsidP="001F5E84">
      <w:pPr>
        <w:spacing w:line="360" w:lineRule="auto"/>
        <w:rPr>
          <w:rFonts w:ascii="Times New Roman" w:hAnsi="Times New Roman"/>
          <w:sz w:val="24"/>
          <w:szCs w:val="24"/>
        </w:rPr>
      </w:pPr>
    </w:p>
    <w:p w14:paraId="52457AF0" w14:textId="77777777" w:rsidR="00572BBB" w:rsidRPr="00B00359" w:rsidRDefault="00572BBB" w:rsidP="00572BBB">
      <w:pPr>
        <w:spacing w:line="360" w:lineRule="auto"/>
        <w:jc w:val="both"/>
        <w:rPr>
          <w:rFonts w:ascii="Arial" w:hAnsi="Arial" w:cs="Arial"/>
        </w:rPr>
      </w:pPr>
      <w:r w:rsidRPr="00B00359">
        <w:rPr>
          <w:rFonts w:ascii="Arial" w:hAnsi="Arial" w:cs="Arial"/>
        </w:rPr>
        <w:t>The results show in Table- 4 present a comprehensive description of the way in which specialised vocational training programs help to improve female participation in the gig economy. The result clearly indicate that vocational training increases female workers employment, income generation, and mobility by addressing digital literacy as well as soft skills and industry – specific competencies in lieu with technical and skill development. Also, the findings highlight the value of communication, digital literacy and problem-solving skills for handling platform-based workplace. This seems similar with more broad findings that shows technological and digital talents are essential for participating in gig economy. Moreover, the table illustrates the growing significance of platform- centric and application focused skills. Thus, to ensure that workers get used to AI- driving workplace, studies such Chen et al. (2023) showed that platform-based management and operational visibility have a major effect on the performance and agility of gig workers. Therefore, in order to ensure better work results, vocational training needs to incorporate both a basic knowledge of site operations and vocational training.</w:t>
      </w:r>
    </w:p>
    <w:p w14:paraId="4E8A2B45" w14:textId="3D5E492F" w:rsidR="00572BBB" w:rsidRPr="00B00359" w:rsidRDefault="00D22ADA" w:rsidP="00572BBB">
      <w:pPr>
        <w:spacing w:line="360" w:lineRule="auto"/>
        <w:jc w:val="both"/>
        <w:rPr>
          <w:rFonts w:ascii="Arial" w:hAnsi="Arial" w:cs="Arial"/>
        </w:rPr>
      </w:pPr>
      <w:r>
        <w:rPr>
          <w:rFonts w:ascii="Arial" w:hAnsi="Arial" w:cs="Arial"/>
        </w:rPr>
        <w:t xml:space="preserve">                    </w:t>
      </w:r>
      <w:r w:rsidR="00572BBB" w:rsidRPr="00B00359">
        <w:rPr>
          <w:rFonts w:ascii="Arial" w:hAnsi="Arial" w:cs="Arial"/>
        </w:rPr>
        <w:t xml:space="preserve">Furthermore, the table also highlights the importance of non-technical skills such as self-management skills, communication and networking. In an aggressive gig economy where workers operate freely and depend upon client relationship and ratings to secure their employment, these talents are necessary. The perspective is supported by Frenzel-Piasentin et al. (2022), who indicate that sustained success in a digital related gig worker needs non- technical skills. As a finding, vocational training programs has to adjust for various types of gig fields because of industry specific sector training needs, like handicrafts, technical workshop based and beautician skills. Where workers are appoint based on established expertise instead of official qualifications, skill granularity increase placement and employability (Van Slageren &amp; Herrmann, 2024). Overall, the incorporated analysis reveals that vocational training is an important connection among women’s talent and the evolving demands of the gig economy. It increases employment and ability to adapt and earning potential while encouraging self-reliance and self- determination; however, its impact is dependent on a broad strategy that combines platform knowledge and training for safety, digital and non-digital ability, and gender- specific guidelines. Also, vocational training is required to away from a mainly skill focused approach to a comprehensive framework that confronts both personal skills and fundamental problems in the gig economy. </w:t>
      </w:r>
    </w:p>
    <w:p w14:paraId="6F55C071" w14:textId="26E69ED3" w:rsidR="001F5E84" w:rsidRDefault="001F5E84" w:rsidP="007508CB">
      <w:pPr>
        <w:tabs>
          <w:tab w:val="left" w:pos="7044"/>
        </w:tabs>
        <w:spacing w:line="360" w:lineRule="auto"/>
        <w:rPr>
          <w:rFonts w:ascii="Arial" w:hAnsi="Arial" w:cs="Arial"/>
          <w:b/>
          <w:bCs/>
        </w:rPr>
      </w:pPr>
      <w:r w:rsidRPr="00F40DA5">
        <w:rPr>
          <w:rFonts w:ascii="Arial" w:hAnsi="Arial" w:cs="Arial"/>
          <w:b/>
          <w:bCs/>
        </w:rPr>
        <w:t>RQ2: What is the role of vocational training for women in the gig economy?</w:t>
      </w:r>
      <w:r w:rsidR="007508CB" w:rsidRPr="00F40DA5">
        <w:rPr>
          <w:rFonts w:ascii="Arial" w:hAnsi="Arial" w:cs="Arial"/>
          <w:b/>
          <w:bCs/>
        </w:rPr>
        <w:tab/>
      </w:r>
    </w:p>
    <w:p w14:paraId="63FB8980" w14:textId="44D31458" w:rsidR="00D22ADA" w:rsidRPr="00D22ADA" w:rsidRDefault="00D22ADA" w:rsidP="00D22ADA">
      <w:pPr>
        <w:spacing w:line="360" w:lineRule="auto"/>
        <w:rPr>
          <w:rFonts w:ascii="Arial" w:hAnsi="Arial" w:cs="Arial"/>
        </w:rPr>
      </w:pPr>
      <w:r w:rsidRPr="00D22ADA">
        <w:rPr>
          <w:rFonts w:ascii="Arial" w:hAnsi="Arial" w:cs="Arial"/>
        </w:rPr>
        <w:t xml:space="preserve">The primary benefits study on role of vocational training that improves women’s participation and output in the gig economy is presented in the following Table-4.   </w:t>
      </w:r>
    </w:p>
    <w:p w14:paraId="6A25DD1F" w14:textId="594472CD" w:rsidR="007508CB" w:rsidRPr="002B5D1C" w:rsidRDefault="007508CB" w:rsidP="007508CB">
      <w:pPr>
        <w:spacing w:line="360" w:lineRule="auto"/>
        <w:rPr>
          <w:rFonts w:ascii="Arial" w:hAnsi="Arial" w:cs="Arial"/>
        </w:rPr>
      </w:pPr>
      <w:r w:rsidRPr="002B5D1C">
        <w:rPr>
          <w:rFonts w:ascii="Arial" w:hAnsi="Arial" w:cs="Arial"/>
        </w:rPr>
        <w:t>Table. 5.  Role of vocational training for women workers</w:t>
      </w:r>
    </w:p>
    <w:tbl>
      <w:tblPr>
        <w:tblStyle w:val="TableGrid"/>
        <w:tblW w:w="8760" w:type="dxa"/>
        <w:tblInd w:w="-147" w:type="dxa"/>
        <w:tblLayout w:type="fixed"/>
        <w:tblLook w:val="04A0" w:firstRow="1" w:lastRow="0" w:firstColumn="1" w:lastColumn="0" w:noHBand="0" w:noVBand="1"/>
      </w:tblPr>
      <w:tblGrid>
        <w:gridCol w:w="1135"/>
        <w:gridCol w:w="708"/>
        <w:gridCol w:w="1276"/>
        <w:gridCol w:w="1276"/>
        <w:gridCol w:w="1559"/>
        <w:gridCol w:w="2806"/>
      </w:tblGrid>
      <w:tr w:rsidR="007508CB" w:rsidRPr="0040724F" w14:paraId="1EB98920" w14:textId="77777777" w:rsidTr="007D69FF">
        <w:trPr>
          <w:trHeight w:val="685"/>
        </w:trPr>
        <w:tc>
          <w:tcPr>
            <w:tcW w:w="1135" w:type="dxa"/>
          </w:tcPr>
          <w:p w14:paraId="45AEE2D4"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Authors</w:t>
            </w:r>
          </w:p>
        </w:tc>
        <w:tc>
          <w:tcPr>
            <w:tcW w:w="708" w:type="dxa"/>
          </w:tcPr>
          <w:p w14:paraId="6140B302"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Year</w:t>
            </w:r>
          </w:p>
        </w:tc>
        <w:tc>
          <w:tcPr>
            <w:tcW w:w="1276" w:type="dxa"/>
          </w:tcPr>
          <w:p w14:paraId="0A204552"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Country</w:t>
            </w:r>
          </w:p>
        </w:tc>
        <w:tc>
          <w:tcPr>
            <w:tcW w:w="1276" w:type="dxa"/>
          </w:tcPr>
          <w:p w14:paraId="13101C5B"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Methods</w:t>
            </w:r>
          </w:p>
        </w:tc>
        <w:tc>
          <w:tcPr>
            <w:tcW w:w="1559" w:type="dxa"/>
          </w:tcPr>
          <w:p w14:paraId="6C1C800F"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Theories/ framework</w:t>
            </w:r>
          </w:p>
        </w:tc>
        <w:tc>
          <w:tcPr>
            <w:tcW w:w="2806" w:type="dxa"/>
          </w:tcPr>
          <w:p w14:paraId="1C69B7B6"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Role of gig workers</w:t>
            </w:r>
          </w:p>
        </w:tc>
      </w:tr>
      <w:tr w:rsidR="007508CB" w:rsidRPr="0040724F" w14:paraId="14E8BACF" w14:textId="77777777" w:rsidTr="007D69FF">
        <w:tc>
          <w:tcPr>
            <w:tcW w:w="1135" w:type="dxa"/>
          </w:tcPr>
          <w:p w14:paraId="4ECE5974"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 xml:space="preserve">Nugraha &amp; Permana    </w:t>
            </w:r>
          </w:p>
        </w:tc>
        <w:tc>
          <w:tcPr>
            <w:tcW w:w="708" w:type="dxa"/>
          </w:tcPr>
          <w:p w14:paraId="5D4AA642"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2025</w:t>
            </w:r>
          </w:p>
        </w:tc>
        <w:tc>
          <w:tcPr>
            <w:tcW w:w="1276" w:type="dxa"/>
          </w:tcPr>
          <w:p w14:paraId="13D91A21"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Indonesia</w:t>
            </w:r>
          </w:p>
        </w:tc>
        <w:tc>
          <w:tcPr>
            <w:tcW w:w="1276" w:type="dxa"/>
          </w:tcPr>
          <w:p w14:paraId="0ACC29E6"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 xml:space="preserve">Qualitative approach    </w:t>
            </w:r>
          </w:p>
        </w:tc>
        <w:tc>
          <w:tcPr>
            <w:tcW w:w="1559" w:type="dxa"/>
          </w:tcPr>
          <w:p w14:paraId="55702216"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 xml:space="preserve">Human Capital Theory             </w:t>
            </w:r>
          </w:p>
        </w:tc>
        <w:tc>
          <w:tcPr>
            <w:tcW w:w="2806" w:type="dxa"/>
          </w:tcPr>
          <w:p w14:paraId="49D89569"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Gig workers view vocational training as a tool to enhance skills and increase earning potential</w:t>
            </w:r>
          </w:p>
        </w:tc>
      </w:tr>
      <w:tr w:rsidR="007508CB" w:rsidRPr="0040724F" w14:paraId="718917F7" w14:textId="77777777" w:rsidTr="007D69FF">
        <w:tc>
          <w:tcPr>
            <w:tcW w:w="1135" w:type="dxa"/>
          </w:tcPr>
          <w:p w14:paraId="3F534CA0"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lastRenderedPageBreak/>
              <w:t xml:space="preserve">Van Slageren &amp; Herrmann, </w:t>
            </w:r>
          </w:p>
          <w:p w14:paraId="79AF5D27" w14:textId="77777777" w:rsidR="007508CB" w:rsidRPr="007D69FF" w:rsidRDefault="007508CB" w:rsidP="0089388B">
            <w:pPr>
              <w:jc w:val="both"/>
              <w:rPr>
                <w:rFonts w:ascii="Arial" w:hAnsi="Arial" w:cs="Arial"/>
                <w:sz w:val="20"/>
                <w:szCs w:val="20"/>
              </w:rPr>
            </w:pPr>
          </w:p>
        </w:tc>
        <w:tc>
          <w:tcPr>
            <w:tcW w:w="708" w:type="dxa"/>
          </w:tcPr>
          <w:p w14:paraId="5795A8DD"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2024</w:t>
            </w:r>
          </w:p>
        </w:tc>
        <w:tc>
          <w:tcPr>
            <w:tcW w:w="1276" w:type="dxa"/>
          </w:tcPr>
          <w:p w14:paraId="237BFE54"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Multi-countries</w:t>
            </w:r>
          </w:p>
        </w:tc>
        <w:tc>
          <w:tcPr>
            <w:tcW w:w="1276" w:type="dxa"/>
          </w:tcPr>
          <w:p w14:paraId="66D8A066"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Quantitative (multilevel ordinal logistic regression)</w:t>
            </w:r>
          </w:p>
        </w:tc>
        <w:tc>
          <w:tcPr>
            <w:tcW w:w="1559" w:type="dxa"/>
          </w:tcPr>
          <w:p w14:paraId="1F8E58A0"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Skill Specificity Theory; Institutional Theory</w:t>
            </w:r>
          </w:p>
        </w:tc>
        <w:tc>
          <w:tcPr>
            <w:tcW w:w="2806" w:type="dxa"/>
          </w:tcPr>
          <w:p w14:paraId="32EAB75C"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Vocational training enhances specific skills; gig worker considers experience and rating skill as an indicator instead of official certificate.</w:t>
            </w:r>
          </w:p>
        </w:tc>
      </w:tr>
      <w:tr w:rsidR="007508CB" w:rsidRPr="0040724F" w14:paraId="20C86E01" w14:textId="77777777" w:rsidTr="007D69FF">
        <w:tc>
          <w:tcPr>
            <w:tcW w:w="1135" w:type="dxa"/>
          </w:tcPr>
          <w:p w14:paraId="33694CE0"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 xml:space="preserve">Cox et al., </w:t>
            </w:r>
          </w:p>
          <w:p w14:paraId="69B707D0" w14:textId="77777777" w:rsidR="007508CB" w:rsidRPr="007D69FF" w:rsidRDefault="007508CB" w:rsidP="0089388B">
            <w:pPr>
              <w:jc w:val="both"/>
              <w:rPr>
                <w:rFonts w:ascii="Arial" w:hAnsi="Arial" w:cs="Arial"/>
                <w:sz w:val="20"/>
                <w:szCs w:val="20"/>
              </w:rPr>
            </w:pPr>
          </w:p>
        </w:tc>
        <w:tc>
          <w:tcPr>
            <w:tcW w:w="708" w:type="dxa"/>
          </w:tcPr>
          <w:p w14:paraId="2DB3999F"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2023</w:t>
            </w:r>
          </w:p>
        </w:tc>
        <w:tc>
          <w:tcPr>
            <w:tcW w:w="1276" w:type="dxa"/>
          </w:tcPr>
          <w:p w14:paraId="5E19212E"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Australia</w:t>
            </w:r>
          </w:p>
        </w:tc>
        <w:tc>
          <w:tcPr>
            <w:tcW w:w="1276" w:type="dxa"/>
          </w:tcPr>
          <w:p w14:paraId="051AD94D"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Quantitative (online survey of gig workers</w:t>
            </w:r>
          </w:p>
        </w:tc>
        <w:tc>
          <w:tcPr>
            <w:tcW w:w="1559" w:type="dxa"/>
          </w:tcPr>
          <w:p w14:paraId="720F0E8D"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Occupational Safety Framework</w:t>
            </w:r>
          </w:p>
        </w:tc>
        <w:tc>
          <w:tcPr>
            <w:tcW w:w="2806" w:type="dxa"/>
          </w:tcPr>
          <w:p w14:paraId="46AE1E2D" w14:textId="77777777" w:rsidR="007508CB" w:rsidRPr="007D69FF" w:rsidRDefault="007508CB" w:rsidP="0089388B">
            <w:pPr>
              <w:jc w:val="both"/>
              <w:rPr>
                <w:rFonts w:ascii="Arial" w:hAnsi="Arial" w:cs="Arial"/>
                <w:sz w:val="20"/>
                <w:szCs w:val="20"/>
              </w:rPr>
            </w:pPr>
            <w:r w:rsidRPr="007D69FF">
              <w:rPr>
                <w:rFonts w:ascii="Arial" w:hAnsi="Arial" w:cs="Arial"/>
                <w:sz w:val="20"/>
                <w:szCs w:val="20"/>
              </w:rPr>
              <w:t xml:space="preserve">Gig workers are subject to security concern flexible services supplier and women participation with equal reporting of incidence trends.   </w:t>
            </w:r>
          </w:p>
        </w:tc>
      </w:tr>
      <w:tr w:rsidR="007508CB" w:rsidRPr="0040724F" w14:paraId="56E8BC48" w14:textId="77777777" w:rsidTr="007D69FF">
        <w:tc>
          <w:tcPr>
            <w:tcW w:w="1135" w:type="dxa"/>
          </w:tcPr>
          <w:p w14:paraId="4430E50B"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Frenzel-Piasentin et al., </w:t>
            </w:r>
          </w:p>
          <w:p w14:paraId="22CFB82E" w14:textId="77777777" w:rsidR="007508CB" w:rsidRPr="007D69FF" w:rsidRDefault="007508CB" w:rsidP="0089388B">
            <w:pPr>
              <w:spacing w:line="360" w:lineRule="auto"/>
              <w:jc w:val="both"/>
              <w:rPr>
                <w:rFonts w:ascii="Arial" w:hAnsi="Arial" w:cs="Arial"/>
                <w:sz w:val="20"/>
                <w:szCs w:val="20"/>
              </w:rPr>
            </w:pPr>
          </w:p>
        </w:tc>
        <w:tc>
          <w:tcPr>
            <w:tcW w:w="708" w:type="dxa"/>
          </w:tcPr>
          <w:p w14:paraId="15D986BE"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2022</w:t>
            </w:r>
          </w:p>
        </w:tc>
        <w:tc>
          <w:tcPr>
            <w:tcW w:w="1276" w:type="dxa"/>
          </w:tcPr>
          <w:p w14:paraId="5512EC2E"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Germany</w:t>
            </w:r>
          </w:p>
        </w:tc>
        <w:tc>
          <w:tcPr>
            <w:tcW w:w="1276" w:type="dxa"/>
          </w:tcPr>
          <w:p w14:paraId="51FB93A6"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Qualitative; Grounded theory      </w:t>
            </w:r>
          </w:p>
        </w:tc>
        <w:tc>
          <w:tcPr>
            <w:tcW w:w="1559" w:type="dxa"/>
          </w:tcPr>
          <w:p w14:paraId="3B5C3992"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Experimental Learning Theory     </w:t>
            </w:r>
          </w:p>
        </w:tc>
        <w:tc>
          <w:tcPr>
            <w:tcW w:w="2806" w:type="dxa"/>
          </w:tcPr>
          <w:p w14:paraId="5C196FF4"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For the ability succeed and survive on platforms, gig worker as freelancer have to acquire non- technical skills such interaction and self-management. </w:t>
            </w:r>
          </w:p>
        </w:tc>
      </w:tr>
      <w:tr w:rsidR="007508CB" w:rsidRPr="0040724F" w14:paraId="353E5A04" w14:textId="77777777" w:rsidTr="007D69FF">
        <w:tc>
          <w:tcPr>
            <w:tcW w:w="1135" w:type="dxa"/>
          </w:tcPr>
          <w:p w14:paraId="398BEB6D"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Chen et al.,</w:t>
            </w:r>
          </w:p>
          <w:p w14:paraId="47D38333"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       </w:t>
            </w:r>
          </w:p>
        </w:tc>
        <w:tc>
          <w:tcPr>
            <w:tcW w:w="708" w:type="dxa"/>
          </w:tcPr>
          <w:p w14:paraId="185D03C3"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2022</w:t>
            </w:r>
          </w:p>
        </w:tc>
        <w:tc>
          <w:tcPr>
            <w:tcW w:w="1276" w:type="dxa"/>
          </w:tcPr>
          <w:p w14:paraId="43660736"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China</w:t>
            </w:r>
          </w:p>
        </w:tc>
        <w:tc>
          <w:tcPr>
            <w:tcW w:w="1276" w:type="dxa"/>
          </w:tcPr>
          <w:p w14:paraId="3C2F8560"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Mixed method</w:t>
            </w:r>
          </w:p>
        </w:tc>
        <w:tc>
          <w:tcPr>
            <w:tcW w:w="1559" w:type="dxa"/>
          </w:tcPr>
          <w:p w14:paraId="061C76CA"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Algorithmic Management; CSCW</w:t>
            </w:r>
          </w:p>
        </w:tc>
        <w:tc>
          <w:tcPr>
            <w:tcW w:w="2806" w:type="dxa"/>
          </w:tcPr>
          <w:p w14:paraId="0D05DEBB"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The food delivery gig workers are crucial operating agents whose job performance is impacted by reviews, algorithm and connection between many different parties. </w:t>
            </w:r>
          </w:p>
        </w:tc>
      </w:tr>
      <w:tr w:rsidR="007508CB" w:rsidRPr="0040724F" w14:paraId="1325BC05" w14:textId="77777777" w:rsidTr="007D69FF">
        <w:tc>
          <w:tcPr>
            <w:tcW w:w="1135" w:type="dxa"/>
          </w:tcPr>
          <w:p w14:paraId="34101A21"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Sardana et al.,</w:t>
            </w:r>
          </w:p>
          <w:p w14:paraId="68C7332F" w14:textId="77777777" w:rsidR="007508CB" w:rsidRPr="007D69FF" w:rsidRDefault="007508CB" w:rsidP="0089388B">
            <w:pPr>
              <w:spacing w:line="360" w:lineRule="auto"/>
              <w:jc w:val="both"/>
              <w:rPr>
                <w:rFonts w:ascii="Arial" w:hAnsi="Arial" w:cs="Arial"/>
                <w:sz w:val="20"/>
                <w:szCs w:val="20"/>
              </w:rPr>
            </w:pPr>
          </w:p>
        </w:tc>
        <w:tc>
          <w:tcPr>
            <w:tcW w:w="708" w:type="dxa"/>
          </w:tcPr>
          <w:p w14:paraId="3D03920D"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2022</w:t>
            </w:r>
          </w:p>
        </w:tc>
        <w:tc>
          <w:tcPr>
            <w:tcW w:w="1276" w:type="dxa"/>
          </w:tcPr>
          <w:p w14:paraId="4D06DFDA"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India</w:t>
            </w:r>
          </w:p>
        </w:tc>
        <w:tc>
          <w:tcPr>
            <w:tcW w:w="1276" w:type="dxa"/>
          </w:tcPr>
          <w:p w14:paraId="1BC693F3"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Conceptual review</w:t>
            </w:r>
          </w:p>
        </w:tc>
        <w:tc>
          <w:tcPr>
            <w:tcW w:w="1559" w:type="dxa"/>
          </w:tcPr>
          <w:p w14:paraId="2C269E61"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Female labour perspective</w:t>
            </w:r>
          </w:p>
        </w:tc>
        <w:tc>
          <w:tcPr>
            <w:tcW w:w="2806" w:type="dxa"/>
          </w:tcPr>
          <w:p w14:paraId="6096C58E"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Women gig workers who earn money by balancing professional and household and their mobility allow them for doing it, but social exclusion limit them. </w:t>
            </w:r>
          </w:p>
        </w:tc>
      </w:tr>
      <w:tr w:rsidR="007508CB" w:rsidRPr="0040724F" w14:paraId="22397310" w14:textId="77777777" w:rsidTr="007D69FF">
        <w:tc>
          <w:tcPr>
            <w:tcW w:w="1135" w:type="dxa"/>
          </w:tcPr>
          <w:p w14:paraId="29AAC0B8"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Brunello &amp; Wruuck</w:t>
            </w:r>
          </w:p>
          <w:p w14:paraId="16B00F77" w14:textId="77777777" w:rsidR="007508CB" w:rsidRPr="007D69FF" w:rsidRDefault="007508CB" w:rsidP="0089388B">
            <w:pPr>
              <w:spacing w:line="360" w:lineRule="auto"/>
              <w:jc w:val="both"/>
              <w:rPr>
                <w:rFonts w:ascii="Arial" w:hAnsi="Arial" w:cs="Arial"/>
                <w:sz w:val="20"/>
                <w:szCs w:val="20"/>
              </w:rPr>
            </w:pPr>
          </w:p>
        </w:tc>
        <w:tc>
          <w:tcPr>
            <w:tcW w:w="708" w:type="dxa"/>
          </w:tcPr>
          <w:p w14:paraId="7B4DF9AE"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2021</w:t>
            </w:r>
          </w:p>
        </w:tc>
        <w:tc>
          <w:tcPr>
            <w:tcW w:w="1276" w:type="dxa"/>
          </w:tcPr>
          <w:p w14:paraId="797083EA"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Europe (multi-country)</w:t>
            </w:r>
          </w:p>
        </w:tc>
        <w:tc>
          <w:tcPr>
            <w:tcW w:w="1276" w:type="dxa"/>
          </w:tcPr>
          <w:p w14:paraId="6C81A403"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systematic Literature review           </w:t>
            </w:r>
          </w:p>
        </w:tc>
        <w:tc>
          <w:tcPr>
            <w:tcW w:w="1559" w:type="dxa"/>
          </w:tcPr>
          <w:p w14:paraId="447DF89B"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Skill mismatch theory</w:t>
            </w:r>
          </w:p>
        </w:tc>
        <w:tc>
          <w:tcPr>
            <w:tcW w:w="2806" w:type="dxa"/>
          </w:tcPr>
          <w:p w14:paraId="2FB73358"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Gig workers are carefully shown as fluid workers that absorbed skill gaps and exposing the risks for their jobs in the lack of proper training.</w:t>
            </w:r>
          </w:p>
        </w:tc>
      </w:tr>
      <w:tr w:rsidR="007508CB" w:rsidRPr="0040724F" w14:paraId="2DECC147" w14:textId="77777777" w:rsidTr="007D69FF">
        <w:tc>
          <w:tcPr>
            <w:tcW w:w="1135" w:type="dxa"/>
          </w:tcPr>
          <w:p w14:paraId="10FFFA37"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Cabral &amp; Dhar</w:t>
            </w:r>
          </w:p>
          <w:p w14:paraId="472EDBCF"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      </w:t>
            </w:r>
          </w:p>
        </w:tc>
        <w:tc>
          <w:tcPr>
            <w:tcW w:w="708" w:type="dxa"/>
          </w:tcPr>
          <w:p w14:paraId="6BB36724"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2019</w:t>
            </w:r>
          </w:p>
        </w:tc>
        <w:tc>
          <w:tcPr>
            <w:tcW w:w="1276" w:type="dxa"/>
          </w:tcPr>
          <w:p w14:paraId="5C88D334"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India</w:t>
            </w:r>
          </w:p>
        </w:tc>
        <w:tc>
          <w:tcPr>
            <w:tcW w:w="1276" w:type="dxa"/>
          </w:tcPr>
          <w:p w14:paraId="081B46F0"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systematic Literature review           </w:t>
            </w:r>
          </w:p>
        </w:tc>
        <w:tc>
          <w:tcPr>
            <w:tcW w:w="1559" w:type="dxa"/>
          </w:tcPr>
          <w:p w14:paraId="197D1EE3"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Experimental Learning Theory     </w:t>
            </w:r>
          </w:p>
        </w:tc>
        <w:tc>
          <w:tcPr>
            <w:tcW w:w="2806" w:type="dxa"/>
          </w:tcPr>
          <w:p w14:paraId="701698B1" w14:textId="77777777" w:rsidR="007508CB" w:rsidRPr="007D69FF" w:rsidRDefault="007508CB" w:rsidP="0089388B">
            <w:pPr>
              <w:spacing w:line="360" w:lineRule="auto"/>
              <w:jc w:val="both"/>
              <w:rPr>
                <w:rFonts w:ascii="Arial" w:hAnsi="Arial" w:cs="Arial"/>
                <w:sz w:val="20"/>
                <w:szCs w:val="20"/>
              </w:rPr>
            </w:pPr>
            <w:r w:rsidRPr="007D69FF">
              <w:rPr>
                <w:rFonts w:ascii="Arial" w:hAnsi="Arial" w:cs="Arial"/>
                <w:sz w:val="20"/>
                <w:szCs w:val="20"/>
              </w:rPr>
              <w:t xml:space="preserve">Gig and informal employees, especially females are considered as supporters as skill development using options for vocational education and training. </w:t>
            </w:r>
          </w:p>
        </w:tc>
      </w:tr>
    </w:tbl>
    <w:p w14:paraId="469E29B7" w14:textId="77777777" w:rsidR="001F5E84" w:rsidRDefault="001F5E84" w:rsidP="001F5E84">
      <w:pPr>
        <w:rPr>
          <w:rFonts w:ascii="Times New Roman" w:hAnsi="Times New Roman"/>
          <w:sz w:val="24"/>
          <w:szCs w:val="24"/>
        </w:rPr>
      </w:pPr>
    </w:p>
    <w:p w14:paraId="0D1391BC" w14:textId="7FDFC939" w:rsidR="00DF55DD" w:rsidRPr="00DF55DD" w:rsidRDefault="00DF55DD" w:rsidP="00DF55DD">
      <w:pPr>
        <w:spacing w:line="360" w:lineRule="auto"/>
        <w:jc w:val="both"/>
        <w:rPr>
          <w:rFonts w:ascii="Arial" w:hAnsi="Arial" w:cs="Arial"/>
        </w:rPr>
      </w:pPr>
      <w:r w:rsidRPr="00DF55DD">
        <w:rPr>
          <w:rFonts w:ascii="Arial" w:hAnsi="Arial" w:cs="Arial"/>
        </w:rPr>
        <w:lastRenderedPageBreak/>
        <w:t xml:space="preserve">The finding shows in Table-4 revels that vocational training is important for improving females’ participation, efficiency and quality of life in the gig economy. The outcomes </w:t>
      </w:r>
      <w:proofErr w:type="gramStart"/>
      <w:r w:rsidRPr="00DF55DD">
        <w:rPr>
          <w:rFonts w:ascii="Arial" w:hAnsi="Arial" w:cs="Arial"/>
        </w:rPr>
        <w:t>shows</w:t>
      </w:r>
      <w:proofErr w:type="gramEnd"/>
      <w:r w:rsidRPr="00DF55DD">
        <w:rPr>
          <w:rFonts w:ascii="Arial" w:hAnsi="Arial" w:cs="Arial"/>
        </w:rPr>
        <w:t xml:space="preserve"> that training that falls in a line with market needs significantly improves employment by providing women the required entrepreneurial, digital and adaptable skills. Such as, Nugraha and Permana (2025) emphasised that in order to enhance potential for employment and career readiness, vocational training have to incorporate soft and technical abilities to meet evolving gig job demands. Also, the table-4 emphasises the transition of traditional educational qualifications to skill-driven performance evaluations. Job prospects on gig markets are becoming more and more on training, expertise and ratings instead of qualifications and employment choices are determined by alternatives cues like platform credibility, reviews and skill set are free compared to conventional (Van Slageren &amp; Herrmann, 2024). The importance of informal competences is strongly focused in addition to formal competencies. Self-management, communication, and mobility are crucial for addressing the independent and digitally driven aspects of gig work (Frenzel-Piasentin et al.,2022). Therefore, the gig economy’s social issues work as a mediator in the success rate of vocational training. The performance of workers and chances are strongly influenced by platform governance procedures, mainly digital management. Chan et al. highlight that platform – based rating and transparent performance assessment method could limit workers independence and output.</w:t>
      </w:r>
    </w:p>
    <w:p w14:paraId="79895287" w14:textId="5A7D999F" w:rsidR="00D22ADA" w:rsidRPr="00DF55DD" w:rsidRDefault="00DF55DD" w:rsidP="00D22ADA">
      <w:pPr>
        <w:spacing w:line="360" w:lineRule="auto"/>
        <w:jc w:val="both"/>
        <w:rPr>
          <w:rFonts w:ascii="Arial" w:hAnsi="Arial" w:cs="Arial"/>
        </w:rPr>
      </w:pPr>
      <w:r w:rsidRPr="00DF55DD">
        <w:rPr>
          <w:rFonts w:ascii="Arial" w:hAnsi="Arial" w:cs="Arial"/>
        </w:rPr>
        <w:t>However, the table-4 shows that vocational training provides a resource for economic and social growth from a gender specific perspective. Although gig job mobility helps women to manage work and household duties, societal challenges including instability in society and a shortage of formal help also remain and the chances advantages of gig workers (sardana et al. 2022). The importance for continuous skill development is made clear by the evidence of gaps in skill supply and labour demand in marketplace reduce productivity and employment. improve awareness and choice making technical and creative training that helps women use platform technology and mix gig jobs. Moreover, vocational training enhances inclusion and ongoing jobs in gig workers by removing gender biases and social Barrers.</w:t>
      </w:r>
      <w:r w:rsidR="000930BD">
        <w:rPr>
          <w:rFonts w:ascii="Arial" w:hAnsi="Arial" w:cs="Arial"/>
        </w:rPr>
        <w:t xml:space="preserve"> </w:t>
      </w:r>
    </w:p>
    <w:p w14:paraId="0BED3C65" w14:textId="77777777" w:rsidR="00D22ADA" w:rsidRDefault="00D22ADA" w:rsidP="001F5E84">
      <w:pPr>
        <w:rPr>
          <w:rFonts w:ascii="Times New Roman" w:hAnsi="Times New Roman"/>
          <w:sz w:val="24"/>
          <w:szCs w:val="24"/>
        </w:rPr>
      </w:pPr>
    </w:p>
    <w:p w14:paraId="4257E607" w14:textId="77777777" w:rsidR="001F5E84" w:rsidRDefault="001F5E84" w:rsidP="001F5E84">
      <w:pPr>
        <w:rPr>
          <w:rFonts w:ascii="Arial" w:hAnsi="Arial" w:cs="Arial"/>
          <w:b/>
          <w:bCs/>
        </w:rPr>
      </w:pPr>
      <w:r w:rsidRPr="00C50806">
        <w:rPr>
          <w:rFonts w:ascii="Arial" w:hAnsi="Arial" w:cs="Arial"/>
          <w:b/>
          <w:bCs/>
        </w:rPr>
        <w:t>3.What should the future study about female gig workers and vocational training?</w:t>
      </w:r>
    </w:p>
    <w:p w14:paraId="42E57AA0" w14:textId="77777777" w:rsidR="002B5D1C" w:rsidRDefault="002B5D1C" w:rsidP="001F5E84">
      <w:pPr>
        <w:rPr>
          <w:rFonts w:ascii="Arial" w:hAnsi="Arial" w:cs="Arial"/>
          <w:b/>
          <w:bCs/>
        </w:rPr>
      </w:pPr>
    </w:p>
    <w:p w14:paraId="1E458076" w14:textId="17A9C1D8" w:rsidR="002B5D1C" w:rsidRPr="002B5D1C" w:rsidRDefault="002B5D1C" w:rsidP="002B5D1C">
      <w:pPr>
        <w:spacing w:line="360" w:lineRule="auto"/>
        <w:jc w:val="both"/>
        <w:rPr>
          <w:rFonts w:ascii="Arial" w:hAnsi="Arial" w:cs="Arial"/>
          <w:sz w:val="22"/>
          <w:szCs w:val="22"/>
        </w:rPr>
      </w:pPr>
      <w:r w:rsidRPr="002B5D1C">
        <w:rPr>
          <w:rFonts w:ascii="Arial" w:hAnsi="Arial" w:cs="Arial"/>
          <w:sz w:val="22"/>
          <w:szCs w:val="22"/>
        </w:rPr>
        <w:t>Future research on vocational training and women gig workers must go beyond enhancing traditional skills and develop a more complex and evidence-based framework. (Table-</w:t>
      </w:r>
      <w:r w:rsidR="00340551">
        <w:rPr>
          <w:rFonts w:ascii="Arial" w:hAnsi="Arial" w:cs="Arial"/>
          <w:sz w:val="22"/>
          <w:szCs w:val="22"/>
        </w:rPr>
        <w:t>6</w:t>
      </w:r>
      <w:r w:rsidRPr="002B5D1C">
        <w:rPr>
          <w:rFonts w:ascii="Arial" w:hAnsi="Arial" w:cs="Arial"/>
          <w:sz w:val="22"/>
          <w:szCs w:val="22"/>
        </w:rPr>
        <w:t>) shows comprehensive examination of gig workers training that revels skills and financial factor dominate with the main objective being to improve service efficiency. Also, informal and formal vocational training significantly increase female participation in gig work with the role of informal training increasing more (Zhang, 2024). Moreover, the bulk of research focus on enhancing digital literacy and quality of services, but the research clearly missing a social explanation. This missing shows that, compare with conventional jobs, online platforms consider training as a market demand instead of a technique for developing permanent workers. Additionally, showing direct connections between vocational training and quality of work, including career growth, job security and financial stability is required.</w:t>
      </w:r>
    </w:p>
    <w:p w14:paraId="5E6C14AD" w14:textId="77777777" w:rsidR="002B5D1C" w:rsidRDefault="002B5D1C" w:rsidP="001F5E84">
      <w:pPr>
        <w:rPr>
          <w:rFonts w:ascii="Arial" w:hAnsi="Arial" w:cs="Arial"/>
          <w:b/>
          <w:bCs/>
        </w:rPr>
      </w:pPr>
    </w:p>
    <w:p w14:paraId="412074FB" w14:textId="185018E7" w:rsidR="001F5E84" w:rsidRDefault="001F5E84" w:rsidP="001F5E84">
      <w:pPr>
        <w:rPr>
          <w:rFonts w:ascii="Arial" w:hAnsi="Arial" w:cs="Arial"/>
        </w:rPr>
      </w:pPr>
      <w:r w:rsidRPr="002B5D1C">
        <w:rPr>
          <w:rFonts w:ascii="Arial" w:hAnsi="Arial" w:cs="Arial"/>
        </w:rPr>
        <w:t xml:space="preserve">Table </w:t>
      </w:r>
      <w:r w:rsidR="00340551">
        <w:rPr>
          <w:rFonts w:ascii="Arial" w:hAnsi="Arial" w:cs="Arial"/>
        </w:rPr>
        <w:t>6</w:t>
      </w:r>
      <w:r w:rsidRPr="002B5D1C">
        <w:rPr>
          <w:rFonts w:ascii="Arial" w:hAnsi="Arial" w:cs="Arial"/>
        </w:rPr>
        <w:t>. future study about female gig workers and vocational training</w:t>
      </w:r>
      <w:r w:rsidR="002B5D1C">
        <w:rPr>
          <w:rFonts w:ascii="Arial" w:hAnsi="Arial" w:cs="Arial"/>
        </w:rPr>
        <w:t>.</w:t>
      </w:r>
    </w:p>
    <w:p w14:paraId="55506224" w14:textId="77777777" w:rsidR="002B5D1C" w:rsidRPr="002B5D1C" w:rsidRDefault="002B5D1C" w:rsidP="001F5E84">
      <w:pPr>
        <w:rPr>
          <w:rFonts w:ascii="Arial" w:hAnsi="Arial" w:cs="Arial"/>
        </w:rPr>
      </w:pPr>
    </w:p>
    <w:tbl>
      <w:tblPr>
        <w:tblStyle w:val="TableGrid"/>
        <w:tblW w:w="0" w:type="auto"/>
        <w:tblInd w:w="-431" w:type="dxa"/>
        <w:tblLook w:val="04A0" w:firstRow="1" w:lastRow="0" w:firstColumn="1" w:lastColumn="0" w:noHBand="0" w:noVBand="1"/>
      </w:tblPr>
      <w:tblGrid>
        <w:gridCol w:w="1563"/>
        <w:gridCol w:w="2059"/>
        <w:gridCol w:w="1469"/>
        <w:gridCol w:w="2218"/>
        <w:gridCol w:w="2138"/>
      </w:tblGrid>
      <w:tr w:rsidR="001F5E84" w14:paraId="4E1E0733" w14:textId="77777777" w:rsidTr="00C52F3D">
        <w:tc>
          <w:tcPr>
            <w:tcW w:w="1563" w:type="dxa"/>
          </w:tcPr>
          <w:p w14:paraId="1534A43E"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Authors/years</w:t>
            </w:r>
          </w:p>
        </w:tc>
        <w:tc>
          <w:tcPr>
            <w:tcW w:w="2059" w:type="dxa"/>
          </w:tcPr>
          <w:p w14:paraId="1F8D96F2"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Study focus</w:t>
            </w:r>
          </w:p>
        </w:tc>
        <w:tc>
          <w:tcPr>
            <w:tcW w:w="1469" w:type="dxa"/>
          </w:tcPr>
          <w:p w14:paraId="15E49324"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Methods</w:t>
            </w:r>
          </w:p>
        </w:tc>
        <w:tc>
          <w:tcPr>
            <w:tcW w:w="2218" w:type="dxa"/>
          </w:tcPr>
          <w:p w14:paraId="7CED7BA7"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Findings</w:t>
            </w:r>
          </w:p>
        </w:tc>
        <w:tc>
          <w:tcPr>
            <w:tcW w:w="2138" w:type="dxa"/>
          </w:tcPr>
          <w:p w14:paraId="3DADC2FC"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Future research direction</w:t>
            </w:r>
          </w:p>
        </w:tc>
      </w:tr>
      <w:tr w:rsidR="001F5E84" w14:paraId="4B3E61B8" w14:textId="77777777" w:rsidTr="00C52F3D">
        <w:tc>
          <w:tcPr>
            <w:tcW w:w="1563" w:type="dxa"/>
          </w:tcPr>
          <w:p w14:paraId="71071E92"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(Santra &amp; Kundu, 2025)</w:t>
            </w:r>
          </w:p>
        </w:tc>
        <w:tc>
          <w:tcPr>
            <w:tcW w:w="2059" w:type="dxa"/>
          </w:tcPr>
          <w:p w14:paraId="392CA839"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 xml:space="preserve">Opportunities for Indian women in non-digital gig jobs </w:t>
            </w:r>
            <w:r w:rsidRPr="00AB3326">
              <w:rPr>
                <w:rFonts w:ascii="Arial" w:hAnsi="Arial" w:cs="Arial"/>
                <w:sz w:val="20"/>
                <w:szCs w:val="20"/>
              </w:rPr>
              <w:lastRenderedPageBreak/>
              <w:t>and role of vocational training</w:t>
            </w:r>
          </w:p>
        </w:tc>
        <w:tc>
          <w:tcPr>
            <w:tcW w:w="1469" w:type="dxa"/>
          </w:tcPr>
          <w:p w14:paraId="013E5CD1"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lastRenderedPageBreak/>
              <w:t xml:space="preserve">PLFS 2022–23; Simple Probit &amp; </w:t>
            </w:r>
            <w:r w:rsidRPr="00AB3326">
              <w:rPr>
                <w:rFonts w:ascii="Arial" w:hAnsi="Arial" w:cs="Arial"/>
                <w:sz w:val="20"/>
                <w:szCs w:val="20"/>
              </w:rPr>
              <w:lastRenderedPageBreak/>
              <w:t>Bivariate Probit models</w:t>
            </w:r>
          </w:p>
        </w:tc>
        <w:tc>
          <w:tcPr>
            <w:tcW w:w="2218" w:type="dxa"/>
          </w:tcPr>
          <w:p w14:paraId="507B63B0"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lastRenderedPageBreak/>
              <w:t xml:space="preserve">Both formal and informal VT increase women’s participation </w:t>
            </w:r>
            <w:r w:rsidRPr="00AB3326">
              <w:rPr>
                <w:rFonts w:ascii="Arial" w:hAnsi="Arial" w:cs="Arial"/>
                <w:sz w:val="20"/>
                <w:szCs w:val="20"/>
              </w:rPr>
              <w:lastRenderedPageBreak/>
              <w:t>in non-digital gig jobs; informal VT has stronger effects; household consumption positively influences formal VT participation</w:t>
            </w:r>
          </w:p>
          <w:p w14:paraId="28AC45C2" w14:textId="77777777" w:rsidR="001F5E84" w:rsidRPr="00AB3326" w:rsidRDefault="001F5E84" w:rsidP="00D47AB4">
            <w:pPr>
              <w:jc w:val="both"/>
              <w:rPr>
                <w:rFonts w:ascii="Arial" w:hAnsi="Arial" w:cs="Arial"/>
                <w:sz w:val="20"/>
                <w:szCs w:val="20"/>
              </w:rPr>
            </w:pPr>
          </w:p>
        </w:tc>
        <w:tc>
          <w:tcPr>
            <w:tcW w:w="2138" w:type="dxa"/>
          </w:tcPr>
          <w:p w14:paraId="73FCFB37"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lastRenderedPageBreak/>
              <w:t xml:space="preserve">Future studies should investigate the impact of formal and informal </w:t>
            </w:r>
            <w:r w:rsidRPr="00AB3326">
              <w:rPr>
                <w:rFonts w:ascii="Arial" w:hAnsi="Arial" w:cs="Arial"/>
                <w:sz w:val="20"/>
                <w:szCs w:val="20"/>
              </w:rPr>
              <w:lastRenderedPageBreak/>
              <w:t>vocational training on female gig workers' participation in non-digital platform jobs, focusing on the more pronounced effects of informal training.</w:t>
            </w:r>
          </w:p>
        </w:tc>
      </w:tr>
      <w:tr w:rsidR="001F5E84" w14:paraId="5AB8F9E8" w14:textId="77777777" w:rsidTr="00C52F3D">
        <w:tc>
          <w:tcPr>
            <w:tcW w:w="1563" w:type="dxa"/>
          </w:tcPr>
          <w:p w14:paraId="3337A9AF"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lastRenderedPageBreak/>
              <w:t>Gogoi et al. (2025)</w:t>
            </w:r>
          </w:p>
        </w:tc>
        <w:tc>
          <w:tcPr>
            <w:tcW w:w="2059" w:type="dxa"/>
          </w:tcPr>
          <w:p w14:paraId="7975703E"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The article investigates the design, implementation, and outcomes of a Digital Literacy Training Programme (DLTP) targeted at adolescent girls (10–19 years) in rural India.</w:t>
            </w:r>
          </w:p>
        </w:tc>
        <w:tc>
          <w:tcPr>
            <w:tcW w:w="1469" w:type="dxa"/>
          </w:tcPr>
          <w:p w14:paraId="295FFA47"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Quasi-experimental design with intervention and comparison arms</w:t>
            </w:r>
          </w:p>
        </w:tc>
        <w:tc>
          <w:tcPr>
            <w:tcW w:w="2218" w:type="dxa"/>
          </w:tcPr>
          <w:p w14:paraId="62114417"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Shows measurable gains in digital skills and broader life outcomes from structured training—useful for arguing training efficacy for women’s work-readiness.</w:t>
            </w:r>
          </w:p>
        </w:tc>
        <w:tc>
          <w:tcPr>
            <w:tcW w:w="2138" w:type="dxa"/>
          </w:tcPr>
          <w:p w14:paraId="4B6E1F70"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Identify which training features sustain use over time; link digital training to concrete job outcomes in gig/informal markets.</w:t>
            </w:r>
          </w:p>
        </w:tc>
      </w:tr>
      <w:tr w:rsidR="001F5E84" w14:paraId="5B8E4C71" w14:textId="77777777" w:rsidTr="00C52F3D">
        <w:tc>
          <w:tcPr>
            <w:tcW w:w="1563" w:type="dxa"/>
          </w:tcPr>
          <w:p w14:paraId="05581A8B"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t>(Zhang, 2024)</w:t>
            </w:r>
          </w:p>
        </w:tc>
        <w:tc>
          <w:tcPr>
            <w:tcW w:w="2059" w:type="dxa"/>
          </w:tcPr>
          <w:p w14:paraId="1FFEF122"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Systematic review of gig worker training literature</w:t>
            </w:r>
          </w:p>
        </w:tc>
        <w:tc>
          <w:tcPr>
            <w:tcW w:w="1469" w:type="dxa"/>
          </w:tcPr>
          <w:p w14:paraId="12756664"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Systematic review of peer-reviewed empirical studies</w:t>
            </w:r>
          </w:p>
        </w:tc>
        <w:tc>
          <w:tcPr>
            <w:tcW w:w="2218" w:type="dxa"/>
          </w:tcPr>
          <w:p w14:paraId="3CE5D748"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Gig training research is dominated by competency and economic rationales; relationship rationale is largely absent; limited gender-sensitive perspectives</w:t>
            </w:r>
          </w:p>
        </w:tc>
        <w:tc>
          <w:tcPr>
            <w:tcW w:w="2138" w:type="dxa"/>
          </w:tcPr>
          <w:p w14:paraId="5880AD89"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Future studies on female gig workers and vocational training should focus on addressing unmet training needs and exploring beyond competency and economic rationales, as identified in a systematic review of gig worker training literature.</w:t>
            </w:r>
          </w:p>
        </w:tc>
      </w:tr>
      <w:tr w:rsidR="001F5E84" w14:paraId="5FFE362F" w14:textId="77777777" w:rsidTr="00C52F3D">
        <w:tc>
          <w:tcPr>
            <w:tcW w:w="1563" w:type="dxa"/>
          </w:tcPr>
          <w:p w14:paraId="7D176590"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Nugraha &amp; Permana (2025)</w:t>
            </w:r>
          </w:p>
        </w:tc>
        <w:tc>
          <w:tcPr>
            <w:tcW w:w="2059" w:type="dxa"/>
          </w:tcPr>
          <w:p w14:paraId="05A02F57"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Aligning VT systems with gig &amp; digital job markets using TNA (Indonesia)</w:t>
            </w:r>
          </w:p>
        </w:tc>
        <w:tc>
          <w:tcPr>
            <w:tcW w:w="1469" w:type="dxa"/>
          </w:tcPr>
          <w:p w14:paraId="6D44D0FA"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Qualitative approach; interviews &amp; FGDs; Gioia method; Training Needs Analysis</w:t>
            </w:r>
          </w:p>
        </w:tc>
        <w:tc>
          <w:tcPr>
            <w:tcW w:w="2218" w:type="dxa"/>
          </w:tcPr>
          <w:p w14:paraId="041205C1"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Need for an integrated competency framework (technical, soft, entrepreneurial); importance of end-to-end gig-oriented VT delivery, micro-</w:t>
            </w:r>
            <w:r w:rsidRPr="00AB3326">
              <w:rPr>
                <w:rFonts w:ascii="Arial" w:hAnsi="Arial" w:cs="Arial"/>
                <w:sz w:val="20"/>
                <w:szCs w:val="20"/>
              </w:rPr>
              <w:lastRenderedPageBreak/>
              <w:t>credentials, and mentoring</w:t>
            </w:r>
          </w:p>
        </w:tc>
        <w:tc>
          <w:tcPr>
            <w:tcW w:w="2138" w:type="dxa"/>
          </w:tcPr>
          <w:p w14:paraId="42736533"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lastRenderedPageBreak/>
              <w:t xml:space="preserve">Apply TNA-based integrated competency models to women gig workers; assess transferability beyond digital roles; test effectiveness of </w:t>
            </w:r>
            <w:r w:rsidRPr="00AB3326">
              <w:rPr>
                <w:rFonts w:ascii="Arial" w:hAnsi="Arial" w:cs="Arial"/>
                <w:sz w:val="20"/>
                <w:szCs w:val="20"/>
              </w:rPr>
              <w:lastRenderedPageBreak/>
              <w:t>modular VT for employability and adaptability</w:t>
            </w:r>
          </w:p>
        </w:tc>
      </w:tr>
      <w:tr w:rsidR="001F5E84" w14:paraId="5658567B" w14:textId="77777777" w:rsidTr="00C52F3D">
        <w:tc>
          <w:tcPr>
            <w:tcW w:w="1563" w:type="dxa"/>
          </w:tcPr>
          <w:p w14:paraId="36718F0D" w14:textId="77777777" w:rsidR="001F5E84" w:rsidRPr="00AB3326" w:rsidRDefault="001F5E84" w:rsidP="00D47AB4">
            <w:pPr>
              <w:jc w:val="both"/>
              <w:rPr>
                <w:rFonts w:ascii="Arial" w:hAnsi="Arial" w:cs="Arial"/>
                <w:sz w:val="20"/>
                <w:szCs w:val="20"/>
              </w:rPr>
            </w:pPr>
            <w:r w:rsidRPr="00AB3326">
              <w:rPr>
                <w:rFonts w:ascii="Arial" w:hAnsi="Arial" w:cs="Arial"/>
                <w:sz w:val="20"/>
                <w:szCs w:val="20"/>
              </w:rPr>
              <w:lastRenderedPageBreak/>
              <w:t>Ma et al. (2022)</w:t>
            </w:r>
          </w:p>
        </w:tc>
        <w:tc>
          <w:tcPr>
            <w:tcW w:w="2059" w:type="dxa"/>
            <w:vAlign w:val="center"/>
          </w:tcPr>
          <w:p w14:paraId="3D89C7BB"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Women’s experiences of bias and harassment on gender-agnostic gig platforms</w:t>
            </w:r>
          </w:p>
        </w:tc>
        <w:tc>
          <w:tcPr>
            <w:tcW w:w="1469" w:type="dxa"/>
          </w:tcPr>
          <w:p w14:paraId="69C01AE3"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Interviews with 20 women gig workers</w:t>
            </w:r>
          </w:p>
        </w:tc>
        <w:tc>
          <w:tcPr>
            <w:tcW w:w="2218" w:type="dxa"/>
          </w:tcPr>
          <w:p w14:paraId="09D45B06"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Platforms ignore women’s contributions; weak anti-harassment enforcement; women cope by “brushing off” bias due to fear of work loss</w:t>
            </w:r>
          </w:p>
        </w:tc>
        <w:tc>
          <w:tcPr>
            <w:tcW w:w="2138" w:type="dxa"/>
            <w:vAlign w:val="center"/>
          </w:tcPr>
          <w:p w14:paraId="32B49F84" w14:textId="77777777" w:rsidR="001F5E84" w:rsidRPr="00AB3326" w:rsidRDefault="001F5E84" w:rsidP="00D47AB4">
            <w:pPr>
              <w:spacing w:line="360" w:lineRule="auto"/>
              <w:jc w:val="both"/>
              <w:rPr>
                <w:rFonts w:ascii="Arial" w:hAnsi="Arial" w:cs="Arial"/>
                <w:sz w:val="20"/>
                <w:szCs w:val="20"/>
              </w:rPr>
            </w:pPr>
            <w:r w:rsidRPr="00AB3326">
              <w:rPr>
                <w:rFonts w:ascii="Arial" w:hAnsi="Arial" w:cs="Arial"/>
                <w:sz w:val="20"/>
                <w:szCs w:val="20"/>
              </w:rPr>
              <w:t>Explore how vocational training can incorporate safety, rights awareness, and resilience skills; link VT with platform accountability and gender-sensitive policies</w:t>
            </w:r>
          </w:p>
        </w:tc>
      </w:tr>
    </w:tbl>
    <w:p w14:paraId="22B17680" w14:textId="77777777" w:rsidR="00790ADA" w:rsidRDefault="00790ADA" w:rsidP="00441B6F">
      <w:pPr>
        <w:pStyle w:val="Body"/>
        <w:spacing w:after="0"/>
        <w:rPr>
          <w:rFonts w:ascii="Arial" w:hAnsi="Arial" w:cs="Arial"/>
        </w:rPr>
      </w:pPr>
    </w:p>
    <w:p w14:paraId="7EB717D9" w14:textId="3CC14BBE" w:rsidR="004D7F2F" w:rsidRPr="004D7F2F" w:rsidRDefault="004D7F2F" w:rsidP="004D7F2F">
      <w:pPr>
        <w:spacing w:line="360" w:lineRule="auto"/>
        <w:jc w:val="both"/>
        <w:rPr>
          <w:rFonts w:ascii="Arial" w:hAnsi="Arial" w:cs="Arial"/>
        </w:rPr>
      </w:pPr>
      <w:r w:rsidRPr="004D7F2F">
        <w:rPr>
          <w:rFonts w:ascii="Arial" w:hAnsi="Arial" w:cs="Arial"/>
        </w:rPr>
        <w:t>The table-</w:t>
      </w:r>
      <w:r w:rsidR="00340551">
        <w:rPr>
          <w:rFonts w:ascii="Arial" w:hAnsi="Arial" w:cs="Arial"/>
        </w:rPr>
        <w:t>6</w:t>
      </w:r>
      <w:r w:rsidRPr="004D7F2F">
        <w:rPr>
          <w:rFonts w:ascii="Arial" w:hAnsi="Arial" w:cs="Arial"/>
        </w:rPr>
        <w:t xml:space="preserve"> also </w:t>
      </w:r>
      <w:proofErr w:type="spellStart"/>
      <w:r w:rsidRPr="004D7F2F">
        <w:rPr>
          <w:rFonts w:ascii="Arial" w:hAnsi="Arial" w:cs="Arial"/>
        </w:rPr>
        <w:t>emphasises</w:t>
      </w:r>
      <w:proofErr w:type="spellEnd"/>
      <w:r w:rsidRPr="004D7F2F">
        <w:rPr>
          <w:rFonts w:ascii="Arial" w:hAnsi="Arial" w:cs="Arial"/>
        </w:rPr>
        <w:t xml:space="preserve"> the benefits of improving digital and hybrid skills. Such as, digital literacy education initiatives significantly improve females’ skills, opportunities to access and mobility. Hence, further studies need to look at the way in which linking vocational training and digital literacy may improve females’ participations in online based gig work and close the gender and skills based digital gap. Moreover, there are not any gender-specific training systems in the available literature published. Studies neglect personal and safety elements in support of skills and financial results. Future research needs to take social security, technological biases and safety of workers into consideration and developing vocational trainings.</w:t>
      </w:r>
    </w:p>
    <w:p w14:paraId="0D1BC5A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A6039D" w14:textId="30F2F98C" w:rsidR="00442CAE" w:rsidRPr="00442CAE" w:rsidRDefault="00442CAE" w:rsidP="00442CAE">
      <w:pPr>
        <w:spacing w:line="360" w:lineRule="auto"/>
        <w:jc w:val="both"/>
        <w:rPr>
          <w:rFonts w:ascii="Arial" w:hAnsi="Arial" w:cs="Arial"/>
        </w:rPr>
      </w:pPr>
      <w:r>
        <w:rPr>
          <w:rFonts w:ascii="Arial" w:hAnsi="Arial" w:cs="Arial"/>
        </w:rPr>
        <w:t>The</w:t>
      </w:r>
      <w:r w:rsidRPr="00442CAE">
        <w:rPr>
          <w:rFonts w:ascii="Arial" w:hAnsi="Arial" w:cs="Arial"/>
        </w:rPr>
        <w:t xml:space="preserve"> review provides scholars a vital opportunity to use the data that already exist for systematic analysis purpose and further studies and policy development. The primary concern of this research focused of the components developed to enhance and maintain the accuracy of systematic review studies (Page et al., 2021). This paper explores how vocational training affects women gig workers' presence, skill enhancement and employment outcomes in a job market that is becoming more and more platform-mediated. Also, based on the several papers researchers synthesize data from multiple studies, and shows that informal and formal vocational training is important for women participation, sustain and possibly develop in the gig economy. In order to improve women's ability to handle customer assessments, and fiercely competitive markets, vocational training programs that integrate technological competence with non-technical skills like interpersonal skills, adaptation, and self-management are especially important. Moreover, the result of this study shows that vocational training provides to enhance employability, income stability, self-assurance, and women gig workers in workforce participation, especially for women have mobility limitations, safety issues and household duties. Additionally, Women who acquires vocational training that address both technical and non-technical expertise are better able to manage platform-driven work and interpret customer feedback and react to changing market demand. However, this review paper also reveals that vocational training alone cannot fully counter the fundamental limitations that comes in the gig economy. Also, the employment of women outcomes remains influenced through Persistent gender perception, division of workers and weak power of negotiation and limited access to social assistance.</w:t>
      </w:r>
    </w:p>
    <w:p w14:paraId="7D7B21A9" w14:textId="77777777" w:rsidR="00790ADA" w:rsidRPr="00442CAE" w:rsidRDefault="00790ADA" w:rsidP="00441B6F">
      <w:pPr>
        <w:pStyle w:val="ConcHead"/>
        <w:spacing w:after="0"/>
        <w:jc w:val="both"/>
        <w:rPr>
          <w:rFonts w:ascii="Arial" w:hAnsi="Arial" w:cs="Arial"/>
          <w:sz w:val="20"/>
        </w:rPr>
      </w:pPr>
    </w:p>
    <w:p w14:paraId="33691AF8" w14:textId="77777777" w:rsidR="00790ADA" w:rsidRPr="00FB3A86" w:rsidRDefault="00790ADA" w:rsidP="00441B6F">
      <w:pPr>
        <w:pStyle w:val="Body"/>
        <w:spacing w:after="0"/>
        <w:rPr>
          <w:rFonts w:ascii="Arial" w:hAnsi="Arial" w:cs="Arial"/>
        </w:rPr>
      </w:pPr>
    </w:p>
    <w:p w14:paraId="594E6F3A" w14:textId="77777777" w:rsidR="00644E3C" w:rsidRDefault="00644E3C" w:rsidP="00441B6F">
      <w:pPr>
        <w:pStyle w:val="ReferHead"/>
        <w:spacing w:after="0"/>
        <w:jc w:val="both"/>
        <w:rPr>
          <w:rFonts w:ascii="Arial" w:hAnsi="Arial" w:cs="Arial"/>
          <w:bCs/>
        </w:rPr>
      </w:pPr>
      <w:bookmarkStart w:id="1" w:name="_GoBack"/>
      <w:bookmarkEnd w:id="1"/>
    </w:p>
    <w:p w14:paraId="4B5DD7B9" w14:textId="5591E6C1"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504E183" w14:textId="77777777" w:rsidR="002D50CC" w:rsidRDefault="002D50CC" w:rsidP="002D50CC">
      <w:pPr>
        <w:pStyle w:val="Body"/>
        <w:spacing w:after="0"/>
        <w:rPr>
          <w:rFonts w:ascii="Arial" w:hAnsi="Arial" w:cs="Arial"/>
        </w:rPr>
      </w:pPr>
      <w:r w:rsidRPr="0025329C">
        <w:rPr>
          <w:rFonts w:ascii="Arial" w:hAnsi="Arial" w:cs="Arial"/>
        </w:rPr>
        <w:t>Authors have declared that no competing interests exist.</w:t>
      </w:r>
    </w:p>
    <w:p w14:paraId="0027D0DC" w14:textId="77777777" w:rsidR="00453075" w:rsidRDefault="00453075" w:rsidP="002D50CC">
      <w:pPr>
        <w:pStyle w:val="Body"/>
        <w:spacing w:after="0"/>
        <w:rPr>
          <w:rFonts w:ascii="Arial" w:hAnsi="Arial" w:cs="Arial"/>
        </w:rPr>
      </w:pPr>
    </w:p>
    <w:p w14:paraId="1F5C43D1" w14:textId="77777777" w:rsidR="00792CA8" w:rsidRDefault="00890ECC" w:rsidP="00441B6F">
      <w:pPr>
        <w:pStyle w:val="ReferHead"/>
        <w:spacing w:after="0"/>
        <w:jc w:val="both"/>
        <w:rPr>
          <w:rFonts w:ascii="Arial" w:hAnsi="Arial" w:cs="Arial"/>
        </w:rPr>
      </w:pPr>
      <w:r w:rsidRPr="00890ECC">
        <w:rPr>
          <w:rFonts w:ascii="Arial" w:hAnsi="Arial" w:cs="Arial"/>
        </w:rPr>
        <w:t>Disclaimer (Artificial Intelligence)</w:t>
      </w:r>
    </w:p>
    <w:p w14:paraId="564F52F3" w14:textId="77777777" w:rsidR="001B6519" w:rsidRDefault="001B6519" w:rsidP="00441B6F">
      <w:pPr>
        <w:pStyle w:val="ReferHead"/>
        <w:spacing w:after="0"/>
        <w:jc w:val="both"/>
        <w:rPr>
          <w:rFonts w:ascii="Arial" w:hAnsi="Arial" w:cs="Arial"/>
        </w:rPr>
      </w:pPr>
    </w:p>
    <w:p w14:paraId="1870B49B" w14:textId="77777777" w:rsidR="001B6519" w:rsidRPr="00CE298A" w:rsidRDefault="001B6519" w:rsidP="001B6519">
      <w:pPr>
        <w:jc w:val="both"/>
        <w:rPr>
          <w:rFonts w:ascii="Arial" w:hAnsi="Arial" w:cs="Arial"/>
        </w:rPr>
      </w:pPr>
      <w:r w:rsidRPr="001B6519">
        <w:rPr>
          <w:rFonts w:ascii="Arial" w:hAnsi="Arial" w:cs="Arial"/>
        </w:rPr>
        <w:t>Author(s) hereby declares that no generative ai technologies such as large language models (ChatGPT, copilot, etc.) And text-to-image generators have not been used during the writing or editing of this manuscript.</w:t>
      </w:r>
    </w:p>
    <w:p w14:paraId="284FA130" w14:textId="77777777" w:rsidR="002B685A" w:rsidRDefault="002B685A" w:rsidP="00441B6F">
      <w:pPr>
        <w:pStyle w:val="ReferHead"/>
        <w:spacing w:after="0"/>
        <w:jc w:val="both"/>
        <w:rPr>
          <w:rFonts w:ascii="Arial" w:hAnsi="Arial" w:cs="Arial"/>
          <w:b w:val="0"/>
          <w:caps w:val="0"/>
          <w:sz w:val="20"/>
        </w:rPr>
      </w:pPr>
    </w:p>
    <w:p w14:paraId="3FEE818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BEB1751" w14:textId="77777777" w:rsidR="00790ADA" w:rsidRPr="00FB3A86" w:rsidRDefault="00790ADA" w:rsidP="00441B6F">
      <w:pPr>
        <w:pStyle w:val="ReferHead"/>
        <w:spacing w:after="0"/>
        <w:jc w:val="both"/>
        <w:rPr>
          <w:rFonts w:ascii="Arial" w:hAnsi="Arial" w:cs="Arial"/>
        </w:rPr>
      </w:pPr>
    </w:p>
    <w:p w14:paraId="05735224" w14:textId="4D55234D"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Abraham KG, Haltiwanger J, Sandusky K, Spletzer J. The rise of the gig economy: fact or fiction? AEA Papers and Proceedings [Internet]. 2019 May </w:t>
      </w:r>
      <w:r w:rsidR="00BB22D1" w:rsidRPr="007C1AF0">
        <w:rPr>
          <w:rFonts w:ascii="Times New Roman" w:hAnsi="Times New Roman"/>
          <w:sz w:val="24"/>
          <w:szCs w:val="24"/>
        </w:rPr>
        <w:t>1; 109:357</w:t>
      </w:r>
      <w:r w:rsidRPr="007C1AF0">
        <w:rPr>
          <w:rFonts w:ascii="Times New Roman" w:hAnsi="Times New Roman"/>
          <w:sz w:val="24"/>
          <w:szCs w:val="24"/>
        </w:rPr>
        <w:t xml:space="preserve">–61. Available from: </w:t>
      </w:r>
      <w:hyperlink r:id="rId14" w:history="1">
        <w:r w:rsidRPr="007C1AF0">
          <w:rPr>
            <w:rStyle w:val="Hyperlink"/>
            <w:rFonts w:ascii="Times New Roman" w:hAnsi="Times New Roman"/>
            <w:sz w:val="24"/>
            <w:szCs w:val="24"/>
          </w:rPr>
          <w:t>https://doi.org/10.1257/pandp.20191039</w:t>
        </w:r>
      </w:hyperlink>
    </w:p>
    <w:p w14:paraId="3422EDDE" w14:textId="77777777" w:rsidR="002E15FE" w:rsidRDefault="002E15FE" w:rsidP="007C1AF0">
      <w:pPr>
        <w:pStyle w:val="NormalWeb"/>
        <w:spacing w:before="0" w:beforeAutospacing="0" w:after="0" w:afterAutospacing="0" w:line="360" w:lineRule="auto"/>
        <w:ind w:left="714" w:right="357" w:hanging="720"/>
        <w:jc w:val="both"/>
      </w:pPr>
      <w:r>
        <w:t xml:space="preserve">Adeel, R., Hanif, S., Mariam, S., Tariq, M., &amp; Tayyab, J. (2024). Impact of technology transfer on organizational performance. </w:t>
      </w:r>
      <w:r>
        <w:rPr>
          <w:i/>
          <w:iCs/>
        </w:rPr>
        <w:t>Journal of Excellence in Management Sciences.</w:t>
      </w:r>
      <w:r>
        <w:t xml:space="preserve">, </w:t>
      </w:r>
      <w:r>
        <w:rPr>
          <w:i/>
          <w:iCs/>
        </w:rPr>
        <w:t>3</w:t>
      </w:r>
      <w:r>
        <w:t xml:space="preserve">(3), 82–97. </w:t>
      </w:r>
      <w:hyperlink r:id="rId15" w:history="1">
        <w:r w:rsidRPr="00674822">
          <w:rPr>
            <w:rStyle w:val="Hyperlink"/>
            <w:rFonts w:eastAsiaTheme="majorEastAsia"/>
          </w:rPr>
          <w:t>https://doi.org/10.69565/jems.v3i3.306</w:t>
        </w:r>
      </w:hyperlink>
      <w:r>
        <w:rPr>
          <w:rStyle w:val="url"/>
          <w:rFonts w:eastAsiaTheme="majorEastAsia"/>
        </w:rPr>
        <w:t xml:space="preserve"> </w:t>
      </w:r>
    </w:p>
    <w:p w14:paraId="3B0C3FBB" w14:textId="77777777" w:rsidR="002E15FE" w:rsidRPr="007C1AF0" w:rsidRDefault="002E15FE" w:rsidP="007C1AF0">
      <w:pPr>
        <w:spacing w:line="360" w:lineRule="auto"/>
        <w:ind w:left="714" w:right="357" w:hanging="720"/>
        <w:jc w:val="both"/>
        <w:rPr>
          <w:rStyle w:val="Hyperlink"/>
          <w:rFonts w:ascii="Times New Roman" w:hAnsi="Times New Roman"/>
          <w:sz w:val="24"/>
          <w:szCs w:val="24"/>
        </w:rPr>
      </w:pPr>
      <w:r w:rsidRPr="007C1AF0">
        <w:rPr>
          <w:rFonts w:ascii="Times New Roman" w:hAnsi="Times New Roman"/>
          <w:sz w:val="24"/>
          <w:szCs w:val="24"/>
        </w:rPr>
        <w:t xml:space="preserve">Anwar, I. A., Thomas, M. P., Toyama, K., &amp; Hui, J. (2022). Gig Platforms as Faux Infrastructure: A Case Study of Women Beauty Workers in India. </w:t>
      </w:r>
      <w:r w:rsidRPr="007C1AF0">
        <w:rPr>
          <w:rFonts w:ascii="Times New Roman" w:hAnsi="Times New Roman"/>
          <w:i/>
          <w:iCs/>
          <w:sz w:val="24"/>
          <w:szCs w:val="24"/>
        </w:rPr>
        <w:t>Proceedings of the ACM on Human-Computer Interaction</w:t>
      </w:r>
      <w:r w:rsidRPr="007C1AF0">
        <w:rPr>
          <w:rFonts w:ascii="Times New Roman" w:hAnsi="Times New Roman"/>
          <w:sz w:val="24"/>
          <w:szCs w:val="24"/>
        </w:rPr>
        <w:t xml:space="preserve">, </w:t>
      </w:r>
      <w:r w:rsidRPr="007C1AF0">
        <w:rPr>
          <w:rFonts w:ascii="Times New Roman" w:hAnsi="Times New Roman"/>
          <w:i/>
          <w:iCs/>
          <w:sz w:val="24"/>
          <w:szCs w:val="24"/>
        </w:rPr>
        <w:t>6</w:t>
      </w:r>
      <w:r w:rsidRPr="007C1AF0">
        <w:rPr>
          <w:rFonts w:ascii="Times New Roman" w:hAnsi="Times New Roman"/>
          <w:sz w:val="24"/>
          <w:szCs w:val="24"/>
        </w:rPr>
        <w:t xml:space="preserve">(CSCW2), 1–25. </w:t>
      </w:r>
      <w:hyperlink r:id="rId16" w:history="1">
        <w:r w:rsidRPr="007C1AF0">
          <w:rPr>
            <w:rStyle w:val="Hyperlink"/>
            <w:rFonts w:ascii="Times New Roman" w:hAnsi="Times New Roman"/>
            <w:sz w:val="24"/>
            <w:szCs w:val="24"/>
          </w:rPr>
          <w:t>https://doi.org/10.1145/3555134</w:t>
        </w:r>
      </w:hyperlink>
    </w:p>
    <w:p w14:paraId="5FF5B9DB"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Behl, A., Rajagopal, K., </w:t>
      </w:r>
      <w:proofErr w:type="spellStart"/>
      <w:r w:rsidRPr="007C1AF0">
        <w:rPr>
          <w:rFonts w:ascii="Times New Roman" w:hAnsi="Times New Roman"/>
          <w:sz w:val="24"/>
          <w:szCs w:val="24"/>
        </w:rPr>
        <w:t>Sheorey</w:t>
      </w:r>
      <w:proofErr w:type="spellEnd"/>
      <w:r w:rsidRPr="007C1AF0">
        <w:rPr>
          <w:rFonts w:ascii="Times New Roman" w:hAnsi="Times New Roman"/>
          <w:sz w:val="24"/>
          <w:szCs w:val="24"/>
        </w:rPr>
        <w:t xml:space="preserve">, P., &amp; Mahendra, A. (2022). Barriers to entry of gig workers in the gig platforms: exploring the dark side of the gig economy. </w:t>
      </w:r>
      <w:proofErr w:type="spellStart"/>
      <w:r w:rsidRPr="007C1AF0">
        <w:rPr>
          <w:rFonts w:ascii="Times New Roman" w:hAnsi="Times New Roman"/>
          <w:i/>
          <w:iCs/>
          <w:sz w:val="24"/>
          <w:szCs w:val="24"/>
        </w:rPr>
        <w:t>Aslib</w:t>
      </w:r>
      <w:proofErr w:type="spellEnd"/>
      <w:r w:rsidRPr="007C1AF0">
        <w:rPr>
          <w:rFonts w:ascii="Times New Roman" w:hAnsi="Times New Roman"/>
          <w:i/>
          <w:iCs/>
          <w:sz w:val="24"/>
          <w:szCs w:val="24"/>
        </w:rPr>
        <w:t xml:space="preserve"> Journal of Information Management</w:t>
      </w:r>
      <w:r w:rsidRPr="007C1AF0">
        <w:rPr>
          <w:rFonts w:ascii="Times New Roman" w:hAnsi="Times New Roman"/>
          <w:sz w:val="24"/>
          <w:szCs w:val="24"/>
        </w:rPr>
        <w:t xml:space="preserve">, </w:t>
      </w:r>
      <w:r w:rsidRPr="007C1AF0">
        <w:rPr>
          <w:rFonts w:ascii="Times New Roman" w:hAnsi="Times New Roman"/>
          <w:i/>
          <w:iCs/>
          <w:sz w:val="24"/>
          <w:szCs w:val="24"/>
        </w:rPr>
        <w:t>74</w:t>
      </w:r>
      <w:r w:rsidRPr="007C1AF0">
        <w:rPr>
          <w:rFonts w:ascii="Times New Roman" w:hAnsi="Times New Roman"/>
          <w:sz w:val="24"/>
          <w:szCs w:val="24"/>
        </w:rPr>
        <w:t xml:space="preserve">(5), 818–839. </w:t>
      </w:r>
      <w:hyperlink r:id="rId17" w:history="1">
        <w:r w:rsidRPr="007C1AF0">
          <w:rPr>
            <w:rStyle w:val="Hyperlink"/>
            <w:rFonts w:ascii="Times New Roman" w:hAnsi="Times New Roman"/>
            <w:sz w:val="24"/>
            <w:szCs w:val="24"/>
          </w:rPr>
          <w:t>https://doi.org/10.1108/ajim-08-2021-0235</w:t>
        </w:r>
      </w:hyperlink>
    </w:p>
    <w:p w14:paraId="70E7E6FD"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color w:val="222222"/>
          <w:sz w:val="24"/>
          <w:szCs w:val="24"/>
          <w:shd w:val="clear" w:color="auto" w:fill="FFFFFF"/>
        </w:rPr>
        <w:t>Berg, J., Furrer, M., Harmon, E., Rani, U., &amp; Silberman, M. S. (2018). Digital labour platforms and the future of work: Towards decent work in the online world.</w:t>
      </w:r>
    </w:p>
    <w:p w14:paraId="0B956F59" w14:textId="77777777" w:rsidR="002E15FE" w:rsidRDefault="002E15FE" w:rsidP="007C1AF0">
      <w:pPr>
        <w:pStyle w:val="NormalWeb"/>
        <w:spacing w:before="0" w:beforeAutospacing="0" w:after="0" w:afterAutospacing="0" w:line="360" w:lineRule="auto"/>
        <w:ind w:left="714" w:right="357" w:hanging="720"/>
        <w:jc w:val="both"/>
      </w:pPr>
      <w:r>
        <w:t xml:space="preserve">Brunello, G., &amp; Wruuck, P. (2021). Skill shortages and skill mismatch: A review of the literature. </w:t>
      </w:r>
      <w:r>
        <w:rPr>
          <w:i/>
          <w:iCs/>
        </w:rPr>
        <w:t>Journal of Economic Surveys</w:t>
      </w:r>
      <w:r>
        <w:t xml:space="preserve">, </w:t>
      </w:r>
      <w:r>
        <w:rPr>
          <w:i/>
          <w:iCs/>
        </w:rPr>
        <w:t>35</w:t>
      </w:r>
      <w:r>
        <w:t xml:space="preserve">(4), 1145–1167. </w:t>
      </w:r>
      <w:hyperlink r:id="rId18" w:history="1">
        <w:r w:rsidRPr="00875C8D">
          <w:rPr>
            <w:rStyle w:val="Hyperlink"/>
            <w:rFonts w:eastAsiaTheme="majorEastAsia"/>
          </w:rPr>
          <w:t>https://doi.org/10.1111/joes.12424</w:t>
        </w:r>
      </w:hyperlink>
      <w:r>
        <w:rPr>
          <w:rStyle w:val="url"/>
          <w:rFonts w:eastAsiaTheme="majorEastAsia"/>
        </w:rPr>
        <w:t xml:space="preserve"> </w:t>
      </w:r>
    </w:p>
    <w:p w14:paraId="7EDD717C" w14:textId="77777777" w:rsidR="002E15FE" w:rsidRDefault="002E15FE" w:rsidP="007C1AF0">
      <w:pPr>
        <w:pStyle w:val="NormalWeb"/>
        <w:spacing w:before="0" w:beforeAutospacing="0" w:after="0" w:afterAutospacing="0" w:line="360" w:lineRule="auto"/>
        <w:ind w:left="714" w:right="357" w:hanging="720"/>
        <w:jc w:val="both"/>
      </w:pPr>
      <w:r>
        <w:t xml:space="preserve">Cabral, C., &amp; Dhar, R. L. (2019). Skill development research in India: a systematic literature review and future research agenda. </w:t>
      </w:r>
      <w:r>
        <w:rPr>
          <w:i/>
          <w:iCs/>
        </w:rPr>
        <w:t>Benchmarking an International Journal</w:t>
      </w:r>
      <w:r>
        <w:t xml:space="preserve">, </w:t>
      </w:r>
      <w:r>
        <w:rPr>
          <w:i/>
          <w:iCs/>
        </w:rPr>
        <w:t>26</w:t>
      </w:r>
      <w:r>
        <w:t xml:space="preserve">(7), 2242–2266. </w:t>
      </w:r>
      <w:hyperlink r:id="rId19" w:history="1">
        <w:r w:rsidRPr="00875C8D">
          <w:rPr>
            <w:rStyle w:val="Hyperlink"/>
            <w:rFonts w:eastAsiaTheme="majorEastAsia"/>
          </w:rPr>
          <w:t>https://doi.org/10.1108/bij-07-2018-0211</w:t>
        </w:r>
      </w:hyperlink>
      <w:r>
        <w:rPr>
          <w:rStyle w:val="url"/>
          <w:rFonts w:eastAsiaTheme="majorEastAsia"/>
        </w:rPr>
        <w:t xml:space="preserve"> </w:t>
      </w:r>
    </w:p>
    <w:p w14:paraId="10579F2E" w14:textId="77777777" w:rsidR="002E15FE" w:rsidRPr="007C1AF0" w:rsidRDefault="002E15FE" w:rsidP="007C1AF0">
      <w:pPr>
        <w:spacing w:line="360" w:lineRule="auto"/>
        <w:ind w:left="714" w:right="357" w:hanging="720"/>
        <w:jc w:val="both"/>
        <w:rPr>
          <w:rStyle w:val="Hyperlink"/>
          <w:rFonts w:ascii="Times New Roman" w:hAnsi="Times New Roman"/>
          <w:sz w:val="24"/>
          <w:szCs w:val="24"/>
        </w:rPr>
      </w:pPr>
      <w:r w:rsidRPr="007C1AF0">
        <w:rPr>
          <w:rFonts w:ascii="Times New Roman" w:hAnsi="Times New Roman"/>
          <w:sz w:val="24"/>
          <w:szCs w:val="24"/>
        </w:rPr>
        <w:t xml:space="preserve">Chen, J., Luo, J., &amp; Hu, W. (2023). Fit into work! From formalizing governance of gig platform ecosystems to help gig workers craft their platform work. </w:t>
      </w:r>
      <w:r w:rsidRPr="007C1AF0">
        <w:rPr>
          <w:rFonts w:ascii="Times New Roman" w:hAnsi="Times New Roman"/>
          <w:i/>
          <w:iCs/>
          <w:sz w:val="24"/>
          <w:szCs w:val="24"/>
        </w:rPr>
        <w:t>Decision Support Systems</w:t>
      </w:r>
      <w:r w:rsidRPr="007C1AF0">
        <w:rPr>
          <w:rFonts w:ascii="Times New Roman" w:hAnsi="Times New Roman"/>
          <w:sz w:val="24"/>
          <w:szCs w:val="24"/>
        </w:rPr>
        <w:t xml:space="preserve">, 114016. </w:t>
      </w:r>
      <w:hyperlink r:id="rId20" w:history="1">
        <w:r w:rsidRPr="007C1AF0">
          <w:rPr>
            <w:rStyle w:val="Hyperlink"/>
            <w:rFonts w:ascii="Times New Roman" w:hAnsi="Times New Roman"/>
            <w:sz w:val="24"/>
            <w:szCs w:val="24"/>
          </w:rPr>
          <w:t>https://doi.org/10.1016/j.dss.2023.114016</w:t>
        </w:r>
      </w:hyperlink>
    </w:p>
    <w:p w14:paraId="0C826861" w14:textId="77777777" w:rsidR="002E15FE" w:rsidRDefault="002E15FE" w:rsidP="007C1AF0">
      <w:pPr>
        <w:pStyle w:val="NormalWeb"/>
        <w:spacing w:before="0" w:beforeAutospacing="0" w:after="0" w:afterAutospacing="0" w:line="360" w:lineRule="auto"/>
        <w:ind w:left="714" w:right="357" w:hanging="720"/>
        <w:jc w:val="both"/>
      </w:pPr>
      <w:r>
        <w:t xml:space="preserve">Chen, Z., Lan, X., Piao, J., Zhang, Y., &amp; Li, Y. (2022). A Mixed-Methods analysis of the Algorithm-Mediated labor of online food deliverers in China. </w:t>
      </w:r>
      <w:r>
        <w:rPr>
          <w:i/>
          <w:iCs/>
        </w:rPr>
        <w:t>Proceedings of the ACM on Human-Computer Interaction</w:t>
      </w:r>
      <w:r>
        <w:t xml:space="preserve">, </w:t>
      </w:r>
      <w:r>
        <w:rPr>
          <w:i/>
          <w:iCs/>
        </w:rPr>
        <w:t>6</w:t>
      </w:r>
      <w:r>
        <w:t xml:space="preserve">(CSCW2), 1–24. </w:t>
      </w:r>
      <w:hyperlink r:id="rId21" w:history="1">
        <w:r w:rsidRPr="00875C8D">
          <w:rPr>
            <w:rStyle w:val="Hyperlink"/>
            <w:rFonts w:eastAsiaTheme="majorEastAsia"/>
          </w:rPr>
          <w:t>https://doi.org/10.1145/3555585</w:t>
        </w:r>
      </w:hyperlink>
      <w:r>
        <w:rPr>
          <w:rStyle w:val="url"/>
          <w:rFonts w:eastAsiaTheme="majorEastAsia"/>
        </w:rPr>
        <w:t xml:space="preserve"> </w:t>
      </w:r>
    </w:p>
    <w:p w14:paraId="01EAFB5A" w14:textId="77777777" w:rsidR="002E15FE" w:rsidRDefault="002E15FE" w:rsidP="007C1AF0">
      <w:pPr>
        <w:pStyle w:val="NormalWeb"/>
        <w:spacing w:before="0" w:beforeAutospacing="0" w:after="0" w:afterAutospacing="0" w:line="360" w:lineRule="auto"/>
        <w:ind w:left="714" w:right="357" w:hanging="720"/>
        <w:jc w:val="both"/>
      </w:pPr>
      <w:r>
        <w:lastRenderedPageBreak/>
        <w:t xml:space="preserve">Cox, J. A., Read, G. J. M., Butler, G. L., &amp; Salmon, P. M. (2023). Examining gender differences in gig worker safety. </w:t>
      </w:r>
      <w:r>
        <w:rPr>
          <w:i/>
          <w:iCs/>
        </w:rPr>
        <w:t>Human Factors and Ergonomics in Manufacturing &amp; Service Industries</w:t>
      </w:r>
      <w:r>
        <w:t xml:space="preserve">, </w:t>
      </w:r>
      <w:r>
        <w:rPr>
          <w:i/>
          <w:iCs/>
        </w:rPr>
        <w:t>34</w:t>
      </w:r>
      <w:r>
        <w:t xml:space="preserve">(1), 3–15. </w:t>
      </w:r>
      <w:hyperlink r:id="rId22" w:history="1">
        <w:r w:rsidRPr="00875C8D">
          <w:rPr>
            <w:rStyle w:val="Hyperlink"/>
            <w:rFonts w:eastAsiaTheme="majorEastAsia"/>
          </w:rPr>
          <w:t>https://doi.org/10.1002/hfm.21007</w:t>
        </w:r>
      </w:hyperlink>
      <w:r>
        <w:rPr>
          <w:rStyle w:val="url"/>
          <w:rFonts w:eastAsiaTheme="majorEastAsia"/>
        </w:rPr>
        <w:t xml:space="preserve"> </w:t>
      </w:r>
    </w:p>
    <w:p w14:paraId="2EB96252"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Datta N, Rong C, Singh S, </w:t>
      </w:r>
      <w:proofErr w:type="spellStart"/>
      <w:r w:rsidRPr="007C1AF0">
        <w:rPr>
          <w:rFonts w:ascii="Times New Roman" w:hAnsi="Times New Roman"/>
          <w:sz w:val="24"/>
          <w:szCs w:val="24"/>
        </w:rPr>
        <w:t>Stinshoff</w:t>
      </w:r>
      <w:proofErr w:type="spellEnd"/>
      <w:r w:rsidRPr="007C1AF0">
        <w:rPr>
          <w:rFonts w:ascii="Times New Roman" w:hAnsi="Times New Roman"/>
          <w:sz w:val="24"/>
          <w:szCs w:val="24"/>
        </w:rPr>
        <w:t xml:space="preserve"> C, </w:t>
      </w:r>
      <w:proofErr w:type="spellStart"/>
      <w:r w:rsidRPr="007C1AF0">
        <w:rPr>
          <w:rFonts w:ascii="Times New Roman" w:hAnsi="Times New Roman"/>
          <w:sz w:val="24"/>
          <w:szCs w:val="24"/>
        </w:rPr>
        <w:t>Iacob</w:t>
      </w:r>
      <w:proofErr w:type="spellEnd"/>
      <w:r w:rsidRPr="007C1AF0">
        <w:rPr>
          <w:rFonts w:ascii="Times New Roman" w:hAnsi="Times New Roman"/>
          <w:sz w:val="24"/>
          <w:szCs w:val="24"/>
        </w:rPr>
        <w:t xml:space="preserve"> N, Nigatu NS, et al. Working Without Borders: The promise and peril of online gig work [Internet]. Washington, DC: World Bank eBooks. 2023. Available from: </w:t>
      </w:r>
      <w:hyperlink r:id="rId23" w:history="1">
        <w:r w:rsidRPr="007C1AF0">
          <w:rPr>
            <w:rStyle w:val="Hyperlink"/>
            <w:rFonts w:ascii="Times New Roman" w:hAnsi="Times New Roman"/>
            <w:sz w:val="24"/>
            <w:szCs w:val="24"/>
          </w:rPr>
          <w:t>https://doi.org/10.1596/40066</w:t>
        </w:r>
      </w:hyperlink>
      <w:r w:rsidRPr="007C1AF0">
        <w:rPr>
          <w:rFonts w:ascii="Times New Roman" w:hAnsi="Times New Roman"/>
          <w:sz w:val="24"/>
          <w:szCs w:val="24"/>
        </w:rPr>
        <w:t xml:space="preserve"> </w:t>
      </w:r>
    </w:p>
    <w:p w14:paraId="18FDA73B"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color w:val="222222"/>
          <w:sz w:val="24"/>
          <w:szCs w:val="24"/>
          <w:shd w:val="clear" w:color="auto" w:fill="FFFFFF"/>
        </w:rPr>
        <w:t>Daud, M. F. (2013). How effective is the assessment of generic skills gained by Technical Vocational Education and Training (TVET) of engineering students engaged in Problem-Based Learning (PBL</w:t>
      </w:r>
      <w:proofErr w:type="gramStart"/>
      <w:r w:rsidRPr="007C1AF0">
        <w:rPr>
          <w:rFonts w:ascii="Times New Roman" w:hAnsi="Times New Roman"/>
          <w:color w:val="222222"/>
          <w:sz w:val="24"/>
          <w:szCs w:val="24"/>
          <w:shd w:val="clear" w:color="auto" w:fill="FFFFFF"/>
        </w:rPr>
        <w:t>)?–</w:t>
      </w:r>
      <w:proofErr w:type="gramEnd"/>
      <w:r w:rsidRPr="007C1AF0">
        <w:rPr>
          <w:rFonts w:ascii="Times New Roman" w:hAnsi="Times New Roman"/>
          <w:color w:val="222222"/>
          <w:sz w:val="24"/>
          <w:szCs w:val="24"/>
          <w:shd w:val="clear" w:color="auto" w:fill="FFFFFF"/>
        </w:rPr>
        <w:t>A Literature Review. </w:t>
      </w:r>
      <w:r w:rsidRPr="007C1AF0">
        <w:rPr>
          <w:rFonts w:ascii="Times New Roman" w:hAnsi="Times New Roman"/>
          <w:i/>
          <w:iCs/>
          <w:color w:val="222222"/>
          <w:sz w:val="24"/>
          <w:szCs w:val="24"/>
          <w:shd w:val="clear" w:color="auto" w:fill="FFFFFF"/>
        </w:rPr>
        <w:t>PBL Across Cultures</w:t>
      </w:r>
      <w:r w:rsidRPr="007C1AF0">
        <w:rPr>
          <w:rFonts w:ascii="Times New Roman" w:hAnsi="Times New Roman"/>
          <w:color w:val="222222"/>
          <w:sz w:val="24"/>
          <w:szCs w:val="24"/>
          <w:shd w:val="clear" w:color="auto" w:fill="FFFFFF"/>
        </w:rPr>
        <w:t>, </w:t>
      </w:r>
      <w:r w:rsidRPr="007C1AF0">
        <w:rPr>
          <w:rFonts w:ascii="Times New Roman" w:hAnsi="Times New Roman"/>
          <w:i/>
          <w:iCs/>
          <w:color w:val="222222"/>
          <w:sz w:val="24"/>
          <w:szCs w:val="24"/>
          <w:shd w:val="clear" w:color="auto" w:fill="FFFFFF"/>
        </w:rPr>
        <w:t>88</w:t>
      </w:r>
      <w:r w:rsidRPr="007C1AF0">
        <w:rPr>
          <w:rFonts w:ascii="Times New Roman" w:hAnsi="Times New Roman"/>
          <w:color w:val="222222"/>
          <w:sz w:val="24"/>
          <w:szCs w:val="24"/>
          <w:shd w:val="clear" w:color="auto" w:fill="FFFFFF"/>
        </w:rPr>
        <w:t>.</w:t>
      </w:r>
    </w:p>
    <w:p w14:paraId="560538D5"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De Stefano, V. (2016). The rise of the “just-in-time workforce”: On-demand work, crowd work and labour protection in the “gig-economy.” </w:t>
      </w:r>
      <w:r w:rsidRPr="007C1AF0">
        <w:rPr>
          <w:rFonts w:ascii="Times New Roman" w:hAnsi="Times New Roman"/>
          <w:i/>
          <w:iCs/>
          <w:sz w:val="24"/>
          <w:szCs w:val="24"/>
        </w:rPr>
        <w:t>Comparative Labor Law and Policy Journal</w:t>
      </w:r>
      <w:r w:rsidRPr="007C1AF0">
        <w:rPr>
          <w:rFonts w:ascii="Times New Roman" w:hAnsi="Times New Roman"/>
          <w:sz w:val="24"/>
          <w:szCs w:val="24"/>
        </w:rPr>
        <w:t xml:space="preserve">, </w:t>
      </w:r>
      <w:r w:rsidRPr="007C1AF0">
        <w:rPr>
          <w:rFonts w:ascii="Times New Roman" w:hAnsi="Times New Roman"/>
          <w:i/>
          <w:iCs/>
          <w:sz w:val="24"/>
          <w:szCs w:val="24"/>
        </w:rPr>
        <w:t>37</w:t>
      </w:r>
      <w:r w:rsidRPr="007C1AF0">
        <w:rPr>
          <w:rFonts w:ascii="Times New Roman" w:hAnsi="Times New Roman"/>
          <w:sz w:val="24"/>
          <w:szCs w:val="24"/>
        </w:rPr>
        <w:t xml:space="preserve">(3), 461–471. </w:t>
      </w:r>
      <w:hyperlink r:id="rId24" w:history="1">
        <w:r w:rsidRPr="007C1AF0">
          <w:rPr>
            <w:rStyle w:val="Hyperlink"/>
            <w:rFonts w:ascii="Times New Roman" w:hAnsi="Times New Roman"/>
            <w:sz w:val="24"/>
            <w:szCs w:val="24"/>
          </w:rPr>
          <w:t>https://doi.org/10.2139/SSRN.2682602</w:t>
        </w:r>
      </w:hyperlink>
    </w:p>
    <w:p w14:paraId="21621846" w14:textId="77777777" w:rsidR="002E15FE" w:rsidRPr="00760759" w:rsidRDefault="002E15FE" w:rsidP="007C1AF0">
      <w:pPr>
        <w:spacing w:line="360" w:lineRule="auto"/>
        <w:ind w:left="714" w:right="357" w:hanging="720"/>
        <w:jc w:val="both"/>
        <w:rPr>
          <w:rFonts w:ascii="Times New Roman" w:hAnsi="Times New Roman"/>
          <w:sz w:val="24"/>
          <w:szCs w:val="24"/>
          <w:lang w:val="es-US"/>
        </w:rPr>
      </w:pPr>
      <w:r w:rsidRPr="007C1AF0">
        <w:rPr>
          <w:rFonts w:ascii="Times New Roman" w:hAnsi="Times New Roman"/>
          <w:sz w:val="24"/>
          <w:szCs w:val="24"/>
        </w:rPr>
        <w:t xml:space="preserve">Dhar, D., &amp; Thuppilikkat, A. A. (2022). </w:t>
      </w:r>
      <w:r w:rsidRPr="007C1AF0">
        <w:rPr>
          <w:rFonts w:ascii="Times New Roman" w:hAnsi="Times New Roman"/>
          <w:i/>
          <w:iCs/>
          <w:sz w:val="24"/>
          <w:szCs w:val="24"/>
        </w:rPr>
        <w:t xml:space="preserve">Gendered </w:t>
      </w:r>
      <w:proofErr w:type="spellStart"/>
      <w:r w:rsidRPr="007C1AF0">
        <w:rPr>
          <w:rFonts w:ascii="Times New Roman" w:hAnsi="Times New Roman"/>
          <w:i/>
          <w:iCs/>
          <w:sz w:val="24"/>
          <w:szCs w:val="24"/>
        </w:rPr>
        <w:t>labour’s</w:t>
      </w:r>
      <w:proofErr w:type="spellEnd"/>
      <w:r w:rsidRPr="007C1AF0">
        <w:rPr>
          <w:rFonts w:ascii="Times New Roman" w:hAnsi="Times New Roman"/>
          <w:i/>
          <w:iCs/>
          <w:sz w:val="24"/>
          <w:szCs w:val="24"/>
        </w:rPr>
        <w:t xml:space="preserve"> positions of vulnerabilities in digital labour platforms and strategies of resistance: a case study of women workers’ struggle in Urban Company, New Delhi</w:t>
      </w:r>
      <w:r w:rsidRPr="007C1AF0">
        <w:rPr>
          <w:rFonts w:ascii="Times New Roman" w:hAnsi="Times New Roman"/>
          <w:sz w:val="24"/>
          <w:szCs w:val="24"/>
        </w:rPr>
        <w:t xml:space="preserve">. </w:t>
      </w:r>
      <w:r w:rsidRPr="00760759">
        <w:rPr>
          <w:rFonts w:ascii="Times New Roman" w:hAnsi="Times New Roman"/>
          <w:i/>
          <w:iCs/>
          <w:sz w:val="24"/>
          <w:szCs w:val="24"/>
          <w:lang w:val="es-US"/>
        </w:rPr>
        <w:t>30</w:t>
      </w:r>
      <w:r w:rsidRPr="00760759">
        <w:rPr>
          <w:rFonts w:ascii="Times New Roman" w:hAnsi="Times New Roman"/>
          <w:sz w:val="24"/>
          <w:szCs w:val="24"/>
          <w:lang w:val="es-US"/>
        </w:rPr>
        <w:t xml:space="preserve">(3), 667–686. </w:t>
      </w:r>
      <w:hyperlink r:id="rId25" w:history="1">
        <w:r w:rsidRPr="00760759">
          <w:rPr>
            <w:rStyle w:val="Hyperlink"/>
            <w:rFonts w:ascii="Times New Roman" w:hAnsi="Times New Roman"/>
            <w:sz w:val="24"/>
            <w:szCs w:val="24"/>
            <w:lang w:val="es-US"/>
          </w:rPr>
          <w:t>https://doi.org/10.1080/13552074.2022.2127574</w:t>
        </w:r>
      </w:hyperlink>
    </w:p>
    <w:p w14:paraId="4B4A078D" w14:textId="77777777" w:rsidR="002E15FE" w:rsidRDefault="002E15FE" w:rsidP="007C1AF0">
      <w:pPr>
        <w:pStyle w:val="NormalWeb"/>
        <w:spacing w:before="0" w:beforeAutospacing="0" w:after="0" w:afterAutospacing="0" w:line="360" w:lineRule="auto"/>
        <w:ind w:left="714" w:right="357" w:hanging="720"/>
        <w:jc w:val="both"/>
      </w:pPr>
      <w:r w:rsidRPr="00760759">
        <w:rPr>
          <w:lang w:val="es-US"/>
        </w:rPr>
        <w:t xml:space="preserve">F, N., MA, Rivera, V. A., Yao, Z., &amp; Yoon, D. (2022). </w:t>
      </w:r>
      <w:r>
        <w:t xml:space="preserve">“Brush it Off”: How Women Workers Manage and Cope with Bias and Harassment in Gender-agnostic Gig Platforms. </w:t>
      </w:r>
      <w:r>
        <w:rPr>
          <w:i/>
          <w:iCs/>
        </w:rPr>
        <w:t>CHI Conference on Human Factors in Computing Systems</w:t>
      </w:r>
      <w:r>
        <w:t xml:space="preserve">, 1–13. </w:t>
      </w:r>
      <w:hyperlink r:id="rId26" w:history="1">
        <w:r w:rsidRPr="00674822">
          <w:rPr>
            <w:rStyle w:val="Hyperlink"/>
            <w:rFonts w:eastAsiaTheme="majorEastAsia"/>
          </w:rPr>
          <w:t>https://doi.org/10.1145/3491102.3517524</w:t>
        </w:r>
      </w:hyperlink>
      <w:r>
        <w:rPr>
          <w:rStyle w:val="url"/>
          <w:rFonts w:eastAsiaTheme="majorEastAsia"/>
        </w:rPr>
        <w:t xml:space="preserve"> </w:t>
      </w:r>
    </w:p>
    <w:p w14:paraId="7210890E"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Frenzel-Piasentin, A., Glaser, K., Toutaoui, J., &amp; Veit, D. J. (2022). “No matter I’ll be selected; in the next challenge I will be better!” – Understanding Non-Technical Skill Development in the Gig Economy. Proceedings of the . . . Annual Hawaii International Conference on System Sciences/Proceedings of the Annual Hawaii International Conference on System Sciences. </w:t>
      </w:r>
      <w:hyperlink r:id="rId27" w:history="1">
        <w:r w:rsidRPr="007C1AF0">
          <w:rPr>
            <w:rStyle w:val="Hyperlink"/>
            <w:rFonts w:ascii="Times New Roman" w:hAnsi="Times New Roman"/>
            <w:sz w:val="24"/>
            <w:szCs w:val="24"/>
          </w:rPr>
          <w:t>https://doi.org/10.24251/hicss.2022.545</w:t>
        </w:r>
      </w:hyperlink>
      <w:r w:rsidRPr="007C1AF0">
        <w:rPr>
          <w:rFonts w:ascii="Times New Roman" w:hAnsi="Times New Roman"/>
          <w:sz w:val="24"/>
          <w:szCs w:val="24"/>
        </w:rPr>
        <w:t xml:space="preserve"> </w:t>
      </w:r>
    </w:p>
    <w:p w14:paraId="7F66E04F" w14:textId="77777777" w:rsidR="002E15FE" w:rsidRDefault="002E15FE" w:rsidP="007C1AF0">
      <w:pPr>
        <w:spacing w:line="360" w:lineRule="auto"/>
        <w:ind w:left="714" w:right="357" w:hanging="720"/>
        <w:jc w:val="both"/>
      </w:pPr>
      <w:r w:rsidRPr="007C1AF0">
        <w:rPr>
          <w:rFonts w:ascii="Times New Roman" w:hAnsi="Times New Roman"/>
          <w:sz w:val="24"/>
          <w:szCs w:val="24"/>
        </w:rPr>
        <w:t xml:space="preserve">Friedman G. Workers without employers: shadow corporations and the rise of the gig economy. Review of Keynesian Economics [Internet]. 2014 Apr 1;2(2):171–88. Available from: </w:t>
      </w:r>
      <w:hyperlink r:id="rId28" w:history="1">
        <w:r w:rsidRPr="007C1AF0">
          <w:rPr>
            <w:rStyle w:val="Hyperlink"/>
            <w:rFonts w:ascii="Times New Roman" w:hAnsi="Times New Roman"/>
            <w:sz w:val="24"/>
            <w:szCs w:val="24"/>
          </w:rPr>
          <w:t>https://doi.org/10.4337/roke.2014.02.03</w:t>
        </w:r>
      </w:hyperlink>
    </w:p>
    <w:p w14:paraId="28B82B37"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Galperin, H. (2019). “This Gig Is Not for Women”: Gender Stereotyping in Online Hiring. </w:t>
      </w:r>
      <w:r w:rsidRPr="007C1AF0">
        <w:rPr>
          <w:rFonts w:ascii="Times New Roman" w:hAnsi="Times New Roman"/>
          <w:i/>
          <w:iCs/>
          <w:sz w:val="24"/>
          <w:szCs w:val="24"/>
        </w:rPr>
        <w:t>Social Science Computer Review</w:t>
      </w:r>
      <w:r w:rsidRPr="007C1AF0">
        <w:rPr>
          <w:rFonts w:ascii="Times New Roman" w:hAnsi="Times New Roman"/>
          <w:sz w:val="24"/>
          <w:szCs w:val="24"/>
        </w:rPr>
        <w:t xml:space="preserve">, 089443931989575.  </w:t>
      </w:r>
      <w:hyperlink r:id="rId29" w:history="1">
        <w:r w:rsidRPr="007C1AF0">
          <w:rPr>
            <w:rStyle w:val="Hyperlink"/>
            <w:rFonts w:ascii="Times New Roman" w:hAnsi="Times New Roman"/>
            <w:sz w:val="24"/>
            <w:szCs w:val="24"/>
          </w:rPr>
          <w:t>https://doi.org/10.1177/0894439319895757</w:t>
        </w:r>
      </w:hyperlink>
    </w:p>
    <w:p w14:paraId="3C5EA1D7" w14:textId="77777777" w:rsidR="002E15FE" w:rsidRDefault="002E15FE" w:rsidP="007C1AF0">
      <w:pPr>
        <w:pStyle w:val="NormalWeb"/>
        <w:spacing w:before="0" w:beforeAutospacing="0" w:after="0" w:afterAutospacing="0" w:line="360" w:lineRule="auto"/>
        <w:ind w:left="714" w:right="357" w:hanging="720"/>
        <w:jc w:val="both"/>
      </w:pPr>
      <w:r>
        <w:t xml:space="preserve">Gogoi, A., Manoranjini, M., &amp; Gupta, M. (2025). Design and implementation of digital literacy training programme: Findings of a quasi- experimental study from rural India. </w:t>
      </w:r>
      <w:r>
        <w:rPr>
          <w:i/>
          <w:iCs/>
        </w:rPr>
        <w:t>PLOS Digital Health</w:t>
      </w:r>
      <w:r>
        <w:t xml:space="preserve">, </w:t>
      </w:r>
      <w:r>
        <w:rPr>
          <w:i/>
          <w:iCs/>
        </w:rPr>
        <w:t>4</w:t>
      </w:r>
      <w:r>
        <w:t xml:space="preserve">(4), e0000617. </w:t>
      </w:r>
      <w:hyperlink r:id="rId30" w:history="1">
        <w:r w:rsidRPr="00674822">
          <w:rPr>
            <w:rStyle w:val="Hyperlink"/>
            <w:rFonts w:eastAsiaTheme="majorEastAsia"/>
          </w:rPr>
          <w:t>https://doi.org/10.1371/journal.pdig.0000617</w:t>
        </w:r>
      </w:hyperlink>
      <w:r>
        <w:rPr>
          <w:rStyle w:val="url"/>
          <w:rFonts w:eastAsiaTheme="majorEastAsia"/>
        </w:rPr>
        <w:t xml:space="preserve"> </w:t>
      </w:r>
    </w:p>
    <w:p w14:paraId="15738C2D"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Graham, M., Hjorth, I., &amp; Lehdonvirta, V. (2017). Digital labour and development: impacts of global digital labour platforms and the gig economy on worker livelihoods. </w:t>
      </w:r>
      <w:r w:rsidRPr="007C1AF0">
        <w:rPr>
          <w:rFonts w:ascii="Times New Roman" w:hAnsi="Times New Roman"/>
          <w:i/>
          <w:iCs/>
          <w:sz w:val="24"/>
          <w:szCs w:val="24"/>
        </w:rPr>
        <w:t>Transfer: European Review of Labour and Research</w:t>
      </w:r>
      <w:r w:rsidRPr="007C1AF0">
        <w:rPr>
          <w:rFonts w:ascii="Times New Roman" w:hAnsi="Times New Roman"/>
          <w:sz w:val="24"/>
          <w:szCs w:val="24"/>
        </w:rPr>
        <w:t xml:space="preserve">, </w:t>
      </w:r>
      <w:r w:rsidRPr="007C1AF0">
        <w:rPr>
          <w:rFonts w:ascii="Times New Roman" w:hAnsi="Times New Roman"/>
          <w:i/>
          <w:iCs/>
          <w:sz w:val="24"/>
          <w:szCs w:val="24"/>
        </w:rPr>
        <w:t>23</w:t>
      </w:r>
      <w:r w:rsidRPr="007C1AF0">
        <w:rPr>
          <w:rFonts w:ascii="Times New Roman" w:hAnsi="Times New Roman"/>
          <w:sz w:val="24"/>
          <w:szCs w:val="24"/>
        </w:rPr>
        <w:t xml:space="preserve">(2), 135–162. </w:t>
      </w:r>
      <w:hyperlink r:id="rId31" w:history="1">
        <w:r w:rsidRPr="007C1AF0">
          <w:rPr>
            <w:rStyle w:val="Hyperlink"/>
            <w:rFonts w:ascii="Times New Roman" w:hAnsi="Times New Roman"/>
            <w:sz w:val="24"/>
            <w:szCs w:val="24"/>
          </w:rPr>
          <w:t>https://doi.org/10.1177/1024258916687250</w:t>
        </w:r>
      </w:hyperlink>
    </w:p>
    <w:p w14:paraId="0CD55060" w14:textId="77777777" w:rsidR="002E15FE" w:rsidRDefault="002E15FE" w:rsidP="007C1AF0">
      <w:pPr>
        <w:pStyle w:val="NormalWeb"/>
        <w:spacing w:before="0" w:beforeAutospacing="0" w:after="0" w:afterAutospacing="0" w:line="360" w:lineRule="auto"/>
        <w:ind w:left="714" w:right="357" w:hanging="720"/>
        <w:jc w:val="both"/>
      </w:pPr>
      <w:r>
        <w:lastRenderedPageBreak/>
        <w:t xml:space="preserve">Hasan, A., Singhal, A., Sikarwar, P., Prakash, K., </w:t>
      </w:r>
      <w:proofErr w:type="spellStart"/>
      <w:r>
        <w:t>Raghuwanshi</w:t>
      </w:r>
      <w:proofErr w:type="spellEnd"/>
      <w:r>
        <w:t xml:space="preserve">, S., Singh, P. R., Mishra, A., &amp; Gupta, D. (2023). Impact of destination image antecedents on tourists Revisit intention in India. </w:t>
      </w:r>
      <w:r>
        <w:rPr>
          <w:i/>
          <w:iCs/>
        </w:rPr>
        <w:t>Journal of Law and Sustainable Development</w:t>
      </w:r>
      <w:r>
        <w:t xml:space="preserve">, </w:t>
      </w:r>
      <w:r>
        <w:rPr>
          <w:i/>
          <w:iCs/>
        </w:rPr>
        <w:t>11</w:t>
      </w:r>
      <w:r>
        <w:t xml:space="preserve">(7), e843. </w:t>
      </w:r>
      <w:hyperlink r:id="rId32" w:history="1">
        <w:r w:rsidRPr="00875C8D">
          <w:rPr>
            <w:rStyle w:val="Hyperlink"/>
            <w:rFonts w:eastAsiaTheme="majorEastAsia"/>
          </w:rPr>
          <w:t>https://doi.org/10.55908/sdgs.v11i7.843</w:t>
        </w:r>
      </w:hyperlink>
      <w:r>
        <w:rPr>
          <w:rStyle w:val="url"/>
          <w:rFonts w:eastAsiaTheme="majorEastAsia"/>
        </w:rPr>
        <w:t xml:space="preserve"> </w:t>
      </w:r>
    </w:p>
    <w:p w14:paraId="6E7924ED" w14:textId="77777777" w:rsidR="002E15FE" w:rsidRDefault="002E15FE" w:rsidP="007C1AF0">
      <w:pPr>
        <w:pStyle w:val="NormalWeb"/>
        <w:spacing w:before="0" w:beforeAutospacing="0" w:after="0" w:afterAutospacing="0" w:line="360" w:lineRule="auto"/>
        <w:ind w:left="714" w:right="357" w:hanging="720"/>
        <w:jc w:val="both"/>
      </w:pPr>
      <w:r>
        <w:t xml:space="preserve">Idowu, A., &amp; Elbanna, A. (2020). Digital platforms of work and the crafting of career path: The Crowdworkers’ perspective. </w:t>
      </w:r>
      <w:r>
        <w:rPr>
          <w:i/>
          <w:iCs/>
        </w:rPr>
        <w:t>Information Systems Frontiers</w:t>
      </w:r>
      <w:r>
        <w:t xml:space="preserve">, </w:t>
      </w:r>
      <w:r>
        <w:rPr>
          <w:i/>
          <w:iCs/>
        </w:rPr>
        <w:t>24</w:t>
      </w:r>
      <w:r>
        <w:t xml:space="preserve">(2), 441–457. </w:t>
      </w:r>
      <w:hyperlink r:id="rId33" w:history="1">
        <w:r w:rsidRPr="00875C8D">
          <w:rPr>
            <w:rStyle w:val="Hyperlink"/>
            <w:rFonts w:eastAsiaTheme="majorEastAsia"/>
          </w:rPr>
          <w:t>https://doi.org/10.1007/s10796-020-10036-1</w:t>
        </w:r>
      </w:hyperlink>
      <w:r>
        <w:rPr>
          <w:rStyle w:val="url"/>
          <w:rFonts w:eastAsiaTheme="majorEastAsia"/>
        </w:rPr>
        <w:t xml:space="preserve"> </w:t>
      </w:r>
    </w:p>
    <w:p w14:paraId="388A7ED3"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James, A. M. (2022). Women in the gig economy: feminising ‘digital labour.’ </w:t>
      </w:r>
      <w:r w:rsidRPr="007C1AF0">
        <w:rPr>
          <w:rFonts w:ascii="Times New Roman" w:hAnsi="Times New Roman"/>
          <w:i/>
          <w:iCs/>
          <w:sz w:val="24"/>
          <w:szCs w:val="24"/>
        </w:rPr>
        <w:t>Work in the Global Economy</w:t>
      </w:r>
      <w:r w:rsidRPr="007C1AF0">
        <w:rPr>
          <w:rFonts w:ascii="Times New Roman" w:hAnsi="Times New Roman"/>
          <w:sz w:val="24"/>
          <w:szCs w:val="24"/>
        </w:rPr>
        <w:t xml:space="preserve">, </w:t>
      </w:r>
      <w:r w:rsidRPr="007C1AF0">
        <w:rPr>
          <w:rFonts w:ascii="Times New Roman" w:hAnsi="Times New Roman"/>
          <w:i/>
          <w:iCs/>
          <w:sz w:val="24"/>
          <w:szCs w:val="24"/>
        </w:rPr>
        <w:t>2</w:t>
      </w:r>
      <w:r w:rsidRPr="007C1AF0">
        <w:rPr>
          <w:rFonts w:ascii="Times New Roman" w:hAnsi="Times New Roman"/>
          <w:sz w:val="24"/>
          <w:szCs w:val="24"/>
        </w:rPr>
        <w:t xml:space="preserve">(1), 2–26. </w:t>
      </w:r>
      <w:hyperlink r:id="rId34" w:history="1">
        <w:r w:rsidRPr="007C1AF0">
          <w:rPr>
            <w:rStyle w:val="Hyperlink"/>
            <w:rFonts w:ascii="Times New Roman" w:hAnsi="Times New Roman"/>
            <w:sz w:val="24"/>
            <w:szCs w:val="24"/>
          </w:rPr>
          <w:t>https://doi.org/10.1332/273241721x16448410652000</w:t>
        </w:r>
      </w:hyperlink>
    </w:p>
    <w:p w14:paraId="34303FB1"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Kajwang, B. (2022). Role of the gig economy in the insurance sector. </w:t>
      </w:r>
      <w:r w:rsidRPr="007C1AF0">
        <w:rPr>
          <w:rFonts w:ascii="Times New Roman" w:hAnsi="Times New Roman"/>
          <w:i/>
          <w:iCs/>
          <w:sz w:val="24"/>
          <w:szCs w:val="24"/>
        </w:rPr>
        <w:t>Journal of Business and Strategic Management</w:t>
      </w:r>
      <w:r w:rsidRPr="007C1AF0">
        <w:rPr>
          <w:rFonts w:ascii="Times New Roman" w:hAnsi="Times New Roman"/>
          <w:sz w:val="24"/>
          <w:szCs w:val="24"/>
        </w:rPr>
        <w:t xml:space="preserve">, </w:t>
      </w:r>
      <w:r w:rsidRPr="007C1AF0">
        <w:rPr>
          <w:rFonts w:ascii="Times New Roman" w:hAnsi="Times New Roman"/>
          <w:i/>
          <w:iCs/>
          <w:sz w:val="24"/>
          <w:szCs w:val="24"/>
        </w:rPr>
        <w:t>7</w:t>
      </w:r>
      <w:r w:rsidRPr="007C1AF0">
        <w:rPr>
          <w:rFonts w:ascii="Times New Roman" w:hAnsi="Times New Roman"/>
          <w:sz w:val="24"/>
          <w:szCs w:val="24"/>
        </w:rPr>
        <w:t xml:space="preserve">(1), 19–28. </w:t>
      </w:r>
      <w:hyperlink r:id="rId35" w:history="1">
        <w:r w:rsidRPr="007C1AF0">
          <w:rPr>
            <w:rStyle w:val="Hyperlink"/>
            <w:rFonts w:ascii="Times New Roman" w:hAnsi="Times New Roman"/>
            <w:sz w:val="24"/>
            <w:szCs w:val="24"/>
          </w:rPr>
          <w:t>https://doi.org/10.47941/jbsm.762</w:t>
        </w:r>
      </w:hyperlink>
    </w:p>
    <w:p w14:paraId="3A083760"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Kässi, O., &amp; Lehdonvirta, V. (2018). Online Labour Index: Measuring the Online Gig Economy for Policy and Research. </w:t>
      </w:r>
      <w:r w:rsidRPr="007C1AF0">
        <w:rPr>
          <w:rFonts w:ascii="Times New Roman" w:hAnsi="Times New Roman"/>
          <w:i/>
          <w:iCs/>
          <w:sz w:val="24"/>
          <w:szCs w:val="24"/>
        </w:rPr>
        <w:t>Technological Forecasting and Social Change</w:t>
      </w:r>
      <w:r w:rsidRPr="007C1AF0">
        <w:rPr>
          <w:rFonts w:ascii="Times New Roman" w:hAnsi="Times New Roman"/>
          <w:sz w:val="24"/>
          <w:szCs w:val="24"/>
        </w:rPr>
        <w:t xml:space="preserve">, </w:t>
      </w:r>
      <w:r w:rsidRPr="007C1AF0">
        <w:rPr>
          <w:rFonts w:ascii="Times New Roman" w:hAnsi="Times New Roman"/>
          <w:i/>
          <w:iCs/>
          <w:sz w:val="24"/>
          <w:szCs w:val="24"/>
        </w:rPr>
        <w:t>137</w:t>
      </w:r>
      <w:r w:rsidRPr="007C1AF0">
        <w:rPr>
          <w:rFonts w:ascii="Times New Roman" w:hAnsi="Times New Roman"/>
          <w:sz w:val="24"/>
          <w:szCs w:val="24"/>
        </w:rPr>
        <w:t xml:space="preserve">, 241–248. </w:t>
      </w:r>
      <w:hyperlink r:id="rId36" w:history="1">
        <w:r w:rsidRPr="007C1AF0">
          <w:rPr>
            <w:rStyle w:val="Hyperlink"/>
            <w:rFonts w:ascii="Times New Roman" w:hAnsi="Times New Roman"/>
            <w:sz w:val="24"/>
            <w:szCs w:val="24"/>
          </w:rPr>
          <w:t>https://doi.org/10.1016/J.TECHFORE.2018.07.056</w:t>
        </w:r>
      </w:hyperlink>
    </w:p>
    <w:p w14:paraId="6841420D" w14:textId="77777777" w:rsidR="002E15FE" w:rsidRDefault="002E15FE" w:rsidP="007C1AF0">
      <w:pPr>
        <w:pStyle w:val="NormalWeb"/>
        <w:spacing w:before="0" w:beforeAutospacing="0" w:after="0" w:afterAutospacing="0" w:line="360" w:lineRule="auto"/>
        <w:ind w:left="714" w:right="357" w:hanging="720"/>
        <w:jc w:val="both"/>
      </w:pPr>
      <w:r>
        <w:t xml:space="preserve">Mehta, B. S., Awasthi, I., &amp; Mehta, N. (2021). Women’s employment and digital Technology: a regional analysis in India. </w:t>
      </w:r>
      <w:r>
        <w:rPr>
          <w:i/>
          <w:iCs/>
        </w:rPr>
        <w:t>Indian Journal of Human Development</w:t>
      </w:r>
      <w:r>
        <w:t xml:space="preserve">, </w:t>
      </w:r>
      <w:r>
        <w:rPr>
          <w:i/>
          <w:iCs/>
        </w:rPr>
        <w:t>15</w:t>
      </w:r>
      <w:r>
        <w:t xml:space="preserve">(3), 427–442. </w:t>
      </w:r>
      <w:hyperlink r:id="rId37" w:history="1">
        <w:r w:rsidRPr="00875C8D">
          <w:rPr>
            <w:rStyle w:val="Hyperlink"/>
            <w:rFonts w:eastAsiaTheme="majorEastAsia"/>
          </w:rPr>
          <w:t>https://doi.org/10.1177/09737030211064138</w:t>
        </w:r>
      </w:hyperlink>
      <w:r>
        <w:rPr>
          <w:rStyle w:val="url"/>
          <w:rFonts w:eastAsiaTheme="majorEastAsia"/>
        </w:rPr>
        <w:t xml:space="preserve"> </w:t>
      </w:r>
    </w:p>
    <w:p w14:paraId="2A8FE74F" w14:textId="77777777" w:rsidR="002E15FE" w:rsidRPr="007C1AF0" w:rsidRDefault="002E15FE" w:rsidP="007C1AF0">
      <w:pPr>
        <w:spacing w:line="360" w:lineRule="auto"/>
        <w:ind w:left="714" w:right="357" w:hanging="720"/>
        <w:jc w:val="both"/>
      </w:pPr>
      <w:r w:rsidRPr="007C1AF0">
        <w:t xml:space="preserve">Morell, M. F. (2022). The gender of the platform economy. </w:t>
      </w:r>
      <w:r w:rsidRPr="007C1AF0">
        <w:rPr>
          <w:i/>
          <w:iCs/>
        </w:rPr>
        <w:t>Internet Policy Review</w:t>
      </w:r>
      <w:r w:rsidRPr="007C1AF0">
        <w:t xml:space="preserve">, </w:t>
      </w:r>
      <w:r w:rsidRPr="007C1AF0">
        <w:rPr>
          <w:i/>
          <w:iCs/>
        </w:rPr>
        <w:t>11</w:t>
      </w:r>
      <w:r w:rsidRPr="007C1AF0">
        <w:t xml:space="preserve">(1). </w:t>
      </w:r>
      <w:hyperlink r:id="rId38" w:history="1">
        <w:r w:rsidRPr="007C1AF0">
          <w:rPr>
            <w:rStyle w:val="Hyperlink"/>
          </w:rPr>
          <w:t>https://doi.org/10.14763/2022.1.1620</w:t>
        </w:r>
      </w:hyperlink>
    </w:p>
    <w:p w14:paraId="6DA97B77" w14:textId="77777777" w:rsidR="002E15FE" w:rsidRDefault="002E15FE" w:rsidP="007C1AF0">
      <w:pPr>
        <w:pStyle w:val="NormalWeb"/>
        <w:spacing w:before="0" w:beforeAutospacing="0" w:after="0" w:afterAutospacing="0" w:line="360" w:lineRule="auto"/>
        <w:ind w:left="714" w:right="357" w:hanging="720"/>
        <w:jc w:val="both"/>
      </w:pPr>
      <w:r w:rsidRPr="00760759">
        <w:rPr>
          <w:lang w:val="es-US"/>
        </w:rPr>
        <w:t xml:space="preserve">Nguyen-Phuoc, D. Q., Oviedo-Trespalacios, O., Nguyen, M. H., Dinh, M. T. T., &amp; Su, D. N. (2022). </w:t>
      </w:r>
      <w:r>
        <w:t xml:space="preserve">Intentions to use ride-sourcing services in Vietnam: What happens after three months without COVID-19 infections? </w:t>
      </w:r>
      <w:r>
        <w:rPr>
          <w:i/>
          <w:iCs/>
        </w:rPr>
        <w:t>Cities</w:t>
      </w:r>
      <w:r>
        <w:t xml:space="preserve">, </w:t>
      </w:r>
      <w:r>
        <w:rPr>
          <w:i/>
          <w:iCs/>
        </w:rPr>
        <w:t>126</w:t>
      </w:r>
      <w:r>
        <w:t xml:space="preserve">, 103691. </w:t>
      </w:r>
      <w:hyperlink r:id="rId39" w:history="1">
        <w:r w:rsidRPr="00875C8D">
          <w:rPr>
            <w:rStyle w:val="Hyperlink"/>
            <w:rFonts w:eastAsiaTheme="majorEastAsia"/>
          </w:rPr>
          <w:t>https://doi.org/10.1016/j.cities.2022.103691</w:t>
        </w:r>
      </w:hyperlink>
      <w:r>
        <w:rPr>
          <w:rStyle w:val="url"/>
          <w:rFonts w:eastAsiaTheme="majorEastAsia"/>
        </w:rPr>
        <w:t xml:space="preserve"> </w:t>
      </w:r>
    </w:p>
    <w:p w14:paraId="19F28629" w14:textId="77777777" w:rsidR="002E15FE" w:rsidRDefault="002E15FE" w:rsidP="007C1AF0">
      <w:pPr>
        <w:pStyle w:val="NormalWeb"/>
        <w:spacing w:before="0" w:beforeAutospacing="0" w:after="0" w:afterAutospacing="0" w:line="360" w:lineRule="auto"/>
        <w:ind w:left="714" w:right="357" w:hanging="720"/>
        <w:jc w:val="both"/>
      </w:pPr>
      <w:r>
        <w:t xml:space="preserve">Nugraha, F. M., &amp; Permana, M. Y. (2025). Aligning Vocational Training Systems with the Gig Economy and Digital Job Markets Through Training Needs Analysis (TNA): Case Study of BBPVP Bandung. </w:t>
      </w:r>
      <w:r>
        <w:rPr>
          <w:i/>
          <w:iCs/>
        </w:rPr>
        <w:t>Ranah Research Journal of Multidisciplinary Research and Development</w:t>
      </w:r>
      <w:r>
        <w:t xml:space="preserve">, </w:t>
      </w:r>
      <w:r>
        <w:rPr>
          <w:i/>
          <w:iCs/>
        </w:rPr>
        <w:t>7</w:t>
      </w:r>
      <w:r>
        <w:t xml:space="preserve">(5), 3443–3455. </w:t>
      </w:r>
      <w:hyperlink r:id="rId40" w:history="1">
        <w:r w:rsidRPr="00674822">
          <w:rPr>
            <w:rStyle w:val="Hyperlink"/>
            <w:rFonts w:eastAsiaTheme="majorEastAsia"/>
          </w:rPr>
          <w:t>https://doi.org/10.38035/rrj.v7i5.1649</w:t>
        </w:r>
      </w:hyperlink>
      <w:r>
        <w:rPr>
          <w:rStyle w:val="url"/>
          <w:rFonts w:eastAsiaTheme="majorEastAsia"/>
        </w:rPr>
        <w:t xml:space="preserve"> </w:t>
      </w:r>
    </w:p>
    <w:p w14:paraId="0811852D" w14:textId="77777777" w:rsidR="002E15FE" w:rsidRPr="007C1AF0" w:rsidRDefault="002E15FE" w:rsidP="007C1AF0">
      <w:pPr>
        <w:spacing w:line="360" w:lineRule="auto"/>
        <w:ind w:left="714" w:right="357" w:hanging="720"/>
        <w:jc w:val="both"/>
        <w:rPr>
          <w:rFonts w:ascii="Times New Roman" w:hAnsi="Times New Roman"/>
          <w:sz w:val="24"/>
          <w:szCs w:val="24"/>
        </w:rPr>
      </w:pPr>
      <w:proofErr w:type="spellStart"/>
      <w:r w:rsidRPr="00760759">
        <w:rPr>
          <w:rFonts w:ascii="Times New Roman" w:hAnsi="Times New Roman"/>
          <w:sz w:val="24"/>
          <w:szCs w:val="24"/>
          <w:lang w:val="es-US"/>
        </w:rPr>
        <w:t>Nugraha</w:t>
      </w:r>
      <w:proofErr w:type="spellEnd"/>
      <w:r w:rsidRPr="00760759">
        <w:rPr>
          <w:rFonts w:ascii="Times New Roman" w:hAnsi="Times New Roman"/>
          <w:sz w:val="24"/>
          <w:szCs w:val="24"/>
          <w:lang w:val="es-US"/>
        </w:rPr>
        <w:t xml:space="preserve">, H. D., </w:t>
      </w:r>
      <w:proofErr w:type="spellStart"/>
      <w:r w:rsidRPr="00760759">
        <w:rPr>
          <w:rFonts w:ascii="Times New Roman" w:hAnsi="Times New Roman"/>
          <w:sz w:val="24"/>
          <w:szCs w:val="24"/>
          <w:lang w:val="es-US"/>
        </w:rPr>
        <w:t>Kencanasari</w:t>
      </w:r>
      <w:proofErr w:type="spellEnd"/>
      <w:r w:rsidRPr="00760759">
        <w:rPr>
          <w:rFonts w:ascii="Times New Roman" w:hAnsi="Times New Roman"/>
          <w:sz w:val="24"/>
          <w:szCs w:val="24"/>
          <w:lang w:val="es-US"/>
        </w:rPr>
        <w:t xml:space="preserve">, R. A. V., Komari, R. N., &amp; </w:t>
      </w:r>
      <w:proofErr w:type="spellStart"/>
      <w:r w:rsidRPr="00760759">
        <w:rPr>
          <w:rFonts w:ascii="Times New Roman" w:hAnsi="Times New Roman"/>
          <w:sz w:val="24"/>
          <w:szCs w:val="24"/>
          <w:lang w:val="es-US"/>
        </w:rPr>
        <w:t>Kasda</w:t>
      </w:r>
      <w:proofErr w:type="spellEnd"/>
      <w:r w:rsidRPr="00760759">
        <w:rPr>
          <w:rFonts w:ascii="Times New Roman" w:hAnsi="Times New Roman"/>
          <w:sz w:val="24"/>
          <w:szCs w:val="24"/>
          <w:lang w:val="es-US"/>
        </w:rPr>
        <w:t xml:space="preserve">, K. (2020). </w:t>
      </w:r>
      <w:r w:rsidRPr="007C1AF0">
        <w:rPr>
          <w:rFonts w:ascii="Times New Roman" w:hAnsi="Times New Roman"/>
          <w:sz w:val="24"/>
          <w:szCs w:val="24"/>
        </w:rPr>
        <w:t xml:space="preserve">Employability Skills in Technical Vocational Education and Training (TVET). </w:t>
      </w:r>
      <w:r w:rsidRPr="007C1AF0">
        <w:rPr>
          <w:rFonts w:ascii="Times New Roman" w:hAnsi="Times New Roman"/>
          <w:i/>
          <w:iCs/>
          <w:sz w:val="24"/>
          <w:szCs w:val="24"/>
        </w:rPr>
        <w:t>Innovation of Vocational Technology Education</w:t>
      </w:r>
      <w:r w:rsidRPr="007C1AF0">
        <w:rPr>
          <w:rFonts w:ascii="Times New Roman" w:hAnsi="Times New Roman"/>
          <w:sz w:val="24"/>
          <w:szCs w:val="24"/>
        </w:rPr>
        <w:t xml:space="preserve">, </w:t>
      </w:r>
      <w:r w:rsidRPr="007C1AF0">
        <w:rPr>
          <w:rFonts w:ascii="Times New Roman" w:hAnsi="Times New Roman"/>
          <w:i/>
          <w:iCs/>
          <w:sz w:val="24"/>
          <w:szCs w:val="24"/>
        </w:rPr>
        <w:t>16</w:t>
      </w:r>
      <w:r w:rsidRPr="007C1AF0">
        <w:rPr>
          <w:rFonts w:ascii="Times New Roman" w:hAnsi="Times New Roman"/>
          <w:sz w:val="24"/>
          <w:szCs w:val="24"/>
        </w:rPr>
        <w:t xml:space="preserve">(1), 1–10. </w:t>
      </w:r>
      <w:hyperlink r:id="rId41" w:history="1">
        <w:r w:rsidRPr="007C1AF0">
          <w:rPr>
            <w:rStyle w:val="Hyperlink"/>
            <w:rFonts w:ascii="Times New Roman" w:hAnsi="Times New Roman"/>
            <w:sz w:val="24"/>
            <w:szCs w:val="24"/>
          </w:rPr>
          <w:t>https://doi.org/10.17509/INVOTEC.V16I1.23509</w:t>
        </w:r>
      </w:hyperlink>
    </w:p>
    <w:p w14:paraId="232EBE41"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Page, M. J., McKenzie, J. E., Bossuyt, P. M., Boutron, I., Hoffmann, T. C., Mulrow, C. D., Shamseer, L., Tetzlaff, J. M., Akl, E. A., Brennan, S. E., Chou, R., Glanville, J., Grimshaw, J. M., Hróbjartsson, A., Lalu, M. M., Li, T., Loder, E. W., Mayo-Wilson, E., McDonald, S., . . . Moher, D. (2021). The PRISMA 2020 statement: an updated guideline for reporting systematic reviews. </w:t>
      </w:r>
      <w:r w:rsidRPr="007C1AF0">
        <w:rPr>
          <w:rFonts w:ascii="Times New Roman" w:hAnsi="Times New Roman"/>
          <w:i/>
          <w:iCs/>
          <w:sz w:val="24"/>
          <w:szCs w:val="24"/>
        </w:rPr>
        <w:t>BMJ</w:t>
      </w:r>
      <w:r w:rsidRPr="007C1AF0">
        <w:rPr>
          <w:rFonts w:ascii="Times New Roman" w:hAnsi="Times New Roman"/>
          <w:sz w:val="24"/>
          <w:szCs w:val="24"/>
        </w:rPr>
        <w:t xml:space="preserve">, </w:t>
      </w:r>
      <w:r w:rsidRPr="007C1AF0">
        <w:rPr>
          <w:rFonts w:ascii="Times New Roman" w:hAnsi="Times New Roman"/>
          <w:i/>
          <w:iCs/>
          <w:sz w:val="24"/>
          <w:szCs w:val="24"/>
        </w:rPr>
        <w:t>372</w:t>
      </w:r>
      <w:r w:rsidRPr="007C1AF0">
        <w:rPr>
          <w:rFonts w:ascii="Times New Roman" w:hAnsi="Times New Roman"/>
          <w:sz w:val="24"/>
          <w:szCs w:val="24"/>
        </w:rPr>
        <w:t xml:space="preserve">, n71. </w:t>
      </w:r>
      <w:hyperlink r:id="rId42" w:history="1">
        <w:r w:rsidRPr="007C1AF0">
          <w:rPr>
            <w:rStyle w:val="Hyperlink"/>
            <w:rFonts w:ascii="Times New Roman" w:hAnsi="Times New Roman"/>
            <w:sz w:val="24"/>
            <w:szCs w:val="24"/>
          </w:rPr>
          <w:t>https://doi.org/10.1136/bmj.n71</w:t>
        </w:r>
      </w:hyperlink>
      <w:r w:rsidRPr="007C1AF0">
        <w:rPr>
          <w:rFonts w:ascii="Times New Roman" w:hAnsi="Times New Roman"/>
          <w:sz w:val="24"/>
          <w:szCs w:val="24"/>
        </w:rPr>
        <w:t xml:space="preserve"> </w:t>
      </w:r>
    </w:p>
    <w:p w14:paraId="53459236" w14:textId="77777777" w:rsidR="002E15FE" w:rsidRDefault="002E15FE" w:rsidP="007C1AF0">
      <w:pPr>
        <w:pStyle w:val="NormalWeb"/>
        <w:spacing w:before="0" w:beforeAutospacing="0" w:after="0" w:afterAutospacing="0" w:line="360" w:lineRule="auto"/>
        <w:ind w:left="714" w:right="357" w:hanging="720"/>
        <w:jc w:val="both"/>
      </w:pPr>
      <w:r>
        <w:lastRenderedPageBreak/>
        <w:t xml:space="preserve">Santra, S., &amp; Kundu, A. (2025). Opportunities for Indian Women in Gig Jobs without Using Digital Platforms: The Importance of Vocational Training. </w:t>
      </w:r>
      <w:r>
        <w:rPr>
          <w:i/>
          <w:iCs/>
        </w:rPr>
        <w:t>Managing Global Transitions</w:t>
      </w:r>
      <w:r>
        <w:t xml:space="preserve">, </w:t>
      </w:r>
      <w:r>
        <w:rPr>
          <w:i/>
          <w:iCs/>
        </w:rPr>
        <w:t>23</w:t>
      </w:r>
      <w:r>
        <w:t xml:space="preserve">(3). </w:t>
      </w:r>
      <w:hyperlink r:id="rId43" w:history="1">
        <w:r w:rsidRPr="00674822">
          <w:rPr>
            <w:rStyle w:val="Hyperlink"/>
            <w:rFonts w:eastAsiaTheme="majorEastAsia"/>
          </w:rPr>
          <w:t>https://doi.org/10.26493/1854-6935.23.295-326</w:t>
        </w:r>
      </w:hyperlink>
      <w:r>
        <w:rPr>
          <w:rStyle w:val="url"/>
          <w:rFonts w:eastAsiaTheme="majorEastAsia"/>
        </w:rPr>
        <w:t xml:space="preserve"> </w:t>
      </w:r>
    </w:p>
    <w:p w14:paraId="2F071036"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Sardana, S., Mangar, G. K., &amp; Hanspal, M. (2022). A conceptual study on women workers in gig economy in India. In ENVISION - International Journal of Commerce and Management (Vol. 16, p. 81). </w:t>
      </w:r>
      <w:hyperlink r:id="rId44" w:history="1">
        <w:r w:rsidRPr="007C1AF0">
          <w:rPr>
            <w:rStyle w:val="Hyperlink"/>
            <w:rFonts w:ascii="Times New Roman" w:hAnsi="Times New Roman"/>
            <w:sz w:val="24"/>
            <w:szCs w:val="24"/>
          </w:rPr>
          <w:t>https://acfa.apeejay.edu/docs/volumes/envision-2022/paper-10.pdf</w:t>
        </w:r>
      </w:hyperlink>
      <w:r w:rsidRPr="007C1AF0">
        <w:rPr>
          <w:rFonts w:ascii="Times New Roman" w:hAnsi="Times New Roman"/>
          <w:sz w:val="24"/>
          <w:szCs w:val="24"/>
        </w:rPr>
        <w:t xml:space="preserve"> </w:t>
      </w:r>
    </w:p>
    <w:p w14:paraId="3D05C55A"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Slageren, J., &amp; Herrmann, A. M. (2024). Skill Specificity on High-Skill Online Gig Platforms: Same as in Traditional Labour Markets? </w:t>
      </w:r>
      <w:r w:rsidRPr="007C1AF0">
        <w:rPr>
          <w:rFonts w:ascii="Times New Roman" w:hAnsi="Times New Roman"/>
          <w:i/>
          <w:iCs/>
          <w:sz w:val="24"/>
          <w:szCs w:val="24"/>
        </w:rPr>
        <w:t>Social Forces</w:t>
      </w:r>
      <w:r w:rsidRPr="007C1AF0">
        <w:rPr>
          <w:rFonts w:ascii="Times New Roman" w:hAnsi="Times New Roman"/>
          <w:sz w:val="24"/>
          <w:szCs w:val="24"/>
        </w:rPr>
        <w:t xml:space="preserve">. </w:t>
      </w:r>
      <w:hyperlink r:id="rId45" w:history="1">
        <w:r w:rsidRPr="007C1AF0">
          <w:rPr>
            <w:rStyle w:val="Hyperlink"/>
            <w:rFonts w:ascii="Times New Roman" w:hAnsi="Times New Roman"/>
            <w:sz w:val="24"/>
            <w:szCs w:val="24"/>
          </w:rPr>
          <w:t>https://doi.org/10.1093/sf/soad153</w:t>
        </w:r>
      </w:hyperlink>
      <w:r w:rsidRPr="007C1AF0">
        <w:rPr>
          <w:rFonts w:ascii="Times New Roman" w:hAnsi="Times New Roman"/>
          <w:sz w:val="24"/>
          <w:szCs w:val="24"/>
        </w:rPr>
        <w:t xml:space="preserve"> </w:t>
      </w:r>
    </w:p>
    <w:p w14:paraId="2170F074"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Sonawane, A. K. (2023). Women and Gig Economy: Opportunities and Challenges. </w:t>
      </w:r>
      <w:r w:rsidRPr="007C1AF0">
        <w:rPr>
          <w:rFonts w:ascii="Times New Roman" w:hAnsi="Times New Roman"/>
          <w:i/>
          <w:iCs/>
          <w:sz w:val="24"/>
          <w:szCs w:val="24"/>
        </w:rPr>
        <w:t xml:space="preserve">International Journal </w:t>
      </w:r>
      <w:proofErr w:type="gramStart"/>
      <w:r w:rsidRPr="007C1AF0">
        <w:rPr>
          <w:rFonts w:ascii="Times New Roman" w:hAnsi="Times New Roman"/>
          <w:i/>
          <w:iCs/>
          <w:sz w:val="24"/>
          <w:szCs w:val="24"/>
        </w:rPr>
        <w:t>For</w:t>
      </w:r>
      <w:proofErr w:type="gramEnd"/>
      <w:r w:rsidRPr="007C1AF0">
        <w:rPr>
          <w:rFonts w:ascii="Times New Roman" w:hAnsi="Times New Roman"/>
          <w:i/>
          <w:iCs/>
          <w:sz w:val="24"/>
          <w:szCs w:val="24"/>
        </w:rPr>
        <w:t xml:space="preserve"> Multidisciplinary Research</w:t>
      </w:r>
      <w:r w:rsidRPr="007C1AF0">
        <w:rPr>
          <w:rFonts w:ascii="Times New Roman" w:hAnsi="Times New Roman"/>
          <w:sz w:val="24"/>
          <w:szCs w:val="24"/>
        </w:rPr>
        <w:t xml:space="preserve">, </w:t>
      </w:r>
      <w:r w:rsidRPr="007C1AF0">
        <w:rPr>
          <w:rFonts w:ascii="Times New Roman" w:hAnsi="Times New Roman"/>
          <w:i/>
          <w:iCs/>
          <w:sz w:val="24"/>
          <w:szCs w:val="24"/>
        </w:rPr>
        <w:t>5</w:t>
      </w:r>
      <w:r w:rsidRPr="007C1AF0">
        <w:rPr>
          <w:rFonts w:ascii="Times New Roman" w:hAnsi="Times New Roman"/>
          <w:sz w:val="24"/>
          <w:szCs w:val="24"/>
        </w:rPr>
        <w:t xml:space="preserve">(4). </w:t>
      </w:r>
      <w:hyperlink r:id="rId46" w:history="1">
        <w:r w:rsidRPr="007C1AF0">
          <w:rPr>
            <w:rStyle w:val="Hyperlink"/>
            <w:rFonts w:ascii="Times New Roman" w:hAnsi="Times New Roman"/>
            <w:sz w:val="24"/>
            <w:szCs w:val="24"/>
          </w:rPr>
          <w:t>https://doi.org/10.36948/ijfmr.2023.v05i04.5010</w:t>
        </w:r>
      </w:hyperlink>
    </w:p>
    <w:p w14:paraId="04C5550E" w14:textId="77777777" w:rsidR="002E15FE" w:rsidRPr="007C1AF0" w:rsidRDefault="002E15FE" w:rsidP="007C1AF0">
      <w:pPr>
        <w:spacing w:line="360" w:lineRule="auto"/>
        <w:ind w:left="714" w:right="357" w:hanging="720"/>
        <w:jc w:val="both"/>
        <w:rPr>
          <w:rFonts w:ascii="Times New Roman" w:hAnsi="Times New Roman"/>
          <w:b/>
          <w:bCs/>
          <w:sz w:val="24"/>
          <w:szCs w:val="24"/>
        </w:rPr>
      </w:pPr>
      <w:r w:rsidRPr="007C1AF0">
        <w:rPr>
          <w:rFonts w:ascii="Times New Roman" w:hAnsi="Times New Roman"/>
          <w:sz w:val="24"/>
          <w:szCs w:val="24"/>
        </w:rPr>
        <w:t xml:space="preserve">Sood A, Singh R. The new Emerging World of Work: Growth Story of India’s Gig economy. International Journal of Management and Economics Invention [Internet]. 2023 Oct 17;09(10). Available from: </w:t>
      </w:r>
      <w:hyperlink r:id="rId47" w:history="1">
        <w:r w:rsidRPr="007C1AF0">
          <w:rPr>
            <w:rStyle w:val="Hyperlink"/>
            <w:rFonts w:ascii="Times New Roman" w:hAnsi="Times New Roman"/>
            <w:sz w:val="24"/>
            <w:szCs w:val="24"/>
          </w:rPr>
          <w:t>https://doi.org/10.47191/ijmei/v9i10.03</w:t>
        </w:r>
      </w:hyperlink>
      <w:r w:rsidRPr="007C1AF0">
        <w:rPr>
          <w:rFonts w:ascii="Times New Roman" w:hAnsi="Times New Roman"/>
          <w:sz w:val="24"/>
          <w:szCs w:val="24"/>
        </w:rPr>
        <w:t xml:space="preserve"> </w:t>
      </w:r>
    </w:p>
    <w:p w14:paraId="215CB56E"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Tranfield, D., Denyer, D., &amp; Smart, P. (2003). Towards a Methodology for Developing Evidence-Informed Management Knowledge by Means of Systematic Review. </w:t>
      </w:r>
      <w:r w:rsidRPr="007C1AF0">
        <w:rPr>
          <w:rFonts w:ascii="Times New Roman" w:hAnsi="Times New Roman"/>
          <w:i/>
          <w:iCs/>
          <w:sz w:val="24"/>
          <w:szCs w:val="24"/>
        </w:rPr>
        <w:t>British Journal of Management</w:t>
      </w:r>
      <w:r w:rsidRPr="007C1AF0">
        <w:rPr>
          <w:rFonts w:ascii="Times New Roman" w:hAnsi="Times New Roman"/>
          <w:sz w:val="24"/>
          <w:szCs w:val="24"/>
        </w:rPr>
        <w:t xml:space="preserve">, </w:t>
      </w:r>
      <w:r w:rsidRPr="007C1AF0">
        <w:rPr>
          <w:rFonts w:ascii="Times New Roman" w:hAnsi="Times New Roman"/>
          <w:i/>
          <w:iCs/>
          <w:sz w:val="24"/>
          <w:szCs w:val="24"/>
        </w:rPr>
        <w:t>14</w:t>
      </w:r>
      <w:r w:rsidRPr="007C1AF0">
        <w:rPr>
          <w:rFonts w:ascii="Times New Roman" w:hAnsi="Times New Roman"/>
          <w:sz w:val="24"/>
          <w:szCs w:val="24"/>
        </w:rPr>
        <w:t xml:space="preserve">(3), 207–222. </w:t>
      </w:r>
      <w:hyperlink r:id="rId48" w:history="1">
        <w:r w:rsidRPr="007C1AF0">
          <w:rPr>
            <w:rStyle w:val="Hyperlink"/>
            <w:rFonts w:ascii="Times New Roman" w:hAnsi="Times New Roman"/>
            <w:sz w:val="24"/>
            <w:szCs w:val="24"/>
          </w:rPr>
          <w:t>https://doi.org/10.1111/1467-8551.00375</w:t>
        </w:r>
      </w:hyperlink>
    </w:p>
    <w:p w14:paraId="7CA91167" w14:textId="77777777" w:rsidR="002E15FE" w:rsidRDefault="002E15FE" w:rsidP="007C1AF0">
      <w:pPr>
        <w:pStyle w:val="NormalWeb"/>
        <w:spacing w:before="0" w:beforeAutospacing="0" w:after="0" w:afterAutospacing="0" w:line="360" w:lineRule="auto"/>
        <w:ind w:left="714" w:right="357" w:hanging="720"/>
        <w:jc w:val="both"/>
      </w:pPr>
      <w:r>
        <w:t xml:space="preserve">Van Slageren, J., &amp; Herrmann, A. M. (2024). Skill specificity on High-Skill Online Gig platforms: same as in traditional labour markets? </w:t>
      </w:r>
      <w:r>
        <w:rPr>
          <w:i/>
          <w:iCs/>
        </w:rPr>
        <w:t>Social Forces</w:t>
      </w:r>
      <w:r>
        <w:t xml:space="preserve">, </w:t>
      </w:r>
      <w:r>
        <w:rPr>
          <w:i/>
          <w:iCs/>
        </w:rPr>
        <w:t>102</w:t>
      </w:r>
      <w:r>
        <w:t xml:space="preserve">(4), 1332–1351. </w:t>
      </w:r>
      <w:hyperlink r:id="rId49" w:history="1">
        <w:r w:rsidRPr="00875C8D">
          <w:rPr>
            <w:rStyle w:val="Hyperlink"/>
            <w:rFonts w:eastAsiaTheme="majorEastAsia"/>
          </w:rPr>
          <w:t>https://doi.org/10.1093/sf/soad153</w:t>
        </w:r>
      </w:hyperlink>
      <w:r>
        <w:rPr>
          <w:rStyle w:val="url"/>
          <w:rFonts w:eastAsiaTheme="majorEastAsia"/>
        </w:rPr>
        <w:t xml:space="preserve"> </w:t>
      </w:r>
    </w:p>
    <w:p w14:paraId="7D0D9174" w14:textId="77777777" w:rsidR="002E15FE" w:rsidRPr="007C1AF0" w:rsidRDefault="002E15FE" w:rsidP="007C1AF0">
      <w:pPr>
        <w:spacing w:line="360" w:lineRule="auto"/>
        <w:ind w:left="714" w:right="357" w:hanging="720"/>
        <w:rPr>
          <w:rFonts w:ascii="Times New Roman" w:hAnsi="Times New Roman"/>
          <w:sz w:val="24"/>
          <w:szCs w:val="24"/>
        </w:rPr>
      </w:pPr>
      <w:r w:rsidRPr="007C1AF0">
        <w:rPr>
          <w:rFonts w:ascii="Times New Roman" w:hAnsi="Times New Roman"/>
          <w:sz w:val="24"/>
          <w:szCs w:val="24"/>
        </w:rPr>
        <w:t xml:space="preserve">Vogt, A., Webster, M., Pomerantz, M., Maali, H., &amp; Adams, K. (2023). </w:t>
      </w:r>
      <w:r w:rsidRPr="007C1AF0">
        <w:rPr>
          <w:rFonts w:ascii="Times New Roman" w:hAnsi="Times New Roman"/>
          <w:i/>
          <w:iCs/>
          <w:sz w:val="24"/>
          <w:szCs w:val="24"/>
        </w:rPr>
        <w:t>Training diamond turning technicians and changing lives</w:t>
      </w:r>
      <w:r w:rsidRPr="007C1AF0">
        <w:rPr>
          <w:rFonts w:ascii="Times New Roman" w:hAnsi="Times New Roman"/>
          <w:sz w:val="24"/>
          <w:szCs w:val="24"/>
        </w:rPr>
        <w:t xml:space="preserve">. </w:t>
      </w:r>
      <w:hyperlink r:id="rId50" w:history="1">
        <w:r w:rsidRPr="007C1AF0">
          <w:rPr>
            <w:rStyle w:val="Hyperlink"/>
            <w:rFonts w:ascii="Times New Roman" w:hAnsi="Times New Roman"/>
            <w:sz w:val="24"/>
            <w:szCs w:val="24"/>
          </w:rPr>
          <w:t>https://doi.org/10.1117/12.2685323</w:t>
        </w:r>
      </w:hyperlink>
    </w:p>
    <w:p w14:paraId="0C9204DB" w14:textId="77777777" w:rsidR="002E15FE" w:rsidRPr="007C1AF0" w:rsidRDefault="002E15FE" w:rsidP="007C1AF0">
      <w:pPr>
        <w:spacing w:line="360" w:lineRule="auto"/>
        <w:ind w:left="714" w:right="357" w:hanging="720"/>
        <w:jc w:val="both"/>
        <w:rPr>
          <w:rFonts w:ascii="Times New Roman" w:hAnsi="Times New Roman"/>
          <w:sz w:val="24"/>
          <w:szCs w:val="24"/>
        </w:rPr>
      </w:pPr>
      <w:r w:rsidRPr="007C1AF0">
        <w:rPr>
          <w:rFonts w:ascii="Times New Roman" w:hAnsi="Times New Roman"/>
          <w:sz w:val="24"/>
          <w:szCs w:val="24"/>
        </w:rPr>
        <w:t xml:space="preserve">Wood, A. J., Graham, M., Lehdonvirta, V., &amp; Hjorth, I. (2019). Networked but Commodified: The (Dis)Embeddedness of Digital Labour in the Gig Economy. </w:t>
      </w:r>
      <w:r w:rsidRPr="007C1AF0">
        <w:rPr>
          <w:rFonts w:ascii="Times New Roman" w:hAnsi="Times New Roman"/>
          <w:i/>
          <w:iCs/>
          <w:sz w:val="24"/>
          <w:szCs w:val="24"/>
        </w:rPr>
        <w:t>Sociology</w:t>
      </w:r>
      <w:r w:rsidRPr="007C1AF0">
        <w:rPr>
          <w:rFonts w:ascii="Times New Roman" w:hAnsi="Times New Roman"/>
          <w:sz w:val="24"/>
          <w:szCs w:val="24"/>
        </w:rPr>
        <w:t xml:space="preserve">, </w:t>
      </w:r>
      <w:r w:rsidRPr="007C1AF0">
        <w:rPr>
          <w:rFonts w:ascii="Times New Roman" w:hAnsi="Times New Roman"/>
          <w:i/>
          <w:iCs/>
          <w:sz w:val="24"/>
          <w:szCs w:val="24"/>
        </w:rPr>
        <w:t>53</w:t>
      </w:r>
      <w:r w:rsidRPr="007C1AF0">
        <w:rPr>
          <w:rFonts w:ascii="Times New Roman" w:hAnsi="Times New Roman"/>
          <w:sz w:val="24"/>
          <w:szCs w:val="24"/>
        </w:rPr>
        <w:t xml:space="preserve">(5), 931–950. </w:t>
      </w:r>
      <w:hyperlink r:id="rId51" w:history="1">
        <w:r w:rsidRPr="007C1AF0">
          <w:rPr>
            <w:rStyle w:val="Hyperlink"/>
            <w:rFonts w:ascii="Times New Roman" w:hAnsi="Times New Roman"/>
            <w:sz w:val="24"/>
            <w:szCs w:val="24"/>
          </w:rPr>
          <w:t>https://doi.org/10.1177/0038038519828906</w:t>
        </w:r>
      </w:hyperlink>
    </w:p>
    <w:p w14:paraId="58D106D2" w14:textId="77777777" w:rsidR="002E15FE" w:rsidRDefault="002E15FE" w:rsidP="007C1AF0">
      <w:pPr>
        <w:pStyle w:val="NormalWeb"/>
        <w:spacing w:before="0" w:beforeAutospacing="0" w:after="0" w:afterAutospacing="0" w:line="360" w:lineRule="auto"/>
        <w:ind w:left="714" w:right="357" w:hanging="720"/>
        <w:jc w:val="both"/>
      </w:pPr>
      <w:r>
        <w:t xml:space="preserve">Zhang, P. (2024). Training for gig workers: a systematic review and research agenda. </w:t>
      </w:r>
      <w:r>
        <w:rPr>
          <w:i/>
          <w:iCs/>
        </w:rPr>
        <w:t>The Learning Organization</w:t>
      </w:r>
      <w:r>
        <w:t xml:space="preserve">, </w:t>
      </w:r>
      <w:r>
        <w:rPr>
          <w:i/>
          <w:iCs/>
        </w:rPr>
        <w:t>32</w:t>
      </w:r>
      <w:r>
        <w:t xml:space="preserve">(2), 149–168. </w:t>
      </w:r>
      <w:hyperlink r:id="rId52" w:history="1">
        <w:r w:rsidRPr="00674822">
          <w:rPr>
            <w:rStyle w:val="Hyperlink"/>
            <w:rFonts w:eastAsiaTheme="majorEastAsia"/>
          </w:rPr>
          <w:t>https://doi.org/10.1108/tlo-10-2022-0124</w:t>
        </w:r>
      </w:hyperlink>
      <w:r>
        <w:rPr>
          <w:rStyle w:val="url"/>
          <w:rFonts w:eastAsiaTheme="majorEastAsia"/>
        </w:rPr>
        <w:t xml:space="preserve"> </w:t>
      </w:r>
    </w:p>
    <w:p w14:paraId="4AD075B3" w14:textId="77777777" w:rsidR="00B01FCD" w:rsidRPr="00FB3A86" w:rsidRDefault="00B01FCD" w:rsidP="0039346D">
      <w:pPr>
        <w:pStyle w:val="Appendix"/>
        <w:spacing w:after="0"/>
        <w:ind w:hanging="720"/>
        <w:jc w:val="both"/>
        <w:rPr>
          <w:rFonts w:ascii="Arial" w:hAnsi="Arial" w:cs="Arial"/>
          <w:b w:val="0"/>
        </w:rPr>
      </w:pPr>
    </w:p>
    <w:sectPr w:rsidR="00B01FCD" w:rsidRPr="00FB3A86" w:rsidSect="008F04E8">
      <w:headerReference w:type="even" r:id="rId53"/>
      <w:headerReference w:type="default" r:id="rId54"/>
      <w:footerReference w:type="default" r:id="rId55"/>
      <w:headerReference w:type="first" r:id="rId5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48B61" w14:textId="77777777" w:rsidR="009D5BAB" w:rsidRDefault="009D5BAB" w:rsidP="00C37E61">
      <w:r>
        <w:separator/>
      </w:r>
    </w:p>
  </w:endnote>
  <w:endnote w:type="continuationSeparator" w:id="0">
    <w:p w14:paraId="54ED6531" w14:textId="77777777" w:rsidR="009D5BAB" w:rsidRDefault="009D5B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15A9A" w14:textId="77777777" w:rsidR="00286EC0" w:rsidRDefault="00286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EEEB9" w14:textId="77777777" w:rsidR="00286EC0" w:rsidRDefault="00286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B518" w14:textId="0B280165" w:rsidR="00754C9A" w:rsidRPr="00286EC0" w:rsidRDefault="00754C9A" w:rsidP="00286E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4A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BAB94" w14:textId="77777777" w:rsidR="009D5BAB" w:rsidRDefault="009D5BAB" w:rsidP="00C37E61">
      <w:r>
        <w:separator/>
      </w:r>
    </w:p>
  </w:footnote>
  <w:footnote w:type="continuationSeparator" w:id="0">
    <w:p w14:paraId="2B0DB0CE" w14:textId="77777777" w:rsidR="009D5BAB" w:rsidRDefault="009D5B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E1586" w14:textId="0A3A0D04" w:rsidR="00286EC0" w:rsidRDefault="00286EC0">
    <w:pPr>
      <w:pStyle w:val="Header"/>
    </w:pPr>
    <w:r>
      <w:rPr>
        <w:noProof/>
      </w:rPr>
      <w:pict w14:anchorId="316BA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ED09" w14:textId="65315833" w:rsidR="00286EC0" w:rsidRDefault="00286EC0">
    <w:pPr>
      <w:pStyle w:val="Header"/>
    </w:pPr>
    <w:r>
      <w:rPr>
        <w:noProof/>
      </w:rPr>
      <w:pict w14:anchorId="3F316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F5CD" w14:textId="19D212AA" w:rsidR="00296529" w:rsidRPr="00296529" w:rsidRDefault="00286EC0" w:rsidP="00296529">
    <w:pPr>
      <w:ind w:left="2160"/>
      <w:jc w:val="center"/>
      <w:rPr>
        <w:rFonts w:ascii="Times New Roman" w:eastAsia="Calibri" w:hAnsi="Times New Roman"/>
        <w:i/>
        <w:sz w:val="18"/>
        <w:szCs w:val="22"/>
      </w:rPr>
    </w:pPr>
    <w:r>
      <w:rPr>
        <w:noProof/>
      </w:rPr>
      <w:pict w14:anchorId="506DA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6FAB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0B0C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E883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0C46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0A49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AA8F8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1216" w14:textId="78C59CD2" w:rsidR="00286EC0" w:rsidRDefault="00286EC0">
    <w:pPr>
      <w:pStyle w:val="Header"/>
    </w:pPr>
    <w:r>
      <w:rPr>
        <w:noProof/>
      </w:rPr>
      <w:pict w14:anchorId="0D686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3A75" w14:textId="1C80DC85" w:rsidR="00286EC0" w:rsidRDefault="00286EC0">
    <w:pPr>
      <w:pStyle w:val="Header"/>
    </w:pPr>
    <w:r>
      <w:rPr>
        <w:noProof/>
      </w:rPr>
      <w:pict w14:anchorId="22867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C5E1" w14:textId="65893A26" w:rsidR="00286EC0" w:rsidRDefault="00286EC0">
    <w:pPr>
      <w:pStyle w:val="Header"/>
    </w:pPr>
    <w:r>
      <w:rPr>
        <w:noProof/>
      </w:rPr>
      <w:pict w14:anchorId="10353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8873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F65644"/>
    <w:multiLevelType w:val="hybridMultilevel"/>
    <w:tmpl w:val="FA40FA14"/>
    <w:lvl w:ilvl="0" w:tplc="975AC87E">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7265038"/>
    <w:multiLevelType w:val="hybridMultilevel"/>
    <w:tmpl w:val="85B4E4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0M7I0tbQ0tDQzMDdR0lEKTi0uzszPAykwrAUA4ALlhywAAAA="/>
  </w:docVars>
  <w:rsids>
    <w:rsidRoot w:val="00AA6219"/>
    <w:rsid w:val="00000F8F"/>
    <w:rsid w:val="00001F54"/>
    <w:rsid w:val="00020633"/>
    <w:rsid w:val="00030174"/>
    <w:rsid w:val="000417B2"/>
    <w:rsid w:val="0004579C"/>
    <w:rsid w:val="00063F24"/>
    <w:rsid w:val="000930BD"/>
    <w:rsid w:val="00096411"/>
    <w:rsid w:val="000966A4"/>
    <w:rsid w:val="000A47FA"/>
    <w:rsid w:val="000A65D3"/>
    <w:rsid w:val="000B1E33"/>
    <w:rsid w:val="000C1197"/>
    <w:rsid w:val="000D2D42"/>
    <w:rsid w:val="000D689F"/>
    <w:rsid w:val="000E7B7B"/>
    <w:rsid w:val="000E7D62"/>
    <w:rsid w:val="00103357"/>
    <w:rsid w:val="00123C9F"/>
    <w:rsid w:val="00126190"/>
    <w:rsid w:val="00130F17"/>
    <w:rsid w:val="001320BF"/>
    <w:rsid w:val="0013655E"/>
    <w:rsid w:val="00163BC4"/>
    <w:rsid w:val="00191062"/>
    <w:rsid w:val="00192B72"/>
    <w:rsid w:val="001A29D8"/>
    <w:rsid w:val="001A5CAA"/>
    <w:rsid w:val="001B0427"/>
    <w:rsid w:val="001B6519"/>
    <w:rsid w:val="001D3A51"/>
    <w:rsid w:val="001E10D2"/>
    <w:rsid w:val="001E25B4"/>
    <w:rsid w:val="001E44FE"/>
    <w:rsid w:val="001F5E84"/>
    <w:rsid w:val="00200595"/>
    <w:rsid w:val="00204835"/>
    <w:rsid w:val="00212971"/>
    <w:rsid w:val="00220BCA"/>
    <w:rsid w:val="00231920"/>
    <w:rsid w:val="0023195C"/>
    <w:rsid w:val="0024282C"/>
    <w:rsid w:val="002460DC"/>
    <w:rsid w:val="00250985"/>
    <w:rsid w:val="002556F6"/>
    <w:rsid w:val="00274EB6"/>
    <w:rsid w:val="0028181C"/>
    <w:rsid w:val="00283105"/>
    <w:rsid w:val="00284C4C"/>
    <w:rsid w:val="00285BD0"/>
    <w:rsid w:val="00286EC0"/>
    <w:rsid w:val="00287E68"/>
    <w:rsid w:val="00296529"/>
    <w:rsid w:val="002A2225"/>
    <w:rsid w:val="002B04F7"/>
    <w:rsid w:val="002B27FB"/>
    <w:rsid w:val="002B5D1C"/>
    <w:rsid w:val="002B685A"/>
    <w:rsid w:val="002C14AD"/>
    <w:rsid w:val="002C57D2"/>
    <w:rsid w:val="002D50CC"/>
    <w:rsid w:val="002E0D56"/>
    <w:rsid w:val="002E15FE"/>
    <w:rsid w:val="0031511D"/>
    <w:rsid w:val="00315186"/>
    <w:rsid w:val="0033272F"/>
    <w:rsid w:val="0033343E"/>
    <w:rsid w:val="00340551"/>
    <w:rsid w:val="003512C2"/>
    <w:rsid w:val="003554AF"/>
    <w:rsid w:val="00362462"/>
    <w:rsid w:val="00371FB6"/>
    <w:rsid w:val="003763C1"/>
    <w:rsid w:val="00376BBE"/>
    <w:rsid w:val="0039224F"/>
    <w:rsid w:val="0039346D"/>
    <w:rsid w:val="003A43A4"/>
    <w:rsid w:val="003A7E18"/>
    <w:rsid w:val="003B6A53"/>
    <w:rsid w:val="003C4C86"/>
    <w:rsid w:val="003C6258"/>
    <w:rsid w:val="003E2904"/>
    <w:rsid w:val="003E5146"/>
    <w:rsid w:val="00401927"/>
    <w:rsid w:val="0041027F"/>
    <w:rsid w:val="00412475"/>
    <w:rsid w:val="00423080"/>
    <w:rsid w:val="00423789"/>
    <w:rsid w:val="00424C30"/>
    <w:rsid w:val="00440F43"/>
    <w:rsid w:val="00441B6F"/>
    <w:rsid w:val="00442CAE"/>
    <w:rsid w:val="00446221"/>
    <w:rsid w:val="00450E62"/>
    <w:rsid w:val="00453075"/>
    <w:rsid w:val="004539DB"/>
    <w:rsid w:val="00471A80"/>
    <w:rsid w:val="004A62CB"/>
    <w:rsid w:val="004D0D68"/>
    <w:rsid w:val="004D305E"/>
    <w:rsid w:val="004D4277"/>
    <w:rsid w:val="004D7F2F"/>
    <w:rsid w:val="004E0ED2"/>
    <w:rsid w:val="004E2044"/>
    <w:rsid w:val="00502516"/>
    <w:rsid w:val="00505F06"/>
    <w:rsid w:val="00506828"/>
    <w:rsid w:val="00510AC0"/>
    <w:rsid w:val="0053056E"/>
    <w:rsid w:val="00546AE0"/>
    <w:rsid w:val="00554FDA"/>
    <w:rsid w:val="005640EB"/>
    <w:rsid w:val="00572BBB"/>
    <w:rsid w:val="005C784C"/>
    <w:rsid w:val="005D17F6"/>
    <w:rsid w:val="005E5539"/>
    <w:rsid w:val="0060260C"/>
    <w:rsid w:val="00602BF5"/>
    <w:rsid w:val="00614B77"/>
    <w:rsid w:val="00617FDD"/>
    <w:rsid w:val="00633614"/>
    <w:rsid w:val="00633F68"/>
    <w:rsid w:val="00636EB2"/>
    <w:rsid w:val="006375B8"/>
    <w:rsid w:val="00644E3C"/>
    <w:rsid w:val="0066510A"/>
    <w:rsid w:val="00673F9F"/>
    <w:rsid w:val="00686953"/>
    <w:rsid w:val="00687DEA"/>
    <w:rsid w:val="00687E67"/>
    <w:rsid w:val="006967F7"/>
    <w:rsid w:val="006A250C"/>
    <w:rsid w:val="006B21D3"/>
    <w:rsid w:val="006B57D0"/>
    <w:rsid w:val="006D30FF"/>
    <w:rsid w:val="006D6940"/>
    <w:rsid w:val="006E4ADA"/>
    <w:rsid w:val="006F11EC"/>
    <w:rsid w:val="0070082C"/>
    <w:rsid w:val="007046BB"/>
    <w:rsid w:val="0072270A"/>
    <w:rsid w:val="007369E6"/>
    <w:rsid w:val="00746E59"/>
    <w:rsid w:val="007508CB"/>
    <w:rsid w:val="00754C9A"/>
    <w:rsid w:val="0075599A"/>
    <w:rsid w:val="00760759"/>
    <w:rsid w:val="00761D52"/>
    <w:rsid w:val="0077749E"/>
    <w:rsid w:val="00790ADA"/>
    <w:rsid w:val="00792CA8"/>
    <w:rsid w:val="007C1AF0"/>
    <w:rsid w:val="007D2288"/>
    <w:rsid w:val="007D69FF"/>
    <w:rsid w:val="007E088F"/>
    <w:rsid w:val="007F7B32"/>
    <w:rsid w:val="00804BC2"/>
    <w:rsid w:val="0081431A"/>
    <w:rsid w:val="0083216F"/>
    <w:rsid w:val="00833D18"/>
    <w:rsid w:val="008373C8"/>
    <w:rsid w:val="00845658"/>
    <w:rsid w:val="00860000"/>
    <w:rsid w:val="00863BD3"/>
    <w:rsid w:val="008641ED"/>
    <w:rsid w:val="00866D66"/>
    <w:rsid w:val="008671C6"/>
    <w:rsid w:val="00875803"/>
    <w:rsid w:val="00883227"/>
    <w:rsid w:val="00890ECC"/>
    <w:rsid w:val="0089388B"/>
    <w:rsid w:val="008B3DA1"/>
    <w:rsid w:val="008B459E"/>
    <w:rsid w:val="008E13AE"/>
    <w:rsid w:val="008E1506"/>
    <w:rsid w:val="008E710C"/>
    <w:rsid w:val="008F04E8"/>
    <w:rsid w:val="008F69D6"/>
    <w:rsid w:val="00902823"/>
    <w:rsid w:val="0090359C"/>
    <w:rsid w:val="009100E5"/>
    <w:rsid w:val="00915CA6"/>
    <w:rsid w:val="00927834"/>
    <w:rsid w:val="00934974"/>
    <w:rsid w:val="009500A6"/>
    <w:rsid w:val="00957C18"/>
    <w:rsid w:val="009659BA"/>
    <w:rsid w:val="009736E6"/>
    <w:rsid w:val="00983040"/>
    <w:rsid w:val="00985327"/>
    <w:rsid w:val="009932C2"/>
    <w:rsid w:val="009A09C5"/>
    <w:rsid w:val="009B3FB9"/>
    <w:rsid w:val="009C2465"/>
    <w:rsid w:val="009C32CB"/>
    <w:rsid w:val="009D35A0"/>
    <w:rsid w:val="009D5BAB"/>
    <w:rsid w:val="009D7EB7"/>
    <w:rsid w:val="009E048A"/>
    <w:rsid w:val="009E08E9"/>
    <w:rsid w:val="009E1979"/>
    <w:rsid w:val="009E3DB9"/>
    <w:rsid w:val="009E402F"/>
    <w:rsid w:val="009E6E35"/>
    <w:rsid w:val="009F056F"/>
    <w:rsid w:val="009F0EDA"/>
    <w:rsid w:val="009F3170"/>
    <w:rsid w:val="009F6710"/>
    <w:rsid w:val="009F745C"/>
    <w:rsid w:val="00A03B96"/>
    <w:rsid w:val="00A05B19"/>
    <w:rsid w:val="00A1134E"/>
    <w:rsid w:val="00A24E7E"/>
    <w:rsid w:val="00A258C3"/>
    <w:rsid w:val="00A347C0"/>
    <w:rsid w:val="00A51431"/>
    <w:rsid w:val="00A539AD"/>
    <w:rsid w:val="00A8740E"/>
    <w:rsid w:val="00A94063"/>
    <w:rsid w:val="00A94D4C"/>
    <w:rsid w:val="00AA6219"/>
    <w:rsid w:val="00AA74E0"/>
    <w:rsid w:val="00AB3326"/>
    <w:rsid w:val="00AB703F"/>
    <w:rsid w:val="00AB7913"/>
    <w:rsid w:val="00AC6BB8"/>
    <w:rsid w:val="00AE008F"/>
    <w:rsid w:val="00B00359"/>
    <w:rsid w:val="00B0035D"/>
    <w:rsid w:val="00B01FCD"/>
    <w:rsid w:val="00B071B3"/>
    <w:rsid w:val="00B152EC"/>
    <w:rsid w:val="00B1776C"/>
    <w:rsid w:val="00B268FA"/>
    <w:rsid w:val="00B26986"/>
    <w:rsid w:val="00B33111"/>
    <w:rsid w:val="00B52583"/>
    <w:rsid w:val="00B52896"/>
    <w:rsid w:val="00B7114F"/>
    <w:rsid w:val="00B864D0"/>
    <w:rsid w:val="00B95236"/>
    <w:rsid w:val="00B96BD9"/>
    <w:rsid w:val="00BA1B01"/>
    <w:rsid w:val="00BA2641"/>
    <w:rsid w:val="00BB22D1"/>
    <w:rsid w:val="00BB37AA"/>
    <w:rsid w:val="00BC53A0"/>
    <w:rsid w:val="00BE4B7B"/>
    <w:rsid w:val="00BE62AD"/>
    <w:rsid w:val="00BF121F"/>
    <w:rsid w:val="00BF1F80"/>
    <w:rsid w:val="00C166EF"/>
    <w:rsid w:val="00C17EB0"/>
    <w:rsid w:val="00C24E8E"/>
    <w:rsid w:val="00C27F5F"/>
    <w:rsid w:val="00C30A0F"/>
    <w:rsid w:val="00C34C53"/>
    <w:rsid w:val="00C37E61"/>
    <w:rsid w:val="00C50806"/>
    <w:rsid w:val="00C53C49"/>
    <w:rsid w:val="00C544D7"/>
    <w:rsid w:val="00C70F1B"/>
    <w:rsid w:val="00C71A47"/>
    <w:rsid w:val="00C7464C"/>
    <w:rsid w:val="00C85588"/>
    <w:rsid w:val="00C87696"/>
    <w:rsid w:val="00CB61CB"/>
    <w:rsid w:val="00CD6755"/>
    <w:rsid w:val="00CD6856"/>
    <w:rsid w:val="00CE0089"/>
    <w:rsid w:val="00CE793C"/>
    <w:rsid w:val="00CF193C"/>
    <w:rsid w:val="00D173F1"/>
    <w:rsid w:val="00D22ADA"/>
    <w:rsid w:val="00D3423C"/>
    <w:rsid w:val="00D47AB4"/>
    <w:rsid w:val="00D74CB0"/>
    <w:rsid w:val="00D807F8"/>
    <w:rsid w:val="00D8295D"/>
    <w:rsid w:val="00D852DD"/>
    <w:rsid w:val="00DC2A65"/>
    <w:rsid w:val="00DC7B65"/>
    <w:rsid w:val="00DD4DEE"/>
    <w:rsid w:val="00DE15F0"/>
    <w:rsid w:val="00DE5663"/>
    <w:rsid w:val="00DE78AA"/>
    <w:rsid w:val="00DE7A20"/>
    <w:rsid w:val="00DF30C2"/>
    <w:rsid w:val="00DF55DD"/>
    <w:rsid w:val="00E053D0"/>
    <w:rsid w:val="00E05736"/>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08D3"/>
    <w:rsid w:val="00F17988"/>
    <w:rsid w:val="00F26070"/>
    <w:rsid w:val="00F2791B"/>
    <w:rsid w:val="00F34AD7"/>
    <w:rsid w:val="00F40DA5"/>
    <w:rsid w:val="00F469F0"/>
    <w:rsid w:val="00F53273"/>
    <w:rsid w:val="00F742D4"/>
    <w:rsid w:val="00F755E4"/>
    <w:rsid w:val="00F77D02"/>
    <w:rsid w:val="00FB3A86"/>
    <w:rsid w:val="00FD36C8"/>
    <w:rsid w:val="00FD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E206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aliases w:val="Judul Naskah"/>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aliases w:val="Judul Naskah Char"/>
    <w:basedOn w:val="DefaultParagraphFont"/>
    <w:link w:val="Title"/>
    <w:rsid w:val="004A62CB"/>
    <w:rPr>
      <w:rFonts w:ascii="Helvetica" w:hAnsi="Helvetica"/>
      <w:b/>
      <w:kern w:val="28"/>
      <w:sz w:val="36"/>
    </w:rPr>
  </w:style>
  <w:style w:type="paragraph" w:styleId="NormalWeb">
    <w:name w:val="Normal (Web)"/>
    <w:basedOn w:val="Normal"/>
    <w:uiPriority w:val="99"/>
    <w:unhideWhenUsed/>
    <w:rsid w:val="00AB7913"/>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33111"/>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url">
    <w:name w:val="url"/>
    <w:basedOn w:val="DefaultParagraphFont"/>
    <w:rsid w:val="00903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oes.12424" TargetMode="External"/><Relationship Id="rId26" Type="http://schemas.openxmlformats.org/officeDocument/2006/relationships/hyperlink" Target="https://doi.org/10.1145/3491102.3517524" TargetMode="External"/><Relationship Id="rId39" Type="http://schemas.openxmlformats.org/officeDocument/2006/relationships/hyperlink" Target="https://doi.org/10.1016/j.cities.2022.103691" TargetMode="External"/><Relationship Id="rId21" Type="http://schemas.openxmlformats.org/officeDocument/2006/relationships/hyperlink" Target="https://doi.org/10.1145/3555585" TargetMode="External"/><Relationship Id="rId34" Type="http://schemas.openxmlformats.org/officeDocument/2006/relationships/hyperlink" Target="https://doi.org/10.1332/273241721x16448410652000" TargetMode="External"/><Relationship Id="rId42" Type="http://schemas.openxmlformats.org/officeDocument/2006/relationships/hyperlink" Target="https://doi.org/10.1136/bmj.n71" TargetMode="External"/><Relationship Id="rId47" Type="http://schemas.openxmlformats.org/officeDocument/2006/relationships/hyperlink" Target="https://doi.org/10.47191/ijmei/v9i10.03" TargetMode="External"/><Relationship Id="rId50" Type="http://schemas.openxmlformats.org/officeDocument/2006/relationships/hyperlink" Target="https://doi.org/10.1117/12.2685323"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45/3555134" TargetMode="External"/><Relationship Id="rId29" Type="http://schemas.openxmlformats.org/officeDocument/2006/relationships/hyperlink" Target="https://doi.org/10.1177/0894439319895757" TargetMode="External"/><Relationship Id="rId11" Type="http://schemas.openxmlformats.org/officeDocument/2006/relationships/footer" Target="footer2.xml"/><Relationship Id="rId24" Type="http://schemas.openxmlformats.org/officeDocument/2006/relationships/hyperlink" Target="https://doi.org/10.2139/SSRN.2682602" TargetMode="External"/><Relationship Id="rId32" Type="http://schemas.openxmlformats.org/officeDocument/2006/relationships/hyperlink" Target="https://doi.org/10.55908/sdgs.v11i7.843" TargetMode="External"/><Relationship Id="rId37" Type="http://schemas.openxmlformats.org/officeDocument/2006/relationships/hyperlink" Target="https://doi.org/10.1177/09737030211064138" TargetMode="External"/><Relationship Id="rId40" Type="http://schemas.openxmlformats.org/officeDocument/2006/relationships/hyperlink" Target="https://doi.org/10.38035/rrj.v7i5.1649" TargetMode="External"/><Relationship Id="rId45" Type="http://schemas.openxmlformats.org/officeDocument/2006/relationships/hyperlink" Target="https://doi.org/10.1093/sf/soad153"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108/bij-07-2018-02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57/pandp.20191039" TargetMode="External"/><Relationship Id="rId22" Type="http://schemas.openxmlformats.org/officeDocument/2006/relationships/hyperlink" Target="https://doi.org/10.1002/hfm.21007" TargetMode="External"/><Relationship Id="rId27" Type="http://schemas.openxmlformats.org/officeDocument/2006/relationships/hyperlink" Target="https://doi.org/10.24251/hicss.2022.545" TargetMode="External"/><Relationship Id="rId30" Type="http://schemas.openxmlformats.org/officeDocument/2006/relationships/hyperlink" Target="https://doi.org/10.1371/journal.pdig.0000617" TargetMode="External"/><Relationship Id="rId35" Type="http://schemas.openxmlformats.org/officeDocument/2006/relationships/hyperlink" Target="https://doi.org/10.47941/jbsm.762" TargetMode="External"/><Relationship Id="rId43" Type="http://schemas.openxmlformats.org/officeDocument/2006/relationships/hyperlink" Target="https://doi.org/10.26493/1854-6935.23.295-326" TargetMode="External"/><Relationship Id="rId48" Type="http://schemas.openxmlformats.org/officeDocument/2006/relationships/hyperlink" Target="https://doi.org/10.1111/1467-8551.00375"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177/003803851982890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8/ajim-08-2021-0235" TargetMode="External"/><Relationship Id="rId25" Type="http://schemas.openxmlformats.org/officeDocument/2006/relationships/hyperlink" Target="https://doi.org/10.1080/13552074.2022.2127574" TargetMode="External"/><Relationship Id="rId33" Type="http://schemas.openxmlformats.org/officeDocument/2006/relationships/hyperlink" Target="https://doi.org/10.1007/s10796-020-10036-1" TargetMode="External"/><Relationship Id="rId38" Type="http://schemas.openxmlformats.org/officeDocument/2006/relationships/hyperlink" Target="https://doi.org/10.14763/2022.1.1620" TargetMode="External"/><Relationship Id="rId46" Type="http://schemas.openxmlformats.org/officeDocument/2006/relationships/hyperlink" Target="https://doi.org/10.36948/ijfmr.2023.v05i04.5010" TargetMode="External"/><Relationship Id="rId20" Type="http://schemas.openxmlformats.org/officeDocument/2006/relationships/hyperlink" Target="https://doi.org/10.1016/j.dss.2023.114016" TargetMode="External"/><Relationship Id="rId41" Type="http://schemas.openxmlformats.org/officeDocument/2006/relationships/hyperlink" Target="https://doi.org/10.17509/INVOTEC.V16I1.23509"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9565/jems.v3i3.306" TargetMode="External"/><Relationship Id="rId23" Type="http://schemas.openxmlformats.org/officeDocument/2006/relationships/hyperlink" Target="https://doi.org/10.1596/40066" TargetMode="External"/><Relationship Id="rId28" Type="http://schemas.openxmlformats.org/officeDocument/2006/relationships/hyperlink" Target="https://doi.org/10.4337/roke.2014.02.03" TargetMode="External"/><Relationship Id="rId36" Type="http://schemas.openxmlformats.org/officeDocument/2006/relationships/hyperlink" Target="https://doi.org/10.1016/J.TECHFORE.2018.07.056" TargetMode="External"/><Relationship Id="rId49" Type="http://schemas.openxmlformats.org/officeDocument/2006/relationships/hyperlink" Target="https://doi.org/10.1093/sf/soad153"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1177/1024258916687250" TargetMode="External"/><Relationship Id="rId44" Type="http://schemas.openxmlformats.org/officeDocument/2006/relationships/hyperlink" Target="https://acfa.apeejay.edu/docs/volumes/envision-2022/paper-10.pdf" TargetMode="External"/><Relationship Id="rId52" Type="http://schemas.openxmlformats.org/officeDocument/2006/relationships/hyperlink" Target="https://doi.org/10.1108/tlo-10-2022-01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6D2F-3AD6-428F-84EF-AF74EFDD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15</Pages>
  <Words>6466</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40</cp:revision>
  <cp:lastPrinted>1999-07-06T11:00:00Z</cp:lastPrinted>
  <dcterms:created xsi:type="dcterms:W3CDTF">2026-04-16T05:45:00Z</dcterms:created>
  <dcterms:modified xsi:type="dcterms:W3CDTF">2026-04-21T10:56:00Z</dcterms:modified>
</cp:coreProperties>
</file>