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CB49B" w14:textId="77777777" w:rsidR="00BF67C6" w:rsidRPr="00A9631C" w:rsidRDefault="00BF67C6">
      <w:pPr>
        <w:spacing w:after="1200" w:line="360" w:lineRule="auto"/>
        <w:rPr>
          <w:rFonts w:ascii="Arial" w:hAnsi="Arial" w:cs="Arial"/>
          <w:sz w:val="20"/>
          <w:szCs w:val="20"/>
        </w:rPr>
      </w:pPr>
    </w:p>
    <w:p w14:paraId="2417BD1A" w14:textId="702D8C6F" w:rsidR="00BF67C6" w:rsidRPr="00A9631C" w:rsidRDefault="00895664" w:rsidP="00902C3F">
      <w:pPr>
        <w:spacing w:after="200" w:line="360" w:lineRule="auto"/>
        <w:jc w:val="center"/>
        <w:rPr>
          <w:rFonts w:ascii="Arial" w:hAnsi="Arial" w:cs="Arial"/>
          <w:sz w:val="20"/>
          <w:szCs w:val="20"/>
        </w:rPr>
      </w:pPr>
      <w:r w:rsidRPr="00A9631C">
        <w:rPr>
          <w:rFonts w:ascii="Arial" w:hAnsi="Arial" w:cs="Arial"/>
          <w:b/>
          <w:bCs/>
          <w:color w:val="1A365D"/>
          <w:sz w:val="20"/>
          <w:szCs w:val="20"/>
        </w:rPr>
        <w:t>Beyond Cognitive Ability: The Role of Emotional Intelligence</w:t>
      </w:r>
      <w:r w:rsidR="00902C3F" w:rsidRPr="00A9631C">
        <w:rPr>
          <w:rFonts w:ascii="Arial" w:hAnsi="Arial" w:cs="Arial"/>
          <w:b/>
          <w:bCs/>
          <w:color w:val="1A365D"/>
          <w:sz w:val="20"/>
          <w:szCs w:val="20"/>
        </w:rPr>
        <w:t xml:space="preserve"> </w:t>
      </w:r>
      <w:r w:rsidRPr="00A9631C">
        <w:rPr>
          <w:rFonts w:ascii="Arial" w:hAnsi="Arial" w:cs="Arial"/>
          <w:b/>
          <w:bCs/>
          <w:color w:val="1A365D"/>
          <w:sz w:val="20"/>
          <w:szCs w:val="20"/>
        </w:rPr>
        <w:t>Dimensions in Enhancing Job Performance in Higher Education</w:t>
      </w:r>
    </w:p>
    <w:p w14:paraId="18A4C186" w14:textId="77777777" w:rsidR="00BF67C6" w:rsidRPr="00A9631C" w:rsidRDefault="00BF67C6">
      <w:pPr>
        <w:spacing w:after="60" w:line="360" w:lineRule="auto"/>
        <w:jc w:val="center"/>
        <w:rPr>
          <w:rFonts w:ascii="Arial" w:hAnsi="Arial" w:cs="Arial"/>
          <w:color w:val="555555"/>
          <w:sz w:val="20"/>
          <w:szCs w:val="20"/>
        </w:rPr>
      </w:pPr>
      <w:bookmarkStart w:id="0" w:name="_GoBack"/>
      <w:bookmarkEnd w:id="0"/>
    </w:p>
    <w:p w14:paraId="03A0E9A8" w14:textId="77777777" w:rsidR="00BF67C6" w:rsidRPr="00A9631C" w:rsidRDefault="00BF67C6">
      <w:pPr>
        <w:spacing w:after="60" w:line="360" w:lineRule="auto"/>
        <w:jc w:val="center"/>
        <w:rPr>
          <w:rFonts w:ascii="Arial" w:hAnsi="Arial" w:cs="Arial"/>
          <w:color w:val="555555"/>
          <w:sz w:val="20"/>
          <w:szCs w:val="20"/>
        </w:rPr>
      </w:pPr>
    </w:p>
    <w:p w14:paraId="075EF26C"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Abstract</w:t>
      </w:r>
    </w:p>
    <w:p w14:paraId="6086D912" w14:textId="77777777" w:rsidR="00BF67C6" w:rsidRPr="00A9631C" w:rsidRDefault="00895664">
      <w:pPr>
        <w:spacing w:after="180" w:line="360" w:lineRule="auto"/>
        <w:ind w:firstLine="720"/>
        <w:jc w:val="both"/>
        <w:rPr>
          <w:rFonts w:ascii="Arial" w:eastAsia="Gungsuh" w:hAnsi="Arial" w:cs="Arial"/>
          <w:sz w:val="20"/>
          <w:szCs w:val="20"/>
        </w:rPr>
      </w:pPr>
      <w:r w:rsidRPr="00A9631C">
        <w:rPr>
          <w:rFonts w:ascii="Arial" w:eastAsia="Gungsuh" w:hAnsi="Arial" w:cs="Arial"/>
          <w:sz w:val="20"/>
          <w:szCs w:val="20"/>
        </w:rPr>
        <w:t>The present study investigates the differential effects of emotional intelligence (EI) dimensions self-awareness (SA), self-regulation (SR), and social competence (SC) on job performance (JBP) among academic staff in higher education institutions in Jammu and Kashmir, India. Grounded in Goleman's (1998) competency-based EI framework and the ability model of Mayer et al. (2004), the study adopts a quantitative, cross-sectional design with stratified random sampling (N = 200). Partial Least Squares Structural Equation Modeling (PLS-SEM) was employed for data analysis. Measurement model results confirm strong reliability (Cronbach's Alpha ≥ 0.817; Composite Reliability ≥ 0.881) and convergent validity (AVE ≥ 0.583) for all constructs. Discriminant validity is supported via the Fornell-Larcker criterion. The structural model explains 67.6% of the variance in job performance (R² = 0.676). All three EI dimensions exert statistically significant positive effects on job performance: self-regulation (β = 0.488, T = 4.259, p &lt; 0.001) is the strongest predictor, followed by social competence (β = 0.400, T = 6.346, p &lt; 0.001) and self-awareness (β = 0.232, T = 2.189, p = 0.000). These findings provide novel, context-specific empirical evidence from a conflict-affected, resource-constrained region, affirming the importance of all three EI dimensions in academic settings. Practical implications for faculty development, talent management, and institutional policy in higher education are discussed.</w:t>
      </w:r>
    </w:p>
    <w:p w14:paraId="49E0B490" w14:textId="77777777" w:rsidR="00387B3E" w:rsidRPr="00A9631C" w:rsidRDefault="00387B3E">
      <w:pPr>
        <w:spacing w:after="180" w:line="360" w:lineRule="auto"/>
        <w:ind w:firstLine="720"/>
        <w:jc w:val="both"/>
        <w:rPr>
          <w:rFonts w:ascii="Arial" w:eastAsia="Gungsuh" w:hAnsi="Arial" w:cs="Arial"/>
          <w:sz w:val="20"/>
          <w:szCs w:val="20"/>
        </w:rPr>
      </w:pPr>
    </w:p>
    <w:p w14:paraId="029AC3C2" w14:textId="77777777" w:rsidR="00387B3E" w:rsidRPr="00A9631C" w:rsidRDefault="00387B3E" w:rsidP="00387B3E">
      <w:pPr>
        <w:spacing w:after="180" w:line="360" w:lineRule="auto"/>
        <w:ind w:firstLine="720"/>
        <w:jc w:val="both"/>
        <w:rPr>
          <w:rFonts w:ascii="Arial" w:hAnsi="Arial" w:cs="Arial"/>
          <w:sz w:val="20"/>
          <w:szCs w:val="20"/>
        </w:rPr>
      </w:pPr>
    </w:p>
    <w:p w14:paraId="0654A127" w14:textId="77777777" w:rsidR="00387B3E" w:rsidRPr="00A9631C" w:rsidRDefault="00387B3E" w:rsidP="00387B3E">
      <w:pPr>
        <w:spacing w:after="180" w:line="360" w:lineRule="auto"/>
        <w:ind w:firstLine="720"/>
        <w:jc w:val="both"/>
        <w:rPr>
          <w:rFonts w:ascii="Arial" w:hAnsi="Arial" w:cs="Arial"/>
          <w:sz w:val="20"/>
          <w:szCs w:val="20"/>
        </w:rPr>
      </w:pPr>
      <w:r w:rsidRPr="00A9631C">
        <w:rPr>
          <w:rFonts w:ascii="Arial" w:hAnsi="Arial" w:cs="Arial"/>
          <w:sz w:val="20"/>
          <w:szCs w:val="20"/>
        </w:rPr>
        <w:t>Keywords: Emotional Intelligence, Self-Awareness, Self-Regulation, Social Competence,</w:t>
      </w:r>
    </w:p>
    <w:p w14:paraId="43EF62B6" w14:textId="77B70712" w:rsidR="00387B3E" w:rsidRPr="00A9631C" w:rsidRDefault="00387B3E" w:rsidP="00387B3E">
      <w:pPr>
        <w:spacing w:after="180" w:line="360" w:lineRule="auto"/>
        <w:ind w:firstLine="720"/>
        <w:jc w:val="both"/>
        <w:rPr>
          <w:rFonts w:ascii="Arial" w:hAnsi="Arial" w:cs="Arial"/>
          <w:sz w:val="20"/>
          <w:szCs w:val="20"/>
        </w:rPr>
      </w:pPr>
      <w:r w:rsidRPr="00A9631C">
        <w:rPr>
          <w:rFonts w:ascii="Arial" w:hAnsi="Arial" w:cs="Arial"/>
          <w:sz w:val="20"/>
          <w:szCs w:val="20"/>
        </w:rPr>
        <w:t>Job Performance, Higher Education</w:t>
      </w:r>
    </w:p>
    <w:p w14:paraId="30427E74" w14:textId="77777777" w:rsidR="00BF67C6" w:rsidRPr="00A9631C" w:rsidRDefault="00BF67C6">
      <w:pPr>
        <w:spacing w:after="100" w:line="360" w:lineRule="auto"/>
        <w:rPr>
          <w:rFonts w:ascii="Arial" w:hAnsi="Arial" w:cs="Arial"/>
          <w:sz w:val="20"/>
          <w:szCs w:val="20"/>
        </w:rPr>
      </w:pPr>
    </w:p>
    <w:p w14:paraId="01F9E5BC"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br w:type="page"/>
      </w:r>
    </w:p>
    <w:p w14:paraId="6AEF1C9C"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lastRenderedPageBreak/>
        <w:t>1. Introduction</w:t>
      </w:r>
    </w:p>
    <w:p w14:paraId="7229792B"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growing complexity of modern organizations has fundamentally shifted scholarly attention beyond traditional cognitive abilities toward broader human competencies, particularly those of an emotional nature. In knowledge-intensive sectors such as higher education, where work is inherently relational and interaction-driven, emotional intelligence (EI) has emerged as a critical determinant of employee effectiveness and job performance. Emotional intelligence refers to the ability to perceive, understand, regulate, and utilize emotions in oneself and others (Mayer et al., 2004; Goleman, 1998).</w:t>
      </w:r>
    </w:p>
    <w:p w14:paraId="3C1A5823"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Higher education institutions function as complex social systems characterized by continuous interactions among faculty, students, and administrative stakeholders. Academic roles demand not only intellectual expertise but also emotional engagement, adaptability, and interpersonal effectiveness. In such contexts, individuals with higher emotional intelligence are better equipped to manage workplace challenges, resolve conflicts, and foster collaborative relationships, thereby enhancing job performance (Joseph &amp; Newman, 2010).</w:t>
      </w:r>
    </w:p>
    <w:p w14:paraId="59B417BF"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Empirical evidence consistently supports the positive relationship between emotional intelligence and job performance across organizational settings. A landmark meta-analysis by O'Boyle et al. (2011) found that EI significantly predicts job performance, even after controlling for cognitive intelligence and personality traits. In higher education specifically, emotionally intelligent faculty members have been shown to demonstrate higher levels of teaching effectiveness, job satisfaction, and professional commitment </w:t>
      </w:r>
      <w:proofErr w:type="gramStart"/>
      <w:r w:rsidRPr="00A9631C">
        <w:rPr>
          <w:rFonts w:ascii="Arial" w:hAnsi="Arial" w:cs="Arial"/>
          <w:sz w:val="20"/>
          <w:szCs w:val="20"/>
        </w:rPr>
        <w:t xml:space="preserve">( </w:t>
      </w:r>
      <w:r w:rsidRPr="00A9631C">
        <w:rPr>
          <w:rFonts w:ascii="Arial" w:hAnsi="Arial" w:cs="Arial"/>
          <w:color w:val="2E414F"/>
          <w:sz w:val="20"/>
          <w:szCs w:val="20"/>
          <w:highlight w:val="white"/>
        </w:rPr>
        <w:t>Kaur</w:t>
      </w:r>
      <w:proofErr w:type="gramEnd"/>
      <w:r w:rsidRPr="00A9631C">
        <w:rPr>
          <w:rFonts w:ascii="Arial" w:hAnsi="Arial" w:cs="Arial"/>
          <w:color w:val="2E414F"/>
          <w:sz w:val="20"/>
          <w:szCs w:val="20"/>
          <w:highlight w:val="white"/>
        </w:rPr>
        <w:t>, J., &amp; Sharma, A. (2019)</w:t>
      </w:r>
      <w:r w:rsidRPr="00A9631C">
        <w:rPr>
          <w:rFonts w:ascii="Arial" w:hAnsi="Arial" w:cs="Arial"/>
          <w:sz w:val="20"/>
          <w:szCs w:val="20"/>
        </w:rPr>
        <w:t>.</w:t>
      </w:r>
    </w:p>
    <w:p w14:paraId="6CFFDCD7"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relevance of emotional intelligence becomes especially salient in the context of Jammu and Kashmir (J&amp;K), where higher education institutions operate within unique socio-cultural and environmental conditions. Factors such as institutional transitions, resource constraints, and socio-political dynamics place additional emotional and psychological demands on academic staff (Yousuf &amp; Mir, 2024). In such settings, a full spectrum of emotional competencies from self-recognition to interpersonal sensitivity plays a pivotal role in enabling academic staff to sustain high performance.</w:t>
      </w:r>
    </w:p>
    <w:p w14:paraId="2EC817DF"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Despite a growing body of research, many studies conceptualize emotional intelligence as </w:t>
      </w:r>
      <w:proofErr w:type="gramStart"/>
      <w:r w:rsidRPr="00A9631C">
        <w:rPr>
          <w:rFonts w:ascii="Arial" w:hAnsi="Arial" w:cs="Arial"/>
          <w:sz w:val="20"/>
          <w:szCs w:val="20"/>
        </w:rPr>
        <w:t>an</w:t>
      </w:r>
      <w:proofErr w:type="gramEnd"/>
      <w:r w:rsidRPr="00A9631C">
        <w:rPr>
          <w:rFonts w:ascii="Arial" w:hAnsi="Arial" w:cs="Arial"/>
          <w:sz w:val="20"/>
          <w:szCs w:val="20"/>
        </w:rPr>
        <w:t xml:space="preserve"> unidimensional construct, thereby overlooking the distinct contributions of individual components. EI is inherently multidimensional, comprising intrapersonal and interpersonal competencies including self-awareness, self-regulation, and social competence (Goleman, 1998; Boyatzis et al., 2000). Accordingly, this study adopts a multidimensional perspective to rigorously examine how each EI dimension independently predicts job performance in higher education.</w:t>
      </w:r>
    </w:p>
    <w:p w14:paraId="4D4891E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The present study makes three primary contributions to the literature. First, it empirically tests the differential effects of self-awareness, self-regulation, and social competence on job performance among academic staff. Second, it provides context-specific evidence from higher education institutions in Jammu </w:t>
      </w:r>
      <w:r w:rsidRPr="00A9631C">
        <w:rPr>
          <w:rFonts w:ascii="Arial" w:hAnsi="Arial" w:cs="Arial"/>
          <w:sz w:val="20"/>
          <w:szCs w:val="20"/>
        </w:rPr>
        <w:lastRenderedPageBreak/>
        <w:t>and Kashmir, a region underrepresented in organizational behavior research. Third, it employs PLS-SEM, a robust, bias-corrected analytical framework to simultaneously assess measurement quality and structural relationships. Findings carry significant theoretical and practical implications for talent management, faculty development, and educational leadership in higher education.</w:t>
      </w:r>
    </w:p>
    <w:p w14:paraId="741297EB" w14:textId="77777777" w:rsidR="00BF67C6" w:rsidRPr="00A9631C" w:rsidRDefault="00BF67C6">
      <w:pPr>
        <w:spacing w:after="80" w:line="360" w:lineRule="auto"/>
        <w:rPr>
          <w:rFonts w:ascii="Arial" w:hAnsi="Arial" w:cs="Arial"/>
          <w:sz w:val="20"/>
          <w:szCs w:val="20"/>
        </w:rPr>
      </w:pPr>
    </w:p>
    <w:p w14:paraId="085B1161"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2. Literature Review</w:t>
      </w:r>
    </w:p>
    <w:p w14:paraId="28B66538"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2.1 Emotional Intelligence and Job Performance</w:t>
      </w:r>
    </w:p>
    <w:p w14:paraId="7855EAE9"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Emotional intelligence has gained prominent recognition in organizational research as a predictor of job performance beyond cognitive abilities. Initially conceptualized by Mayer et al. (2004) and popularized by Goleman (1998), EI reflects an individual's capacity to perceive, understand, manage, and utilize emotions effectively in workplace contexts. The construct has attracted substantial empirical attention owing to its relevance to complex, human-centered job roles.</w:t>
      </w:r>
    </w:p>
    <w:p w14:paraId="1321D71F"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O'Boyle et al. (2011) conducted a comprehensive meta-analysis confirming that EI significantly predicts job performance across diverse occupational settings, even after accounting for cognitive intelligence and personality. Joseph and Newman (2010) further proposed a cascading model in which EI influences performance through sequential emotional processes, including emotional labor and regulation. More recently, Miao et al. (2020) demonstrated that EI contributes to job performance both directly and indirectly through engagement and regulatory mechanisms. Tan et al., (2022) emphasizes that EI enables individuals to manage complex social interactions and sustain performance in dynamic organizational environments.</w:t>
      </w:r>
    </w:p>
    <w:p w14:paraId="14467816"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2.2 Emotional Intelligence in Higher Education</w:t>
      </w:r>
    </w:p>
    <w:p w14:paraId="6E79A3D4"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Higher education represents a distinctively demanding organizational context characterized by elevated interpersonal interaction, sustained emotional labor, and cognitive complexity. Faculty members are required to simultaneously manage teaching responsibilities, research obligations, and administrative duties while engaging diverse stakeholder groups. In such environments, emotional intelligence plays a critical role in shaping professional effectiveness and sustained performance.</w:t>
      </w:r>
    </w:p>
    <w:p w14:paraId="4B8EF2ED"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Brackett et al. (2012) demonstrated that emotional competencies enhance classroom climate and student engagement outcomes, providing compelling evidence for the role of emotional processes in educational effectiveness. Emotional intelligence has also been linked to reduced burnout and enhanced well-being among educators (</w:t>
      </w:r>
      <w:proofErr w:type="spellStart"/>
      <w:r w:rsidRPr="00A9631C">
        <w:rPr>
          <w:rFonts w:ascii="Arial" w:hAnsi="Arial" w:cs="Arial"/>
          <w:sz w:val="20"/>
          <w:szCs w:val="20"/>
        </w:rPr>
        <w:t>Extremera</w:t>
      </w:r>
      <w:proofErr w:type="spellEnd"/>
      <w:r w:rsidRPr="00A9631C">
        <w:rPr>
          <w:rFonts w:ascii="Arial" w:hAnsi="Arial" w:cs="Arial"/>
          <w:sz w:val="20"/>
          <w:szCs w:val="20"/>
        </w:rPr>
        <w:t xml:space="preserve"> et al., 2020), supporting sustained job performance. Chan (2006) further identified EI as a protective factor against teacher burnout, contributing to long-term professional effectiveness in educational contexts.</w:t>
      </w:r>
    </w:p>
    <w:p w14:paraId="460A5220"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lastRenderedPageBreak/>
        <w:t>2.3 Dimensions of Emotional Intelligence</w:t>
      </w:r>
    </w:p>
    <w:p w14:paraId="14FD8246"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2.3.1 Self-Awareness</w:t>
      </w:r>
    </w:p>
    <w:p w14:paraId="5C7B7971"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Self-awareness is widely regarded as the foundational dimension of emotional intelligence, referring to the capacity to accurately recognize and understand one's own emotional states, strengths, weaknesses, and their effects on others (Goleman, 1998). Individuals with high self-awareness demonstrate superior reflective capacity, enabling them to make more informed decisions and regulate subsequent behavior effectively. Sánchez-Álvarez et al. (2020) established a significant relationship between self-awareness and psychological well-being, which in turn supports occupational performance. In academic settings, self-aware faculty members are better positioned to recognize how their emotional states influence their instructional delivery and interpersonal relationships, thereby facilitating more effective professional practice.</w:t>
      </w:r>
    </w:p>
    <w:p w14:paraId="07EEBEDE"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2.3.2 Self-Regulation</w:t>
      </w:r>
    </w:p>
    <w:p w14:paraId="6D1D03D1"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Self-regulation involves the capacity to modulate and manage one's emotional responses, particularly in stressful or challenging circumstances. Gross (1998) provided the foundational theoretical framework for emotional regulation, emphasizing its role in psychological adaptation and behavioral control. Subsequent studies confirm that effective emotion regulation reduces stress and enhances workplace performance by promoting stability, persistence, and adaptability (</w:t>
      </w:r>
      <w:proofErr w:type="spellStart"/>
      <w:r w:rsidRPr="00A9631C">
        <w:rPr>
          <w:rFonts w:ascii="Arial" w:hAnsi="Arial" w:cs="Arial"/>
          <w:sz w:val="20"/>
          <w:szCs w:val="20"/>
        </w:rPr>
        <w:t>Extremera</w:t>
      </w:r>
      <w:proofErr w:type="spellEnd"/>
      <w:r w:rsidRPr="00A9631C">
        <w:rPr>
          <w:rFonts w:ascii="Arial" w:hAnsi="Arial" w:cs="Arial"/>
          <w:sz w:val="20"/>
          <w:szCs w:val="20"/>
        </w:rPr>
        <w:t xml:space="preserve"> et al., 2020). In higher education environments such as J&amp;K, where institutional pressures and socio-political stressors are pronounced, the ability to regulate emotional responses is especially critical for maintaining consistent performance standards.</w:t>
      </w:r>
    </w:p>
    <w:p w14:paraId="0D285979"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2.3.3 Social Competence</w:t>
      </w:r>
    </w:p>
    <w:p w14:paraId="5FFD23D6"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Social competence encompasses the interpersonal dimensions of emotional intelligence, including empathy, social awareness, and the ability to manage relationships effectively. It plays an especially important role in environments such as higher education, where collaboration, mentoring, and stakeholder engagement are central to academic roles. Tan et al., 2022, (2022) argues that socially competent individuals are better equipped to navigate complex interpersonal dynamics, build rapport, and influence others constructively. In the J&amp;K higher education context, social competence may translate directly into improved collegial relationships, more effective student mentoring, and stronger institutional collaboration all of which contribute to enhanced job performance.</w:t>
      </w:r>
    </w:p>
    <w:p w14:paraId="0D54C161"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2.4 Theoretical Framework</w:t>
      </w:r>
    </w:p>
    <w:p w14:paraId="078B6AA7"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This study draws on two complementary theoretical frameworks. The ability-based model of Mayer et al. (2004) conceptualizes EI as a form of intelligence organized into four branches: perceiving, facilitating, understanding, and managing emotions. This model emphasizes the cognitive processing of emotional </w:t>
      </w:r>
      <w:r w:rsidRPr="00A9631C">
        <w:rPr>
          <w:rFonts w:ascii="Arial" w:hAnsi="Arial" w:cs="Arial"/>
          <w:sz w:val="20"/>
          <w:szCs w:val="20"/>
        </w:rPr>
        <w:lastRenderedPageBreak/>
        <w:t>information as a basis for adaptive behavior. Complementing this, Goleman's (1998) competency-based framework provides a more operationally specific perspective, identifying behavioral competencies linked to EI that are particularly relevant to organizational performance. The integration of these frameworks supports a comprehensive, multidimensional understanding of how EI dimensions independently contribute to job performance.</w:t>
      </w:r>
    </w:p>
    <w:p w14:paraId="0A8735EE"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2.5 Research Gap and Hypotheses</w:t>
      </w:r>
    </w:p>
    <w:p w14:paraId="002C93D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Despite extensive research, significant gaps remain. The predominance of unidimensional EI conceptualizations limits understanding of how specific dimensions differentially </w:t>
      </w:r>
      <w:proofErr w:type="gramStart"/>
      <w:r w:rsidRPr="00A9631C">
        <w:rPr>
          <w:rFonts w:ascii="Arial" w:hAnsi="Arial" w:cs="Arial"/>
          <w:sz w:val="20"/>
          <w:szCs w:val="20"/>
        </w:rPr>
        <w:t>influence</w:t>
      </w:r>
      <w:proofErr w:type="gramEnd"/>
      <w:r w:rsidRPr="00A9631C">
        <w:rPr>
          <w:rFonts w:ascii="Arial" w:hAnsi="Arial" w:cs="Arial"/>
          <w:sz w:val="20"/>
          <w:szCs w:val="20"/>
        </w:rPr>
        <w:t xml:space="preserve"> performance. Moreover, context-specific investigations in higher education institutions particularly in regions like Jammu and Kashmir are scarce. The present study addresses these gaps by empirically testing the independent, dimension-specific effects of SA, SR, and SC on job performance in the J&amp;K higher education context. Based on the theoretical and empirical foundations reviewed, the following hypotheses are proposed:</w:t>
      </w:r>
    </w:p>
    <w:p w14:paraId="4930C200" w14:textId="77777777" w:rsidR="00BF67C6" w:rsidRPr="00A9631C" w:rsidRDefault="00BF67C6">
      <w:pPr>
        <w:spacing w:after="60" w:line="360" w:lineRule="auto"/>
        <w:rPr>
          <w:rFonts w:ascii="Arial" w:hAnsi="Arial" w:cs="Arial"/>
          <w:sz w:val="20"/>
          <w:szCs w:val="20"/>
        </w:rPr>
      </w:pPr>
    </w:p>
    <w:p w14:paraId="6E8F4F7E" w14:textId="77777777" w:rsidR="00BF67C6" w:rsidRPr="00A9631C" w:rsidRDefault="00895664">
      <w:pPr>
        <w:spacing w:before="60" w:after="60" w:line="360" w:lineRule="auto"/>
        <w:ind w:left="720"/>
        <w:jc w:val="both"/>
        <w:rPr>
          <w:rFonts w:ascii="Arial" w:hAnsi="Arial" w:cs="Arial"/>
          <w:sz w:val="20"/>
          <w:szCs w:val="20"/>
        </w:rPr>
      </w:pPr>
      <w:r w:rsidRPr="00A9631C">
        <w:rPr>
          <w:rFonts w:ascii="Arial" w:hAnsi="Arial" w:cs="Arial"/>
          <w:b/>
          <w:bCs/>
          <w:color w:val="1A365D"/>
          <w:sz w:val="20"/>
          <w:szCs w:val="20"/>
        </w:rPr>
        <w:t>H1: Self-awareness has a significant positive effect on job performance in higher education.</w:t>
      </w:r>
    </w:p>
    <w:p w14:paraId="0AE986AB" w14:textId="77777777" w:rsidR="00BF67C6" w:rsidRPr="00A9631C" w:rsidRDefault="00895664">
      <w:pPr>
        <w:spacing w:before="60" w:after="60" w:line="360" w:lineRule="auto"/>
        <w:ind w:left="720"/>
        <w:jc w:val="both"/>
        <w:rPr>
          <w:rFonts w:ascii="Arial" w:hAnsi="Arial" w:cs="Arial"/>
          <w:sz w:val="20"/>
          <w:szCs w:val="20"/>
        </w:rPr>
      </w:pPr>
      <w:r w:rsidRPr="00A9631C">
        <w:rPr>
          <w:rFonts w:ascii="Arial" w:hAnsi="Arial" w:cs="Arial"/>
          <w:b/>
          <w:bCs/>
          <w:color w:val="1A365D"/>
          <w:sz w:val="20"/>
          <w:szCs w:val="20"/>
        </w:rPr>
        <w:t>H2: Self-regulation has a significant positive effect on job performance in higher education.</w:t>
      </w:r>
    </w:p>
    <w:p w14:paraId="3BE00532" w14:textId="77777777" w:rsidR="00BF67C6" w:rsidRPr="00A9631C" w:rsidRDefault="00895664">
      <w:pPr>
        <w:spacing w:before="60" w:after="60" w:line="360" w:lineRule="auto"/>
        <w:ind w:left="720"/>
        <w:jc w:val="both"/>
        <w:rPr>
          <w:rFonts w:ascii="Arial" w:hAnsi="Arial" w:cs="Arial"/>
          <w:sz w:val="20"/>
          <w:szCs w:val="20"/>
        </w:rPr>
      </w:pPr>
      <w:r w:rsidRPr="00A9631C">
        <w:rPr>
          <w:rFonts w:ascii="Arial" w:hAnsi="Arial" w:cs="Arial"/>
          <w:b/>
          <w:bCs/>
          <w:color w:val="1A365D"/>
          <w:sz w:val="20"/>
          <w:szCs w:val="20"/>
        </w:rPr>
        <w:t>H3: Social competence has a significant positive effect on job performance in higher education.</w:t>
      </w:r>
    </w:p>
    <w:p w14:paraId="1C34160C" w14:textId="77777777" w:rsidR="00BF67C6" w:rsidRPr="00A9631C" w:rsidRDefault="00BF67C6">
      <w:pPr>
        <w:spacing w:after="80" w:line="360" w:lineRule="auto"/>
        <w:rPr>
          <w:rFonts w:ascii="Arial" w:hAnsi="Arial" w:cs="Arial"/>
          <w:sz w:val="20"/>
          <w:szCs w:val="20"/>
        </w:rPr>
      </w:pPr>
    </w:p>
    <w:p w14:paraId="153E9DC2"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3. Methodology</w:t>
      </w:r>
    </w:p>
    <w:p w14:paraId="1E36D553"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3.1 Research Design</w:t>
      </w:r>
    </w:p>
    <w:p w14:paraId="38A28D52" w14:textId="4B922F42"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study adopted a quantitative, cross-sectional research design grounded in a positivist epistemological stance</w:t>
      </w:r>
      <w:r w:rsidR="00354AB7" w:rsidRPr="00A9631C">
        <w:rPr>
          <w:rFonts w:ascii="Arial" w:hAnsi="Arial" w:cs="Arial"/>
          <w:sz w:val="20"/>
          <w:szCs w:val="20"/>
        </w:rPr>
        <w:t xml:space="preserve"> (Qureshi et al., 2025; Bhat et al., 2025; Dada eta al., 2024; Bhat et al., 2024; Bhat et al., 2023; Wani et al., 2025)</w:t>
      </w:r>
      <w:r w:rsidRPr="00A9631C">
        <w:rPr>
          <w:rFonts w:ascii="Arial" w:hAnsi="Arial" w:cs="Arial"/>
          <w:sz w:val="20"/>
          <w:szCs w:val="20"/>
        </w:rPr>
        <w:t>. This design was selected for its suitability to hypothesis testing through statistical inference, its efficiency in data collection across a geographically dispersed population, and its alignment with the established methodological conventions of organizational behavior research.</w:t>
      </w:r>
    </w:p>
    <w:p w14:paraId="4F145728"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3.2 Population and Sampling</w:t>
      </w:r>
    </w:p>
    <w:p w14:paraId="5A60879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The target population comprised all academic staff faculty members and academic leaders employed in higher education institutions in Jammu and Kashmir, India. A stratified random sampling strategy was adopted to ensure proportionate representation across academic ranks. The population was divided into four strata based on academic rank: Assistant Professors, Associate Professors, Professors, </w:t>
      </w:r>
      <w:r w:rsidRPr="00A9631C">
        <w:rPr>
          <w:rFonts w:ascii="Arial" w:hAnsi="Arial" w:cs="Arial"/>
          <w:sz w:val="20"/>
          <w:szCs w:val="20"/>
        </w:rPr>
        <w:lastRenderedPageBreak/>
        <w:t>and Academic Leaders. A proportionate number of respondents were randomly selected from each stratum. Table 1 presents the sample distribution.</w:t>
      </w:r>
    </w:p>
    <w:p w14:paraId="443EF244" w14:textId="77777777" w:rsidR="00BF67C6" w:rsidRPr="00A9631C" w:rsidRDefault="00BF67C6">
      <w:pPr>
        <w:spacing w:after="80" w:line="360" w:lineRule="auto"/>
        <w:rPr>
          <w:rFonts w:ascii="Arial" w:hAnsi="Arial" w:cs="Arial"/>
          <w:sz w:val="20"/>
          <w:szCs w:val="20"/>
        </w:rPr>
      </w:pPr>
    </w:p>
    <w:p w14:paraId="3DE0F3F1" w14:textId="77777777" w:rsidR="00BF67C6" w:rsidRPr="00A9631C" w:rsidRDefault="00895664">
      <w:pPr>
        <w:spacing w:after="80" w:line="360" w:lineRule="auto"/>
        <w:jc w:val="center"/>
        <w:rPr>
          <w:rFonts w:ascii="Arial" w:hAnsi="Arial" w:cs="Arial"/>
          <w:sz w:val="20"/>
          <w:szCs w:val="20"/>
        </w:rPr>
      </w:pPr>
      <w:r w:rsidRPr="00A9631C">
        <w:rPr>
          <w:rFonts w:ascii="Arial" w:hAnsi="Arial" w:cs="Arial"/>
          <w:b/>
          <w:bCs/>
          <w:i/>
          <w:iCs/>
          <w:sz w:val="20"/>
          <w:szCs w:val="20"/>
        </w:rPr>
        <w:t>Table 1</w:t>
      </w:r>
    </w:p>
    <w:p w14:paraId="79FB4B33" w14:textId="77777777" w:rsidR="00BF67C6" w:rsidRPr="00A9631C" w:rsidRDefault="00895664">
      <w:pPr>
        <w:spacing w:after="160" w:line="360" w:lineRule="auto"/>
        <w:jc w:val="center"/>
        <w:rPr>
          <w:rFonts w:ascii="Arial" w:hAnsi="Arial" w:cs="Arial"/>
          <w:sz w:val="20"/>
          <w:szCs w:val="20"/>
        </w:rPr>
      </w:pPr>
      <w:r w:rsidRPr="00A9631C">
        <w:rPr>
          <w:rFonts w:ascii="Arial" w:hAnsi="Arial" w:cs="Arial"/>
          <w:b/>
          <w:bCs/>
          <w:sz w:val="20"/>
          <w:szCs w:val="20"/>
        </w:rPr>
        <w:t>Sample Distribution by Academic Rank</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2340"/>
        <w:gridCol w:w="2340"/>
      </w:tblGrid>
      <w:tr w:rsidR="00BF67C6" w:rsidRPr="00A9631C" w14:paraId="06C2C055" w14:textId="77777777">
        <w:tc>
          <w:tcPr>
            <w:tcW w:w="468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3880DDE3"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Stratum</w:t>
            </w:r>
          </w:p>
        </w:tc>
        <w:tc>
          <w:tcPr>
            <w:tcW w:w="234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42CD18C5"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Percentage (%)</w:t>
            </w:r>
          </w:p>
        </w:tc>
        <w:tc>
          <w:tcPr>
            <w:tcW w:w="234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513C0619"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Sample Size (n)</w:t>
            </w:r>
          </w:p>
        </w:tc>
      </w:tr>
      <w:tr w:rsidR="00BF67C6" w:rsidRPr="00A9631C" w14:paraId="2F9A80C5" w14:textId="77777777">
        <w:tc>
          <w:tcPr>
            <w:tcW w:w="468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785928C9"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Assistant Professors</w:t>
            </w:r>
          </w:p>
        </w:tc>
        <w:tc>
          <w:tcPr>
            <w:tcW w:w="234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0F7E91CC"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39 </w:t>
            </w:r>
          </w:p>
        </w:tc>
        <w:tc>
          <w:tcPr>
            <w:tcW w:w="234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05ABEC72"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88</w:t>
            </w:r>
          </w:p>
        </w:tc>
      </w:tr>
      <w:tr w:rsidR="00BF67C6" w:rsidRPr="00A9631C" w14:paraId="2AE4438C" w14:textId="77777777">
        <w:tc>
          <w:tcPr>
            <w:tcW w:w="468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554AD79D"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Associate Professors</w:t>
            </w:r>
          </w:p>
        </w:tc>
        <w:tc>
          <w:tcPr>
            <w:tcW w:w="234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333E77E7"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25</w:t>
            </w:r>
          </w:p>
        </w:tc>
        <w:tc>
          <w:tcPr>
            <w:tcW w:w="234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7E8AB8E6"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56</w:t>
            </w:r>
          </w:p>
        </w:tc>
      </w:tr>
      <w:tr w:rsidR="00BF67C6" w:rsidRPr="00A9631C" w14:paraId="51A758EF" w14:textId="77777777">
        <w:tc>
          <w:tcPr>
            <w:tcW w:w="468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2000C3B"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Professors</w:t>
            </w:r>
          </w:p>
        </w:tc>
        <w:tc>
          <w:tcPr>
            <w:tcW w:w="234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26E1FA05"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21</w:t>
            </w:r>
          </w:p>
        </w:tc>
        <w:tc>
          <w:tcPr>
            <w:tcW w:w="234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6414957"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46</w:t>
            </w:r>
          </w:p>
        </w:tc>
      </w:tr>
      <w:tr w:rsidR="00BF67C6" w:rsidRPr="00A9631C" w14:paraId="40384C63" w14:textId="77777777">
        <w:tc>
          <w:tcPr>
            <w:tcW w:w="468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C0BA9DC"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Academic Leaders</w:t>
            </w:r>
          </w:p>
        </w:tc>
        <w:tc>
          <w:tcPr>
            <w:tcW w:w="234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06801905"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15</w:t>
            </w:r>
          </w:p>
        </w:tc>
        <w:tc>
          <w:tcPr>
            <w:tcW w:w="234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7B4C7BDA"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34</w:t>
            </w:r>
          </w:p>
        </w:tc>
      </w:tr>
      <w:tr w:rsidR="00BF67C6" w:rsidRPr="00A9631C" w14:paraId="72F7D3F7" w14:textId="77777777">
        <w:tc>
          <w:tcPr>
            <w:tcW w:w="4680" w:type="dxa"/>
            <w:tcBorders>
              <w:top w:val="single" w:sz="4" w:space="0" w:color="2B5A8A"/>
              <w:left w:val="single" w:sz="4" w:space="0" w:color="2B5A8A"/>
              <w:bottom w:val="single" w:sz="4" w:space="0" w:color="2B5A8A"/>
              <w:right w:val="single" w:sz="4" w:space="0" w:color="2B5A8A"/>
            </w:tcBorders>
            <w:shd w:val="clear" w:color="auto" w:fill="D6E8FF"/>
            <w:tcMar>
              <w:top w:w="80" w:type="dxa"/>
              <w:left w:w="120" w:type="dxa"/>
              <w:bottom w:w="80" w:type="dxa"/>
              <w:right w:w="120" w:type="dxa"/>
            </w:tcMar>
            <w:vAlign w:val="center"/>
          </w:tcPr>
          <w:p w14:paraId="4AD744E9" w14:textId="77777777" w:rsidR="00BF67C6" w:rsidRPr="00A9631C" w:rsidRDefault="00895664">
            <w:pPr>
              <w:spacing w:line="360" w:lineRule="auto"/>
              <w:rPr>
                <w:rFonts w:ascii="Arial" w:hAnsi="Arial" w:cs="Arial"/>
                <w:sz w:val="20"/>
                <w:szCs w:val="20"/>
              </w:rPr>
            </w:pPr>
            <w:r w:rsidRPr="00A9631C">
              <w:rPr>
                <w:rFonts w:ascii="Arial" w:hAnsi="Arial" w:cs="Arial"/>
                <w:b/>
                <w:bCs/>
                <w:sz w:val="20"/>
                <w:szCs w:val="20"/>
              </w:rPr>
              <w:t>Total</w:t>
            </w:r>
          </w:p>
        </w:tc>
        <w:tc>
          <w:tcPr>
            <w:tcW w:w="2340" w:type="dxa"/>
            <w:tcBorders>
              <w:top w:val="single" w:sz="4" w:space="0" w:color="2B5A8A"/>
              <w:left w:val="single" w:sz="4" w:space="0" w:color="2B5A8A"/>
              <w:bottom w:val="single" w:sz="4" w:space="0" w:color="2B5A8A"/>
              <w:right w:val="single" w:sz="4" w:space="0" w:color="2B5A8A"/>
            </w:tcBorders>
            <w:shd w:val="clear" w:color="auto" w:fill="D6E8FF"/>
            <w:tcMar>
              <w:top w:w="80" w:type="dxa"/>
              <w:left w:w="120" w:type="dxa"/>
              <w:bottom w:w="80" w:type="dxa"/>
              <w:right w:w="120" w:type="dxa"/>
            </w:tcMar>
            <w:vAlign w:val="center"/>
          </w:tcPr>
          <w:p w14:paraId="3F7B7B68"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100</w:t>
            </w:r>
          </w:p>
        </w:tc>
        <w:tc>
          <w:tcPr>
            <w:tcW w:w="2340" w:type="dxa"/>
            <w:tcBorders>
              <w:top w:val="single" w:sz="4" w:space="0" w:color="2B5A8A"/>
              <w:left w:val="single" w:sz="4" w:space="0" w:color="2B5A8A"/>
              <w:bottom w:val="single" w:sz="4" w:space="0" w:color="2B5A8A"/>
              <w:right w:val="single" w:sz="4" w:space="0" w:color="2B5A8A"/>
            </w:tcBorders>
            <w:shd w:val="clear" w:color="auto" w:fill="D6E8FF"/>
            <w:tcMar>
              <w:top w:w="80" w:type="dxa"/>
              <w:left w:w="120" w:type="dxa"/>
              <w:bottom w:w="80" w:type="dxa"/>
              <w:right w:w="120" w:type="dxa"/>
            </w:tcMar>
            <w:vAlign w:val="center"/>
          </w:tcPr>
          <w:p w14:paraId="7F3A19AC"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224</w:t>
            </w:r>
          </w:p>
        </w:tc>
      </w:tr>
    </w:tbl>
    <w:p w14:paraId="288BADEF" w14:textId="77777777" w:rsidR="00BF67C6" w:rsidRPr="00A9631C" w:rsidRDefault="00BF67C6">
      <w:pPr>
        <w:spacing w:after="160" w:line="360" w:lineRule="auto"/>
        <w:rPr>
          <w:rFonts w:ascii="Arial" w:hAnsi="Arial" w:cs="Arial"/>
          <w:sz w:val="20"/>
          <w:szCs w:val="20"/>
        </w:rPr>
      </w:pPr>
    </w:p>
    <w:p w14:paraId="119C5F67"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3.3 Sample Size</w:t>
      </w:r>
    </w:p>
    <w:p w14:paraId="3704A106"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A total of 224 academic staff constituted the final study sample. A pilot study was conducted prior to the main survey using 90 academic staff members drawn from the same population. The pilot study served to evaluate instrument clarity, internal consistency, and face validity, after which minor refinements were made to the survey wording before full administration.</w:t>
      </w:r>
    </w:p>
    <w:p w14:paraId="47A23C45"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3.4 Instrumentation</w:t>
      </w:r>
    </w:p>
    <w:p w14:paraId="35EEFBC8"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survey instrument comprised two validated measurement scales. Emotional intelligence dimensions were operationalized using the scale developed by Wong and Law (2002), which measures self-awareness (SA1–SA4), self-regulation (SR1–SR4), and social competence (SC1–SC4) using four items each. Job performance was measured using six items (JBP1–JBP6) adapted from the Individual Work Performance Questionnaire (IWPQ) developed by Koopmans et al. (2014). All 18 items were rated on a five-point Likert scale anchored at 1 (Strongly Disagree) and 5 (Strongly Agree). The instrument was self-administered via structured paper-based and digital questionnaires.</w:t>
      </w:r>
    </w:p>
    <w:p w14:paraId="2C3E03E5"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3.5 Analytical Strategy</w:t>
      </w:r>
    </w:p>
    <w:p w14:paraId="622832AB"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Data were analyzed using Partial Least Squares Structural Equation Modeling (PLS-SEM) implemented in </w:t>
      </w:r>
      <w:proofErr w:type="spellStart"/>
      <w:r w:rsidRPr="00A9631C">
        <w:rPr>
          <w:rFonts w:ascii="Arial" w:hAnsi="Arial" w:cs="Arial"/>
          <w:sz w:val="20"/>
          <w:szCs w:val="20"/>
        </w:rPr>
        <w:t>SmartPLS</w:t>
      </w:r>
      <w:proofErr w:type="spellEnd"/>
      <w:r w:rsidRPr="00A9631C">
        <w:rPr>
          <w:rFonts w:ascii="Arial" w:hAnsi="Arial" w:cs="Arial"/>
          <w:sz w:val="20"/>
          <w:szCs w:val="20"/>
        </w:rPr>
        <w:t xml:space="preserve"> 4. PLS-SEM was selected for several methodological reasons: it is particularly well-suited to predictive research objectives; it performs robustly with reflective latent variable models; and </w:t>
      </w:r>
      <w:r w:rsidRPr="00A9631C">
        <w:rPr>
          <w:rFonts w:ascii="Arial" w:hAnsi="Arial" w:cs="Arial"/>
          <w:sz w:val="20"/>
          <w:szCs w:val="20"/>
        </w:rPr>
        <w:lastRenderedPageBreak/>
        <w:t>it applies bootstrapping-based inferential procedures that do not require multivariate normality assumptions (Hair et al., 2019). The analysis followed the two-stage approach recommended by Anderson and Gerbing (1988): Stage 1 assessed the measurement model for reliability and validity prior to structural model testing in Stage 2.</w:t>
      </w:r>
    </w:p>
    <w:p w14:paraId="3B2CB917" w14:textId="77777777" w:rsidR="00BF67C6" w:rsidRPr="00A9631C" w:rsidRDefault="00BF67C6">
      <w:pPr>
        <w:spacing w:after="80" w:line="360" w:lineRule="auto"/>
        <w:rPr>
          <w:rFonts w:ascii="Arial" w:hAnsi="Arial" w:cs="Arial"/>
          <w:sz w:val="20"/>
          <w:szCs w:val="20"/>
        </w:rPr>
      </w:pPr>
    </w:p>
    <w:p w14:paraId="3DC58192"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4. Results</w:t>
      </w:r>
    </w:p>
    <w:p w14:paraId="5D088C30"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4.1 Measurement Model Assessment</w:t>
      </w:r>
    </w:p>
    <w:p w14:paraId="2BF6F896"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measurement model was evaluated across three psychometric criteria: internal consistency reliability, convergent validity, and discriminant validity, as recommended by Hair et al. (2019).</w:t>
      </w:r>
    </w:p>
    <w:p w14:paraId="3CAB6297"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4.1.1 Internal Consistency Reliability and Convergent Validity</w:t>
      </w:r>
    </w:p>
    <w:p w14:paraId="15F21B5E"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Table 2 presents the reliability and convergent validity statistics. Cronbach's Alpha coefficients ranged from 0.817 (Self-Regulation) to 0.883 (Social Competence), all comfortably exceeding the recommended threshold of 0.70. Composite Reliability (CR) values ranged from 0.881 to 0.919, surpassing the 0.70 benchmark. Average Variance Extracted (AVE) values ranged from 0.583 (Job Performance) to 0.740 (Social Competence), all meeting the minimum threshold of 0.50, thus confirming convergent validity across all constructs.</w:t>
      </w:r>
    </w:p>
    <w:p w14:paraId="041096D4" w14:textId="77777777" w:rsidR="00BF67C6" w:rsidRPr="00A9631C" w:rsidRDefault="00BF67C6">
      <w:pPr>
        <w:spacing w:after="80" w:line="360" w:lineRule="auto"/>
        <w:rPr>
          <w:rFonts w:ascii="Arial" w:hAnsi="Arial" w:cs="Arial"/>
          <w:sz w:val="20"/>
          <w:szCs w:val="20"/>
        </w:rPr>
      </w:pPr>
    </w:p>
    <w:p w14:paraId="0B7706E7" w14:textId="77777777" w:rsidR="00BF67C6" w:rsidRPr="00A9631C" w:rsidRDefault="00895664">
      <w:pPr>
        <w:spacing w:after="80" w:line="360" w:lineRule="auto"/>
        <w:jc w:val="center"/>
        <w:rPr>
          <w:rFonts w:ascii="Arial" w:hAnsi="Arial" w:cs="Arial"/>
          <w:sz w:val="20"/>
          <w:szCs w:val="20"/>
        </w:rPr>
      </w:pPr>
      <w:r w:rsidRPr="00A9631C">
        <w:rPr>
          <w:rFonts w:ascii="Arial" w:hAnsi="Arial" w:cs="Arial"/>
          <w:b/>
          <w:bCs/>
          <w:i/>
          <w:iCs/>
          <w:sz w:val="20"/>
          <w:szCs w:val="20"/>
        </w:rPr>
        <w:t>Table 2</w:t>
      </w:r>
    </w:p>
    <w:p w14:paraId="7050951F" w14:textId="77777777" w:rsidR="00BF67C6" w:rsidRPr="00A9631C" w:rsidRDefault="00895664">
      <w:pPr>
        <w:spacing w:after="160" w:line="360" w:lineRule="auto"/>
        <w:jc w:val="center"/>
        <w:rPr>
          <w:rFonts w:ascii="Arial" w:hAnsi="Arial" w:cs="Arial"/>
          <w:sz w:val="20"/>
          <w:szCs w:val="20"/>
        </w:rPr>
      </w:pPr>
      <w:r w:rsidRPr="00A9631C">
        <w:rPr>
          <w:rFonts w:ascii="Arial" w:hAnsi="Arial" w:cs="Arial"/>
          <w:b/>
          <w:bCs/>
          <w:sz w:val="20"/>
          <w:szCs w:val="20"/>
        </w:rPr>
        <w:t>Reliability and Convergent Validity Statistics</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1690"/>
        <w:gridCol w:w="1270"/>
        <w:gridCol w:w="2000"/>
        <w:gridCol w:w="1800"/>
      </w:tblGrid>
      <w:tr w:rsidR="00BF67C6" w:rsidRPr="00A9631C" w14:paraId="242C35E7" w14:textId="77777777">
        <w:tc>
          <w:tcPr>
            <w:tcW w:w="26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5E75B1DB"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Construct</w:t>
            </w:r>
          </w:p>
        </w:tc>
        <w:tc>
          <w:tcPr>
            <w:tcW w:w="169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64351877"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Cronbach's Alpha</w:t>
            </w:r>
          </w:p>
        </w:tc>
        <w:tc>
          <w:tcPr>
            <w:tcW w:w="127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63F87B60" w14:textId="77777777" w:rsidR="00BF67C6" w:rsidRPr="00A9631C" w:rsidRDefault="00895664">
            <w:pPr>
              <w:spacing w:line="360" w:lineRule="auto"/>
              <w:jc w:val="center"/>
              <w:rPr>
                <w:rFonts w:ascii="Arial" w:hAnsi="Arial" w:cs="Arial"/>
                <w:sz w:val="20"/>
                <w:szCs w:val="20"/>
              </w:rPr>
            </w:pPr>
            <w:proofErr w:type="spellStart"/>
            <w:r w:rsidRPr="00A9631C">
              <w:rPr>
                <w:rFonts w:ascii="Arial" w:hAnsi="Arial" w:cs="Arial"/>
                <w:b/>
                <w:bCs/>
                <w:color w:val="FFFFFF"/>
                <w:sz w:val="20"/>
                <w:szCs w:val="20"/>
              </w:rPr>
              <w:t>rho_A</w:t>
            </w:r>
            <w:proofErr w:type="spellEnd"/>
          </w:p>
        </w:tc>
        <w:tc>
          <w:tcPr>
            <w:tcW w:w="20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4EA1EC2A"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Composite Reliability</w:t>
            </w:r>
          </w:p>
        </w:tc>
        <w:tc>
          <w:tcPr>
            <w:tcW w:w="18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34EDDC61"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AVE</w:t>
            </w:r>
          </w:p>
        </w:tc>
      </w:tr>
      <w:tr w:rsidR="00BF67C6" w:rsidRPr="00A9631C" w14:paraId="2E91AD2C" w14:textId="77777777">
        <w:tc>
          <w:tcPr>
            <w:tcW w:w="26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F1CAF64"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Job Performance (JBP)</w:t>
            </w:r>
          </w:p>
        </w:tc>
        <w:tc>
          <w:tcPr>
            <w:tcW w:w="169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A816C51"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0.860</w:t>
            </w:r>
          </w:p>
        </w:tc>
        <w:tc>
          <w:tcPr>
            <w:tcW w:w="127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722522DC"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0.867</w:t>
            </w:r>
          </w:p>
        </w:tc>
        <w:tc>
          <w:tcPr>
            <w:tcW w:w="20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5B73E0C"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0.894</w:t>
            </w:r>
          </w:p>
        </w:tc>
        <w:tc>
          <w:tcPr>
            <w:tcW w:w="18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1D40A08"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0.583</w:t>
            </w:r>
          </w:p>
        </w:tc>
      </w:tr>
      <w:tr w:rsidR="00BF67C6" w:rsidRPr="00A9631C" w14:paraId="7A8F85A7" w14:textId="77777777">
        <w:tc>
          <w:tcPr>
            <w:tcW w:w="26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25AD49C7"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Self-Awareness (SA)</w:t>
            </w:r>
          </w:p>
        </w:tc>
        <w:tc>
          <w:tcPr>
            <w:tcW w:w="169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03F41424"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0.867</w:t>
            </w:r>
          </w:p>
        </w:tc>
        <w:tc>
          <w:tcPr>
            <w:tcW w:w="127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5B54913"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0.867</w:t>
            </w:r>
          </w:p>
        </w:tc>
        <w:tc>
          <w:tcPr>
            <w:tcW w:w="20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56C126E2"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0.909</w:t>
            </w:r>
          </w:p>
        </w:tc>
        <w:tc>
          <w:tcPr>
            <w:tcW w:w="18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AFD82CB"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0.714</w:t>
            </w:r>
          </w:p>
        </w:tc>
      </w:tr>
      <w:tr w:rsidR="00BF67C6" w:rsidRPr="00A9631C" w14:paraId="07EC51FB" w14:textId="77777777">
        <w:tc>
          <w:tcPr>
            <w:tcW w:w="26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F0744B0"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Social Competence (SC)</w:t>
            </w:r>
          </w:p>
        </w:tc>
        <w:tc>
          <w:tcPr>
            <w:tcW w:w="169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04E2F8D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0.883</w:t>
            </w:r>
          </w:p>
        </w:tc>
        <w:tc>
          <w:tcPr>
            <w:tcW w:w="127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27229E7"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0.892</w:t>
            </w:r>
          </w:p>
        </w:tc>
        <w:tc>
          <w:tcPr>
            <w:tcW w:w="20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0BE40C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0.919</w:t>
            </w:r>
          </w:p>
        </w:tc>
        <w:tc>
          <w:tcPr>
            <w:tcW w:w="18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5DC92063"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0.740</w:t>
            </w:r>
          </w:p>
        </w:tc>
      </w:tr>
      <w:tr w:rsidR="00BF67C6" w:rsidRPr="00A9631C" w14:paraId="021DF7D9" w14:textId="77777777">
        <w:tc>
          <w:tcPr>
            <w:tcW w:w="26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011BFC3"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Self-Regulation (SR)</w:t>
            </w:r>
          </w:p>
        </w:tc>
        <w:tc>
          <w:tcPr>
            <w:tcW w:w="169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3F64A73"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0.817</w:t>
            </w:r>
          </w:p>
        </w:tc>
        <w:tc>
          <w:tcPr>
            <w:tcW w:w="127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6A92D08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0.815</w:t>
            </w:r>
          </w:p>
        </w:tc>
        <w:tc>
          <w:tcPr>
            <w:tcW w:w="20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D55BD95"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0.881</w:t>
            </w:r>
          </w:p>
        </w:tc>
        <w:tc>
          <w:tcPr>
            <w:tcW w:w="18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7D56B30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0.650</w:t>
            </w:r>
          </w:p>
        </w:tc>
      </w:tr>
    </w:tbl>
    <w:p w14:paraId="40288CDC" w14:textId="2D8B2C39" w:rsidR="00BF67C6" w:rsidRPr="00A9631C" w:rsidRDefault="00895664" w:rsidP="004F6CC9">
      <w:pPr>
        <w:spacing w:before="60" w:after="180" w:line="360" w:lineRule="auto"/>
        <w:jc w:val="both"/>
        <w:rPr>
          <w:rFonts w:ascii="Arial" w:hAnsi="Arial" w:cs="Arial"/>
          <w:sz w:val="20"/>
          <w:szCs w:val="20"/>
        </w:rPr>
      </w:pPr>
      <w:r w:rsidRPr="00A9631C">
        <w:rPr>
          <w:rFonts w:ascii="Arial" w:hAnsi="Arial" w:cs="Arial"/>
          <w:i/>
          <w:iCs/>
          <w:color w:val="555555"/>
          <w:sz w:val="20"/>
          <w:szCs w:val="20"/>
        </w:rPr>
        <w:t xml:space="preserve">Note. AVE = Average Variance Extracted; </w:t>
      </w:r>
      <w:proofErr w:type="spellStart"/>
      <w:r w:rsidRPr="00A9631C">
        <w:rPr>
          <w:rFonts w:ascii="Arial" w:hAnsi="Arial" w:cs="Arial"/>
          <w:i/>
          <w:iCs/>
          <w:color w:val="555555"/>
          <w:sz w:val="20"/>
          <w:szCs w:val="20"/>
        </w:rPr>
        <w:t>rho_A</w:t>
      </w:r>
      <w:proofErr w:type="spellEnd"/>
      <w:r w:rsidRPr="00A9631C">
        <w:rPr>
          <w:rFonts w:ascii="Arial" w:hAnsi="Arial" w:cs="Arial"/>
          <w:i/>
          <w:iCs/>
          <w:color w:val="555555"/>
          <w:sz w:val="20"/>
          <w:szCs w:val="20"/>
        </w:rPr>
        <w:t xml:space="preserve"> = Dijkstra-</w:t>
      </w:r>
      <w:proofErr w:type="spellStart"/>
      <w:r w:rsidRPr="00A9631C">
        <w:rPr>
          <w:rFonts w:ascii="Arial" w:hAnsi="Arial" w:cs="Arial"/>
          <w:i/>
          <w:iCs/>
          <w:color w:val="555555"/>
          <w:sz w:val="20"/>
          <w:szCs w:val="20"/>
        </w:rPr>
        <w:t>Henseler's</w:t>
      </w:r>
      <w:proofErr w:type="spellEnd"/>
      <w:r w:rsidRPr="00A9631C">
        <w:rPr>
          <w:rFonts w:ascii="Arial" w:hAnsi="Arial" w:cs="Arial"/>
          <w:i/>
          <w:iCs/>
          <w:color w:val="555555"/>
          <w:sz w:val="20"/>
          <w:szCs w:val="20"/>
        </w:rPr>
        <w:t xml:space="preserve"> Rho. All thresholds: Cronbach's Alpha &gt; 0.70; CR &gt; 0.70; AVE &gt; 0.50.</w:t>
      </w:r>
    </w:p>
    <w:p w14:paraId="6EB0B0D5"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4.1.2 Outer Loadings</w:t>
      </w:r>
    </w:p>
    <w:p w14:paraId="0B7CBE36"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lastRenderedPageBreak/>
        <w:t>All indicator outer loadings exceeded the recommended minimum of 0.70, confirming that each item reliably represents its intended latent construct. Self-Awareness indicator loadings ranged from 0.824 (SA2) to 0.860 (SA4). Self-Regulation loadings ranged from 0.684 (SR4) to 0.869 (SR3). Social Competence loadings ranged from 0.827 (SC2) to 0.891 (SC1). Job Performance loadings ranged from 0.723 (JBP2) to 0.779 (JBP6). These results are depicted in the PLS-SEM path diagram (Figure 1).</w:t>
      </w:r>
    </w:p>
    <w:p w14:paraId="4B99E792"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4.1.3 Discriminant Validity</w:t>
      </w:r>
    </w:p>
    <w:p w14:paraId="6A55B097"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Discriminant validity was assessed using the Fornell-Larcker criterion, which requires that the square root of each construct's AVE exceeds its inter-construct correlations. As shown in Table 3, this criterion is satisfied for all constructs, confirming that each construct is empirically distinct from all others in the model.</w:t>
      </w:r>
    </w:p>
    <w:p w14:paraId="746487EA" w14:textId="77777777" w:rsidR="00BF67C6" w:rsidRPr="00A9631C" w:rsidRDefault="00BF67C6">
      <w:pPr>
        <w:spacing w:after="80" w:line="360" w:lineRule="auto"/>
        <w:rPr>
          <w:rFonts w:ascii="Arial" w:hAnsi="Arial" w:cs="Arial"/>
          <w:sz w:val="20"/>
          <w:szCs w:val="20"/>
        </w:rPr>
      </w:pPr>
    </w:p>
    <w:p w14:paraId="4FBF0DE6" w14:textId="77777777" w:rsidR="00BF67C6" w:rsidRPr="00A9631C" w:rsidRDefault="00895664">
      <w:pPr>
        <w:spacing w:after="80" w:line="360" w:lineRule="auto"/>
        <w:jc w:val="center"/>
        <w:rPr>
          <w:rFonts w:ascii="Arial" w:hAnsi="Arial" w:cs="Arial"/>
          <w:sz w:val="20"/>
          <w:szCs w:val="20"/>
        </w:rPr>
      </w:pPr>
      <w:r w:rsidRPr="00A9631C">
        <w:rPr>
          <w:rFonts w:ascii="Arial" w:hAnsi="Arial" w:cs="Arial"/>
          <w:b/>
          <w:bCs/>
          <w:i/>
          <w:iCs/>
          <w:sz w:val="20"/>
          <w:szCs w:val="20"/>
        </w:rPr>
        <w:t>Table 3</w:t>
      </w:r>
    </w:p>
    <w:p w14:paraId="6F850DFD" w14:textId="77777777" w:rsidR="00BF67C6" w:rsidRPr="00A9631C" w:rsidRDefault="00895664">
      <w:pPr>
        <w:spacing w:after="160" w:line="360" w:lineRule="auto"/>
        <w:jc w:val="center"/>
        <w:rPr>
          <w:rFonts w:ascii="Arial" w:hAnsi="Arial" w:cs="Arial"/>
          <w:sz w:val="20"/>
          <w:szCs w:val="20"/>
        </w:rPr>
      </w:pPr>
      <w:r w:rsidRPr="00A9631C">
        <w:rPr>
          <w:rFonts w:ascii="Arial" w:hAnsi="Arial" w:cs="Arial"/>
          <w:b/>
          <w:bCs/>
          <w:sz w:val="20"/>
          <w:szCs w:val="20"/>
        </w:rPr>
        <w:t>Fornell-Larcker Criterion Matrix (Discriminant Validity)</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2090"/>
        <w:gridCol w:w="1557"/>
        <w:gridCol w:w="1557"/>
        <w:gridCol w:w="1556"/>
      </w:tblGrid>
      <w:tr w:rsidR="00BF67C6" w:rsidRPr="00A9631C" w14:paraId="2BE1D243" w14:textId="77777777">
        <w:tc>
          <w:tcPr>
            <w:tcW w:w="26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5E769027"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Construct</w:t>
            </w:r>
          </w:p>
        </w:tc>
        <w:tc>
          <w:tcPr>
            <w:tcW w:w="209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05852215"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JBP</w:t>
            </w:r>
          </w:p>
        </w:tc>
        <w:tc>
          <w:tcPr>
            <w:tcW w:w="1557"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5F79210C"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SA</w:t>
            </w:r>
          </w:p>
        </w:tc>
        <w:tc>
          <w:tcPr>
            <w:tcW w:w="1557"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44F5A3A6"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SC</w:t>
            </w:r>
          </w:p>
        </w:tc>
        <w:tc>
          <w:tcPr>
            <w:tcW w:w="1556"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1E93EC6D"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SR</w:t>
            </w:r>
          </w:p>
        </w:tc>
      </w:tr>
      <w:tr w:rsidR="00BF67C6" w:rsidRPr="00A9631C" w14:paraId="0A21D24A" w14:textId="77777777">
        <w:tc>
          <w:tcPr>
            <w:tcW w:w="26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14C24D1"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JBP</w:t>
            </w:r>
          </w:p>
        </w:tc>
        <w:tc>
          <w:tcPr>
            <w:tcW w:w="209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12D1C8D"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0.764</w:t>
            </w:r>
          </w:p>
        </w:tc>
        <w:tc>
          <w:tcPr>
            <w:tcW w:w="1557"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2AAD10A9"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c>
          <w:tcPr>
            <w:tcW w:w="1557"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C64E927"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c>
          <w:tcPr>
            <w:tcW w:w="1556"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56515B21"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r>
      <w:tr w:rsidR="00BF67C6" w:rsidRPr="00A9631C" w14:paraId="7BD41556" w14:textId="77777777">
        <w:tc>
          <w:tcPr>
            <w:tcW w:w="26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E8D176E"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SA</w:t>
            </w:r>
          </w:p>
        </w:tc>
        <w:tc>
          <w:tcPr>
            <w:tcW w:w="209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5C8B9CB"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0.629</w:t>
            </w:r>
          </w:p>
        </w:tc>
        <w:tc>
          <w:tcPr>
            <w:tcW w:w="1557"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508C6AA0"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0.845</w:t>
            </w:r>
          </w:p>
        </w:tc>
        <w:tc>
          <w:tcPr>
            <w:tcW w:w="1557"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35E359B6"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c>
          <w:tcPr>
            <w:tcW w:w="1556"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6DF56FE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r>
      <w:tr w:rsidR="00BF67C6" w:rsidRPr="00A9631C" w14:paraId="7F9A18CC" w14:textId="77777777">
        <w:tc>
          <w:tcPr>
            <w:tcW w:w="26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2438BA4"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SC</w:t>
            </w:r>
          </w:p>
        </w:tc>
        <w:tc>
          <w:tcPr>
            <w:tcW w:w="209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450CEB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0.713</w:t>
            </w:r>
          </w:p>
        </w:tc>
        <w:tc>
          <w:tcPr>
            <w:tcW w:w="1557"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B1849C1"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0.452</w:t>
            </w:r>
          </w:p>
        </w:tc>
        <w:tc>
          <w:tcPr>
            <w:tcW w:w="1557"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1DD25F2F"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0.860</w:t>
            </w:r>
          </w:p>
        </w:tc>
        <w:tc>
          <w:tcPr>
            <w:tcW w:w="1556"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2A9A6179"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 xml:space="preserve"> </w:t>
            </w:r>
          </w:p>
        </w:tc>
      </w:tr>
      <w:tr w:rsidR="00BF67C6" w:rsidRPr="00A9631C" w14:paraId="3D08A995" w14:textId="77777777">
        <w:tc>
          <w:tcPr>
            <w:tcW w:w="26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55B65301" w14:textId="77777777" w:rsidR="00BF67C6" w:rsidRPr="00A9631C" w:rsidRDefault="00895664">
            <w:pPr>
              <w:spacing w:line="360" w:lineRule="auto"/>
              <w:rPr>
                <w:rFonts w:ascii="Arial" w:hAnsi="Arial" w:cs="Arial"/>
                <w:sz w:val="20"/>
                <w:szCs w:val="20"/>
              </w:rPr>
            </w:pPr>
            <w:r w:rsidRPr="00A9631C">
              <w:rPr>
                <w:rFonts w:ascii="Arial" w:hAnsi="Arial" w:cs="Arial"/>
                <w:sz w:val="20"/>
                <w:szCs w:val="20"/>
              </w:rPr>
              <w:t>SR</w:t>
            </w:r>
          </w:p>
        </w:tc>
        <w:tc>
          <w:tcPr>
            <w:tcW w:w="209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E9B21C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0.760</w:t>
            </w:r>
          </w:p>
        </w:tc>
        <w:tc>
          <w:tcPr>
            <w:tcW w:w="1557"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306CD0E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0.654</w:t>
            </w:r>
          </w:p>
        </w:tc>
        <w:tc>
          <w:tcPr>
            <w:tcW w:w="1557"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5995F093"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0.612</w:t>
            </w:r>
          </w:p>
        </w:tc>
        <w:tc>
          <w:tcPr>
            <w:tcW w:w="1556"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683B1104"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sz w:val="20"/>
                <w:szCs w:val="20"/>
              </w:rPr>
              <w:t>0.806</w:t>
            </w:r>
          </w:p>
        </w:tc>
      </w:tr>
    </w:tbl>
    <w:p w14:paraId="105E9EE2" w14:textId="77777777" w:rsidR="00BF67C6" w:rsidRPr="00A9631C" w:rsidRDefault="00895664">
      <w:pPr>
        <w:spacing w:before="60" w:after="180" w:line="360" w:lineRule="auto"/>
        <w:jc w:val="both"/>
        <w:rPr>
          <w:rFonts w:ascii="Arial" w:hAnsi="Arial" w:cs="Arial"/>
          <w:sz w:val="20"/>
          <w:szCs w:val="20"/>
        </w:rPr>
      </w:pPr>
      <w:r w:rsidRPr="00A9631C">
        <w:rPr>
          <w:rFonts w:ascii="Arial" w:hAnsi="Arial" w:cs="Arial"/>
          <w:i/>
          <w:iCs/>
          <w:color w:val="555555"/>
          <w:sz w:val="20"/>
          <w:szCs w:val="20"/>
        </w:rPr>
        <w:t>Note. Bold diagonal values are the square root of AVE. Off-diagonal values are inter-construct correlations. JBP = Job Performance; SA = Self-Awareness; SC = Social Competence; SR = Self-Regulation.</w:t>
      </w:r>
    </w:p>
    <w:p w14:paraId="19021135" w14:textId="77777777" w:rsidR="00BF67C6" w:rsidRPr="00A9631C" w:rsidRDefault="00BF67C6">
      <w:pPr>
        <w:spacing w:after="100" w:line="360" w:lineRule="auto"/>
        <w:rPr>
          <w:rFonts w:ascii="Arial" w:hAnsi="Arial" w:cs="Arial"/>
          <w:sz w:val="20"/>
          <w:szCs w:val="20"/>
        </w:rPr>
      </w:pPr>
    </w:p>
    <w:p w14:paraId="7F5ACE34"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4.1.4 Common Method Bias</w:t>
      </w:r>
    </w:p>
    <w:p w14:paraId="59A5AAAF"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Variance Inflation Factor (VIF) values for all indicators ranged from 1.269 (SR4) to 2.699 (SC3), all substantially below the conservative threshold of 3.3 recommended for PLS-SEM (Kock, 2015). These results indicate that common method bias does not constitute a significant threat to the validity of the study findings.</w:t>
      </w:r>
    </w:p>
    <w:p w14:paraId="4391D6E9"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4.2 Structural Model Assessment</w:t>
      </w:r>
    </w:p>
    <w:p w14:paraId="4CEE9298"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4.2.1 Explanatory Power</w:t>
      </w:r>
    </w:p>
    <w:p w14:paraId="777AA4E9"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lastRenderedPageBreak/>
        <w:t>The structural model explained 67.6% of the variance in job performance (R² = 0.676). According to Hair et al. (2019), R² values of 0.75, 0.50, and 0.25 are considered substantial, moderate, and weak, respectively. The obtained R² of 0.676 approaches the substantial threshold, indicating that the three EI dimensions collectively constitute highly meaningful predictors of academic staff job performance in this context.</w:t>
      </w:r>
    </w:p>
    <w:p w14:paraId="37157ABA"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4.2.2 Hypothesis Testing</w:t>
      </w:r>
    </w:p>
    <w:p w14:paraId="4E12039E"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Table 4 presents the path coefficients, standard deviations, T-statistics, and p-values derived from PLS bootstrapping with 5,000 resamples. Figure 1 illustrates the complete PLS-SEM path diagram.</w:t>
      </w:r>
    </w:p>
    <w:p w14:paraId="24219A45" w14:textId="77777777" w:rsidR="00BF67C6" w:rsidRPr="00A9631C" w:rsidRDefault="00BF67C6">
      <w:pPr>
        <w:spacing w:after="80" w:line="360" w:lineRule="auto"/>
        <w:rPr>
          <w:rFonts w:ascii="Arial" w:hAnsi="Arial" w:cs="Arial"/>
          <w:sz w:val="20"/>
          <w:szCs w:val="20"/>
        </w:rPr>
      </w:pPr>
    </w:p>
    <w:p w14:paraId="382802B0" w14:textId="77777777" w:rsidR="00BF67C6" w:rsidRPr="00A9631C" w:rsidRDefault="00895664">
      <w:pPr>
        <w:spacing w:after="80" w:line="360" w:lineRule="auto"/>
        <w:jc w:val="center"/>
        <w:rPr>
          <w:rFonts w:ascii="Arial" w:hAnsi="Arial" w:cs="Arial"/>
          <w:sz w:val="20"/>
          <w:szCs w:val="20"/>
        </w:rPr>
      </w:pPr>
      <w:r w:rsidRPr="00A9631C">
        <w:rPr>
          <w:rFonts w:ascii="Arial" w:hAnsi="Arial" w:cs="Arial"/>
          <w:b/>
          <w:bCs/>
          <w:i/>
          <w:iCs/>
          <w:sz w:val="20"/>
          <w:szCs w:val="20"/>
        </w:rPr>
        <w:t>Table 4</w:t>
      </w:r>
    </w:p>
    <w:p w14:paraId="71FBE78F" w14:textId="77777777" w:rsidR="00BF67C6" w:rsidRPr="00A9631C" w:rsidRDefault="00895664">
      <w:pPr>
        <w:spacing w:after="160" w:line="360" w:lineRule="auto"/>
        <w:jc w:val="center"/>
        <w:rPr>
          <w:rFonts w:ascii="Arial" w:hAnsi="Arial" w:cs="Arial"/>
          <w:sz w:val="20"/>
          <w:szCs w:val="20"/>
        </w:rPr>
      </w:pPr>
      <w:r w:rsidRPr="00A9631C">
        <w:rPr>
          <w:rFonts w:ascii="Arial" w:hAnsi="Arial" w:cs="Arial"/>
          <w:b/>
          <w:bCs/>
          <w:sz w:val="20"/>
          <w:szCs w:val="20"/>
        </w:rPr>
        <w:t>Structural Model Results: Path Coefficients and Hypothesis Testing</w:t>
      </w: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0"/>
        <w:gridCol w:w="1680"/>
        <w:gridCol w:w="1230"/>
        <w:gridCol w:w="1230"/>
        <w:gridCol w:w="1100"/>
        <w:gridCol w:w="1310"/>
        <w:gridCol w:w="1010"/>
        <w:gridCol w:w="500"/>
      </w:tblGrid>
      <w:tr w:rsidR="00BF67C6" w:rsidRPr="00A9631C" w14:paraId="02CC0047" w14:textId="77777777">
        <w:tc>
          <w:tcPr>
            <w:tcW w:w="13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67EF600B"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H</w:t>
            </w:r>
          </w:p>
        </w:tc>
        <w:tc>
          <w:tcPr>
            <w:tcW w:w="168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65447304"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Path</w:t>
            </w:r>
          </w:p>
        </w:tc>
        <w:tc>
          <w:tcPr>
            <w:tcW w:w="123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0DFD454F"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β (O)</w:t>
            </w:r>
          </w:p>
        </w:tc>
        <w:tc>
          <w:tcPr>
            <w:tcW w:w="123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4858ADE8"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Mean (M)</w:t>
            </w:r>
          </w:p>
        </w:tc>
        <w:tc>
          <w:tcPr>
            <w:tcW w:w="11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0D147EB1"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STDEV</w:t>
            </w:r>
          </w:p>
        </w:tc>
        <w:tc>
          <w:tcPr>
            <w:tcW w:w="131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664D04DF"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T-Stat</w:t>
            </w:r>
          </w:p>
        </w:tc>
        <w:tc>
          <w:tcPr>
            <w:tcW w:w="101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33C0BE2C"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p-Value</w:t>
            </w:r>
          </w:p>
        </w:tc>
        <w:tc>
          <w:tcPr>
            <w:tcW w:w="500" w:type="dxa"/>
            <w:tcBorders>
              <w:top w:val="single" w:sz="4" w:space="0" w:color="2B5A8A"/>
              <w:left w:val="single" w:sz="4" w:space="0" w:color="2B5A8A"/>
              <w:bottom w:val="single" w:sz="4" w:space="0" w:color="2B5A8A"/>
              <w:right w:val="single" w:sz="4" w:space="0" w:color="2B5A8A"/>
            </w:tcBorders>
            <w:shd w:val="clear" w:color="auto" w:fill="1A365D"/>
            <w:tcMar>
              <w:top w:w="80" w:type="dxa"/>
              <w:left w:w="120" w:type="dxa"/>
              <w:bottom w:w="80" w:type="dxa"/>
              <w:right w:w="120" w:type="dxa"/>
            </w:tcMar>
            <w:vAlign w:val="center"/>
          </w:tcPr>
          <w:p w14:paraId="044C6BB0" w14:textId="77777777" w:rsidR="00BF67C6" w:rsidRPr="00A9631C" w:rsidRDefault="00895664">
            <w:pPr>
              <w:spacing w:line="360" w:lineRule="auto"/>
              <w:jc w:val="center"/>
              <w:rPr>
                <w:rFonts w:ascii="Arial" w:hAnsi="Arial" w:cs="Arial"/>
                <w:sz w:val="20"/>
                <w:szCs w:val="20"/>
              </w:rPr>
            </w:pPr>
            <w:r w:rsidRPr="00A9631C">
              <w:rPr>
                <w:rFonts w:ascii="Arial" w:hAnsi="Arial" w:cs="Arial"/>
                <w:b/>
                <w:bCs/>
                <w:color w:val="FFFFFF"/>
                <w:sz w:val="20"/>
                <w:szCs w:val="20"/>
              </w:rPr>
              <w:t>Decision</w:t>
            </w:r>
          </w:p>
        </w:tc>
      </w:tr>
      <w:tr w:rsidR="00BF67C6" w:rsidRPr="00A9631C" w14:paraId="69B31F90" w14:textId="77777777">
        <w:tc>
          <w:tcPr>
            <w:tcW w:w="13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7336641"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H1</w:t>
            </w:r>
          </w:p>
        </w:tc>
        <w:tc>
          <w:tcPr>
            <w:tcW w:w="168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9E6A9E0" w14:textId="77777777" w:rsidR="00BF67C6" w:rsidRPr="00A9631C" w:rsidRDefault="00895664">
            <w:pPr>
              <w:spacing w:line="360" w:lineRule="auto"/>
              <w:rPr>
                <w:rFonts w:ascii="Arial" w:hAnsi="Arial" w:cs="Arial"/>
                <w:sz w:val="20"/>
                <w:szCs w:val="20"/>
              </w:rPr>
            </w:pPr>
            <w:r w:rsidRPr="00A9631C">
              <w:rPr>
                <w:rFonts w:ascii="Arial" w:eastAsia="Cardo" w:hAnsi="Arial" w:cs="Arial"/>
                <w:sz w:val="20"/>
                <w:szCs w:val="20"/>
              </w:rPr>
              <w:t>SA → JBP</w:t>
            </w:r>
          </w:p>
        </w:tc>
        <w:tc>
          <w:tcPr>
            <w:tcW w:w="123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10FD42F"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0.232</w:t>
            </w:r>
          </w:p>
        </w:tc>
        <w:tc>
          <w:tcPr>
            <w:tcW w:w="123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74BF8CD"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0.236</w:t>
            </w:r>
          </w:p>
        </w:tc>
        <w:tc>
          <w:tcPr>
            <w:tcW w:w="11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78948F42"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0.106</w:t>
            </w:r>
          </w:p>
        </w:tc>
        <w:tc>
          <w:tcPr>
            <w:tcW w:w="131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7648DF6B"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2.189</w:t>
            </w:r>
          </w:p>
        </w:tc>
        <w:tc>
          <w:tcPr>
            <w:tcW w:w="101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4B0033B"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0.000***</w:t>
            </w:r>
          </w:p>
        </w:tc>
        <w:tc>
          <w:tcPr>
            <w:tcW w:w="5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4F78D5E9" w14:textId="77777777" w:rsidR="00BF67C6" w:rsidRPr="00A9631C" w:rsidRDefault="00895664">
            <w:pPr>
              <w:spacing w:line="360" w:lineRule="auto"/>
              <w:jc w:val="center"/>
              <w:rPr>
                <w:rFonts w:ascii="Arial" w:hAnsi="Arial" w:cs="Arial"/>
                <w:sz w:val="20"/>
                <w:szCs w:val="20"/>
              </w:rPr>
            </w:pPr>
            <w:r w:rsidRPr="00A9631C">
              <w:rPr>
                <w:rFonts w:ascii="Segoe UI Symbol" w:eastAsia="Arial Unicode MS" w:hAnsi="Segoe UI Symbol" w:cs="Segoe UI Symbol"/>
                <w:b/>
                <w:bCs/>
                <w:sz w:val="20"/>
                <w:szCs w:val="20"/>
              </w:rPr>
              <w:t>✓</w:t>
            </w:r>
          </w:p>
        </w:tc>
      </w:tr>
      <w:tr w:rsidR="00BF67C6" w:rsidRPr="00A9631C" w14:paraId="1DD4B4D8" w14:textId="77777777">
        <w:tc>
          <w:tcPr>
            <w:tcW w:w="13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7CEC1F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H2</w:t>
            </w:r>
          </w:p>
        </w:tc>
        <w:tc>
          <w:tcPr>
            <w:tcW w:w="168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71F2D9DE" w14:textId="77777777" w:rsidR="00BF67C6" w:rsidRPr="00A9631C" w:rsidRDefault="00895664">
            <w:pPr>
              <w:spacing w:line="360" w:lineRule="auto"/>
              <w:rPr>
                <w:rFonts w:ascii="Arial" w:hAnsi="Arial" w:cs="Arial"/>
                <w:sz w:val="20"/>
                <w:szCs w:val="20"/>
              </w:rPr>
            </w:pPr>
            <w:r w:rsidRPr="00A9631C">
              <w:rPr>
                <w:rFonts w:ascii="Arial" w:eastAsia="Cardo" w:hAnsi="Arial" w:cs="Arial"/>
                <w:sz w:val="20"/>
                <w:szCs w:val="20"/>
              </w:rPr>
              <w:t>SR → JBP</w:t>
            </w:r>
          </w:p>
        </w:tc>
        <w:tc>
          <w:tcPr>
            <w:tcW w:w="123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0C9D1702"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0.488</w:t>
            </w:r>
          </w:p>
        </w:tc>
        <w:tc>
          <w:tcPr>
            <w:tcW w:w="123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018856DC"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0.488</w:t>
            </w:r>
          </w:p>
        </w:tc>
        <w:tc>
          <w:tcPr>
            <w:tcW w:w="11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6678F31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0.115</w:t>
            </w:r>
          </w:p>
        </w:tc>
        <w:tc>
          <w:tcPr>
            <w:tcW w:w="131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9118F0B"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4.259</w:t>
            </w:r>
          </w:p>
        </w:tc>
        <w:tc>
          <w:tcPr>
            <w:tcW w:w="101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41A98352"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0.000***</w:t>
            </w:r>
          </w:p>
        </w:tc>
        <w:tc>
          <w:tcPr>
            <w:tcW w:w="500" w:type="dxa"/>
            <w:tcBorders>
              <w:top w:val="single" w:sz="4" w:space="0" w:color="2B5A8A"/>
              <w:left w:val="single" w:sz="4" w:space="0" w:color="2B5A8A"/>
              <w:bottom w:val="single" w:sz="4" w:space="0" w:color="2B5A8A"/>
              <w:right w:val="single" w:sz="4" w:space="0" w:color="2B5A8A"/>
            </w:tcBorders>
            <w:shd w:val="clear" w:color="auto" w:fill="EBF4FF"/>
            <w:tcMar>
              <w:top w:w="70" w:type="dxa"/>
              <w:left w:w="120" w:type="dxa"/>
              <w:bottom w:w="70" w:type="dxa"/>
              <w:right w:w="120" w:type="dxa"/>
            </w:tcMar>
            <w:vAlign w:val="center"/>
          </w:tcPr>
          <w:p w14:paraId="1F1FB0F7" w14:textId="77777777" w:rsidR="00BF67C6" w:rsidRPr="00A9631C" w:rsidRDefault="00895664">
            <w:pPr>
              <w:spacing w:line="360" w:lineRule="auto"/>
              <w:jc w:val="center"/>
              <w:rPr>
                <w:rFonts w:ascii="Arial" w:hAnsi="Arial" w:cs="Arial"/>
                <w:sz w:val="20"/>
                <w:szCs w:val="20"/>
              </w:rPr>
            </w:pPr>
            <w:r w:rsidRPr="00A9631C">
              <w:rPr>
                <w:rFonts w:ascii="Segoe UI Symbol" w:eastAsia="Arial Unicode MS" w:hAnsi="Segoe UI Symbol" w:cs="Segoe UI Symbol"/>
                <w:b/>
                <w:bCs/>
                <w:sz w:val="20"/>
                <w:szCs w:val="20"/>
              </w:rPr>
              <w:t>✓</w:t>
            </w:r>
          </w:p>
        </w:tc>
      </w:tr>
      <w:tr w:rsidR="00BF67C6" w:rsidRPr="00A9631C" w14:paraId="755255E4" w14:textId="77777777">
        <w:tc>
          <w:tcPr>
            <w:tcW w:w="13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042A9664"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H3</w:t>
            </w:r>
          </w:p>
        </w:tc>
        <w:tc>
          <w:tcPr>
            <w:tcW w:w="168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70D83E96" w14:textId="77777777" w:rsidR="00BF67C6" w:rsidRPr="00A9631C" w:rsidRDefault="00895664">
            <w:pPr>
              <w:spacing w:line="360" w:lineRule="auto"/>
              <w:rPr>
                <w:rFonts w:ascii="Arial" w:hAnsi="Arial" w:cs="Arial"/>
                <w:sz w:val="20"/>
                <w:szCs w:val="20"/>
              </w:rPr>
            </w:pPr>
            <w:r w:rsidRPr="00A9631C">
              <w:rPr>
                <w:rFonts w:ascii="Arial" w:eastAsia="Cardo" w:hAnsi="Arial" w:cs="Arial"/>
                <w:sz w:val="20"/>
                <w:szCs w:val="20"/>
              </w:rPr>
              <w:t>SC → JBP</w:t>
            </w:r>
          </w:p>
        </w:tc>
        <w:tc>
          <w:tcPr>
            <w:tcW w:w="123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2E5EC8A"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0.400</w:t>
            </w:r>
          </w:p>
        </w:tc>
        <w:tc>
          <w:tcPr>
            <w:tcW w:w="123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9B04146"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0.400</w:t>
            </w:r>
          </w:p>
        </w:tc>
        <w:tc>
          <w:tcPr>
            <w:tcW w:w="11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39C4FDC9"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0.063</w:t>
            </w:r>
          </w:p>
        </w:tc>
        <w:tc>
          <w:tcPr>
            <w:tcW w:w="131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5548DC50"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6.346</w:t>
            </w:r>
          </w:p>
        </w:tc>
        <w:tc>
          <w:tcPr>
            <w:tcW w:w="101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6738D029" w14:textId="77777777" w:rsidR="00BF67C6" w:rsidRPr="00A9631C" w:rsidRDefault="00895664">
            <w:pPr>
              <w:spacing w:line="360" w:lineRule="auto"/>
              <w:jc w:val="center"/>
              <w:rPr>
                <w:rFonts w:ascii="Arial" w:hAnsi="Arial" w:cs="Arial"/>
                <w:sz w:val="20"/>
                <w:szCs w:val="20"/>
              </w:rPr>
            </w:pPr>
            <w:r w:rsidRPr="00A9631C">
              <w:rPr>
                <w:rFonts w:ascii="Arial" w:hAnsi="Arial" w:cs="Arial"/>
                <w:sz w:val="20"/>
                <w:szCs w:val="20"/>
              </w:rPr>
              <w:t>0.000***</w:t>
            </w:r>
          </w:p>
        </w:tc>
        <w:tc>
          <w:tcPr>
            <w:tcW w:w="500" w:type="dxa"/>
            <w:tcBorders>
              <w:top w:val="single" w:sz="4" w:space="0" w:color="2B5A8A"/>
              <w:left w:val="single" w:sz="4" w:space="0" w:color="2B5A8A"/>
              <w:bottom w:val="single" w:sz="4" w:space="0" w:color="2B5A8A"/>
              <w:right w:val="single" w:sz="4" w:space="0" w:color="2B5A8A"/>
            </w:tcBorders>
            <w:shd w:val="clear" w:color="auto" w:fill="FFFFFF"/>
            <w:tcMar>
              <w:top w:w="70" w:type="dxa"/>
              <w:left w:w="120" w:type="dxa"/>
              <w:bottom w:w="70" w:type="dxa"/>
              <w:right w:w="120" w:type="dxa"/>
            </w:tcMar>
            <w:vAlign w:val="center"/>
          </w:tcPr>
          <w:p w14:paraId="0996B2B4" w14:textId="77777777" w:rsidR="00BF67C6" w:rsidRPr="00A9631C" w:rsidRDefault="00895664">
            <w:pPr>
              <w:spacing w:line="360" w:lineRule="auto"/>
              <w:jc w:val="center"/>
              <w:rPr>
                <w:rFonts w:ascii="Arial" w:hAnsi="Arial" w:cs="Arial"/>
                <w:sz w:val="20"/>
                <w:szCs w:val="20"/>
              </w:rPr>
            </w:pPr>
            <w:r w:rsidRPr="00A9631C">
              <w:rPr>
                <w:rFonts w:ascii="Segoe UI Symbol" w:eastAsia="Arial Unicode MS" w:hAnsi="Segoe UI Symbol" w:cs="Segoe UI Symbol"/>
                <w:b/>
                <w:bCs/>
                <w:sz w:val="20"/>
                <w:szCs w:val="20"/>
              </w:rPr>
              <w:t>✓</w:t>
            </w:r>
          </w:p>
        </w:tc>
      </w:tr>
    </w:tbl>
    <w:p w14:paraId="49AB46AD" w14:textId="4F2C548F" w:rsidR="00BF67C6" w:rsidRPr="00A9631C" w:rsidRDefault="00895664" w:rsidP="004F6CC9">
      <w:pPr>
        <w:spacing w:before="60" w:after="180" w:line="360" w:lineRule="auto"/>
        <w:jc w:val="both"/>
        <w:rPr>
          <w:rFonts w:ascii="Arial" w:hAnsi="Arial" w:cs="Arial"/>
          <w:sz w:val="20"/>
          <w:szCs w:val="20"/>
        </w:rPr>
      </w:pPr>
      <w:r w:rsidRPr="00A9631C">
        <w:rPr>
          <w:rFonts w:ascii="Arial" w:eastAsia="Arial Unicode MS" w:hAnsi="Arial" w:cs="Arial"/>
          <w:i/>
          <w:iCs/>
          <w:color w:val="555555"/>
          <w:sz w:val="20"/>
          <w:szCs w:val="20"/>
        </w:rPr>
        <w:t xml:space="preserve">Note. β (O) = original sample path coefficient; M = bootstrap sample mean; STDEV = bootstrap standard deviation; T-Stat = T-statistic (|O/STDEV|). </w:t>
      </w:r>
      <w:r w:rsidRPr="00A9631C">
        <w:rPr>
          <w:rFonts w:ascii="Segoe UI Symbol" w:eastAsia="Arial Unicode MS" w:hAnsi="Segoe UI Symbol" w:cs="Segoe UI Symbol"/>
          <w:i/>
          <w:iCs/>
          <w:color w:val="555555"/>
          <w:sz w:val="20"/>
          <w:szCs w:val="20"/>
        </w:rPr>
        <w:t>✓</w:t>
      </w:r>
      <w:r w:rsidRPr="00A9631C">
        <w:rPr>
          <w:rFonts w:ascii="Arial" w:eastAsia="Arial Unicode MS" w:hAnsi="Arial" w:cs="Arial"/>
          <w:i/>
          <w:iCs/>
          <w:color w:val="555555"/>
          <w:sz w:val="20"/>
          <w:szCs w:val="20"/>
        </w:rPr>
        <w:t xml:space="preserve"> = Hypothesis Supported. * p &lt; 0.05; *** p &lt; 0.001. R² (JBP) = 0.676. SA = Self-Awareness; SR = Self-Regulation; SC = Social Competence; JBP = Job Performance.</w:t>
      </w:r>
    </w:p>
    <w:p w14:paraId="4AC32B3F" w14:textId="77777777" w:rsidR="00BF67C6" w:rsidRPr="00A9631C" w:rsidRDefault="00895664">
      <w:pPr>
        <w:pStyle w:val="Heading3"/>
        <w:spacing w:line="360" w:lineRule="auto"/>
        <w:rPr>
          <w:rFonts w:ascii="Arial" w:hAnsi="Arial" w:cs="Arial"/>
          <w:sz w:val="20"/>
          <w:szCs w:val="20"/>
        </w:rPr>
      </w:pPr>
      <w:r w:rsidRPr="00A9631C">
        <w:rPr>
          <w:rFonts w:ascii="Arial" w:hAnsi="Arial" w:cs="Arial"/>
          <w:sz w:val="20"/>
          <w:szCs w:val="20"/>
        </w:rPr>
        <w:t>4.2.3 Summary of Results</w:t>
      </w:r>
    </w:p>
    <w:p w14:paraId="3C5EE5E8"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All three hypotheses are supported. Self-regulation (β = 0.488, T = 4.259, p &lt; 0.001) emerges as the strongest predictor of job performance, followed by social competence (β = 0.400, T = 6.346, p &lt; 0.001) and self-awareness (β = 0.232, T = 2.189, p = 0.000). Together, these three EI dimensions account for 67.6% of the variance in job performance among academic staff in higher education in Jammu and Kashmir.</w:t>
      </w:r>
    </w:p>
    <w:p w14:paraId="1FA6BCD7"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4.3 PLS-SEM Path Model</w:t>
      </w:r>
    </w:p>
    <w:p w14:paraId="5AA7497D" w14:textId="77777777" w:rsidR="00BF67C6" w:rsidRPr="00A9631C" w:rsidRDefault="00BF67C6">
      <w:pPr>
        <w:spacing w:after="60" w:line="360" w:lineRule="auto"/>
        <w:rPr>
          <w:rFonts w:ascii="Arial" w:hAnsi="Arial" w:cs="Arial"/>
          <w:sz w:val="20"/>
          <w:szCs w:val="20"/>
        </w:rPr>
      </w:pPr>
    </w:p>
    <w:p w14:paraId="5EBB21E4" w14:textId="77777777" w:rsidR="00BF67C6" w:rsidRPr="00A9631C" w:rsidRDefault="00895664">
      <w:pPr>
        <w:spacing w:after="80" w:line="360" w:lineRule="auto"/>
        <w:jc w:val="center"/>
        <w:rPr>
          <w:rFonts w:ascii="Arial" w:hAnsi="Arial" w:cs="Arial"/>
          <w:sz w:val="20"/>
          <w:szCs w:val="20"/>
        </w:rPr>
      </w:pPr>
      <w:r w:rsidRPr="00A9631C">
        <w:rPr>
          <w:rFonts w:ascii="Arial" w:hAnsi="Arial" w:cs="Arial"/>
          <w:b/>
          <w:bCs/>
          <w:i/>
          <w:iCs/>
          <w:sz w:val="20"/>
          <w:szCs w:val="20"/>
        </w:rPr>
        <w:t>Figure 1</w:t>
      </w:r>
    </w:p>
    <w:p w14:paraId="4C100DBB" w14:textId="77777777" w:rsidR="00BF67C6" w:rsidRPr="00A9631C" w:rsidRDefault="00895664">
      <w:pPr>
        <w:spacing w:after="140" w:line="360" w:lineRule="auto"/>
        <w:jc w:val="center"/>
        <w:rPr>
          <w:rFonts w:ascii="Arial" w:hAnsi="Arial" w:cs="Arial"/>
          <w:sz w:val="20"/>
          <w:szCs w:val="20"/>
        </w:rPr>
      </w:pPr>
      <w:r w:rsidRPr="00A9631C">
        <w:rPr>
          <w:rFonts w:ascii="Arial" w:hAnsi="Arial" w:cs="Arial"/>
          <w:b/>
          <w:bCs/>
          <w:sz w:val="20"/>
          <w:szCs w:val="20"/>
        </w:rPr>
        <w:t>PLS-SEM Path Diagram: Emotional Intelligence Dimensions and Job Performance</w:t>
      </w:r>
    </w:p>
    <w:p w14:paraId="1EEB99F9" w14:textId="77777777" w:rsidR="00BF67C6" w:rsidRPr="00A9631C" w:rsidRDefault="00895664">
      <w:pPr>
        <w:spacing w:before="60" w:after="140" w:line="360" w:lineRule="auto"/>
        <w:jc w:val="center"/>
        <w:rPr>
          <w:rFonts w:ascii="Arial" w:hAnsi="Arial" w:cs="Arial"/>
          <w:sz w:val="20"/>
          <w:szCs w:val="20"/>
        </w:rPr>
      </w:pPr>
      <w:r w:rsidRPr="00A9631C">
        <w:rPr>
          <w:rFonts w:ascii="Arial" w:hAnsi="Arial" w:cs="Arial"/>
          <w:noProof/>
          <w:sz w:val="20"/>
          <w:szCs w:val="20"/>
        </w:rPr>
        <w:lastRenderedPageBreak/>
        <w:drawing>
          <wp:inline distT="0" distB="0" distL="0" distR="0" wp14:anchorId="060BB0B0" wp14:editId="09860A4F">
            <wp:extent cx="5524500" cy="3448050"/>
            <wp:effectExtent l="0" t="0" r="0" b="0"/>
            <wp:docPr id="1" name="image1.jpg" descr="PLS-SEM model results"/>
            <wp:cNvGraphicFramePr/>
            <a:graphic xmlns:a="http://schemas.openxmlformats.org/drawingml/2006/main">
              <a:graphicData uri="http://schemas.openxmlformats.org/drawingml/2006/picture">
                <pic:pic xmlns:pic="http://schemas.openxmlformats.org/drawingml/2006/picture">
                  <pic:nvPicPr>
                    <pic:cNvPr id="0" name="image1.jpg" descr="PLS-SEM model results"/>
                    <pic:cNvPicPr preferRelativeResize="0"/>
                  </pic:nvPicPr>
                  <pic:blipFill>
                    <a:blip r:embed="rId7"/>
                    <a:srcRect/>
                    <a:stretch>
                      <a:fillRect/>
                    </a:stretch>
                  </pic:blipFill>
                  <pic:spPr>
                    <a:xfrm>
                      <a:off x="0" y="0"/>
                      <a:ext cx="5524500" cy="3448050"/>
                    </a:xfrm>
                    <a:prstGeom prst="rect">
                      <a:avLst/>
                    </a:prstGeom>
                    <a:ln/>
                  </pic:spPr>
                </pic:pic>
              </a:graphicData>
            </a:graphic>
          </wp:inline>
        </w:drawing>
      </w:r>
    </w:p>
    <w:p w14:paraId="4F7EB388" w14:textId="77777777" w:rsidR="00BF67C6" w:rsidRPr="00A9631C" w:rsidRDefault="00895664">
      <w:pPr>
        <w:spacing w:before="60" w:after="180" w:line="360" w:lineRule="auto"/>
        <w:jc w:val="both"/>
        <w:rPr>
          <w:rFonts w:ascii="Arial" w:hAnsi="Arial" w:cs="Arial"/>
          <w:sz w:val="20"/>
          <w:szCs w:val="20"/>
        </w:rPr>
      </w:pPr>
      <w:r w:rsidRPr="00A9631C">
        <w:rPr>
          <w:rFonts w:ascii="Arial" w:hAnsi="Arial" w:cs="Arial"/>
          <w:i/>
          <w:iCs/>
          <w:color w:val="555555"/>
          <w:sz w:val="20"/>
          <w:szCs w:val="20"/>
        </w:rPr>
        <w:t>Note. Values adjacent to arrows are standardized path coefficients; values in parentheses are p-values. The R² = 0.676 is displayed inside the JBP latent variable circle. All outer loadings shown are significant at p &lt; 0.001. SA = Self-Awareness; SR = Self-Regulation; SC = Social Competence; JBP = Job Performance.</w:t>
      </w:r>
    </w:p>
    <w:p w14:paraId="4ABA4C96" w14:textId="77777777" w:rsidR="00BF67C6" w:rsidRPr="00A9631C" w:rsidRDefault="00BF67C6">
      <w:pPr>
        <w:spacing w:after="80" w:line="360" w:lineRule="auto"/>
        <w:rPr>
          <w:rFonts w:ascii="Arial" w:hAnsi="Arial" w:cs="Arial"/>
          <w:sz w:val="20"/>
          <w:szCs w:val="20"/>
        </w:rPr>
      </w:pPr>
    </w:p>
    <w:p w14:paraId="6818EAB6"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5. Discussion</w:t>
      </w:r>
    </w:p>
    <w:p w14:paraId="1EF12841"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5.1 Overview</w:t>
      </w:r>
    </w:p>
    <w:p w14:paraId="24A1FAD0"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present study examined the differential effects of three emotional intelligence dimensions: self-awareness, self-regulation, and social competence on job performance among academic staff in higher education institutions in Jammu and Kashmir. All three hypotheses were supported, with each EI dimension exerting a statistically significant positive effect on job performance. The structural model explains 67.6% of the variance in job performance (R² = 0.676), reflecting the substantial collective predictive power of the EI dimensions examined. These findings affirm the multidimensional relevance of emotional intelligence in higher education performance contexts and extend prior research by providing dimension-specific evidence from a geographically and contextually distinctive setting.</w:t>
      </w:r>
    </w:p>
    <w:p w14:paraId="751FD60D"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5.2 Self-Regulation and Job Performance (H2 Supported)</w:t>
      </w:r>
    </w:p>
    <w:p w14:paraId="61639E6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lastRenderedPageBreak/>
        <w:t>Self-regulation emerged as the strongest predictor of job performance in this study (β = 0.488, p &lt; 0.001), consistent with the process model of emotional regulation proposed by Gross (1998) and with extant empirical evidence in organizational settings. The primacy of self-regulation as a performance driver is particularly interpretable in the J&amp;K higher education context, where academic staff routinely navigate institutionally complex environments marked by resource constraints, socio-political stressors, and evolving organizational demands. The capacity to modulate emotional responses to remain professionally composed under pressure, avoid reactive behavior, and sustain goal-directed effort appears to be the most consequential emotional competency for job performance in this context.</w:t>
      </w:r>
    </w:p>
    <w:p w14:paraId="45C145B7"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These findings resonate with Conservation of Resources Theory (</w:t>
      </w:r>
      <w:proofErr w:type="spellStart"/>
      <w:r w:rsidRPr="00A9631C">
        <w:rPr>
          <w:rFonts w:ascii="Arial" w:hAnsi="Arial" w:cs="Arial"/>
          <w:sz w:val="20"/>
          <w:szCs w:val="20"/>
        </w:rPr>
        <w:t>Hobfoll</w:t>
      </w:r>
      <w:proofErr w:type="spellEnd"/>
      <w:r w:rsidRPr="00A9631C">
        <w:rPr>
          <w:rFonts w:ascii="Arial" w:hAnsi="Arial" w:cs="Arial"/>
          <w:sz w:val="20"/>
          <w:szCs w:val="20"/>
        </w:rPr>
        <w:t>, 1989), which posits that emotional regulation constitutes a key psychosocial resource that buffers against stressor-induced performance depletion. Faculty members with strong self-regulation may effectively conserve emotional resources, thereby maintaining consistent and high-quality performance across demanding academic responsibilities. The result also aligns with Joseph and Newman's (2010) cascading model, wherein self-regulation mediates the pathway from emotional perception to performance outcomes.</w:t>
      </w:r>
    </w:p>
    <w:p w14:paraId="229C44F7"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5.3 Social Competence and Job Performance (H3 Supported)</w:t>
      </w:r>
    </w:p>
    <w:p w14:paraId="600E7625"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Social competence was the second-strongest predictor of job performance (β = 0.400, p &lt; 0.001), underscoring the centrality of interpersonal emotional capacities in academic work. Higher education is inherently an interpersonal profession: faculty members are expected to engage meaningfully with students across diverse backgrounds, collaborate with colleagues across disciplines, and interact productively with institutional leadership. The ability to accurately read, empathize with, and respond strategically to the emotions of others the defining elements of social competence directly supports the quality of these interactions and, by extension, overall job performance.</w:t>
      </w:r>
    </w:p>
    <w:p w14:paraId="25D74F0C"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Côté (2022) emphasizes that socially competent individuals are better equipped to manage the relational demands of interpersonal-intensive roles. In J&amp;K's higher education setting, where collegial and student-faculty dynamics may be particularly salient, social competence provides faculty with the interpersonal capital necessary to build trust, navigate relational complexity, and achieve strong performance outcomes. These findings also align with Brackett et al. (2012), who established that emotional competencies positively influence educational effectiveness through improved social and relational processes.</w:t>
      </w:r>
    </w:p>
    <w:p w14:paraId="50003E86"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5.4 Self-Awareness and Job Performance (H1 Supported)</w:t>
      </w:r>
    </w:p>
    <w:p w14:paraId="346B793D"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Self-awareness exerted a significant positive effect on job performance (β = 0.232, T = 2.189, p = 0.000), supporting H1 and confirming the direct performance relevance of this foundational EI dimension. While self-awareness registered a comparatively smaller path coefficient than self-regulation and social competence, its significance is both statistically and theoretically meaningful. As the foundational layer of </w:t>
      </w:r>
      <w:r w:rsidRPr="00A9631C">
        <w:rPr>
          <w:rFonts w:ascii="Arial" w:hAnsi="Arial" w:cs="Arial"/>
          <w:sz w:val="20"/>
          <w:szCs w:val="20"/>
        </w:rPr>
        <w:lastRenderedPageBreak/>
        <w:t>emotional intelligence (Goleman, 1998), self-awareness provides the emotional self-knowledge from which effective self-regulation and interpersonal responsiveness are believed to develop.</w:t>
      </w:r>
    </w:p>
    <w:p w14:paraId="1A16FBD8"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positive effect of self-awareness on job performance aligns with Sánchez-Álvarez et al. (2020), who established that self-awareness predicts psychological well-being and adaptive functioning both of which support occupational effectiveness. In the J&amp;K higher education context, faculty members who maintain accurate awareness of their emotional states may be better positioned to recognize stress-related patterns early, seek appropriate support, and calibrate their professional conduct in ways that preserve and enhance performance. This finding also complements the broader EI literature by affirming that even the more intrapersonal, recognition-oriented dimension of EI contributes meaningfully and directly to performance outcomes in the field.</w:t>
      </w:r>
    </w:p>
    <w:p w14:paraId="7EC84968"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5.5 Theoretical Contributions</w:t>
      </w:r>
    </w:p>
    <w:p w14:paraId="64B526F8"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From a theoretical standpoint, this study advances the multidimensional understanding of emotional intelligence in organizational contexts. By demonstrating that all three EI dimensions self-awareness, self-regulation, and social competence independently and positively predict job performance, the findings affirm the theoretical completeness of multidimensional EI models (Goleman, 1998; Mayer et al., 2004) and challenge the practice of collapsing EI into a single composite score. The differential effect sizes observed across the three dimensions further underscore the importance of dimension-specific theorizing and measurement in EI research.</w:t>
      </w:r>
    </w:p>
    <w:p w14:paraId="14A4F29B"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study extends Joseph and Newman's (2010) cascading EI model by demonstrating that all three dimensions in the cascade from recognition (self-awareness) through regulation (self-regulation) to social application (social competence) carry independent predictive value for performance when examined in a context of high emotional demand. Additionally, the substantial explanatory power of the model (R² = 0.676) underscores the practical significance of emotional intelligence as a performance construct in higher education, contributing to the growing body of evidence situating EI as a complement to cognitive ability in predicting occupational outcomes.</w:t>
      </w:r>
    </w:p>
    <w:p w14:paraId="16FBD71D"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5.6 Contextual Contributions</w:t>
      </w:r>
    </w:p>
    <w:p w14:paraId="56782CDB"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Contextually, this study offers one of the first comprehensive empirical investigations of EI and job performance in the higher education sector of Jammu and Kashmir. The region's distinctive characteristics including ongoing socio-political complexity, institutional transitions, and resource challenges appear to amplify the performance relevance of all three EI dimensions, each serving a distinct adaptive function. Self-regulation supports emotional resilience under stress; social competence enables effective interpersonal navigation; and self-awareness facilitates self-directed professional adaptation. Together, the findings provide a context-sensitive profile of EI that complements globally generalizable evidence while highlighting the importance of local contextual factors in shaping EI-performance dynamics.</w:t>
      </w:r>
    </w:p>
    <w:p w14:paraId="5B5DA5AC" w14:textId="77777777" w:rsidR="00BF67C6" w:rsidRPr="00A9631C" w:rsidRDefault="00BF67C6">
      <w:pPr>
        <w:spacing w:after="80" w:line="360" w:lineRule="auto"/>
        <w:rPr>
          <w:rFonts w:ascii="Arial" w:hAnsi="Arial" w:cs="Arial"/>
          <w:sz w:val="20"/>
          <w:szCs w:val="20"/>
        </w:rPr>
      </w:pPr>
    </w:p>
    <w:p w14:paraId="32A9A8B4"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6. Implications</w:t>
      </w:r>
    </w:p>
    <w:p w14:paraId="31B9C67A"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6.1 Theoretical Implications</w:t>
      </w:r>
    </w:p>
    <w:p w14:paraId="3EFFFBEE"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findings make several theoretical contributions. First, by demonstrating that all three EI dimensions independently predict job performance, the study reinforces the case for multidimensional EI theorization and measurement. Second, the differential effect sizes across dimensions provide empirical grounding for theoretical models that posit EI as a hierarchically organized, sequentially operative construct. Third, the study situates EI research within the understudied context of conflict-affected higher education, broadening the ecological validity of EI-performance theory. Future theoretical development should elaborate on how contextual characteristics including institutional volatility, socio-political stressors, and resource constraints moderate the relationships between specific EI dimensions and performance.</w:t>
      </w:r>
    </w:p>
    <w:p w14:paraId="7D70A97B" w14:textId="77777777" w:rsidR="00BF67C6" w:rsidRPr="00A9631C" w:rsidRDefault="00895664">
      <w:pPr>
        <w:pStyle w:val="Heading2"/>
        <w:spacing w:line="360" w:lineRule="auto"/>
        <w:rPr>
          <w:rFonts w:ascii="Arial" w:hAnsi="Arial" w:cs="Arial"/>
          <w:sz w:val="20"/>
          <w:szCs w:val="20"/>
        </w:rPr>
      </w:pPr>
      <w:r w:rsidRPr="00A9631C">
        <w:rPr>
          <w:rFonts w:ascii="Arial" w:hAnsi="Arial" w:cs="Arial"/>
          <w:sz w:val="20"/>
          <w:szCs w:val="20"/>
        </w:rPr>
        <w:t>6.2 Practical Implications for Higher Education Institutions</w:t>
      </w:r>
    </w:p>
    <w:p w14:paraId="6622D396"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study's findings carry actionable implications for higher education administrators, faculty development coordinators, and human resource professionals. Given the strong predictive power of self-regulation, institutions should prioritize investment in professional development programs that cultivate emotional regulation skills among academic staff. Mindfulness-based training, stress resilience workshops, and emotion regulation coaching should be embedded within institutional faculty development frameworks, particularly in environments characterized by high occupational stress.</w:t>
      </w:r>
    </w:p>
    <w:p w14:paraId="611BFDB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significant effect of social competence supports the inclusion of interpersonal effectiveness training encompassing empathy, communication skills, and conflict management within leadership and faculty development curricula. Institutions should also consider creating emotionally supportive workplace cultures that normalize the acknowledgment of emotional experiences and reward interpersonally effective behavior.</w:t>
      </w:r>
    </w:p>
    <w:p w14:paraId="09E1B96A"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The significant contribution of self-awareness further implies that reflective professional practice should be actively encouraged and institutionally supported. Mentoring programs, structured peer-feedback mechanisms, and personal development coaching can serve as vehicles for cultivating self-awareness among academic staff at all career stages. For recruitment and appraisal purposes, the findings suggest that emotional competencies should be formally assessed alongside cognitive qualifications, using validated instruments such as the WLEIS (Wong &amp; Law, 2002) to enhance the predictive validity of hiring and promotion decisions.</w:t>
      </w:r>
    </w:p>
    <w:p w14:paraId="3392E01D" w14:textId="77777777" w:rsidR="00BF67C6" w:rsidRPr="00A9631C" w:rsidRDefault="00BF67C6">
      <w:pPr>
        <w:spacing w:after="80" w:line="360" w:lineRule="auto"/>
        <w:rPr>
          <w:rFonts w:ascii="Arial" w:hAnsi="Arial" w:cs="Arial"/>
          <w:sz w:val="20"/>
          <w:szCs w:val="20"/>
        </w:rPr>
      </w:pPr>
    </w:p>
    <w:p w14:paraId="24AC92C0"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lastRenderedPageBreak/>
        <w:t>7. Limitations and Future Research Directions</w:t>
      </w:r>
    </w:p>
    <w:p w14:paraId="0B869DE7"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This study is subject to several limitations that should be considered when interpreting the findings. First, the cross-sectional research design precludes causal inference. While the study establishes statistically significant associations between EI dimensions and job performance, temporal precedence cannot be established. Longitudinal research designs are needed to confirm the directional causality implied by the theoretical framework.</w:t>
      </w:r>
    </w:p>
    <w:p w14:paraId="46646BB4"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Second, the reliance on self-report measures introduces the possibility of socially desirable responding and common method variance, though VIF analyses suggest that common method bias is not a substantive concern in this dataset. Future studies may benefit from multi-source performance ratings incorporating supervisor or peer assessments to provide more objective performance indicators.</w:t>
      </w:r>
    </w:p>
    <w:p w14:paraId="1584A87E"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Third, the sample is restricted to academic staff in Jammu and Kashmir, which may limit the generalizability of the findings to other geographic regions and organizational contexts. Comparative multi-regional or cross-national studies would enrich understanding of how contextual factors moderate the EI-performance relationship across settings.</w:t>
      </w:r>
    </w:p>
    <w:p w14:paraId="1D40A3EC"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Fourth, the study does not examine potential mediating or moderating variables. Several theoretically relevant candidates including work engagement, organizational support, psychological safety, job demands, and personality traits such as conscientiousness may clarify the mechanisms and boundary conditions through which EI dimensions influence performance. Future research employing mediation and moderation analyses would substantially advance the theoretical richness of this area.</w:t>
      </w:r>
    </w:p>
    <w:p w14:paraId="53DD4669"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 xml:space="preserve">Finally, although the Fornell-Larcker criterion supports discriminant validity, future studies may wish to additionally report the </w:t>
      </w:r>
      <w:proofErr w:type="spellStart"/>
      <w:r w:rsidRPr="00A9631C">
        <w:rPr>
          <w:rFonts w:ascii="Arial" w:hAnsi="Arial" w:cs="Arial"/>
          <w:sz w:val="20"/>
          <w:szCs w:val="20"/>
        </w:rPr>
        <w:t>Heterotrait-Monotrait</w:t>
      </w:r>
      <w:proofErr w:type="spellEnd"/>
      <w:r w:rsidRPr="00A9631C">
        <w:rPr>
          <w:rFonts w:ascii="Arial" w:hAnsi="Arial" w:cs="Arial"/>
          <w:sz w:val="20"/>
          <w:szCs w:val="20"/>
        </w:rPr>
        <w:t xml:space="preserve"> Ratio (HTMT), which provides a more conservative and increasingly recommended test of discriminant validity in PLS-SEM contexts (Henseler et al., 2015).</w:t>
      </w:r>
    </w:p>
    <w:p w14:paraId="6AE31464" w14:textId="77777777" w:rsidR="00BF67C6" w:rsidRPr="00A9631C" w:rsidRDefault="00BF67C6">
      <w:pPr>
        <w:spacing w:after="80" w:line="360" w:lineRule="auto"/>
        <w:rPr>
          <w:rFonts w:ascii="Arial" w:hAnsi="Arial" w:cs="Arial"/>
          <w:sz w:val="20"/>
          <w:szCs w:val="20"/>
        </w:rPr>
      </w:pPr>
    </w:p>
    <w:p w14:paraId="24922FE6"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8. Conclusion</w:t>
      </w:r>
    </w:p>
    <w:p w14:paraId="17444FDE"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This study provides comprehensive empirical evidence for the positive effects of all three emotional intelligence dimensions: self-awareness, self-regulation, and social competence on job performance among academic staff in higher education institutions in Jammu and Kashmir, India. Employing PLS-SEM, the findings demonstrate that self-regulation (β = 0.488, p &lt; 0.001) is the strongest predictor of job performance, followed by social competence (β = 0.400, p &lt; 0.001) and self-awareness (β = 0.232, p = 0.000). Together, these three dimensions explain 67.6% of the variance in job performance (R² = 0.676), reflecting the substantial and collective explanatory power of emotional intelligence in this context.</w:t>
      </w:r>
    </w:p>
    <w:p w14:paraId="32B8ABCD"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lastRenderedPageBreak/>
        <w:t>These results affirm the multidimensional relevance of emotional intelligence in higher education and underscore that each dimension whether intrapersonal recognition (self-awareness), intrapersonal regulation (self-regulation), or interpersonal application (social competence) contributes independently and meaningfully to academic performance. The findings provide novel context-specific evidence from a region characterized by unique socio-political and institutional challenges, thereby extending the ecological validity of EI-performance research beyond high-income, politically stable contexts.</w:t>
      </w:r>
    </w:p>
    <w:p w14:paraId="71A39B21" w14:textId="77777777" w:rsidR="00BF67C6" w:rsidRPr="00A9631C" w:rsidRDefault="00895664">
      <w:pPr>
        <w:spacing w:after="180" w:line="360" w:lineRule="auto"/>
        <w:ind w:firstLine="720"/>
        <w:jc w:val="both"/>
        <w:rPr>
          <w:rFonts w:ascii="Arial" w:hAnsi="Arial" w:cs="Arial"/>
          <w:sz w:val="20"/>
          <w:szCs w:val="20"/>
        </w:rPr>
      </w:pPr>
      <w:r w:rsidRPr="00A9631C">
        <w:rPr>
          <w:rFonts w:ascii="Arial" w:hAnsi="Arial" w:cs="Arial"/>
          <w:sz w:val="20"/>
          <w:szCs w:val="20"/>
        </w:rPr>
        <w:t>For higher education institutions in J&amp;K and comparable settings, cultivating emotional intelligence across all three dimensions in academic staff represents a high-yield investment in institutional performance, faculty well-being, and educational quality. As organizations in knowledge-intensive sectors increasingly recognize the strategic value of emotional competencies alongside cognitive ability, this study offers timely, evidence-based guidance for scholars, practitioners, and policymakers committed to enhancing human performance in higher education.</w:t>
      </w:r>
    </w:p>
    <w:p w14:paraId="2C834204" w14:textId="77777777" w:rsidR="00BF67C6" w:rsidRPr="00A9631C" w:rsidRDefault="00BF67C6">
      <w:pPr>
        <w:spacing w:after="80" w:line="360" w:lineRule="auto"/>
        <w:rPr>
          <w:rFonts w:ascii="Arial" w:hAnsi="Arial" w:cs="Arial"/>
          <w:sz w:val="20"/>
          <w:szCs w:val="20"/>
        </w:rPr>
      </w:pPr>
    </w:p>
    <w:p w14:paraId="42886533" w14:textId="77777777" w:rsidR="00BF67C6" w:rsidRPr="00A9631C" w:rsidRDefault="00895664">
      <w:pPr>
        <w:pStyle w:val="Heading1"/>
        <w:pBdr>
          <w:bottom w:val="single" w:sz="8" w:space="6" w:color="2B5A8A"/>
        </w:pBdr>
        <w:spacing w:line="360" w:lineRule="auto"/>
        <w:rPr>
          <w:rFonts w:ascii="Arial" w:hAnsi="Arial" w:cs="Arial"/>
          <w:sz w:val="20"/>
          <w:szCs w:val="20"/>
        </w:rPr>
      </w:pPr>
      <w:r w:rsidRPr="00A9631C">
        <w:rPr>
          <w:rFonts w:ascii="Arial" w:hAnsi="Arial" w:cs="Arial"/>
          <w:sz w:val="20"/>
          <w:szCs w:val="20"/>
        </w:rPr>
        <w:t>References</w:t>
      </w:r>
    </w:p>
    <w:p w14:paraId="55EF8AA9"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Anderson, J. C., &amp; Gerbing, D. W. (1988). Structural equation modeling in practice: A review and recommended two-step approach. Psychological Bulletin, 103(3), 411–423. </w:t>
      </w:r>
      <w:hyperlink r:id="rId8">
        <w:r w:rsidRPr="00A9631C">
          <w:rPr>
            <w:rStyle w:val="Hyperlink"/>
            <w:rFonts w:ascii="Arial" w:hAnsi="Arial" w:cs="Arial"/>
            <w:sz w:val="20"/>
            <w:szCs w:val="20"/>
          </w:rPr>
          <w:t>https://doi.org/10.1037/0033-2909.103.3.411</w:t>
        </w:r>
      </w:hyperlink>
      <w:r w:rsidRPr="00A9631C">
        <w:rPr>
          <w:rStyle w:val="Hyperlink"/>
          <w:rFonts w:ascii="Arial" w:hAnsi="Arial" w:cs="Arial"/>
          <w:sz w:val="20"/>
          <w:szCs w:val="20"/>
        </w:rPr>
        <w:t xml:space="preserve"> </w:t>
      </w:r>
    </w:p>
    <w:p w14:paraId="61A7597F" w14:textId="77777777" w:rsidR="004F6CC9" w:rsidRPr="00A9631C" w:rsidRDefault="004F6CC9" w:rsidP="0053233E">
      <w:pPr>
        <w:numPr>
          <w:ilvl w:val="0"/>
          <w:numId w:val="1"/>
        </w:numPr>
        <w:spacing w:after="130" w:line="360" w:lineRule="auto"/>
        <w:jc w:val="both"/>
        <w:rPr>
          <w:rStyle w:val="Hyperlink"/>
          <w:rFonts w:ascii="Arial" w:hAnsi="Arial" w:cs="Arial"/>
          <w:color w:val="auto"/>
          <w:sz w:val="20"/>
          <w:szCs w:val="20"/>
          <w:u w:val="none"/>
        </w:rPr>
      </w:pPr>
      <w:r w:rsidRPr="00A9631C">
        <w:rPr>
          <w:rFonts w:ascii="Arial" w:hAnsi="Arial" w:cs="Arial"/>
          <w:sz w:val="20"/>
          <w:szCs w:val="20"/>
        </w:rPr>
        <w:t xml:space="preserve">Bhat, W. A., Dada, Z. A., &amp; Qureshi, R. A. (2024). Exploring the mediating role of attitude in the investigation of rural tourism entrepreneurial intention among tourism students. Journal of Teaching in Travel &amp; Tourism, 24(1), 10–32. </w:t>
      </w:r>
      <w:hyperlink r:id="rId9" w:history="1">
        <w:r w:rsidRPr="00A9631C">
          <w:rPr>
            <w:rStyle w:val="Hyperlink"/>
            <w:rFonts w:ascii="Arial" w:hAnsi="Arial" w:cs="Arial"/>
            <w:sz w:val="20"/>
            <w:szCs w:val="20"/>
          </w:rPr>
          <w:t>https://doi.org/10.1080/15313220.2023.2267488</w:t>
        </w:r>
      </w:hyperlink>
    </w:p>
    <w:p w14:paraId="6C2150C0" w14:textId="77777777" w:rsidR="004F6CC9" w:rsidRPr="00A9631C" w:rsidRDefault="004F6CC9" w:rsidP="0053233E">
      <w:pPr>
        <w:numPr>
          <w:ilvl w:val="0"/>
          <w:numId w:val="1"/>
        </w:numPr>
        <w:spacing w:after="130" w:line="360" w:lineRule="auto"/>
        <w:jc w:val="both"/>
        <w:rPr>
          <w:rFonts w:ascii="Arial" w:hAnsi="Arial" w:cs="Arial"/>
          <w:sz w:val="20"/>
          <w:szCs w:val="20"/>
        </w:rPr>
      </w:pPr>
      <w:r w:rsidRPr="00A9631C">
        <w:rPr>
          <w:rFonts w:ascii="Arial" w:hAnsi="Arial" w:cs="Arial"/>
          <w:sz w:val="20"/>
          <w:szCs w:val="20"/>
        </w:rPr>
        <w:t>Bhat, W. A., Qureshi, R. A., &amp; Dada, Z. A. (2023). Investigating entrepreneurial resilience in the face of challenges: A study of pilgrimage tourism in Jammu and Kashmir. In Prospects and challenges of global pilgrimage tourism and hospitality (pp. 193-212). IGI Global Scientific Publishing.</w:t>
      </w:r>
    </w:p>
    <w:p w14:paraId="5523BA01" w14:textId="77777777" w:rsidR="004F6CC9" w:rsidRPr="00A9631C" w:rsidRDefault="004F6CC9" w:rsidP="0053233E">
      <w:pPr>
        <w:numPr>
          <w:ilvl w:val="0"/>
          <w:numId w:val="1"/>
        </w:numPr>
        <w:spacing w:after="130" w:line="360" w:lineRule="auto"/>
        <w:jc w:val="both"/>
        <w:rPr>
          <w:rFonts w:ascii="Arial" w:hAnsi="Arial" w:cs="Arial"/>
          <w:sz w:val="20"/>
          <w:szCs w:val="20"/>
        </w:rPr>
      </w:pPr>
      <w:r w:rsidRPr="00A9631C">
        <w:rPr>
          <w:rFonts w:ascii="Arial" w:hAnsi="Arial" w:cs="Arial"/>
          <w:sz w:val="20"/>
          <w:szCs w:val="20"/>
        </w:rPr>
        <w:t xml:space="preserve">Bhat, W. A., Wani, M. D., Dada, Z. A., &amp; Qureshi, R. A. (2025). Beyond Linear Models: A Complexity-Theoretic Approach to Understanding Tourist Behavior in Peacebuilding Contexts. Journal of Quality Assurance in Hospitality &amp; Tourism, 1–30. </w:t>
      </w:r>
      <w:hyperlink r:id="rId10" w:history="1">
        <w:r w:rsidRPr="00A9631C">
          <w:rPr>
            <w:rStyle w:val="Hyperlink"/>
            <w:rFonts w:ascii="Arial" w:hAnsi="Arial" w:cs="Arial"/>
            <w:sz w:val="20"/>
            <w:szCs w:val="20"/>
          </w:rPr>
          <w:t>https://doi.org/10.1080/1528008X.2025.2466050</w:t>
        </w:r>
      </w:hyperlink>
    </w:p>
    <w:p w14:paraId="56A393B3"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Boyatzis, R. E., Goleman, D., &amp; Rhee, K. (2000). Clustering competence in emotional intelligence: Insights from the emotional competence inventory (ECI). In R. Bar-On &amp; J. D. A. Parker (Eds.), Handbook of emotional intelligence (pp. 343–362). Jossey-Bass. </w:t>
      </w:r>
    </w:p>
    <w:p w14:paraId="5C6623F9"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lastRenderedPageBreak/>
        <w:t xml:space="preserve">Brackett, M. A., Rivers, S. E., &amp; Salovey, P. (2012). Emotional intelligence: Implications for personal, social, academic, and workplace success. Social and Personality Psychology Compass, 6(1), 88–103. </w:t>
      </w:r>
      <w:hyperlink r:id="rId11">
        <w:r w:rsidRPr="00A9631C">
          <w:rPr>
            <w:rFonts w:ascii="Arial" w:hAnsi="Arial" w:cs="Arial"/>
            <w:color w:val="1155CC"/>
            <w:sz w:val="20"/>
            <w:szCs w:val="20"/>
            <w:highlight w:val="white"/>
            <w:u w:val="single"/>
          </w:rPr>
          <w:t>http://dx.doi.org/10.1111/j.1751-9004.2010.00334.x</w:t>
        </w:r>
      </w:hyperlink>
      <w:r w:rsidRPr="00A9631C">
        <w:rPr>
          <w:rFonts w:ascii="Arial" w:hAnsi="Arial" w:cs="Arial"/>
          <w:color w:val="232323"/>
          <w:sz w:val="20"/>
          <w:szCs w:val="20"/>
          <w:highlight w:val="white"/>
        </w:rPr>
        <w:t xml:space="preserve"> </w:t>
      </w:r>
      <w:r w:rsidRPr="00A9631C">
        <w:rPr>
          <w:rFonts w:ascii="Arial" w:hAnsi="Arial" w:cs="Arial"/>
          <w:sz w:val="20"/>
          <w:szCs w:val="20"/>
        </w:rPr>
        <w:t xml:space="preserve"> </w:t>
      </w:r>
    </w:p>
    <w:p w14:paraId="557F0184"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Chan, D. W. (2006). Emotional intelligence and components of burnout among Chinese secondary school teachers in Hong Kong. Teaching and Teacher Education, 22(8), 1042–1054. </w:t>
      </w:r>
      <w:hyperlink r:id="rId12">
        <w:r w:rsidRPr="00A9631C">
          <w:rPr>
            <w:rFonts w:ascii="Arial" w:hAnsi="Arial" w:cs="Arial"/>
            <w:color w:val="1155CC"/>
            <w:sz w:val="20"/>
            <w:szCs w:val="20"/>
            <w:u w:val="single"/>
          </w:rPr>
          <w:t>https://doi.org/10.1016/j.tate.2006.04.005</w:t>
        </w:r>
      </w:hyperlink>
      <w:r w:rsidRPr="00A9631C">
        <w:rPr>
          <w:rFonts w:ascii="Arial" w:hAnsi="Arial" w:cs="Arial"/>
          <w:sz w:val="20"/>
          <w:szCs w:val="20"/>
        </w:rPr>
        <w:t xml:space="preserve"> </w:t>
      </w:r>
    </w:p>
    <w:p w14:paraId="0469FAAD" w14:textId="77777777" w:rsidR="004F6CC9" w:rsidRPr="00A9631C" w:rsidRDefault="004F6CC9" w:rsidP="0053233E">
      <w:pPr>
        <w:numPr>
          <w:ilvl w:val="0"/>
          <w:numId w:val="1"/>
        </w:numPr>
        <w:spacing w:after="130" w:line="360" w:lineRule="auto"/>
        <w:jc w:val="both"/>
        <w:rPr>
          <w:rFonts w:ascii="Arial" w:hAnsi="Arial" w:cs="Arial"/>
          <w:sz w:val="20"/>
          <w:szCs w:val="20"/>
        </w:rPr>
      </w:pPr>
      <w:r w:rsidRPr="00A9631C">
        <w:rPr>
          <w:rFonts w:ascii="Arial" w:hAnsi="Arial" w:cs="Arial"/>
          <w:sz w:val="20"/>
          <w:szCs w:val="20"/>
        </w:rPr>
        <w:t xml:space="preserve">Dada, Z. A., Qureshi, R. A., &amp; Bhat, W. A. (2024). Exploring value co-creation in homestays: insights from customers and owners. Rural Society, 33(2), 138–161. </w:t>
      </w:r>
      <w:hyperlink r:id="rId13" w:history="1">
        <w:r w:rsidRPr="00A9631C">
          <w:rPr>
            <w:rStyle w:val="Hyperlink"/>
            <w:rFonts w:ascii="Arial" w:hAnsi="Arial" w:cs="Arial"/>
            <w:sz w:val="20"/>
            <w:szCs w:val="20"/>
          </w:rPr>
          <w:t>https://doi.org/10.1080/10371656.2024.2425489</w:t>
        </w:r>
      </w:hyperlink>
    </w:p>
    <w:p w14:paraId="70C26A87"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Emotional intelligence and leadership effectiveness: A critical review for future research: KTL Tan, ML Voon, KS Ngui - Global Business and Management Research, 2022. </w:t>
      </w:r>
      <w:hyperlink r:id="rId14">
        <w:r w:rsidRPr="00A9631C">
          <w:rPr>
            <w:rFonts w:ascii="Arial" w:hAnsi="Arial" w:cs="Arial"/>
            <w:color w:val="1155CC"/>
            <w:sz w:val="20"/>
            <w:szCs w:val="20"/>
            <w:highlight w:val="white"/>
            <w:u w:val="single"/>
          </w:rPr>
          <w:t>Emotional intelligence and leadership effectiveness: A critical review for future research</w:t>
        </w:r>
      </w:hyperlink>
    </w:p>
    <w:p w14:paraId="6D7DB946" w14:textId="77777777" w:rsidR="004F6CC9" w:rsidRPr="00A9631C" w:rsidRDefault="004F6CC9">
      <w:pPr>
        <w:numPr>
          <w:ilvl w:val="0"/>
          <w:numId w:val="1"/>
        </w:numPr>
        <w:spacing w:line="360" w:lineRule="auto"/>
        <w:jc w:val="both"/>
        <w:rPr>
          <w:rFonts w:ascii="Arial" w:hAnsi="Arial" w:cs="Arial"/>
          <w:sz w:val="20"/>
          <w:szCs w:val="20"/>
        </w:rPr>
      </w:pPr>
      <w:proofErr w:type="spellStart"/>
      <w:r w:rsidRPr="00A9631C">
        <w:rPr>
          <w:rFonts w:ascii="Arial" w:hAnsi="Arial" w:cs="Arial"/>
          <w:sz w:val="20"/>
          <w:szCs w:val="20"/>
        </w:rPr>
        <w:t>Extremera</w:t>
      </w:r>
      <w:proofErr w:type="spellEnd"/>
      <w:r w:rsidRPr="00A9631C">
        <w:rPr>
          <w:rFonts w:ascii="Arial" w:hAnsi="Arial" w:cs="Arial"/>
          <w:sz w:val="20"/>
          <w:szCs w:val="20"/>
        </w:rPr>
        <w:t xml:space="preserve">, N., Rey, L., &amp; Sánchez-Álvarez, N. (2020). Validation of the Spanish version of the Wong-Law Emotional Intelligence Scale (WLEIS-S). Personality and Individual Differences, 139, 145–151. </w:t>
      </w:r>
      <w:r w:rsidRPr="00A9631C">
        <w:rPr>
          <w:rFonts w:ascii="Arial" w:hAnsi="Arial" w:cs="Arial"/>
          <w:color w:val="555555"/>
          <w:sz w:val="20"/>
          <w:szCs w:val="20"/>
        </w:rPr>
        <w:t>DOI:</w:t>
      </w:r>
      <w:hyperlink r:id="rId15">
        <w:r w:rsidRPr="00A9631C">
          <w:rPr>
            <w:rFonts w:ascii="Arial" w:hAnsi="Arial" w:cs="Arial"/>
            <w:color w:val="1155CC"/>
            <w:sz w:val="20"/>
            <w:szCs w:val="20"/>
            <w:u w:val="single"/>
          </w:rPr>
          <w:t>10.7334/psicothema2018.147</w:t>
        </w:r>
      </w:hyperlink>
      <w:r w:rsidRPr="00A9631C">
        <w:rPr>
          <w:rFonts w:ascii="Arial" w:hAnsi="Arial" w:cs="Arial"/>
          <w:sz w:val="20"/>
          <w:szCs w:val="20"/>
        </w:rPr>
        <w:t xml:space="preserve"> </w:t>
      </w:r>
    </w:p>
    <w:p w14:paraId="0B399291"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Goleman, D. (1998). Working with emotional intelligence. Bantam Books. </w:t>
      </w:r>
    </w:p>
    <w:p w14:paraId="3AB879F3"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Gross, J. J. (1998). The emerging field of emotion regulation: An integrative review. Review of General Psychology, 2(3), 271–299. </w:t>
      </w:r>
      <w:hyperlink r:id="rId16">
        <w:r w:rsidRPr="00A9631C">
          <w:rPr>
            <w:rFonts w:ascii="Arial" w:hAnsi="Arial" w:cs="Arial"/>
            <w:color w:val="1155CC"/>
            <w:sz w:val="20"/>
            <w:szCs w:val="20"/>
            <w:u w:val="single"/>
          </w:rPr>
          <w:t>https://doi.org/10.1037/1089-2680.2.3.271</w:t>
        </w:r>
      </w:hyperlink>
      <w:r w:rsidRPr="00A9631C">
        <w:rPr>
          <w:rFonts w:ascii="Arial" w:hAnsi="Arial" w:cs="Arial"/>
          <w:sz w:val="20"/>
          <w:szCs w:val="20"/>
        </w:rPr>
        <w:t xml:space="preserve"> </w:t>
      </w:r>
    </w:p>
    <w:p w14:paraId="522B3EBC"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Hair, J. F., Risher, J. J., Sarstedt, M., &amp; Ringle, C. M. (2019). When to use and how to report results of PLS-SEM. European Business Review, 31(1), 2–24. </w:t>
      </w:r>
      <w:hyperlink r:id="rId17">
        <w:r w:rsidRPr="00A9631C">
          <w:rPr>
            <w:rFonts w:ascii="Arial" w:hAnsi="Arial" w:cs="Arial"/>
            <w:color w:val="1155CC"/>
            <w:sz w:val="20"/>
            <w:szCs w:val="20"/>
            <w:u w:val="single"/>
          </w:rPr>
          <w:t>https://doi.org/10.1108/EBR-11-2018-0203</w:t>
        </w:r>
      </w:hyperlink>
      <w:r w:rsidRPr="00A9631C">
        <w:rPr>
          <w:rFonts w:ascii="Arial" w:hAnsi="Arial" w:cs="Arial"/>
          <w:sz w:val="20"/>
          <w:szCs w:val="20"/>
        </w:rPr>
        <w:t xml:space="preserve"> </w:t>
      </w:r>
    </w:p>
    <w:p w14:paraId="60129BDF"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Henseler, J., Ringle, C. M., &amp; Sarstedt, M. (2015). A new criterion for assessing discriminant validity in variance-based structural equation modeling. Journal of the Academy of Marketing Science, 43(1), 115–135. </w:t>
      </w:r>
      <w:hyperlink r:id="rId18">
        <w:r w:rsidRPr="00A9631C">
          <w:rPr>
            <w:rFonts w:ascii="Arial" w:hAnsi="Arial" w:cs="Arial"/>
            <w:color w:val="1155CC"/>
            <w:sz w:val="20"/>
            <w:szCs w:val="20"/>
            <w:u w:val="single"/>
          </w:rPr>
          <w:t>https://doi.org/10.1007/s11747-014-0403-8</w:t>
        </w:r>
      </w:hyperlink>
      <w:r w:rsidRPr="00A9631C">
        <w:rPr>
          <w:rFonts w:ascii="Arial" w:hAnsi="Arial" w:cs="Arial"/>
          <w:sz w:val="20"/>
          <w:szCs w:val="20"/>
        </w:rPr>
        <w:t xml:space="preserve"> </w:t>
      </w:r>
    </w:p>
    <w:p w14:paraId="44F2913A" w14:textId="77777777" w:rsidR="004F6CC9" w:rsidRPr="00A9631C" w:rsidRDefault="004F6CC9">
      <w:pPr>
        <w:numPr>
          <w:ilvl w:val="0"/>
          <w:numId w:val="1"/>
        </w:numPr>
        <w:spacing w:line="360" w:lineRule="auto"/>
        <w:jc w:val="both"/>
        <w:rPr>
          <w:rFonts w:ascii="Arial" w:hAnsi="Arial" w:cs="Arial"/>
          <w:sz w:val="20"/>
          <w:szCs w:val="20"/>
        </w:rPr>
      </w:pPr>
      <w:proofErr w:type="spellStart"/>
      <w:r w:rsidRPr="00A9631C">
        <w:rPr>
          <w:rFonts w:ascii="Arial" w:hAnsi="Arial" w:cs="Arial"/>
          <w:sz w:val="20"/>
          <w:szCs w:val="20"/>
        </w:rPr>
        <w:t>Hobfoll</w:t>
      </w:r>
      <w:proofErr w:type="spellEnd"/>
      <w:r w:rsidRPr="00A9631C">
        <w:rPr>
          <w:rFonts w:ascii="Arial" w:hAnsi="Arial" w:cs="Arial"/>
          <w:sz w:val="20"/>
          <w:szCs w:val="20"/>
        </w:rPr>
        <w:t xml:space="preserve">, S. E. (1989). Conservation of resources: A new attempt at conceptualizing stress. American Psychologist, 44(3), 513–524. </w:t>
      </w:r>
      <w:hyperlink r:id="rId19">
        <w:r w:rsidRPr="00A9631C">
          <w:rPr>
            <w:rFonts w:ascii="Arial" w:hAnsi="Arial" w:cs="Arial"/>
            <w:color w:val="1155CC"/>
            <w:sz w:val="20"/>
            <w:szCs w:val="20"/>
            <w:u w:val="single"/>
          </w:rPr>
          <w:t>https://doi.org/10.1037/0003-066X.44.3.513</w:t>
        </w:r>
      </w:hyperlink>
      <w:r w:rsidRPr="00A9631C">
        <w:rPr>
          <w:rFonts w:ascii="Arial" w:hAnsi="Arial" w:cs="Arial"/>
          <w:sz w:val="20"/>
          <w:szCs w:val="20"/>
        </w:rPr>
        <w:t xml:space="preserve"> </w:t>
      </w:r>
    </w:p>
    <w:p w14:paraId="28BA4865"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Joseph, D. L., &amp; Newman, D. A. (2010). Emotional intelligence: An integrative meta-analysis and cascading model. Journal of Applied Psychology, 95(1), 54–78. </w:t>
      </w:r>
      <w:hyperlink r:id="rId20">
        <w:r w:rsidRPr="00A9631C">
          <w:rPr>
            <w:rFonts w:ascii="Arial" w:hAnsi="Arial" w:cs="Arial"/>
            <w:color w:val="1155CC"/>
            <w:sz w:val="20"/>
            <w:szCs w:val="20"/>
            <w:u w:val="single"/>
          </w:rPr>
          <w:t>https://doi.org/10.1037/a0017286</w:t>
        </w:r>
      </w:hyperlink>
      <w:r w:rsidRPr="00A9631C">
        <w:rPr>
          <w:rFonts w:ascii="Arial" w:hAnsi="Arial" w:cs="Arial"/>
          <w:sz w:val="20"/>
          <w:szCs w:val="20"/>
        </w:rPr>
        <w:t xml:space="preserve"> </w:t>
      </w:r>
    </w:p>
    <w:p w14:paraId="0D781ADE"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highlight w:val="white"/>
        </w:rPr>
        <w:t xml:space="preserve">Kaur, J., &amp; Sharma, A. (2019). Emotional Intelligence and Work Performance. </w:t>
      </w:r>
      <w:r w:rsidRPr="00A9631C">
        <w:rPr>
          <w:rFonts w:ascii="Arial" w:hAnsi="Arial" w:cs="Arial"/>
          <w:i/>
          <w:iCs/>
          <w:sz w:val="20"/>
          <w:szCs w:val="20"/>
        </w:rPr>
        <w:t>International Journal of Recent Technology and Engineering</w:t>
      </w:r>
      <w:r w:rsidRPr="00A9631C">
        <w:rPr>
          <w:rFonts w:ascii="Arial" w:hAnsi="Arial" w:cs="Arial"/>
          <w:sz w:val="20"/>
          <w:szCs w:val="20"/>
          <w:highlight w:val="white"/>
        </w:rPr>
        <w:t xml:space="preserve">. </w:t>
      </w:r>
      <w:r w:rsidRPr="00A9631C">
        <w:rPr>
          <w:rFonts w:ascii="Arial" w:hAnsi="Arial" w:cs="Arial"/>
          <w:color w:val="1C4587"/>
          <w:sz w:val="20"/>
          <w:szCs w:val="20"/>
          <w:highlight w:val="white"/>
        </w:rPr>
        <w:t>DOI:</w:t>
      </w:r>
      <w:hyperlink r:id="rId21">
        <w:r w:rsidRPr="00A9631C">
          <w:rPr>
            <w:rFonts w:ascii="Arial" w:hAnsi="Arial" w:cs="Arial"/>
            <w:color w:val="1C4587"/>
            <w:sz w:val="20"/>
            <w:szCs w:val="20"/>
            <w:highlight w:val="white"/>
          </w:rPr>
          <w:t>10.35940/</w:t>
        </w:r>
        <w:proofErr w:type="gramStart"/>
        <w:r w:rsidRPr="00A9631C">
          <w:rPr>
            <w:rFonts w:ascii="Arial" w:hAnsi="Arial" w:cs="Arial"/>
            <w:color w:val="1C4587"/>
            <w:sz w:val="20"/>
            <w:szCs w:val="20"/>
            <w:highlight w:val="white"/>
          </w:rPr>
          <w:t>ijrte.b</w:t>
        </w:r>
        <w:proofErr w:type="gramEnd"/>
        <w:r w:rsidRPr="00A9631C">
          <w:rPr>
            <w:rFonts w:ascii="Arial" w:hAnsi="Arial" w:cs="Arial"/>
            <w:color w:val="1C4587"/>
            <w:sz w:val="20"/>
            <w:szCs w:val="20"/>
            <w:highlight w:val="white"/>
          </w:rPr>
          <w:t>1301.0782s319</w:t>
        </w:r>
      </w:hyperlink>
      <w:r w:rsidRPr="00A9631C">
        <w:rPr>
          <w:rFonts w:ascii="Arial" w:hAnsi="Arial" w:cs="Arial"/>
          <w:color w:val="1C4587"/>
          <w:sz w:val="20"/>
          <w:szCs w:val="20"/>
          <w:highlight w:val="white"/>
        </w:rPr>
        <w:t xml:space="preserve">  </w:t>
      </w:r>
    </w:p>
    <w:p w14:paraId="53AB77C3"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Kock, N. (2015). Common method bias in PLS-SEM: A full collinearity assessment approach. International Journal of e-Collaboration, 11(4), 1–10. </w:t>
      </w:r>
      <w:hyperlink r:id="rId22">
        <w:r w:rsidRPr="00A9631C">
          <w:rPr>
            <w:rFonts w:ascii="Arial" w:hAnsi="Arial" w:cs="Arial"/>
            <w:color w:val="1155CC"/>
            <w:sz w:val="20"/>
            <w:szCs w:val="20"/>
            <w:u w:val="single"/>
          </w:rPr>
          <w:t>https://doi.org/10.4018/ijec.2015100101</w:t>
        </w:r>
      </w:hyperlink>
      <w:r w:rsidRPr="00A9631C">
        <w:rPr>
          <w:rFonts w:ascii="Arial" w:hAnsi="Arial" w:cs="Arial"/>
          <w:sz w:val="20"/>
          <w:szCs w:val="20"/>
        </w:rPr>
        <w:t xml:space="preserve"> </w:t>
      </w:r>
    </w:p>
    <w:p w14:paraId="741E47C2"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Koopmans, L., </w:t>
      </w:r>
      <w:proofErr w:type="spellStart"/>
      <w:r w:rsidRPr="00A9631C">
        <w:rPr>
          <w:rFonts w:ascii="Arial" w:hAnsi="Arial" w:cs="Arial"/>
          <w:sz w:val="20"/>
          <w:szCs w:val="20"/>
        </w:rPr>
        <w:t>Bernaards</w:t>
      </w:r>
      <w:proofErr w:type="spellEnd"/>
      <w:r w:rsidRPr="00A9631C">
        <w:rPr>
          <w:rFonts w:ascii="Arial" w:hAnsi="Arial" w:cs="Arial"/>
          <w:sz w:val="20"/>
          <w:szCs w:val="20"/>
        </w:rPr>
        <w:t xml:space="preserve">, C. M., Hildebrandt, V. H., Schaufeli, W. B., de Vet, H. C. W., &amp; van der Beek, A. J. (2014). Construct validity of the individual work performance questionnaire. Journal of Occupational and Environmental Medicine, 56(3), 331–337. </w:t>
      </w:r>
      <w:hyperlink r:id="rId23">
        <w:r w:rsidRPr="00A9631C">
          <w:rPr>
            <w:rFonts w:ascii="Arial" w:hAnsi="Arial" w:cs="Arial"/>
            <w:color w:val="1155CC"/>
            <w:sz w:val="20"/>
            <w:szCs w:val="20"/>
            <w:u w:val="single"/>
          </w:rPr>
          <w:t>https://doi.org/10.1097/JOM.0000000000000113</w:t>
        </w:r>
      </w:hyperlink>
      <w:r w:rsidRPr="00A9631C">
        <w:rPr>
          <w:rFonts w:ascii="Arial" w:hAnsi="Arial" w:cs="Arial"/>
          <w:sz w:val="20"/>
          <w:szCs w:val="20"/>
        </w:rPr>
        <w:t xml:space="preserve"> </w:t>
      </w:r>
    </w:p>
    <w:p w14:paraId="48B3C819"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Mayer, J. D., Salovey, P., &amp; Caruso, D. R. (2004). Emotional intelligence: Theory, findings, and implications. Psychological Inquiry, 15(3), 197–215. </w:t>
      </w:r>
      <w:hyperlink r:id="rId24">
        <w:r w:rsidRPr="00A9631C">
          <w:rPr>
            <w:rFonts w:ascii="Arial" w:hAnsi="Arial" w:cs="Arial"/>
            <w:color w:val="1155CC"/>
            <w:sz w:val="20"/>
            <w:szCs w:val="20"/>
            <w:u w:val="single"/>
          </w:rPr>
          <w:t>https://doi.org/10.1207/s15327965pli1503_02</w:t>
        </w:r>
      </w:hyperlink>
      <w:r w:rsidRPr="00A9631C">
        <w:rPr>
          <w:rFonts w:ascii="Arial" w:hAnsi="Arial" w:cs="Arial"/>
          <w:sz w:val="20"/>
          <w:szCs w:val="20"/>
        </w:rPr>
        <w:t xml:space="preserve"> </w:t>
      </w:r>
    </w:p>
    <w:p w14:paraId="34105334"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lastRenderedPageBreak/>
        <w:t>Miao, C., Humphrey, R. H., &amp; Qian, S. (2020). The cross-cultural moderators of the influence of emotional intelligence on organizational citizenship behavior and counterproductive work behavior. Human Resource Development Review, 17(2), 105–128.</w:t>
      </w:r>
      <w:r w:rsidRPr="00A9631C">
        <w:rPr>
          <w:rFonts w:ascii="Arial" w:hAnsi="Arial" w:cs="Arial"/>
          <w:color w:val="1155CC"/>
          <w:sz w:val="20"/>
          <w:szCs w:val="20"/>
        </w:rPr>
        <w:t xml:space="preserve"> </w:t>
      </w:r>
      <w:r w:rsidRPr="00A9631C">
        <w:rPr>
          <w:rFonts w:ascii="Arial" w:hAnsi="Arial" w:cs="Arial"/>
          <w:color w:val="1155CC"/>
          <w:sz w:val="20"/>
          <w:szCs w:val="20"/>
          <w:highlight w:val="white"/>
        </w:rPr>
        <w:t>DOI:</w:t>
      </w:r>
      <w:hyperlink r:id="rId25">
        <w:r w:rsidRPr="00A9631C">
          <w:rPr>
            <w:rFonts w:ascii="Arial" w:hAnsi="Arial" w:cs="Arial"/>
            <w:color w:val="1155CC"/>
            <w:sz w:val="20"/>
            <w:szCs w:val="20"/>
            <w:highlight w:val="white"/>
            <w:u w:val="single"/>
          </w:rPr>
          <w:t>10.1002/hrdq.21385</w:t>
        </w:r>
      </w:hyperlink>
      <w:r w:rsidRPr="00A9631C">
        <w:rPr>
          <w:rFonts w:ascii="Arial" w:hAnsi="Arial" w:cs="Arial"/>
          <w:sz w:val="20"/>
          <w:szCs w:val="20"/>
        </w:rPr>
        <w:t xml:space="preserve">   </w:t>
      </w:r>
    </w:p>
    <w:p w14:paraId="7154CFD9"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O'Boyle, E. H., Humphrey, R. H., Pollack, J. M., Hawver, T. H., &amp; Story, P. A. (2011). The relation between emotional intelligence and job performance: A meta-analysis. Journal of Organizational Behavior, 32(5), 788–818. </w:t>
      </w:r>
      <w:hyperlink r:id="rId26">
        <w:r w:rsidRPr="00A9631C">
          <w:rPr>
            <w:rFonts w:ascii="Arial" w:hAnsi="Arial" w:cs="Arial"/>
            <w:color w:val="1155CC"/>
            <w:sz w:val="20"/>
            <w:szCs w:val="20"/>
            <w:u w:val="single"/>
          </w:rPr>
          <w:t>https://doi.org/10.1002/job.714</w:t>
        </w:r>
      </w:hyperlink>
      <w:r w:rsidRPr="00A9631C">
        <w:rPr>
          <w:rFonts w:ascii="Arial" w:hAnsi="Arial" w:cs="Arial"/>
          <w:sz w:val="20"/>
          <w:szCs w:val="20"/>
        </w:rPr>
        <w:t xml:space="preserve"> </w:t>
      </w:r>
    </w:p>
    <w:p w14:paraId="5DB6AF7E" w14:textId="77777777" w:rsidR="004F6CC9" w:rsidRPr="00A9631C" w:rsidRDefault="004F6CC9" w:rsidP="0053233E">
      <w:pPr>
        <w:numPr>
          <w:ilvl w:val="0"/>
          <w:numId w:val="1"/>
        </w:numPr>
        <w:spacing w:after="130" w:line="360" w:lineRule="auto"/>
        <w:jc w:val="both"/>
        <w:rPr>
          <w:rFonts w:ascii="Arial" w:hAnsi="Arial" w:cs="Arial"/>
          <w:color w:val="1155CC"/>
          <w:sz w:val="20"/>
          <w:szCs w:val="20"/>
          <w:u w:val="single"/>
        </w:rPr>
      </w:pPr>
      <w:r w:rsidRPr="00A9631C">
        <w:rPr>
          <w:rFonts w:ascii="Arial" w:hAnsi="Arial" w:cs="Arial"/>
          <w:sz w:val="20"/>
          <w:szCs w:val="20"/>
        </w:rPr>
        <w:t>Qureshi RA, Dada ZA, Bhat WA, Soudager MA (2025), "Modelling halal tourism as a reflective–reflective second-order construct: linking attributes to tourist outcomes using structural model analysis". </w:t>
      </w:r>
      <w:r w:rsidRPr="00A9631C">
        <w:rPr>
          <w:rFonts w:ascii="Arial" w:hAnsi="Arial" w:cs="Arial"/>
          <w:i/>
          <w:iCs/>
          <w:sz w:val="20"/>
          <w:szCs w:val="20"/>
        </w:rPr>
        <w:t>Journal of Islamic Marketing</w:t>
      </w:r>
      <w:r w:rsidRPr="00A9631C">
        <w:rPr>
          <w:rFonts w:ascii="Arial" w:hAnsi="Arial" w:cs="Arial"/>
          <w:sz w:val="20"/>
          <w:szCs w:val="20"/>
        </w:rPr>
        <w:t xml:space="preserve">, Vol. 16 No. 10 pp. 2733–2780, </w:t>
      </w:r>
      <w:proofErr w:type="spellStart"/>
      <w:r w:rsidRPr="00A9631C">
        <w:rPr>
          <w:rFonts w:ascii="Arial" w:hAnsi="Arial" w:cs="Arial"/>
          <w:sz w:val="20"/>
          <w:szCs w:val="20"/>
        </w:rPr>
        <w:t>doi</w:t>
      </w:r>
      <w:proofErr w:type="spellEnd"/>
      <w:r w:rsidRPr="00A9631C">
        <w:rPr>
          <w:rFonts w:ascii="Arial" w:hAnsi="Arial" w:cs="Arial"/>
          <w:sz w:val="20"/>
          <w:szCs w:val="20"/>
        </w:rPr>
        <w:t>: </w:t>
      </w:r>
      <w:hyperlink r:id="rId27" w:tgtFrame="_blank" w:history="1">
        <w:r w:rsidRPr="00A9631C">
          <w:rPr>
            <w:rFonts w:ascii="Arial" w:hAnsi="Arial" w:cs="Arial"/>
            <w:color w:val="1155CC"/>
            <w:sz w:val="20"/>
            <w:szCs w:val="20"/>
            <w:u w:val="single"/>
          </w:rPr>
          <w:t>https://doi.org/10.1108/JIMA-07-2024-0289</w:t>
        </w:r>
      </w:hyperlink>
      <w:r w:rsidRPr="00A9631C">
        <w:rPr>
          <w:rFonts w:ascii="Arial" w:hAnsi="Arial" w:cs="Arial"/>
          <w:color w:val="1155CC"/>
          <w:sz w:val="20"/>
          <w:szCs w:val="20"/>
          <w:u w:val="single"/>
        </w:rPr>
        <w:t xml:space="preserve"> </w:t>
      </w:r>
    </w:p>
    <w:p w14:paraId="447751C2"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Sánchez-Álvarez, N., </w:t>
      </w:r>
      <w:proofErr w:type="spellStart"/>
      <w:r w:rsidRPr="00A9631C">
        <w:rPr>
          <w:rFonts w:ascii="Arial" w:hAnsi="Arial" w:cs="Arial"/>
          <w:sz w:val="20"/>
          <w:szCs w:val="20"/>
        </w:rPr>
        <w:t>Extremera</w:t>
      </w:r>
      <w:proofErr w:type="spellEnd"/>
      <w:r w:rsidRPr="00A9631C">
        <w:rPr>
          <w:rFonts w:ascii="Arial" w:hAnsi="Arial" w:cs="Arial"/>
          <w:sz w:val="20"/>
          <w:szCs w:val="20"/>
        </w:rPr>
        <w:t xml:space="preserve">, N., &amp; Fernández-Berrocal, P. (2020). The relation between emotional intelligence and subjective well-being: A meta-analytic investigation. Journal of Positive Psychology, 11(3), 276–285. </w:t>
      </w:r>
      <w:hyperlink r:id="rId28">
        <w:r w:rsidRPr="00A9631C">
          <w:rPr>
            <w:rFonts w:ascii="Arial" w:hAnsi="Arial" w:cs="Arial"/>
            <w:color w:val="1155CC"/>
            <w:sz w:val="20"/>
            <w:szCs w:val="20"/>
            <w:u w:val="single"/>
          </w:rPr>
          <w:t>https://doi.org/10.3389/fpsyg.2020.01517</w:t>
        </w:r>
      </w:hyperlink>
      <w:r w:rsidRPr="00A9631C">
        <w:rPr>
          <w:rFonts w:ascii="Arial" w:hAnsi="Arial" w:cs="Arial"/>
          <w:sz w:val="20"/>
          <w:szCs w:val="20"/>
        </w:rPr>
        <w:t xml:space="preserve"> </w:t>
      </w:r>
    </w:p>
    <w:p w14:paraId="30886947" w14:textId="77777777" w:rsidR="004F6CC9" w:rsidRPr="00A9631C" w:rsidRDefault="004F6CC9" w:rsidP="0053233E">
      <w:pPr>
        <w:numPr>
          <w:ilvl w:val="0"/>
          <w:numId w:val="1"/>
        </w:numPr>
        <w:spacing w:after="130" w:line="360" w:lineRule="auto"/>
        <w:jc w:val="both"/>
        <w:rPr>
          <w:rFonts w:ascii="Arial" w:hAnsi="Arial" w:cs="Arial"/>
          <w:sz w:val="20"/>
          <w:szCs w:val="20"/>
        </w:rPr>
      </w:pPr>
      <w:r w:rsidRPr="00A9631C">
        <w:rPr>
          <w:rFonts w:ascii="Arial" w:hAnsi="Arial" w:cs="Arial"/>
          <w:sz w:val="20"/>
          <w:szCs w:val="20"/>
        </w:rPr>
        <w:t>Wani, M. D., Dada, Z. A., Bhat, W. A., &amp; Shah, S. A. (2025). Community-driven ecotourism in the trans Himalayan region: A sustainable model for cultural and environmental preservation. Community Development, 56(4), 560-582.</w:t>
      </w:r>
    </w:p>
    <w:p w14:paraId="7C3B8E8C" w14:textId="77777777" w:rsidR="004F6CC9" w:rsidRPr="00A9631C" w:rsidRDefault="004F6CC9">
      <w:pPr>
        <w:numPr>
          <w:ilvl w:val="0"/>
          <w:numId w:val="1"/>
        </w:numPr>
        <w:spacing w:line="360" w:lineRule="auto"/>
        <w:jc w:val="both"/>
        <w:rPr>
          <w:rFonts w:ascii="Arial" w:hAnsi="Arial" w:cs="Arial"/>
          <w:sz w:val="20"/>
          <w:szCs w:val="20"/>
        </w:rPr>
      </w:pPr>
      <w:r w:rsidRPr="00A9631C">
        <w:rPr>
          <w:rFonts w:ascii="Arial" w:hAnsi="Arial" w:cs="Arial"/>
          <w:sz w:val="20"/>
          <w:szCs w:val="20"/>
        </w:rPr>
        <w:t xml:space="preserve">Wong, C. S., &amp; Law, K. S. (2002). The effects of leader and follower emotional intelligence on performance and attitude: An exploratory study. The Leadership Quarterly, 13(3), 243–274. </w:t>
      </w:r>
      <w:hyperlink r:id="rId29">
        <w:r w:rsidRPr="00A9631C">
          <w:rPr>
            <w:rFonts w:ascii="Arial" w:hAnsi="Arial" w:cs="Arial"/>
            <w:color w:val="1155CC"/>
            <w:sz w:val="20"/>
            <w:szCs w:val="20"/>
            <w:u w:val="single"/>
          </w:rPr>
          <w:t>https://doi.org/10.1016/S1048-9843(02)00099-1</w:t>
        </w:r>
      </w:hyperlink>
      <w:r w:rsidRPr="00A9631C">
        <w:rPr>
          <w:rFonts w:ascii="Arial" w:hAnsi="Arial" w:cs="Arial"/>
          <w:sz w:val="20"/>
          <w:szCs w:val="20"/>
        </w:rPr>
        <w:t xml:space="preserve"> </w:t>
      </w:r>
    </w:p>
    <w:p w14:paraId="13D89530" w14:textId="77777777" w:rsidR="004F6CC9" w:rsidRPr="00A9631C" w:rsidRDefault="004F6CC9">
      <w:pPr>
        <w:numPr>
          <w:ilvl w:val="0"/>
          <w:numId w:val="1"/>
        </w:numPr>
        <w:spacing w:after="130" w:line="360" w:lineRule="auto"/>
        <w:jc w:val="both"/>
        <w:rPr>
          <w:rFonts w:ascii="Arial" w:hAnsi="Arial" w:cs="Arial"/>
          <w:sz w:val="20"/>
          <w:szCs w:val="20"/>
        </w:rPr>
      </w:pPr>
      <w:r w:rsidRPr="00A9631C">
        <w:rPr>
          <w:rFonts w:ascii="Arial" w:hAnsi="Arial" w:cs="Arial"/>
          <w:sz w:val="20"/>
          <w:szCs w:val="20"/>
        </w:rPr>
        <w:t xml:space="preserve">Yousuf, A., &amp; Mir, A. (2024). Emotional intelligence and organizational outcomes in Jammu and Kashmir higher education. SSRN. </w:t>
      </w:r>
      <w:hyperlink r:id="rId30">
        <w:r w:rsidRPr="00A9631C">
          <w:rPr>
            <w:rFonts w:ascii="Arial" w:hAnsi="Arial" w:cs="Arial"/>
            <w:color w:val="1155CC"/>
            <w:sz w:val="20"/>
            <w:szCs w:val="20"/>
            <w:u w:val="single"/>
          </w:rPr>
          <w:t>https://papers.ssrn.com/sol3/papers.cfm?abstract_id=5330130</w:t>
        </w:r>
      </w:hyperlink>
      <w:r w:rsidRPr="00A9631C">
        <w:rPr>
          <w:rFonts w:ascii="Arial" w:hAnsi="Arial" w:cs="Arial"/>
          <w:sz w:val="20"/>
          <w:szCs w:val="20"/>
        </w:rPr>
        <w:t xml:space="preserve"> </w:t>
      </w:r>
    </w:p>
    <w:sectPr w:rsidR="004F6CC9" w:rsidRPr="00A9631C">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B17C9" w14:textId="77777777" w:rsidR="00BD3BC5" w:rsidRDefault="00BD3BC5">
      <w:r>
        <w:separator/>
      </w:r>
    </w:p>
  </w:endnote>
  <w:endnote w:type="continuationSeparator" w:id="0">
    <w:p w14:paraId="06650882" w14:textId="77777777" w:rsidR="00BD3BC5" w:rsidRDefault="00BD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6AA4B8C-43C6-4A21-8793-6543DC0464D1}"/>
  </w:font>
  <w:font w:name="Arial">
    <w:panose1 w:val="020B0604020202020204"/>
    <w:charset w:val="00"/>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rdo">
    <w:charset w:val="00"/>
    <w:family w:val="auto"/>
    <w:pitch w:val="default"/>
    <w:embedRegular r:id="rId2" w:fontKey="{57814AB0-2FA8-412B-A696-0EE973819593}"/>
  </w:font>
  <w:font w:name="Segoe UI Symbol">
    <w:panose1 w:val="020B0502040204020203"/>
    <w:charset w:val="00"/>
    <w:family w:val="swiss"/>
    <w:pitch w:val="variable"/>
    <w:sig w:usb0="800001E3" w:usb1="1200FFEF" w:usb2="00040000" w:usb3="00000000" w:csb0="00000001" w:csb1="00000000"/>
    <w:embedBold r:id="rId3" w:fontKey="{05C8E37E-A52A-4B7A-BE21-6FFC32C39E34}"/>
    <w:embedItalic r:id="rId4" w:fontKey="{8DB3D660-8FDF-4636-A17F-17A9232CD993}"/>
  </w:font>
  <w:font w:name="Arial Unicode MS">
    <w:panose1 w:val="020B0604020202020204"/>
    <w:charset w:val="00"/>
    <w:family w:val="auto"/>
    <w:pitch w:val="default"/>
  </w:font>
  <w:font w:name="Calibri">
    <w:panose1 w:val="020F0502020204030204"/>
    <w:charset w:val="00"/>
    <w:family w:val="swiss"/>
    <w:pitch w:val="variable"/>
    <w:sig w:usb0="E0002AFF" w:usb1="4000ACFF" w:usb2="00000001" w:usb3="00000000" w:csb0="000001FF" w:csb1="00000000"/>
    <w:embedRegular r:id="rId5" w:fontKey="{912F5F10-4231-40E0-93B9-7396DB63B979}"/>
  </w:font>
  <w:font w:name="Cambria">
    <w:panose1 w:val="02040503050406030204"/>
    <w:charset w:val="00"/>
    <w:family w:val="roman"/>
    <w:pitch w:val="variable"/>
    <w:sig w:usb0="E00006FF" w:usb1="420024FF" w:usb2="02000000" w:usb3="00000000" w:csb0="0000019F" w:csb1="00000000"/>
    <w:embedRegular r:id="rId6" w:fontKey="{EC33A467-09E8-44F8-9F69-EFD9D50A4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7EC6B" w14:textId="77777777" w:rsidR="00535910" w:rsidRDefault="00535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93EF" w14:textId="7D56D16C" w:rsidR="00BF67C6" w:rsidRDefault="00895664">
    <w:pPr>
      <w:pBdr>
        <w:top w:val="single" w:sz="4" w:space="4" w:color="2B5A8A"/>
      </w:pBdr>
      <w:spacing w:before="60"/>
      <w:jc w:val="center"/>
    </w:pPr>
    <w:r>
      <w:rPr>
        <w:color w:val="555555"/>
        <w:sz w:val="20"/>
        <w:szCs w:val="20"/>
      </w:rPr>
      <w:fldChar w:fldCharType="begin"/>
    </w:r>
    <w:r>
      <w:rPr>
        <w:color w:val="555555"/>
        <w:sz w:val="20"/>
        <w:szCs w:val="20"/>
      </w:rPr>
      <w:instrText>PAGE</w:instrText>
    </w:r>
    <w:r>
      <w:rPr>
        <w:color w:val="555555"/>
        <w:sz w:val="20"/>
        <w:szCs w:val="20"/>
      </w:rPr>
      <w:fldChar w:fldCharType="separate"/>
    </w:r>
    <w:r w:rsidR="00A9631C">
      <w:rPr>
        <w:noProof/>
        <w:color w:val="555555"/>
        <w:sz w:val="20"/>
        <w:szCs w:val="20"/>
      </w:rPr>
      <w:t>1</w:t>
    </w:r>
    <w:r>
      <w:rPr>
        <w:color w:val="555555"/>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23E6" w14:textId="77777777" w:rsidR="00535910" w:rsidRDefault="00535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92835" w14:textId="77777777" w:rsidR="00BD3BC5" w:rsidRDefault="00BD3BC5">
      <w:r>
        <w:separator/>
      </w:r>
    </w:p>
  </w:footnote>
  <w:footnote w:type="continuationSeparator" w:id="0">
    <w:p w14:paraId="67F467E4" w14:textId="77777777" w:rsidR="00BD3BC5" w:rsidRDefault="00BD3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538B" w14:textId="5C6A22A4" w:rsidR="00535910" w:rsidRDefault="00535910">
    <w:pPr>
      <w:pStyle w:val="Header"/>
    </w:pPr>
    <w:r>
      <w:rPr>
        <w:noProof/>
      </w:rPr>
      <w:pict w14:anchorId="62F7E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29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A2F08" w14:textId="7EFCF566" w:rsidR="00BF67C6" w:rsidRDefault="00535910">
    <w:pPr>
      <w:pBdr>
        <w:bottom w:val="single" w:sz="4" w:space="4" w:color="2B5A8A"/>
      </w:pBdr>
      <w:spacing w:after="100"/>
      <w:jc w:val="right"/>
      <w:rPr>
        <w:color w:val="555555"/>
        <w:sz w:val="18"/>
        <w:szCs w:val="18"/>
      </w:rPr>
    </w:pPr>
    <w:r>
      <w:rPr>
        <w:noProof/>
      </w:rPr>
      <w:pict w14:anchorId="087EAE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29267"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F1300" w14:textId="746CD0AE" w:rsidR="00535910" w:rsidRDefault="00535910">
    <w:pPr>
      <w:pStyle w:val="Header"/>
    </w:pPr>
    <w:r>
      <w:rPr>
        <w:noProof/>
      </w:rPr>
      <w:pict w14:anchorId="25BA3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29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492"/>
    <w:multiLevelType w:val="multilevel"/>
    <w:tmpl w:val="C7F81E66"/>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7C6"/>
    <w:rsid w:val="0003183F"/>
    <w:rsid w:val="001C0FEA"/>
    <w:rsid w:val="00354AB7"/>
    <w:rsid w:val="00387B3E"/>
    <w:rsid w:val="00455E1F"/>
    <w:rsid w:val="004F6CC9"/>
    <w:rsid w:val="0053233E"/>
    <w:rsid w:val="00535910"/>
    <w:rsid w:val="00895664"/>
    <w:rsid w:val="00902C3F"/>
    <w:rsid w:val="00903B12"/>
    <w:rsid w:val="00A9631C"/>
    <w:rsid w:val="00AA74AD"/>
    <w:rsid w:val="00BD3BC5"/>
    <w:rsid w:val="00BF67C6"/>
    <w:rsid w:val="00D312F3"/>
    <w:rsid w:val="00E10D86"/>
    <w:rsid w:val="00FE0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F0DFBC"/>
  <w15:docId w15:val="{3A1B47B7-1D3D-4382-B6E0-EE10E3BC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200"/>
      <w:outlineLvl w:val="0"/>
    </w:pPr>
    <w:rPr>
      <w:b/>
      <w:bCs/>
      <w:color w:val="1A365D"/>
      <w:sz w:val="30"/>
      <w:szCs w:val="30"/>
    </w:rPr>
  </w:style>
  <w:style w:type="paragraph" w:styleId="Heading2">
    <w:name w:val="heading 2"/>
    <w:basedOn w:val="Normal"/>
    <w:next w:val="Normal"/>
    <w:uiPriority w:val="9"/>
    <w:unhideWhenUsed/>
    <w:qFormat/>
    <w:pPr>
      <w:pBdr>
        <w:top w:val="nil"/>
        <w:left w:val="nil"/>
        <w:bottom w:val="nil"/>
        <w:right w:val="nil"/>
        <w:between w:val="nil"/>
      </w:pBdr>
      <w:spacing w:before="300" w:after="140"/>
      <w:outlineLvl w:val="1"/>
    </w:pPr>
    <w:rPr>
      <w:b/>
      <w:bCs/>
      <w:color w:val="2B5A8A"/>
      <w:sz w:val="26"/>
      <w:szCs w:val="26"/>
    </w:rPr>
  </w:style>
  <w:style w:type="paragraph" w:styleId="Heading3">
    <w:name w:val="heading 3"/>
    <w:basedOn w:val="Normal"/>
    <w:next w:val="Normal"/>
    <w:uiPriority w:val="9"/>
    <w:unhideWhenUsed/>
    <w:qFormat/>
    <w:pPr>
      <w:pBdr>
        <w:top w:val="nil"/>
        <w:left w:val="nil"/>
        <w:bottom w:val="nil"/>
        <w:right w:val="nil"/>
        <w:between w:val="nil"/>
      </w:pBdr>
      <w:spacing w:before="220" w:after="100"/>
      <w:outlineLvl w:val="2"/>
    </w:pPr>
    <w:rPr>
      <w:b/>
      <w:bCs/>
      <w:i/>
      <w:iCs/>
      <w:color w:val="1A365D"/>
      <w:sz w:val="23"/>
      <w:szCs w:val="23"/>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customStyle="1" w:styleId="al-author-delim">
    <w:name w:val="al-author-delim"/>
    <w:basedOn w:val="DefaultParagraphFont"/>
    <w:rsid w:val="0053233E"/>
  </w:style>
  <w:style w:type="character" w:styleId="Emphasis">
    <w:name w:val="Emphasis"/>
    <w:basedOn w:val="DefaultParagraphFont"/>
    <w:uiPriority w:val="20"/>
    <w:qFormat/>
    <w:rsid w:val="0053233E"/>
    <w:rPr>
      <w:i/>
      <w:iCs/>
    </w:rPr>
  </w:style>
  <w:style w:type="character" w:styleId="Hyperlink">
    <w:name w:val="Hyperlink"/>
    <w:basedOn w:val="DefaultParagraphFont"/>
    <w:uiPriority w:val="99"/>
    <w:unhideWhenUsed/>
    <w:rsid w:val="0053233E"/>
    <w:rPr>
      <w:color w:val="0000FF"/>
      <w:u w:val="single"/>
    </w:rPr>
  </w:style>
  <w:style w:type="character" w:customStyle="1" w:styleId="UnresolvedMention1">
    <w:name w:val="Unresolved Mention1"/>
    <w:basedOn w:val="DefaultParagraphFont"/>
    <w:uiPriority w:val="99"/>
    <w:semiHidden/>
    <w:unhideWhenUsed/>
    <w:rsid w:val="00E10D86"/>
    <w:rPr>
      <w:color w:val="605E5C"/>
      <w:shd w:val="clear" w:color="auto" w:fill="E1DFDD"/>
    </w:rPr>
  </w:style>
  <w:style w:type="paragraph" w:styleId="Header">
    <w:name w:val="header"/>
    <w:basedOn w:val="Normal"/>
    <w:link w:val="HeaderChar"/>
    <w:uiPriority w:val="99"/>
    <w:unhideWhenUsed/>
    <w:rsid w:val="00387B3E"/>
    <w:pPr>
      <w:tabs>
        <w:tab w:val="center" w:pos="4513"/>
        <w:tab w:val="right" w:pos="9026"/>
      </w:tabs>
    </w:pPr>
  </w:style>
  <w:style w:type="character" w:customStyle="1" w:styleId="HeaderChar">
    <w:name w:val="Header Char"/>
    <w:basedOn w:val="DefaultParagraphFont"/>
    <w:link w:val="Header"/>
    <w:uiPriority w:val="99"/>
    <w:rsid w:val="00387B3E"/>
  </w:style>
  <w:style w:type="paragraph" w:styleId="Footer">
    <w:name w:val="footer"/>
    <w:basedOn w:val="Normal"/>
    <w:link w:val="FooterChar"/>
    <w:uiPriority w:val="99"/>
    <w:unhideWhenUsed/>
    <w:rsid w:val="00387B3E"/>
    <w:pPr>
      <w:tabs>
        <w:tab w:val="center" w:pos="4513"/>
        <w:tab w:val="right" w:pos="9026"/>
      </w:tabs>
    </w:pPr>
  </w:style>
  <w:style w:type="character" w:customStyle="1" w:styleId="FooterChar">
    <w:name w:val="Footer Char"/>
    <w:basedOn w:val="DefaultParagraphFont"/>
    <w:link w:val="Footer"/>
    <w:uiPriority w:val="99"/>
    <w:rsid w:val="00387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80/10371656.2024.2425489" TargetMode="External"/><Relationship Id="rId18" Type="http://schemas.openxmlformats.org/officeDocument/2006/relationships/hyperlink" Target="https://doi.org/10.1007/s11747-014-0403-8" TargetMode="External"/><Relationship Id="rId26" Type="http://schemas.openxmlformats.org/officeDocument/2006/relationships/hyperlink" Target="https://doi.org/10.1002/job.714" TargetMode="External"/><Relationship Id="rId21" Type="http://schemas.openxmlformats.org/officeDocument/2006/relationships/hyperlink" Target="https://doi.org/10.35940/ijrte.b1301.0782s319"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doi.org/10.1016/j.tate.2006.04.005" TargetMode="External"/><Relationship Id="rId17" Type="http://schemas.openxmlformats.org/officeDocument/2006/relationships/hyperlink" Target="https://doi.org/10.1108/EBR-11-2018-0203" TargetMode="External"/><Relationship Id="rId25" Type="http://schemas.openxmlformats.org/officeDocument/2006/relationships/hyperlink" Target="https://doi.org/10.1002/hrdq.21385?urlappend=%3Futm_source%3Dresearchgate.net%26utm_medium%3Darticl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37/1089-2680.2.3.271" TargetMode="External"/><Relationship Id="rId20" Type="http://schemas.openxmlformats.org/officeDocument/2006/relationships/hyperlink" Target="https://doi.org/10.1037/a0017286" TargetMode="External"/><Relationship Id="rId29" Type="http://schemas.openxmlformats.org/officeDocument/2006/relationships/hyperlink" Target="https://doi.org/10.1016/S1048-9843(02)0009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111/j.1751-9004.2010.00334.x" TargetMode="External"/><Relationship Id="rId24" Type="http://schemas.openxmlformats.org/officeDocument/2006/relationships/hyperlink" Target="https://doi.org/10.1207/s15327965pli1503_0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publication/330687022_Validation_of_the_Spanish_version_of_the_Wong_Law_Emotional_Intelligence_Scale_WLEIS-S" TargetMode="External"/><Relationship Id="rId23" Type="http://schemas.openxmlformats.org/officeDocument/2006/relationships/hyperlink" Target="https://doi.org/10.1097/JOM.0000000000000113" TargetMode="External"/><Relationship Id="rId28" Type="http://schemas.openxmlformats.org/officeDocument/2006/relationships/hyperlink" Target="https://doi.org/10.3389/fpsyg.2020.01517" TargetMode="External"/><Relationship Id="rId36" Type="http://schemas.openxmlformats.org/officeDocument/2006/relationships/footer" Target="footer3.xml"/><Relationship Id="rId10" Type="http://schemas.openxmlformats.org/officeDocument/2006/relationships/hyperlink" Target="https://doi.org/10.1080/1528008X.2025.2466050" TargetMode="External"/><Relationship Id="rId19" Type="http://schemas.openxmlformats.org/officeDocument/2006/relationships/hyperlink" Target="https://doi.org/10.1037/0003-066X.44.3.513"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80/15313220.2023.2267488" TargetMode="External"/><Relationship Id="rId14" Type="http://schemas.openxmlformats.org/officeDocument/2006/relationships/hyperlink" Target="https://scholar.google.com/scholar?oi=bibs&amp;cluster=8138076661910487593&amp;btnI=1&amp;hl=en" TargetMode="External"/><Relationship Id="rId22" Type="http://schemas.openxmlformats.org/officeDocument/2006/relationships/hyperlink" Target="https://doi.org/10.4018/ijec.2015100101" TargetMode="External"/><Relationship Id="rId27" Type="http://schemas.openxmlformats.org/officeDocument/2006/relationships/hyperlink" Target="https://doi.org/10.1108/JIMA-07-2024-0289" TargetMode="External"/><Relationship Id="rId30" Type="http://schemas.openxmlformats.org/officeDocument/2006/relationships/hyperlink" Target="https://papers.ssrn.com/sol3/papers.cfm?abstract_id=5330130" TargetMode="External"/><Relationship Id="rId35" Type="http://schemas.openxmlformats.org/officeDocument/2006/relationships/header" Target="header3.xml"/><Relationship Id="rId8" Type="http://schemas.openxmlformats.org/officeDocument/2006/relationships/hyperlink" Target="https://doi.org/10.1037/0033-2909.103.3.411"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6169</Words>
  <Characters>35166</Characters>
  <Application>Microsoft Office Word</Application>
  <DocSecurity>0</DocSecurity>
  <Lines>293</Lines>
  <Paragraphs>82</Paragraphs>
  <ScaleCrop>false</ScaleCrop>
  <Company/>
  <LinksUpToDate>false</LinksUpToDate>
  <CharactersWithSpaces>41253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ABIHA WASEEM</dc:creator>
  <cp:lastModifiedBy>SDI 1166</cp:lastModifiedBy>
  <cp:revision>6</cp:revision>
  <dcterms:created xsi:type="dcterms:W3CDTF">2026-04-05T08:39:00Z</dcterms:created>
  <dcterms:modified xsi:type="dcterms:W3CDTF">2026-04-07T09:54:00Z</dcterms:modified>
</cp:coreProperties>
</file>