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9220A" w14:textId="77777777" w:rsidR="007A778C" w:rsidRDefault="007A778C" w:rsidP="000C75B4">
      <w:pPr>
        <w:pStyle w:val="Standard"/>
        <w:spacing w:after="0" w:line="240" w:lineRule="auto"/>
        <w:jc w:val="right"/>
        <w:rPr>
          <w:rFonts w:ascii="Arial" w:hAnsi="Arial" w:cs="Times New Roman"/>
          <w:b/>
          <w:bCs/>
          <w:sz w:val="36"/>
          <w:szCs w:val="36"/>
          <w:lang w:val="en-IN"/>
        </w:rPr>
      </w:pPr>
      <w:r w:rsidRPr="007A778C">
        <w:rPr>
          <w:rFonts w:ascii="Arial" w:hAnsi="Arial" w:cs="Times New Roman"/>
          <w:b/>
          <w:bCs/>
          <w:sz w:val="36"/>
          <w:szCs w:val="36"/>
          <w:lang w:val="en-IN"/>
        </w:rPr>
        <w:t>Original Research Article</w:t>
      </w:r>
    </w:p>
    <w:p w14:paraId="01FF7DFE" w14:textId="77777777" w:rsidR="00AF39D0" w:rsidRDefault="00AF39D0" w:rsidP="000C75B4">
      <w:pPr>
        <w:pStyle w:val="Standard"/>
        <w:spacing w:after="0" w:line="240" w:lineRule="auto"/>
        <w:jc w:val="right"/>
        <w:rPr>
          <w:rFonts w:ascii="Arial" w:hAnsi="Arial" w:cs="Times New Roman"/>
          <w:b/>
          <w:bCs/>
          <w:sz w:val="36"/>
          <w:szCs w:val="36"/>
          <w:lang w:val="en-IN"/>
        </w:rPr>
      </w:pPr>
    </w:p>
    <w:p w14:paraId="5927D3BA" w14:textId="6BC70148" w:rsidR="000C75B4" w:rsidRDefault="000C75B4" w:rsidP="000C75B4">
      <w:pPr>
        <w:pStyle w:val="Standard"/>
        <w:spacing w:after="0" w:line="240" w:lineRule="auto"/>
        <w:jc w:val="right"/>
        <w:rPr>
          <w:rFonts w:ascii="Arial" w:hAnsi="Arial" w:cs="Times New Roman"/>
          <w:b/>
          <w:bCs/>
          <w:lang w:val="en-IN"/>
        </w:rPr>
      </w:pPr>
      <w:r>
        <w:rPr>
          <w:rFonts w:ascii="Arial" w:hAnsi="Arial" w:cs="Times New Roman"/>
          <w:b/>
          <w:bCs/>
          <w:sz w:val="36"/>
          <w:szCs w:val="36"/>
          <w:lang w:val="en-IN"/>
        </w:rPr>
        <w:t>Determinants and Heterogeneity of District Level Financial Inclusion in Rajasthan: Evidence from Swamy’s Panel Data Random Coefficient Model</w:t>
      </w:r>
    </w:p>
    <w:p w14:paraId="6BD1C6C4" w14:textId="77777777" w:rsidR="005A30D7" w:rsidRDefault="005A30D7">
      <w:pPr>
        <w:pStyle w:val="Standard"/>
        <w:spacing w:after="0" w:line="240" w:lineRule="auto"/>
        <w:rPr>
          <w:rFonts w:ascii="Times New Roman" w:hAnsi="Times New Roman" w:cs="Times New Roman"/>
          <w:b/>
          <w:sz w:val="28"/>
          <w:szCs w:val="28"/>
          <w:lang w:val="en-IN"/>
        </w:rPr>
      </w:pPr>
    </w:p>
    <w:p w14:paraId="67CE01CF" w14:textId="77777777" w:rsidR="00215657" w:rsidRDefault="00215657" w:rsidP="00215657">
      <w:pPr>
        <w:pStyle w:val="Standard"/>
        <w:spacing w:after="0" w:line="240" w:lineRule="auto"/>
        <w:jc w:val="right"/>
      </w:pPr>
    </w:p>
    <w:p w14:paraId="5CAEA604" w14:textId="77777777" w:rsidR="005A30D7" w:rsidRDefault="005A30D7">
      <w:pPr>
        <w:pStyle w:val="Standard"/>
        <w:spacing w:after="0" w:line="240" w:lineRule="auto"/>
        <w:jc w:val="right"/>
        <w:rPr>
          <w:rFonts w:ascii="Arial" w:hAnsi="Arial" w:cs="Times New Roman"/>
          <w:b/>
          <w:bCs/>
          <w:sz w:val="36"/>
          <w:szCs w:val="36"/>
          <w:lang w:val="en-IN"/>
        </w:rPr>
      </w:pPr>
    </w:p>
    <w:p w14:paraId="7C4D74FC" w14:textId="77777777" w:rsidR="00F3673A" w:rsidRDefault="00F3673A">
      <w:pPr>
        <w:pStyle w:val="Standard"/>
        <w:spacing w:line="240" w:lineRule="auto"/>
        <w:rPr>
          <w:rFonts w:ascii="Arial" w:hAnsi="Arial" w:cs="Arial"/>
          <w:b/>
          <w:bCs/>
          <w:iCs/>
          <w:sz w:val="22"/>
          <w:szCs w:val="22"/>
          <w:lang w:val="en-IN"/>
        </w:rPr>
      </w:pPr>
    </w:p>
    <w:p w14:paraId="79F6B291" w14:textId="341748B7" w:rsidR="005A30D7" w:rsidRDefault="0081248F">
      <w:pPr>
        <w:pStyle w:val="Standard"/>
        <w:spacing w:line="240" w:lineRule="auto"/>
      </w:pPr>
      <w:r>
        <w:rPr>
          <w:rFonts w:ascii="Arial" w:hAnsi="Arial" w:cs="Arial"/>
          <w:b/>
          <w:bCs/>
          <w:iCs/>
          <w:sz w:val="22"/>
          <w:szCs w:val="22"/>
          <w:lang w:val="en-IN"/>
        </w:rPr>
        <w:t>ABSTRACT</w:t>
      </w:r>
    </w:p>
    <w:p w14:paraId="082D4D0E" w14:textId="5338C9AD" w:rsidR="005A30D7" w:rsidRDefault="0081248F">
      <w:pPr>
        <w:pStyle w:val="Standard"/>
        <w:spacing w:line="240" w:lineRule="auto"/>
        <w:jc w:val="both"/>
      </w:pPr>
      <w:r>
        <w:rPr>
          <w:rFonts w:ascii="Arial" w:hAnsi="Arial" w:cs="Arial"/>
          <w:iCs/>
          <w:sz w:val="20"/>
          <w:szCs w:val="20"/>
          <w:lang w:val="en-IN"/>
        </w:rPr>
        <w:t xml:space="preserve">This study </w:t>
      </w:r>
      <w:r w:rsidR="00F3673A">
        <w:rPr>
          <w:rFonts w:ascii="Arial" w:hAnsi="Arial" w:cs="Arial"/>
          <w:iCs/>
          <w:sz w:val="20"/>
          <w:szCs w:val="20"/>
          <w:lang w:val="en-IN"/>
        </w:rPr>
        <w:t>examines</w:t>
      </w:r>
      <w:r>
        <w:rPr>
          <w:rFonts w:ascii="Arial" w:hAnsi="Arial" w:cs="Arial"/>
          <w:iCs/>
          <w:sz w:val="20"/>
          <w:szCs w:val="20"/>
          <w:lang w:val="en-IN"/>
        </w:rPr>
        <w:t xml:space="preserve"> the </w:t>
      </w:r>
      <w:r w:rsidR="00B97435">
        <w:rPr>
          <w:rFonts w:ascii="Arial" w:hAnsi="Arial" w:cs="Arial"/>
          <w:iCs/>
          <w:sz w:val="20"/>
          <w:szCs w:val="20"/>
          <w:lang w:val="en-IN"/>
        </w:rPr>
        <w:t>he</w:t>
      </w:r>
      <w:r w:rsidR="00F72B86" w:rsidRPr="00F72B86">
        <w:rPr>
          <w:rFonts w:ascii="Arial" w:hAnsi="Arial" w:cs="Arial"/>
          <w:iCs/>
          <w:sz w:val="20"/>
          <w:szCs w:val="20"/>
          <w:lang w:val="en-IN"/>
        </w:rPr>
        <w:t>terogeneity</w:t>
      </w:r>
      <w:r w:rsidR="00F72B86">
        <w:rPr>
          <w:rFonts w:ascii="Arial" w:hAnsi="Arial" w:cs="Arial"/>
          <w:iCs/>
          <w:sz w:val="20"/>
          <w:szCs w:val="20"/>
          <w:lang w:val="en-IN"/>
        </w:rPr>
        <w:t xml:space="preserve"> and </w:t>
      </w:r>
      <w:r>
        <w:rPr>
          <w:rFonts w:ascii="Arial" w:hAnsi="Arial" w:cs="Arial"/>
          <w:iCs/>
          <w:sz w:val="20"/>
          <w:szCs w:val="20"/>
          <w:lang w:val="en-IN"/>
        </w:rPr>
        <w:t xml:space="preserve">determinants of financial inclusion across 30 districts </w:t>
      </w:r>
      <w:r w:rsidR="00F3673A">
        <w:rPr>
          <w:rFonts w:ascii="Arial" w:hAnsi="Arial" w:cs="Arial"/>
          <w:iCs/>
          <w:sz w:val="20"/>
          <w:szCs w:val="20"/>
          <w:lang w:val="en-IN"/>
        </w:rPr>
        <w:t xml:space="preserve">of Rajasthan over </w:t>
      </w:r>
      <w:r>
        <w:rPr>
          <w:rFonts w:ascii="Arial" w:hAnsi="Arial" w:cs="Arial"/>
          <w:iCs/>
          <w:sz w:val="20"/>
          <w:szCs w:val="20"/>
          <w:lang w:val="en-IN"/>
        </w:rPr>
        <w:t xml:space="preserve">the </w:t>
      </w:r>
      <w:r w:rsidR="00F3673A">
        <w:rPr>
          <w:rFonts w:ascii="Arial" w:hAnsi="Arial" w:cs="Arial"/>
          <w:iCs/>
          <w:sz w:val="20"/>
          <w:szCs w:val="20"/>
          <w:lang w:val="en-IN"/>
        </w:rPr>
        <w:t>period 1994-</w:t>
      </w:r>
      <w:r>
        <w:rPr>
          <w:rFonts w:ascii="Arial" w:hAnsi="Arial" w:cs="Arial"/>
          <w:iCs/>
          <w:sz w:val="20"/>
          <w:szCs w:val="20"/>
          <w:lang w:val="en-IN"/>
        </w:rPr>
        <w:t xml:space="preserve">2023, </w:t>
      </w:r>
      <w:r w:rsidR="00F3673A">
        <w:rPr>
          <w:rFonts w:ascii="Arial" w:hAnsi="Arial" w:cs="Arial"/>
          <w:iCs/>
          <w:sz w:val="20"/>
          <w:szCs w:val="20"/>
          <w:lang w:val="en-IN"/>
        </w:rPr>
        <w:t xml:space="preserve">with a specific focus </w:t>
      </w:r>
      <w:r w:rsidR="003A7570">
        <w:rPr>
          <w:rFonts w:ascii="Arial" w:hAnsi="Arial" w:cs="Arial"/>
          <w:iCs/>
          <w:sz w:val="20"/>
          <w:szCs w:val="20"/>
          <w:lang w:val="en-IN"/>
        </w:rPr>
        <w:t xml:space="preserve">on </w:t>
      </w:r>
      <w:r>
        <w:rPr>
          <w:rFonts w:ascii="Arial" w:hAnsi="Arial" w:cs="Arial"/>
          <w:iCs/>
          <w:sz w:val="20"/>
          <w:szCs w:val="20"/>
          <w:lang w:val="en-IN"/>
        </w:rPr>
        <w:t xml:space="preserve">deposit </w:t>
      </w:r>
      <w:r w:rsidR="005751A3">
        <w:rPr>
          <w:rFonts w:ascii="Arial" w:hAnsi="Arial" w:cs="Arial"/>
          <w:iCs/>
          <w:sz w:val="20"/>
          <w:szCs w:val="20"/>
          <w:lang w:val="en-IN"/>
        </w:rPr>
        <w:t>and</w:t>
      </w:r>
      <w:r>
        <w:rPr>
          <w:rFonts w:ascii="Arial" w:hAnsi="Arial" w:cs="Arial"/>
          <w:iCs/>
          <w:sz w:val="20"/>
          <w:szCs w:val="20"/>
          <w:lang w:val="en-IN"/>
        </w:rPr>
        <w:t xml:space="preserve"> credit penetration as </w:t>
      </w:r>
      <w:r w:rsidR="00F3673A">
        <w:rPr>
          <w:rFonts w:ascii="Arial" w:hAnsi="Arial" w:cs="Arial"/>
          <w:iCs/>
          <w:sz w:val="20"/>
          <w:szCs w:val="20"/>
          <w:lang w:val="en-IN"/>
        </w:rPr>
        <w:t xml:space="preserve">key </w:t>
      </w:r>
      <w:r>
        <w:rPr>
          <w:rFonts w:ascii="Arial" w:hAnsi="Arial" w:cs="Arial"/>
          <w:iCs/>
          <w:sz w:val="20"/>
          <w:szCs w:val="20"/>
          <w:lang w:val="en-IN"/>
        </w:rPr>
        <w:t xml:space="preserve">dimensions of financial inclusion. This study employs </w:t>
      </w:r>
      <w:r w:rsidR="003A7570" w:rsidRPr="003A7570">
        <w:rPr>
          <w:rFonts w:ascii="Arial" w:hAnsi="Arial" w:cs="Arial"/>
          <w:iCs/>
          <w:sz w:val="20"/>
          <w:szCs w:val="20"/>
          <w:lang w:val="en-IN"/>
        </w:rPr>
        <w:t xml:space="preserve">a range </w:t>
      </w:r>
      <w:r w:rsidR="003A7570">
        <w:rPr>
          <w:rFonts w:ascii="Arial" w:hAnsi="Arial" w:cs="Arial"/>
          <w:iCs/>
          <w:sz w:val="20"/>
          <w:szCs w:val="20"/>
          <w:lang w:val="en-IN"/>
        </w:rPr>
        <w:t>of well-established</w:t>
      </w:r>
      <w:r>
        <w:rPr>
          <w:rFonts w:ascii="Arial" w:hAnsi="Arial" w:cs="Arial"/>
          <w:iCs/>
          <w:sz w:val="20"/>
          <w:szCs w:val="20"/>
          <w:lang w:val="en-IN"/>
        </w:rPr>
        <w:t xml:space="preserve"> panel data econometric </w:t>
      </w:r>
      <w:r w:rsidR="00D76CBF">
        <w:rPr>
          <w:rFonts w:ascii="Arial" w:hAnsi="Arial" w:cs="Arial"/>
          <w:iCs/>
          <w:sz w:val="20"/>
          <w:szCs w:val="20"/>
          <w:lang w:val="en-IN"/>
        </w:rPr>
        <w:t>t</w:t>
      </w:r>
      <w:r w:rsidR="00A774B5">
        <w:rPr>
          <w:rFonts w:ascii="Arial" w:hAnsi="Arial" w:cs="Arial"/>
          <w:iCs/>
          <w:sz w:val="20"/>
          <w:szCs w:val="20"/>
          <w:lang w:val="en-IN"/>
        </w:rPr>
        <w:t>echnique</w:t>
      </w:r>
      <w:r w:rsidR="00F4008F">
        <w:rPr>
          <w:rFonts w:ascii="Arial" w:hAnsi="Arial" w:cs="Arial"/>
          <w:iCs/>
          <w:sz w:val="20"/>
          <w:szCs w:val="20"/>
          <w:lang w:val="en-IN"/>
        </w:rPr>
        <w:t>s</w:t>
      </w:r>
      <w:r w:rsidR="00A774B5">
        <w:rPr>
          <w:rFonts w:ascii="Arial" w:hAnsi="Arial" w:cs="Arial"/>
          <w:iCs/>
          <w:sz w:val="20"/>
          <w:szCs w:val="20"/>
          <w:lang w:val="en-IN"/>
        </w:rPr>
        <w:t xml:space="preserve"> – namely, </w:t>
      </w:r>
      <w:r>
        <w:rPr>
          <w:rFonts w:ascii="Arial" w:hAnsi="Arial" w:cs="Arial"/>
          <w:iCs/>
          <w:sz w:val="20"/>
          <w:szCs w:val="20"/>
          <w:lang w:val="en-IN"/>
        </w:rPr>
        <w:t xml:space="preserve">Pooled Ordinary Least </w:t>
      </w:r>
      <w:r w:rsidR="009E5087">
        <w:rPr>
          <w:rFonts w:ascii="Arial" w:hAnsi="Arial" w:cs="Arial"/>
          <w:iCs/>
          <w:sz w:val="20"/>
          <w:szCs w:val="20"/>
          <w:lang w:val="en-IN"/>
        </w:rPr>
        <w:t>Squares</w:t>
      </w:r>
      <w:r>
        <w:rPr>
          <w:rFonts w:ascii="Arial" w:hAnsi="Arial" w:cs="Arial"/>
          <w:iCs/>
          <w:sz w:val="20"/>
          <w:szCs w:val="20"/>
          <w:lang w:val="en-IN"/>
        </w:rPr>
        <w:t xml:space="preserve"> Model, Fixed Effects Model, Random Effects Model, Panel-Corrected Standard Errors, Feasible Generalized Least Squares, Generalized Method of Moments, and Swamy’s Random Coefficient Model </w:t>
      </w:r>
      <w:r w:rsidR="00261C1C">
        <w:rPr>
          <w:rFonts w:ascii="Arial" w:hAnsi="Arial" w:cs="Arial"/>
          <w:iCs/>
          <w:sz w:val="20"/>
          <w:szCs w:val="20"/>
          <w:lang w:val="en-IN"/>
        </w:rPr>
        <w:t xml:space="preserve">- </w:t>
      </w:r>
      <w:r w:rsidR="0098530F">
        <w:rPr>
          <w:rFonts w:ascii="Arial" w:hAnsi="Arial" w:cs="Arial"/>
          <w:iCs/>
          <w:sz w:val="20"/>
          <w:szCs w:val="20"/>
          <w:lang w:val="en-IN"/>
        </w:rPr>
        <w:t>to analyze district-</w:t>
      </w:r>
      <w:r>
        <w:rPr>
          <w:rFonts w:ascii="Arial" w:hAnsi="Arial" w:cs="Arial"/>
          <w:iCs/>
          <w:sz w:val="20"/>
          <w:szCs w:val="20"/>
          <w:lang w:val="en-IN"/>
        </w:rPr>
        <w:t xml:space="preserve">level data. In this study, two models </w:t>
      </w:r>
      <w:r w:rsidR="008D4AEA">
        <w:rPr>
          <w:rFonts w:ascii="Arial" w:hAnsi="Arial" w:cs="Arial"/>
          <w:iCs/>
          <w:sz w:val="20"/>
          <w:szCs w:val="20"/>
          <w:lang w:val="en-IN"/>
        </w:rPr>
        <w:t>are</w:t>
      </w:r>
      <w:r>
        <w:rPr>
          <w:rFonts w:ascii="Arial" w:hAnsi="Arial" w:cs="Arial"/>
          <w:iCs/>
          <w:sz w:val="20"/>
          <w:szCs w:val="20"/>
          <w:lang w:val="en-IN"/>
        </w:rPr>
        <w:t xml:space="preserve"> estimated </w:t>
      </w:r>
      <w:r w:rsidR="00062023">
        <w:rPr>
          <w:rFonts w:ascii="Arial" w:hAnsi="Arial" w:cs="Arial"/>
          <w:iCs/>
          <w:sz w:val="20"/>
          <w:szCs w:val="20"/>
          <w:lang w:val="en-IN"/>
        </w:rPr>
        <w:t>taking</w:t>
      </w:r>
      <w:r>
        <w:rPr>
          <w:rFonts w:ascii="Arial" w:hAnsi="Arial" w:cs="Arial"/>
          <w:iCs/>
          <w:sz w:val="20"/>
          <w:szCs w:val="20"/>
          <w:lang w:val="en-IN"/>
        </w:rPr>
        <w:t xml:space="preserve"> </w:t>
      </w:r>
      <w:r w:rsidR="001E6FA1">
        <w:rPr>
          <w:rFonts w:ascii="Arial" w:hAnsi="Arial" w:cs="Arial"/>
          <w:iCs/>
          <w:sz w:val="20"/>
          <w:szCs w:val="20"/>
          <w:lang w:val="en-IN"/>
        </w:rPr>
        <w:t>per capita deposit</w:t>
      </w:r>
      <w:r>
        <w:rPr>
          <w:rFonts w:ascii="Arial" w:hAnsi="Arial" w:cs="Arial"/>
          <w:iCs/>
          <w:sz w:val="20"/>
          <w:szCs w:val="20"/>
          <w:lang w:val="en-IN"/>
        </w:rPr>
        <w:t xml:space="preserve"> and per capita credit</w:t>
      </w:r>
      <w:r w:rsidR="001E6FA1">
        <w:rPr>
          <w:rFonts w:ascii="Arial" w:hAnsi="Arial" w:cs="Arial"/>
          <w:iCs/>
          <w:sz w:val="20"/>
          <w:szCs w:val="20"/>
          <w:lang w:val="en-IN"/>
        </w:rPr>
        <w:t xml:space="preserve"> </w:t>
      </w:r>
      <w:r w:rsidR="009130B8">
        <w:rPr>
          <w:rFonts w:ascii="Arial" w:hAnsi="Arial" w:cs="Arial"/>
          <w:iCs/>
          <w:sz w:val="20"/>
          <w:szCs w:val="20"/>
          <w:lang w:val="en-IN"/>
        </w:rPr>
        <w:t xml:space="preserve">as </w:t>
      </w:r>
      <w:r w:rsidR="001E6FA1" w:rsidRPr="001E6FA1">
        <w:rPr>
          <w:rFonts w:ascii="Arial" w:hAnsi="Arial" w:cs="Arial"/>
          <w:iCs/>
          <w:sz w:val="20"/>
          <w:szCs w:val="20"/>
          <w:lang w:val="en-IN"/>
        </w:rPr>
        <w:t>dependent variables.</w:t>
      </w:r>
      <w:r>
        <w:rPr>
          <w:rFonts w:ascii="Arial" w:hAnsi="Arial" w:cs="Arial"/>
          <w:iCs/>
          <w:sz w:val="20"/>
          <w:szCs w:val="20"/>
          <w:lang w:val="en-IN"/>
        </w:rPr>
        <w:t xml:space="preserve"> The </w:t>
      </w:r>
      <w:r w:rsidR="00BB7715" w:rsidRPr="00BB7715">
        <w:rPr>
          <w:rFonts w:ascii="Arial" w:hAnsi="Arial" w:cs="Arial"/>
          <w:iCs/>
          <w:sz w:val="20"/>
          <w:szCs w:val="20"/>
          <w:lang w:val="en-IN"/>
        </w:rPr>
        <w:t>explanatory variables</w:t>
      </w:r>
      <w:r>
        <w:rPr>
          <w:rFonts w:ascii="Arial" w:hAnsi="Arial" w:cs="Arial"/>
          <w:iCs/>
          <w:sz w:val="20"/>
          <w:szCs w:val="20"/>
          <w:lang w:val="en-IN"/>
        </w:rPr>
        <w:t xml:space="preserve"> include the number of bank branches, per capita net district domestic product, manufacturing activity, and population growth. The </w:t>
      </w:r>
      <w:r w:rsidR="00535DA2" w:rsidRPr="00535DA2">
        <w:rPr>
          <w:rFonts w:ascii="Arial" w:hAnsi="Arial" w:cs="Arial"/>
          <w:iCs/>
          <w:sz w:val="20"/>
          <w:szCs w:val="20"/>
          <w:lang w:val="en-IN"/>
        </w:rPr>
        <w:t>findings</w:t>
      </w:r>
      <w:r>
        <w:rPr>
          <w:rFonts w:ascii="Arial" w:hAnsi="Arial" w:cs="Arial"/>
          <w:iCs/>
          <w:sz w:val="20"/>
          <w:szCs w:val="20"/>
          <w:lang w:val="en-IN"/>
        </w:rPr>
        <w:t xml:space="preserve"> consistently indicate that banking infrastructure and per capita net district domestic product significantly </w:t>
      </w:r>
      <w:r w:rsidR="00304AF7" w:rsidRPr="00304AF7">
        <w:rPr>
          <w:rFonts w:ascii="Arial" w:hAnsi="Arial" w:cs="Arial"/>
          <w:iCs/>
          <w:sz w:val="20"/>
          <w:szCs w:val="20"/>
          <w:lang w:val="en-IN"/>
        </w:rPr>
        <w:t>promote</w:t>
      </w:r>
      <w:r>
        <w:rPr>
          <w:rFonts w:ascii="Arial" w:hAnsi="Arial" w:cs="Arial"/>
          <w:iCs/>
          <w:sz w:val="20"/>
          <w:szCs w:val="20"/>
          <w:lang w:val="en-IN"/>
        </w:rPr>
        <w:t xml:space="preserve"> financial inclusion, whereas manufacturing activity and population growth </w:t>
      </w:r>
      <w:r w:rsidR="00830C27" w:rsidRPr="00830C27">
        <w:rPr>
          <w:rFonts w:ascii="Arial" w:hAnsi="Arial" w:cs="Arial"/>
          <w:iCs/>
          <w:sz w:val="20"/>
          <w:szCs w:val="20"/>
          <w:lang w:val="en-IN"/>
        </w:rPr>
        <w:t>exhibit heterogeneous</w:t>
      </w:r>
      <w:r w:rsidR="00830C27">
        <w:rPr>
          <w:rFonts w:ascii="Arial" w:hAnsi="Arial" w:cs="Arial"/>
          <w:iCs/>
          <w:sz w:val="20"/>
          <w:szCs w:val="20"/>
          <w:lang w:val="en-IN"/>
        </w:rPr>
        <w:t xml:space="preserve"> </w:t>
      </w:r>
      <w:r w:rsidR="000D0607">
        <w:rPr>
          <w:rFonts w:ascii="Arial" w:hAnsi="Arial" w:cs="Arial"/>
          <w:iCs/>
          <w:sz w:val="20"/>
          <w:szCs w:val="20"/>
          <w:lang w:val="en-IN"/>
        </w:rPr>
        <w:t>effects</w:t>
      </w:r>
      <w:r>
        <w:rPr>
          <w:rFonts w:ascii="Arial" w:hAnsi="Arial" w:cs="Arial"/>
          <w:iCs/>
          <w:sz w:val="20"/>
          <w:szCs w:val="20"/>
          <w:lang w:val="en-IN"/>
        </w:rPr>
        <w:t xml:space="preserve"> across districts. </w:t>
      </w:r>
      <w:r w:rsidR="00877D06" w:rsidRPr="00FB21E3">
        <w:rPr>
          <w:rFonts w:ascii="Arial" w:hAnsi="Arial" w:cs="Arial"/>
          <w:iCs/>
          <w:sz w:val="20"/>
          <w:szCs w:val="20"/>
          <w:lang w:val="en-IN"/>
        </w:rPr>
        <w:t>Accordingly,</w:t>
      </w:r>
      <w:r>
        <w:rPr>
          <w:rFonts w:ascii="Arial" w:hAnsi="Arial" w:cs="Arial"/>
          <w:iCs/>
          <w:sz w:val="20"/>
          <w:szCs w:val="20"/>
          <w:lang w:val="en-IN"/>
        </w:rPr>
        <w:t xml:space="preserve"> the study </w:t>
      </w:r>
      <w:r w:rsidR="00877D06">
        <w:rPr>
          <w:rFonts w:ascii="Arial" w:hAnsi="Arial" w:cs="Arial"/>
          <w:iCs/>
          <w:sz w:val="20"/>
          <w:szCs w:val="20"/>
          <w:lang w:val="en-IN"/>
        </w:rPr>
        <w:t>advocates for tailored</w:t>
      </w:r>
      <w:r>
        <w:rPr>
          <w:rFonts w:ascii="Arial" w:hAnsi="Arial" w:cs="Arial"/>
          <w:iCs/>
          <w:sz w:val="20"/>
          <w:szCs w:val="20"/>
          <w:lang w:val="en-IN"/>
        </w:rPr>
        <w:t xml:space="preserve"> district-specific </w:t>
      </w:r>
      <w:r w:rsidR="00915488" w:rsidRPr="00915488">
        <w:rPr>
          <w:rFonts w:ascii="Arial" w:hAnsi="Arial" w:cs="Arial"/>
          <w:iCs/>
          <w:sz w:val="20"/>
          <w:szCs w:val="20"/>
          <w:lang w:val="en-IN"/>
        </w:rPr>
        <w:t>interventions</w:t>
      </w:r>
      <w:r>
        <w:rPr>
          <w:rFonts w:ascii="Arial" w:hAnsi="Arial" w:cs="Arial"/>
          <w:iCs/>
          <w:sz w:val="20"/>
          <w:szCs w:val="20"/>
          <w:lang w:val="en-IN"/>
        </w:rPr>
        <w:t xml:space="preserve">, </w:t>
      </w:r>
      <w:r w:rsidR="00105D9C" w:rsidRPr="00105D9C">
        <w:rPr>
          <w:rFonts w:ascii="Arial" w:hAnsi="Arial" w:cs="Arial"/>
          <w:iCs/>
          <w:sz w:val="20"/>
          <w:szCs w:val="20"/>
          <w:lang w:val="en-IN"/>
        </w:rPr>
        <w:t>with particular emphasis</w:t>
      </w:r>
      <w:r w:rsidR="001E6055">
        <w:rPr>
          <w:rFonts w:ascii="Arial" w:hAnsi="Arial" w:cs="Arial"/>
          <w:iCs/>
          <w:sz w:val="20"/>
          <w:szCs w:val="20"/>
          <w:lang w:val="en-IN"/>
        </w:rPr>
        <w:t xml:space="preserve"> on</w:t>
      </w:r>
      <w:r>
        <w:rPr>
          <w:rFonts w:ascii="Arial" w:hAnsi="Arial" w:cs="Arial"/>
          <w:iCs/>
          <w:sz w:val="20"/>
          <w:szCs w:val="20"/>
          <w:lang w:val="en-IN"/>
        </w:rPr>
        <w:t xml:space="preserve"> </w:t>
      </w:r>
      <w:r w:rsidR="002C49EB">
        <w:rPr>
          <w:rFonts w:ascii="Arial" w:hAnsi="Arial" w:cs="Arial"/>
          <w:iCs/>
          <w:sz w:val="20"/>
          <w:szCs w:val="20"/>
          <w:lang w:val="en-IN"/>
        </w:rPr>
        <w:t xml:space="preserve">expanding </w:t>
      </w:r>
      <w:r>
        <w:rPr>
          <w:rFonts w:ascii="Arial" w:hAnsi="Arial" w:cs="Arial"/>
          <w:iCs/>
          <w:sz w:val="20"/>
          <w:szCs w:val="20"/>
          <w:lang w:val="en-IN"/>
        </w:rPr>
        <w:t xml:space="preserve">banking infrastructure and </w:t>
      </w:r>
      <w:r w:rsidR="00477942" w:rsidRPr="00477942">
        <w:rPr>
          <w:rFonts w:ascii="Arial" w:hAnsi="Arial" w:cs="Arial"/>
          <w:iCs/>
          <w:sz w:val="20"/>
          <w:szCs w:val="20"/>
          <w:lang w:val="en-IN"/>
        </w:rPr>
        <w:t>fostering local economic development</w:t>
      </w:r>
      <w:r>
        <w:rPr>
          <w:rFonts w:ascii="Arial" w:hAnsi="Arial" w:cs="Arial"/>
          <w:iCs/>
          <w:sz w:val="20"/>
          <w:szCs w:val="20"/>
          <w:lang w:val="en-IN"/>
        </w:rPr>
        <w:t>.</w:t>
      </w:r>
    </w:p>
    <w:p w14:paraId="4CF1C69C" w14:textId="77777777" w:rsidR="005A30D7" w:rsidRDefault="005A30D7">
      <w:pPr>
        <w:pStyle w:val="Standard"/>
        <w:spacing w:line="240" w:lineRule="auto"/>
        <w:rPr>
          <w:rFonts w:ascii="Arial" w:hAnsi="Arial" w:cs="Arial"/>
          <w:i/>
          <w:sz w:val="20"/>
          <w:szCs w:val="20"/>
          <w:lang w:val="en-IN"/>
        </w:rPr>
      </w:pPr>
    </w:p>
    <w:p w14:paraId="725D352C" w14:textId="77777777" w:rsidR="005A30D7" w:rsidRDefault="0081248F">
      <w:pPr>
        <w:pStyle w:val="Standard"/>
        <w:spacing w:line="240" w:lineRule="auto"/>
        <w:rPr>
          <w:rFonts w:ascii="Arial" w:hAnsi="Arial" w:cs="Arial"/>
          <w:i/>
          <w:sz w:val="20"/>
          <w:szCs w:val="20"/>
          <w:lang w:val="en-IN"/>
        </w:rPr>
      </w:pPr>
      <w:r>
        <w:rPr>
          <w:rFonts w:ascii="Arial" w:hAnsi="Arial" w:cs="Arial"/>
          <w:i/>
          <w:sz w:val="20"/>
          <w:szCs w:val="20"/>
          <w:lang w:val="en-IN"/>
        </w:rPr>
        <w:t>Keywords: District Level Financial Inclusion, Panel Data Analysis, Rajasthan.</w:t>
      </w:r>
    </w:p>
    <w:p w14:paraId="7CCDC567" w14:textId="77777777" w:rsidR="005A30D7" w:rsidRPr="009E5087" w:rsidRDefault="0081248F">
      <w:pPr>
        <w:pStyle w:val="Standard"/>
        <w:spacing w:line="240" w:lineRule="auto"/>
        <w:rPr>
          <w:lang w:val="pt-BR"/>
        </w:rPr>
      </w:pPr>
      <w:r>
        <w:rPr>
          <w:rFonts w:ascii="Arial" w:hAnsi="Arial" w:cs="Arial"/>
          <w:i/>
          <w:sz w:val="20"/>
          <w:szCs w:val="20"/>
          <w:lang w:val="pt-BR"/>
        </w:rPr>
        <w:t>JEL Classification:    G21, C23, R10, O16, R20.</w:t>
      </w:r>
    </w:p>
    <w:p w14:paraId="7D1AFA53" w14:textId="77777777" w:rsidR="005A30D7" w:rsidRDefault="005A30D7">
      <w:pPr>
        <w:pStyle w:val="Standard"/>
        <w:spacing w:line="240" w:lineRule="auto"/>
        <w:rPr>
          <w:rFonts w:ascii="Times New Roman" w:hAnsi="Times New Roman" w:cs="Times New Roman"/>
          <w:i/>
          <w:sz w:val="22"/>
          <w:szCs w:val="22"/>
          <w:lang w:val="pt-BR"/>
        </w:rPr>
      </w:pPr>
    </w:p>
    <w:p w14:paraId="0F023060" w14:textId="77777777" w:rsidR="005A30D7" w:rsidRDefault="005A30D7">
      <w:pPr>
        <w:pStyle w:val="Standard"/>
        <w:spacing w:line="240" w:lineRule="auto"/>
        <w:rPr>
          <w:rFonts w:ascii="Times New Roman" w:hAnsi="Times New Roman" w:cs="Times New Roman"/>
          <w:i/>
          <w:sz w:val="22"/>
          <w:szCs w:val="22"/>
          <w:lang w:val="pt-BR"/>
        </w:rPr>
      </w:pPr>
    </w:p>
    <w:p w14:paraId="62068DD8" w14:textId="77777777" w:rsidR="005A30D7" w:rsidRDefault="005A30D7">
      <w:pPr>
        <w:pStyle w:val="Standard"/>
        <w:spacing w:line="240" w:lineRule="auto"/>
        <w:rPr>
          <w:rFonts w:ascii="Arial" w:hAnsi="Arial" w:cs="Arial"/>
          <w:i/>
          <w:sz w:val="22"/>
          <w:szCs w:val="22"/>
          <w:lang w:val="pt-BR"/>
        </w:rPr>
      </w:pPr>
    </w:p>
    <w:p w14:paraId="5A43F2F2" w14:textId="6192A304" w:rsidR="009E0826" w:rsidRDefault="009E0826">
      <w:pPr>
        <w:pStyle w:val="Standard"/>
        <w:spacing w:line="360" w:lineRule="auto"/>
        <w:jc w:val="both"/>
        <w:rPr>
          <w:rFonts w:ascii="Arial" w:hAnsi="Arial" w:cs="Arial"/>
          <w:sz w:val="20"/>
          <w:szCs w:val="20"/>
          <w:shd w:val="clear" w:color="auto" w:fill="FFFFFF"/>
          <w:lang w:val="en-IN"/>
        </w:rPr>
      </w:pPr>
    </w:p>
    <w:p w14:paraId="5184C929" w14:textId="2FE56F2F" w:rsidR="009E0826" w:rsidRDefault="009E0826">
      <w:pPr>
        <w:pStyle w:val="Standard"/>
        <w:spacing w:line="360" w:lineRule="auto"/>
        <w:jc w:val="both"/>
        <w:rPr>
          <w:rFonts w:ascii="Arial" w:hAnsi="Arial" w:cs="Arial"/>
          <w:sz w:val="20"/>
          <w:szCs w:val="20"/>
          <w:shd w:val="clear" w:color="auto" w:fill="FFFFFF"/>
          <w:lang w:val="en-IN"/>
        </w:rPr>
      </w:pPr>
    </w:p>
    <w:p w14:paraId="0FE72BB4" w14:textId="1690D162" w:rsidR="009E0826" w:rsidRDefault="009E0826">
      <w:pPr>
        <w:pStyle w:val="Standard"/>
        <w:spacing w:line="360" w:lineRule="auto"/>
        <w:jc w:val="both"/>
        <w:rPr>
          <w:rFonts w:ascii="Arial" w:hAnsi="Arial" w:cs="Arial"/>
          <w:sz w:val="20"/>
          <w:szCs w:val="20"/>
          <w:shd w:val="clear" w:color="auto" w:fill="FFFFFF"/>
          <w:lang w:val="en-IN"/>
        </w:rPr>
      </w:pPr>
    </w:p>
    <w:p w14:paraId="4CBD564C" w14:textId="3F102702" w:rsidR="009E0826" w:rsidRDefault="009E0826">
      <w:pPr>
        <w:pStyle w:val="Standard"/>
        <w:spacing w:line="360" w:lineRule="auto"/>
        <w:jc w:val="both"/>
        <w:rPr>
          <w:rFonts w:ascii="Arial" w:hAnsi="Arial" w:cs="Arial"/>
          <w:sz w:val="20"/>
          <w:szCs w:val="20"/>
          <w:shd w:val="clear" w:color="auto" w:fill="FFFFFF"/>
          <w:lang w:val="en-IN"/>
        </w:rPr>
      </w:pPr>
    </w:p>
    <w:p w14:paraId="69B53B3C" w14:textId="5ED1E010" w:rsidR="009E0826" w:rsidRDefault="009E0826">
      <w:pPr>
        <w:pStyle w:val="Standard"/>
        <w:spacing w:line="360" w:lineRule="auto"/>
        <w:jc w:val="both"/>
        <w:rPr>
          <w:rFonts w:ascii="Arial" w:hAnsi="Arial" w:cs="Arial"/>
          <w:sz w:val="20"/>
          <w:szCs w:val="20"/>
          <w:shd w:val="clear" w:color="auto" w:fill="FFFFFF"/>
          <w:lang w:val="en-IN"/>
        </w:rPr>
      </w:pPr>
    </w:p>
    <w:p w14:paraId="348DA665" w14:textId="77777777" w:rsidR="009E0826" w:rsidRDefault="009E0826">
      <w:pPr>
        <w:pStyle w:val="Standard"/>
        <w:spacing w:line="360" w:lineRule="auto"/>
        <w:jc w:val="both"/>
      </w:pPr>
    </w:p>
    <w:p w14:paraId="46CA5513" w14:textId="77777777" w:rsidR="005A30D7" w:rsidRDefault="0081248F">
      <w:pPr>
        <w:pStyle w:val="Standard"/>
        <w:spacing w:line="256" w:lineRule="auto"/>
      </w:pPr>
      <w:r>
        <w:rPr>
          <w:rFonts w:ascii="Arial" w:hAnsi="Arial" w:cs="Arial"/>
          <w:b/>
          <w:bCs/>
          <w:sz w:val="22"/>
          <w:szCs w:val="22"/>
          <w:lang w:val="en-IN"/>
        </w:rPr>
        <w:t>1. INTRODUCTION</w:t>
      </w:r>
    </w:p>
    <w:p w14:paraId="5B2E90F8" w14:textId="6FCE6C8E"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lastRenderedPageBreak/>
        <w:t xml:space="preserve">Financial inclusion </w:t>
      </w:r>
      <w:r w:rsidR="00086741" w:rsidRPr="00086741">
        <w:rPr>
          <w:rFonts w:ascii="Arial" w:hAnsi="Arial" w:cs="Arial"/>
          <w:sz w:val="20"/>
          <w:szCs w:val="20"/>
          <w:lang w:val="en-IN"/>
        </w:rPr>
        <w:t>refers to</w:t>
      </w:r>
      <w:r>
        <w:rPr>
          <w:rFonts w:ascii="Arial" w:hAnsi="Arial" w:cs="Arial"/>
          <w:sz w:val="20"/>
          <w:szCs w:val="20"/>
          <w:lang w:val="en-IN"/>
        </w:rPr>
        <w:t xml:space="preserve"> the process of integrating </w:t>
      </w:r>
      <w:r w:rsidR="008A4499">
        <w:rPr>
          <w:rFonts w:ascii="Arial" w:hAnsi="Arial" w:cs="Arial"/>
          <w:sz w:val="20"/>
          <w:szCs w:val="20"/>
          <w:lang w:val="en-IN"/>
        </w:rPr>
        <w:t xml:space="preserve">the </w:t>
      </w:r>
      <w:r>
        <w:rPr>
          <w:rFonts w:ascii="Arial" w:hAnsi="Arial" w:cs="Arial"/>
          <w:sz w:val="20"/>
          <w:szCs w:val="20"/>
          <w:lang w:val="en-IN"/>
        </w:rPr>
        <w:t>marg</w:t>
      </w:r>
      <w:r w:rsidR="00C64638">
        <w:rPr>
          <w:rFonts w:ascii="Arial" w:hAnsi="Arial" w:cs="Arial"/>
          <w:sz w:val="20"/>
          <w:szCs w:val="20"/>
          <w:lang w:val="en-IN"/>
        </w:rPr>
        <w:t xml:space="preserve">inalized and vulnerable </w:t>
      </w:r>
      <w:r w:rsidR="00E25207">
        <w:rPr>
          <w:rFonts w:ascii="Arial" w:hAnsi="Arial" w:cs="Arial"/>
          <w:sz w:val="20"/>
          <w:szCs w:val="20"/>
          <w:lang w:val="en-IN"/>
        </w:rPr>
        <w:t>segment</w:t>
      </w:r>
      <w:r>
        <w:rPr>
          <w:rFonts w:ascii="Arial" w:hAnsi="Arial" w:cs="Arial"/>
          <w:sz w:val="20"/>
          <w:szCs w:val="20"/>
          <w:lang w:val="en-IN"/>
        </w:rPr>
        <w:t xml:space="preserve"> of society into the formal financial system. It ensures that disadvantaged groups, such as low-income individuals, have access t</w:t>
      </w:r>
      <w:r w:rsidR="00F74FF1">
        <w:rPr>
          <w:rFonts w:ascii="Arial" w:hAnsi="Arial" w:cs="Arial"/>
          <w:sz w:val="20"/>
          <w:szCs w:val="20"/>
          <w:lang w:val="en-IN"/>
        </w:rPr>
        <w:t xml:space="preserve">o timely and adequate credit as well as </w:t>
      </w:r>
      <w:r>
        <w:rPr>
          <w:rFonts w:ascii="Arial" w:hAnsi="Arial" w:cs="Arial"/>
          <w:sz w:val="20"/>
          <w:szCs w:val="20"/>
          <w:lang w:val="en-IN"/>
        </w:rPr>
        <w:t xml:space="preserve">other financial services at an affordable cost. A well-developed banking infrastructure and an extensive branch network play a crucial role in fostering financial inclusion. In turn, financial inclusion </w:t>
      </w:r>
      <w:r w:rsidR="00776456">
        <w:rPr>
          <w:rFonts w:ascii="Arial" w:hAnsi="Arial" w:cs="Arial"/>
          <w:sz w:val="20"/>
          <w:szCs w:val="20"/>
          <w:lang w:val="en-IN"/>
        </w:rPr>
        <w:t>contributes to</w:t>
      </w:r>
      <w:r>
        <w:rPr>
          <w:rFonts w:ascii="Arial" w:hAnsi="Arial" w:cs="Arial"/>
          <w:sz w:val="20"/>
          <w:szCs w:val="20"/>
          <w:lang w:val="en-IN"/>
        </w:rPr>
        <w:t xml:space="preserve"> economic growth, investment</w:t>
      </w:r>
      <w:r w:rsidR="00776456">
        <w:rPr>
          <w:rFonts w:ascii="Arial" w:hAnsi="Arial" w:cs="Arial"/>
          <w:sz w:val="20"/>
          <w:szCs w:val="20"/>
          <w:lang w:val="en-IN"/>
        </w:rPr>
        <w:t xml:space="preserve"> expansion</w:t>
      </w:r>
      <w:r>
        <w:rPr>
          <w:rFonts w:ascii="Arial" w:hAnsi="Arial" w:cs="Arial"/>
          <w:sz w:val="20"/>
          <w:szCs w:val="20"/>
          <w:lang w:val="en-IN"/>
        </w:rPr>
        <w:t xml:space="preserve">, employment generation, </w:t>
      </w:r>
      <w:r w:rsidR="00FD28BB">
        <w:rPr>
          <w:rFonts w:ascii="Arial" w:hAnsi="Arial" w:cs="Arial"/>
          <w:sz w:val="20"/>
          <w:szCs w:val="20"/>
          <w:lang w:val="en-IN"/>
        </w:rPr>
        <w:t>and infrastructure</w:t>
      </w:r>
      <w:r w:rsidR="00987BC1">
        <w:rPr>
          <w:rFonts w:ascii="Arial" w:hAnsi="Arial" w:cs="Arial"/>
          <w:sz w:val="20"/>
          <w:szCs w:val="20"/>
          <w:lang w:val="en-IN"/>
        </w:rPr>
        <w:t xml:space="preserve"> </w:t>
      </w:r>
      <w:r w:rsidR="00FD28BB">
        <w:rPr>
          <w:rFonts w:ascii="Arial" w:hAnsi="Arial" w:cs="Arial"/>
          <w:sz w:val="20"/>
          <w:szCs w:val="20"/>
          <w:lang w:val="en-IN"/>
        </w:rPr>
        <w:t>improvement (</w:t>
      </w:r>
      <w:r>
        <w:rPr>
          <w:rFonts w:ascii="Arial" w:hAnsi="Arial" w:cs="Arial"/>
          <w:sz w:val="20"/>
          <w:szCs w:val="20"/>
          <w:lang w:val="en-IN"/>
        </w:rPr>
        <w:t>Feldstein and Horioka, 1980; Brunetti et al., 1997; Hartog and Oosterbeek, 1993).</w:t>
      </w:r>
    </w:p>
    <w:p w14:paraId="247C567B" w14:textId="0AF7F75A"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Over the past decade, India’s banking sector has </w:t>
      </w:r>
      <w:r w:rsidR="009B348B">
        <w:rPr>
          <w:rFonts w:ascii="Arial" w:hAnsi="Arial" w:cs="Arial"/>
          <w:sz w:val="20"/>
          <w:szCs w:val="20"/>
          <w:lang w:val="en-IN"/>
        </w:rPr>
        <w:t xml:space="preserve">undergone </w:t>
      </w:r>
      <w:r>
        <w:rPr>
          <w:rFonts w:ascii="Arial" w:hAnsi="Arial" w:cs="Arial"/>
          <w:sz w:val="20"/>
          <w:szCs w:val="20"/>
          <w:lang w:val="en-IN"/>
        </w:rPr>
        <w:t xml:space="preserve">substantial growth in both scale and </w:t>
      </w:r>
      <w:r w:rsidR="00F9528E">
        <w:rPr>
          <w:rFonts w:ascii="Arial" w:hAnsi="Arial" w:cs="Arial"/>
          <w:sz w:val="20"/>
          <w:szCs w:val="20"/>
          <w:lang w:val="en-IN"/>
        </w:rPr>
        <w:t xml:space="preserve">operational </w:t>
      </w:r>
      <w:r>
        <w:rPr>
          <w:rFonts w:ascii="Arial" w:hAnsi="Arial" w:cs="Arial"/>
          <w:sz w:val="20"/>
          <w:szCs w:val="20"/>
          <w:lang w:val="en-IN"/>
        </w:rPr>
        <w:t xml:space="preserve">complexity. </w:t>
      </w:r>
      <w:r w:rsidR="00252BBA">
        <w:rPr>
          <w:rFonts w:ascii="Arial" w:hAnsi="Arial" w:cs="Arial"/>
          <w:sz w:val="20"/>
          <w:szCs w:val="20"/>
          <w:lang w:val="en-IN"/>
        </w:rPr>
        <w:t xml:space="preserve">Although considerable </w:t>
      </w:r>
      <w:r>
        <w:rPr>
          <w:rFonts w:ascii="Arial" w:hAnsi="Arial" w:cs="Arial"/>
          <w:sz w:val="20"/>
          <w:szCs w:val="20"/>
          <w:lang w:val="en-IN"/>
        </w:rPr>
        <w:t xml:space="preserve">progress </w:t>
      </w:r>
      <w:r w:rsidR="00311E1D">
        <w:rPr>
          <w:rFonts w:ascii="Arial" w:hAnsi="Arial" w:cs="Arial"/>
          <w:sz w:val="20"/>
          <w:szCs w:val="20"/>
          <w:lang w:val="en-IN"/>
        </w:rPr>
        <w:t xml:space="preserve">has been </w:t>
      </w:r>
      <w:r w:rsidR="00240D8E">
        <w:rPr>
          <w:rFonts w:ascii="Arial" w:hAnsi="Arial" w:cs="Arial"/>
          <w:sz w:val="20"/>
          <w:szCs w:val="20"/>
          <w:lang w:val="en-IN"/>
        </w:rPr>
        <w:t xml:space="preserve">made </w:t>
      </w:r>
      <w:r w:rsidR="00AE204C">
        <w:rPr>
          <w:rFonts w:ascii="Arial" w:hAnsi="Arial" w:cs="Arial"/>
          <w:sz w:val="20"/>
          <w:szCs w:val="20"/>
          <w:lang w:val="en-IN"/>
        </w:rPr>
        <w:t>i</w:t>
      </w:r>
      <w:r w:rsidR="00D73722">
        <w:rPr>
          <w:rFonts w:ascii="Arial" w:hAnsi="Arial" w:cs="Arial"/>
          <w:sz w:val="20"/>
          <w:szCs w:val="20"/>
          <w:lang w:val="en-IN"/>
        </w:rPr>
        <w:t xml:space="preserve">n </w:t>
      </w:r>
      <w:r>
        <w:rPr>
          <w:rFonts w:ascii="Arial" w:hAnsi="Arial" w:cs="Arial"/>
          <w:sz w:val="20"/>
          <w:szCs w:val="20"/>
          <w:lang w:val="en-IN"/>
        </w:rPr>
        <w:t xml:space="preserve">financial stability, profitability, and competitiveness, concerns </w:t>
      </w:r>
      <w:r w:rsidR="00311E1D">
        <w:rPr>
          <w:rFonts w:ascii="Arial" w:hAnsi="Arial" w:cs="Arial"/>
          <w:sz w:val="20"/>
          <w:szCs w:val="20"/>
          <w:lang w:val="en-IN"/>
        </w:rPr>
        <w:t>persist</w:t>
      </w:r>
      <w:r>
        <w:rPr>
          <w:rFonts w:ascii="Arial" w:hAnsi="Arial" w:cs="Arial"/>
          <w:sz w:val="20"/>
          <w:szCs w:val="20"/>
          <w:lang w:val="en-IN"/>
        </w:rPr>
        <w:t xml:space="preserve"> that essential banking services have </w:t>
      </w:r>
      <w:r w:rsidR="00195760">
        <w:rPr>
          <w:rFonts w:ascii="Arial" w:hAnsi="Arial" w:cs="Arial"/>
          <w:sz w:val="20"/>
          <w:szCs w:val="20"/>
          <w:lang w:val="en-IN"/>
        </w:rPr>
        <w:t>not fully</w:t>
      </w:r>
      <w:r w:rsidR="00580755">
        <w:rPr>
          <w:rFonts w:ascii="Arial" w:hAnsi="Arial" w:cs="Arial"/>
          <w:sz w:val="20"/>
          <w:szCs w:val="20"/>
          <w:lang w:val="en-IN"/>
        </w:rPr>
        <w:t xml:space="preserve"> reached</w:t>
      </w:r>
      <w:r>
        <w:rPr>
          <w:rFonts w:ascii="Arial" w:hAnsi="Arial" w:cs="Arial"/>
          <w:sz w:val="20"/>
          <w:szCs w:val="20"/>
          <w:lang w:val="en-IN"/>
        </w:rPr>
        <w:t xml:space="preserve"> marginalized </w:t>
      </w:r>
      <w:r w:rsidR="00580755" w:rsidRPr="00580755">
        <w:rPr>
          <w:rFonts w:ascii="Arial" w:hAnsi="Arial" w:cs="Arial"/>
          <w:sz w:val="20"/>
          <w:szCs w:val="20"/>
          <w:lang w:val="en-IN"/>
        </w:rPr>
        <w:t>and vulnerable</w:t>
      </w:r>
      <w:r w:rsidR="00580755">
        <w:rPr>
          <w:rFonts w:ascii="Arial" w:hAnsi="Arial" w:cs="Arial"/>
          <w:sz w:val="20"/>
          <w:szCs w:val="20"/>
          <w:lang w:val="en-IN"/>
        </w:rPr>
        <w:t xml:space="preserve"> </w:t>
      </w:r>
      <w:r>
        <w:rPr>
          <w:rFonts w:ascii="Arial" w:hAnsi="Arial" w:cs="Arial"/>
          <w:sz w:val="20"/>
          <w:szCs w:val="20"/>
          <w:lang w:val="en-IN"/>
        </w:rPr>
        <w:t xml:space="preserve">communities. </w:t>
      </w:r>
      <w:r w:rsidR="00D9747A">
        <w:rPr>
          <w:rFonts w:ascii="Arial" w:hAnsi="Arial" w:cs="Arial"/>
          <w:sz w:val="20"/>
          <w:szCs w:val="20"/>
          <w:lang w:val="en-IN"/>
        </w:rPr>
        <w:t>Consequently</w:t>
      </w:r>
      <w:r>
        <w:rPr>
          <w:rFonts w:ascii="Arial" w:hAnsi="Arial" w:cs="Arial"/>
          <w:sz w:val="20"/>
          <w:szCs w:val="20"/>
          <w:lang w:val="en-IN"/>
        </w:rPr>
        <w:t xml:space="preserve">, </w:t>
      </w:r>
      <w:r w:rsidR="00D9747A" w:rsidRPr="00D9747A">
        <w:rPr>
          <w:rFonts w:ascii="Arial" w:hAnsi="Arial" w:cs="Arial"/>
          <w:sz w:val="20"/>
          <w:szCs w:val="20"/>
          <w:lang w:val="en-IN"/>
        </w:rPr>
        <w:t>policymakers and financial insti</w:t>
      </w:r>
      <w:r w:rsidR="00D9747A">
        <w:rPr>
          <w:rFonts w:ascii="Arial" w:hAnsi="Arial" w:cs="Arial"/>
          <w:sz w:val="20"/>
          <w:szCs w:val="20"/>
          <w:lang w:val="en-IN"/>
        </w:rPr>
        <w:t xml:space="preserve">tutions have intensified </w:t>
      </w:r>
      <w:r>
        <w:rPr>
          <w:rFonts w:ascii="Arial" w:hAnsi="Arial" w:cs="Arial"/>
          <w:sz w:val="20"/>
          <w:szCs w:val="20"/>
          <w:lang w:val="en-IN"/>
        </w:rPr>
        <w:t xml:space="preserve">efforts </w:t>
      </w:r>
      <w:r w:rsidR="00D9747A">
        <w:rPr>
          <w:rFonts w:ascii="Arial" w:hAnsi="Arial" w:cs="Arial"/>
          <w:sz w:val="20"/>
          <w:szCs w:val="20"/>
          <w:lang w:val="en-IN"/>
        </w:rPr>
        <w:t xml:space="preserve">to promote </w:t>
      </w:r>
      <w:r>
        <w:rPr>
          <w:rFonts w:ascii="Arial" w:hAnsi="Arial" w:cs="Arial"/>
          <w:sz w:val="20"/>
          <w:szCs w:val="20"/>
          <w:lang w:val="en-IN"/>
        </w:rPr>
        <w:t xml:space="preserve">financial inclusion, </w:t>
      </w:r>
      <w:r w:rsidR="00D9747A" w:rsidRPr="00D9747A">
        <w:rPr>
          <w:rFonts w:ascii="Arial" w:hAnsi="Arial" w:cs="Arial"/>
          <w:sz w:val="20"/>
          <w:szCs w:val="20"/>
          <w:lang w:val="en-IN"/>
        </w:rPr>
        <w:t>recognizing its</w:t>
      </w:r>
      <w:r>
        <w:rPr>
          <w:rFonts w:ascii="Arial" w:hAnsi="Arial" w:cs="Arial"/>
          <w:sz w:val="20"/>
          <w:szCs w:val="20"/>
          <w:lang w:val="en-IN"/>
        </w:rPr>
        <w:t xml:space="preserve"> potential to signifi</w:t>
      </w:r>
      <w:r w:rsidR="00D9747A">
        <w:rPr>
          <w:rFonts w:ascii="Arial" w:hAnsi="Arial" w:cs="Arial"/>
          <w:sz w:val="20"/>
          <w:szCs w:val="20"/>
          <w:lang w:val="en-IN"/>
        </w:rPr>
        <w:t>cantly enhance</w:t>
      </w:r>
      <w:r>
        <w:rPr>
          <w:rFonts w:ascii="Arial" w:hAnsi="Arial" w:cs="Arial"/>
          <w:sz w:val="20"/>
          <w:szCs w:val="20"/>
          <w:lang w:val="en-IN"/>
        </w:rPr>
        <w:t xml:space="preserve"> the economic well-being and living standards of poor and disadvantaged groups (Leeladhar, 2006; Subbarao, 2009; Thorat, 200</w:t>
      </w:r>
      <w:r w:rsidR="00545459">
        <w:rPr>
          <w:rFonts w:ascii="Arial" w:hAnsi="Arial" w:cs="Arial"/>
          <w:sz w:val="20"/>
          <w:szCs w:val="20"/>
          <w:lang w:val="en-IN"/>
        </w:rPr>
        <w:t>8</w:t>
      </w:r>
      <w:r>
        <w:rPr>
          <w:rFonts w:ascii="Arial" w:hAnsi="Arial" w:cs="Arial"/>
          <w:sz w:val="20"/>
          <w:szCs w:val="20"/>
          <w:lang w:val="en-IN"/>
        </w:rPr>
        <w:t>).</w:t>
      </w:r>
    </w:p>
    <w:p w14:paraId="510E8519" w14:textId="5368EC6E"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Financial </w:t>
      </w:r>
      <w:r w:rsidR="008D2E6D">
        <w:t xml:space="preserve">inclusion </w:t>
      </w:r>
      <w:r w:rsidR="00931386" w:rsidRPr="00931386">
        <w:rPr>
          <w:rFonts w:ascii="Arial" w:hAnsi="Arial" w:cs="Arial"/>
          <w:sz w:val="20"/>
          <w:szCs w:val="20"/>
          <w:lang w:val="en-IN"/>
        </w:rPr>
        <w:t>is widely recognized</w:t>
      </w:r>
      <w:r w:rsidR="00931386">
        <w:rPr>
          <w:rFonts w:ascii="Arial" w:hAnsi="Arial" w:cs="Arial"/>
          <w:sz w:val="20"/>
          <w:szCs w:val="20"/>
          <w:lang w:val="en-IN"/>
        </w:rPr>
        <w:t xml:space="preserve"> as </w:t>
      </w:r>
      <w:r>
        <w:rPr>
          <w:rFonts w:ascii="Arial" w:hAnsi="Arial" w:cs="Arial"/>
          <w:sz w:val="20"/>
          <w:szCs w:val="20"/>
          <w:lang w:val="en-IN"/>
        </w:rPr>
        <w:t xml:space="preserve">a </w:t>
      </w:r>
      <w:r w:rsidR="00931386" w:rsidRPr="00931386">
        <w:rPr>
          <w:rFonts w:ascii="Arial" w:hAnsi="Arial" w:cs="Arial"/>
          <w:sz w:val="20"/>
          <w:szCs w:val="20"/>
          <w:lang w:val="en-IN"/>
        </w:rPr>
        <w:t>key driver of</w:t>
      </w:r>
      <w:r w:rsidR="00931386">
        <w:rPr>
          <w:rFonts w:ascii="Arial" w:hAnsi="Arial" w:cs="Arial"/>
          <w:sz w:val="20"/>
          <w:szCs w:val="20"/>
          <w:lang w:val="en-IN"/>
        </w:rPr>
        <w:t xml:space="preserve"> </w:t>
      </w:r>
      <w:r>
        <w:rPr>
          <w:rFonts w:ascii="Arial" w:hAnsi="Arial" w:cs="Arial"/>
          <w:sz w:val="20"/>
          <w:szCs w:val="20"/>
          <w:lang w:val="en-IN"/>
        </w:rPr>
        <w:t xml:space="preserve">sustainable and inclusive economic growth. However, despite economic liberalization and </w:t>
      </w:r>
      <w:r w:rsidR="00733C95">
        <w:rPr>
          <w:rFonts w:ascii="Arial" w:hAnsi="Arial" w:cs="Arial"/>
          <w:sz w:val="20"/>
          <w:szCs w:val="20"/>
          <w:lang w:val="en-IN"/>
        </w:rPr>
        <w:t xml:space="preserve">the adoption of </w:t>
      </w:r>
      <w:r>
        <w:rPr>
          <w:rFonts w:ascii="Arial" w:hAnsi="Arial" w:cs="Arial"/>
          <w:sz w:val="20"/>
          <w:szCs w:val="20"/>
          <w:lang w:val="en-IN"/>
        </w:rPr>
        <w:t xml:space="preserve">a market-driven </w:t>
      </w:r>
      <w:r w:rsidR="00531E09">
        <w:rPr>
          <w:rFonts w:ascii="Arial" w:hAnsi="Arial" w:cs="Arial"/>
          <w:sz w:val="20"/>
          <w:szCs w:val="20"/>
          <w:lang w:val="en-IN"/>
        </w:rPr>
        <w:t>strategy, India</w:t>
      </w:r>
      <w:r>
        <w:rPr>
          <w:rFonts w:ascii="Arial" w:hAnsi="Arial" w:cs="Arial"/>
          <w:sz w:val="20"/>
          <w:szCs w:val="20"/>
          <w:lang w:val="en-IN"/>
        </w:rPr>
        <w:t xml:space="preserve"> </w:t>
      </w:r>
      <w:r w:rsidR="00531E09">
        <w:rPr>
          <w:rFonts w:ascii="Arial" w:hAnsi="Arial" w:cs="Arial"/>
          <w:sz w:val="20"/>
          <w:szCs w:val="20"/>
          <w:lang w:val="en-IN"/>
        </w:rPr>
        <w:t>continued to face challenges in achieving</w:t>
      </w:r>
      <w:r>
        <w:rPr>
          <w:rFonts w:ascii="Arial" w:hAnsi="Arial" w:cs="Arial"/>
          <w:sz w:val="20"/>
          <w:szCs w:val="20"/>
          <w:lang w:val="en-IN"/>
        </w:rPr>
        <w:t xml:space="preserve"> the desired level of inclusive growth. </w:t>
      </w:r>
      <w:r w:rsidR="00791683" w:rsidRPr="00791683">
        <w:rPr>
          <w:rFonts w:ascii="Arial" w:hAnsi="Arial" w:cs="Arial"/>
          <w:sz w:val="20"/>
          <w:szCs w:val="20"/>
          <w:lang w:val="en-IN"/>
        </w:rPr>
        <w:t xml:space="preserve">One useful indicator for assessing financial </w:t>
      </w:r>
      <w:r w:rsidR="008F0B8A" w:rsidRPr="00791683">
        <w:rPr>
          <w:rFonts w:ascii="Arial" w:hAnsi="Arial" w:cs="Arial"/>
          <w:sz w:val="20"/>
          <w:szCs w:val="20"/>
          <w:lang w:val="en-IN"/>
        </w:rPr>
        <w:t>exclusion</w:t>
      </w:r>
      <w:r w:rsidR="008F0B8A" w:rsidRPr="008F0B8A">
        <w:rPr>
          <w:rFonts w:ascii="Arial" w:hAnsi="Arial" w:cs="Arial"/>
          <w:sz w:val="20"/>
          <w:szCs w:val="20"/>
          <w:lang w:val="en-IN"/>
        </w:rPr>
        <w:t xml:space="preserve"> is the indebtedness of agricultural households.</w:t>
      </w:r>
      <w:r w:rsidR="0045244C">
        <w:rPr>
          <w:rFonts w:ascii="Arial" w:hAnsi="Arial" w:cs="Arial"/>
          <w:sz w:val="20"/>
          <w:szCs w:val="20"/>
          <w:lang w:val="en-IN"/>
        </w:rPr>
        <w:t xml:space="preserve"> Data from</w:t>
      </w:r>
      <w:r>
        <w:rPr>
          <w:rFonts w:ascii="Arial" w:hAnsi="Arial" w:cs="Arial"/>
          <w:sz w:val="20"/>
          <w:szCs w:val="20"/>
          <w:lang w:val="en-IN"/>
        </w:rPr>
        <w:t xml:space="preserve"> the Natio</w:t>
      </w:r>
      <w:r w:rsidR="004B3144">
        <w:rPr>
          <w:rFonts w:ascii="Arial" w:hAnsi="Arial" w:cs="Arial"/>
          <w:sz w:val="20"/>
          <w:szCs w:val="20"/>
          <w:lang w:val="en-IN"/>
        </w:rPr>
        <w:t xml:space="preserve">nal Sample Survey Office (NSSO) </w:t>
      </w:r>
      <w:r w:rsidR="0045244C">
        <w:rPr>
          <w:rFonts w:ascii="Arial" w:hAnsi="Arial" w:cs="Arial"/>
          <w:sz w:val="20"/>
          <w:szCs w:val="20"/>
          <w:lang w:val="en-IN"/>
        </w:rPr>
        <w:t xml:space="preserve">70th round survey </w:t>
      </w:r>
      <w:r w:rsidR="002C0EA7">
        <w:rPr>
          <w:rFonts w:ascii="Arial" w:hAnsi="Arial" w:cs="Arial"/>
          <w:sz w:val="20"/>
          <w:szCs w:val="20"/>
          <w:lang w:val="en-IN"/>
        </w:rPr>
        <w:t>show</w:t>
      </w:r>
      <w:r w:rsidR="0045244C">
        <w:rPr>
          <w:rFonts w:ascii="Arial" w:hAnsi="Arial" w:cs="Arial"/>
          <w:sz w:val="20"/>
          <w:szCs w:val="20"/>
          <w:lang w:val="en-IN"/>
        </w:rPr>
        <w:t xml:space="preserve"> that</w:t>
      </w:r>
      <w:r>
        <w:rPr>
          <w:rFonts w:ascii="Arial" w:hAnsi="Arial" w:cs="Arial"/>
          <w:sz w:val="20"/>
          <w:szCs w:val="20"/>
          <w:lang w:val="en-IN"/>
        </w:rPr>
        <w:t xml:space="preserve"> 51.9 per cent of agricult</w:t>
      </w:r>
      <w:r w:rsidR="0045244C">
        <w:rPr>
          <w:rFonts w:ascii="Arial" w:hAnsi="Arial" w:cs="Arial"/>
          <w:sz w:val="20"/>
          <w:szCs w:val="20"/>
          <w:lang w:val="en-IN"/>
        </w:rPr>
        <w:t xml:space="preserve">ural households in India are </w:t>
      </w:r>
      <w:r w:rsidR="0045244C" w:rsidRPr="0045244C">
        <w:rPr>
          <w:rFonts w:ascii="Arial" w:hAnsi="Arial" w:cs="Arial"/>
          <w:sz w:val="20"/>
          <w:szCs w:val="20"/>
          <w:lang w:val="en-IN"/>
        </w:rPr>
        <w:t>indebted</w:t>
      </w:r>
      <w:r w:rsidR="00657217">
        <w:rPr>
          <w:rFonts w:ascii="Arial" w:hAnsi="Arial" w:cs="Arial"/>
          <w:sz w:val="20"/>
          <w:szCs w:val="20"/>
          <w:lang w:val="en-IN"/>
        </w:rPr>
        <w:t xml:space="preserve">, </w:t>
      </w:r>
      <w:r>
        <w:rPr>
          <w:rFonts w:ascii="Arial" w:hAnsi="Arial" w:cs="Arial"/>
          <w:sz w:val="20"/>
          <w:szCs w:val="20"/>
          <w:lang w:val="en-IN"/>
        </w:rPr>
        <w:t xml:space="preserve">with an average outstanding loan amount of ₹47,000. </w:t>
      </w:r>
      <w:r w:rsidR="00657217">
        <w:rPr>
          <w:rFonts w:ascii="Arial" w:hAnsi="Arial" w:cs="Arial"/>
          <w:sz w:val="20"/>
          <w:szCs w:val="20"/>
          <w:lang w:val="en-IN"/>
        </w:rPr>
        <w:t>H</w:t>
      </w:r>
      <w:r>
        <w:rPr>
          <w:rFonts w:ascii="Arial" w:hAnsi="Arial" w:cs="Arial"/>
          <w:sz w:val="20"/>
          <w:szCs w:val="20"/>
          <w:lang w:val="en-IN"/>
        </w:rPr>
        <w:t xml:space="preserve">ouseholds that do not hold any debt from formal credit institutions are classified as financially </w:t>
      </w:r>
      <w:r w:rsidR="00FD7B6C">
        <w:rPr>
          <w:rFonts w:ascii="Arial" w:hAnsi="Arial" w:cs="Arial"/>
          <w:sz w:val="20"/>
          <w:szCs w:val="20"/>
          <w:lang w:val="en-IN"/>
        </w:rPr>
        <w:t>excluded a</w:t>
      </w:r>
      <w:r w:rsidR="00FD7B6C" w:rsidRPr="00FD7B6C">
        <w:rPr>
          <w:rFonts w:ascii="Arial" w:hAnsi="Arial" w:cs="Arial"/>
          <w:sz w:val="20"/>
          <w:szCs w:val="20"/>
          <w:lang w:val="en-IN"/>
        </w:rPr>
        <w:t>ccording to the NSSO classification.</w:t>
      </w:r>
    </w:p>
    <w:p w14:paraId="3514F6CF" w14:textId="26A43EB7"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Since 2005, reducing financial exclusion has been a priority for both the Indian government and the Reserve Bank of India, as outlined in the 12th Five-Year Plan. In Rajasthan, where </w:t>
      </w:r>
      <w:r w:rsidR="00613F70">
        <w:rPr>
          <w:rFonts w:ascii="Arial" w:hAnsi="Arial" w:cs="Arial"/>
          <w:sz w:val="20"/>
          <w:szCs w:val="20"/>
          <w:lang w:val="en-IN"/>
        </w:rPr>
        <w:t xml:space="preserve">access to </w:t>
      </w:r>
      <w:r>
        <w:rPr>
          <w:rFonts w:ascii="Arial" w:hAnsi="Arial" w:cs="Arial"/>
          <w:sz w:val="20"/>
          <w:szCs w:val="20"/>
          <w:lang w:val="en-IN"/>
        </w:rPr>
        <w:t xml:space="preserve">basic financial services </w:t>
      </w:r>
      <w:r w:rsidR="00613F70">
        <w:rPr>
          <w:rFonts w:ascii="Arial" w:hAnsi="Arial" w:cs="Arial"/>
          <w:sz w:val="20"/>
          <w:szCs w:val="20"/>
          <w:lang w:val="en-IN"/>
        </w:rPr>
        <w:t xml:space="preserve">has historically been </w:t>
      </w:r>
      <w:r>
        <w:rPr>
          <w:rFonts w:ascii="Arial" w:hAnsi="Arial" w:cs="Arial"/>
          <w:sz w:val="20"/>
          <w:szCs w:val="20"/>
          <w:lang w:val="en-IN"/>
        </w:rPr>
        <w:t xml:space="preserve">limited, the proportion of agricultural households </w:t>
      </w:r>
      <w:r w:rsidR="00613F70">
        <w:rPr>
          <w:rFonts w:ascii="Arial" w:hAnsi="Arial" w:cs="Arial"/>
          <w:sz w:val="20"/>
          <w:szCs w:val="20"/>
          <w:lang w:val="en-IN"/>
        </w:rPr>
        <w:t xml:space="preserve">without </w:t>
      </w:r>
      <w:r>
        <w:rPr>
          <w:rFonts w:ascii="Arial" w:hAnsi="Arial" w:cs="Arial"/>
          <w:sz w:val="20"/>
          <w:szCs w:val="20"/>
          <w:lang w:val="en-IN"/>
        </w:rPr>
        <w:t xml:space="preserve">access to formal credit </w:t>
      </w:r>
      <w:r w:rsidR="00613F70">
        <w:rPr>
          <w:rFonts w:ascii="Arial" w:hAnsi="Arial" w:cs="Arial"/>
          <w:sz w:val="20"/>
          <w:szCs w:val="20"/>
          <w:lang w:val="en-IN"/>
        </w:rPr>
        <w:t>declined</w:t>
      </w:r>
      <w:r>
        <w:rPr>
          <w:rFonts w:ascii="Arial" w:hAnsi="Arial" w:cs="Arial"/>
          <w:sz w:val="20"/>
          <w:szCs w:val="20"/>
          <w:lang w:val="en-IN"/>
        </w:rPr>
        <w:t xml:space="preserve"> from 47.6 per cent in the NSSO 59th round to 37.6 per cent in the NSSO 70th round</w:t>
      </w:r>
      <w:r w:rsidR="00A31E80">
        <w:rPr>
          <w:rFonts w:ascii="Arial" w:hAnsi="Arial" w:cs="Arial"/>
          <w:sz w:val="20"/>
          <w:szCs w:val="20"/>
          <w:lang w:val="en-IN"/>
        </w:rPr>
        <w:t xml:space="preserve">. </w:t>
      </w:r>
      <w:r w:rsidR="00613F70">
        <w:rPr>
          <w:rFonts w:ascii="Arial" w:hAnsi="Arial" w:cs="Arial"/>
          <w:sz w:val="20"/>
          <w:szCs w:val="20"/>
          <w:lang w:val="en-IN"/>
        </w:rPr>
        <w:t>This share further decreased</w:t>
      </w:r>
      <w:r>
        <w:rPr>
          <w:rFonts w:ascii="Arial" w:hAnsi="Arial" w:cs="Arial"/>
          <w:sz w:val="20"/>
          <w:szCs w:val="20"/>
          <w:lang w:val="en-IN"/>
        </w:rPr>
        <w:t xml:space="preserve"> to approximately 25.9 per cent in the NSSO 77th </w:t>
      </w:r>
      <w:r w:rsidR="00A31E80">
        <w:rPr>
          <w:rFonts w:ascii="Arial" w:hAnsi="Arial" w:cs="Arial"/>
          <w:sz w:val="20"/>
          <w:szCs w:val="20"/>
          <w:lang w:val="en-IN"/>
        </w:rPr>
        <w:t>round. ​</w:t>
      </w:r>
      <w:r>
        <w:rPr>
          <w:rFonts w:ascii="Arial" w:hAnsi="Arial" w:cs="Arial"/>
          <w:sz w:val="20"/>
          <w:szCs w:val="20"/>
          <w:lang w:val="en-IN"/>
        </w:rPr>
        <w:t xml:space="preserve"> </w:t>
      </w:r>
      <w:r w:rsidR="00613F70">
        <w:rPr>
          <w:rFonts w:ascii="Arial" w:hAnsi="Arial" w:cs="Arial"/>
          <w:sz w:val="20"/>
          <w:szCs w:val="20"/>
          <w:lang w:val="en-IN"/>
        </w:rPr>
        <w:t>However,</w:t>
      </w:r>
      <w:r>
        <w:rPr>
          <w:rFonts w:ascii="Arial" w:hAnsi="Arial" w:cs="Arial"/>
          <w:sz w:val="20"/>
          <w:szCs w:val="20"/>
          <w:lang w:val="en-IN"/>
        </w:rPr>
        <w:t xml:space="preserve"> </w:t>
      </w:r>
      <w:r w:rsidR="00613F70">
        <w:rPr>
          <w:rFonts w:ascii="Arial" w:hAnsi="Arial" w:cs="Arial"/>
          <w:sz w:val="20"/>
          <w:szCs w:val="20"/>
          <w:lang w:val="en-IN"/>
        </w:rPr>
        <w:t>the Rangarajan Committee (2008) reported that</w:t>
      </w:r>
      <w:r>
        <w:rPr>
          <w:rFonts w:ascii="Arial" w:hAnsi="Arial" w:cs="Arial"/>
          <w:sz w:val="20"/>
          <w:szCs w:val="20"/>
          <w:lang w:val="en-IN"/>
        </w:rPr>
        <w:t xml:space="preserve"> about 14 districts </w:t>
      </w:r>
      <w:r w:rsidR="00613F70">
        <w:rPr>
          <w:rFonts w:ascii="Arial" w:hAnsi="Arial" w:cs="Arial"/>
          <w:sz w:val="20"/>
          <w:szCs w:val="20"/>
          <w:lang w:val="en-IN"/>
        </w:rPr>
        <w:t xml:space="preserve">in the state </w:t>
      </w:r>
      <w:r>
        <w:rPr>
          <w:rFonts w:ascii="Arial" w:hAnsi="Arial" w:cs="Arial"/>
          <w:sz w:val="20"/>
          <w:szCs w:val="20"/>
          <w:lang w:val="en-IN"/>
        </w:rPr>
        <w:t xml:space="preserve">exhibited a </w:t>
      </w:r>
      <w:r w:rsidR="00D839E4">
        <w:rPr>
          <w:rFonts w:ascii="Arial" w:hAnsi="Arial" w:cs="Arial"/>
          <w:sz w:val="20"/>
          <w:szCs w:val="20"/>
          <w:lang w:val="en-IN"/>
        </w:rPr>
        <w:t>substantial</w:t>
      </w:r>
      <w:r>
        <w:rPr>
          <w:rFonts w:ascii="Arial" w:hAnsi="Arial" w:cs="Arial"/>
          <w:sz w:val="20"/>
          <w:szCs w:val="20"/>
          <w:lang w:val="en-IN"/>
        </w:rPr>
        <w:t xml:space="preserve"> credit gap ranging from 95.2 per cent to 97.8 per cent.</w:t>
      </w:r>
    </w:p>
    <w:p w14:paraId="004D3E2B" w14:textId="5E215171" w:rsidR="005A30D7" w:rsidRDefault="00D839E4">
      <w:pPr>
        <w:pStyle w:val="Standard"/>
        <w:spacing w:line="240" w:lineRule="auto"/>
        <w:jc w:val="both"/>
        <w:rPr>
          <w:rFonts w:ascii="Arial" w:hAnsi="Arial" w:cs="Arial"/>
          <w:sz w:val="20"/>
          <w:szCs w:val="20"/>
          <w:lang w:val="en-IN"/>
        </w:rPr>
      </w:pPr>
      <w:r w:rsidRPr="00D839E4">
        <w:rPr>
          <w:rFonts w:ascii="Arial" w:hAnsi="Arial" w:cs="Arial"/>
          <w:sz w:val="20"/>
          <w:szCs w:val="20"/>
          <w:lang w:val="en-IN"/>
        </w:rPr>
        <w:t>Despite the expansion of formal financial institutions,</w:t>
      </w:r>
      <w:r>
        <w:rPr>
          <w:rFonts w:ascii="Arial" w:hAnsi="Arial" w:cs="Arial"/>
          <w:sz w:val="20"/>
          <w:szCs w:val="20"/>
          <w:lang w:val="en-IN"/>
        </w:rPr>
        <w:t xml:space="preserve"> i</w:t>
      </w:r>
      <w:r w:rsidR="0081248F">
        <w:rPr>
          <w:rFonts w:ascii="Arial" w:hAnsi="Arial" w:cs="Arial"/>
          <w:sz w:val="20"/>
          <w:szCs w:val="20"/>
          <w:lang w:val="en-IN"/>
        </w:rPr>
        <w:t xml:space="preserve">nformal lending </w:t>
      </w:r>
      <w:r>
        <w:rPr>
          <w:rFonts w:ascii="Arial" w:hAnsi="Arial" w:cs="Arial"/>
          <w:sz w:val="20"/>
          <w:szCs w:val="20"/>
          <w:lang w:val="en-IN"/>
        </w:rPr>
        <w:t xml:space="preserve">channels- </w:t>
      </w:r>
      <w:r w:rsidR="0078320C">
        <w:rPr>
          <w:rFonts w:ascii="Arial" w:hAnsi="Arial" w:cs="Arial"/>
          <w:sz w:val="20"/>
          <w:szCs w:val="20"/>
          <w:lang w:val="en-IN"/>
        </w:rPr>
        <w:t xml:space="preserve">such </w:t>
      </w:r>
      <w:r w:rsidR="007D205D">
        <w:rPr>
          <w:rFonts w:ascii="Arial" w:hAnsi="Arial" w:cs="Arial"/>
          <w:sz w:val="20"/>
          <w:szCs w:val="20"/>
          <w:lang w:val="en-IN"/>
        </w:rPr>
        <w:t>as money</w:t>
      </w:r>
      <w:r w:rsidR="0078320C">
        <w:rPr>
          <w:rFonts w:ascii="Arial" w:hAnsi="Arial" w:cs="Arial"/>
          <w:sz w:val="20"/>
          <w:szCs w:val="20"/>
          <w:lang w:val="en-IN"/>
        </w:rPr>
        <w:t xml:space="preserve"> lenders, </w:t>
      </w:r>
      <w:r w:rsidR="00D87B87">
        <w:rPr>
          <w:rFonts w:ascii="Arial" w:hAnsi="Arial" w:cs="Arial"/>
          <w:sz w:val="20"/>
          <w:szCs w:val="20"/>
          <w:lang w:val="en-IN"/>
        </w:rPr>
        <w:t xml:space="preserve">friends and relatives- </w:t>
      </w:r>
      <w:r w:rsidR="00EA0C21">
        <w:rPr>
          <w:rFonts w:ascii="Arial" w:hAnsi="Arial" w:cs="Arial"/>
          <w:sz w:val="20"/>
          <w:szCs w:val="20"/>
          <w:lang w:val="en-IN"/>
        </w:rPr>
        <w:t>continue</w:t>
      </w:r>
      <w:r w:rsidR="0081248F">
        <w:rPr>
          <w:rFonts w:ascii="Arial" w:hAnsi="Arial" w:cs="Arial"/>
          <w:sz w:val="20"/>
          <w:szCs w:val="20"/>
          <w:lang w:val="en-IN"/>
        </w:rPr>
        <w:t xml:space="preserve"> to play a </w:t>
      </w:r>
      <w:r w:rsidR="00D87B87">
        <w:rPr>
          <w:rFonts w:ascii="Arial" w:hAnsi="Arial" w:cs="Arial"/>
          <w:sz w:val="20"/>
          <w:szCs w:val="20"/>
          <w:lang w:val="en-IN"/>
        </w:rPr>
        <w:t>significant</w:t>
      </w:r>
      <w:r w:rsidR="0081248F">
        <w:rPr>
          <w:rFonts w:ascii="Arial" w:hAnsi="Arial" w:cs="Arial"/>
          <w:sz w:val="20"/>
          <w:szCs w:val="20"/>
          <w:lang w:val="en-IN"/>
        </w:rPr>
        <w:t xml:space="preserve"> role in </w:t>
      </w:r>
      <w:r w:rsidR="007D205D">
        <w:rPr>
          <w:rFonts w:ascii="Arial" w:hAnsi="Arial" w:cs="Arial"/>
          <w:sz w:val="20"/>
          <w:szCs w:val="20"/>
          <w:lang w:val="en-IN"/>
        </w:rPr>
        <w:t>meeting</w:t>
      </w:r>
      <w:r w:rsidR="0081248F">
        <w:rPr>
          <w:rFonts w:ascii="Arial" w:hAnsi="Arial" w:cs="Arial"/>
          <w:sz w:val="20"/>
          <w:szCs w:val="20"/>
          <w:lang w:val="en-IN"/>
        </w:rPr>
        <w:t xml:space="preserve"> </w:t>
      </w:r>
      <w:r w:rsidR="006448E3">
        <w:rPr>
          <w:rFonts w:ascii="Arial" w:hAnsi="Arial" w:cs="Arial"/>
          <w:sz w:val="20"/>
          <w:szCs w:val="20"/>
          <w:lang w:val="en-IN"/>
        </w:rPr>
        <w:t xml:space="preserve">the </w:t>
      </w:r>
      <w:r w:rsidR="0081248F">
        <w:rPr>
          <w:rFonts w:ascii="Arial" w:hAnsi="Arial" w:cs="Arial"/>
          <w:sz w:val="20"/>
          <w:szCs w:val="20"/>
          <w:lang w:val="en-IN"/>
        </w:rPr>
        <w:t xml:space="preserve">credit </w:t>
      </w:r>
      <w:r w:rsidR="007D205D">
        <w:rPr>
          <w:rFonts w:ascii="Arial" w:hAnsi="Arial" w:cs="Arial"/>
          <w:sz w:val="20"/>
          <w:szCs w:val="20"/>
          <w:lang w:val="en-IN"/>
        </w:rPr>
        <w:t>needs of</w:t>
      </w:r>
      <w:r w:rsidR="0081248F">
        <w:rPr>
          <w:rFonts w:ascii="Arial" w:hAnsi="Arial" w:cs="Arial"/>
          <w:sz w:val="20"/>
          <w:szCs w:val="20"/>
          <w:lang w:val="en-IN"/>
        </w:rPr>
        <w:t xml:space="preserve"> househo</w:t>
      </w:r>
      <w:r w:rsidR="007C2053">
        <w:rPr>
          <w:rFonts w:ascii="Arial" w:hAnsi="Arial" w:cs="Arial"/>
          <w:sz w:val="20"/>
          <w:szCs w:val="20"/>
          <w:lang w:val="en-IN"/>
        </w:rPr>
        <w:t>lds in Rajasthan. T</w:t>
      </w:r>
      <w:r w:rsidR="00FB7DEA">
        <w:rPr>
          <w:rFonts w:ascii="Arial" w:hAnsi="Arial" w:cs="Arial"/>
          <w:sz w:val="20"/>
          <w:szCs w:val="20"/>
          <w:lang w:val="en-IN"/>
        </w:rPr>
        <w:t xml:space="preserve">he NSSO 77th round further indicates that </w:t>
      </w:r>
      <w:r w:rsidR="0081248F">
        <w:rPr>
          <w:rFonts w:ascii="Arial" w:hAnsi="Arial" w:cs="Arial"/>
          <w:sz w:val="20"/>
          <w:szCs w:val="20"/>
          <w:lang w:val="en-IN"/>
        </w:rPr>
        <w:t xml:space="preserve">approximately 28.5 per cent of rural households and 9.4 per cent of urban households relied on these informal financial channels, </w:t>
      </w:r>
      <w:r w:rsidR="00674067">
        <w:rPr>
          <w:rFonts w:ascii="Arial" w:hAnsi="Arial" w:cs="Arial"/>
          <w:sz w:val="20"/>
          <w:szCs w:val="20"/>
          <w:lang w:val="en-IN"/>
        </w:rPr>
        <w:t>highlighting</w:t>
      </w:r>
      <w:r w:rsidR="0081248F">
        <w:rPr>
          <w:rFonts w:ascii="Arial" w:hAnsi="Arial" w:cs="Arial"/>
          <w:sz w:val="20"/>
          <w:szCs w:val="20"/>
          <w:lang w:val="en-IN"/>
        </w:rPr>
        <w:t xml:space="preserve"> the continued </w:t>
      </w:r>
      <w:r w:rsidR="002C416D">
        <w:rPr>
          <w:rFonts w:ascii="Arial" w:hAnsi="Arial" w:cs="Arial"/>
          <w:sz w:val="20"/>
          <w:szCs w:val="20"/>
          <w:lang w:val="en-IN"/>
        </w:rPr>
        <w:t xml:space="preserve">dependence on </w:t>
      </w:r>
      <w:r w:rsidR="00780189" w:rsidRPr="00780189">
        <w:rPr>
          <w:rFonts w:ascii="Arial" w:hAnsi="Arial" w:cs="Arial"/>
          <w:sz w:val="20"/>
          <w:szCs w:val="20"/>
          <w:lang w:val="en-IN"/>
        </w:rPr>
        <w:t>non-institutional credit, particularly in rural areas</w:t>
      </w:r>
      <w:r w:rsidR="00780189">
        <w:rPr>
          <w:rFonts w:ascii="Arial" w:hAnsi="Arial" w:cs="Arial"/>
          <w:sz w:val="20"/>
          <w:szCs w:val="20"/>
          <w:lang w:val="en-IN"/>
        </w:rPr>
        <w:t>.</w:t>
      </w:r>
    </w:p>
    <w:p w14:paraId="2E56985E" w14:textId="03869CF2" w:rsidR="005A30D7" w:rsidRDefault="006C37AD">
      <w:pPr>
        <w:pStyle w:val="Standard"/>
        <w:spacing w:line="240" w:lineRule="auto"/>
        <w:jc w:val="both"/>
        <w:rPr>
          <w:rFonts w:ascii="Arial" w:hAnsi="Arial" w:cs="Arial"/>
          <w:sz w:val="20"/>
          <w:szCs w:val="20"/>
          <w:lang w:val="en-IN"/>
        </w:rPr>
      </w:pPr>
      <w:r>
        <w:rPr>
          <w:rFonts w:ascii="Arial" w:hAnsi="Arial" w:cs="Arial"/>
          <w:sz w:val="20"/>
          <w:szCs w:val="20"/>
          <w:lang w:val="en-IN"/>
        </w:rPr>
        <w:t>Although b</w:t>
      </w:r>
      <w:r w:rsidR="0081248F">
        <w:rPr>
          <w:rFonts w:ascii="Arial" w:hAnsi="Arial" w:cs="Arial"/>
          <w:sz w:val="20"/>
          <w:szCs w:val="20"/>
          <w:lang w:val="en-IN"/>
        </w:rPr>
        <w:t xml:space="preserve">anks have increased their share of institutional finance by 27 per cent over two </w:t>
      </w:r>
      <w:r w:rsidR="00A162D6">
        <w:rPr>
          <w:rFonts w:ascii="Arial" w:hAnsi="Arial" w:cs="Arial"/>
          <w:sz w:val="20"/>
          <w:szCs w:val="20"/>
          <w:lang w:val="en-IN"/>
        </w:rPr>
        <w:t xml:space="preserve">survey </w:t>
      </w:r>
      <w:r w:rsidR="00AE3592">
        <w:rPr>
          <w:rFonts w:ascii="Arial" w:hAnsi="Arial" w:cs="Arial"/>
          <w:sz w:val="20"/>
          <w:szCs w:val="20"/>
          <w:lang w:val="en-IN"/>
        </w:rPr>
        <w:t xml:space="preserve">rounds, </w:t>
      </w:r>
      <w:r w:rsidR="0081248F">
        <w:rPr>
          <w:rFonts w:ascii="Arial" w:hAnsi="Arial" w:cs="Arial"/>
          <w:sz w:val="20"/>
          <w:szCs w:val="20"/>
          <w:lang w:val="en-IN"/>
        </w:rPr>
        <w:t xml:space="preserve">money lenders have </w:t>
      </w:r>
      <w:r w:rsidR="00332F6F" w:rsidRPr="00332F6F">
        <w:rPr>
          <w:rFonts w:ascii="Arial" w:hAnsi="Arial" w:cs="Arial"/>
          <w:sz w:val="20"/>
          <w:szCs w:val="20"/>
          <w:lang w:val="en-IN"/>
        </w:rPr>
        <w:t>simultaneously expanded</w:t>
      </w:r>
      <w:r w:rsidR="0081248F">
        <w:rPr>
          <w:rFonts w:ascii="Arial" w:hAnsi="Arial" w:cs="Arial"/>
          <w:sz w:val="20"/>
          <w:szCs w:val="20"/>
          <w:lang w:val="en-IN"/>
        </w:rPr>
        <w:t xml:space="preserve"> their </w:t>
      </w:r>
      <w:r w:rsidR="00332F6F">
        <w:rPr>
          <w:rFonts w:ascii="Arial" w:hAnsi="Arial" w:cs="Arial"/>
          <w:sz w:val="20"/>
          <w:szCs w:val="20"/>
          <w:lang w:val="en-IN"/>
        </w:rPr>
        <w:t xml:space="preserve">share of </w:t>
      </w:r>
      <w:r w:rsidR="0081248F">
        <w:rPr>
          <w:rFonts w:ascii="Arial" w:hAnsi="Arial" w:cs="Arial"/>
          <w:sz w:val="20"/>
          <w:szCs w:val="20"/>
          <w:lang w:val="en-IN"/>
        </w:rPr>
        <w:t>non-</w:t>
      </w:r>
      <w:r w:rsidR="00BC680E">
        <w:rPr>
          <w:rFonts w:ascii="Arial" w:hAnsi="Arial" w:cs="Arial"/>
          <w:sz w:val="20"/>
          <w:szCs w:val="20"/>
          <w:lang w:val="en-IN"/>
        </w:rPr>
        <w:t>institutional lending</w:t>
      </w:r>
      <w:r w:rsidR="0081248F">
        <w:rPr>
          <w:rFonts w:ascii="Arial" w:hAnsi="Arial" w:cs="Arial"/>
          <w:sz w:val="20"/>
          <w:szCs w:val="20"/>
          <w:lang w:val="en-IN"/>
        </w:rPr>
        <w:t xml:space="preserve"> by 31 per cent. </w:t>
      </w:r>
      <w:r w:rsidR="00C6549D" w:rsidRPr="00C6549D">
        <w:rPr>
          <w:rFonts w:ascii="Arial" w:hAnsi="Arial" w:cs="Arial"/>
          <w:sz w:val="20"/>
          <w:szCs w:val="20"/>
          <w:lang w:val="en-IN"/>
        </w:rPr>
        <w:t>Consequently,</w:t>
      </w:r>
      <w:r w:rsidR="00C6549D">
        <w:rPr>
          <w:rFonts w:ascii="Arial" w:hAnsi="Arial" w:cs="Arial"/>
          <w:sz w:val="20"/>
          <w:szCs w:val="20"/>
          <w:lang w:val="en-IN"/>
        </w:rPr>
        <w:t xml:space="preserve"> </w:t>
      </w:r>
      <w:r w:rsidR="00BC680E" w:rsidRPr="00BC680E">
        <w:rPr>
          <w:rFonts w:ascii="Arial" w:hAnsi="Arial" w:cs="Arial"/>
          <w:sz w:val="20"/>
          <w:szCs w:val="20"/>
          <w:lang w:val="en-IN"/>
        </w:rPr>
        <w:t>a substantial number of</w:t>
      </w:r>
      <w:r w:rsidR="0081248F">
        <w:rPr>
          <w:rFonts w:ascii="Arial" w:hAnsi="Arial" w:cs="Arial"/>
          <w:sz w:val="20"/>
          <w:szCs w:val="20"/>
          <w:lang w:val="en-IN"/>
        </w:rPr>
        <w:t xml:space="preserve"> households</w:t>
      </w:r>
      <w:r w:rsidR="00BC680E">
        <w:rPr>
          <w:rFonts w:ascii="Arial" w:hAnsi="Arial" w:cs="Arial"/>
          <w:sz w:val="20"/>
          <w:szCs w:val="20"/>
          <w:lang w:val="en-IN"/>
        </w:rPr>
        <w:t>,</w:t>
      </w:r>
      <w:r w:rsidR="0081248F">
        <w:rPr>
          <w:rFonts w:ascii="Arial" w:hAnsi="Arial" w:cs="Arial"/>
          <w:sz w:val="20"/>
          <w:szCs w:val="20"/>
          <w:lang w:val="en-IN"/>
        </w:rPr>
        <w:t xml:space="preserve"> especially those with smaller landholdings</w:t>
      </w:r>
      <w:r w:rsidR="00BC680E">
        <w:rPr>
          <w:rFonts w:ascii="Arial" w:hAnsi="Arial" w:cs="Arial"/>
          <w:sz w:val="20"/>
          <w:szCs w:val="20"/>
          <w:lang w:val="en-IN"/>
        </w:rPr>
        <w:t>,</w:t>
      </w:r>
      <w:r w:rsidR="0081248F">
        <w:rPr>
          <w:rFonts w:ascii="Arial" w:hAnsi="Arial" w:cs="Arial"/>
          <w:sz w:val="20"/>
          <w:szCs w:val="20"/>
          <w:lang w:val="en-IN"/>
        </w:rPr>
        <w:t xml:space="preserve"> </w:t>
      </w:r>
      <w:r w:rsidR="00BC680E">
        <w:rPr>
          <w:rFonts w:ascii="Arial" w:hAnsi="Arial" w:cs="Arial"/>
          <w:sz w:val="20"/>
          <w:szCs w:val="20"/>
          <w:lang w:val="en-IN"/>
        </w:rPr>
        <w:t xml:space="preserve">continue to </w:t>
      </w:r>
      <w:r w:rsidR="0081248F">
        <w:rPr>
          <w:rFonts w:ascii="Arial" w:hAnsi="Arial" w:cs="Arial"/>
          <w:sz w:val="20"/>
          <w:szCs w:val="20"/>
          <w:lang w:val="en-IN"/>
        </w:rPr>
        <w:t xml:space="preserve">rely on </w:t>
      </w:r>
      <w:r w:rsidR="00E60FDB">
        <w:rPr>
          <w:rFonts w:ascii="Arial" w:hAnsi="Arial" w:cs="Arial"/>
          <w:sz w:val="20"/>
          <w:szCs w:val="20"/>
          <w:lang w:val="en-IN"/>
        </w:rPr>
        <w:t xml:space="preserve">informal </w:t>
      </w:r>
      <w:r w:rsidR="00FA33D6">
        <w:rPr>
          <w:rFonts w:ascii="Arial" w:hAnsi="Arial" w:cs="Arial"/>
          <w:sz w:val="20"/>
          <w:szCs w:val="20"/>
          <w:lang w:val="en-IN"/>
        </w:rPr>
        <w:t>sources</w:t>
      </w:r>
      <w:r w:rsidR="00E60FDB">
        <w:rPr>
          <w:rFonts w:ascii="Arial" w:hAnsi="Arial" w:cs="Arial"/>
          <w:sz w:val="20"/>
          <w:szCs w:val="20"/>
          <w:lang w:val="en-IN"/>
        </w:rPr>
        <w:t xml:space="preserve"> of credit. </w:t>
      </w:r>
      <w:r w:rsidR="0081248F">
        <w:rPr>
          <w:rFonts w:ascii="Arial" w:hAnsi="Arial" w:cs="Arial"/>
          <w:sz w:val="20"/>
          <w:szCs w:val="20"/>
          <w:lang w:val="en-IN"/>
        </w:rPr>
        <w:t>According to the NSSO 77th round, 60.3 per cent of agricultural households in Rajasthan were indebted, with an average outstanding</w:t>
      </w:r>
      <w:r w:rsidR="00921AE7">
        <w:rPr>
          <w:rFonts w:ascii="Arial" w:hAnsi="Arial" w:cs="Arial"/>
          <w:sz w:val="20"/>
          <w:szCs w:val="20"/>
          <w:lang w:val="en-IN"/>
        </w:rPr>
        <w:t xml:space="preserve"> loan of ₹113,865 per household. These figures indicate</w:t>
      </w:r>
      <w:r w:rsidR="0081248F">
        <w:rPr>
          <w:rFonts w:ascii="Arial" w:hAnsi="Arial" w:cs="Arial"/>
          <w:sz w:val="20"/>
          <w:szCs w:val="20"/>
          <w:lang w:val="en-IN"/>
        </w:rPr>
        <w:t xml:space="preserve"> that despite </w:t>
      </w:r>
      <w:r w:rsidR="00921AE7">
        <w:rPr>
          <w:rFonts w:ascii="Arial" w:hAnsi="Arial" w:cs="Arial"/>
          <w:sz w:val="20"/>
          <w:szCs w:val="20"/>
          <w:lang w:val="en-IN"/>
        </w:rPr>
        <w:t xml:space="preserve">various </w:t>
      </w:r>
      <w:r w:rsidR="0081248F">
        <w:rPr>
          <w:rFonts w:ascii="Arial" w:hAnsi="Arial" w:cs="Arial"/>
          <w:sz w:val="20"/>
          <w:szCs w:val="20"/>
          <w:lang w:val="en-IN"/>
        </w:rPr>
        <w:t xml:space="preserve">government </w:t>
      </w:r>
      <w:r w:rsidR="00921AE7">
        <w:rPr>
          <w:rFonts w:ascii="Arial" w:hAnsi="Arial" w:cs="Arial"/>
          <w:sz w:val="20"/>
          <w:szCs w:val="20"/>
          <w:lang w:val="en-IN"/>
        </w:rPr>
        <w:t xml:space="preserve">initiatives aimed at strengthening </w:t>
      </w:r>
      <w:r w:rsidR="00B5233E">
        <w:rPr>
          <w:rFonts w:ascii="Arial" w:hAnsi="Arial" w:cs="Arial"/>
          <w:sz w:val="20"/>
          <w:szCs w:val="20"/>
          <w:lang w:val="en-IN"/>
        </w:rPr>
        <w:t>financial inclusion</w:t>
      </w:r>
      <w:r w:rsidR="0081248F">
        <w:rPr>
          <w:rFonts w:ascii="Arial" w:hAnsi="Arial" w:cs="Arial"/>
          <w:sz w:val="20"/>
          <w:szCs w:val="20"/>
          <w:lang w:val="en-IN"/>
        </w:rPr>
        <w:t xml:space="preserve">, </w:t>
      </w:r>
      <w:r w:rsidR="00921AE7">
        <w:rPr>
          <w:rFonts w:ascii="Arial" w:hAnsi="Arial" w:cs="Arial"/>
          <w:sz w:val="20"/>
          <w:szCs w:val="20"/>
          <w:lang w:val="en-IN"/>
        </w:rPr>
        <w:t>considerable challenges remain</w:t>
      </w:r>
      <w:r w:rsidR="0081248F">
        <w:rPr>
          <w:rFonts w:ascii="Arial" w:hAnsi="Arial" w:cs="Arial"/>
          <w:sz w:val="20"/>
          <w:szCs w:val="20"/>
          <w:lang w:val="en-IN"/>
        </w:rPr>
        <w:t>.</w:t>
      </w:r>
    </w:p>
    <w:p w14:paraId="4B201016" w14:textId="6D3B30EC" w:rsidR="005A30D7" w:rsidRDefault="00993040">
      <w:pPr>
        <w:pStyle w:val="Standard"/>
        <w:spacing w:line="240" w:lineRule="auto"/>
        <w:jc w:val="both"/>
        <w:rPr>
          <w:rFonts w:ascii="Arial" w:hAnsi="Arial" w:cs="Arial"/>
          <w:sz w:val="20"/>
          <w:szCs w:val="20"/>
          <w:lang w:val="en-IN"/>
        </w:rPr>
      </w:pPr>
      <w:r>
        <w:rPr>
          <w:rFonts w:ascii="Arial" w:hAnsi="Arial" w:cs="Arial"/>
          <w:sz w:val="20"/>
          <w:szCs w:val="20"/>
          <w:lang w:val="en-IN"/>
        </w:rPr>
        <w:t>This study has been conducted taking separate</w:t>
      </w:r>
      <w:r w:rsidR="0081248F">
        <w:rPr>
          <w:rFonts w:ascii="Arial" w:hAnsi="Arial" w:cs="Arial"/>
          <w:sz w:val="20"/>
          <w:szCs w:val="20"/>
          <w:lang w:val="en-IN"/>
        </w:rPr>
        <w:t xml:space="preserve"> penetration indicators for deposit and credit accounts</w:t>
      </w:r>
      <w:r>
        <w:rPr>
          <w:rFonts w:ascii="Arial" w:hAnsi="Arial" w:cs="Arial"/>
          <w:sz w:val="20"/>
          <w:szCs w:val="20"/>
          <w:lang w:val="en-IN"/>
        </w:rPr>
        <w:t>. This</w:t>
      </w:r>
      <w:r w:rsidR="0081248F">
        <w:rPr>
          <w:rFonts w:ascii="Arial" w:hAnsi="Arial" w:cs="Arial"/>
          <w:sz w:val="20"/>
          <w:szCs w:val="20"/>
          <w:lang w:val="en-IN"/>
        </w:rPr>
        <w:t xml:space="preserve"> helps avoid the aggregation issues often seen in index construction. Moreover, deposit and credit accounts serve different purposes. Deposit accounts (including savings and term deposits) suit individuals and households with regular incomes, allowing them to save and withdraw funds as needed—especially those in urban areas and the formal sector. By contrast, credit accounts support entrepreneurs and households seeking loans for business or personal needs, and banks generally require proof of financial stability or income to reduce default risk. Given their distinct functions, it is crucial to evaluate deposit and credit products independently.</w:t>
      </w:r>
    </w:p>
    <w:p w14:paraId="2815FE3A" w14:textId="184CF77A"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A comparative analysis of the financial inclusion indicators for India and Rajasthan provides insights into </w:t>
      </w:r>
      <w:r w:rsidR="00C91156">
        <w:rPr>
          <w:rFonts w:ascii="Arial" w:hAnsi="Arial" w:cs="Arial"/>
          <w:sz w:val="20"/>
          <w:szCs w:val="20"/>
          <w:lang w:val="en-IN"/>
        </w:rPr>
        <w:t>financial</w:t>
      </w:r>
      <w:r>
        <w:rPr>
          <w:rFonts w:ascii="Arial" w:hAnsi="Arial" w:cs="Arial"/>
          <w:sz w:val="20"/>
          <w:szCs w:val="20"/>
          <w:lang w:val="en-IN"/>
        </w:rPr>
        <w:t xml:space="preserve"> penetration over time. These findings, illustrated in Figure 1 and </w:t>
      </w:r>
      <w:r w:rsidR="002422B3">
        <w:rPr>
          <w:rFonts w:ascii="Arial" w:hAnsi="Arial" w:cs="Arial"/>
          <w:sz w:val="20"/>
          <w:szCs w:val="20"/>
          <w:lang w:val="en-IN"/>
        </w:rPr>
        <w:t xml:space="preserve">Figure </w:t>
      </w:r>
      <w:r>
        <w:rPr>
          <w:rFonts w:ascii="Arial" w:hAnsi="Arial" w:cs="Arial"/>
          <w:sz w:val="20"/>
          <w:szCs w:val="20"/>
          <w:lang w:val="en-IN"/>
        </w:rPr>
        <w:t>2, highlight the factors influencing the Financial Inclusion Index (FII) and underscore how the two regions differ in their pace and extent of financial service adoption.</w:t>
      </w:r>
    </w:p>
    <w:p w14:paraId="6EC6AF90" w14:textId="77777777" w:rsidR="005A30D7" w:rsidRDefault="0081248F">
      <w:pPr>
        <w:pStyle w:val="Standard"/>
        <w:spacing w:after="0" w:line="256" w:lineRule="auto"/>
        <w:jc w:val="center"/>
      </w:pPr>
      <w:r>
        <w:rPr>
          <w:noProof/>
        </w:rPr>
        <w:lastRenderedPageBreak/>
        <w:drawing>
          <wp:inline distT="0" distB="0" distL="0" distR="0" wp14:anchorId="27725C80" wp14:editId="69535C96">
            <wp:extent cx="5581771" cy="2752526"/>
            <wp:effectExtent l="0" t="0" r="0" b="0"/>
            <wp:docPr id="1" name="Pict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cs="Times New Roman"/>
          <w:sz w:val="22"/>
          <w:szCs w:val="22"/>
          <w:lang w:val="en-IN"/>
        </w:rPr>
        <w:t xml:space="preserve"> </w:t>
      </w:r>
    </w:p>
    <w:p w14:paraId="574A25DE" w14:textId="77777777" w:rsidR="005A30D7" w:rsidRDefault="0081248F">
      <w:pPr>
        <w:pStyle w:val="Standard"/>
        <w:spacing w:after="0" w:line="256" w:lineRule="auto"/>
        <w:jc w:val="center"/>
        <w:rPr>
          <w:rFonts w:ascii="Arial" w:eastAsia="Times New Roman" w:hAnsi="Arial" w:cs="Arial"/>
          <w:i/>
          <w:iCs/>
          <w:kern w:val="0"/>
          <w:sz w:val="20"/>
          <w:szCs w:val="20"/>
          <w:lang w:val="en-IN" w:eastAsia="en-IN"/>
        </w:rPr>
      </w:pPr>
      <w:r>
        <w:rPr>
          <w:rFonts w:ascii="Arial" w:eastAsia="Times New Roman" w:hAnsi="Arial" w:cs="Arial"/>
          <w:i/>
          <w:iCs/>
          <w:kern w:val="0"/>
          <w:sz w:val="20"/>
          <w:szCs w:val="20"/>
          <w:lang w:val="en-IN" w:eastAsia="en-IN"/>
        </w:rPr>
        <w:t>Source. Constructed by authors using DES and DBIE database.</w:t>
      </w:r>
    </w:p>
    <w:p w14:paraId="529B878B" w14:textId="77777777" w:rsidR="005A30D7" w:rsidRDefault="0081248F">
      <w:pPr>
        <w:pStyle w:val="Standard"/>
        <w:spacing w:line="256" w:lineRule="auto"/>
        <w:jc w:val="center"/>
        <w:rPr>
          <w:rFonts w:ascii="Arial" w:hAnsi="Arial" w:cs="Arial"/>
          <w:b/>
          <w:bCs/>
          <w:sz w:val="20"/>
          <w:szCs w:val="20"/>
          <w:lang w:val="en-IN"/>
        </w:rPr>
      </w:pPr>
      <w:r>
        <w:rPr>
          <w:rFonts w:ascii="Arial" w:hAnsi="Arial" w:cs="Arial"/>
          <w:b/>
          <w:bCs/>
          <w:sz w:val="20"/>
          <w:szCs w:val="20"/>
          <w:lang w:val="en-IN"/>
        </w:rPr>
        <w:t>Figure 1. India and Rajasthan per account deposit</w:t>
      </w:r>
    </w:p>
    <w:p w14:paraId="33ABCDCB" w14:textId="77777777" w:rsidR="005A30D7" w:rsidRDefault="005A30D7">
      <w:pPr>
        <w:pStyle w:val="Standard"/>
        <w:spacing w:line="256" w:lineRule="auto"/>
        <w:jc w:val="center"/>
        <w:rPr>
          <w:rFonts w:ascii="Arial" w:hAnsi="Arial" w:cs="Arial"/>
          <w:b/>
          <w:bCs/>
          <w:sz w:val="20"/>
          <w:szCs w:val="20"/>
          <w:lang w:val="en-IN"/>
        </w:rPr>
      </w:pPr>
    </w:p>
    <w:p w14:paraId="6102A69B" w14:textId="77777777" w:rsidR="005A30D7" w:rsidRDefault="0081248F">
      <w:pPr>
        <w:pStyle w:val="Standard"/>
        <w:spacing w:after="0" w:line="256" w:lineRule="auto"/>
        <w:jc w:val="center"/>
      </w:pPr>
      <w:r>
        <w:rPr>
          <w:noProof/>
        </w:rPr>
        <w:drawing>
          <wp:inline distT="0" distB="0" distL="0" distR="0" wp14:anchorId="3E13C846" wp14:editId="17F700D8">
            <wp:extent cx="5648431" cy="2752526"/>
            <wp:effectExtent l="0" t="0" r="0" b="0"/>
            <wp:docPr id="2" name="Pictur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cs="Times New Roman"/>
          <w:sz w:val="22"/>
          <w:szCs w:val="22"/>
          <w:lang w:val="en-IN"/>
        </w:rPr>
        <w:t xml:space="preserve"> </w:t>
      </w:r>
    </w:p>
    <w:p w14:paraId="3DBE7B8C" w14:textId="77777777" w:rsidR="005A30D7" w:rsidRDefault="0081248F">
      <w:pPr>
        <w:pStyle w:val="Standard"/>
        <w:spacing w:line="240" w:lineRule="auto"/>
        <w:jc w:val="center"/>
        <w:rPr>
          <w:rFonts w:ascii="Arial" w:hAnsi="Arial" w:cs="Arial"/>
          <w:b/>
          <w:bCs/>
          <w:sz w:val="20"/>
          <w:szCs w:val="20"/>
          <w:lang w:val="en-IN"/>
        </w:rPr>
      </w:pPr>
      <w:r>
        <w:rPr>
          <w:rFonts w:ascii="Arial" w:hAnsi="Arial" w:cs="Arial"/>
          <w:b/>
          <w:bCs/>
          <w:sz w:val="20"/>
          <w:szCs w:val="20"/>
          <w:lang w:val="en-IN"/>
        </w:rPr>
        <w:t>Figure 2. India and Rajasthan per account credit</w:t>
      </w:r>
    </w:p>
    <w:p w14:paraId="4F9691A2" w14:textId="77777777" w:rsidR="005A30D7" w:rsidRDefault="0081248F">
      <w:pPr>
        <w:pStyle w:val="Standard"/>
        <w:spacing w:line="240" w:lineRule="auto"/>
        <w:jc w:val="center"/>
        <w:rPr>
          <w:rFonts w:ascii="Arial" w:eastAsia="Times New Roman" w:hAnsi="Arial" w:cs="Arial"/>
          <w:i/>
          <w:iCs/>
          <w:kern w:val="0"/>
          <w:sz w:val="20"/>
          <w:szCs w:val="20"/>
          <w:lang w:val="en-IN" w:eastAsia="en-IN"/>
        </w:rPr>
      </w:pPr>
      <w:r>
        <w:rPr>
          <w:rFonts w:ascii="Arial" w:eastAsia="Times New Roman" w:hAnsi="Arial" w:cs="Arial"/>
          <w:i/>
          <w:iCs/>
          <w:kern w:val="0"/>
          <w:sz w:val="20"/>
          <w:szCs w:val="20"/>
          <w:lang w:val="en-IN" w:eastAsia="en-IN"/>
        </w:rPr>
        <w:t>Source. Constructed by authors using DES and DBIE database.</w:t>
      </w:r>
    </w:p>
    <w:p w14:paraId="5E5DE3A5" w14:textId="77777777" w:rsidR="005A30D7" w:rsidRDefault="005A30D7">
      <w:pPr>
        <w:pStyle w:val="Standard"/>
        <w:spacing w:line="240" w:lineRule="auto"/>
        <w:jc w:val="center"/>
        <w:rPr>
          <w:rFonts w:ascii="Arial" w:hAnsi="Arial" w:cs="Arial"/>
          <w:b/>
          <w:bCs/>
          <w:sz w:val="20"/>
          <w:szCs w:val="20"/>
          <w:lang w:val="en-IN"/>
        </w:rPr>
      </w:pPr>
    </w:p>
    <w:p w14:paraId="52F30B14" w14:textId="77777777" w:rsidR="005A30D7" w:rsidRDefault="0081248F">
      <w:pPr>
        <w:pStyle w:val="Standard"/>
        <w:spacing w:line="240" w:lineRule="auto"/>
        <w:jc w:val="both"/>
      </w:pPr>
      <w:r>
        <w:rPr>
          <w:rFonts w:ascii="Arial" w:hAnsi="Arial" w:cs="Arial"/>
          <w:sz w:val="20"/>
          <w:szCs w:val="20"/>
          <w:lang w:val="en-IN"/>
        </w:rPr>
        <w:t>Both Figure 1 and Figure 2 illustrate a clear upward trend in the average (per account) deposit and credit amounts for both India and Rajasthan from 1994 to 2023, reflecting the steady growth</w:t>
      </w:r>
      <w:r>
        <w:rPr>
          <w:rFonts w:ascii="Arial" w:hAnsi="Arial" w:cs="Arial"/>
          <w:sz w:val="22"/>
          <w:szCs w:val="22"/>
          <w:lang w:val="en-IN"/>
        </w:rPr>
        <w:t xml:space="preserve"> </w:t>
      </w:r>
      <w:r>
        <w:rPr>
          <w:rFonts w:ascii="Arial" w:hAnsi="Arial" w:cs="Arial"/>
          <w:sz w:val="20"/>
          <w:szCs w:val="20"/>
          <w:lang w:val="en-IN"/>
        </w:rPr>
        <w:t>of financial services in both regions. In Figure 1, India consistently shows higher per account deposit values than Rajasthan, indicating stronger deposit mobilization at the national level. However, Rajasthan has shown significant improvement in recent years, gradually narrowing the gap and reflecting increasing access to and usage of formal savings instruments.</w:t>
      </w:r>
    </w:p>
    <w:p w14:paraId="50FCEBCF" w14:textId="77777777"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Figure 2 shows a similar upward trajectory in per account credit values, with India initially maintaining a substantial lead. Nonetheless, the graph reveals a notable surge in Rajasthan’s credit figures in the later </w:t>
      </w:r>
      <w:r>
        <w:rPr>
          <w:rFonts w:ascii="Arial" w:hAnsi="Arial" w:cs="Arial"/>
          <w:sz w:val="20"/>
          <w:szCs w:val="20"/>
          <w:lang w:val="en-IN"/>
        </w:rPr>
        <w:lastRenderedPageBreak/>
        <w:t>years, suggesting an ongoing catch-up in credit penetration. Any persistent gap between the two regions reflects disparities in access to formal credit, possibly driven by differences in infrastructure, income levels, or institutional outreach. Overall, the data highlights a continuous expansion in financial inclusion through deposits and credit across both geographies, while also emphasizing the existing gap in financial penetration that Rajasthan is gradually working to bridge.</w:t>
      </w:r>
    </w:p>
    <w:p w14:paraId="11EF5379" w14:textId="77777777"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Additionally, Figure 3 illustrates the distribution of per account deposit and credit amounts across districts of Rajasthan in 2023, highlighting notable differences in district-wise financial activity. It demonstrates where deposits outweigh credit and vice versa, indicating varying degrees of financial penetration. By including this chart, we can pinpoint districts needing more targeted interventions to balance deposit and credit growth.</w:t>
      </w:r>
    </w:p>
    <w:p w14:paraId="2561F252" w14:textId="77777777" w:rsidR="005A30D7" w:rsidRDefault="005A30D7">
      <w:pPr>
        <w:pStyle w:val="Standard"/>
        <w:spacing w:line="256" w:lineRule="auto"/>
        <w:jc w:val="both"/>
        <w:rPr>
          <w:rFonts w:ascii="Arial" w:hAnsi="Arial" w:cs="Times New Roman"/>
          <w:sz w:val="20"/>
          <w:szCs w:val="20"/>
          <w:lang w:val="en-IN"/>
        </w:rPr>
      </w:pPr>
    </w:p>
    <w:p w14:paraId="3999F175" w14:textId="77777777" w:rsidR="005A30D7" w:rsidRDefault="0081248F">
      <w:pPr>
        <w:pStyle w:val="Standard"/>
        <w:spacing w:line="256" w:lineRule="auto"/>
        <w:jc w:val="center"/>
      </w:pPr>
      <w:r>
        <w:rPr>
          <w:noProof/>
        </w:rPr>
        <w:drawing>
          <wp:inline distT="0" distB="0" distL="0" distR="0" wp14:anchorId="79E82905" wp14:editId="05C29255">
            <wp:extent cx="5819790" cy="2752526"/>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D0DBC9" w14:textId="77777777" w:rsidR="005A30D7" w:rsidRDefault="0081248F">
      <w:pPr>
        <w:pStyle w:val="Standard"/>
        <w:spacing w:line="256" w:lineRule="auto"/>
        <w:jc w:val="center"/>
      </w:pPr>
      <w:r>
        <w:rPr>
          <w:rFonts w:ascii="Arial" w:hAnsi="Arial" w:cs="Arial"/>
          <w:b/>
          <w:bCs/>
          <w:sz w:val="20"/>
          <w:szCs w:val="20"/>
          <w:lang w:val="en-IN"/>
        </w:rPr>
        <w:t>Figure 3. Per account deposit and credit of the districts of Rajasthan in 2023</w:t>
      </w:r>
    </w:p>
    <w:p w14:paraId="248C9666" w14:textId="77777777" w:rsidR="005A30D7" w:rsidRDefault="0081248F">
      <w:pPr>
        <w:pStyle w:val="Standard"/>
        <w:spacing w:line="256" w:lineRule="auto"/>
        <w:jc w:val="center"/>
      </w:pPr>
      <w:r>
        <w:rPr>
          <w:rFonts w:ascii="Arial" w:eastAsia="Times New Roman" w:hAnsi="Arial" w:cs="Arial"/>
          <w:i/>
          <w:iCs/>
          <w:kern w:val="0"/>
          <w:sz w:val="20"/>
          <w:szCs w:val="20"/>
          <w:lang w:val="en-IN" w:eastAsia="en-IN"/>
        </w:rPr>
        <w:t>Source. Constructed by authors using the DES database.</w:t>
      </w:r>
    </w:p>
    <w:p w14:paraId="40727B81" w14:textId="171B23A5"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Figure 3 provides a comparative picture of </w:t>
      </w:r>
      <w:r w:rsidR="00C6377F">
        <w:rPr>
          <w:rFonts w:ascii="Arial" w:hAnsi="Arial" w:cs="Arial"/>
          <w:sz w:val="20"/>
          <w:szCs w:val="20"/>
          <w:lang w:val="en-IN"/>
        </w:rPr>
        <w:t xml:space="preserve">deposits and credits per account across 30 districts of Rajasthan in </w:t>
      </w:r>
      <w:r>
        <w:rPr>
          <w:rFonts w:ascii="Arial" w:hAnsi="Arial" w:cs="Arial"/>
          <w:sz w:val="20"/>
          <w:szCs w:val="20"/>
          <w:lang w:val="en-IN"/>
        </w:rPr>
        <w:t>2023. The data clearly shows significant inter-district variation in financial activity. Jaipur stands out prominently with the highest values in both deposit and credit amounts, indicating its role as the state's primary financial hub. Ganganagar and Udaipur also exhibit relatively high financial activity, although the gap between deposits and credit is more pronounced in these regions.</w:t>
      </w:r>
    </w:p>
    <w:p w14:paraId="02F8E367" w14:textId="77777777" w:rsidR="005A30D7" w:rsidRDefault="0081248F">
      <w:pPr>
        <w:pStyle w:val="Standard"/>
        <w:spacing w:line="240" w:lineRule="auto"/>
        <w:jc w:val="both"/>
      </w:pPr>
      <w:r>
        <w:rPr>
          <w:rFonts w:ascii="Arial" w:hAnsi="Arial" w:cs="Arial"/>
          <w:sz w:val="20"/>
          <w:szCs w:val="20"/>
          <w:lang w:val="en-IN"/>
        </w:rPr>
        <w:t>In contrast, several districts such as Dholpur, Baran, and Bundi display considerably lower figures, reflecting limited financial penetration and possibly underdeveloped banking infrastructure. Interestingly, in a few districts like Ganganagar and Bharatpur, credit amounts are nearly equal to or exceed deposit amounts, which may point to higher lending intensity or agricultural and business credit dependency. Overall, the figure underscores the uneven distribution of financial resources across districts in Rajasthan, highlighting the need for more balanced regional development and targeted financial inclusion strategies. The disparities call for policy attention to enhance banking access and credit flow in lagging districts while sustaining the growth momentum in financially active regions.</w:t>
      </w:r>
    </w:p>
    <w:p w14:paraId="2390516C" w14:textId="575720FA" w:rsidR="007A1F86" w:rsidRDefault="007A1F86">
      <w:pPr>
        <w:pStyle w:val="Standard"/>
        <w:spacing w:line="240" w:lineRule="auto"/>
        <w:jc w:val="both"/>
        <w:rPr>
          <w:rFonts w:ascii="Arial" w:hAnsi="Arial" w:cs="Arial"/>
          <w:sz w:val="20"/>
          <w:szCs w:val="20"/>
          <w:lang w:val="en-IN"/>
        </w:rPr>
      </w:pPr>
      <w:r>
        <w:rPr>
          <w:rFonts w:ascii="Arial" w:hAnsi="Arial" w:cs="Arial"/>
          <w:sz w:val="20"/>
          <w:szCs w:val="20"/>
          <w:lang w:val="en-IN"/>
        </w:rPr>
        <w:t>In the light of above discussion, it is pertinent to examine</w:t>
      </w:r>
      <w:r w:rsidR="0081248F">
        <w:rPr>
          <w:rFonts w:ascii="Arial" w:hAnsi="Arial" w:cs="Arial"/>
          <w:sz w:val="20"/>
          <w:szCs w:val="20"/>
          <w:lang w:val="en-IN"/>
        </w:rPr>
        <w:t xml:space="preserve"> the determinants of financial inclusion in 30 districts of Rajasthan, using data fr</w:t>
      </w:r>
      <w:r>
        <w:rPr>
          <w:rFonts w:ascii="Arial" w:hAnsi="Arial" w:cs="Arial"/>
          <w:sz w:val="20"/>
          <w:szCs w:val="20"/>
          <w:lang w:val="en-IN"/>
        </w:rPr>
        <w:t>om 1994 to 2020</w:t>
      </w:r>
      <w:r w:rsidR="009B3ABE">
        <w:rPr>
          <w:rFonts w:ascii="Arial" w:hAnsi="Arial" w:cs="Arial"/>
          <w:sz w:val="20"/>
          <w:szCs w:val="20"/>
          <w:lang w:val="en-IN"/>
        </w:rPr>
        <w:t>.</w:t>
      </w:r>
    </w:p>
    <w:p w14:paraId="111BF2E6" w14:textId="594DA86B" w:rsidR="005A30D7" w:rsidRDefault="0081248F">
      <w:pPr>
        <w:pStyle w:val="Standard"/>
        <w:spacing w:line="240" w:lineRule="auto"/>
        <w:jc w:val="both"/>
        <w:rPr>
          <w:rFonts w:ascii="Arial" w:hAnsi="Arial" w:cs="Arial"/>
          <w:sz w:val="20"/>
          <w:szCs w:val="20"/>
          <w:lang w:val="en-IN"/>
        </w:rPr>
      </w:pPr>
      <w:r>
        <w:rPr>
          <w:rFonts w:ascii="Arial" w:hAnsi="Arial" w:cs="Arial"/>
          <w:sz w:val="20"/>
          <w:szCs w:val="20"/>
          <w:lang w:val="en-IN"/>
        </w:rPr>
        <w:t xml:space="preserve">The rest of the paper is structured as follows: Section 2 reviews related literature, Section 3 presents the methodology and outlines </w:t>
      </w:r>
      <w:r w:rsidR="003D4D3A">
        <w:rPr>
          <w:rFonts w:ascii="Arial" w:hAnsi="Arial" w:cs="Arial"/>
          <w:sz w:val="20"/>
          <w:szCs w:val="20"/>
          <w:lang w:val="en-IN"/>
        </w:rPr>
        <w:t xml:space="preserve">the data sources and variables, and Section 4 offers analyses to explore the </w:t>
      </w:r>
      <w:r w:rsidR="003D4D3A">
        <w:rPr>
          <w:rFonts w:ascii="Arial" w:hAnsi="Arial" w:cs="Arial"/>
          <w:sz w:val="20"/>
          <w:szCs w:val="20"/>
          <w:lang w:val="en-IN"/>
        </w:rPr>
        <w:lastRenderedPageBreak/>
        <w:t>determinants of financial inclusion using district-level</w:t>
      </w:r>
      <w:r>
        <w:rPr>
          <w:rFonts w:ascii="Arial" w:hAnsi="Arial" w:cs="Arial"/>
          <w:sz w:val="20"/>
          <w:szCs w:val="20"/>
          <w:lang w:val="en-IN"/>
        </w:rPr>
        <w:t xml:space="preserve"> data. Section 5 concludes </w:t>
      </w:r>
      <w:r w:rsidR="00234241">
        <w:rPr>
          <w:rFonts w:ascii="Arial" w:hAnsi="Arial" w:cs="Arial"/>
          <w:sz w:val="20"/>
          <w:szCs w:val="20"/>
          <w:lang w:val="en-IN"/>
        </w:rPr>
        <w:t xml:space="preserve">the study, </w:t>
      </w:r>
      <w:r>
        <w:rPr>
          <w:rFonts w:ascii="Arial" w:hAnsi="Arial" w:cs="Arial"/>
          <w:sz w:val="20"/>
          <w:szCs w:val="20"/>
          <w:lang w:val="en-IN"/>
        </w:rPr>
        <w:t>and Section 6 provides suggestions.</w:t>
      </w:r>
    </w:p>
    <w:p w14:paraId="78421687" w14:textId="77777777" w:rsidR="005A30D7" w:rsidRDefault="005A30D7">
      <w:pPr>
        <w:pStyle w:val="Standard"/>
        <w:spacing w:line="240" w:lineRule="auto"/>
        <w:jc w:val="both"/>
        <w:rPr>
          <w:rFonts w:ascii="Arial" w:hAnsi="Arial" w:cs="Arial"/>
          <w:color w:val="C00000"/>
          <w:sz w:val="20"/>
          <w:szCs w:val="20"/>
          <w:lang w:val="en-IN"/>
        </w:rPr>
      </w:pPr>
    </w:p>
    <w:p w14:paraId="1A6722FF" w14:textId="77777777" w:rsidR="005A30D7" w:rsidRDefault="0081248F">
      <w:pPr>
        <w:pStyle w:val="Standard"/>
        <w:spacing w:line="256" w:lineRule="auto"/>
        <w:jc w:val="both"/>
      </w:pPr>
      <w:r>
        <w:rPr>
          <w:rFonts w:ascii="Arial" w:hAnsi="Arial" w:cs="Arial"/>
          <w:b/>
          <w:bCs/>
          <w:sz w:val="22"/>
          <w:szCs w:val="22"/>
          <w:lang w:val="en-IN"/>
        </w:rPr>
        <w:t>2. REVIEW OF LITERATURE</w:t>
      </w:r>
    </w:p>
    <w:p w14:paraId="01B63E1F" w14:textId="48DF3644"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 xml:space="preserve">Researchers have used </w:t>
      </w:r>
      <w:r w:rsidR="00765B18">
        <w:rPr>
          <w:rFonts w:ascii="Arial" w:eastAsia="Times New Roman" w:hAnsi="Arial" w:cs="Arial"/>
          <w:kern w:val="0"/>
          <w:sz w:val="20"/>
          <w:szCs w:val="20"/>
          <w:lang w:val="en-IN" w:eastAsia="en-IN"/>
        </w:rPr>
        <w:t>various methods to understand what drives financial inclusion—starting with simple comparisons across regions and gradually moving to more advanced techniques such as</w:t>
      </w:r>
      <w:r>
        <w:rPr>
          <w:rFonts w:ascii="Arial" w:eastAsia="Times New Roman" w:hAnsi="Arial" w:cs="Arial"/>
          <w:kern w:val="0"/>
          <w:sz w:val="20"/>
          <w:szCs w:val="20"/>
          <w:lang w:val="en-IN" w:eastAsia="en-IN"/>
        </w:rPr>
        <w:t xml:space="preserve"> dynamic panel models and detailed individual-level analysis.</w:t>
      </w:r>
    </w:p>
    <w:p w14:paraId="4779E88E" w14:textId="1439EB85"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 xml:space="preserve">Bhanot et al. (2012) explored determinants of financial inclusion in rural India using data collected from household surveys. Their econometric analysis emphasized literacy, household income, employment status, and physical proximity to banking services as significant drivers. Notably, households with better literacy and higher income </w:t>
      </w:r>
      <w:r w:rsidR="006D47C4">
        <w:rPr>
          <w:rFonts w:ascii="Arial" w:eastAsia="Times New Roman" w:hAnsi="Arial" w:cs="Arial"/>
          <w:kern w:val="0"/>
          <w:sz w:val="20"/>
          <w:szCs w:val="20"/>
          <w:lang w:val="en-IN" w:eastAsia="en-IN"/>
        </w:rPr>
        <w:t xml:space="preserve">levels </w:t>
      </w:r>
      <w:r>
        <w:rPr>
          <w:rFonts w:ascii="Arial" w:eastAsia="Times New Roman" w:hAnsi="Arial" w:cs="Arial"/>
          <w:kern w:val="0"/>
          <w:sz w:val="20"/>
          <w:szCs w:val="20"/>
          <w:lang w:val="en-IN" w:eastAsia="en-IN"/>
        </w:rPr>
        <w:t>showed a stronger inclination to adopt formal financial services, highlighting education and economic empowerment as fundamental catalysts of financial inclusion.</w:t>
      </w:r>
    </w:p>
    <w:p w14:paraId="2ADB5965" w14:textId="058E8D5A"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 xml:space="preserve">Singh and </w:t>
      </w:r>
      <w:r w:rsidR="00E31ECE">
        <w:rPr>
          <w:rFonts w:ascii="Arial" w:eastAsia="Times New Roman" w:hAnsi="Arial" w:cs="Arial"/>
          <w:kern w:val="0"/>
          <w:sz w:val="20"/>
          <w:szCs w:val="20"/>
          <w:lang w:val="en-IN" w:eastAsia="en-IN"/>
        </w:rPr>
        <w:t>Tandon</w:t>
      </w:r>
      <w:r>
        <w:rPr>
          <w:rFonts w:ascii="Arial" w:eastAsia="Times New Roman" w:hAnsi="Arial" w:cs="Arial"/>
          <w:kern w:val="0"/>
          <w:sz w:val="20"/>
          <w:szCs w:val="20"/>
          <w:lang w:val="en-IN" w:eastAsia="en-IN"/>
        </w:rPr>
        <w:t xml:space="preserve"> (2012) investigated determinants of financial inclusion [</w:t>
      </w:r>
      <w:r w:rsidR="00E52CA9">
        <w:rPr>
          <w:rFonts w:ascii="Arial" w:eastAsia="Times New Roman" w:hAnsi="Arial" w:cs="Arial"/>
          <w:kern w:val="0"/>
          <w:sz w:val="20"/>
          <w:szCs w:val="20"/>
          <w:lang w:val="en-IN" w:eastAsia="en-IN"/>
        </w:rPr>
        <w:t>measured</w:t>
      </w:r>
      <w:r>
        <w:rPr>
          <w:rFonts w:ascii="Arial" w:eastAsia="Times New Roman" w:hAnsi="Arial" w:cs="Arial"/>
          <w:kern w:val="0"/>
          <w:sz w:val="20"/>
          <w:szCs w:val="20"/>
          <w:lang w:val="en-IN" w:eastAsia="en-IN"/>
        </w:rPr>
        <w:t xml:space="preserve"> by an Index of Financial Inclusion (IFI)] at the state level in India. Using Ordinary Least Squares (OLS) regression methods, they found that higher per capita Net State Domestic Product (NSDP) and increased urbanization rates were significantly associated with greater financial inclusion. Conversely, their study indicated that literacy and employment rates had no statistically significant impact on financial inclusion, suggesting economic factors might play a more dominant role </w:t>
      </w:r>
      <w:r w:rsidR="00FB69A7">
        <w:rPr>
          <w:rFonts w:ascii="Arial" w:eastAsia="Times New Roman" w:hAnsi="Arial" w:cs="Arial"/>
          <w:kern w:val="0"/>
          <w:sz w:val="20"/>
          <w:szCs w:val="20"/>
          <w:lang w:val="en-IN" w:eastAsia="en-IN"/>
        </w:rPr>
        <w:t>than</w:t>
      </w:r>
      <w:r>
        <w:rPr>
          <w:rFonts w:ascii="Arial" w:eastAsia="Times New Roman" w:hAnsi="Arial" w:cs="Arial"/>
          <w:kern w:val="0"/>
          <w:sz w:val="20"/>
          <w:szCs w:val="20"/>
          <w:lang w:val="en-IN" w:eastAsia="en-IN"/>
        </w:rPr>
        <w:t xml:space="preserve"> educational ones in promoting financial access.</w:t>
      </w:r>
    </w:p>
    <w:p w14:paraId="3C013EF3" w14:textId="324B3BC6"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 xml:space="preserve">Kumar (2013) employed a robust analytical approach by examining panel data for 29 Indian states from 1995 to 2008. Using both fixed-effects and </w:t>
      </w:r>
      <w:r w:rsidR="001B6B29">
        <w:rPr>
          <w:rFonts w:ascii="Arial" w:eastAsia="Times New Roman" w:hAnsi="Arial" w:cs="Arial"/>
          <w:kern w:val="0"/>
          <w:sz w:val="20"/>
          <w:szCs w:val="20"/>
          <w:lang w:val="en-IN" w:eastAsia="en-IN"/>
        </w:rPr>
        <w:t xml:space="preserve">Generalized Methods </w:t>
      </w:r>
      <w:r w:rsidR="00EA5E7A">
        <w:rPr>
          <w:rFonts w:ascii="Arial" w:eastAsia="Times New Roman" w:hAnsi="Arial" w:cs="Arial"/>
          <w:kern w:val="0"/>
          <w:sz w:val="20"/>
          <w:szCs w:val="20"/>
          <w:lang w:val="en-IN" w:eastAsia="en-IN"/>
        </w:rPr>
        <w:t>of</w:t>
      </w:r>
      <w:r w:rsidR="001B6B29">
        <w:rPr>
          <w:rFonts w:ascii="Arial" w:eastAsia="Times New Roman" w:hAnsi="Arial" w:cs="Arial"/>
          <w:kern w:val="0"/>
          <w:sz w:val="20"/>
          <w:szCs w:val="20"/>
          <w:lang w:val="en-IN" w:eastAsia="en-IN"/>
        </w:rPr>
        <w:t xml:space="preserve"> Moments </w:t>
      </w:r>
      <w:r>
        <w:rPr>
          <w:rFonts w:ascii="Arial" w:eastAsia="Times New Roman" w:hAnsi="Arial" w:cs="Arial"/>
          <w:kern w:val="0"/>
          <w:sz w:val="20"/>
          <w:szCs w:val="20"/>
          <w:lang w:val="en-IN" w:eastAsia="en-IN"/>
        </w:rPr>
        <w:t xml:space="preserve">(GMM) </w:t>
      </w:r>
      <w:r w:rsidR="00A13388">
        <w:rPr>
          <w:rFonts w:ascii="Arial" w:eastAsia="Times New Roman" w:hAnsi="Arial" w:cs="Arial"/>
          <w:kern w:val="0"/>
          <w:sz w:val="20"/>
          <w:szCs w:val="20"/>
          <w:lang w:val="en-IN" w:eastAsia="en-IN"/>
        </w:rPr>
        <w:t>models</w:t>
      </w:r>
      <w:r>
        <w:rPr>
          <w:rFonts w:ascii="Arial" w:eastAsia="Times New Roman" w:hAnsi="Arial" w:cs="Arial"/>
          <w:kern w:val="0"/>
          <w:sz w:val="20"/>
          <w:szCs w:val="20"/>
          <w:lang w:val="en-IN" w:eastAsia="en-IN"/>
        </w:rPr>
        <w:t xml:space="preserve">, Kumar identified employment generation through industrial growth and manufacturing sector expansion as key drivers of financial inclusion. His results emphasized that states </w:t>
      </w:r>
      <w:r w:rsidR="007E2F75">
        <w:rPr>
          <w:rFonts w:ascii="Arial" w:eastAsia="Times New Roman" w:hAnsi="Arial" w:cs="Arial"/>
          <w:kern w:val="0"/>
          <w:sz w:val="20"/>
          <w:szCs w:val="20"/>
          <w:lang w:val="en-IN" w:eastAsia="en-IN"/>
        </w:rPr>
        <w:t>having</w:t>
      </w:r>
      <w:r>
        <w:rPr>
          <w:rFonts w:ascii="Arial" w:eastAsia="Times New Roman" w:hAnsi="Arial" w:cs="Arial"/>
          <w:kern w:val="0"/>
          <w:sz w:val="20"/>
          <w:szCs w:val="20"/>
          <w:lang w:val="en-IN" w:eastAsia="en-IN"/>
        </w:rPr>
        <w:t xml:space="preserve"> robust industrial activities experienced significantly hig</w:t>
      </w:r>
      <w:r w:rsidR="004E1CD9">
        <w:rPr>
          <w:rFonts w:ascii="Arial" w:eastAsia="Times New Roman" w:hAnsi="Arial" w:cs="Arial"/>
          <w:kern w:val="0"/>
          <w:sz w:val="20"/>
          <w:szCs w:val="20"/>
          <w:lang w:val="en-IN" w:eastAsia="en-IN"/>
        </w:rPr>
        <w:t>her levels</w:t>
      </w:r>
      <w:r>
        <w:rPr>
          <w:rFonts w:ascii="Arial" w:eastAsia="Times New Roman" w:hAnsi="Arial" w:cs="Arial"/>
          <w:kern w:val="0"/>
          <w:sz w:val="20"/>
          <w:szCs w:val="20"/>
          <w:lang w:val="en-IN" w:eastAsia="en-IN"/>
        </w:rPr>
        <w:t xml:space="preserve"> of engagement with formal financial institutions, reinforcing the critical role of economic structure and employment opportunities in driving financial inclusion.</w:t>
      </w:r>
    </w:p>
    <w:p w14:paraId="16D8C027" w14:textId="211E7E54" w:rsidR="005A30D7" w:rsidRDefault="0081248F">
      <w:pPr>
        <w:pStyle w:val="Standard"/>
        <w:spacing w:before="280" w:after="280" w:line="240" w:lineRule="auto"/>
        <w:jc w:val="both"/>
      </w:pPr>
      <w:r>
        <w:rPr>
          <w:rFonts w:ascii="Arial" w:eastAsia="Times New Roman" w:hAnsi="Arial" w:cs="Arial"/>
          <w:kern w:val="0"/>
          <w:sz w:val="20"/>
          <w:szCs w:val="20"/>
          <w:lang w:val="en-IN" w:eastAsia="en-IN"/>
        </w:rPr>
        <w:t xml:space="preserve">Allen et al. (2014) analyzed the determinants of financial inclusion using global cross-country data from the World Bank’s Global Findex. </w:t>
      </w:r>
      <w:r w:rsidR="00AC19FB">
        <w:rPr>
          <w:rFonts w:ascii="Arial" w:eastAsia="Times New Roman" w:hAnsi="Arial" w:cs="Arial"/>
          <w:kern w:val="0"/>
          <w:sz w:val="20"/>
          <w:szCs w:val="20"/>
          <w:lang w:val="en-IN" w:eastAsia="en-IN"/>
        </w:rPr>
        <w:t>Using</w:t>
      </w:r>
      <w:r>
        <w:rPr>
          <w:rFonts w:ascii="Arial" w:eastAsia="Times New Roman" w:hAnsi="Arial" w:cs="Arial"/>
          <w:kern w:val="0"/>
          <w:sz w:val="20"/>
          <w:szCs w:val="20"/>
          <w:lang w:val="en-IN" w:eastAsia="en-IN"/>
        </w:rPr>
        <w:t xml:space="preserve"> Probit regression models, they </w:t>
      </w:r>
      <w:r w:rsidR="008A729F">
        <w:rPr>
          <w:rFonts w:ascii="Arial" w:eastAsia="Times New Roman" w:hAnsi="Arial" w:cs="Arial"/>
          <w:kern w:val="0"/>
          <w:sz w:val="20"/>
          <w:szCs w:val="20"/>
          <w:lang w:val="en-IN" w:eastAsia="en-IN"/>
        </w:rPr>
        <w:t>showed</w:t>
      </w:r>
      <w:r>
        <w:rPr>
          <w:rFonts w:ascii="Arial" w:eastAsia="Times New Roman" w:hAnsi="Arial" w:cs="Arial"/>
          <w:kern w:val="0"/>
          <w:sz w:val="20"/>
          <w:szCs w:val="20"/>
          <w:lang w:val="en-IN" w:eastAsia="en-IN"/>
        </w:rPr>
        <w:t xml:space="preserve"> that demographic </w:t>
      </w:r>
      <w:r w:rsidR="0076338E">
        <w:rPr>
          <w:rFonts w:ascii="Arial" w:eastAsia="Times New Roman" w:hAnsi="Arial" w:cs="Arial"/>
          <w:kern w:val="0"/>
          <w:sz w:val="20"/>
          <w:szCs w:val="20"/>
          <w:lang w:val="en-IN" w:eastAsia="en-IN"/>
        </w:rPr>
        <w:t>characteristics</w:t>
      </w:r>
      <w:r>
        <w:rPr>
          <w:rFonts w:ascii="Arial" w:eastAsia="Times New Roman" w:hAnsi="Arial" w:cs="Arial"/>
          <w:kern w:val="0"/>
          <w:sz w:val="20"/>
          <w:szCs w:val="20"/>
          <w:lang w:val="en-IN" w:eastAsia="en-IN"/>
        </w:rPr>
        <w:t xml:space="preserve"> such as gender, income, education level, age, and rural-urban location significantly affect account ownership and usage of formal financial services. They noted specifically that higher educational attainment and income levels substantially improved financial inclusion, while rural residence and female gender negatively influenced the likelihood of being financially included.</w:t>
      </w:r>
    </w:p>
    <w:p w14:paraId="145063C6" w14:textId="77777777"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Yadav and Sharma (2016) analyzed factors influencing financial inclusion among Indian states using Technique for Order Preference by Similarity to Ideal Solution (TOPSIS) and regression analysis. Their findings identified agriculture's contribution to GDP, literacy rates, population density, infrastructure development, and farmer suicide rates as pivotal determinants. States with robust agricultural sectors and better-developed infrastructure exhibited higher levels of financial inclusion, underscoring the role of structural economic factors alongside social dimensions like literacy.</w:t>
      </w:r>
    </w:p>
    <w:p w14:paraId="6B1060F8" w14:textId="77777777"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Ghosh and Vinod (2017) explored state-level determinants of financial inclusion in India, specifically focusing on banking infrastructure, education, urbanization, and internet penetration. Using panel data regression models, they established that urbanization and digital connectivity significantly accelerated financial inclusion. However, they also identified stark regional disparities due to unequal distribution of physical and digital infrastructure.</w:t>
      </w:r>
    </w:p>
    <w:p w14:paraId="6E64F337" w14:textId="77777777" w:rsidR="005A30D7" w:rsidRDefault="0081248F">
      <w:pPr>
        <w:pStyle w:val="Standard"/>
        <w:spacing w:before="280" w:after="280" w:line="240" w:lineRule="auto"/>
        <w:jc w:val="both"/>
        <w:rPr>
          <w:rFonts w:ascii="Arial" w:eastAsia="Times New Roman" w:hAnsi="Arial" w:cs="Arial"/>
          <w:kern w:val="0"/>
          <w:sz w:val="20"/>
          <w:szCs w:val="20"/>
          <w:lang w:val="en-IN" w:eastAsia="en-IN"/>
        </w:rPr>
      </w:pPr>
      <w:proofErr w:type="spellStart"/>
      <w:r>
        <w:rPr>
          <w:rFonts w:ascii="Arial" w:eastAsia="Times New Roman" w:hAnsi="Arial" w:cs="Arial"/>
          <w:kern w:val="0"/>
          <w:sz w:val="20"/>
          <w:szCs w:val="20"/>
          <w:lang w:val="en-IN" w:eastAsia="en-IN"/>
        </w:rPr>
        <w:t>Demirgüç-Kunt</w:t>
      </w:r>
      <w:proofErr w:type="spellEnd"/>
      <w:r>
        <w:rPr>
          <w:rFonts w:ascii="Arial" w:eastAsia="Times New Roman" w:hAnsi="Arial" w:cs="Arial"/>
          <w:kern w:val="0"/>
          <w:sz w:val="20"/>
          <w:szCs w:val="20"/>
          <w:lang w:val="en-IN" w:eastAsia="en-IN"/>
        </w:rPr>
        <w:t xml:space="preserve"> et al. (2018) extensively analyzed determinants of financial inclusion across developing economies using Global Findex data. Their comprehensive global study employed multivariate regression analyses, revealing that income disparity, gender inequality, educational attainment, and institutional quality significantly shaped financial inclusion levels. Higher GDP per capita, better institutional quality, and </w:t>
      </w:r>
      <w:r>
        <w:rPr>
          <w:rFonts w:ascii="Arial" w:eastAsia="Times New Roman" w:hAnsi="Arial" w:cs="Arial"/>
          <w:kern w:val="0"/>
          <w:sz w:val="20"/>
          <w:szCs w:val="20"/>
          <w:lang w:val="en-IN" w:eastAsia="en-IN"/>
        </w:rPr>
        <w:lastRenderedPageBreak/>
        <w:t>stronger regulatory environments were positively associated with greater financial inclusion, reinforcing the critical role of governance and macroeconomic stability.</w:t>
      </w:r>
    </w:p>
    <w:p w14:paraId="31D37F31" w14:textId="77777777" w:rsidR="005A30D7" w:rsidRDefault="0081248F">
      <w:pPr>
        <w:pStyle w:val="Standard"/>
        <w:spacing w:before="280" w:after="280" w:line="240" w:lineRule="auto"/>
        <w:jc w:val="both"/>
      </w:pPr>
      <w:r>
        <w:rPr>
          <w:rFonts w:ascii="Arial" w:eastAsia="Times New Roman" w:hAnsi="Arial" w:cs="Arial"/>
          <w:kern w:val="0"/>
          <w:sz w:val="20"/>
          <w:szCs w:val="20"/>
          <w:lang w:val="en-IN" w:eastAsia="en-IN"/>
        </w:rPr>
        <w:t>Sharma et al. (2018) examined the influence of infrastructural variables on the effectiveness of India's flagship financial inclusion scheme, Pradhan Mantri Jan Dhan Yojana (PMJDY). Their empirical analysis, using regression methods, demonstrated that infrastructural improvements, notably better road connectivity, positively influenced the number of bank accounts opened under PMJDY. They identified macroeconomic infrastructure, regional</w:t>
      </w:r>
      <w:r>
        <w:rPr>
          <w:rFonts w:ascii="Arial" w:eastAsia="Times New Roman" w:hAnsi="Arial" w:cs="Arial"/>
          <w:kern w:val="0"/>
          <w:sz w:val="22"/>
          <w:szCs w:val="22"/>
          <w:lang w:val="en-IN" w:eastAsia="en-IN"/>
        </w:rPr>
        <w:t xml:space="preserve"> </w:t>
      </w:r>
      <w:r>
        <w:rPr>
          <w:rFonts w:ascii="Arial" w:eastAsia="Times New Roman" w:hAnsi="Arial" w:cs="Arial"/>
          <w:kern w:val="0"/>
          <w:sz w:val="20"/>
          <w:szCs w:val="20"/>
          <w:lang w:val="en-IN" w:eastAsia="en-IN"/>
        </w:rPr>
        <w:t>economic conditions, and labour market participation as critical determinants, showing that areas with better infrastructure and higher economic activity reported superior outcomes in financial inclusion metrics.</w:t>
      </w:r>
    </w:p>
    <w:p w14:paraId="19C3382B" w14:textId="04556962"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Anarfo et al. (2019) evaluated socio-economic and institutional determinants of financial inclusion across sub-Saharan African countries. Employing dynamic panel data models, the</w:t>
      </w:r>
      <w:r w:rsidR="00600179">
        <w:rPr>
          <w:rFonts w:ascii="Arial" w:eastAsia="Times New Roman" w:hAnsi="Arial" w:cs="Arial"/>
          <w:kern w:val="0"/>
          <w:sz w:val="20"/>
          <w:szCs w:val="20"/>
          <w:lang w:val="en-IN" w:eastAsia="en-IN"/>
        </w:rPr>
        <w:t xml:space="preserve"> study</w:t>
      </w:r>
      <w:r>
        <w:rPr>
          <w:rFonts w:ascii="Arial" w:eastAsia="Times New Roman" w:hAnsi="Arial" w:cs="Arial"/>
          <w:kern w:val="0"/>
          <w:sz w:val="20"/>
          <w:szCs w:val="20"/>
          <w:lang w:val="en-IN" w:eastAsia="en-IN"/>
        </w:rPr>
        <w:t xml:space="preserve"> identified governance quality, education, income levels, and mobile-phone penetration as significant factors influencing financial inclusion. Their analysis underscored that improvements in governance structures and digital infrastructure could dramatically enhance financial inclusion in economically developing regions.</w:t>
      </w:r>
    </w:p>
    <w:p w14:paraId="6F85E72F" w14:textId="6C1A8E36"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 xml:space="preserve">Lal (2019) explored the role of cooperative banks in promoting financial inclusion and rural development. Using primary data collected through structured questionnaires in Jammu and Kashmir, Himachal Pradesh, and Punjab, and analyzing it through </w:t>
      </w:r>
      <w:r w:rsidR="00632C9C">
        <w:rPr>
          <w:rFonts w:ascii="Arial" w:eastAsia="Times New Roman" w:hAnsi="Arial" w:cs="Arial"/>
          <w:kern w:val="0"/>
          <w:sz w:val="20"/>
          <w:szCs w:val="20"/>
          <w:lang w:val="en-IN" w:eastAsia="en-IN"/>
        </w:rPr>
        <w:t xml:space="preserve">Structural Equation Modeling </w:t>
      </w:r>
      <w:r>
        <w:rPr>
          <w:rFonts w:ascii="Arial" w:eastAsia="Times New Roman" w:hAnsi="Arial" w:cs="Arial"/>
          <w:kern w:val="0"/>
          <w:sz w:val="20"/>
          <w:szCs w:val="20"/>
          <w:lang w:val="en-IN" w:eastAsia="en-IN"/>
        </w:rPr>
        <w:t xml:space="preserve">(SEM) and </w:t>
      </w:r>
      <w:r w:rsidR="00632C9C">
        <w:rPr>
          <w:rFonts w:ascii="Arial" w:eastAsia="Times New Roman" w:hAnsi="Arial" w:cs="Arial"/>
          <w:kern w:val="0"/>
          <w:sz w:val="20"/>
          <w:szCs w:val="20"/>
          <w:lang w:val="en-IN" w:eastAsia="en-IN"/>
        </w:rPr>
        <w:t xml:space="preserve">Exploratory Factor Analysis </w:t>
      </w:r>
      <w:r>
        <w:rPr>
          <w:rFonts w:ascii="Arial" w:eastAsia="Times New Roman" w:hAnsi="Arial" w:cs="Arial"/>
          <w:kern w:val="0"/>
          <w:sz w:val="20"/>
          <w:szCs w:val="20"/>
          <w:lang w:val="en-IN" w:eastAsia="en-IN"/>
        </w:rPr>
        <w:t>(EFA), he concluded that access to cooperative credit significantly enhanced rural socioeconomic conditions. The study indicated that cooperatives could effectively serve marginalized rural populations, suggesting targeted cooperative initiatives as determinants of financial inclusion.</w:t>
      </w:r>
    </w:p>
    <w:p w14:paraId="7F02F5D3" w14:textId="5335D3E6"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 xml:space="preserve">Dar and Ahmed (2020) analyzed demographic determinants of financial inclusion using the Global Findex Database (2017) data. </w:t>
      </w:r>
      <w:r w:rsidR="00306DE0">
        <w:rPr>
          <w:rFonts w:ascii="Arial" w:eastAsia="Times New Roman" w:hAnsi="Arial" w:cs="Arial"/>
          <w:kern w:val="0"/>
          <w:sz w:val="20"/>
          <w:szCs w:val="20"/>
          <w:lang w:val="en-IN" w:eastAsia="en-IN"/>
        </w:rPr>
        <w:t>Using</w:t>
      </w:r>
      <w:r>
        <w:rPr>
          <w:rFonts w:ascii="Arial" w:eastAsia="Times New Roman" w:hAnsi="Arial" w:cs="Arial"/>
          <w:kern w:val="0"/>
          <w:sz w:val="20"/>
          <w:szCs w:val="20"/>
          <w:lang w:val="en-IN" w:eastAsia="en-IN"/>
        </w:rPr>
        <w:t xml:space="preserve"> Probit regression models, they showed that age, gender, education, and income significantly influenced financial inclusion measures such as bank account ownership, savings patterns, and the use of digital payment methods. Their findings emphasized that demographic characteristics serve as crucial factors determining the extent and nature of financial inclusion across populations.</w:t>
      </w:r>
    </w:p>
    <w:p w14:paraId="2F9D9451" w14:textId="077AB67D" w:rsidR="005A30D7" w:rsidRPr="00994D95" w:rsidRDefault="0081248F" w:rsidP="007A04A0">
      <w:pPr>
        <w:pStyle w:val="Standard"/>
        <w:spacing w:before="280" w:after="280" w:line="240" w:lineRule="auto"/>
        <w:jc w:val="both"/>
        <w:rPr>
          <w:rFonts w:ascii="Arial" w:eastAsia="Times New Roman" w:hAnsi="Arial" w:cs="Arial"/>
          <w:kern w:val="0"/>
          <w:sz w:val="20"/>
          <w:szCs w:val="20"/>
          <w:lang w:val="en-IN" w:eastAsia="en-IN"/>
        </w:rPr>
      </w:pPr>
      <w:r w:rsidRPr="007A04A0">
        <w:rPr>
          <w:rFonts w:ascii="Arial" w:eastAsia="Times New Roman" w:hAnsi="Arial" w:cs="Arial"/>
          <w:kern w:val="0"/>
          <w:sz w:val="20"/>
          <w:szCs w:val="20"/>
          <w:lang w:val="en-IN" w:eastAsia="en-IN"/>
        </w:rPr>
        <w:t>Jain and Bishnoi (2024) constructed a multidimensional Financial Inclusion Index (FII) as well as Financial Inclusion Dimension Indices and estimated the impact of financial inclusion on economic growth in Rajasthan using data from 1994 to 2021</w:t>
      </w:r>
      <w:r w:rsidR="00A56A58">
        <w:rPr>
          <w:rFonts w:ascii="Arial" w:eastAsia="Times New Roman" w:hAnsi="Arial" w:cs="Arial"/>
          <w:kern w:val="0"/>
          <w:sz w:val="20"/>
          <w:szCs w:val="20"/>
          <w:lang w:val="en-IN" w:eastAsia="en-IN"/>
        </w:rPr>
        <w:t>,</w:t>
      </w:r>
      <w:r w:rsidRPr="007A04A0">
        <w:rPr>
          <w:rFonts w:ascii="Arial" w:eastAsia="Times New Roman" w:hAnsi="Arial" w:cs="Arial"/>
          <w:kern w:val="0"/>
          <w:sz w:val="20"/>
          <w:szCs w:val="20"/>
          <w:lang w:val="en-IN" w:eastAsia="en-IN"/>
        </w:rPr>
        <w:t xml:space="preserve"> employing the linear Autoregressive Distributed Lag (ARDL) and Non-Linear Autoregressive Distributed Lag (NARDL) bounds cointegration techniques. The results of </w:t>
      </w:r>
      <w:r w:rsidR="00044516" w:rsidRPr="007A04A0">
        <w:rPr>
          <w:rFonts w:ascii="Arial" w:eastAsia="Times New Roman" w:hAnsi="Arial" w:cs="Arial"/>
          <w:kern w:val="0"/>
          <w:sz w:val="20"/>
          <w:szCs w:val="20"/>
          <w:lang w:val="en-IN" w:eastAsia="en-IN"/>
        </w:rPr>
        <w:t>the</w:t>
      </w:r>
      <w:r w:rsidRPr="007A04A0">
        <w:rPr>
          <w:rFonts w:ascii="Arial" w:eastAsia="Times New Roman" w:hAnsi="Arial" w:cs="Arial"/>
          <w:kern w:val="0"/>
          <w:sz w:val="20"/>
          <w:szCs w:val="20"/>
          <w:lang w:val="en-IN" w:eastAsia="en-IN"/>
        </w:rPr>
        <w:t xml:space="preserve"> study show that Financial Inclusion Dimension Indices have </w:t>
      </w:r>
      <w:r w:rsidR="006304F0">
        <w:rPr>
          <w:rFonts w:ascii="Arial" w:eastAsia="Times New Roman" w:hAnsi="Arial" w:cs="Arial"/>
          <w:kern w:val="0"/>
          <w:sz w:val="20"/>
          <w:szCs w:val="20"/>
          <w:lang w:val="en-IN" w:eastAsia="en-IN"/>
        </w:rPr>
        <w:t xml:space="preserve">a </w:t>
      </w:r>
      <w:r w:rsidRPr="007A04A0">
        <w:rPr>
          <w:rFonts w:ascii="Arial" w:eastAsia="Times New Roman" w:hAnsi="Arial" w:cs="Arial"/>
          <w:kern w:val="0"/>
          <w:sz w:val="20"/>
          <w:szCs w:val="20"/>
          <w:lang w:val="en-IN" w:eastAsia="en-IN"/>
        </w:rPr>
        <w:t>positive</w:t>
      </w:r>
      <w:r w:rsidRPr="007A04A0">
        <w:rPr>
          <w:rFonts w:ascii="Arial" w:hAnsi="Arial" w:cs="Arial"/>
          <w:sz w:val="20"/>
          <w:szCs w:val="20"/>
          <w:lang w:val="en-IN"/>
        </w:rPr>
        <w:t xml:space="preserve"> </w:t>
      </w:r>
      <w:r w:rsidRPr="007A04A0">
        <w:rPr>
          <w:rFonts w:ascii="Arial" w:eastAsia="Times New Roman" w:hAnsi="Arial" w:cs="Arial"/>
          <w:kern w:val="0"/>
          <w:sz w:val="20"/>
          <w:szCs w:val="20"/>
          <w:lang w:val="en-IN" w:eastAsia="en-IN"/>
        </w:rPr>
        <w:t xml:space="preserve">impact on growth rate in the long run in Rajasthan. </w:t>
      </w:r>
      <w:r w:rsidR="007A04A0" w:rsidRPr="007A04A0">
        <w:rPr>
          <w:rFonts w:ascii="Arial" w:eastAsia="Times New Roman" w:hAnsi="Arial" w:cs="Arial"/>
          <w:iCs/>
          <w:kern w:val="0"/>
          <w:sz w:val="20"/>
          <w:szCs w:val="20"/>
          <w:lang w:eastAsia="en-IN"/>
        </w:rPr>
        <w:t xml:space="preserve">From the NARDL model, it is evident that the coefficients of Financial Inclusion Dimension Indices are asymmetric, indicating that positive and negative changes in the Financial Inclusion Dimension </w:t>
      </w:r>
      <w:r w:rsidR="007A04A0" w:rsidRPr="00994D95">
        <w:rPr>
          <w:rFonts w:ascii="Arial" w:eastAsia="Times New Roman" w:hAnsi="Arial" w:cs="Arial"/>
          <w:iCs/>
          <w:kern w:val="0"/>
          <w:sz w:val="20"/>
          <w:szCs w:val="20"/>
          <w:lang w:eastAsia="en-IN"/>
        </w:rPr>
        <w:t>Indices affect the economic growth differently.</w:t>
      </w:r>
    </w:p>
    <w:p w14:paraId="4B4FBA39" w14:textId="2B029328" w:rsidR="005A30D7" w:rsidRDefault="000E7632">
      <w:pPr>
        <w:pStyle w:val="Standard"/>
        <w:spacing w:before="280" w:after="280" w:line="240" w:lineRule="auto"/>
        <w:jc w:val="both"/>
        <w:rPr>
          <w:rFonts w:ascii="Arial" w:eastAsia="Times New Roman" w:hAnsi="Arial" w:cs="Arial"/>
          <w:kern w:val="0"/>
          <w:sz w:val="20"/>
          <w:szCs w:val="20"/>
          <w:lang w:val="en-IN" w:eastAsia="en-IN"/>
        </w:rPr>
      </w:pPr>
      <w:r w:rsidRPr="00994D95">
        <w:rPr>
          <w:rFonts w:ascii="Arial" w:eastAsia="Times New Roman" w:hAnsi="Arial" w:cs="Arial"/>
          <w:kern w:val="0"/>
          <w:sz w:val="20"/>
          <w:szCs w:val="20"/>
          <w:lang w:val="en-IN" w:eastAsia="en-IN"/>
        </w:rPr>
        <w:t xml:space="preserve">The review of literature </w:t>
      </w:r>
      <w:r w:rsidR="00CF647F" w:rsidRPr="00994D95">
        <w:rPr>
          <w:rFonts w:ascii="Arial" w:eastAsia="Times New Roman" w:hAnsi="Arial" w:cs="Arial"/>
          <w:kern w:val="0"/>
          <w:sz w:val="20"/>
          <w:szCs w:val="20"/>
          <w:lang w:val="en-IN" w:eastAsia="en-IN"/>
        </w:rPr>
        <w:t>indicates that</w:t>
      </w:r>
      <w:r w:rsidRPr="00994D95">
        <w:rPr>
          <w:rFonts w:ascii="Arial" w:eastAsia="Times New Roman" w:hAnsi="Arial" w:cs="Arial"/>
          <w:kern w:val="0"/>
          <w:sz w:val="20"/>
          <w:szCs w:val="20"/>
          <w:lang w:val="en-IN" w:eastAsia="en-IN"/>
        </w:rPr>
        <w:t xml:space="preserve"> </w:t>
      </w:r>
      <w:r w:rsidR="00CF647F" w:rsidRPr="00994D95">
        <w:rPr>
          <w:rFonts w:ascii="Arial" w:eastAsia="Times New Roman" w:hAnsi="Arial" w:cs="Arial"/>
          <w:kern w:val="0"/>
          <w:sz w:val="20"/>
          <w:szCs w:val="20"/>
          <w:lang w:val="en-IN" w:eastAsia="en-IN"/>
        </w:rPr>
        <w:t>although research on</w:t>
      </w:r>
      <w:r w:rsidR="0081248F" w:rsidRPr="00994D95">
        <w:rPr>
          <w:rFonts w:ascii="Arial" w:eastAsia="Times New Roman" w:hAnsi="Arial" w:cs="Arial"/>
          <w:kern w:val="0"/>
          <w:sz w:val="20"/>
          <w:szCs w:val="20"/>
          <w:lang w:val="en-IN" w:eastAsia="en-IN"/>
        </w:rPr>
        <w:t xml:space="preserve"> financial inclus</w:t>
      </w:r>
      <w:r w:rsidRPr="00994D95">
        <w:rPr>
          <w:rFonts w:ascii="Arial" w:eastAsia="Times New Roman" w:hAnsi="Arial" w:cs="Arial"/>
          <w:kern w:val="0"/>
          <w:sz w:val="20"/>
          <w:szCs w:val="20"/>
          <w:lang w:val="en-IN" w:eastAsia="en-IN"/>
        </w:rPr>
        <w:t xml:space="preserve">ion has progressed considerably, there is no </w:t>
      </w:r>
      <w:r w:rsidR="006177C6" w:rsidRPr="00994D95">
        <w:rPr>
          <w:rFonts w:ascii="Arial" w:hAnsi="Arial" w:cs="Arial"/>
          <w:sz w:val="20"/>
          <w:szCs w:val="20"/>
        </w:rPr>
        <w:t xml:space="preserve">comprehensive </w:t>
      </w:r>
      <w:r w:rsidRPr="00994D95">
        <w:rPr>
          <w:rFonts w:ascii="Arial" w:eastAsia="Times New Roman" w:hAnsi="Arial" w:cs="Arial"/>
          <w:kern w:val="0"/>
          <w:sz w:val="20"/>
          <w:szCs w:val="20"/>
          <w:lang w:val="en-IN" w:eastAsia="en-IN"/>
        </w:rPr>
        <w:t>study</w:t>
      </w:r>
      <w:r w:rsidR="008C0EE6" w:rsidRPr="00994D95">
        <w:rPr>
          <w:rFonts w:ascii="Arial" w:eastAsia="Times New Roman" w:hAnsi="Arial" w:cs="Arial"/>
          <w:kern w:val="0"/>
          <w:sz w:val="20"/>
          <w:szCs w:val="20"/>
          <w:lang w:val="en-IN" w:eastAsia="en-IN"/>
        </w:rPr>
        <w:t xml:space="preserve"> </w:t>
      </w:r>
      <w:r w:rsidR="006177C6" w:rsidRPr="00994D95">
        <w:rPr>
          <w:rFonts w:ascii="Arial" w:eastAsia="Times New Roman" w:hAnsi="Arial" w:cs="Arial"/>
          <w:kern w:val="0"/>
          <w:sz w:val="20"/>
          <w:szCs w:val="20"/>
          <w:lang w:val="en-IN" w:eastAsia="en-IN"/>
        </w:rPr>
        <w:t xml:space="preserve">examining the inter-district heterogeneity </w:t>
      </w:r>
      <w:r w:rsidR="00471B2A">
        <w:rPr>
          <w:rFonts w:ascii="Arial" w:eastAsia="Times New Roman" w:hAnsi="Arial" w:cs="Arial"/>
          <w:kern w:val="0"/>
          <w:sz w:val="20"/>
          <w:szCs w:val="20"/>
          <w:lang w:val="en-IN" w:eastAsia="en-IN"/>
        </w:rPr>
        <w:t>in f</w:t>
      </w:r>
      <w:r w:rsidR="006655E7">
        <w:rPr>
          <w:rFonts w:ascii="Arial" w:eastAsia="Times New Roman" w:hAnsi="Arial" w:cs="Arial"/>
          <w:kern w:val="0"/>
          <w:sz w:val="20"/>
          <w:szCs w:val="20"/>
          <w:lang w:val="en-IN" w:eastAsia="en-IN"/>
        </w:rPr>
        <w:t>inancial i</w:t>
      </w:r>
      <w:r w:rsidR="00994D95" w:rsidRPr="00994D95">
        <w:rPr>
          <w:rFonts w:ascii="Arial" w:eastAsia="Times New Roman" w:hAnsi="Arial" w:cs="Arial"/>
          <w:kern w:val="0"/>
          <w:sz w:val="20"/>
          <w:szCs w:val="20"/>
          <w:lang w:val="en-IN" w:eastAsia="en-IN"/>
        </w:rPr>
        <w:t xml:space="preserve">nclusion </w:t>
      </w:r>
      <w:r w:rsidR="00F178E7" w:rsidRPr="00994D95">
        <w:rPr>
          <w:rFonts w:ascii="Arial" w:eastAsia="Times New Roman" w:hAnsi="Arial" w:cs="Arial"/>
          <w:kern w:val="0"/>
          <w:sz w:val="20"/>
          <w:szCs w:val="20"/>
          <w:lang w:val="en-IN" w:eastAsia="en-IN"/>
        </w:rPr>
        <w:t>in Rajasthan</w:t>
      </w:r>
      <w:r w:rsidR="007A2F53">
        <w:rPr>
          <w:rFonts w:ascii="Arial" w:eastAsia="Times New Roman" w:hAnsi="Arial" w:cs="Arial"/>
          <w:kern w:val="0"/>
          <w:sz w:val="20"/>
          <w:szCs w:val="20"/>
          <w:lang w:val="en-IN" w:eastAsia="en-IN"/>
        </w:rPr>
        <w:t>,</w:t>
      </w:r>
      <w:r w:rsidR="00E22318">
        <w:rPr>
          <w:rFonts w:ascii="Arial" w:eastAsia="Times New Roman" w:hAnsi="Arial" w:cs="Arial"/>
          <w:kern w:val="0"/>
          <w:sz w:val="20"/>
          <w:szCs w:val="20"/>
          <w:lang w:val="en-IN" w:eastAsia="en-IN"/>
        </w:rPr>
        <w:t xml:space="preserve"> a</w:t>
      </w:r>
      <w:r w:rsidR="003F7EE0">
        <w:rPr>
          <w:rFonts w:ascii="Arial" w:eastAsia="Times New Roman" w:hAnsi="Arial" w:cs="Arial"/>
          <w:kern w:val="0"/>
          <w:sz w:val="20"/>
          <w:szCs w:val="20"/>
          <w:lang w:val="en-IN" w:eastAsia="en-IN"/>
        </w:rPr>
        <w:t>s well as</w:t>
      </w:r>
      <w:r w:rsidR="00E22318">
        <w:rPr>
          <w:rFonts w:ascii="Arial" w:eastAsia="Times New Roman" w:hAnsi="Arial" w:cs="Arial"/>
          <w:kern w:val="0"/>
          <w:sz w:val="20"/>
          <w:szCs w:val="20"/>
          <w:lang w:val="en-IN" w:eastAsia="en-IN"/>
        </w:rPr>
        <w:t xml:space="preserve"> the</w:t>
      </w:r>
      <w:r w:rsidRPr="00994D95">
        <w:rPr>
          <w:rFonts w:ascii="Arial" w:eastAsia="Times New Roman" w:hAnsi="Arial" w:cs="Arial"/>
          <w:kern w:val="0"/>
          <w:sz w:val="20"/>
          <w:szCs w:val="20"/>
          <w:lang w:val="en-IN" w:eastAsia="en-IN"/>
        </w:rPr>
        <w:t xml:space="preserve"> factors affecting </w:t>
      </w:r>
      <w:r w:rsidR="003003B7">
        <w:rPr>
          <w:rFonts w:ascii="Arial" w:eastAsia="Times New Roman" w:hAnsi="Arial" w:cs="Arial"/>
          <w:kern w:val="0"/>
          <w:sz w:val="20"/>
          <w:szCs w:val="20"/>
          <w:lang w:val="en-IN" w:eastAsia="en-IN"/>
        </w:rPr>
        <w:t>it</w:t>
      </w:r>
      <w:r w:rsidRPr="00994D95">
        <w:rPr>
          <w:rFonts w:ascii="Arial" w:eastAsia="Times New Roman" w:hAnsi="Arial" w:cs="Arial"/>
          <w:kern w:val="0"/>
          <w:sz w:val="20"/>
          <w:szCs w:val="20"/>
          <w:lang w:val="en-IN" w:eastAsia="en-IN"/>
        </w:rPr>
        <w:t>.</w:t>
      </w:r>
      <w:r w:rsidR="0081248F" w:rsidRPr="00994D95">
        <w:rPr>
          <w:rFonts w:ascii="Arial" w:eastAsia="Times New Roman" w:hAnsi="Arial" w:cs="Arial"/>
          <w:kern w:val="0"/>
          <w:sz w:val="20"/>
          <w:szCs w:val="20"/>
          <w:lang w:val="en-IN" w:eastAsia="en-IN"/>
        </w:rPr>
        <w:t xml:space="preserve"> </w:t>
      </w:r>
      <w:r w:rsidR="00F178E7">
        <w:rPr>
          <w:rFonts w:ascii="Arial" w:eastAsia="Times New Roman" w:hAnsi="Arial" w:cs="Arial"/>
          <w:kern w:val="0"/>
          <w:sz w:val="20"/>
          <w:szCs w:val="20"/>
          <w:lang w:val="en-IN" w:eastAsia="en-IN"/>
        </w:rPr>
        <w:t>T</w:t>
      </w:r>
      <w:r w:rsidR="00F178E7" w:rsidRPr="00F178E7">
        <w:rPr>
          <w:rFonts w:ascii="Arial" w:eastAsia="Times New Roman" w:hAnsi="Arial" w:cs="Arial"/>
          <w:kern w:val="0"/>
          <w:sz w:val="20"/>
          <w:szCs w:val="20"/>
          <w:lang w:val="en-IN" w:eastAsia="en-IN"/>
        </w:rPr>
        <w:t xml:space="preserve">o address this </w:t>
      </w:r>
      <w:r w:rsidR="008E5DC9" w:rsidRPr="00F178E7">
        <w:rPr>
          <w:rFonts w:ascii="Arial" w:eastAsia="Times New Roman" w:hAnsi="Arial" w:cs="Arial"/>
          <w:kern w:val="0"/>
          <w:sz w:val="20"/>
          <w:szCs w:val="20"/>
          <w:lang w:val="en-IN" w:eastAsia="en-IN"/>
        </w:rPr>
        <w:t>gap,</w:t>
      </w:r>
      <w:r w:rsidR="00AD6260" w:rsidRPr="00994D95">
        <w:rPr>
          <w:rFonts w:ascii="Arial" w:eastAsia="Times New Roman" w:hAnsi="Arial" w:cs="Arial"/>
          <w:kern w:val="0"/>
          <w:sz w:val="20"/>
          <w:szCs w:val="20"/>
          <w:lang w:val="en-IN" w:eastAsia="en-IN"/>
        </w:rPr>
        <w:t xml:space="preserve"> th</w:t>
      </w:r>
      <w:r w:rsidR="008E5DC9">
        <w:rPr>
          <w:rFonts w:ascii="Arial" w:eastAsia="Times New Roman" w:hAnsi="Arial" w:cs="Arial"/>
          <w:kern w:val="0"/>
          <w:sz w:val="20"/>
          <w:szCs w:val="20"/>
          <w:lang w:val="en-IN" w:eastAsia="en-IN"/>
        </w:rPr>
        <w:t>e</w:t>
      </w:r>
      <w:r w:rsidR="00AD6260" w:rsidRPr="00994D95">
        <w:rPr>
          <w:rFonts w:ascii="Arial" w:eastAsia="Times New Roman" w:hAnsi="Arial" w:cs="Arial"/>
          <w:kern w:val="0"/>
          <w:sz w:val="20"/>
          <w:szCs w:val="20"/>
          <w:lang w:val="en-IN" w:eastAsia="en-IN"/>
        </w:rPr>
        <w:t xml:space="preserve"> </w:t>
      </w:r>
      <w:r w:rsidR="001C1368" w:rsidRPr="00994D95">
        <w:rPr>
          <w:rFonts w:ascii="Arial" w:eastAsia="Times New Roman" w:hAnsi="Arial" w:cs="Arial"/>
          <w:kern w:val="0"/>
          <w:sz w:val="20"/>
          <w:szCs w:val="20"/>
          <w:lang w:val="en-IN" w:eastAsia="en-IN"/>
        </w:rPr>
        <w:t>study first</w:t>
      </w:r>
      <w:r w:rsidR="0081248F" w:rsidRPr="00994D95">
        <w:rPr>
          <w:rFonts w:ascii="Arial" w:eastAsia="Times New Roman" w:hAnsi="Arial" w:cs="Arial"/>
          <w:kern w:val="0"/>
          <w:sz w:val="20"/>
          <w:szCs w:val="20"/>
          <w:lang w:val="en-IN" w:eastAsia="en-IN"/>
        </w:rPr>
        <w:t xml:space="preserve"> constructs separate deposit</w:t>
      </w:r>
      <w:r w:rsidR="008E5DC9">
        <w:rPr>
          <w:rFonts w:ascii="Cambria Math" w:eastAsia="Times New Roman" w:hAnsi="Cambria Math" w:cs="Cambria Math"/>
          <w:kern w:val="0"/>
          <w:sz w:val="20"/>
          <w:szCs w:val="20"/>
          <w:lang w:val="en-IN" w:eastAsia="en-IN"/>
        </w:rPr>
        <w:t xml:space="preserve"> </w:t>
      </w:r>
      <w:r w:rsidR="0081248F" w:rsidRPr="00994D95">
        <w:rPr>
          <w:rFonts w:ascii="Arial" w:eastAsia="Times New Roman" w:hAnsi="Arial" w:cs="Arial"/>
          <w:kern w:val="0"/>
          <w:sz w:val="20"/>
          <w:szCs w:val="20"/>
          <w:lang w:val="en-IN" w:eastAsia="en-IN"/>
        </w:rPr>
        <w:t>penetration and credit</w:t>
      </w:r>
      <w:r w:rsidR="008E5DC9">
        <w:rPr>
          <w:rFonts w:ascii="Cambria Math" w:eastAsia="Times New Roman" w:hAnsi="Cambria Math" w:cs="Cambria Math"/>
          <w:kern w:val="0"/>
          <w:sz w:val="20"/>
          <w:szCs w:val="20"/>
          <w:lang w:val="en-IN" w:eastAsia="en-IN"/>
        </w:rPr>
        <w:t xml:space="preserve"> </w:t>
      </w:r>
      <w:r w:rsidR="0081248F" w:rsidRPr="00994D95">
        <w:rPr>
          <w:rFonts w:ascii="Arial" w:eastAsia="Times New Roman" w:hAnsi="Arial" w:cs="Arial"/>
          <w:kern w:val="0"/>
          <w:sz w:val="20"/>
          <w:szCs w:val="20"/>
          <w:lang w:val="en-IN" w:eastAsia="en-IN"/>
        </w:rPr>
        <w:t xml:space="preserve">penetration </w:t>
      </w:r>
      <w:r w:rsidR="00E816B8" w:rsidRPr="00994D95">
        <w:rPr>
          <w:rFonts w:ascii="Arial" w:eastAsia="Times New Roman" w:hAnsi="Arial" w:cs="Arial"/>
          <w:kern w:val="0"/>
          <w:sz w:val="20"/>
          <w:szCs w:val="20"/>
          <w:lang w:val="en-IN" w:eastAsia="en-IN"/>
        </w:rPr>
        <w:t>indices</w:t>
      </w:r>
      <w:r w:rsidR="00E816B8">
        <w:rPr>
          <w:rFonts w:ascii="Arial" w:eastAsia="Times New Roman" w:hAnsi="Arial" w:cs="Arial"/>
          <w:kern w:val="0"/>
          <w:sz w:val="20"/>
          <w:szCs w:val="20"/>
          <w:lang w:val="en-IN" w:eastAsia="en-IN"/>
        </w:rPr>
        <w:t>. It</w:t>
      </w:r>
      <w:r w:rsidR="001C1368" w:rsidRPr="00994D95">
        <w:rPr>
          <w:rFonts w:ascii="Arial" w:eastAsia="Times New Roman" w:hAnsi="Arial" w:cs="Arial"/>
          <w:kern w:val="0"/>
          <w:sz w:val="20"/>
          <w:szCs w:val="20"/>
          <w:lang w:val="en-IN" w:eastAsia="en-IN"/>
        </w:rPr>
        <w:t xml:space="preserve"> </w:t>
      </w:r>
      <w:r w:rsidR="0081248F" w:rsidRPr="00994D95">
        <w:rPr>
          <w:rFonts w:ascii="Arial" w:eastAsia="Times New Roman" w:hAnsi="Arial" w:cs="Arial"/>
          <w:kern w:val="0"/>
          <w:sz w:val="20"/>
          <w:szCs w:val="20"/>
          <w:lang w:val="en-IN" w:eastAsia="en-IN"/>
        </w:rPr>
        <w:t xml:space="preserve">then </w:t>
      </w:r>
      <w:r w:rsidR="001C1368" w:rsidRPr="00994D95">
        <w:rPr>
          <w:rFonts w:ascii="Arial" w:eastAsia="Times New Roman" w:hAnsi="Arial" w:cs="Arial"/>
          <w:kern w:val="0"/>
          <w:sz w:val="20"/>
          <w:szCs w:val="20"/>
          <w:lang w:val="en-IN" w:eastAsia="en-IN"/>
        </w:rPr>
        <w:t>estimates</w:t>
      </w:r>
      <w:r w:rsidR="0081248F" w:rsidRPr="00994D95">
        <w:rPr>
          <w:rFonts w:ascii="Arial" w:eastAsia="Times New Roman" w:hAnsi="Arial" w:cs="Arial"/>
          <w:kern w:val="0"/>
          <w:sz w:val="20"/>
          <w:szCs w:val="20"/>
          <w:lang w:val="en-IN" w:eastAsia="en-IN"/>
        </w:rPr>
        <w:t xml:space="preserve"> their determinants</w:t>
      </w:r>
      <w:r w:rsidR="00801063">
        <w:rPr>
          <w:rFonts w:ascii="Arial" w:eastAsia="Times New Roman" w:hAnsi="Arial" w:cs="Arial"/>
          <w:kern w:val="0"/>
          <w:sz w:val="20"/>
          <w:szCs w:val="20"/>
          <w:lang w:val="en-IN" w:eastAsia="en-IN"/>
        </w:rPr>
        <w:t xml:space="preserve"> via a sequence of panel models</w:t>
      </w:r>
      <w:r w:rsidR="007A2F53">
        <w:rPr>
          <w:rFonts w:ascii="Arial" w:eastAsia="Times New Roman" w:hAnsi="Arial" w:cs="Arial"/>
          <w:kern w:val="0"/>
          <w:sz w:val="20"/>
          <w:szCs w:val="20"/>
          <w:lang w:val="en-IN" w:eastAsia="en-IN"/>
        </w:rPr>
        <w:t>,</w:t>
      </w:r>
      <w:r w:rsidR="00801063">
        <w:rPr>
          <w:rFonts w:ascii="Arial" w:eastAsia="Times New Roman" w:hAnsi="Arial" w:cs="Arial"/>
          <w:kern w:val="0"/>
          <w:sz w:val="20"/>
          <w:szCs w:val="20"/>
          <w:lang w:val="en-IN" w:eastAsia="en-IN"/>
        </w:rPr>
        <w:t xml:space="preserve"> including </w:t>
      </w:r>
      <w:r w:rsidR="0081248F" w:rsidRPr="00994D95">
        <w:rPr>
          <w:rFonts w:ascii="Arial" w:eastAsia="Times New Roman" w:hAnsi="Arial" w:cs="Arial"/>
          <w:kern w:val="0"/>
          <w:sz w:val="20"/>
          <w:szCs w:val="20"/>
          <w:lang w:val="en-IN" w:eastAsia="en-IN"/>
        </w:rPr>
        <w:t>Pooled OLS, Fixed</w:t>
      </w:r>
      <w:r w:rsidR="00801063">
        <w:rPr>
          <w:rFonts w:ascii="Arial" w:eastAsia="Times New Roman" w:hAnsi="Arial" w:cs="Arial"/>
          <w:kern w:val="0"/>
          <w:sz w:val="20"/>
          <w:szCs w:val="20"/>
          <w:lang w:val="en-IN" w:eastAsia="en-IN"/>
        </w:rPr>
        <w:t xml:space="preserve"> Effects and Random Effects </w:t>
      </w:r>
      <w:r w:rsidR="00593431">
        <w:rPr>
          <w:rFonts w:ascii="Arial" w:eastAsia="Times New Roman" w:hAnsi="Arial" w:cs="Arial"/>
          <w:kern w:val="0"/>
          <w:sz w:val="20"/>
          <w:szCs w:val="20"/>
          <w:lang w:val="en-IN" w:eastAsia="en-IN"/>
        </w:rPr>
        <w:t xml:space="preserve">Models, </w:t>
      </w:r>
      <w:r w:rsidR="00801063">
        <w:rPr>
          <w:rFonts w:ascii="Arial" w:eastAsia="Times New Roman" w:hAnsi="Arial" w:cs="Arial"/>
          <w:kern w:val="0"/>
          <w:sz w:val="20"/>
          <w:szCs w:val="20"/>
          <w:lang w:val="en-IN" w:eastAsia="en-IN"/>
        </w:rPr>
        <w:t>with statistical</w:t>
      </w:r>
      <w:r w:rsidR="0081248F" w:rsidRPr="00994D95">
        <w:rPr>
          <w:rFonts w:ascii="Arial" w:eastAsia="Times New Roman" w:hAnsi="Arial" w:cs="Arial"/>
          <w:kern w:val="0"/>
          <w:sz w:val="20"/>
          <w:szCs w:val="20"/>
          <w:lang w:val="en-IN" w:eastAsia="en-IN"/>
        </w:rPr>
        <w:t xml:space="preserve"> inference </w:t>
      </w:r>
      <w:r w:rsidR="00DA4EDA">
        <w:rPr>
          <w:rFonts w:ascii="Arial" w:eastAsia="Times New Roman" w:hAnsi="Arial" w:cs="Arial"/>
          <w:kern w:val="0"/>
          <w:sz w:val="20"/>
          <w:szCs w:val="20"/>
          <w:lang w:val="en-IN" w:eastAsia="en-IN"/>
        </w:rPr>
        <w:t>conducted through</w:t>
      </w:r>
      <w:r w:rsidR="0081248F" w:rsidRPr="00994D95">
        <w:rPr>
          <w:rFonts w:ascii="Arial" w:eastAsia="Times New Roman" w:hAnsi="Arial" w:cs="Arial"/>
          <w:kern w:val="0"/>
          <w:sz w:val="20"/>
          <w:szCs w:val="20"/>
          <w:lang w:val="en-IN" w:eastAsia="en-IN"/>
        </w:rPr>
        <w:t xml:space="preserve"> Panel</w:t>
      </w:r>
      <w:r w:rsidR="0081248F" w:rsidRPr="00994D95">
        <w:rPr>
          <w:rFonts w:ascii="Cambria Math" w:eastAsia="Times New Roman" w:hAnsi="Cambria Math" w:cs="Cambria Math"/>
          <w:kern w:val="0"/>
          <w:sz w:val="20"/>
          <w:szCs w:val="20"/>
          <w:lang w:val="en-IN" w:eastAsia="en-IN"/>
        </w:rPr>
        <w:t>‐</w:t>
      </w:r>
      <w:r w:rsidR="0081248F" w:rsidRPr="00994D95">
        <w:rPr>
          <w:rFonts w:ascii="Arial" w:eastAsia="Times New Roman" w:hAnsi="Arial" w:cs="Arial"/>
          <w:kern w:val="0"/>
          <w:sz w:val="20"/>
          <w:szCs w:val="20"/>
          <w:lang w:val="en-IN" w:eastAsia="en-IN"/>
        </w:rPr>
        <w:t xml:space="preserve">Corrected Standard Errors (PCSE) and Feasible GLS to </w:t>
      </w:r>
      <w:r w:rsidR="007E4ACE">
        <w:rPr>
          <w:rFonts w:ascii="Arial" w:eastAsia="Times New Roman" w:hAnsi="Arial" w:cs="Arial"/>
          <w:kern w:val="0"/>
          <w:sz w:val="20"/>
          <w:szCs w:val="20"/>
          <w:lang w:val="en-IN" w:eastAsia="en-IN"/>
        </w:rPr>
        <w:t>account for</w:t>
      </w:r>
      <w:r w:rsidR="0081248F" w:rsidRPr="00994D95">
        <w:rPr>
          <w:rFonts w:ascii="Arial" w:eastAsia="Times New Roman" w:hAnsi="Arial" w:cs="Arial"/>
          <w:kern w:val="0"/>
          <w:sz w:val="20"/>
          <w:szCs w:val="20"/>
          <w:lang w:val="en-IN" w:eastAsia="en-IN"/>
        </w:rPr>
        <w:t xml:space="preserve"> cross</w:t>
      </w:r>
      <w:r w:rsidR="0081248F" w:rsidRPr="00994D95">
        <w:rPr>
          <w:rFonts w:ascii="Cambria Math" w:eastAsia="Times New Roman" w:hAnsi="Cambria Math" w:cs="Cambria Math"/>
          <w:kern w:val="0"/>
          <w:sz w:val="20"/>
          <w:szCs w:val="20"/>
          <w:lang w:val="en-IN" w:eastAsia="en-IN"/>
        </w:rPr>
        <w:t>‐</w:t>
      </w:r>
      <w:r w:rsidR="0081248F" w:rsidRPr="00994D95">
        <w:rPr>
          <w:rFonts w:ascii="Arial" w:eastAsia="Times New Roman" w:hAnsi="Arial" w:cs="Arial"/>
          <w:kern w:val="0"/>
          <w:sz w:val="20"/>
          <w:szCs w:val="20"/>
          <w:lang w:val="en-IN" w:eastAsia="en-IN"/>
        </w:rPr>
        <w:t>sectional dependence, autocorrelation</w:t>
      </w:r>
      <w:r w:rsidR="001B365B" w:rsidRPr="00994D95">
        <w:rPr>
          <w:rFonts w:ascii="Arial" w:eastAsia="Times New Roman" w:hAnsi="Arial" w:cs="Arial"/>
          <w:kern w:val="0"/>
          <w:sz w:val="20"/>
          <w:szCs w:val="20"/>
          <w:lang w:val="en-IN" w:eastAsia="en-IN"/>
        </w:rPr>
        <w:t>,</w:t>
      </w:r>
      <w:r w:rsidR="0081248F" w:rsidRPr="00994D95">
        <w:rPr>
          <w:rFonts w:ascii="Arial" w:eastAsia="Times New Roman" w:hAnsi="Arial" w:cs="Arial"/>
          <w:kern w:val="0"/>
          <w:sz w:val="20"/>
          <w:szCs w:val="20"/>
          <w:lang w:val="en-IN" w:eastAsia="en-IN"/>
        </w:rPr>
        <w:t xml:space="preserve"> and heteroskedasticity. To </w:t>
      </w:r>
      <w:r w:rsidR="003F7EE0">
        <w:rPr>
          <w:rFonts w:ascii="Arial" w:eastAsia="Times New Roman" w:hAnsi="Arial" w:cs="Arial"/>
          <w:kern w:val="0"/>
          <w:sz w:val="20"/>
          <w:szCs w:val="20"/>
          <w:lang w:val="en-IN" w:eastAsia="en-IN"/>
        </w:rPr>
        <w:t xml:space="preserve">address </w:t>
      </w:r>
      <w:r w:rsidR="003F7EE0" w:rsidRPr="00994D95">
        <w:rPr>
          <w:rFonts w:ascii="Arial" w:eastAsia="Times New Roman" w:hAnsi="Arial" w:cs="Arial"/>
          <w:kern w:val="0"/>
          <w:sz w:val="20"/>
          <w:szCs w:val="20"/>
          <w:lang w:val="en-IN" w:eastAsia="en-IN"/>
        </w:rPr>
        <w:t>potential</w:t>
      </w:r>
      <w:r w:rsidR="0081248F" w:rsidRPr="00994D95">
        <w:rPr>
          <w:rFonts w:ascii="Arial" w:eastAsia="Times New Roman" w:hAnsi="Arial" w:cs="Arial"/>
          <w:kern w:val="0"/>
          <w:sz w:val="20"/>
          <w:szCs w:val="20"/>
          <w:lang w:val="en-IN" w:eastAsia="en-IN"/>
        </w:rPr>
        <w:t xml:space="preserve"> simultaneity </w:t>
      </w:r>
      <w:r w:rsidR="001B365B" w:rsidRPr="00994D95">
        <w:rPr>
          <w:rFonts w:ascii="Arial" w:eastAsia="Times New Roman" w:hAnsi="Arial" w:cs="Arial"/>
          <w:kern w:val="0"/>
          <w:sz w:val="20"/>
          <w:szCs w:val="20"/>
          <w:lang w:val="en-IN" w:eastAsia="en-IN"/>
        </w:rPr>
        <w:t>issues</w:t>
      </w:r>
      <w:r w:rsidR="0081248F" w:rsidRPr="00994D95">
        <w:rPr>
          <w:rFonts w:ascii="Arial" w:eastAsia="Times New Roman" w:hAnsi="Arial" w:cs="Arial"/>
          <w:kern w:val="0"/>
          <w:sz w:val="20"/>
          <w:szCs w:val="20"/>
          <w:lang w:val="en-IN" w:eastAsia="en-IN"/>
        </w:rPr>
        <w:t xml:space="preserve"> in</w:t>
      </w:r>
      <w:r w:rsidR="0081248F" w:rsidRPr="003603F7">
        <w:rPr>
          <w:rFonts w:ascii="Arial" w:eastAsia="Times New Roman" w:hAnsi="Arial" w:cs="Arial"/>
          <w:kern w:val="0"/>
          <w:sz w:val="20"/>
          <w:szCs w:val="20"/>
          <w:lang w:val="en-IN" w:eastAsia="en-IN"/>
        </w:rPr>
        <w:t xml:space="preserve"> the model </w:t>
      </w:r>
      <w:r w:rsidR="007E4ACE">
        <w:rPr>
          <w:rFonts w:ascii="Arial" w:eastAsia="Times New Roman" w:hAnsi="Arial" w:cs="Arial"/>
          <w:kern w:val="0"/>
          <w:sz w:val="20"/>
          <w:szCs w:val="20"/>
          <w:lang w:val="en-IN" w:eastAsia="en-IN"/>
        </w:rPr>
        <w:t>estimation,</w:t>
      </w:r>
      <w:r w:rsidR="0081248F" w:rsidRPr="003603F7">
        <w:rPr>
          <w:rFonts w:ascii="Arial" w:eastAsia="Times New Roman" w:hAnsi="Arial" w:cs="Arial"/>
          <w:kern w:val="0"/>
          <w:sz w:val="20"/>
          <w:szCs w:val="20"/>
          <w:lang w:val="en-IN" w:eastAsia="en-IN"/>
        </w:rPr>
        <w:t xml:space="preserve"> a system</w:t>
      </w:r>
      <w:r w:rsidR="0081248F" w:rsidRPr="003603F7">
        <w:rPr>
          <w:rFonts w:ascii="Cambria Math" w:eastAsia="Times New Roman" w:hAnsi="Cambria Math" w:cs="Cambria Math"/>
          <w:kern w:val="0"/>
          <w:sz w:val="20"/>
          <w:szCs w:val="20"/>
          <w:lang w:val="en-IN" w:eastAsia="en-IN"/>
        </w:rPr>
        <w:t>‐</w:t>
      </w:r>
      <w:r w:rsidR="0081248F" w:rsidRPr="003603F7">
        <w:rPr>
          <w:rFonts w:ascii="Arial" w:eastAsia="Times New Roman" w:hAnsi="Arial" w:cs="Arial"/>
          <w:kern w:val="0"/>
          <w:sz w:val="20"/>
          <w:szCs w:val="20"/>
          <w:lang w:val="en-IN" w:eastAsia="en-IN"/>
        </w:rPr>
        <w:t>GMM estimator</w:t>
      </w:r>
      <w:r w:rsidR="007E4ACE">
        <w:rPr>
          <w:rFonts w:ascii="Arial" w:eastAsia="Times New Roman" w:hAnsi="Arial" w:cs="Arial"/>
          <w:kern w:val="0"/>
          <w:sz w:val="20"/>
          <w:szCs w:val="20"/>
          <w:lang w:val="en-IN" w:eastAsia="en-IN"/>
        </w:rPr>
        <w:t xml:space="preserve"> is </w:t>
      </w:r>
      <w:r w:rsidR="009411E2">
        <w:rPr>
          <w:rFonts w:ascii="Arial" w:eastAsia="Times New Roman" w:hAnsi="Arial" w:cs="Arial"/>
          <w:kern w:val="0"/>
          <w:sz w:val="20"/>
          <w:szCs w:val="20"/>
          <w:lang w:val="en-IN" w:eastAsia="en-IN"/>
        </w:rPr>
        <w:t>employed</w:t>
      </w:r>
      <w:r w:rsidR="0081248F" w:rsidRPr="003603F7">
        <w:rPr>
          <w:rFonts w:ascii="Arial" w:eastAsia="Times New Roman" w:hAnsi="Arial" w:cs="Arial"/>
          <w:kern w:val="0"/>
          <w:sz w:val="20"/>
          <w:szCs w:val="20"/>
          <w:lang w:val="en-IN" w:eastAsia="en-IN"/>
        </w:rPr>
        <w:t xml:space="preserve">. Finally, recognizing </w:t>
      </w:r>
      <w:r w:rsidR="00C54A07" w:rsidRPr="003603F7">
        <w:rPr>
          <w:rFonts w:ascii="Arial" w:eastAsia="Times New Roman" w:hAnsi="Arial" w:cs="Arial"/>
          <w:kern w:val="0"/>
          <w:sz w:val="20"/>
          <w:szCs w:val="20"/>
          <w:lang w:val="en-IN" w:eastAsia="en-IN"/>
        </w:rPr>
        <w:t xml:space="preserve">that </w:t>
      </w:r>
      <w:r w:rsidR="00C54A07">
        <w:rPr>
          <w:rFonts w:ascii="Arial" w:eastAsia="Times New Roman" w:hAnsi="Arial" w:cs="Arial"/>
          <w:kern w:val="0"/>
          <w:sz w:val="20"/>
          <w:szCs w:val="20"/>
          <w:lang w:val="en-IN" w:eastAsia="en-IN"/>
        </w:rPr>
        <w:t xml:space="preserve">districts </w:t>
      </w:r>
      <w:r w:rsidR="00C54A07" w:rsidRPr="00C54A07">
        <w:rPr>
          <w:rFonts w:ascii="Arial" w:eastAsia="Times New Roman" w:hAnsi="Arial" w:cs="Arial"/>
          <w:kern w:val="0"/>
          <w:sz w:val="20"/>
          <w:szCs w:val="20"/>
          <w:lang w:val="en-IN" w:eastAsia="en-IN"/>
        </w:rPr>
        <w:t>within Rajasthan may respond differently to the same determinants,</w:t>
      </w:r>
      <w:r w:rsidR="00C54A07" w:rsidRPr="003603F7">
        <w:rPr>
          <w:rFonts w:ascii="Arial" w:eastAsia="Times New Roman" w:hAnsi="Arial" w:cs="Arial"/>
          <w:kern w:val="0"/>
          <w:sz w:val="20"/>
          <w:szCs w:val="20"/>
          <w:lang w:val="en-IN" w:eastAsia="en-IN"/>
        </w:rPr>
        <w:t xml:space="preserve"> </w:t>
      </w:r>
      <w:r w:rsidR="0081248F" w:rsidRPr="003603F7">
        <w:rPr>
          <w:rFonts w:ascii="Arial" w:eastAsia="Times New Roman" w:hAnsi="Arial" w:cs="Arial"/>
          <w:kern w:val="0"/>
          <w:sz w:val="20"/>
          <w:szCs w:val="20"/>
          <w:lang w:val="en-IN" w:eastAsia="en-IN"/>
        </w:rPr>
        <w:t>Swamy’s Random</w:t>
      </w:r>
      <w:r w:rsidR="00804EA4">
        <w:rPr>
          <w:rFonts w:ascii="Cambria Math" w:eastAsia="Times New Roman" w:hAnsi="Cambria Math" w:cs="Cambria Math"/>
          <w:kern w:val="0"/>
          <w:sz w:val="20"/>
          <w:szCs w:val="20"/>
          <w:lang w:val="en-IN" w:eastAsia="en-IN"/>
        </w:rPr>
        <w:t xml:space="preserve"> </w:t>
      </w:r>
      <w:r w:rsidR="00804EA4">
        <w:rPr>
          <w:rFonts w:ascii="Arial" w:eastAsia="Times New Roman" w:hAnsi="Arial" w:cs="Arial"/>
          <w:kern w:val="0"/>
          <w:sz w:val="20"/>
          <w:szCs w:val="20"/>
          <w:lang w:val="en-IN" w:eastAsia="en-IN"/>
        </w:rPr>
        <w:t>Coefficient</w:t>
      </w:r>
      <w:r w:rsidR="0081248F" w:rsidRPr="003603F7">
        <w:rPr>
          <w:rFonts w:ascii="Arial" w:eastAsia="Times New Roman" w:hAnsi="Arial" w:cs="Arial"/>
          <w:kern w:val="0"/>
          <w:sz w:val="20"/>
          <w:szCs w:val="20"/>
          <w:lang w:val="en-IN" w:eastAsia="en-IN"/>
        </w:rPr>
        <w:t xml:space="preserve"> Model </w:t>
      </w:r>
      <w:r w:rsidR="00C54A07">
        <w:rPr>
          <w:rFonts w:ascii="Arial" w:eastAsia="Times New Roman" w:hAnsi="Arial" w:cs="Arial"/>
          <w:kern w:val="0"/>
          <w:sz w:val="20"/>
          <w:szCs w:val="20"/>
          <w:lang w:val="en-IN" w:eastAsia="en-IN"/>
        </w:rPr>
        <w:t xml:space="preserve">is applied </w:t>
      </w:r>
      <w:r w:rsidR="0081248F" w:rsidRPr="003603F7">
        <w:rPr>
          <w:rFonts w:ascii="Arial" w:eastAsia="Times New Roman" w:hAnsi="Arial" w:cs="Arial"/>
          <w:kern w:val="0"/>
          <w:sz w:val="20"/>
          <w:szCs w:val="20"/>
          <w:lang w:val="en-IN" w:eastAsia="en-IN"/>
        </w:rPr>
        <w:t>to capt</w:t>
      </w:r>
      <w:r w:rsidR="00946AF2">
        <w:rPr>
          <w:rFonts w:ascii="Arial" w:eastAsia="Times New Roman" w:hAnsi="Arial" w:cs="Arial"/>
          <w:kern w:val="0"/>
          <w:sz w:val="20"/>
          <w:szCs w:val="20"/>
          <w:lang w:val="en-IN" w:eastAsia="en-IN"/>
        </w:rPr>
        <w:t xml:space="preserve">ure </w:t>
      </w:r>
      <w:r w:rsidR="0081248F" w:rsidRPr="003603F7">
        <w:rPr>
          <w:rFonts w:ascii="Arial" w:eastAsia="Times New Roman" w:hAnsi="Arial" w:cs="Arial"/>
          <w:kern w:val="0"/>
          <w:sz w:val="20"/>
          <w:szCs w:val="20"/>
          <w:lang w:val="en-IN" w:eastAsia="en-IN"/>
        </w:rPr>
        <w:t>cross</w:t>
      </w:r>
      <w:r w:rsidR="0081248F" w:rsidRPr="003603F7">
        <w:rPr>
          <w:rFonts w:ascii="Cambria Math" w:eastAsia="Times New Roman" w:hAnsi="Cambria Math" w:cs="Cambria Math"/>
          <w:kern w:val="0"/>
          <w:sz w:val="20"/>
          <w:szCs w:val="20"/>
          <w:lang w:val="en-IN" w:eastAsia="en-IN"/>
        </w:rPr>
        <w:t>‐</w:t>
      </w:r>
      <w:r w:rsidR="0081248F" w:rsidRPr="003603F7">
        <w:rPr>
          <w:rFonts w:ascii="Arial" w:eastAsia="Times New Roman" w:hAnsi="Arial" w:cs="Arial"/>
          <w:kern w:val="0"/>
          <w:sz w:val="20"/>
          <w:szCs w:val="20"/>
          <w:lang w:val="en-IN" w:eastAsia="en-IN"/>
        </w:rPr>
        <w:t>district heterogeneity in slope effects.</w:t>
      </w:r>
    </w:p>
    <w:p w14:paraId="1CD422E6" w14:textId="77777777" w:rsidR="00B4650A" w:rsidRPr="003603F7" w:rsidRDefault="00B4650A">
      <w:pPr>
        <w:pStyle w:val="Standard"/>
        <w:spacing w:before="280" w:after="280" w:line="240" w:lineRule="auto"/>
        <w:jc w:val="both"/>
        <w:rPr>
          <w:rFonts w:ascii="Arial" w:hAnsi="Arial" w:cs="Arial"/>
          <w:sz w:val="20"/>
          <w:szCs w:val="20"/>
        </w:rPr>
      </w:pPr>
    </w:p>
    <w:p w14:paraId="4CA7EB88" w14:textId="77777777" w:rsidR="005A30D7" w:rsidRDefault="0081248F">
      <w:pPr>
        <w:pStyle w:val="Standard"/>
        <w:spacing w:before="280" w:after="280" w:line="360" w:lineRule="auto"/>
        <w:jc w:val="both"/>
      </w:pPr>
      <w:r>
        <w:rPr>
          <w:rFonts w:ascii="Arial" w:eastAsia="Times New Roman" w:hAnsi="Arial" w:cs="Arial"/>
          <w:b/>
          <w:bCs/>
          <w:kern w:val="0"/>
          <w:sz w:val="22"/>
          <w:szCs w:val="22"/>
          <w:lang w:val="en-IN" w:eastAsia="en-IN"/>
        </w:rPr>
        <w:t>3. METHODOLOGY</w:t>
      </w:r>
    </w:p>
    <w:p w14:paraId="61039D8A" w14:textId="77777777" w:rsidR="005A30D7" w:rsidRDefault="0081248F">
      <w:pPr>
        <w:pStyle w:val="Standard"/>
        <w:spacing w:before="280" w:after="280" w:line="240" w:lineRule="auto"/>
        <w:jc w:val="both"/>
      </w:pPr>
      <w:r>
        <w:rPr>
          <w:rFonts w:ascii="Arial" w:eastAsia="Times New Roman" w:hAnsi="Arial" w:cs="Arial"/>
          <w:b/>
          <w:bCs/>
          <w:kern w:val="0"/>
          <w:sz w:val="22"/>
          <w:szCs w:val="22"/>
          <w:lang w:val="en-IN" w:eastAsia="en-IN"/>
        </w:rPr>
        <w:lastRenderedPageBreak/>
        <w:t>3.1 Model Specification</w:t>
      </w:r>
    </w:p>
    <w:p w14:paraId="62BFAEDE" w14:textId="77777777"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The following models are specified to examine the effects of different determinants on financial inclusion, measured in terms of deposit and credit penetration:</w:t>
      </w:r>
    </w:p>
    <w:p w14:paraId="6EA45E86" w14:textId="728D9E01" w:rsidR="005A30D7" w:rsidRDefault="0081248F">
      <w:pPr>
        <w:pStyle w:val="Standard"/>
        <w:spacing w:before="280" w:after="280" w:line="240" w:lineRule="auto"/>
        <w:rPr>
          <w:rFonts w:ascii="Arial" w:hAnsi="Arial"/>
          <w:b/>
          <w:bCs/>
          <w:i/>
          <w:iCs/>
          <w:sz w:val="20"/>
          <w:szCs w:val="20"/>
        </w:rPr>
      </w:pPr>
      <w:r>
        <w:rPr>
          <w:rFonts w:ascii="Arial" w:hAnsi="Arial"/>
          <w:b/>
          <w:bCs/>
          <w:i/>
          <w:iCs/>
          <w:sz w:val="20"/>
          <w:szCs w:val="20"/>
        </w:rPr>
        <w:t xml:space="preserve">Model </w:t>
      </w:r>
      <w:r w:rsidR="004671C3">
        <w:rPr>
          <w:rFonts w:ascii="Arial" w:hAnsi="Arial"/>
          <w:b/>
          <w:bCs/>
          <w:i/>
          <w:iCs/>
          <w:sz w:val="20"/>
          <w:szCs w:val="20"/>
        </w:rPr>
        <w:t>I:</w:t>
      </w:r>
      <w:r>
        <w:rPr>
          <w:rFonts w:ascii="Arial" w:hAnsi="Arial"/>
          <w:b/>
          <w:bCs/>
          <w:i/>
          <w:iCs/>
          <w:sz w:val="20"/>
          <w:szCs w:val="20"/>
        </w:rPr>
        <w:t xml:space="preserve"> Deposit Penetration Model</w:t>
      </w:r>
    </w:p>
    <w:p w14:paraId="32CB3FC1" w14:textId="77777777" w:rsidR="005A30D7" w:rsidRDefault="00F512BD">
      <w:pPr>
        <w:pStyle w:val="Standard"/>
        <w:spacing w:before="280" w:after="280" w:line="240" w:lineRule="auto"/>
        <w:jc w:val="both"/>
      </w:pPr>
      <m:oMath>
        <m:sSub>
          <m:sSubPr>
            <m:ctrlPr>
              <w:rPr>
                <w:rFonts w:ascii="Cambria Math" w:hAnsi="Cambria Math"/>
              </w:rPr>
            </m:ctrlPr>
          </m:sSubPr>
          <m:e>
            <m:r>
              <w:rPr>
                <w:rFonts w:ascii="Cambria Math" w:hAnsi="Cambria Math"/>
              </w:rPr>
              <m:t>LPCDP</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0</m:t>
            </m:r>
          </m:sub>
        </m:sSub>
        <m:r>
          <m:rPr>
            <m:nor/>
          </m: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LBB</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w:rPr>
                <w:rFonts w:ascii="Cambria Math" w:hAnsi="Cambria Math"/>
              </w:rPr>
              <m:t>LPCNDDP</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3</m:t>
            </m:r>
          </m:sub>
        </m:sSub>
        <m:sSub>
          <m:sSubPr>
            <m:ctrlPr>
              <w:rPr>
                <w:rFonts w:ascii="Cambria Math" w:hAnsi="Cambria Math"/>
              </w:rPr>
            </m:ctrlPr>
          </m:sSubPr>
          <m:e>
            <m:r>
              <w:rPr>
                <w:rFonts w:ascii="Cambria Math" w:hAnsi="Cambria Math"/>
              </w:rPr>
              <m:t>LMANP</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4</m:t>
            </m:r>
          </m:sub>
        </m:sSub>
        <m:sSub>
          <m:sSubPr>
            <m:ctrlPr>
              <w:rPr>
                <w:rFonts w:ascii="Cambria Math" w:hAnsi="Cambria Math"/>
              </w:rPr>
            </m:ctrlPr>
          </m:sSubPr>
          <m:e>
            <m:r>
              <w:rPr>
                <w:rFonts w:ascii="Cambria Math" w:hAnsi="Cambria Math"/>
              </w:rPr>
              <m:t>LPOPGR</m:t>
            </m:r>
          </m:e>
          <m:sub>
            <m:r>
              <w:rPr>
                <w:rFonts w:ascii="Cambria Math" w:hAnsi="Cambria Math"/>
              </w:rPr>
              <m:t>t</m:t>
            </m:r>
          </m:sub>
        </m:sSub>
        <m:r>
          <m:rPr>
            <m:nor/>
          </m:rPr>
          <m:t>+</m:t>
        </m:r>
        <m:sSub>
          <m:sSubPr>
            <m:ctrlPr>
              <w:rPr>
                <w:rFonts w:ascii="Cambria Math" w:hAnsi="Cambria Math"/>
              </w:rPr>
            </m:ctrlPr>
          </m:sSubPr>
          <m:e>
            <m:r>
              <w:rPr>
                <w:rFonts w:ascii="Cambria Math" w:hAnsi="Cambria Math"/>
              </w:rPr>
              <m:t>ε</m:t>
            </m:r>
          </m:e>
          <m:sub>
            <m:r>
              <m:rPr>
                <m:nor/>
              </m:rPr>
              <m:t>it</m:t>
            </m:r>
          </m:sub>
        </m:sSub>
      </m:oMath>
      <w:r w:rsidR="0081248F">
        <w:rPr>
          <w:rFonts w:ascii="Times New Roman" w:eastAsia="Times New Roman" w:hAnsi="Times New Roman" w:cs="Times New Roman"/>
          <w:kern w:val="0"/>
          <w:lang w:val="en-IN" w:eastAsia="en-IN"/>
        </w:rPr>
        <w:t xml:space="preserve">                (1)</w:t>
      </w:r>
    </w:p>
    <w:p w14:paraId="3A59995E" w14:textId="234C561B" w:rsidR="005A30D7" w:rsidRDefault="0081248F">
      <w:pPr>
        <w:pStyle w:val="Standard"/>
        <w:spacing w:before="280" w:after="280" w:line="240" w:lineRule="auto"/>
        <w:rPr>
          <w:rFonts w:ascii="Arial" w:hAnsi="Arial"/>
          <w:b/>
          <w:bCs/>
          <w:i/>
          <w:iCs/>
          <w:sz w:val="20"/>
          <w:szCs w:val="20"/>
        </w:rPr>
      </w:pPr>
      <w:r>
        <w:rPr>
          <w:rFonts w:ascii="Arial" w:hAnsi="Arial"/>
          <w:b/>
          <w:bCs/>
          <w:i/>
          <w:iCs/>
          <w:sz w:val="20"/>
          <w:szCs w:val="20"/>
        </w:rPr>
        <w:t xml:space="preserve">Model </w:t>
      </w:r>
      <w:r w:rsidR="004671C3">
        <w:rPr>
          <w:rFonts w:ascii="Arial" w:hAnsi="Arial"/>
          <w:b/>
          <w:bCs/>
          <w:i/>
          <w:iCs/>
          <w:sz w:val="20"/>
          <w:szCs w:val="20"/>
        </w:rPr>
        <w:t>II:</w:t>
      </w:r>
      <w:r>
        <w:rPr>
          <w:rFonts w:ascii="Arial" w:hAnsi="Arial"/>
          <w:b/>
          <w:bCs/>
          <w:i/>
          <w:iCs/>
          <w:sz w:val="20"/>
          <w:szCs w:val="20"/>
        </w:rPr>
        <w:t xml:space="preserve"> Credit Penetration Model</w:t>
      </w:r>
    </w:p>
    <w:p w14:paraId="1A5D8537" w14:textId="77777777" w:rsidR="005A30D7" w:rsidRDefault="0081248F">
      <w:pPr>
        <w:pStyle w:val="Standard"/>
        <w:spacing w:before="280" w:after="280" w:line="240" w:lineRule="auto"/>
        <w:jc w:val="both"/>
      </w:pPr>
      <w:r>
        <w:rPr>
          <w:rFonts w:ascii="Times New Roman" w:eastAsia="Times New Roman" w:hAnsi="Times New Roman" w:cs="Times New Roman"/>
          <w:kern w:val="0"/>
          <w:lang w:val="en-IN" w:eastAsia="en-IN"/>
        </w:rPr>
        <w:t xml:space="preserve"> </w:t>
      </w:r>
      <m:oMath>
        <m:sSub>
          <m:sSubPr>
            <m:ctrlPr>
              <w:rPr>
                <w:rFonts w:ascii="Cambria Math" w:hAnsi="Cambria Math"/>
              </w:rPr>
            </m:ctrlPr>
          </m:sSubPr>
          <m:e>
            <m:r>
              <w:rPr>
                <w:rFonts w:ascii="Cambria Math" w:hAnsi="Cambria Math"/>
              </w:rPr>
              <m:t>LPCCR</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0</m:t>
            </m:r>
          </m:sub>
        </m:sSub>
        <m:r>
          <m:rPr>
            <m:nor/>
          </m: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LBB</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w:rPr>
                <w:rFonts w:ascii="Cambria Math" w:hAnsi="Cambria Math"/>
              </w:rPr>
              <m:t>LPCNDDP</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3</m:t>
            </m:r>
          </m:sub>
        </m:sSub>
        <m:sSub>
          <m:sSubPr>
            <m:ctrlPr>
              <w:rPr>
                <w:rFonts w:ascii="Cambria Math" w:hAnsi="Cambria Math"/>
              </w:rPr>
            </m:ctrlPr>
          </m:sSubPr>
          <m:e>
            <m:r>
              <w:rPr>
                <w:rFonts w:ascii="Cambria Math" w:hAnsi="Cambria Math"/>
              </w:rPr>
              <m:t>LMANP</m:t>
            </m:r>
          </m:e>
          <m:sub>
            <m:r>
              <w:rPr>
                <w:rFonts w:ascii="Cambria Math" w:hAnsi="Cambria Math"/>
              </w:rPr>
              <m:t>t</m:t>
            </m:r>
          </m:sub>
        </m:sSub>
        <m:r>
          <m:rPr>
            <m:nor/>
          </m:rPr>
          <m:t>+</m:t>
        </m:r>
        <m:sSub>
          <m:sSubPr>
            <m:ctrlPr>
              <w:rPr>
                <w:rFonts w:ascii="Cambria Math" w:hAnsi="Cambria Math"/>
              </w:rPr>
            </m:ctrlPr>
          </m:sSubPr>
          <m:e>
            <m:r>
              <w:rPr>
                <w:rFonts w:ascii="Cambria Math" w:hAnsi="Cambria Math"/>
              </w:rPr>
              <m:t>β</m:t>
            </m:r>
          </m:e>
          <m:sub>
            <m:r>
              <w:rPr>
                <w:rFonts w:ascii="Cambria Math" w:hAnsi="Cambria Math"/>
              </w:rPr>
              <m:t>4</m:t>
            </m:r>
          </m:sub>
        </m:sSub>
        <m:sSub>
          <m:sSubPr>
            <m:ctrlPr>
              <w:rPr>
                <w:rFonts w:ascii="Cambria Math" w:hAnsi="Cambria Math"/>
              </w:rPr>
            </m:ctrlPr>
          </m:sSubPr>
          <m:e>
            <m:r>
              <w:rPr>
                <w:rFonts w:ascii="Cambria Math" w:hAnsi="Cambria Math"/>
              </w:rPr>
              <m:t>LPOPGR</m:t>
            </m:r>
          </m:e>
          <m:sub>
            <m:r>
              <w:rPr>
                <w:rFonts w:ascii="Cambria Math" w:hAnsi="Cambria Math"/>
              </w:rPr>
              <m:t>t</m:t>
            </m:r>
          </m:sub>
        </m:sSub>
        <m:r>
          <m:rPr>
            <m:nor/>
          </m:rPr>
          <m:t>+</m:t>
        </m:r>
        <m:sSub>
          <m:sSubPr>
            <m:ctrlPr>
              <w:rPr>
                <w:rFonts w:ascii="Cambria Math" w:hAnsi="Cambria Math"/>
              </w:rPr>
            </m:ctrlPr>
          </m:sSubPr>
          <m:e>
            <m:r>
              <w:rPr>
                <w:rFonts w:ascii="Cambria Math" w:hAnsi="Cambria Math"/>
              </w:rPr>
              <m:t>ε</m:t>
            </m:r>
          </m:e>
          <m:sub>
            <m:r>
              <m:rPr>
                <m:nor/>
              </m:rPr>
              <m:t>it</m:t>
            </m:r>
          </m:sub>
        </m:sSub>
      </m:oMath>
      <w:r>
        <w:rPr>
          <w:rFonts w:ascii="Times New Roman" w:eastAsia="Times New Roman" w:hAnsi="Times New Roman" w:cs="Times New Roman"/>
          <w:kern w:val="0"/>
          <w:lang w:val="en-IN" w:eastAsia="en-IN"/>
        </w:rPr>
        <w:t xml:space="preserve">                (2)</w:t>
      </w:r>
    </w:p>
    <w:p w14:paraId="10CC4F32" w14:textId="7E24A237" w:rsidR="005A30D7" w:rsidRDefault="00B460B8">
      <w:pPr>
        <w:pStyle w:val="Standard"/>
        <w:spacing w:before="280" w:after="280" w:line="240" w:lineRule="auto"/>
        <w:jc w:val="both"/>
        <w:rPr>
          <w:rFonts w:ascii="Arial" w:hAnsi="Arial"/>
          <w:sz w:val="20"/>
          <w:szCs w:val="20"/>
        </w:rPr>
      </w:pPr>
      <w:r>
        <w:rPr>
          <w:rFonts w:ascii="Arial" w:eastAsia="Times New Roman" w:hAnsi="Arial" w:cs="Arial"/>
          <w:kern w:val="0"/>
          <w:sz w:val="20"/>
          <w:szCs w:val="20"/>
          <w:lang w:val="en-IN" w:eastAsia="en-IN"/>
        </w:rPr>
        <w:t xml:space="preserve">In </w:t>
      </w:r>
      <w:r w:rsidR="00CD52CF">
        <w:rPr>
          <w:rFonts w:ascii="Arial" w:eastAsia="Times New Roman" w:hAnsi="Arial" w:cs="Arial"/>
          <w:kern w:val="0"/>
          <w:sz w:val="20"/>
          <w:szCs w:val="20"/>
          <w:lang w:val="en-IN" w:eastAsia="en-IN"/>
        </w:rPr>
        <w:t xml:space="preserve">the </w:t>
      </w:r>
      <w:r>
        <w:rPr>
          <w:rFonts w:ascii="Arial" w:eastAsia="Times New Roman" w:hAnsi="Arial" w:cs="Arial"/>
          <w:kern w:val="0"/>
          <w:sz w:val="20"/>
          <w:szCs w:val="20"/>
          <w:lang w:val="en-IN" w:eastAsia="en-IN"/>
        </w:rPr>
        <w:t>Deposit</w:t>
      </w:r>
      <w:r w:rsidR="0081248F">
        <w:rPr>
          <w:rFonts w:ascii="Arial" w:eastAsia="Times New Roman" w:hAnsi="Arial" w:cs="Arial"/>
          <w:kern w:val="0"/>
          <w:sz w:val="20"/>
          <w:szCs w:val="20"/>
          <w:lang w:val="en-IN" w:eastAsia="en-IN"/>
        </w:rPr>
        <w:t xml:space="preserve"> Penetration Model, LPCDP is the dependent variable representing the log of per capita deposit</w:t>
      </w:r>
      <w:r w:rsidR="00967BF8">
        <w:rPr>
          <w:rFonts w:ascii="Arial" w:eastAsia="Times New Roman" w:hAnsi="Arial" w:cs="Arial"/>
          <w:kern w:val="0"/>
          <w:sz w:val="20"/>
          <w:szCs w:val="20"/>
          <w:lang w:val="en-IN" w:eastAsia="en-IN"/>
        </w:rPr>
        <w:t>,</w:t>
      </w:r>
      <w:r w:rsidR="0081248F">
        <w:rPr>
          <w:rFonts w:ascii="Arial" w:eastAsia="Times New Roman" w:hAnsi="Arial" w:cs="Arial"/>
          <w:kern w:val="0"/>
          <w:sz w:val="20"/>
          <w:szCs w:val="20"/>
          <w:lang w:val="en-IN" w:eastAsia="en-IN"/>
        </w:rPr>
        <w:t xml:space="preserve"> and in </w:t>
      </w:r>
      <w:r w:rsidR="00CD52CF">
        <w:rPr>
          <w:rFonts w:ascii="Arial" w:eastAsia="Times New Roman" w:hAnsi="Arial" w:cs="Arial"/>
          <w:kern w:val="0"/>
          <w:sz w:val="20"/>
          <w:szCs w:val="20"/>
          <w:lang w:val="en-IN" w:eastAsia="en-IN"/>
        </w:rPr>
        <w:t xml:space="preserve">the </w:t>
      </w:r>
      <w:r w:rsidR="0081248F">
        <w:rPr>
          <w:rFonts w:ascii="Arial" w:eastAsia="Times New Roman" w:hAnsi="Arial" w:cs="Arial"/>
          <w:kern w:val="0"/>
          <w:sz w:val="20"/>
          <w:szCs w:val="20"/>
          <w:lang w:val="en-IN" w:eastAsia="en-IN"/>
        </w:rPr>
        <w:t>Credit Penetration Model</w:t>
      </w:r>
      <w:r w:rsidR="00967BF8">
        <w:rPr>
          <w:rFonts w:ascii="Arial" w:eastAsia="Times New Roman" w:hAnsi="Arial" w:cs="Arial"/>
          <w:kern w:val="0"/>
          <w:sz w:val="20"/>
          <w:szCs w:val="20"/>
          <w:lang w:val="en-IN" w:eastAsia="en-IN"/>
        </w:rPr>
        <w:t>,</w:t>
      </w:r>
      <w:r w:rsidR="00CD52CF">
        <w:rPr>
          <w:rFonts w:ascii="Arial" w:eastAsia="Times New Roman" w:hAnsi="Arial" w:cs="Arial"/>
          <w:kern w:val="0"/>
          <w:sz w:val="20"/>
          <w:szCs w:val="20"/>
          <w:lang w:val="en-IN" w:eastAsia="en-IN"/>
        </w:rPr>
        <w:t xml:space="preserve"> the</w:t>
      </w:r>
      <w:r w:rsidR="0081248F">
        <w:rPr>
          <w:rFonts w:ascii="Arial" w:eastAsia="Times New Roman" w:hAnsi="Arial" w:cs="Arial"/>
          <w:kern w:val="0"/>
          <w:sz w:val="20"/>
          <w:szCs w:val="20"/>
          <w:lang w:val="en-IN" w:eastAsia="en-IN"/>
        </w:rPr>
        <w:t xml:space="preserve"> dependent variable is LPCCR representing the log of per capita credit. These serve as proxies for financial inclusion, capturing the extent of formal financial service usage in terms of deposits and borrowing.</w:t>
      </w:r>
    </w:p>
    <w:p w14:paraId="0906FE32" w14:textId="087970B0" w:rsidR="005A30D7" w:rsidRDefault="0081248F">
      <w:pPr>
        <w:pStyle w:val="Standard"/>
        <w:spacing w:before="280" w:after="280" w:line="240" w:lineRule="auto"/>
        <w:jc w:val="both"/>
        <w:rPr>
          <w:rFonts w:ascii="Arial" w:hAnsi="Arial"/>
          <w:sz w:val="20"/>
          <w:szCs w:val="20"/>
        </w:rPr>
      </w:pPr>
      <w:r>
        <w:rPr>
          <w:rFonts w:ascii="Arial" w:eastAsia="Times New Roman" w:hAnsi="Arial" w:cs="Arial"/>
          <w:kern w:val="0"/>
          <w:sz w:val="20"/>
          <w:szCs w:val="20"/>
          <w:lang w:val="en-IN" w:eastAsia="en-IN"/>
        </w:rPr>
        <w:t>The independent variables include LBB (</w:t>
      </w:r>
      <w:bookmarkStart w:id="0" w:name="_Hlk198044472"/>
      <w:r>
        <w:rPr>
          <w:rFonts w:ascii="Arial" w:eastAsia="Times New Roman" w:hAnsi="Arial" w:cs="Arial"/>
          <w:kern w:val="0"/>
          <w:sz w:val="20"/>
          <w:szCs w:val="20"/>
          <w:lang w:val="en-IN" w:eastAsia="en-IN"/>
        </w:rPr>
        <w:t xml:space="preserve">log of </w:t>
      </w:r>
      <w:r w:rsidR="005A3D3E">
        <w:rPr>
          <w:rFonts w:ascii="Arial" w:eastAsia="Times New Roman" w:hAnsi="Arial" w:cs="Arial"/>
          <w:kern w:val="0"/>
          <w:sz w:val="20"/>
          <w:szCs w:val="20"/>
          <w:lang w:val="en-IN" w:eastAsia="en-IN"/>
        </w:rPr>
        <w:t xml:space="preserve">the </w:t>
      </w:r>
      <w:r>
        <w:rPr>
          <w:rFonts w:ascii="Arial" w:eastAsia="Times New Roman" w:hAnsi="Arial" w:cs="Arial"/>
          <w:kern w:val="0"/>
          <w:sz w:val="20"/>
          <w:szCs w:val="20"/>
          <w:lang w:val="en-IN" w:eastAsia="en-IN"/>
        </w:rPr>
        <w:t>number of bank branches</w:t>
      </w:r>
      <w:bookmarkEnd w:id="0"/>
      <w:r>
        <w:rPr>
          <w:rFonts w:ascii="Arial" w:eastAsia="Times New Roman" w:hAnsi="Arial" w:cs="Arial"/>
          <w:kern w:val="0"/>
          <w:sz w:val="20"/>
          <w:szCs w:val="20"/>
          <w:lang w:val="en-IN" w:eastAsia="en-IN"/>
        </w:rPr>
        <w:t>), which indicates the availability and accessibility of banking infrastructure within each district. LPCNDDP (log of per capita net district domestic product) serves as a proxy for income levels and local economic prosperity, reflecting the capacity of households to engage with financial institutions. LMANP (log of contribution of manufacturing in gross state domestic product) captures the influence of industrial presence on financial access, as manufacturing hubs often facilitate greater employment and formal financial transactions. Lastly, LPOPGR (</w:t>
      </w:r>
      <w:bookmarkStart w:id="1" w:name="_Hlk198044636"/>
      <w:r>
        <w:rPr>
          <w:rFonts w:ascii="Arial" w:eastAsia="Times New Roman" w:hAnsi="Arial" w:cs="Arial"/>
          <w:kern w:val="0"/>
          <w:sz w:val="20"/>
          <w:szCs w:val="20"/>
          <w:lang w:val="en-IN" w:eastAsia="en-IN"/>
        </w:rPr>
        <w:t>log of population growth</w:t>
      </w:r>
      <w:bookmarkEnd w:id="1"/>
      <w:r w:rsidR="00980EE6">
        <w:rPr>
          <w:rFonts w:ascii="Arial" w:eastAsia="Times New Roman" w:hAnsi="Arial" w:cs="Arial"/>
          <w:kern w:val="0"/>
          <w:sz w:val="20"/>
          <w:szCs w:val="20"/>
          <w:lang w:val="en-IN" w:eastAsia="en-IN"/>
        </w:rPr>
        <w:t xml:space="preserve"> rate</w:t>
      </w:r>
      <w:r>
        <w:rPr>
          <w:rFonts w:ascii="Arial" w:eastAsia="Times New Roman" w:hAnsi="Arial" w:cs="Arial"/>
          <w:kern w:val="0"/>
          <w:sz w:val="20"/>
          <w:szCs w:val="20"/>
          <w:lang w:val="en-IN" w:eastAsia="en-IN"/>
        </w:rPr>
        <w:t>) accounts for demographic pressures that may affect per capita financial service availability and demand. Together, these variables provide a comprehensive framework to assess the structural and socioeconomic determinants of financial inclusion across Rajasthan's districts over time.</w:t>
      </w:r>
    </w:p>
    <w:p w14:paraId="6C526D26" w14:textId="27134868" w:rsidR="005A30D7" w:rsidRDefault="0081248F">
      <w:pPr>
        <w:pStyle w:val="Standard"/>
        <w:spacing w:line="240" w:lineRule="auto"/>
        <w:jc w:val="both"/>
        <w:rPr>
          <w:rFonts w:ascii="Arial" w:hAnsi="Arial"/>
          <w:sz w:val="20"/>
          <w:szCs w:val="20"/>
        </w:rPr>
      </w:pPr>
      <w:r>
        <w:rPr>
          <w:rFonts w:ascii="Arial" w:eastAsia="Times New Roman" w:hAnsi="Arial" w:cs="Arial"/>
          <w:color w:val="000000"/>
          <w:kern w:val="0"/>
          <w:sz w:val="20"/>
          <w:szCs w:val="20"/>
          <w:lang w:val="en-IN" w:eastAsia="en-IN"/>
        </w:rPr>
        <w:t xml:space="preserve">Initially, this study applied </w:t>
      </w:r>
      <w:r w:rsidR="00E56E78">
        <w:rPr>
          <w:rFonts w:ascii="Arial" w:eastAsia="Times New Roman" w:hAnsi="Arial" w:cs="Arial"/>
          <w:color w:val="000000"/>
          <w:kern w:val="0"/>
          <w:sz w:val="20"/>
          <w:szCs w:val="20"/>
          <w:lang w:val="en-IN" w:eastAsia="en-IN"/>
        </w:rPr>
        <w:t xml:space="preserve">the </w:t>
      </w:r>
      <w:r>
        <w:rPr>
          <w:rFonts w:ascii="Arial" w:hAnsi="Arial" w:cs="Arial"/>
          <w:color w:val="000000"/>
          <w:sz w:val="20"/>
          <w:szCs w:val="20"/>
          <w:lang w:val="en-IN"/>
        </w:rPr>
        <w:t xml:space="preserve">Pooled Ordinary Least Squares (POLS) Method, Fixed Effects Method (FEM), </w:t>
      </w:r>
      <w:r w:rsidR="00E56E78">
        <w:rPr>
          <w:rFonts w:ascii="Arial" w:hAnsi="Arial" w:cs="Arial"/>
          <w:color w:val="000000"/>
          <w:sz w:val="20"/>
          <w:szCs w:val="20"/>
          <w:lang w:val="en-IN"/>
        </w:rPr>
        <w:t xml:space="preserve">and </w:t>
      </w:r>
      <w:r>
        <w:rPr>
          <w:rFonts w:ascii="Arial" w:hAnsi="Arial" w:cs="Arial"/>
          <w:color w:val="000000"/>
          <w:sz w:val="20"/>
          <w:szCs w:val="20"/>
          <w:lang w:val="en-IN"/>
        </w:rPr>
        <w:t xml:space="preserve">Random Effects Method (REM), </w:t>
      </w:r>
      <w:r>
        <w:rPr>
          <w:rFonts w:ascii="Arial" w:eastAsia="Times New Roman" w:hAnsi="Arial" w:cs="Arial"/>
          <w:color w:val="000000"/>
          <w:kern w:val="0"/>
          <w:sz w:val="20"/>
          <w:szCs w:val="20"/>
          <w:lang w:val="en-IN" w:eastAsia="en-IN"/>
        </w:rPr>
        <w:t xml:space="preserve">to examine the determinants of financial inclusion. Although panel data models generally incorporate temporal and cross-sectional dimensions, they can still be subject to autocorrelation, heteroskedasticity, and cross-sectional dependency. To mitigate these problems and strengthen the validity of the findings, the study employed Panel Corrected Standard Errors (PCSEs) and the Feasible Generalized Least Squares (FGLS) method. However, neither PCSEs nor FGLS is fully capable of resolving endogeneity concerns or addressing the risk of omitted variables. Consequently, the study ultimately adopts the </w:t>
      </w:r>
      <w:r>
        <w:rPr>
          <w:rFonts w:ascii="Arial" w:hAnsi="Arial" w:cs="Arial"/>
          <w:color w:val="000000"/>
          <w:sz w:val="20"/>
          <w:szCs w:val="20"/>
          <w:lang w:val="en-IN"/>
        </w:rPr>
        <w:t xml:space="preserve">Generalized Method of Moments (GMM) model </w:t>
      </w:r>
      <w:r>
        <w:rPr>
          <w:rFonts w:ascii="Arial" w:eastAsia="Times New Roman" w:hAnsi="Arial" w:cs="Arial"/>
          <w:color w:val="000000"/>
          <w:kern w:val="0"/>
          <w:sz w:val="20"/>
          <w:szCs w:val="20"/>
          <w:lang w:val="en-IN" w:eastAsia="en-IN"/>
        </w:rPr>
        <w:t>to overcome these limitations.</w:t>
      </w:r>
    </w:p>
    <w:p w14:paraId="3132325B" w14:textId="3EE48BB6" w:rsidR="005A30D7" w:rsidRDefault="00E56E78">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color w:val="000000"/>
          <w:kern w:val="0"/>
          <w:sz w:val="20"/>
          <w:szCs w:val="20"/>
          <w:lang w:val="en-IN" w:eastAsia="en-IN"/>
        </w:rPr>
        <w:t>Fixed Effects and Random E</w:t>
      </w:r>
      <w:r w:rsidR="0081248F">
        <w:rPr>
          <w:rFonts w:ascii="Arial" w:eastAsia="Times New Roman" w:hAnsi="Arial" w:cs="Arial"/>
          <w:color w:val="000000"/>
          <w:kern w:val="0"/>
          <w:sz w:val="20"/>
          <w:szCs w:val="20"/>
          <w:lang w:val="en-IN" w:eastAsia="en-IN"/>
        </w:rPr>
        <w:t xml:space="preserve">ffects </w:t>
      </w:r>
      <w:r w:rsidR="00A64B40">
        <w:rPr>
          <w:rFonts w:ascii="Arial" w:eastAsia="Times New Roman" w:hAnsi="Arial" w:cs="Arial"/>
          <w:color w:val="000000"/>
          <w:kern w:val="0"/>
          <w:sz w:val="20"/>
          <w:szCs w:val="20"/>
          <w:lang w:val="en-IN" w:eastAsia="en-IN"/>
        </w:rPr>
        <w:t>M</w:t>
      </w:r>
      <w:r w:rsidR="0081248F">
        <w:rPr>
          <w:rFonts w:ascii="Arial" w:eastAsia="Times New Roman" w:hAnsi="Arial" w:cs="Arial"/>
          <w:color w:val="000000"/>
          <w:kern w:val="0"/>
          <w:sz w:val="20"/>
          <w:szCs w:val="20"/>
          <w:lang w:val="en-IN" w:eastAsia="en-IN"/>
        </w:rPr>
        <w:t xml:space="preserve">odels account for panel-specific differences by incorporating a set of parameters that effectively assign each panel its own intercept, while maintaining a common set of slope coefficients across panels. In contrast, </w:t>
      </w:r>
      <w:r w:rsidR="00A64B40">
        <w:rPr>
          <w:rFonts w:ascii="Arial" w:eastAsia="Times New Roman" w:hAnsi="Arial" w:cs="Arial"/>
          <w:color w:val="000000"/>
          <w:kern w:val="0"/>
          <w:sz w:val="20"/>
          <w:szCs w:val="20"/>
          <w:lang w:val="en-IN" w:eastAsia="en-IN"/>
        </w:rPr>
        <w:t xml:space="preserve">Random Coefficients Models </w:t>
      </w:r>
      <w:r w:rsidR="0081248F">
        <w:rPr>
          <w:rFonts w:ascii="Arial" w:eastAsia="Times New Roman" w:hAnsi="Arial" w:cs="Arial"/>
          <w:color w:val="000000"/>
          <w:kern w:val="0"/>
          <w:sz w:val="20"/>
          <w:szCs w:val="20"/>
          <w:lang w:val="en-IN" w:eastAsia="en-IN"/>
        </w:rPr>
        <w:t xml:space="preserve">allow each panel to draw its own slope vector from a shared distribution, offering a more flexible approach. It also provides </w:t>
      </w:r>
      <w:r w:rsidR="00A64B40">
        <w:rPr>
          <w:rFonts w:ascii="Arial" w:eastAsia="Times New Roman" w:hAnsi="Arial" w:cs="Arial"/>
          <w:color w:val="000000"/>
          <w:kern w:val="0"/>
          <w:sz w:val="20"/>
          <w:szCs w:val="20"/>
          <w:lang w:val="en-IN" w:eastAsia="en-IN"/>
        </w:rPr>
        <w:t xml:space="preserve">the </w:t>
      </w:r>
      <w:r w:rsidR="0081248F">
        <w:rPr>
          <w:rFonts w:ascii="Arial" w:eastAsia="Times New Roman" w:hAnsi="Arial" w:cs="Arial"/>
          <w:color w:val="000000"/>
          <w:kern w:val="0"/>
          <w:sz w:val="20"/>
          <w:szCs w:val="20"/>
          <w:lang w:val="en-IN" w:eastAsia="en-IN"/>
        </w:rPr>
        <w:t xml:space="preserve">best linear unbiased predictors of each panel’s specific draws from that distribution. This model is more flexible </w:t>
      </w:r>
      <w:r w:rsidR="00A64B40">
        <w:rPr>
          <w:rFonts w:ascii="Arial" w:eastAsia="Times New Roman" w:hAnsi="Arial" w:cs="Arial"/>
          <w:color w:val="000000"/>
          <w:kern w:val="0"/>
          <w:sz w:val="20"/>
          <w:szCs w:val="20"/>
          <w:lang w:val="en-IN" w:eastAsia="en-IN"/>
        </w:rPr>
        <w:t>than Fixed-Effects or Random Effects Models</w:t>
      </w:r>
      <w:r w:rsidR="0081248F">
        <w:rPr>
          <w:rFonts w:ascii="Arial" w:eastAsia="Times New Roman" w:hAnsi="Arial" w:cs="Arial"/>
          <w:color w:val="000000"/>
          <w:kern w:val="0"/>
          <w:sz w:val="20"/>
          <w:szCs w:val="20"/>
          <w:lang w:val="en-IN" w:eastAsia="en-IN"/>
        </w:rPr>
        <w:t xml:space="preserve"> because it permits both intercepts and slopes to differ across panels, rather than forcing all panels to share the same slope coefficients.</w:t>
      </w:r>
      <w:r w:rsidR="0081248F">
        <w:rPr>
          <w:rFonts w:ascii="Arial" w:eastAsia="Times New Roman" w:hAnsi="Arial" w:cs="Arial"/>
          <w:color w:val="C00000"/>
          <w:kern w:val="0"/>
          <w:sz w:val="20"/>
          <w:szCs w:val="20"/>
          <w:lang w:val="en-IN" w:eastAsia="en-IN"/>
        </w:rPr>
        <w:t xml:space="preserve"> </w:t>
      </w:r>
      <w:r w:rsidR="0081248F">
        <w:rPr>
          <w:rFonts w:ascii="Arial" w:eastAsia="Times New Roman" w:hAnsi="Arial" w:cs="Arial"/>
          <w:kern w:val="0"/>
          <w:sz w:val="20"/>
          <w:szCs w:val="20"/>
          <w:lang w:val="en-IN" w:eastAsia="en-IN"/>
        </w:rPr>
        <w:t xml:space="preserve">Under the null hypothesis, all panel-specific slope coefficients are identical. In other words, there is no significant variation in slopes across panels. Rejecting this null </w:t>
      </w:r>
      <w:r w:rsidR="003F24B9">
        <w:rPr>
          <w:rFonts w:ascii="Arial" w:eastAsia="Times New Roman" w:hAnsi="Arial" w:cs="Arial"/>
          <w:kern w:val="0"/>
          <w:sz w:val="20"/>
          <w:szCs w:val="20"/>
          <w:lang w:val="en-IN" w:eastAsia="en-IN"/>
        </w:rPr>
        <w:t xml:space="preserve">hypothesis </w:t>
      </w:r>
      <w:r w:rsidR="0081248F">
        <w:rPr>
          <w:rFonts w:ascii="Arial" w:eastAsia="Times New Roman" w:hAnsi="Arial" w:cs="Arial"/>
          <w:kern w:val="0"/>
          <w:sz w:val="20"/>
          <w:szCs w:val="20"/>
          <w:lang w:val="en-IN" w:eastAsia="en-IN"/>
        </w:rPr>
        <w:t xml:space="preserve">indicates that at least one panel’s slope parameters differ, supporting the idea that a </w:t>
      </w:r>
      <w:r w:rsidR="00102E8E">
        <w:rPr>
          <w:rFonts w:ascii="Arial" w:eastAsia="Times New Roman" w:hAnsi="Arial" w:cs="Arial"/>
          <w:kern w:val="0"/>
          <w:sz w:val="20"/>
          <w:szCs w:val="20"/>
          <w:lang w:val="en-IN" w:eastAsia="en-IN"/>
        </w:rPr>
        <w:t xml:space="preserve">Random Coefficient Model </w:t>
      </w:r>
      <w:r w:rsidR="0081248F">
        <w:rPr>
          <w:rFonts w:ascii="Arial" w:eastAsia="Times New Roman" w:hAnsi="Arial" w:cs="Arial"/>
          <w:kern w:val="0"/>
          <w:sz w:val="20"/>
          <w:szCs w:val="20"/>
          <w:lang w:val="en-IN" w:eastAsia="en-IN"/>
        </w:rPr>
        <w:t>is more appropriate than a model assuming common slopes.</w:t>
      </w:r>
    </w:p>
    <w:p w14:paraId="60D0A327" w14:textId="77777777" w:rsidR="00454E01" w:rsidRDefault="00454E01">
      <w:pPr>
        <w:pStyle w:val="Standard"/>
        <w:spacing w:before="280" w:after="280" w:line="240" w:lineRule="auto"/>
        <w:jc w:val="both"/>
        <w:rPr>
          <w:rFonts w:ascii="Arial" w:hAnsi="Arial"/>
        </w:rPr>
      </w:pPr>
    </w:p>
    <w:p w14:paraId="6DC2A818" w14:textId="77777777" w:rsidR="005A30D7" w:rsidRDefault="0081248F">
      <w:pPr>
        <w:pStyle w:val="Standard"/>
        <w:spacing w:before="280" w:after="280" w:line="240" w:lineRule="auto"/>
        <w:jc w:val="both"/>
        <w:rPr>
          <w:rFonts w:ascii="Arial" w:eastAsia="Times New Roman" w:hAnsi="Arial" w:cs="Arial"/>
          <w:b/>
          <w:bCs/>
          <w:kern w:val="0"/>
          <w:sz w:val="22"/>
          <w:szCs w:val="22"/>
          <w:lang w:val="en-IN" w:eastAsia="en-IN"/>
        </w:rPr>
      </w:pPr>
      <w:r>
        <w:rPr>
          <w:rFonts w:ascii="Arial" w:eastAsia="Times New Roman" w:hAnsi="Arial" w:cs="Arial"/>
          <w:b/>
          <w:bCs/>
          <w:kern w:val="0"/>
          <w:sz w:val="22"/>
          <w:szCs w:val="22"/>
          <w:lang w:val="en-IN" w:eastAsia="en-IN"/>
        </w:rPr>
        <w:t>3.2 DATA SOURCES AND VARIABLES</w:t>
      </w:r>
    </w:p>
    <w:p w14:paraId="5FB79528" w14:textId="77777777"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lastRenderedPageBreak/>
        <w:t>The study uses data from the Directorate of Economics and Statistics (DES), Government of Rajasthan, the Economic and Political Weekly Research Foundation (EPWRF), and the Reserve Bank of India (RBI) for the period 1994–2023.</w:t>
      </w:r>
    </w:p>
    <w:p w14:paraId="20E203DD" w14:textId="77777777" w:rsidR="005A30D7" w:rsidRDefault="0081248F">
      <w:pPr>
        <w:pStyle w:val="Standard"/>
        <w:spacing w:before="280" w:after="280" w:line="240" w:lineRule="auto"/>
        <w:jc w:val="both"/>
      </w:pPr>
      <w:r>
        <w:rPr>
          <w:rFonts w:ascii="Arial" w:eastAsia="Times New Roman" w:hAnsi="Arial" w:cs="Arial"/>
          <w:b/>
          <w:bCs/>
          <w:kern w:val="0"/>
          <w:sz w:val="22"/>
          <w:szCs w:val="22"/>
          <w:lang w:val="en-IN" w:eastAsia="en-IN"/>
        </w:rPr>
        <w:t>3.2.1 Description of Endogenous Variables</w:t>
      </w:r>
    </w:p>
    <w:p w14:paraId="19BAF115" w14:textId="05A7A42A" w:rsidR="005A30D7" w:rsidRDefault="0081248F">
      <w:pPr>
        <w:pStyle w:val="Standard"/>
        <w:spacing w:before="280" w:after="280" w:line="240" w:lineRule="auto"/>
        <w:jc w:val="both"/>
        <w:rPr>
          <w:rFonts w:ascii="Arial" w:hAnsi="Arial"/>
          <w:sz w:val="20"/>
          <w:szCs w:val="20"/>
        </w:rPr>
      </w:pPr>
      <w:r>
        <w:rPr>
          <w:rFonts w:ascii="Arial" w:eastAsia="Times New Roman" w:hAnsi="Arial" w:cs="Arial"/>
          <w:kern w:val="0"/>
          <w:sz w:val="20"/>
          <w:szCs w:val="20"/>
          <w:lang w:val="en-IN" w:eastAsia="en-IN"/>
        </w:rPr>
        <w:t xml:space="preserve">Sarma (2008) suggested using bank accounts per capita to measure the penetration of the banking system. In line with this approach, our study constructs penetration indicators by calculating </w:t>
      </w:r>
      <w:r w:rsidRPr="00FE6A14">
        <w:rPr>
          <w:rFonts w:ascii="Arial" w:eastAsia="Times New Roman" w:hAnsi="Arial" w:cs="Arial"/>
          <w:kern w:val="0"/>
          <w:sz w:val="20"/>
          <w:szCs w:val="20"/>
          <w:lang w:val="en-IN" w:eastAsia="en-IN"/>
        </w:rPr>
        <w:t xml:space="preserve">the </w:t>
      </w:r>
      <w:r w:rsidR="00B6434D" w:rsidRPr="00FE6A14">
        <w:rPr>
          <w:rFonts w:ascii="Arial" w:eastAsia="Times New Roman" w:hAnsi="Arial" w:cs="Arial"/>
          <w:kern w:val="0"/>
          <w:sz w:val="20"/>
          <w:szCs w:val="20"/>
          <w:lang w:val="en-IN" w:eastAsia="en-IN"/>
        </w:rPr>
        <w:t>per capita deposit and</w:t>
      </w:r>
      <w:r w:rsidRPr="00FE6A14">
        <w:rPr>
          <w:rFonts w:ascii="Arial" w:eastAsia="Times New Roman" w:hAnsi="Arial" w:cs="Arial"/>
          <w:kern w:val="0"/>
          <w:sz w:val="20"/>
          <w:szCs w:val="20"/>
          <w:lang w:val="en-IN" w:eastAsia="en-IN"/>
        </w:rPr>
        <w:t xml:space="preserve"> </w:t>
      </w:r>
      <w:r w:rsidR="00B6434D" w:rsidRPr="00FE6A14">
        <w:rPr>
          <w:rFonts w:ascii="Arial" w:eastAsia="Times New Roman" w:hAnsi="Arial" w:cs="Arial"/>
          <w:kern w:val="0"/>
          <w:sz w:val="20"/>
          <w:szCs w:val="20"/>
          <w:lang w:val="en-IN" w:eastAsia="en-IN"/>
        </w:rPr>
        <w:t xml:space="preserve">per capita </w:t>
      </w:r>
      <w:r w:rsidRPr="00FE6A14">
        <w:rPr>
          <w:rFonts w:ascii="Arial" w:eastAsia="Times New Roman" w:hAnsi="Arial" w:cs="Arial"/>
          <w:kern w:val="0"/>
          <w:sz w:val="20"/>
          <w:szCs w:val="20"/>
          <w:lang w:val="en-IN" w:eastAsia="en-IN"/>
        </w:rPr>
        <w:t>credit accounts</w:t>
      </w:r>
      <w:r>
        <w:rPr>
          <w:rFonts w:ascii="Arial" w:eastAsia="Times New Roman" w:hAnsi="Arial" w:cs="Arial"/>
          <w:kern w:val="0"/>
          <w:sz w:val="20"/>
          <w:szCs w:val="20"/>
          <w:lang w:val="en-IN" w:eastAsia="en-IN"/>
        </w:rPr>
        <w:t>, which serve as dependent variables, namely, LPCDP and LPCCR, respectively. Deposit accounts are ideal for regular income earners, especially in urban areas, to save funds that can be easily withdrawn. In contrast, credit accounts serve business and personal needs, with banks verifying borrowers' financial stability to minimize default risk. Due to these differences, each should be evaluated separately</w:t>
      </w:r>
      <w:r>
        <w:rPr>
          <w:rFonts w:ascii="Arial" w:eastAsia="Times New Roman" w:hAnsi="Arial" w:cs="Times New Roman"/>
          <w:kern w:val="0"/>
          <w:sz w:val="20"/>
          <w:szCs w:val="20"/>
          <w:lang w:val="en-IN" w:eastAsia="en-IN"/>
        </w:rPr>
        <w:t>.</w:t>
      </w:r>
    </w:p>
    <w:p w14:paraId="33BF6428" w14:textId="77777777" w:rsidR="005A30D7" w:rsidRDefault="0081248F">
      <w:pPr>
        <w:pStyle w:val="Standard"/>
        <w:spacing w:before="280" w:after="280" w:line="240" w:lineRule="auto"/>
        <w:jc w:val="both"/>
      </w:pPr>
      <w:r>
        <w:rPr>
          <w:rFonts w:ascii="Arial" w:eastAsia="Times New Roman" w:hAnsi="Arial" w:cs="Arial"/>
          <w:b/>
          <w:bCs/>
          <w:kern w:val="0"/>
          <w:sz w:val="22"/>
          <w:szCs w:val="22"/>
          <w:lang w:val="en-IN" w:eastAsia="en-IN"/>
        </w:rPr>
        <w:t>3.2.2 Description of Exogenous Variables</w:t>
      </w:r>
    </w:p>
    <w:p w14:paraId="477BE5EA" w14:textId="202AFF36" w:rsidR="005A30D7" w:rsidRPr="001035EE" w:rsidRDefault="0081248F">
      <w:pPr>
        <w:pStyle w:val="Standard"/>
        <w:spacing w:before="280" w:after="280" w:line="240" w:lineRule="auto"/>
        <w:jc w:val="both"/>
        <w:rPr>
          <w:sz w:val="20"/>
          <w:szCs w:val="20"/>
        </w:rPr>
      </w:pPr>
      <w:r>
        <w:rPr>
          <w:rFonts w:ascii="Arial" w:eastAsia="Times New Roman" w:hAnsi="Arial" w:cs="Arial"/>
          <w:kern w:val="0"/>
          <w:sz w:val="20"/>
          <w:szCs w:val="20"/>
          <w:lang w:val="en-IN" w:eastAsia="en-IN"/>
        </w:rPr>
        <w:t xml:space="preserve">Four variables are used in this study as </w:t>
      </w:r>
      <w:r w:rsidR="00A63706">
        <w:rPr>
          <w:rFonts w:ascii="Arial" w:eastAsia="Times New Roman" w:hAnsi="Arial" w:cs="Arial"/>
          <w:kern w:val="0"/>
          <w:sz w:val="20"/>
          <w:szCs w:val="20"/>
          <w:lang w:val="en-IN" w:eastAsia="en-IN"/>
        </w:rPr>
        <w:t>exogenous</w:t>
      </w:r>
      <w:r>
        <w:rPr>
          <w:rFonts w:ascii="Arial" w:eastAsia="Times New Roman" w:hAnsi="Arial" w:cs="Arial"/>
          <w:kern w:val="0"/>
          <w:sz w:val="20"/>
          <w:szCs w:val="20"/>
          <w:lang w:val="en-IN" w:eastAsia="en-IN"/>
        </w:rPr>
        <w:t xml:space="preserve"> variables. These are </w:t>
      </w:r>
      <w:r w:rsidR="00EF07D9">
        <w:rPr>
          <w:rFonts w:ascii="Arial" w:eastAsia="Times New Roman" w:hAnsi="Arial" w:cs="Arial"/>
          <w:kern w:val="0"/>
          <w:sz w:val="20"/>
          <w:szCs w:val="20"/>
          <w:lang w:val="en-IN" w:eastAsia="en-IN"/>
        </w:rPr>
        <w:t xml:space="preserve">the </w:t>
      </w:r>
      <w:r>
        <w:rPr>
          <w:rFonts w:ascii="Arial" w:eastAsia="Times New Roman" w:hAnsi="Arial" w:cs="Arial"/>
          <w:kern w:val="0"/>
          <w:sz w:val="20"/>
          <w:szCs w:val="20"/>
          <w:lang w:val="en-IN" w:eastAsia="en-IN"/>
        </w:rPr>
        <w:t xml:space="preserve">number of bank branches (BB), per capita net district domestic product (NDDP), manufacturing activity and population growth. The number of bank branches is used to examine the population segment served by banks. Income is measured by per capita net district domestic product at constant 2011-2012 prices. The contribution of manufacturing in gross state domestic product (MANP) serves as a proxy for the level of manufacturing in the state. Additionally, </w:t>
      </w:r>
      <w:bookmarkStart w:id="2" w:name="_Hlk198044403"/>
      <w:r>
        <w:rPr>
          <w:rFonts w:ascii="Arial" w:eastAsia="Times New Roman" w:hAnsi="Arial" w:cs="Arial"/>
          <w:kern w:val="0"/>
          <w:sz w:val="20"/>
          <w:szCs w:val="20"/>
          <w:lang w:val="en-IN" w:eastAsia="en-IN"/>
        </w:rPr>
        <w:t xml:space="preserve">population growth </w:t>
      </w:r>
      <w:bookmarkEnd w:id="2"/>
      <w:r w:rsidR="006F535F">
        <w:rPr>
          <w:rFonts w:ascii="Arial" w:eastAsia="Times New Roman" w:hAnsi="Arial" w:cs="Arial"/>
          <w:kern w:val="0"/>
          <w:sz w:val="20"/>
          <w:szCs w:val="20"/>
          <w:lang w:val="en-IN" w:eastAsia="en-IN"/>
        </w:rPr>
        <w:t>rate</w:t>
      </w:r>
      <w:r>
        <w:rPr>
          <w:rFonts w:ascii="Arial" w:eastAsia="Times New Roman" w:hAnsi="Arial" w:cs="Arial"/>
          <w:kern w:val="0"/>
          <w:sz w:val="20"/>
          <w:szCs w:val="20"/>
          <w:lang w:val="en-IN" w:eastAsia="en-IN"/>
        </w:rPr>
        <w:t>(POPGR), which measures the rate at which a region's population increases is used to capture demographic changes and assess how a growing population may affect banking system penetration. All the variables used are converted into natural logarithms to get the values of elasticities directly.</w:t>
      </w:r>
    </w:p>
    <w:p w14:paraId="77302CDA" w14:textId="77777777" w:rsidR="005A30D7" w:rsidRDefault="0081248F">
      <w:pPr>
        <w:pStyle w:val="Standard"/>
        <w:spacing w:before="280" w:after="280" w:line="240" w:lineRule="auto"/>
        <w:jc w:val="both"/>
      </w:pPr>
      <w:r>
        <w:rPr>
          <w:rFonts w:ascii="Arial" w:eastAsia="Times New Roman" w:hAnsi="Arial" w:cs="Arial"/>
          <w:b/>
          <w:bCs/>
          <w:kern w:val="0"/>
          <w:sz w:val="22"/>
          <w:szCs w:val="22"/>
          <w:lang w:val="en-IN" w:eastAsia="en-IN"/>
        </w:rPr>
        <w:t>4. DATA ANALYSIS AND RESULTS</w:t>
      </w:r>
    </w:p>
    <w:p w14:paraId="0E35A826" w14:textId="7F8968C1" w:rsidR="005A30D7" w:rsidRDefault="0081248F">
      <w:pPr>
        <w:pStyle w:val="Standard"/>
        <w:spacing w:before="280" w:after="280" w:line="240" w:lineRule="auto"/>
        <w:jc w:val="both"/>
        <w:rPr>
          <w:rFonts w:ascii="Arial" w:eastAsia="Times New Roman" w:hAnsi="Arial" w:cs="Arial"/>
          <w:b/>
          <w:bCs/>
          <w:kern w:val="0"/>
          <w:sz w:val="22"/>
          <w:szCs w:val="22"/>
          <w:lang w:val="en-IN" w:eastAsia="en-IN"/>
        </w:rPr>
      </w:pPr>
      <w:r>
        <w:rPr>
          <w:rFonts w:ascii="Arial" w:eastAsia="Times New Roman" w:hAnsi="Arial" w:cs="Arial"/>
          <w:b/>
          <w:bCs/>
          <w:kern w:val="0"/>
          <w:sz w:val="22"/>
          <w:szCs w:val="22"/>
          <w:lang w:val="en-IN" w:eastAsia="en-IN"/>
        </w:rPr>
        <w:t>4.1 Description Statistics and Correlation Matrix</w:t>
      </w:r>
    </w:p>
    <w:p w14:paraId="4F37204C" w14:textId="2C42EFE1" w:rsidR="00247FFD" w:rsidRPr="00247FFD" w:rsidRDefault="00247FFD" w:rsidP="00247FFD">
      <w:r w:rsidRPr="00247FFD">
        <w:rPr>
          <w:rFonts w:ascii="Arial" w:hAnsi="Arial" w:cs="Times New Roman"/>
          <w:bCs/>
          <w:kern w:val="0"/>
          <w:sz w:val="22"/>
          <w:szCs w:val="22"/>
          <w:lang w:val="en-IN"/>
        </w:rPr>
        <w:t>Descriptive statistics and correlation matrix of selected variables</w:t>
      </w:r>
      <w:r>
        <w:rPr>
          <w:rFonts w:ascii="Arial" w:hAnsi="Arial" w:cs="Times New Roman"/>
          <w:bCs/>
          <w:kern w:val="0"/>
          <w:sz w:val="22"/>
          <w:szCs w:val="22"/>
          <w:lang w:val="en-IN"/>
        </w:rPr>
        <w:t xml:space="preserve"> are presented in Table 1.</w:t>
      </w:r>
    </w:p>
    <w:p w14:paraId="3B808482" w14:textId="77777777" w:rsidR="005A30D7" w:rsidRDefault="005A30D7">
      <w:pPr>
        <w:pStyle w:val="Standard"/>
        <w:spacing w:after="0" w:line="240" w:lineRule="auto"/>
        <w:jc w:val="center"/>
        <w:rPr>
          <w:rFonts w:ascii="Arial" w:hAnsi="Arial" w:cs="Times New Roman"/>
          <w:b/>
          <w:bCs/>
          <w:kern w:val="0"/>
          <w:sz w:val="22"/>
          <w:szCs w:val="22"/>
          <w:lang w:val="en-IN"/>
        </w:rPr>
      </w:pPr>
    </w:p>
    <w:p w14:paraId="4C684CBD" w14:textId="77777777" w:rsidR="005A30D7" w:rsidRDefault="0081248F">
      <w:pPr>
        <w:pStyle w:val="Standard"/>
        <w:spacing w:after="0" w:line="240" w:lineRule="auto"/>
        <w:jc w:val="center"/>
        <w:rPr>
          <w:rFonts w:ascii="Arial" w:hAnsi="Arial" w:cs="Times New Roman"/>
          <w:b/>
          <w:bCs/>
          <w:kern w:val="0"/>
          <w:sz w:val="22"/>
          <w:szCs w:val="22"/>
          <w:lang w:val="en-IN"/>
        </w:rPr>
      </w:pPr>
      <w:r>
        <w:rPr>
          <w:rFonts w:ascii="Arial" w:hAnsi="Arial" w:cs="Times New Roman"/>
          <w:b/>
          <w:bCs/>
          <w:kern w:val="0"/>
          <w:sz w:val="22"/>
          <w:szCs w:val="22"/>
          <w:lang w:val="en-IN"/>
        </w:rPr>
        <w:t>Table 1. Descriptive statistics and correlation matrix of selected variables</w:t>
      </w:r>
    </w:p>
    <w:p w14:paraId="5854BC82" w14:textId="77777777" w:rsidR="005A30D7" w:rsidRDefault="005A30D7">
      <w:pPr>
        <w:pStyle w:val="Standard"/>
        <w:spacing w:after="0" w:line="240" w:lineRule="auto"/>
        <w:rPr>
          <w:rFonts w:ascii="Arial" w:hAnsi="Arial" w:cs="Arial"/>
          <w:kern w:val="0"/>
          <w:sz w:val="18"/>
          <w:szCs w:val="18"/>
          <w:lang w:val="en-IN"/>
        </w:rPr>
      </w:pPr>
    </w:p>
    <w:tbl>
      <w:tblPr>
        <w:tblW w:w="9410" w:type="dxa"/>
        <w:tblInd w:w="30" w:type="dxa"/>
        <w:tblLayout w:type="fixed"/>
        <w:tblCellMar>
          <w:left w:w="10" w:type="dxa"/>
          <w:right w:w="10" w:type="dxa"/>
        </w:tblCellMar>
        <w:tblLook w:val="0000" w:firstRow="0" w:lastRow="0" w:firstColumn="0" w:lastColumn="0" w:noHBand="0" w:noVBand="0"/>
      </w:tblPr>
      <w:tblGrid>
        <w:gridCol w:w="1490"/>
        <w:gridCol w:w="36"/>
        <w:gridCol w:w="1277"/>
        <w:gridCol w:w="1277"/>
        <w:gridCol w:w="34"/>
        <w:gridCol w:w="1311"/>
        <w:gridCol w:w="73"/>
        <w:gridCol w:w="1238"/>
        <w:gridCol w:w="37"/>
        <w:gridCol w:w="1276"/>
        <w:gridCol w:w="1311"/>
        <w:gridCol w:w="50"/>
      </w:tblGrid>
      <w:tr w:rsidR="005A30D7" w:rsidRPr="001B36D3" w14:paraId="7E4705A7" w14:textId="77777777">
        <w:trPr>
          <w:trHeight w:val="225"/>
        </w:trPr>
        <w:tc>
          <w:tcPr>
            <w:tcW w:w="9360" w:type="dxa"/>
            <w:gridSpan w:val="11"/>
            <w:tcBorders>
              <w:top w:val="single" w:sz="4" w:space="0" w:color="000000"/>
              <w:bottom w:val="single" w:sz="4" w:space="0" w:color="000000"/>
            </w:tcBorders>
            <w:tcMar>
              <w:top w:w="0" w:type="dxa"/>
              <w:left w:w="0" w:type="dxa"/>
              <w:bottom w:w="0" w:type="dxa"/>
              <w:right w:w="0" w:type="dxa"/>
            </w:tcMar>
            <w:vAlign w:val="bottom"/>
          </w:tcPr>
          <w:p w14:paraId="45D0BCDD" w14:textId="77777777" w:rsidR="005A30D7" w:rsidRPr="001B36D3" w:rsidRDefault="0081248F" w:rsidP="001B36D3">
            <w:pPr>
              <w:pStyle w:val="Standard"/>
              <w:spacing w:after="0" w:line="240" w:lineRule="auto"/>
              <w:jc w:val="center"/>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Descriptive Statistics</w:t>
            </w:r>
          </w:p>
        </w:tc>
        <w:tc>
          <w:tcPr>
            <w:tcW w:w="50" w:type="dxa"/>
            <w:tcMar>
              <w:top w:w="0" w:type="dxa"/>
              <w:left w:w="0" w:type="dxa"/>
              <w:bottom w:w="0" w:type="dxa"/>
              <w:right w:w="0" w:type="dxa"/>
            </w:tcMar>
          </w:tcPr>
          <w:p w14:paraId="73EA4ADD"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476068EB" w14:textId="77777777">
        <w:trPr>
          <w:trHeight w:val="225"/>
        </w:trPr>
        <w:tc>
          <w:tcPr>
            <w:tcW w:w="1490" w:type="dxa"/>
            <w:tcBorders>
              <w:top w:val="single" w:sz="4" w:space="0" w:color="000000"/>
              <w:bottom w:val="single" w:sz="4" w:space="0" w:color="000000"/>
            </w:tcBorders>
            <w:tcMar>
              <w:top w:w="0" w:type="dxa"/>
              <w:left w:w="0" w:type="dxa"/>
              <w:bottom w:w="0" w:type="dxa"/>
              <w:right w:w="0" w:type="dxa"/>
            </w:tcMar>
            <w:vAlign w:val="bottom"/>
          </w:tcPr>
          <w:p w14:paraId="05B0E42A" w14:textId="77777777" w:rsidR="005A30D7" w:rsidRPr="001B36D3" w:rsidRDefault="005A30D7" w:rsidP="001B36D3">
            <w:pPr>
              <w:pStyle w:val="Standard"/>
              <w:spacing w:after="0" w:line="240" w:lineRule="auto"/>
              <w:jc w:val="center"/>
              <w:rPr>
                <w:rFonts w:ascii="Arial" w:hAnsi="Arial" w:cs="Arial"/>
                <w:color w:val="000000"/>
                <w:kern w:val="0"/>
                <w:sz w:val="20"/>
                <w:szCs w:val="20"/>
                <w:lang w:val="en-IN"/>
              </w:rPr>
            </w:pPr>
          </w:p>
        </w:tc>
        <w:tc>
          <w:tcPr>
            <w:tcW w:w="1313" w:type="dxa"/>
            <w:gridSpan w:val="2"/>
            <w:tcBorders>
              <w:top w:val="single" w:sz="4" w:space="0" w:color="000000"/>
              <w:bottom w:val="single" w:sz="4" w:space="0" w:color="000000"/>
            </w:tcBorders>
            <w:tcMar>
              <w:top w:w="0" w:type="dxa"/>
              <w:left w:w="0" w:type="dxa"/>
              <w:bottom w:w="0" w:type="dxa"/>
              <w:right w:w="0" w:type="dxa"/>
            </w:tcMar>
            <w:vAlign w:val="bottom"/>
          </w:tcPr>
          <w:p w14:paraId="6E2DC28C" w14:textId="77777777" w:rsidR="005A30D7" w:rsidRPr="001B36D3" w:rsidRDefault="0081248F" w:rsidP="001B36D3">
            <w:pPr>
              <w:pStyle w:val="Standard"/>
              <w:spacing w:after="0" w:line="240" w:lineRule="auto"/>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LPCDP</w:t>
            </w:r>
          </w:p>
        </w:tc>
        <w:tc>
          <w:tcPr>
            <w:tcW w:w="1311" w:type="dxa"/>
            <w:gridSpan w:val="2"/>
            <w:tcBorders>
              <w:top w:val="single" w:sz="4" w:space="0" w:color="000000"/>
              <w:bottom w:val="single" w:sz="4" w:space="0" w:color="000000"/>
            </w:tcBorders>
            <w:tcMar>
              <w:top w:w="0" w:type="dxa"/>
              <w:left w:w="0" w:type="dxa"/>
              <w:bottom w:w="0" w:type="dxa"/>
              <w:right w:w="0" w:type="dxa"/>
            </w:tcMar>
            <w:vAlign w:val="bottom"/>
          </w:tcPr>
          <w:p w14:paraId="6C8D63E7" w14:textId="77777777" w:rsidR="005A30D7" w:rsidRPr="001B36D3" w:rsidRDefault="0081248F" w:rsidP="001B36D3">
            <w:pPr>
              <w:pStyle w:val="Standard"/>
              <w:spacing w:after="0" w:line="240" w:lineRule="auto"/>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LPCCR</w:t>
            </w:r>
          </w:p>
        </w:tc>
        <w:tc>
          <w:tcPr>
            <w:tcW w:w="1311" w:type="dxa"/>
            <w:tcBorders>
              <w:top w:val="single" w:sz="4" w:space="0" w:color="000000"/>
              <w:bottom w:val="single" w:sz="4" w:space="0" w:color="000000"/>
            </w:tcBorders>
            <w:tcMar>
              <w:top w:w="0" w:type="dxa"/>
              <w:left w:w="0" w:type="dxa"/>
              <w:bottom w:w="0" w:type="dxa"/>
              <w:right w:w="0" w:type="dxa"/>
            </w:tcMar>
            <w:vAlign w:val="bottom"/>
          </w:tcPr>
          <w:p w14:paraId="073E7641" w14:textId="77777777" w:rsidR="005A30D7" w:rsidRPr="001B36D3" w:rsidRDefault="0081248F" w:rsidP="001B36D3">
            <w:pPr>
              <w:pStyle w:val="Standard"/>
              <w:spacing w:after="0" w:line="240" w:lineRule="auto"/>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LBB</w:t>
            </w:r>
          </w:p>
        </w:tc>
        <w:tc>
          <w:tcPr>
            <w:tcW w:w="1311" w:type="dxa"/>
            <w:gridSpan w:val="2"/>
            <w:tcBorders>
              <w:top w:val="single" w:sz="4" w:space="0" w:color="000000"/>
              <w:bottom w:val="single" w:sz="4" w:space="0" w:color="000000"/>
            </w:tcBorders>
            <w:tcMar>
              <w:top w:w="0" w:type="dxa"/>
              <w:left w:w="0" w:type="dxa"/>
              <w:bottom w:w="0" w:type="dxa"/>
              <w:right w:w="0" w:type="dxa"/>
            </w:tcMar>
            <w:vAlign w:val="bottom"/>
          </w:tcPr>
          <w:p w14:paraId="024B4D4B" w14:textId="77777777" w:rsidR="005A30D7" w:rsidRPr="001B36D3" w:rsidRDefault="0081248F" w:rsidP="001B36D3">
            <w:pPr>
              <w:pStyle w:val="Standard"/>
              <w:spacing w:after="0" w:line="240" w:lineRule="auto"/>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LMANP</w:t>
            </w:r>
          </w:p>
        </w:tc>
        <w:tc>
          <w:tcPr>
            <w:tcW w:w="1313" w:type="dxa"/>
            <w:gridSpan w:val="2"/>
            <w:tcBorders>
              <w:top w:val="single" w:sz="4" w:space="0" w:color="000000"/>
              <w:bottom w:val="single" w:sz="4" w:space="0" w:color="000000"/>
            </w:tcBorders>
            <w:tcMar>
              <w:top w:w="0" w:type="dxa"/>
              <w:left w:w="0" w:type="dxa"/>
              <w:bottom w:w="0" w:type="dxa"/>
              <w:right w:w="0" w:type="dxa"/>
            </w:tcMar>
            <w:vAlign w:val="bottom"/>
          </w:tcPr>
          <w:p w14:paraId="1DE0FA22" w14:textId="77777777" w:rsidR="005A30D7" w:rsidRPr="001B36D3" w:rsidRDefault="0081248F" w:rsidP="001B36D3">
            <w:pPr>
              <w:pStyle w:val="Standard"/>
              <w:spacing w:after="0" w:line="240" w:lineRule="auto"/>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LPCNDDP</w:t>
            </w:r>
          </w:p>
        </w:tc>
        <w:tc>
          <w:tcPr>
            <w:tcW w:w="1311" w:type="dxa"/>
            <w:tcBorders>
              <w:top w:val="single" w:sz="4" w:space="0" w:color="000000"/>
              <w:bottom w:val="single" w:sz="4" w:space="0" w:color="000000"/>
            </w:tcBorders>
            <w:tcMar>
              <w:top w:w="0" w:type="dxa"/>
              <w:left w:w="0" w:type="dxa"/>
              <w:bottom w:w="0" w:type="dxa"/>
              <w:right w:w="0" w:type="dxa"/>
            </w:tcMar>
            <w:vAlign w:val="bottom"/>
          </w:tcPr>
          <w:p w14:paraId="5AE8B38F" w14:textId="77777777" w:rsidR="005A30D7" w:rsidRPr="001B36D3" w:rsidRDefault="0081248F" w:rsidP="001B36D3">
            <w:pPr>
              <w:pStyle w:val="Standard"/>
              <w:spacing w:after="0" w:line="240" w:lineRule="auto"/>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LPOPGR</w:t>
            </w:r>
          </w:p>
        </w:tc>
        <w:tc>
          <w:tcPr>
            <w:tcW w:w="50" w:type="dxa"/>
            <w:tcMar>
              <w:top w:w="0" w:type="dxa"/>
              <w:left w:w="0" w:type="dxa"/>
              <w:bottom w:w="0" w:type="dxa"/>
              <w:right w:w="0" w:type="dxa"/>
            </w:tcMar>
          </w:tcPr>
          <w:p w14:paraId="2C3D5130"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16F77409" w14:textId="77777777">
        <w:trPr>
          <w:trHeight w:val="225"/>
        </w:trPr>
        <w:tc>
          <w:tcPr>
            <w:tcW w:w="1490" w:type="dxa"/>
            <w:tcBorders>
              <w:top w:val="single" w:sz="4" w:space="0" w:color="000000"/>
            </w:tcBorders>
            <w:tcMar>
              <w:top w:w="0" w:type="dxa"/>
              <w:left w:w="0" w:type="dxa"/>
              <w:bottom w:w="0" w:type="dxa"/>
              <w:right w:w="0" w:type="dxa"/>
            </w:tcMar>
            <w:vAlign w:val="bottom"/>
          </w:tcPr>
          <w:p w14:paraId="58A5C7FA"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Mean</w:t>
            </w:r>
          </w:p>
        </w:tc>
        <w:tc>
          <w:tcPr>
            <w:tcW w:w="1313" w:type="dxa"/>
            <w:gridSpan w:val="2"/>
            <w:tcBorders>
              <w:top w:val="single" w:sz="4" w:space="0" w:color="000000"/>
            </w:tcBorders>
            <w:tcMar>
              <w:top w:w="0" w:type="dxa"/>
              <w:left w:w="0" w:type="dxa"/>
              <w:bottom w:w="0" w:type="dxa"/>
              <w:right w:w="0" w:type="dxa"/>
            </w:tcMar>
            <w:vAlign w:val="bottom"/>
          </w:tcPr>
          <w:p w14:paraId="6AF59C08"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-0.2386</w:t>
            </w:r>
          </w:p>
        </w:tc>
        <w:tc>
          <w:tcPr>
            <w:tcW w:w="1311" w:type="dxa"/>
            <w:gridSpan w:val="2"/>
            <w:tcBorders>
              <w:top w:val="single" w:sz="4" w:space="0" w:color="000000"/>
            </w:tcBorders>
            <w:tcMar>
              <w:top w:w="0" w:type="dxa"/>
              <w:left w:w="0" w:type="dxa"/>
              <w:bottom w:w="0" w:type="dxa"/>
              <w:right w:w="0" w:type="dxa"/>
            </w:tcMar>
            <w:vAlign w:val="bottom"/>
          </w:tcPr>
          <w:p w14:paraId="6B6FD36B"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-0.7440</w:t>
            </w:r>
          </w:p>
        </w:tc>
        <w:tc>
          <w:tcPr>
            <w:tcW w:w="1311" w:type="dxa"/>
            <w:tcBorders>
              <w:top w:val="single" w:sz="4" w:space="0" w:color="000000"/>
            </w:tcBorders>
            <w:tcMar>
              <w:top w:w="0" w:type="dxa"/>
              <w:left w:w="0" w:type="dxa"/>
              <w:bottom w:w="0" w:type="dxa"/>
              <w:right w:w="0" w:type="dxa"/>
            </w:tcMar>
            <w:vAlign w:val="bottom"/>
          </w:tcPr>
          <w:p w14:paraId="3C0E9B18"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4.8582</w:t>
            </w:r>
          </w:p>
        </w:tc>
        <w:tc>
          <w:tcPr>
            <w:tcW w:w="1311" w:type="dxa"/>
            <w:gridSpan w:val="2"/>
            <w:tcBorders>
              <w:top w:val="single" w:sz="4" w:space="0" w:color="000000"/>
            </w:tcBorders>
            <w:tcMar>
              <w:top w:w="0" w:type="dxa"/>
              <w:left w:w="0" w:type="dxa"/>
              <w:bottom w:w="0" w:type="dxa"/>
              <w:right w:w="0" w:type="dxa"/>
            </w:tcMar>
            <w:vAlign w:val="bottom"/>
          </w:tcPr>
          <w:p w14:paraId="1760BEDD"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2.9450</w:t>
            </w:r>
          </w:p>
        </w:tc>
        <w:tc>
          <w:tcPr>
            <w:tcW w:w="1313" w:type="dxa"/>
            <w:gridSpan w:val="2"/>
            <w:tcBorders>
              <w:top w:val="single" w:sz="4" w:space="0" w:color="000000"/>
            </w:tcBorders>
            <w:tcMar>
              <w:top w:w="0" w:type="dxa"/>
              <w:left w:w="0" w:type="dxa"/>
              <w:bottom w:w="0" w:type="dxa"/>
              <w:right w:w="0" w:type="dxa"/>
            </w:tcMar>
            <w:vAlign w:val="bottom"/>
          </w:tcPr>
          <w:p w14:paraId="7586E14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10.4148</w:t>
            </w:r>
          </w:p>
        </w:tc>
        <w:tc>
          <w:tcPr>
            <w:tcW w:w="1311" w:type="dxa"/>
            <w:tcBorders>
              <w:top w:val="single" w:sz="4" w:space="0" w:color="000000"/>
            </w:tcBorders>
            <w:tcMar>
              <w:top w:w="0" w:type="dxa"/>
              <w:left w:w="0" w:type="dxa"/>
              <w:bottom w:w="0" w:type="dxa"/>
              <w:right w:w="0" w:type="dxa"/>
            </w:tcMar>
            <w:vAlign w:val="bottom"/>
          </w:tcPr>
          <w:p w14:paraId="527D351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0.8065</w:t>
            </w:r>
          </w:p>
        </w:tc>
        <w:tc>
          <w:tcPr>
            <w:tcW w:w="50" w:type="dxa"/>
            <w:tcMar>
              <w:top w:w="0" w:type="dxa"/>
              <w:left w:w="0" w:type="dxa"/>
              <w:bottom w:w="0" w:type="dxa"/>
              <w:right w:w="0" w:type="dxa"/>
            </w:tcMar>
          </w:tcPr>
          <w:p w14:paraId="286A742C"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030F8A4C" w14:textId="77777777">
        <w:trPr>
          <w:trHeight w:val="225"/>
        </w:trPr>
        <w:tc>
          <w:tcPr>
            <w:tcW w:w="1490" w:type="dxa"/>
            <w:tcMar>
              <w:top w:w="0" w:type="dxa"/>
              <w:left w:w="0" w:type="dxa"/>
              <w:bottom w:w="0" w:type="dxa"/>
              <w:right w:w="0" w:type="dxa"/>
            </w:tcMar>
            <w:vAlign w:val="bottom"/>
          </w:tcPr>
          <w:p w14:paraId="2E2B2BA7"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Median</w:t>
            </w:r>
          </w:p>
        </w:tc>
        <w:tc>
          <w:tcPr>
            <w:tcW w:w="1313" w:type="dxa"/>
            <w:gridSpan w:val="2"/>
            <w:tcMar>
              <w:top w:w="0" w:type="dxa"/>
              <w:left w:w="0" w:type="dxa"/>
              <w:bottom w:w="0" w:type="dxa"/>
              <w:right w:w="0" w:type="dxa"/>
            </w:tcMar>
            <w:vAlign w:val="bottom"/>
          </w:tcPr>
          <w:p w14:paraId="493669DA"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-0.2758</w:t>
            </w:r>
          </w:p>
        </w:tc>
        <w:tc>
          <w:tcPr>
            <w:tcW w:w="1311" w:type="dxa"/>
            <w:gridSpan w:val="2"/>
            <w:tcMar>
              <w:top w:w="0" w:type="dxa"/>
              <w:left w:w="0" w:type="dxa"/>
              <w:bottom w:w="0" w:type="dxa"/>
              <w:right w:w="0" w:type="dxa"/>
            </w:tcMar>
            <w:vAlign w:val="bottom"/>
          </w:tcPr>
          <w:p w14:paraId="4787B54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-0.6283</w:t>
            </w:r>
          </w:p>
        </w:tc>
        <w:tc>
          <w:tcPr>
            <w:tcW w:w="1311" w:type="dxa"/>
            <w:tcMar>
              <w:top w:w="0" w:type="dxa"/>
              <w:left w:w="0" w:type="dxa"/>
              <w:bottom w:w="0" w:type="dxa"/>
              <w:right w:w="0" w:type="dxa"/>
            </w:tcMar>
            <w:vAlign w:val="bottom"/>
          </w:tcPr>
          <w:p w14:paraId="3C42198B"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4.8081</w:t>
            </w:r>
          </w:p>
        </w:tc>
        <w:tc>
          <w:tcPr>
            <w:tcW w:w="1311" w:type="dxa"/>
            <w:gridSpan w:val="2"/>
            <w:tcMar>
              <w:top w:w="0" w:type="dxa"/>
              <w:left w:w="0" w:type="dxa"/>
              <w:bottom w:w="0" w:type="dxa"/>
              <w:right w:w="0" w:type="dxa"/>
            </w:tcMar>
            <w:vAlign w:val="bottom"/>
          </w:tcPr>
          <w:p w14:paraId="4EDABE8A"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2.9216</w:t>
            </w:r>
          </w:p>
        </w:tc>
        <w:tc>
          <w:tcPr>
            <w:tcW w:w="1313" w:type="dxa"/>
            <w:gridSpan w:val="2"/>
            <w:tcMar>
              <w:top w:w="0" w:type="dxa"/>
              <w:left w:w="0" w:type="dxa"/>
              <w:bottom w:w="0" w:type="dxa"/>
              <w:right w:w="0" w:type="dxa"/>
            </w:tcMar>
            <w:vAlign w:val="bottom"/>
          </w:tcPr>
          <w:p w14:paraId="38CC943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10.4807</w:t>
            </w:r>
          </w:p>
        </w:tc>
        <w:tc>
          <w:tcPr>
            <w:tcW w:w="1311" w:type="dxa"/>
            <w:tcMar>
              <w:top w:w="0" w:type="dxa"/>
              <w:left w:w="0" w:type="dxa"/>
              <w:bottom w:w="0" w:type="dxa"/>
              <w:right w:w="0" w:type="dxa"/>
            </w:tcMar>
            <w:vAlign w:val="bottom"/>
          </w:tcPr>
          <w:p w14:paraId="1B5DF066" w14:textId="77777777" w:rsidR="005A30D7" w:rsidRPr="001B36D3" w:rsidRDefault="0081248F" w:rsidP="001B36D3">
            <w:pPr>
              <w:pStyle w:val="Standard"/>
              <w:spacing w:after="0" w:line="240" w:lineRule="auto"/>
              <w:rPr>
                <w:rFonts w:ascii="Arial" w:hAnsi="Arial" w:cs="Arial"/>
                <w:sz w:val="20"/>
                <w:szCs w:val="20"/>
              </w:rPr>
            </w:pPr>
            <w:r w:rsidRPr="001B36D3">
              <w:rPr>
                <w:rFonts w:ascii="Arial" w:hAnsi="Arial" w:cs="Arial"/>
                <w:noProof/>
                <w:sz w:val="20"/>
                <w:szCs w:val="20"/>
              </w:rPr>
              <w:drawing>
                <wp:anchor distT="0" distB="0" distL="114300" distR="114300" simplePos="0" relativeHeight="4" behindDoc="0" locked="0" layoutInCell="1" allowOverlap="1" wp14:anchorId="2C8FB45B" wp14:editId="2006E386">
                  <wp:simplePos x="0" y="0"/>
                  <wp:positionH relativeFrom="column">
                    <wp:posOffset>219273</wp:posOffset>
                  </wp:positionH>
                  <wp:positionV relativeFrom="paragraph">
                    <wp:posOffset>60441</wp:posOffset>
                  </wp:positionV>
                  <wp:extent cx="16184" cy="16184"/>
                  <wp:effectExtent l="0" t="0" r="0" b="0"/>
                  <wp:wrapNone/>
                  <wp:docPr id="4" name="In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184" cy="16184"/>
                          </a:xfrm>
                          <a:prstGeom prst="rect">
                            <a:avLst/>
                          </a:prstGeom>
                          <a:noFill/>
                          <a:ln>
                            <a:noFill/>
                          </a:ln>
                        </pic:spPr>
                      </pic:pic>
                    </a:graphicData>
                  </a:graphic>
                </wp:anchor>
              </w:drawing>
            </w:r>
            <w:r w:rsidRPr="001B36D3">
              <w:rPr>
                <w:rFonts w:ascii="Arial" w:hAnsi="Arial" w:cs="Arial"/>
                <w:color w:val="000000"/>
                <w:kern w:val="0"/>
                <w:sz w:val="20"/>
                <w:szCs w:val="20"/>
                <w:lang w:val="en-IN"/>
              </w:rPr>
              <w:t> 0.7841</w:t>
            </w:r>
          </w:p>
        </w:tc>
        <w:tc>
          <w:tcPr>
            <w:tcW w:w="50" w:type="dxa"/>
            <w:tcMar>
              <w:top w:w="0" w:type="dxa"/>
              <w:left w:w="0" w:type="dxa"/>
              <w:bottom w:w="0" w:type="dxa"/>
              <w:right w:w="0" w:type="dxa"/>
            </w:tcMar>
          </w:tcPr>
          <w:p w14:paraId="7DDC2F4D"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3BB9BF52" w14:textId="77777777">
        <w:trPr>
          <w:trHeight w:val="225"/>
        </w:trPr>
        <w:tc>
          <w:tcPr>
            <w:tcW w:w="1490" w:type="dxa"/>
            <w:tcMar>
              <w:top w:w="0" w:type="dxa"/>
              <w:left w:w="0" w:type="dxa"/>
              <w:bottom w:w="0" w:type="dxa"/>
              <w:right w:w="0" w:type="dxa"/>
            </w:tcMar>
            <w:vAlign w:val="bottom"/>
          </w:tcPr>
          <w:p w14:paraId="063939B0"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Maximum</w:t>
            </w:r>
          </w:p>
        </w:tc>
        <w:tc>
          <w:tcPr>
            <w:tcW w:w="1313" w:type="dxa"/>
            <w:gridSpan w:val="2"/>
            <w:tcMar>
              <w:top w:w="0" w:type="dxa"/>
              <w:left w:w="0" w:type="dxa"/>
              <w:bottom w:w="0" w:type="dxa"/>
              <w:right w:w="0" w:type="dxa"/>
            </w:tcMar>
            <w:vAlign w:val="bottom"/>
          </w:tcPr>
          <w:p w14:paraId="5C66D1A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3.2191</w:t>
            </w:r>
          </w:p>
        </w:tc>
        <w:tc>
          <w:tcPr>
            <w:tcW w:w="1311" w:type="dxa"/>
            <w:gridSpan w:val="2"/>
            <w:tcMar>
              <w:top w:w="0" w:type="dxa"/>
              <w:left w:w="0" w:type="dxa"/>
              <w:bottom w:w="0" w:type="dxa"/>
              <w:right w:w="0" w:type="dxa"/>
            </w:tcMar>
            <w:vAlign w:val="bottom"/>
          </w:tcPr>
          <w:p w14:paraId="6F85034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3.1172</w:t>
            </w:r>
          </w:p>
        </w:tc>
        <w:tc>
          <w:tcPr>
            <w:tcW w:w="1311" w:type="dxa"/>
            <w:tcMar>
              <w:top w:w="0" w:type="dxa"/>
              <w:left w:w="0" w:type="dxa"/>
              <w:bottom w:w="0" w:type="dxa"/>
              <w:right w:w="0" w:type="dxa"/>
            </w:tcMar>
            <w:vAlign w:val="bottom"/>
          </w:tcPr>
          <w:p w14:paraId="5CDB26F0"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7.2233</w:t>
            </w:r>
          </w:p>
        </w:tc>
        <w:tc>
          <w:tcPr>
            <w:tcW w:w="1311" w:type="dxa"/>
            <w:gridSpan w:val="2"/>
            <w:tcMar>
              <w:top w:w="0" w:type="dxa"/>
              <w:left w:w="0" w:type="dxa"/>
              <w:bottom w:w="0" w:type="dxa"/>
              <w:right w:w="0" w:type="dxa"/>
            </w:tcMar>
            <w:vAlign w:val="bottom"/>
          </w:tcPr>
          <w:p w14:paraId="5E7199EE"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4.2147</w:t>
            </w:r>
          </w:p>
        </w:tc>
        <w:tc>
          <w:tcPr>
            <w:tcW w:w="1313" w:type="dxa"/>
            <w:gridSpan w:val="2"/>
            <w:tcMar>
              <w:top w:w="0" w:type="dxa"/>
              <w:left w:w="0" w:type="dxa"/>
              <w:bottom w:w="0" w:type="dxa"/>
              <w:right w:w="0" w:type="dxa"/>
            </w:tcMar>
            <w:vAlign w:val="bottom"/>
          </w:tcPr>
          <w:p w14:paraId="472B2A0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12.5796</w:t>
            </w:r>
          </w:p>
        </w:tc>
        <w:tc>
          <w:tcPr>
            <w:tcW w:w="1311" w:type="dxa"/>
            <w:tcMar>
              <w:top w:w="0" w:type="dxa"/>
              <w:left w:w="0" w:type="dxa"/>
              <w:bottom w:w="0" w:type="dxa"/>
              <w:right w:w="0" w:type="dxa"/>
            </w:tcMar>
            <w:vAlign w:val="bottom"/>
          </w:tcPr>
          <w:p w14:paraId="5DF773CE"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3.8632</w:t>
            </w:r>
          </w:p>
        </w:tc>
        <w:tc>
          <w:tcPr>
            <w:tcW w:w="50" w:type="dxa"/>
            <w:tcMar>
              <w:top w:w="0" w:type="dxa"/>
              <w:left w:w="0" w:type="dxa"/>
              <w:bottom w:w="0" w:type="dxa"/>
              <w:right w:w="0" w:type="dxa"/>
            </w:tcMar>
          </w:tcPr>
          <w:p w14:paraId="792280F2"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5405827A" w14:textId="77777777">
        <w:trPr>
          <w:trHeight w:val="225"/>
        </w:trPr>
        <w:tc>
          <w:tcPr>
            <w:tcW w:w="1490" w:type="dxa"/>
            <w:tcMar>
              <w:top w:w="0" w:type="dxa"/>
              <w:left w:w="0" w:type="dxa"/>
              <w:bottom w:w="0" w:type="dxa"/>
              <w:right w:w="0" w:type="dxa"/>
            </w:tcMar>
            <w:vAlign w:val="bottom"/>
          </w:tcPr>
          <w:p w14:paraId="5FED8CEC"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Minimum</w:t>
            </w:r>
          </w:p>
        </w:tc>
        <w:tc>
          <w:tcPr>
            <w:tcW w:w="1313" w:type="dxa"/>
            <w:gridSpan w:val="2"/>
            <w:tcMar>
              <w:top w:w="0" w:type="dxa"/>
              <w:left w:w="0" w:type="dxa"/>
              <w:bottom w:w="0" w:type="dxa"/>
              <w:right w:w="0" w:type="dxa"/>
            </w:tcMar>
            <w:vAlign w:val="bottom"/>
          </w:tcPr>
          <w:p w14:paraId="3744154C"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-3.4112</w:t>
            </w:r>
          </w:p>
        </w:tc>
        <w:tc>
          <w:tcPr>
            <w:tcW w:w="1311" w:type="dxa"/>
            <w:gridSpan w:val="2"/>
            <w:tcMar>
              <w:top w:w="0" w:type="dxa"/>
              <w:left w:w="0" w:type="dxa"/>
              <w:bottom w:w="0" w:type="dxa"/>
              <w:right w:w="0" w:type="dxa"/>
            </w:tcMar>
            <w:vAlign w:val="bottom"/>
          </w:tcPr>
          <w:p w14:paraId="49F1DD19"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-4.2687</w:t>
            </w:r>
          </w:p>
        </w:tc>
        <w:tc>
          <w:tcPr>
            <w:tcW w:w="1311" w:type="dxa"/>
            <w:tcMar>
              <w:top w:w="0" w:type="dxa"/>
              <w:left w:w="0" w:type="dxa"/>
              <w:bottom w:w="0" w:type="dxa"/>
              <w:right w:w="0" w:type="dxa"/>
            </w:tcMar>
            <w:vAlign w:val="bottom"/>
          </w:tcPr>
          <w:p w14:paraId="5EBBF5C7"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3.5553</w:t>
            </w:r>
          </w:p>
        </w:tc>
        <w:tc>
          <w:tcPr>
            <w:tcW w:w="1311" w:type="dxa"/>
            <w:gridSpan w:val="2"/>
            <w:tcMar>
              <w:top w:w="0" w:type="dxa"/>
              <w:left w:w="0" w:type="dxa"/>
              <w:bottom w:w="0" w:type="dxa"/>
              <w:right w:w="0" w:type="dxa"/>
            </w:tcMar>
            <w:vAlign w:val="bottom"/>
          </w:tcPr>
          <w:p w14:paraId="6BD0AA2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0.9982</w:t>
            </w:r>
          </w:p>
        </w:tc>
        <w:tc>
          <w:tcPr>
            <w:tcW w:w="1313" w:type="dxa"/>
            <w:gridSpan w:val="2"/>
            <w:tcMar>
              <w:top w:w="0" w:type="dxa"/>
              <w:left w:w="0" w:type="dxa"/>
              <w:bottom w:w="0" w:type="dxa"/>
              <w:right w:w="0" w:type="dxa"/>
            </w:tcMar>
            <w:vAlign w:val="bottom"/>
          </w:tcPr>
          <w:p w14:paraId="3F1BC83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7.7275</w:t>
            </w:r>
          </w:p>
        </w:tc>
        <w:tc>
          <w:tcPr>
            <w:tcW w:w="1311" w:type="dxa"/>
            <w:tcMar>
              <w:top w:w="0" w:type="dxa"/>
              <w:left w:w="0" w:type="dxa"/>
              <w:bottom w:w="0" w:type="dxa"/>
              <w:right w:w="0" w:type="dxa"/>
            </w:tcMar>
            <w:vAlign w:val="bottom"/>
          </w:tcPr>
          <w:p w14:paraId="27DC0B18"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0.0010</w:t>
            </w:r>
          </w:p>
        </w:tc>
        <w:tc>
          <w:tcPr>
            <w:tcW w:w="50" w:type="dxa"/>
            <w:tcMar>
              <w:top w:w="0" w:type="dxa"/>
              <w:left w:w="0" w:type="dxa"/>
              <w:bottom w:w="0" w:type="dxa"/>
              <w:right w:w="0" w:type="dxa"/>
            </w:tcMar>
          </w:tcPr>
          <w:p w14:paraId="3FA264E5"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51F41C20" w14:textId="77777777">
        <w:trPr>
          <w:trHeight w:val="225"/>
        </w:trPr>
        <w:tc>
          <w:tcPr>
            <w:tcW w:w="1490" w:type="dxa"/>
            <w:tcMar>
              <w:top w:w="0" w:type="dxa"/>
              <w:left w:w="0" w:type="dxa"/>
              <w:bottom w:w="0" w:type="dxa"/>
              <w:right w:w="0" w:type="dxa"/>
            </w:tcMar>
            <w:vAlign w:val="bottom"/>
          </w:tcPr>
          <w:p w14:paraId="726B61A0"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Std. Dev.</w:t>
            </w:r>
          </w:p>
        </w:tc>
        <w:tc>
          <w:tcPr>
            <w:tcW w:w="1313" w:type="dxa"/>
            <w:gridSpan w:val="2"/>
            <w:tcMar>
              <w:top w:w="0" w:type="dxa"/>
              <w:left w:w="0" w:type="dxa"/>
              <w:bottom w:w="0" w:type="dxa"/>
              <w:right w:w="0" w:type="dxa"/>
            </w:tcMar>
            <w:vAlign w:val="bottom"/>
          </w:tcPr>
          <w:p w14:paraId="1C8D392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1.2140</w:t>
            </w:r>
          </w:p>
        </w:tc>
        <w:tc>
          <w:tcPr>
            <w:tcW w:w="1311" w:type="dxa"/>
            <w:gridSpan w:val="2"/>
            <w:tcMar>
              <w:top w:w="0" w:type="dxa"/>
              <w:left w:w="0" w:type="dxa"/>
              <w:bottom w:w="0" w:type="dxa"/>
              <w:right w:w="0" w:type="dxa"/>
            </w:tcMar>
            <w:vAlign w:val="bottom"/>
          </w:tcPr>
          <w:p w14:paraId="70D56028"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1.4567</w:t>
            </w:r>
          </w:p>
        </w:tc>
        <w:tc>
          <w:tcPr>
            <w:tcW w:w="1311" w:type="dxa"/>
            <w:tcMar>
              <w:top w:w="0" w:type="dxa"/>
              <w:left w:w="0" w:type="dxa"/>
              <w:bottom w:w="0" w:type="dxa"/>
              <w:right w:w="0" w:type="dxa"/>
            </w:tcMar>
            <w:vAlign w:val="bottom"/>
          </w:tcPr>
          <w:p w14:paraId="44D6CF1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0.6479</w:t>
            </w:r>
          </w:p>
        </w:tc>
        <w:tc>
          <w:tcPr>
            <w:tcW w:w="1311" w:type="dxa"/>
            <w:gridSpan w:val="2"/>
            <w:tcMar>
              <w:top w:w="0" w:type="dxa"/>
              <w:left w:w="0" w:type="dxa"/>
              <w:bottom w:w="0" w:type="dxa"/>
              <w:right w:w="0" w:type="dxa"/>
            </w:tcMar>
            <w:vAlign w:val="bottom"/>
          </w:tcPr>
          <w:p w14:paraId="7FD2DF25"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0.4549</w:t>
            </w:r>
          </w:p>
        </w:tc>
        <w:tc>
          <w:tcPr>
            <w:tcW w:w="1313" w:type="dxa"/>
            <w:gridSpan w:val="2"/>
            <w:tcMar>
              <w:top w:w="0" w:type="dxa"/>
              <w:left w:w="0" w:type="dxa"/>
              <w:bottom w:w="0" w:type="dxa"/>
              <w:right w:w="0" w:type="dxa"/>
            </w:tcMar>
            <w:vAlign w:val="bottom"/>
          </w:tcPr>
          <w:p w14:paraId="57C7871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0.9466</w:t>
            </w:r>
          </w:p>
        </w:tc>
        <w:tc>
          <w:tcPr>
            <w:tcW w:w="1311" w:type="dxa"/>
            <w:tcMar>
              <w:top w:w="0" w:type="dxa"/>
              <w:left w:w="0" w:type="dxa"/>
              <w:bottom w:w="0" w:type="dxa"/>
              <w:right w:w="0" w:type="dxa"/>
            </w:tcMar>
            <w:vAlign w:val="bottom"/>
          </w:tcPr>
          <w:p w14:paraId="1C95CED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0.4512</w:t>
            </w:r>
          </w:p>
        </w:tc>
        <w:tc>
          <w:tcPr>
            <w:tcW w:w="50" w:type="dxa"/>
            <w:tcMar>
              <w:top w:w="0" w:type="dxa"/>
              <w:left w:w="0" w:type="dxa"/>
              <w:bottom w:w="0" w:type="dxa"/>
              <w:right w:w="0" w:type="dxa"/>
            </w:tcMar>
          </w:tcPr>
          <w:p w14:paraId="3A2C5636"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406D9D64" w14:textId="77777777">
        <w:trPr>
          <w:trHeight w:val="225"/>
        </w:trPr>
        <w:tc>
          <w:tcPr>
            <w:tcW w:w="1490" w:type="dxa"/>
            <w:tcMar>
              <w:top w:w="0" w:type="dxa"/>
              <w:left w:w="0" w:type="dxa"/>
              <w:bottom w:w="0" w:type="dxa"/>
              <w:right w:w="0" w:type="dxa"/>
            </w:tcMar>
            <w:vAlign w:val="bottom"/>
          </w:tcPr>
          <w:p w14:paraId="1CE7CE8B"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Skewness</w:t>
            </w:r>
          </w:p>
        </w:tc>
        <w:tc>
          <w:tcPr>
            <w:tcW w:w="1313" w:type="dxa"/>
            <w:gridSpan w:val="2"/>
            <w:tcMar>
              <w:top w:w="0" w:type="dxa"/>
              <w:left w:w="0" w:type="dxa"/>
              <w:bottom w:w="0" w:type="dxa"/>
              <w:right w:w="0" w:type="dxa"/>
            </w:tcMar>
            <w:vAlign w:val="bottom"/>
          </w:tcPr>
          <w:p w14:paraId="03EB78F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0.0720</w:t>
            </w:r>
          </w:p>
        </w:tc>
        <w:tc>
          <w:tcPr>
            <w:tcW w:w="1311" w:type="dxa"/>
            <w:gridSpan w:val="2"/>
            <w:tcMar>
              <w:top w:w="0" w:type="dxa"/>
              <w:left w:w="0" w:type="dxa"/>
              <w:bottom w:w="0" w:type="dxa"/>
              <w:right w:w="0" w:type="dxa"/>
            </w:tcMar>
            <w:vAlign w:val="bottom"/>
          </w:tcPr>
          <w:p w14:paraId="7B8BBC9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-0.0647</w:t>
            </w:r>
          </w:p>
        </w:tc>
        <w:tc>
          <w:tcPr>
            <w:tcW w:w="1311" w:type="dxa"/>
            <w:tcMar>
              <w:top w:w="0" w:type="dxa"/>
              <w:left w:w="0" w:type="dxa"/>
              <w:bottom w:w="0" w:type="dxa"/>
              <w:right w:w="0" w:type="dxa"/>
            </w:tcMar>
            <w:vAlign w:val="bottom"/>
          </w:tcPr>
          <w:p w14:paraId="3ACE130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0.5363</w:t>
            </w:r>
          </w:p>
        </w:tc>
        <w:tc>
          <w:tcPr>
            <w:tcW w:w="1311" w:type="dxa"/>
            <w:gridSpan w:val="2"/>
            <w:tcMar>
              <w:top w:w="0" w:type="dxa"/>
              <w:left w:w="0" w:type="dxa"/>
              <w:bottom w:w="0" w:type="dxa"/>
              <w:right w:w="0" w:type="dxa"/>
            </w:tcMar>
            <w:vAlign w:val="bottom"/>
          </w:tcPr>
          <w:p w14:paraId="0EBC628A"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-0.0837</w:t>
            </w:r>
          </w:p>
        </w:tc>
        <w:tc>
          <w:tcPr>
            <w:tcW w:w="1313" w:type="dxa"/>
            <w:gridSpan w:val="2"/>
            <w:tcMar>
              <w:top w:w="0" w:type="dxa"/>
              <w:left w:w="0" w:type="dxa"/>
              <w:bottom w:w="0" w:type="dxa"/>
              <w:right w:w="0" w:type="dxa"/>
            </w:tcMar>
            <w:vAlign w:val="bottom"/>
          </w:tcPr>
          <w:p w14:paraId="6C1CF2B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-0.0650</w:t>
            </w:r>
          </w:p>
        </w:tc>
        <w:tc>
          <w:tcPr>
            <w:tcW w:w="1311" w:type="dxa"/>
            <w:tcMar>
              <w:top w:w="0" w:type="dxa"/>
              <w:left w:w="0" w:type="dxa"/>
              <w:bottom w:w="0" w:type="dxa"/>
              <w:right w:w="0" w:type="dxa"/>
            </w:tcMar>
            <w:vAlign w:val="bottom"/>
          </w:tcPr>
          <w:p w14:paraId="2D9750BC"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2.5468</w:t>
            </w:r>
          </w:p>
        </w:tc>
        <w:tc>
          <w:tcPr>
            <w:tcW w:w="50" w:type="dxa"/>
            <w:tcMar>
              <w:top w:w="0" w:type="dxa"/>
              <w:left w:w="0" w:type="dxa"/>
              <w:bottom w:w="0" w:type="dxa"/>
              <w:right w:w="0" w:type="dxa"/>
            </w:tcMar>
          </w:tcPr>
          <w:p w14:paraId="21010D72"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549C43A1" w14:textId="77777777">
        <w:trPr>
          <w:trHeight w:val="225"/>
        </w:trPr>
        <w:tc>
          <w:tcPr>
            <w:tcW w:w="1490" w:type="dxa"/>
            <w:tcMar>
              <w:top w:w="0" w:type="dxa"/>
              <w:left w:w="0" w:type="dxa"/>
              <w:bottom w:w="0" w:type="dxa"/>
              <w:right w:w="0" w:type="dxa"/>
            </w:tcMar>
            <w:vAlign w:val="bottom"/>
          </w:tcPr>
          <w:p w14:paraId="483BCA0A"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Kurtosis</w:t>
            </w:r>
          </w:p>
        </w:tc>
        <w:tc>
          <w:tcPr>
            <w:tcW w:w="1313" w:type="dxa"/>
            <w:gridSpan w:val="2"/>
            <w:tcMar>
              <w:top w:w="0" w:type="dxa"/>
              <w:left w:w="0" w:type="dxa"/>
              <w:bottom w:w="0" w:type="dxa"/>
              <w:right w:w="0" w:type="dxa"/>
            </w:tcMar>
            <w:vAlign w:val="bottom"/>
          </w:tcPr>
          <w:p w14:paraId="38C2AAC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xml:space="preserve"> 2.4093</w:t>
            </w:r>
          </w:p>
        </w:tc>
        <w:tc>
          <w:tcPr>
            <w:tcW w:w="1311" w:type="dxa"/>
            <w:gridSpan w:val="2"/>
            <w:tcMar>
              <w:top w:w="0" w:type="dxa"/>
              <w:left w:w="0" w:type="dxa"/>
              <w:bottom w:w="0" w:type="dxa"/>
              <w:right w:w="0" w:type="dxa"/>
            </w:tcMar>
            <w:vAlign w:val="bottom"/>
          </w:tcPr>
          <w:p w14:paraId="1F1DDF79"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2.2566</w:t>
            </w:r>
          </w:p>
        </w:tc>
        <w:tc>
          <w:tcPr>
            <w:tcW w:w="1311" w:type="dxa"/>
            <w:tcMar>
              <w:top w:w="0" w:type="dxa"/>
              <w:left w:w="0" w:type="dxa"/>
              <w:bottom w:w="0" w:type="dxa"/>
              <w:right w:w="0" w:type="dxa"/>
            </w:tcMar>
            <w:vAlign w:val="bottom"/>
          </w:tcPr>
          <w:p w14:paraId="5812D64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3.6553</w:t>
            </w:r>
          </w:p>
        </w:tc>
        <w:tc>
          <w:tcPr>
            <w:tcW w:w="1311" w:type="dxa"/>
            <w:gridSpan w:val="2"/>
            <w:tcMar>
              <w:top w:w="0" w:type="dxa"/>
              <w:left w:w="0" w:type="dxa"/>
              <w:bottom w:w="0" w:type="dxa"/>
              <w:right w:w="0" w:type="dxa"/>
            </w:tcMar>
            <w:vAlign w:val="bottom"/>
          </w:tcPr>
          <w:p w14:paraId="65B28FBF"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3.4498</w:t>
            </w:r>
          </w:p>
        </w:tc>
        <w:tc>
          <w:tcPr>
            <w:tcW w:w="1313" w:type="dxa"/>
            <w:gridSpan w:val="2"/>
            <w:tcMar>
              <w:top w:w="0" w:type="dxa"/>
              <w:left w:w="0" w:type="dxa"/>
              <w:bottom w:w="0" w:type="dxa"/>
              <w:right w:w="0" w:type="dxa"/>
            </w:tcMar>
            <w:vAlign w:val="bottom"/>
          </w:tcPr>
          <w:p w14:paraId="0E41703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2.1243</w:t>
            </w:r>
          </w:p>
        </w:tc>
        <w:tc>
          <w:tcPr>
            <w:tcW w:w="1311" w:type="dxa"/>
            <w:tcMar>
              <w:top w:w="0" w:type="dxa"/>
              <w:left w:w="0" w:type="dxa"/>
              <w:bottom w:w="0" w:type="dxa"/>
              <w:right w:w="0" w:type="dxa"/>
            </w:tcMar>
            <w:vAlign w:val="bottom"/>
          </w:tcPr>
          <w:p w14:paraId="7F7A17E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13.9131</w:t>
            </w:r>
          </w:p>
        </w:tc>
        <w:tc>
          <w:tcPr>
            <w:tcW w:w="50" w:type="dxa"/>
            <w:tcMar>
              <w:top w:w="0" w:type="dxa"/>
              <w:left w:w="0" w:type="dxa"/>
              <w:bottom w:w="0" w:type="dxa"/>
              <w:right w:w="0" w:type="dxa"/>
            </w:tcMar>
          </w:tcPr>
          <w:p w14:paraId="09F3449F"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001BEEB6" w14:textId="77777777">
        <w:trPr>
          <w:trHeight w:val="225"/>
        </w:trPr>
        <w:tc>
          <w:tcPr>
            <w:tcW w:w="1490" w:type="dxa"/>
            <w:tcMar>
              <w:top w:w="0" w:type="dxa"/>
              <w:left w:w="0" w:type="dxa"/>
              <w:bottom w:w="0" w:type="dxa"/>
              <w:right w:w="0" w:type="dxa"/>
            </w:tcMar>
            <w:vAlign w:val="bottom"/>
          </w:tcPr>
          <w:p w14:paraId="09DB565A"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Jarque-Bera</w:t>
            </w:r>
          </w:p>
        </w:tc>
        <w:tc>
          <w:tcPr>
            <w:tcW w:w="1313" w:type="dxa"/>
            <w:gridSpan w:val="2"/>
            <w:tcMar>
              <w:top w:w="0" w:type="dxa"/>
              <w:left w:w="0" w:type="dxa"/>
              <w:bottom w:w="0" w:type="dxa"/>
              <w:right w:w="0" w:type="dxa"/>
            </w:tcMar>
            <w:vAlign w:val="bottom"/>
          </w:tcPr>
          <w:p w14:paraId="3E8C6C8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13.860</w:t>
            </w:r>
          </w:p>
        </w:tc>
        <w:tc>
          <w:tcPr>
            <w:tcW w:w="1311" w:type="dxa"/>
            <w:gridSpan w:val="2"/>
            <w:tcMar>
              <w:top w:w="0" w:type="dxa"/>
              <w:left w:w="0" w:type="dxa"/>
              <w:bottom w:w="0" w:type="dxa"/>
              <w:right w:w="0" w:type="dxa"/>
            </w:tcMar>
            <w:vAlign w:val="bottom"/>
          </w:tcPr>
          <w:p w14:paraId="2C2C228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21.3511</w:t>
            </w:r>
          </w:p>
        </w:tc>
        <w:tc>
          <w:tcPr>
            <w:tcW w:w="1311" w:type="dxa"/>
            <w:tcMar>
              <w:top w:w="0" w:type="dxa"/>
              <w:left w:w="0" w:type="dxa"/>
              <w:bottom w:w="0" w:type="dxa"/>
              <w:right w:w="0" w:type="dxa"/>
            </w:tcMar>
            <w:vAlign w:val="bottom"/>
          </w:tcPr>
          <w:p w14:paraId="34346FD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59.2524</w:t>
            </w:r>
          </w:p>
        </w:tc>
        <w:tc>
          <w:tcPr>
            <w:tcW w:w="1311" w:type="dxa"/>
            <w:gridSpan w:val="2"/>
            <w:tcMar>
              <w:top w:w="0" w:type="dxa"/>
              <w:left w:w="0" w:type="dxa"/>
              <w:bottom w:w="0" w:type="dxa"/>
              <w:right w:w="0" w:type="dxa"/>
            </w:tcMar>
            <w:vAlign w:val="bottom"/>
          </w:tcPr>
          <w:p w14:paraId="5AB2DDFF"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8.6400</w:t>
            </w:r>
          </w:p>
        </w:tc>
        <w:tc>
          <w:tcPr>
            <w:tcW w:w="1313" w:type="dxa"/>
            <w:gridSpan w:val="2"/>
            <w:tcMar>
              <w:top w:w="0" w:type="dxa"/>
              <w:left w:w="0" w:type="dxa"/>
              <w:bottom w:w="0" w:type="dxa"/>
              <w:right w:w="0" w:type="dxa"/>
            </w:tcMar>
            <w:vAlign w:val="bottom"/>
          </w:tcPr>
          <w:p w14:paraId="1AFB728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29.3921</w:t>
            </w:r>
          </w:p>
        </w:tc>
        <w:tc>
          <w:tcPr>
            <w:tcW w:w="1311" w:type="dxa"/>
            <w:tcMar>
              <w:top w:w="0" w:type="dxa"/>
              <w:left w:w="0" w:type="dxa"/>
              <w:bottom w:w="0" w:type="dxa"/>
              <w:right w:w="0" w:type="dxa"/>
            </w:tcMar>
            <w:vAlign w:val="bottom"/>
          </w:tcPr>
          <w:p w14:paraId="3B6483CC"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5438.970</w:t>
            </w:r>
          </w:p>
        </w:tc>
        <w:tc>
          <w:tcPr>
            <w:tcW w:w="50" w:type="dxa"/>
            <w:tcMar>
              <w:top w:w="0" w:type="dxa"/>
              <w:left w:w="0" w:type="dxa"/>
              <w:bottom w:w="0" w:type="dxa"/>
              <w:right w:w="0" w:type="dxa"/>
            </w:tcMar>
          </w:tcPr>
          <w:p w14:paraId="1A210726"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42109F73" w14:textId="77777777">
        <w:trPr>
          <w:trHeight w:val="225"/>
        </w:trPr>
        <w:tc>
          <w:tcPr>
            <w:tcW w:w="1490" w:type="dxa"/>
            <w:tcMar>
              <w:top w:w="0" w:type="dxa"/>
              <w:left w:w="0" w:type="dxa"/>
              <w:bottom w:w="0" w:type="dxa"/>
              <w:right w:w="0" w:type="dxa"/>
            </w:tcMar>
            <w:vAlign w:val="bottom"/>
          </w:tcPr>
          <w:p w14:paraId="4AA16E8B"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Probability</w:t>
            </w:r>
          </w:p>
        </w:tc>
        <w:tc>
          <w:tcPr>
            <w:tcW w:w="1313" w:type="dxa"/>
            <w:gridSpan w:val="2"/>
            <w:tcMar>
              <w:top w:w="0" w:type="dxa"/>
              <w:left w:w="0" w:type="dxa"/>
              <w:bottom w:w="0" w:type="dxa"/>
              <w:right w:w="0" w:type="dxa"/>
            </w:tcMar>
            <w:vAlign w:val="bottom"/>
          </w:tcPr>
          <w:p w14:paraId="2E1AADB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0.0010</w:t>
            </w:r>
          </w:p>
        </w:tc>
        <w:tc>
          <w:tcPr>
            <w:tcW w:w="1311" w:type="dxa"/>
            <w:gridSpan w:val="2"/>
            <w:tcMar>
              <w:top w:w="0" w:type="dxa"/>
              <w:left w:w="0" w:type="dxa"/>
              <w:bottom w:w="0" w:type="dxa"/>
              <w:right w:w="0" w:type="dxa"/>
            </w:tcMar>
            <w:vAlign w:val="bottom"/>
          </w:tcPr>
          <w:p w14:paraId="5086A72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0.0000</w:t>
            </w:r>
          </w:p>
        </w:tc>
        <w:tc>
          <w:tcPr>
            <w:tcW w:w="1311" w:type="dxa"/>
            <w:tcMar>
              <w:top w:w="0" w:type="dxa"/>
              <w:left w:w="0" w:type="dxa"/>
              <w:bottom w:w="0" w:type="dxa"/>
              <w:right w:w="0" w:type="dxa"/>
            </w:tcMar>
            <w:vAlign w:val="bottom"/>
          </w:tcPr>
          <w:p w14:paraId="58C6ADE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0.0000</w:t>
            </w:r>
          </w:p>
        </w:tc>
        <w:tc>
          <w:tcPr>
            <w:tcW w:w="1311" w:type="dxa"/>
            <w:gridSpan w:val="2"/>
            <w:tcMar>
              <w:top w:w="0" w:type="dxa"/>
              <w:left w:w="0" w:type="dxa"/>
              <w:bottom w:w="0" w:type="dxa"/>
              <w:right w:w="0" w:type="dxa"/>
            </w:tcMar>
            <w:vAlign w:val="bottom"/>
          </w:tcPr>
          <w:p w14:paraId="590A35A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0.0133</w:t>
            </w:r>
          </w:p>
        </w:tc>
        <w:tc>
          <w:tcPr>
            <w:tcW w:w="1313" w:type="dxa"/>
            <w:gridSpan w:val="2"/>
            <w:tcMar>
              <w:top w:w="0" w:type="dxa"/>
              <w:left w:w="0" w:type="dxa"/>
              <w:bottom w:w="0" w:type="dxa"/>
              <w:right w:w="0" w:type="dxa"/>
            </w:tcMar>
            <w:vAlign w:val="bottom"/>
          </w:tcPr>
          <w:p w14:paraId="77B862F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0.0000</w:t>
            </w:r>
          </w:p>
        </w:tc>
        <w:tc>
          <w:tcPr>
            <w:tcW w:w="1311" w:type="dxa"/>
            <w:tcMar>
              <w:top w:w="0" w:type="dxa"/>
              <w:left w:w="0" w:type="dxa"/>
              <w:bottom w:w="0" w:type="dxa"/>
              <w:right w:w="0" w:type="dxa"/>
            </w:tcMar>
            <w:vAlign w:val="bottom"/>
          </w:tcPr>
          <w:p w14:paraId="77B972C5"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0.0000</w:t>
            </w:r>
          </w:p>
        </w:tc>
        <w:tc>
          <w:tcPr>
            <w:tcW w:w="50" w:type="dxa"/>
            <w:tcMar>
              <w:top w:w="0" w:type="dxa"/>
              <w:left w:w="0" w:type="dxa"/>
              <w:bottom w:w="0" w:type="dxa"/>
              <w:right w:w="0" w:type="dxa"/>
            </w:tcMar>
          </w:tcPr>
          <w:p w14:paraId="2074F611"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5CDEA2A1" w14:textId="77777777">
        <w:trPr>
          <w:trHeight w:val="225"/>
        </w:trPr>
        <w:tc>
          <w:tcPr>
            <w:tcW w:w="1490" w:type="dxa"/>
            <w:tcMar>
              <w:top w:w="0" w:type="dxa"/>
              <w:left w:w="0" w:type="dxa"/>
              <w:bottom w:w="0" w:type="dxa"/>
              <w:right w:w="0" w:type="dxa"/>
            </w:tcMar>
            <w:vAlign w:val="bottom"/>
          </w:tcPr>
          <w:p w14:paraId="12C1DE3D"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Sum</w:t>
            </w:r>
          </w:p>
        </w:tc>
        <w:tc>
          <w:tcPr>
            <w:tcW w:w="1313" w:type="dxa"/>
            <w:gridSpan w:val="2"/>
            <w:tcMar>
              <w:top w:w="0" w:type="dxa"/>
              <w:left w:w="0" w:type="dxa"/>
              <w:bottom w:w="0" w:type="dxa"/>
              <w:right w:w="0" w:type="dxa"/>
            </w:tcMar>
            <w:vAlign w:val="bottom"/>
          </w:tcPr>
          <w:p w14:paraId="32778D5F"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-214.75</w:t>
            </w:r>
          </w:p>
        </w:tc>
        <w:tc>
          <w:tcPr>
            <w:tcW w:w="1311" w:type="dxa"/>
            <w:gridSpan w:val="2"/>
            <w:tcMar>
              <w:top w:w="0" w:type="dxa"/>
              <w:left w:w="0" w:type="dxa"/>
              <w:bottom w:w="0" w:type="dxa"/>
              <w:right w:w="0" w:type="dxa"/>
            </w:tcMar>
            <w:vAlign w:val="bottom"/>
          </w:tcPr>
          <w:p w14:paraId="2F774CBB"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-669.63</w:t>
            </w:r>
          </w:p>
        </w:tc>
        <w:tc>
          <w:tcPr>
            <w:tcW w:w="1311" w:type="dxa"/>
            <w:tcMar>
              <w:top w:w="0" w:type="dxa"/>
              <w:left w:w="0" w:type="dxa"/>
              <w:bottom w:w="0" w:type="dxa"/>
              <w:right w:w="0" w:type="dxa"/>
            </w:tcMar>
            <w:vAlign w:val="bottom"/>
          </w:tcPr>
          <w:p w14:paraId="0EC765E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4372.37</w:t>
            </w:r>
          </w:p>
        </w:tc>
        <w:tc>
          <w:tcPr>
            <w:tcW w:w="1311" w:type="dxa"/>
            <w:gridSpan w:val="2"/>
            <w:tcMar>
              <w:top w:w="0" w:type="dxa"/>
              <w:left w:w="0" w:type="dxa"/>
              <w:bottom w:w="0" w:type="dxa"/>
              <w:right w:w="0" w:type="dxa"/>
            </w:tcMar>
            <w:vAlign w:val="bottom"/>
          </w:tcPr>
          <w:p w14:paraId="129CD25E"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2650.49</w:t>
            </w:r>
          </w:p>
        </w:tc>
        <w:tc>
          <w:tcPr>
            <w:tcW w:w="1313" w:type="dxa"/>
            <w:gridSpan w:val="2"/>
            <w:tcMar>
              <w:top w:w="0" w:type="dxa"/>
              <w:left w:w="0" w:type="dxa"/>
              <w:bottom w:w="0" w:type="dxa"/>
              <w:right w:w="0" w:type="dxa"/>
            </w:tcMar>
            <w:vAlign w:val="bottom"/>
          </w:tcPr>
          <w:p w14:paraId="253F214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9373.31</w:t>
            </w:r>
          </w:p>
        </w:tc>
        <w:tc>
          <w:tcPr>
            <w:tcW w:w="1311" w:type="dxa"/>
            <w:tcMar>
              <w:top w:w="0" w:type="dxa"/>
              <w:left w:w="0" w:type="dxa"/>
              <w:bottom w:w="0" w:type="dxa"/>
              <w:right w:w="0" w:type="dxa"/>
            </w:tcMar>
            <w:vAlign w:val="bottom"/>
          </w:tcPr>
          <w:p w14:paraId="01EBDB4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725.8743</w:t>
            </w:r>
          </w:p>
        </w:tc>
        <w:tc>
          <w:tcPr>
            <w:tcW w:w="50" w:type="dxa"/>
            <w:tcMar>
              <w:top w:w="0" w:type="dxa"/>
              <w:left w:w="0" w:type="dxa"/>
              <w:bottom w:w="0" w:type="dxa"/>
              <w:right w:w="0" w:type="dxa"/>
            </w:tcMar>
          </w:tcPr>
          <w:p w14:paraId="50475D99"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7875CBCC" w14:textId="77777777">
        <w:trPr>
          <w:trHeight w:val="225"/>
        </w:trPr>
        <w:tc>
          <w:tcPr>
            <w:tcW w:w="1490" w:type="dxa"/>
            <w:tcMar>
              <w:top w:w="0" w:type="dxa"/>
              <w:left w:w="0" w:type="dxa"/>
              <w:bottom w:w="0" w:type="dxa"/>
              <w:right w:w="0" w:type="dxa"/>
            </w:tcMar>
            <w:vAlign w:val="bottom"/>
          </w:tcPr>
          <w:p w14:paraId="6411E87B"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Sum Sq. Dev.</w:t>
            </w:r>
          </w:p>
        </w:tc>
        <w:tc>
          <w:tcPr>
            <w:tcW w:w="1313" w:type="dxa"/>
            <w:gridSpan w:val="2"/>
            <w:tcMar>
              <w:top w:w="0" w:type="dxa"/>
              <w:left w:w="0" w:type="dxa"/>
              <w:bottom w:w="0" w:type="dxa"/>
              <w:right w:w="0" w:type="dxa"/>
            </w:tcMar>
            <w:vAlign w:val="bottom"/>
          </w:tcPr>
          <w:p w14:paraId="1E10A967"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1324.93</w:t>
            </w:r>
          </w:p>
        </w:tc>
        <w:tc>
          <w:tcPr>
            <w:tcW w:w="1311" w:type="dxa"/>
            <w:gridSpan w:val="2"/>
            <w:tcMar>
              <w:top w:w="0" w:type="dxa"/>
              <w:left w:w="0" w:type="dxa"/>
              <w:bottom w:w="0" w:type="dxa"/>
              <w:right w:w="0" w:type="dxa"/>
            </w:tcMar>
            <w:vAlign w:val="bottom"/>
          </w:tcPr>
          <w:p w14:paraId="003F8B6B"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1907.47</w:t>
            </w:r>
          </w:p>
        </w:tc>
        <w:tc>
          <w:tcPr>
            <w:tcW w:w="1311" w:type="dxa"/>
            <w:tcMar>
              <w:top w:w="0" w:type="dxa"/>
              <w:left w:w="0" w:type="dxa"/>
              <w:bottom w:w="0" w:type="dxa"/>
              <w:right w:w="0" w:type="dxa"/>
            </w:tcMar>
            <w:vAlign w:val="bottom"/>
          </w:tcPr>
          <w:p w14:paraId="20D447CA"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377.36</w:t>
            </w:r>
          </w:p>
        </w:tc>
        <w:tc>
          <w:tcPr>
            <w:tcW w:w="1311" w:type="dxa"/>
            <w:gridSpan w:val="2"/>
            <w:tcMar>
              <w:top w:w="0" w:type="dxa"/>
              <w:left w:w="0" w:type="dxa"/>
              <w:bottom w:w="0" w:type="dxa"/>
              <w:right w:w="0" w:type="dxa"/>
            </w:tcMar>
            <w:vAlign w:val="bottom"/>
          </w:tcPr>
          <w:p w14:paraId="0AD2C18A"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186.023</w:t>
            </w:r>
          </w:p>
        </w:tc>
        <w:tc>
          <w:tcPr>
            <w:tcW w:w="1313" w:type="dxa"/>
            <w:gridSpan w:val="2"/>
            <w:tcMar>
              <w:top w:w="0" w:type="dxa"/>
              <w:left w:w="0" w:type="dxa"/>
              <w:bottom w:w="0" w:type="dxa"/>
              <w:right w:w="0" w:type="dxa"/>
            </w:tcMar>
            <w:vAlign w:val="bottom"/>
          </w:tcPr>
          <w:p w14:paraId="525792FD"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805.5230</w:t>
            </w:r>
          </w:p>
        </w:tc>
        <w:tc>
          <w:tcPr>
            <w:tcW w:w="1311" w:type="dxa"/>
            <w:tcMar>
              <w:top w:w="0" w:type="dxa"/>
              <w:left w:w="0" w:type="dxa"/>
              <w:bottom w:w="0" w:type="dxa"/>
              <w:right w:w="0" w:type="dxa"/>
            </w:tcMar>
            <w:vAlign w:val="bottom"/>
          </w:tcPr>
          <w:p w14:paraId="04AED52C"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182.9873</w:t>
            </w:r>
          </w:p>
        </w:tc>
        <w:tc>
          <w:tcPr>
            <w:tcW w:w="50" w:type="dxa"/>
            <w:tcMar>
              <w:top w:w="0" w:type="dxa"/>
              <w:left w:w="0" w:type="dxa"/>
              <w:bottom w:w="0" w:type="dxa"/>
              <w:right w:w="0" w:type="dxa"/>
            </w:tcMar>
          </w:tcPr>
          <w:p w14:paraId="4234A39E"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0E333540" w14:textId="77777777">
        <w:trPr>
          <w:trHeight w:val="225"/>
        </w:trPr>
        <w:tc>
          <w:tcPr>
            <w:tcW w:w="1490" w:type="dxa"/>
            <w:tcBorders>
              <w:bottom w:val="single" w:sz="4" w:space="0" w:color="000000"/>
            </w:tcBorders>
            <w:tcMar>
              <w:top w:w="0" w:type="dxa"/>
              <w:left w:w="0" w:type="dxa"/>
              <w:bottom w:w="0" w:type="dxa"/>
              <w:right w:w="0" w:type="dxa"/>
            </w:tcMar>
            <w:vAlign w:val="bottom"/>
          </w:tcPr>
          <w:p w14:paraId="5A18446C"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 Observations</w:t>
            </w:r>
          </w:p>
        </w:tc>
        <w:tc>
          <w:tcPr>
            <w:tcW w:w="1313" w:type="dxa"/>
            <w:gridSpan w:val="2"/>
            <w:tcBorders>
              <w:bottom w:val="single" w:sz="4" w:space="0" w:color="000000"/>
            </w:tcBorders>
            <w:tcMar>
              <w:top w:w="0" w:type="dxa"/>
              <w:left w:w="0" w:type="dxa"/>
              <w:bottom w:w="0" w:type="dxa"/>
              <w:right w:w="0" w:type="dxa"/>
            </w:tcMar>
            <w:vAlign w:val="bottom"/>
          </w:tcPr>
          <w:p w14:paraId="7005D20D"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900</w:t>
            </w:r>
          </w:p>
        </w:tc>
        <w:tc>
          <w:tcPr>
            <w:tcW w:w="1311" w:type="dxa"/>
            <w:gridSpan w:val="2"/>
            <w:tcBorders>
              <w:bottom w:val="single" w:sz="4" w:space="0" w:color="000000"/>
            </w:tcBorders>
            <w:tcMar>
              <w:top w:w="0" w:type="dxa"/>
              <w:left w:w="0" w:type="dxa"/>
              <w:bottom w:w="0" w:type="dxa"/>
              <w:right w:w="0" w:type="dxa"/>
            </w:tcMar>
            <w:vAlign w:val="bottom"/>
          </w:tcPr>
          <w:p w14:paraId="2A582F5D"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900</w:t>
            </w:r>
          </w:p>
        </w:tc>
        <w:tc>
          <w:tcPr>
            <w:tcW w:w="1311" w:type="dxa"/>
            <w:tcBorders>
              <w:bottom w:val="single" w:sz="4" w:space="0" w:color="000000"/>
            </w:tcBorders>
            <w:tcMar>
              <w:top w:w="0" w:type="dxa"/>
              <w:left w:w="0" w:type="dxa"/>
              <w:bottom w:w="0" w:type="dxa"/>
              <w:right w:w="0" w:type="dxa"/>
            </w:tcMar>
            <w:vAlign w:val="bottom"/>
          </w:tcPr>
          <w:p w14:paraId="141DD955"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900</w:t>
            </w:r>
          </w:p>
        </w:tc>
        <w:tc>
          <w:tcPr>
            <w:tcW w:w="1311" w:type="dxa"/>
            <w:gridSpan w:val="2"/>
            <w:tcBorders>
              <w:bottom w:val="single" w:sz="4" w:space="0" w:color="000000"/>
            </w:tcBorders>
            <w:tcMar>
              <w:top w:w="0" w:type="dxa"/>
              <w:left w:w="0" w:type="dxa"/>
              <w:bottom w:w="0" w:type="dxa"/>
              <w:right w:w="0" w:type="dxa"/>
            </w:tcMar>
            <w:vAlign w:val="bottom"/>
          </w:tcPr>
          <w:p w14:paraId="58273D7C"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900</w:t>
            </w:r>
          </w:p>
        </w:tc>
        <w:tc>
          <w:tcPr>
            <w:tcW w:w="1313" w:type="dxa"/>
            <w:gridSpan w:val="2"/>
            <w:tcBorders>
              <w:bottom w:val="single" w:sz="4" w:space="0" w:color="000000"/>
            </w:tcBorders>
            <w:tcMar>
              <w:top w:w="0" w:type="dxa"/>
              <w:left w:w="0" w:type="dxa"/>
              <w:bottom w:w="0" w:type="dxa"/>
              <w:right w:w="0" w:type="dxa"/>
            </w:tcMar>
            <w:vAlign w:val="bottom"/>
          </w:tcPr>
          <w:p w14:paraId="746EB34F"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900</w:t>
            </w:r>
          </w:p>
        </w:tc>
        <w:tc>
          <w:tcPr>
            <w:tcW w:w="1311" w:type="dxa"/>
            <w:tcBorders>
              <w:bottom w:val="single" w:sz="4" w:space="0" w:color="000000"/>
            </w:tcBorders>
            <w:tcMar>
              <w:top w:w="0" w:type="dxa"/>
              <w:left w:w="0" w:type="dxa"/>
              <w:bottom w:w="0" w:type="dxa"/>
              <w:right w:w="0" w:type="dxa"/>
            </w:tcMar>
            <w:vAlign w:val="bottom"/>
          </w:tcPr>
          <w:p w14:paraId="55E1C1CD"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900</w:t>
            </w:r>
          </w:p>
        </w:tc>
        <w:tc>
          <w:tcPr>
            <w:tcW w:w="50" w:type="dxa"/>
            <w:tcMar>
              <w:top w:w="0" w:type="dxa"/>
              <w:left w:w="0" w:type="dxa"/>
              <w:bottom w:w="0" w:type="dxa"/>
              <w:right w:w="0" w:type="dxa"/>
            </w:tcMar>
          </w:tcPr>
          <w:p w14:paraId="50D4C916" w14:textId="77777777" w:rsidR="005A30D7" w:rsidRPr="001B36D3" w:rsidRDefault="005A30D7" w:rsidP="001B36D3">
            <w:pPr>
              <w:pStyle w:val="Standard"/>
              <w:spacing w:after="0" w:line="240" w:lineRule="auto"/>
              <w:rPr>
                <w:rFonts w:ascii="Arial" w:hAnsi="Arial" w:cs="Arial"/>
                <w:sz w:val="20"/>
                <w:szCs w:val="20"/>
              </w:rPr>
            </w:pPr>
          </w:p>
        </w:tc>
      </w:tr>
      <w:tr w:rsidR="005A30D7" w:rsidRPr="001B36D3" w14:paraId="40C6EDEA" w14:textId="77777777">
        <w:trPr>
          <w:trHeight w:val="243"/>
        </w:trPr>
        <w:tc>
          <w:tcPr>
            <w:tcW w:w="9410" w:type="dxa"/>
            <w:gridSpan w:val="12"/>
            <w:tcBorders>
              <w:bottom w:val="single" w:sz="4" w:space="0" w:color="000000"/>
            </w:tcBorders>
            <w:tcMar>
              <w:top w:w="0" w:type="dxa"/>
              <w:left w:w="0" w:type="dxa"/>
              <w:bottom w:w="0" w:type="dxa"/>
              <w:right w:w="0" w:type="dxa"/>
            </w:tcMar>
            <w:vAlign w:val="bottom"/>
          </w:tcPr>
          <w:p w14:paraId="5D8E8D13" w14:textId="77777777" w:rsidR="005A30D7" w:rsidRPr="001B36D3" w:rsidRDefault="0081248F" w:rsidP="001B36D3">
            <w:pPr>
              <w:pStyle w:val="Standard"/>
              <w:spacing w:after="0" w:line="240" w:lineRule="auto"/>
              <w:jc w:val="center"/>
              <w:rPr>
                <w:rFonts w:ascii="Arial" w:hAnsi="Arial" w:cs="Arial"/>
                <w:b/>
                <w:bCs/>
                <w:color w:val="000000"/>
                <w:kern w:val="0"/>
                <w:sz w:val="20"/>
                <w:szCs w:val="20"/>
                <w:lang w:val="en-IN"/>
              </w:rPr>
            </w:pPr>
            <w:r w:rsidRPr="001B36D3">
              <w:rPr>
                <w:rFonts w:ascii="Arial" w:hAnsi="Arial" w:cs="Arial"/>
                <w:b/>
                <w:bCs/>
                <w:color w:val="000000"/>
                <w:kern w:val="0"/>
                <w:sz w:val="20"/>
                <w:szCs w:val="20"/>
                <w:lang w:val="en-IN"/>
              </w:rPr>
              <w:t>Correlation Matrix</w:t>
            </w:r>
          </w:p>
        </w:tc>
      </w:tr>
      <w:tr w:rsidR="005A30D7" w:rsidRPr="001B36D3" w14:paraId="29E7C918" w14:textId="77777777">
        <w:trPr>
          <w:trHeight w:val="243"/>
        </w:trPr>
        <w:tc>
          <w:tcPr>
            <w:tcW w:w="1526" w:type="dxa"/>
            <w:gridSpan w:val="2"/>
            <w:tcBorders>
              <w:top w:val="single" w:sz="4" w:space="0" w:color="000000"/>
            </w:tcBorders>
            <w:tcMar>
              <w:top w:w="0" w:type="dxa"/>
              <w:left w:w="0" w:type="dxa"/>
              <w:bottom w:w="0" w:type="dxa"/>
              <w:right w:w="0" w:type="dxa"/>
            </w:tcMar>
            <w:vAlign w:val="bottom"/>
          </w:tcPr>
          <w:p w14:paraId="2AA205F2"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LPCDP</w:t>
            </w:r>
          </w:p>
        </w:tc>
        <w:tc>
          <w:tcPr>
            <w:tcW w:w="1277" w:type="dxa"/>
            <w:tcBorders>
              <w:top w:val="single" w:sz="4" w:space="0" w:color="000000"/>
            </w:tcBorders>
            <w:tcMar>
              <w:top w:w="0" w:type="dxa"/>
              <w:left w:w="0" w:type="dxa"/>
              <w:bottom w:w="0" w:type="dxa"/>
              <w:right w:w="0" w:type="dxa"/>
            </w:tcMar>
            <w:vAlign w:val="bottom"/>
          </w:tcPr>
          <w:p w14:paraId="24CAE9E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1.0000</w:t>
            </w:r>
          </w:p>
        </w:tc>
        <w:tc>
          <w:tcPr>
            <w:tcW w:w="1277" w:type="dxa"/>
            <w:tcBorders>
              <w:top w:val="single" w:sz="4" w:space="0" w:color="000000"/>
            </w:tcBorders>
            <w:tcMar>
              <w:top w:w="0" w:type="dxa"/>
              <w:left w:w="0" w:type="dxa"/>
              <w:bottom w:w="0" w:type="dxa"/>
              <w:right w:w="0" w:type="dxa"/>
            </w:tcMar>
            <w:vAlign w:val="bottom"/>
          </w:tcPr>
          <w:p w14:paraId="177B5C32"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418" w:type="dxa"/>
            <w:gridSpan w:val="3"/>
            <w:tcBorders>
              <w:top w:val="single" w:sz="4" w:space="0" w:color="000000"/>
            </w:tcBorders>
            <w:tcMar>
              <w:top w:w="0" w:type="dxa"/>
              <w:left w:w="0" w:type="dxa"/>
              <w:bottom w:w="0" w:type="dxa"/>
              <w:right w:w="0" w:type="dxa"/>
            </w:tcMar>
            <w:vAlign w:val="bottom"/>
          </w:tcPr>
          <w:p w14:paraId="728C9C83"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275" w:type="dxa"/>
            <w:gridSpan w:val="2"/>
            <w:tcBorders>
              <w:top w:val="single" w:sz="4" w:space="0" w:color="000000"/>
            </w:tcBorders>
            <w:tcMar>
              <w:top w:w="0" w:type="dxa"/>
              <w:left w:w="0" w:type="dxa"/>
              <w:bottom w:w="0" w:type="dxa"/>
              <w:right w:w="0" w:type="dxa"/>
            </w:tcMar>
            <w:vAlign w:val="bottom"/>
          </w:tcPr>
          <w:p w14:paraId="175D5031"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276" w:type="dxa"/>
            <w:tcBorders>
              <w:top w:val="single" w:sz="4" w:space="0" w:color="000000"/>
            </w:tcBorders>
            <w:tcMar>
              <w:top w:w="0" w:type="dxa"/>
              <w:left w:w="0" w:type="dxa"/>
              <w:bottom w:w="0" w:type="dxa"/>
              <w:right w:w="0" w:type="dxa"/>
            </w:tcMar>
            <w:vAlign w:val="bottom"/>
          </w:tcPr>
          <w:p w14:paraId="71DA325A"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361" w:type="dxa"/>
            <w:gridSpan w:val="2"/>
            <w:tcBorders>
              <w:top w:val="single" w:sz="4" w:space="0" w:color="000000"/>
            </w:tcBorders>
            <w:tcMar>
              <w:top w:w="0" w:type="dxa"/>
              <w:left w:w="0" w:type="dxa"/>
              <w:bottom w:w="0" w:type="dxa"/>
              <w:right w:w="0" w:type="dxa"/>
            </w:tcMar>
            <w:vAlign w:val="bottom"/>
          </w:tcPr>
          <w:p w14:paraId="5ACA9CA2"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r>
      <w:tr w:rsidR="005A30D7" w:rsidRPr="001B36D3" w14:paraId="64A5C171" w14:textId="77777777">
        <w:trPr>
          <w:trHeight w:val="243"/>
        </w:trPr>
        <w:tc>
          <w:tcPr>
            <w:tcW w:w="1526" w:type="dxa"/>
            <w:gridSpan w:val="2"/>
            <w:tcMar>
              <w:top w:w="0" w:type="dxa"/>
              <w:left w:w="0" w:type="dxa"/>
              <w:bottom w:w="0" w:type="dxa"/>
              <w:right w:w="0" w:type="dxa"/>
            </w:tcMar>
            <w:vAlign w:val="bottom"/>
          </w:tcPr>
          <w:p w14:paraId="3C1A7A2E"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LPCCR</w:t>
            </w:r>
          </w:p>
        </w:tc>
        <w:tc>
          <w:tcPr>
            <w:tcW w:w="1277" w:type="dxa"/>
            <w:tcMar>
              <w:top w:w="0" w:type="dxa"/>
              <w:left w:w="0" w:type="dxa"/>
              <w:bottom w:w="0" w:type="dxa"/>
              <w:right w:w="0" w:type="dxa"/>
            </w:tcMar>
            <w:vAlign w:val="bottom"/>
          </w:tcPr>
          <w:p w14:paraId="5ECE1618"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0.9601</w:t>
            </w:r>
          </w:p>
        </w:tc>
        <w:tc>
          <w:tcPr>
            <w:tcW w:w="1277" w:type="dxa"/>
            <w:tcMar>
              <w:top w:w="0" w:type="dxa"/>
              <w:left w:w="0" w:type="dxa"/>
              <w:bottom w:w="0" w:type="dxa"/>
              <w:right w:w="0" w:type="dxa"/>
            </w:tcMar>
            <w:vAlign w:val="bottom"/>
          </w:tcPr>
          <w:p w14:paraId="2332795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1.0000</w:t>
            </w:r>
          </w:p>
        </w:tc>
        <w:tc>
          <w:tcPr>
            <w:tcW w:w="1418" w:type="dxa"/>
            <w:gridSpan w:val="3"/>
            <w:tcMar>
              <w:top w:w="0" w:type="dxa"/>
              <w:left w:w="0" w:type="dxa"/>
              <w:bottom w:w="0" w:type="dxa"/>
              <w:right w:w="0" w:type="dxa"/>
            </w:tcMar>
            <w:vAlign w:val="bottom"/>
          </w:tcPr>
          <w:p w14:paraId="6265407D"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275" w:type="dxa"/>
            <w:gridSpan w:val="2"/>
            <w:tcMar>
              <w:top w:w="0" w:type="dxa"/>
              <w:left w:w="0" w:type="dxa"/>
              <w:bottom w:w="0" w:type="dxa"/>
              <w:right w:w="0" w:type="dxa"/>
            </w:tcMar>
            <w:vAlign w:val="bottom"/>
          </w:tcPr>
          <w:p w14:paraId="6167E55B"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276" w:type="dxa"/>
            <w:tcMar>
              <w:top w:w="0" w:type="dxa"/>
              <w:left w:w="0" w:type="dxa"/>
              <w:bottom w:w="0" w:type="dxa"/>
              <w:right w:w="0" w:type="dxa"/>
            </w:tcMar>
            <w:vAlign w:val="bottom"/>
          </w:tcPr>
          <w:p w14:paraId="69D6CE1D"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361" w:type="dxa"/>
            <w:gridSpan w:val="2"/>
            <w:tcMar>
              <w:top w:w="0" w:type="dxa"/>
              <w:left w:w="0" w:type="dxa"/>
              <w:bottom w:w="0" w:type="dxa"/>
              <w:right w:w="0" w:type="dxa"/>
            </w:tcMar>
            <w:vAlign w:val="bottom"/>
          </w:tcPr>
          <w:p w14:paraId="70AE2A9D"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r>
      <w:tr w:rsidR="005A30D7" w:rsidRPr="001B36D3" w14:paraId="5AA11DBC" w14:textId="77777777">
        <w:trPr>
          <w:trHeight w:val="243"/>
        </w:trPr>
        <w:tc>
          <w:tcPr>
            <w:tcW w:w="1526" w:type="dxa"/>
            <w:gridSpan w:val="2"/>
            <w:tcMar>
              <w:top w:w="0" w:type="dxa"/>
              <w:left w:w="0" w:type="dxa"/>
              <w:bottom w:w="0" w:type="dxa"/>
              <w:right w:w="0" w:type="dxa"/>
            </w:tcMar>
            <w:vAlign w:val="bottom"/>
          </w:tcPr>
          <w:p w14:paraId="45FB085B"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LBB</w:t>
            </w:r>
          </w:p>
        </w:tc>
        <w:tc>
          <w:tcPr>
            <w:tcW w:w="1277" w:type="dxa"/>
            <w:tcMar>
              <w:top w:w="0" w:type="dxa"/>
              <w:left w:w="0" w:type="dxa"/>
              <w:bottom w:w="0" w:type="dxa"/>
              <w:right w:w="0" w:type="dxa"/>
            </w:tcMar>
            <w:vAlign w:val="bottom"/>
          </w:tcPr>
          <w:p w14:paraId="4A7C720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0.6167</w:t>
            </w:r>
          </w:p>
        </w:tc>
        <w:tc>
          <w:tcPr>
            <w:tcW w:w="1277" w:type="dxa"/>
            <w:tcMar>
              <w:top w:w="0" w:type="dxa"/>
              <w:left w:w="0" w:type="dxa"/>
              <w:bottom w:w="0" w:type="dxa"/>
              <w:right w:w="0" w:type="dxa"/>
            </w:tcMar>
            <w:vAlign w:val="bottom"/>
          </w:tcPr>
          <w:p w14:paraId="232EA699"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0.5983</w:t>
            </w:r>
          </w:p>
        </w:tc>
        <w:tc>
          <w:tcPr>
            <w:tcW w:w="1418" w:type="dxa"/>
            <w:gridSpan w:val="3"/>
            <w:tcMar>
              <w:top w:w="0" w:type="dxa"/>
              <w:left w:w="0" w:type="dxa"/>
              <w:bottom w:w="0" w:type="dxa"/>
              <w:right w:w="0" w:type="dxa"/>
            </w:tcMar>
            <w:vAlign w:val="bottom"/>
          </w:tcPr>
          <w:p w14:paraId="4FB9F653"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1.0000</w:t>
            </w:r>
          </w:p>
        </w:tc>
        <w:tc>
          <w:tcPr>
            <w:tcW w:w="1275" w:type="dxa"/>
            <w:gridSpan w:val="2"/>
            <w:tcMar>
              <w:top w:w="0" w:type="dxa"/>
              <w:left w:w="0" w:type="dxa"/>
              <w:bottom w:w="0" w:type="dxa"/>
              <w:right w:w="0" w:type="dxa"/>
            </w:tcMar>
            <w:vAlign w:val="bottom"/>
          </w:tcPr>
          <w:p w14:paraId="2C2BB794"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276" w:type="dxa"/>
            <w:tcMar>
              <w:top w:w="0" w:type="dxa"/>
              <w:left w:w="0" w:type="dxa"/>
              <w:bottom w:w="0" w:type="dxa"/>
              <w:right w:w="0" w:type="dxa"/>
            </w:tcMar>
            <w:vAlign w:val="bottom"/>
          </w:tcPr>
          <w:p w14:paraId="242E720C"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361" w:type="dxa"/>
            <w:gridSpan w:val="2"/>
            <w:tcMar>
              <w:top w:w="0" w:type="dxa"/>
              <w:left w:w="0" w:type="dxa"/>
              <w:bottom w:w="0" w:type="dxa"/>
              <w:right w:w="0" w:type="dxa"/>
            </w:tcMar>
            <w:vAlign w:val="bottom"/>
          </w:tcPr>
          <w:p w14:paraId="24DA0290"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r>
      <w:tr w:rsidR="005A30D7" w:rsidRPr="001B36D3" w14:paraId="6C30ACDD" w14:textId="77777777">
        <w:trPr>
          <w:trHeight w:val="243"/>
        </w:trPr>
        <w:tc>
          <w:tcPr>
            <w:tcW w:w="1526" w:type="dxa"/>
            <w:gridSpan w:val="2"/>
            <w:tcMar>
              <w:top w:w="0" w:type="dxa"/>
              <w:left w:w="0" w:type="dxa"/>
              <w:bottom w:w="0" w:type="dxa"/>
              <w:right w:w="0" w:type="dxa"/>
            </w:tcMar>
            <w:vAlign w:val="bottom"/>
          </w:tcPr>
          <w:p w14:paraId="71FEA3D0"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LMANP</w:t>
            </w:r>
          </w:p>
        </w:tc>
        <w:tc>
          <w:tcPr>
            <w:tcW w:w="1277" w:type="dxa"/>
            <w:tcMar>
              <w:top w:w="0" w:type="dxa"/>
              <w:left w:w="0" w:type="dxa"/>
              <w:bottom w:w="0" w:type="dxa"/>
              <w:right w:w="0" w:type="dxa"/>
            </w:tcMar>
            <w:vAlign w:val="bottom"/>
          </w:tcPr>
          <w:p w14:paraId="50DF5FB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0.0876</w:t>
            </w:r>
          </w:p>
        </w:tc>
        <w:tc>
          <w:tcPr>
            <w:tcW w:w="1277" w:type="dxa"/>
            <w:tcMar>
              <w:top w:w="0" w:type="dxa"/>
              <w:left w:w="0" w:type="dxa"/>
              <w:bottom w:w="0" w:type="dxa"/>
              <w:right w:w="0" w:type="dxa"/>
            </w:tcMar>
            <w:vAlign w:val="bottom"/>
          </w:tcPr>
          <w:p w14:paraId="2466F05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0.0754</w:t>
            </w:r>
          </w:p>
        </w:tc>
        <w:tc>
          <w:tcPr>
            <w:tcW w:w="1418" w:type="dxa"/>
            <w:gridSpan w:val="3"/>
            <w:tcMar>
              <w:top w:w="0" w:type="dxa"/>
              <w:left w:w="0" w:type="dxa"/>
              <w:bottom w:w="0" w:type="dxa"/>
              <w:right w:w="0" w:type="dxa"/>
            </w:tcMar>
            <w:vAlign w:val="bottom"/>
          </w:tcPr>
          <w:p w14:paraId="1C1E96FE"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0.2220</w:t>
            </w:r>
          </w:p>
        </w:tc>
        <w:tc>
          <w:tcPr>
            <w:tcW w:w="1275" w:type="dxa"/>
            <w:gridSpan w:val="2"/>
            <w:tcMar>
              <w:top w:w="0" w:type="dxa"/>
              <w:left w:w="0" w:type="dxa"/>
              <w:bottom w:w="0" w:type="dxa"/>
              <w:right w:w="0" w:type="dxa"/>
            </w:tcMar>
            <w:vAlign w:val="bottom"/>
          </w:tcPr>
          <w:p w14:paraId="5C9344E5"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1.0000</w:t>
            </w:r>
          </w:p>
        </w:tc>
        <w:tc>
          <w:tcPr>
            <w:tcW w:w="1276" w:type="dxa"/>
            <w:tcMar>
              <w:top w:w="0" w:type="dxa"/>
              <w:left w:w="0" w:type="dxa"/>
              <w:bottom w:w="0" w:type="dxa"/>
              <w:right w:w="0" w:type="dxa"/>
            </w:tcMar>
            <w:vAlign w:val="bottom"/>
          </w:tcPr>
          <w:p w14:paraId="18C6EEFE"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c>
          <w:tcPr>
            <w:tcW w:w="1361" w:type="dxa"/>
            <w:gridSpan w:val="2"/>
            <w:tcMar>
              <w:top w:w="0" w:type="dxa"/>
              <w:left w:w="0" w:type="dxa"/>
              <w:bottom w:w="0" w:type="dxa"/>
              <w:right w:w="0" w:type="dxa"/>
            </w:tcMar>
            <w:vAlign w:val="bottom"/>
          </w:tcPr>
          <w:p w14:paraId="22CB4C09"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r>
      <w:tr w:rsidR="005A30D7" w:rsidRPr="001B36D3" w14:paraId="09772B96" w14:textId="77777777">
        <w:trPr>
          <w:trHeight w:val="243"/>
        </w:trPr>
        <w:tc>
          <w:tcPr>
            <w:tcW w:w="1526" w:type="dxa"/>
            <w:gridSpan w:val="2"/>
            <w:tcMar>
              <w:top w:w="0" w:type="dxa"/>
              <w:left w:w="0" w:type="dxa"/>
              <w:bottom w:w="0" w:type="dxa"/>
              <w:right w:w="0" w:type="dxa"/>
            </w:tcMar>
            <w:vAlign w:val="bottom"/>
          </w:tcPr>
          <w:p w14:paraId="226491F3"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lastRenderedPageBreak/>
              <w:t>LPCNDDP</w:t>
            </w:r>
          </w:p>
        </w:tc>
        <w:tc>
          <w:tcPr>
            <w:tcW w:w="1277" w:type="dxa"/>
            <w:tcMar>
              <w:top w:w="0" w:type="dxa"/>
              <w:left w:w="0" w:type="dxa"/>
              <w:bottom w:w="0" w:type="dxa"/>
              <w:right w:w="0" w:type="dxa"/>
            </w:tcMar>
            <w:vAlign w:val="bottom"/>
          </w:tcPr>
          <w:p w14:paraId="073FCDE7"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0.8903</w:t>
            </w:r>
          </w:p>
        </w:tc>
        <w:tc>
          <w:tcPr>
            <w:tcW w:w="1277" w:type="dxa"/>
            <w:tcMar>
              <w:top w:w="0" w:type="dxa"/>
              <w:left w:w="0" w:type="dxa"/>
              <w:bottom w:w="0" w:type="dxa"/>
              <w:right w:w="0" w:type="dxa"/>
            </w:tcMar>
            <w:vAlign w:val="bottom"/>
          </w:tcPr>
          <w:p w14:paraId="35CADA5B"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0.8918</w:t>
            </w:r>
          </w:p>
        </w:tc>
        <w:tc>
          <w:tcPr>
            <w:tcW w:w="1418" w:type="dxa"/>
            <w:gridSpan w:val="3"/>
            <w:tcMar>
              <w:top w:w="0" w:type="dxa"/>
              <w:left w:w="0" w:type="dxa"/>
              <w:bottom w:w="0" w:type="dxa"/>
              <w:right w:w="0" w:type="dxa"/>
            </w:tcMar>
            <w:vAlign w:val="bottom"/>
          </w:tcPr>
          <w:p w14:paraId="42279AD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0.4526</w:t>
            </w:r>
          </w:p>
        </w:tc>
        <w:tc>
          <w:tcPr>
            <w:tcW w:w="1275" w:type="dxa"/>
            <w:gridSpan w:val="2"/>
            <w:tcMar>
              <w:top w:w="0" w:type="dxa"/>
              <w:left w:w="0" w:type="dxa"/>
              <w:bottom w:w="0" w:type="dxa"/>
              <w:right w:w="0" w:type="dxa"/>
            </w:tcMar>
            <w:vAlign w:val="bottom"/>
          </w:tcPr>
          <w:p w14:paraId="046B21E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-0.1475</w:t>
            </w:r>
          </w:p>
        </w:tc>
        <w:tc>
          <w:tcPr>
            <w:tcW w:w="1276" w:type="dxa"/>
            <w:tcMar>
              <w:top w:w="0" w:type="dxa"/>
              <w:left w:w="0" w:type="dxa"/>
              <w:bottom w:w="0" w:type="dxa"/>
              <w:right w:w="0" w:type="dxa"/>
            </w:tcMar>
            <w:vAlign w:val="bottom"/>
          </w:tcPr>
          <w:p w14:paraId="1CFFD2C4"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1.0000</w:t>
            </w:r>
          </w:p>
        </w:tc>
        <w:tc>
          <w:tcPr>
            <w:tcW w:w="1361" w:type="dxa"/>
            <w:gridSpan w:val="2"/>
            <w:tcMar>
              <w:top w:w="0" w:type="dxa"/>
              <w:left w:w="0" w:type="dxa"/>
              <w:bottom w:w="0" w:type="dxa"/>
              <w:right w:w="0" w:type="dxa"/>
            </w:tcMar>
            <w:vAlign w:val="bottom"/>
          </w:tcPr>
          <w:p w14:paraId="1D455FC1" w14:textId="77777777" w:rsidR="005A30D7" w:rsidRPr="001B36D3" w:rsidRDefault="005A30D7" w:rsidP="001B36D3">
            <w:pPr>
              <w:pStyle w:val="Standard"/>
              <w:spacing w:after="0" w:line="240" w:lineRule="auto"/>
              <w:rPr>
                <w:rFonts w:ascii="Arial" w:hAnsi="Arial" w:cs="Arial"/>
                <w:color w:val="000000"/>
                <w:kern w:val="0"/>
                <w:sz w:val="20"/>
                <w:szCs w:val="20"/>
                <w:lang w:val="en-IN"/>
              </w:rPr>
            </w:pPr>
          </w:p>
        </w:tc>
      </w:tr>
      <w:tr w:rsidR="005A30D7" w:rsidRPr="001B36D3" w14:paraId="2231A521" w14:textId="77777777">
        <w:trPr>
          <w:trHeight w:val="243"/>
        </w:trPr>
        <w:tc>
          <w:tcPr>
            <w:tcW w:w="1526" w:type="dxa"/>
            <w:gridSpan w:val="2"/>
            <w:tcBorders>
              <w:bottom w:val="single" w:sz="4" w:space="0" w:color="000000"/>
            </w:tcBorders>
            <w:tcMar>
              <w:top w:w="0" w:type="dxa"/>
              <w:left w:w="0" w:type="dxa"/>
              <w:bottom w:w="0" w:type="dxa"/>
              <w:right w:w="0" w:type="dxa"/>
            </w:tcMar>
            <w:vAlign w:val="bottom"/>
          </w:tcPr>
          <w:p w14:paraId="3BCFBD02" w14:textId="77777777" w:rsidR="005A30D7" w:rsidRPr="00420E62" w:rsidRDefault="0081248F" w:rsidP="001B36D3">
            <w:pPr>
              <w:pStyle w:val="Standard"/>
              <w:spacing w:after="0" w:line="240" w:lineRule="auto"/>
              <w:rPr>
                <w:rFonts w:ascii="Arial" w:hAnsi="Arial" w:cs="Arial"/>
                <w:bCs/>
                <w:color w:val="000000"/>
                <w:kern w:val="0"/>
                <w:sz w:val="20"/>
                <w:szCs w:val="20"/>
                <w:lang w:val="en-IN"/>
              </w:rPr>
            </w:pPr>
            <w:r w:rsidRPr="00420E62">
              <w:rPr>
                <w:rFonts w:ascii="Arial" w:hAnsi="Arial" w:cs="Arial"/>
                <w:bCs/>
                <w:color w:val="000000"/>
                <w:kern w:val="0"/>
                <w:sz w:val="20"/>
                <w:szCs w:val="20"/>
                <w:lang w:val="en-IN"/>
              </w:rPr>
              <w:t>LPOPGR</w:t>
            </w:r>
          </w:p>
        </w:tc>
        <w:tc>
          <w:tcPr>
            <w:tcW w:w="1277" w:type="dxa"/>
            <w:tcBorders>
              <w:bottom w:val="single" w:sz="4" w:space="0" w:color="000000"/>
            </w:tcBorders>
            <w:tcMar>
              <w:top w:w="0" w:type="dxa"/>
              <w:left w:w="0" w:type="dxa"/>
              <w:bottom w:w="0" w:type="dxa"/>
              <w:right w:w="0" w:type="dxa"/>
            </w:tcMar>
            <w:vAlign w:val="bottom"/>
          </w:tcPr>
          <w:p w14:paraId="2B92D350"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-0.2152</w:t>
            </w:r>
          </w:p>
        </w:tc>
        <w:tc>
          <w:tcPr>
            <w:tcW w:w="1277" w:type="dxa"/>
            <w:tcBorders>
              <w:bottom w:val="single" w:sz="4" w:space="0" w:color="000000"/>
            </w:tcBorders>
            <w:tcMar>
              <w:top w:w="0" w:type="dxa"/>
              <w:left w:w="0" w:type="dxa"/>
              <w:bottom w:w="0" w:type="dxa"/>
              <w:right w:w="0" w:type="dxa"/>
            </w:tcMar>
            <w:vAlign w:val="bottom"/>
          </w:tcPr>
          <w:p w14:paraId="3AC178E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-0.1979</w:t>
            </w:r>
          </w:p>
        </w:tc>
        <w:tc>
          <w:tcPr>
            <w:tcW w:w="1418" w:type="dxa"/>
            <w:gridSpan w:val="3"/>
            <w:tcBorders>
              <w:bottom w:val="single" w:sz="4" w:space="0" w:color="000000"/>
            </w:tcBorders>
            <w:tcMar>
              <w:top w:w="0" w:type="dxa"/>
              <w:left w:w="0" w:type="dxa"/>
              <w:bottom w:w="0" w:type="dxa"/>
              <w:right w:w="0" w:type="dxa"/>
            </w:tcMar>
            <w:vAlign w:val="bottom"/>
          </w:tcPr>
          <w:p w14:paraId="2B47414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-0.1620</w:t>
            </w:r>
          </w:p>
        </w:tc>
        <w:tc>
          <w:tcPr>
            <w:tcW w:w="1275" w:type="dxa"/>
            <w:gridSpan w:val="2"/>
            <w:tcBorders>
              <w:bottom w:val="single" w:sz="4" w:space="0" w:color="000000"/>
            </w:tcBorders>
            <w:tcMar>
              <w:top w:w="0" w:type="dxa"/>
              <w:left w:w="0" w:type="dxa"/>
              <w:bottom w:w="0" w:type="dxa"/>
              <w:right w:w="0" w:type="dxa"/>
            </w:tcMar>
            <w:vAlign w:val="bottom"/>
          </w:tcPr>
          <w:p w14:paraId="679F3B92"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0.0091</w:t>
            </w:r>
          </w:p>
        </w:tc>
        <w:tc>
          <w:tcPr>
            <w:tcW w:w="1276" w:type="dxa"/>
            <w:tcBorders>
              <w:bottom w:val="single" w:sz="4" w:space="0" w:color="000000"/>
            </w:tcBorders>
            <w:tcMar>
              <w:top w:w="0" w:type="dxa"/>
              <w:left w:w="0" w:type="dxa"/>
              <w:bottom w:w="0" w:type="dxa"/>
              <w:right w:w="0" w:type="dxa"/>
            </w:tcMar>
            <w:vAlign w:val="bottom"/>
          </w:tcPr>
          <w:p w14:paraId="62BD2B86"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-0.1971</w:t>
            </w:r>
          </w:p>
        </w:tc>
        <w:tc>
          <w:tcPr>
            <w:tcW w:w="1361" w:type="dxa"/>
            <w:gridSpan w:val="2"/>
            <w:tcBorders>
              <w:bottom w:val="single" w:sz="4" w:space="0" w:color="000000"/>
            </w:tcBorders>
            <w:tcMar>
              <w:top w:w="0" w:type="dxa"/>
              <w:left w:w="0" w:type="dxa"/>
              <w:bottom w:w="0" w:type="dxa"/>
              <w:right w:w="0" w:type="dxa"/>
            </w:tcMar>
            <w:vAlign w:val="bottom"/>
          </w:tcPr>
          <w:p w14:paraId="0E3BAB91" w14:textId="77777777" w:rsidR="005A30D7" w:rsidRPr="001B36D3" w:rsidRDefault="0081248F" w:rsidP="001B36D3">
            <w:pPr>
              <w:pStyle w:val="Standard"/>
              <w:spacing w:after="0" w:line="240" w:lineRule="auto"/>
              <w:rPr>
                <w:rFonts w:ascii="Arial" w:hAnsi="Arial" w:cs="Arial"/>
                <w:color w:val="000000"/>
                <w:kern w:val="0"/>
                <w:sz w:val="20"/>
                <w:szCs w:val="20"/>
                <w:lang w:val="en-IN"/>
              </w:rPr>
            </w:pPr>
            <w:r w:rsidRPr="001B36D3">
              <w:rPr>
                <w:rFonts w:ascii="Arial" w:hAnsi="Arial" w:cs="Arial"/>
                <w:color w:val="000000"/>
                <w:kern w:val="0"/>
                <w:sz w:val="20"/>
                <w:szCs w:val="20"/>
                <w:lang w:val="en-IN"/>
              </w:rPr>
              <w:t> 1.0000</w:t>
            </w:r>
          </w:p>
        </w:tc>
      </w:tr>
    </w:tbl>
    <w:p w14:paraId="6598B974" w14:textId="77777777" w:rsidR="005A30D7" w:rsidRDefault="0081248F">
      <w:pPr>
        <w:pStyle w:val="Standard"/>
        <w:spacing w:after="280" w:line="240" w:lineRule="auto"/>
        <w:jc w:val="center"/>
        <w:rPr>
          <w:rFonts w:ascii="Arial" w:eastAsia="Times New Roman" w:hAnsi="Arial" w:cs="Arial"/>
          <w:i/>
          <w:iCs/>
          <w:kern w:val="0"/>
          <w:sz w:val="20"/>
          <w:szCs w:val="20"/>
          <w:lang w:val="en-IN" w:eastAsia="en-IN"/>
        </w:rPr>
      </w:pPr>
      <w:r>
        <w:rPr>
          <w:rFonts w:ascii="Arial" w:eastAsia="Times New Roman" w:hAnsi="Arial" w:cs="Arial"/>
          <w:i/>
          <w:iCs/>
          <w:kern w:val="0"/>
          <w:sz w:val="20"/>
          <w:szCs w:val="20"/>
          <w:lang w:val="en-IN" w:eastAsia="en-IN"/>
        </w:rPr>
        <w:t>Source. Calculated by authors.</w:t>
      </w:r>
    </w:p>
    <w:p w14:paraId="2F0F8882" w14:textId="77777777"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The descriptive statistics reveal that most variables exhibit negative skewness and positive kurtosis, indicating a departure from normality, a finding supported by the Jarque-Bera test statistics. Specifically, the Jarque-Bera values are all statistically significant, underscoring these deviations. The correlation matrix demonstrates that LPCNDDP and LBB have substantial positive correlations with the dependent variable. LPOPGR shows a modest positive association, whereas LPCCR and LPCDP have slight negative correlations with the dependent variable.</w:t>
      </w:r>
    </w:p>
    <w:p w14:paraId="01F4B640" w14:textId="77777777" w:rsidR="005A30D7" w:rsidRDefault="0081248F">
      <w:pPr>
        <w:pStyle w:val="Standard"/>
        <w:spacing w:before="280" w:after="280" w:line="240" w:lineRule="auto"/>
        <w:jc w:val="both"/>
        <w:rPr>
          <w:rFonts w:ascii="Arial" w:eastAsia="Times New Roman" w:hAnsi="Arial" w:cs="Arial"/>
          <w:kern w:val="0"/>
          <w:sz w:val="20"/>
          <w:szCs w:val="20"/>
          <w:lang w:val="en-IN" w:eastAsia="en-IN"/>
        </w:rPr>
      </w:pPr>
      <w:r>
        <w:rPr>
          <w:rFonts w:ascii="Arial" w:eastAsia="Times New Roman" w:hAnsi="Arial" w:cs="Arial"/>
          <w:kern w:val="0"/>
          <w:sz w:val="20"/>
          <w:szCs w:val="20"/>
          <w:lang w:val="en-IN" w:eastAsia="en-IN"/>
        </w:rPr>
        <w:t>In summary, the correlation analysis highlights significant relationships between indicators of financial penetration (LPCCR, LPCDP, LPCNDDP) and the dependent variable, alongside a moderate correlation with the banking branch presence indicator (LBB). However, variables such as population growth (LPOPGR) and manufacturing (LMANP) exhibit weaker or inconsistent correlations.</w:t>
      </w:r>
    </w:p>
    <w:p w14:paraId="2400729E" w14:textId="3AD1F4A0" w:rsidR="005A30D7" w:rsidRDefault="0081248F">
      <w:pPr>
        <w:pStyle w:val="Standard"/>
        <w:spacing w:before="280" w:after="280" w:line="360" w:lineRule="auto"/>
        <w:jc w:val="both"/>
        <w:rPr>
          <w:rFonts w:ascii="Arial" w:eastAsia="Times New Roman" w:hAnsi="Arial" w:cs="Arial"/>
          <w:b/>
          <w:bCs/>
          <w:kern w:val="0"/>
          <w:sz w:val="22"/>
          <w:szCs w:val="22"/>
          <w:lang w:val="en-IN" w:eastAsia="en-IN"/>
        </w:rPr>
      </w:pPr>
      <w:r>
        <w:rPr>
          <w:rFonts w:ascii="Arial" w:eastAsia="Times New Roman" w:hAnsi="Arial" w:cs="Arial"/>
          <w:b/>
          <w:bCs/>
          <w:kern w:val="0"/>
          <w:sz w:val="22"/>
          <w:szCs w:val="22"/>
          <w:lang w:val="en-IN" w:eastAsia="en-IN"/>
        </w:rPr>
        <w:t>4.2 Estimatio</w:t>
      </w:r>
      <w:r w:rsidR="00725CEE">
        <w:rPr>
          <w:rFonts w:ascii="Arial" w:eastAsia="Times New Roman" w:hAnsi="Arial" w:cs="Arial"/>
          <w:b/>
          <w:bCs/>
          <w:kern w:val="0"/>
          <w:sz w:val="22"/>
          <w:szCs w:val="22"/>
          <w:lang w:val="en-IN" w:eastAsia="en-IN"/>
        </w:rPr>
        <w:t xml:space="preserve">n Results for Credit and </w:t>
      </w:r>
      <w:r w:rsidR="00725CEE">
        <w:rPr>
          <w:rFonts w:ascii="Arial" w:eastAsia="Times New Roman" w:hAnsi="Arial" w:cs="Times New Roman"/>
          <w:b/>
          <w:bCs/>
          <w:kern w:val="0"/>
          <w:sz w:val="22"/>
          <w:szCs w:val="22"/>
          <w:lang w:val="en-IN" w:eastAsia="en-IN"/>
        </w:rPr>
        <w:t>Deposit Penetration</w:t>
      </w:r>
    </w:p>
    <w:p w14:paraId="68D4C4C8" w14:textId="77777777" w:rsidR="00DF4597" w:rsidRDefault="0081248F" w:rsidP="00DF4597">
      <w:pPr>
        <w:pStyle w:val="Standard"/>
        <w:spacing w:before="280" w:after="280" w:line="240" w:lineRule="auto"/>
        <w:jc w:val="both"/>
        <w:rPr>
          <w:rFonts w:ascii="Arial" w:eastAsia="Times New Roman" w:hAnsi="Arial" w:cs="Times New Roman"/>
          <w:kern w:val="0"/>
          <w:sz w:val="20"/>
          <w:szCs w:val="20"/>
          <w:lang w:val="en-IN" w:eastAsia="en-IN"/>
        </w:rPr>
      </w:pPr>
      <w:r>
        <w:rPr>
          <w:rFonts w:ascii="Arial" w:eastAsia="Times New Roman" w:hAnsi="Arial" w:cs="Arial"/>
          <w:kern w:val="0"/>
          <w:sz w:val="20"/>
          <w:szCs w:val="20"/>
          <w:lang w:val="en-IN" w:eastAsia="en-IN"/>
        </w:rPr>
        <w:t>Table 2 presents the estimated results for credit penetration mode</w:t>
      </w:r>
      <w:r w:rsidR="00DF3E64">
        <w:rPr>
          <w:rFonts w:ascii="Arial" w:eastAsia="Times New Roman" w:hAnsi="Arial" w:cs="Arial"/>
          <w:kern w:val="0"/>
          <w:sz w:val="20"/>
          <w:szCs w:val="20"/>
          <w:lang w:val="en-IN" w:eastAsia="en-IN"/>
        </w:rPr>
        <w:t>l using various methods: POLS, FEM, R</w:t>
      </w:r>
      <w:r>
        <w:rPr>
          <w:rFonts w:ascii="Arial" w:eastAsia="Times New Roman" w:hAnsi="Arial" w:cs="Arial"/>
          <w:kern w:val="0"/>
          <w:sz w:val="20"/>
          <w:szCs w:val="20"/>
          <w:lang w:val="en-IN" w:eastAsia="en-IN"/>
        </w:rPr>
        <w:t>EM, PCSE</w:t>
      </w:r>
      <w:r w:rsidR="00DF4597">
        <w:rPr>
          <w:rFonts w:ascii="Arial" w:eastAsia="Times New Roman" w:hAnsi="Arial" w:cs="Arial"/>
          <w:kern w:val="0"/>
          <w:sz w:val="20"/>
          <w:szCs w:val="20"/>
          <w:lang w:val="en-IN" w:eastAsia="en-IN"/>
        </w:rPr>
        <w:t xml:space="preserve">, FGLS and System Dynamic Panel and </w:t>
      </w:r>
      <w:r w:rsidR="00DF4597">
        <w:rPr>
          <w:rFonts w:ascii="Arial" w:eastAsia="Times New Roman" w:hAnsi="Arial" w:cs="Times New Roman"/>
          <w:kern w:val="0"/>
          <w:sz w:val="20"/>
          <w:szCs w:val="20"/>
          <w:lang w:val="en-IN" w:eastAsia="en-IN"/>
        </w:rPr>
        <w:t>Table 3 presents the estimated results for deposit penetration model using various methods: POLS, REM, FEM, PCSE, FGLS and System Dynamic Panel.</w:t>
      </w:r>
    </w:p>
    <w:p w14:paraId="088CC97D" w14:textId="77777777" w:rsidR="005A30D7" w:rsidRPr="009E5087" w:rsidRDefault="0081248F">
      <w:pPr>
        <w:pStyle w:val="Standard"/>
        <w:spacing w:before="280" w:after="280" w:line="240" w:lineRule="auto"/>
        <w:jc w:val="center"/>
        <w:rPr>
          <w:rFonts w:ascii="Arial" w:hAnsi="Arial" w:cs="Arial"/>
          <w:sz w:val="20"/>
          <w:szCs w:val="20"/>
        </w:rPr>
      </w:pPr>
      <w:r w:rsidRPr="009E5087">
        <w:rPr>
          <w:rFonts w:ascii="Arial" w:eastAsia="Times New Roman" w:hAnsi="Arial" w:cs="Arial"/>
          <w:b/>
          <w:bCs/>
          <w:kern w:val="0"/>
          <w:sz w:val="20"/>
          <w:szCs w:val="20"/>
          <w:lang w:val="en-IN" w:eastAsia="en-IN"/>
        </w:rPr>
        <w:t>Table 2. Estimations result for credit penetration</w:t>
      </w:r>
    </w:p>
    <w:tbl>
      <w:tblPr>
        <w:tblW w:w="9016" w:type="dxa"/>
        <w:jc w:val="center"/>
        <w:tblLayout w:type="fixed"/>
        <w:tblCellMar>
          <w:left w:w="10" w:type="dxa"/>
          <w:right w:w="10" w:type="dxa"/>
        </w:tblCellMar>
        <w:tblLook w:val="0000" w:firstRow="0" w:lastRow="0" w:firstColumn="0" w:lastColumn="0" w:noHBand="0" w:noVBand="0"/>
      </w:tblPr>
      <w:tblGrid>
        <w:gridCol w:w="1376"/>
        <w:gridCol w:w="1236"/>
        <w:gridCol w:w="1236"/>
        <w:gridCol w:w="1249"/>
        <w:gridCol w:w="1277"/>
        <w:gridCol w:w="1276"/>
        <w:gridCol w:w="1366"/>
      </w:tblGrid>
      <w:tr w:rsidR="005A30D7" w:rsidRPr="00EB7049" w14:paraId="3C6CADB1" w14:textId="77777777">
        <w:trPr>
          <w:jc w:val="center"/>
        </w:trPr>
        <w:tc>
          <w:tcPr>
            <w:tcW w:w="9016" w:type="dxa"/>
            <w:gridSpan w:val="7"/>
            <w:tcBorders>
              <w:top w:val="single" w:sz="4" w:space="0" w:color="000000"/>
              <w:bottom w:val="single" w:sz="4" w:space="0" w:color="000000"/>
            </w:tcBorders>
            <w:tcMar>
              <w:top w:w="55" w:type="dxa"/>
              <w:left w:w="108" w:type="dxa"/>
              <w:bottom w:w="55" w:type="dxa"/>
              <w:right w:w="108" w:type="dxa"/>
            </w:tcMar>
          </w:tcPr>
          <w:p w14:paraId="1C1A6A4C" w14:textId="77777777" w:rsidR="005A30D7" w:rsidRPr="006F546F" w:rsidRDefault="0081248F" w:rsidP="006F546F">
            <w:pPr>
              <w:pStyle w:val="Standard"/>
              <w:spacing w:after="0" w:line="240" w:lineRule="auto"/>
              <w:jc w:val="center"/>
              <w:rPr>
                <w:rFonts w:ascii="Arial" w:hAnsi="Arial" w:cs="Arial"/>
                <w:b/>
                <w:bCs/>
                <w:sz w:val="20"/>
                <w:szCs w:val="20"/>
                <w:lang w:val="en-IN"/>
              </w:rPr>
            </w:pPr>
            <w:r w:rsidRPr="006F546F">
              <w:rPr>
                <w:rFonts w:ascii="Arial" w:hAnsi="Arial" w:cs="Arial"/>
                <w:b/>
                <w:bCs/>
                <w:sz w:val="20"/>
                <w:szCs w:val="20"/>
                <w:lang w:val="en-IN"/>
              </w:rPr>
              <w:t>Dependent Variable is LPCCR</w:t>
            </w:r>
          </w:p>
        </w:tc>
      </w:tr>
      <w:tr w:rsidR="005A30D7" w:rsidRPr="00EB7049" w14:paraId="2167CDD5" w14:textId="77777777">
        <w:trPr>
          <w:jc w:val="center"/>
        </w:trPr>
        <w:tc>
          <w:tcPr>
            <w:tcW w:w="1376" w:type="dxa"/>
            <w:tcBorders>
              <w:bottom w:val="single" w:sz="4" w:space="0" w:color="000000"/>
            </w:tcBorders>
            <w:tcMar>
              <w:top w:w="55" w:type="dxa"/>
              <w:left w:w="108" w:type="dxa"/>
              <w:bottom w:w="55" w:type="dxa"/>
              <w:right w:w="108" w:type="dxa"/>
            </w:tcMar>
          </w:tcPr>
          <w:p w14:paraId="30502F1A" w14:textId="77777777" w:rsidR="005A30D7" w:rsidRPr="006F546F" w:rsidRDefault="005A30D7" w:rsidP="006F546F">
            <w:pPr>
              <w:pStyle w:val="Standard"/>
              <w:spacing w:after="0" w:line="240" w:lineRule="auto"/>
              <w:jc w:val="both"/>
              <w:rPr>
                <w:rFonts w:ascii="Arial" w:eastAsia="Times New Roman" w:hAnsi="Arial" w:cs="Arial"/>
                <w:kern w:val="0"/>
                <w:sz w:val="20"/>
                <w:szCs w:val="20"/>
                <w:lang w:val="en-IN" w:eastAsia="en-IN"/>
              </w:rPr>
            </w:pPr>
          </w:p>
        </w:tc>
        <w:tc>
          <w:tcPr>
            <w:tcW w:w="1236" w:type="dxa"/>
            <w:tcBorders>
              <w:bottom w:val="single" w:sz="4" w:space="0" w:color="000000"/>
            </w:tcBorders>
            <w:tcMar>
              <w:top w:w="55" w:type="dxa"/>
              <w:left w:w="108" w:type="dxa"/>
              <w:bottom w:w="55" w:type="dxa"/>
              <w:right w:w="108" w:type="dxa"/>
            </w:tcMar>
          </w:tcPr>
          <w:p w14:paraId="0F2BBD15" w14:textId="77777777" w:rsidR="005A30D7" w:rsidRPr="006F546F" w:rsidRDefault="0081248F" w:rsidP="006F546F">
            <w:pPr>
              <w:pStyle w:val="Standard"/>
              <w:spacing w:after="0" w:line="240" w:lineRule="auto"/>
              <w:jc w:val="center"/>
              <w:rPr>
                <w:rFonts w:ascii="Arial" w:eastAsia="Times New Roman" w:hAnsi="Arial" w:cs="Arial"/>
                <w:b/>
                <w:bCs/>
                <w:kern w:val="0"/>
                <w:sz w:val="20"/>
                <w:szCs w:val="20"/>
                <w:lang w:val="en-IN" w:eastAsia="en-IN"/>
              </w:rPr>
            </w:pPr>
            <w:r w:rsidRPr="006F546F">
              <w:rPr>
                <w:rFonts w:ascii="Arial" w:eastAsia="Times New Roman" w:hAnsi="Arial" w:cs="Arial"/>
                <w:b/>
                <w:bCs/>
                <w:kern w:val="0"/>
                <w:sz w:val="20"/>
                <w:szCs w:val="20"/>
                <w:lang w:val="en-IN" w:eastAsia="en-IN"/>
              </w:rPr>
              <w:t>POLS</w:t>
            </w:r>
          </w:p>
        </w:tc>
        <w:tc>
          <w:tcPr>
            <w:tcW w:w="1236" w:type="dxa"/>
            <w:tcBorders>
              <w:bottom w:val="single" w:sz="4" w:space="0" w:color="000000"/>
            </w:tcBorders>
            <w:tcMar>
              <w:top w:w="55" w:type="dxa"/>
              <w:left w:w="108" w:type="dxa"/>
              <w:bottom w:w="55" w:type="dxa"/>
              <w:right w:w="108" w:type="dxa"/>
            </w:tcMar>
          </w:tcPr>
          <w:p w14:paraId="1C0190CB" w14:textId="77777777" w:rsidR="005A30D7" w:rsidRPr="006F546F" w:rsidRDefault="0081248F" w:rsidP="006F546F">
            <w:pPr>
              <w:pStyle w:val="Standard"/>
              <w:spacing w:after="0" w:line="240" w:lineRule="auto"/>
              <w:jc w:val="center"/>
              <w:rPr>
                <w:rFonts w:ascii="Arial" w:eastAsia="Times New Roman" w:hAnsi="Arial" w:cs="Arial"/>
                <w:b/>
                <w:bCs/>
                <w:kern w:val="0"/>
                <w:sz w:val="20"/>
                <w:szCs w:val="20"/>
                <w:lang w:val="en-IN" w:eastAsia="en-IN"/>
              </w:rPr>
            </w:pPr>
            <w:r w:rsidRPr="006F546F">
              <w:rPr>
                <w:rFonts w:ascii="Arial" w:eastAsia="Times New Roman" w:hAnsi="Arial" w:cs="Arial"/>
                <w:b/>
                <w:bCs/>
                <w:kern w:val="0"/>
                <w:sz w:val="20"/>
                <w:szCs w:val="20"/>
                <w:lang w:val="en-IN" w:eastAsia="en-IN"/>
              </w:rPr>
              <w:t>FEM</w:t>
            </w:r>
          </w:p>
        </w:tc>
        <w:tc>
          <w:tcPr>
            <w:tcW w:w="1249" w:type="dxa"/>
            <w:tcBorders>
              <w:bottom w:val="single" w:sz="4" w:space="0" w:color="000000"/>
            </w:tcBorders>
            <w:tcMar>
              <w:top w:w="55" w:type="dxa"/>
              <w:left w:w="108" w:type="dxa"/>
              <w:bottom w:w="55" w:type="dxa"/>
              <w:right w:w="108" w:type="dxa"/>
            </w:tcMar>
          </w:tcPr>
          <w:p w14:paraId="031C7E23" w14:textId="77777777" w:rsidR="005A30D7" w:rsidRPr="006F546F" w:rsidRDefault="0081248F" w:rsidP="006F546F">
            <w:pPr>
              <w:pStyle w:val="Standard"/>
              <w:spacing w:after="0" w:line="240" w:lineRule="auto"/>
              <w:jc w:val="center"/>
              <w:rPr>
                <w:rFonts w:ascii="Arial" w:eastAsia="Times New Roman" w:hAnsi="Arial" w:cs="Arial"/>
                <w:b/>
                <w:bCs/>
                <w:kern w:val="0"/>
                <w:sz w:val="20"/>
                <w:szCs w:val="20"/>
                <w:lang w:val="en-IN" w:eastAsia="en-IN"/>
              </w:rPr>
            </w:pPr>
            <w:r w:rsidRPr="006F546F">
              <w:rPr>
                <w:rFonts w:ascii="Arial" w:eastAsia="Times New Roman" w:hAnsi="Arial" w:cs="Arial"/>
                <w:b/>
                <w:bCs/>
                <w:kern w:val="0"/>
                <w:sz w:val="20"/>
                <w:szCs w:val="20"/>
                <w:lang w:val="en-IN" w:eastAsia="en-IN"/>
              </w:rPr>
              <w:t>REM</w:t>
            </w:r>
          </w:p>
        </w:tc>
        <w:tc>
          <w:tcPr>
            <w:tcW w:w="1277" w:type="dxa"/>
            <w:tcBorders>
              <w:bottom w:val="single" w:sz="4" w:space="0" w:color="000000"/>
            </w:tcBorders>
            <w:tcMar>
              <w:top w:w="55" w:type="dxa"/>
              <w:left w:w="108" w:type="dxa"/>
              <w:bottom w:w="55" w:type="dxa"/>
              <w:right w:w="108" w:type="dxa"/>
            </w:tcMar>
          </w:tcPr>
          <w:p w14:paraId="771FB5A4" w14:textId="77777777" w:rsidR="005A30D7" w:rsidRPr="006F546F" w:rsidRDefault="0081248F" w:rsidP="006F546F">
            <w:pPr>
              <w:pStyle w:val="Standard"/>
              <w:spacing w:after="0" w:line="240" w:lineRule="auto"/>
              <w:jc w:val="center"/>
              <w:rPr>
                <w:rFonts w:ascii="Arial" w:eastAsia="Times New Roman" w:hAnsi="Arial" w:cs="Arial"/>
                <w:b/>
                <w:bCs/>
                <w:kern w:val="0"/>
                <w:sz w:val="20"/>
                <w:szCs w:val="20"/>
                <w:lang w:val="en-IN" w:eastAsia="en-IN"/>
              </w:rPr>
            </w:pPr>
            <w:r w:rsidRPr="006F546F">
              <w:rPr>
                <w:rFonts w:ascii="Arial" w:eastAsia="Times New Roman" w:hAnsi="Arial" w:cs="Arial"/>
                <w:b/>
                <w:bCs/>
                <w:kern w:val="0"/>
                <w:sz w:val="20"/>
                <w:szCs w:val="20"/>
                <w:lang w:val="en-IN" w:eastAsia="en-IN"/>
              </w:rPr>
              <w:t>PCSE</w:t>
            </w:r>
          </w:p>
        </w:tc>
        <w:tc>
          <w:tcPr>
            <w:tcW w:w="1276" w:type="dxa"/>
            <w:tcBorders>
              <w:bottom w:val="single" w:sz="4" w:space="0" w:color="000000"/>
            </w:tcBorders>
            <w:tcMar>
              <w:top w:w="55" w:type="dxa"/>
              <w:left w:w="108" w:type="dxa"/>
              <w:bottom w:w="55" w:type="dxa"/>
              <w:right w:w="108" w:type="dxa"/>
            </w:tcMar>
          </w:tcPr>
          <w:p w14:paraId="168845E0" w14:textId="77777777" w:rsidR="005A30D7" w:rsidRPr="006F546F" w:rsidRDefault="0081248F" w:rsidP="006F546F">
            <w:pPr>
              <w:pStyle w:val="Standard"/>
              <w:spacing w:after="0" w:line="240" w:lineRule="auto"/>
              <w:jc w:val="center"/>
              <w:rPr>
                <w:rFonts w:ascii="Arial" w:eastAsia="Times New Roman" w:hAnsi="Arial" w:cs="Arial"/>
                <w:b/>
                <w:bCs/>
                <w:kern w:val="0"/>
                <w:sz w:val="20"/>
                <w:szCs w:val="20"/>
                <w:lang w:val="en-IN" w:eastAsia="en-IN"/>
              </w:rPr>
            </w:pPr>
            <w:r w:rsidRPr="006F546F">
              <w:rPr>
                <w:rFonts w:ascii="Arial" w:eastAsia="Times New Roman" w:hAnsi="Arial" w:cs="Arial"/>
                <w:b/>
                <w:bCs/>
                <w:kern w:val="0"/>
                <w:sz w:val="20"/>
                <w:szCs w:val="20"/>
                <w:lang w:val="en-IN" w:eastAsia="en-IN"/>
              </w:rPr>
              <w:t>FGLS</w:t>
            </w:r>
          </w:p>
        </w:tc>
        <w:tc>
          <w:tcPr>
            <w:tcW w:w="1366" w:type="dxa"/>
            <w:tcBorders>
              <w:bottom w:val="single" w:sz="4" w:space="0" w:color="000000"/>
            </w:tcBorders>
            <w:tcMar>
              <w:top w:w="55" w:type="dxa"/>
              <w:left w:w="108" w:type="dxa"/>
              <w:bottom w:w="55" w:type="dxa"/>
              <w:right w:w="108" w:type="dxa"/>
            </w:tcMar>
          </w:tcPr>
          <w:p w14:paraId="04ED5F25" w14:textId="77777777" w:rsidR="005A30D7" w:rsidRPr="006F546F" w:rsidRDefault="0081248F" w:rsidP="006F546F">
            <w:pPr>
              <w:pStyle w:val="Standard"/>
              <w:spacing w:after="0" w:line="240" w:lineRule="auto"/>
              <w:jc w:val="center"/>
              <w:rPr>
                <w:rFonts w:ascii="Arial" w:eastAsia="Times New Roman" w:hAnsi="Arial" w:cs="Arial"/>
                <w:b/>
                <w:bCs/>
                <w:kern w:val="0"/>
                <w:sz w:val="20"/>
                <w:szCs w:val="20"/>
                <w:lang w:val="en-IN" w:eastAsia="en-IN"/>
              </w:rPr>
            </w:pPr>
            <w:r w:rsidRPr="006F546F">
              <w:rPr>
                <w:rFonts w:ascii="Arial" w:eastAsia="Times New Roman" w:hAnsi="Arial" w:cs="Arial"/>
                <w:b/>
                <w:bCs/>
                <w:kern w:val="0"/>
                <w:sz w:val="20"/>
                <w:szCs w:val="20"/>
                <w:lang w:val="en-IN" w:eastAsia="en-IN"/>
              </w:rPr>
              <w:t>GMM</w:t>
            </w:r>
          </w:p>
        </w:tc>
      </w:tr>
      <w:tr w:rsidR="005A30D7" w:rsidRPr="00EB7049" w14:paraId="75862C67" w14:textId="77777777">
        <w:trPr>
          <w:jc w:val="center"/>
        </w:trPr>
        <w:tc>
          <w:tcPr>
            <w:tcW w:w="1376" w:type="dxa"/>
            <w:tcMar>
              <w:top w:w="55" w:type="dxa"/>
              <w:left w:w="108" w:type="dxa"/>
              <w:bottom w:w="55" w:type="dxa"/>
              <w:right w:w="108" w:type="dxa"/>
            </w:tcMar>
          </w:tcPr>
          <w:p w14:paraId="2650317B" w14:textId="77777777" w:rsidR="005A30D7" w:rsidRPr="006F546F" w:rsidRDefault="0081248F" w:rsidP="006F546F">
            <w:pPr>
              <w:pStyle w:val="Standard"/>
              <w:spacing w:after="0" w:line="240" w:lineRule="auto"/>
              <w:jc w:val="both"/>
              <w:rPr>
                <w:rFonts w:ascii="Arial" w:eastAsia="Times New Roman" w:hAnsi="Arial" w:cs="Arial"/>
                <w:bCs/>
                <w:kern w:val="0"/>
                <w:sz w:val="20"/>
                <w:szCs w:val="20"/>
                <w:lang w:val="en-IN" w:eastAsia="en-IN"/>
              </w:rPr>
            </w:pPr>
            <w:r w:rsidRPr="006F546F">
              <w:rPr>
                <w:rFonts w:ascii="Arial" w:eastAsia="Times New Roman" w:hAnsi="Arial" w:cs="Arial"/>
                <w:bCs/>
                <w:kern w:val="0"/>
                <w:sz w:val="20"/>
                <w:szCs w:val="20"/>
                <w:lang w:val="en-IN" w:eastAsia="en-IN"/>
              </w:rPr>
              <w:t>LBB</w:t>
            </w:r>
          </w:p>
        </w:tc>
        <w:tc>
          <w:tcPr>
            <w:tcW w:w="1236" w:type="dxa"/>
            <w:tcMar>
              <w:top w:w="55" w:type="dxa"/>
              <w:left w:w="108" w:type="dxa"/>
              <w:bottom w:w="55" w:type="dxa"/>
              <w:right w:w="108" w:type="dxa"/>
            </w:tcMar>
          </w:tcPr>
          <w:p w14:paraId="6D871200" w14:textId="6A2ADFD6" w:rsidR="005A30D7" w:rsidRPr="006F546F" w:rsidRDefault="005D1B49" w:rsidP="006F546F">
            <w:pPr>
              <w:pStyle w:val="Standard"/>
              <w:spacing w:after="0" w:line="240" w:lineRule="auto"/>
              <w:rPr>
                <w:rFonts w:ascii="Arial" w:eastAsia="Times New Roman" w:hAnsi="Arial" w:cs="Arial"/>
                <w:kern w:val="0"/>
                <w:sz w:val="20"/>
                <w:szCs w:val="20"/>
                <w:lang w:eastAsia="en-IN"/>
              </w:rPr>
            </w:pPr>
            <w:r w:rsidRPr="006F546F">
              <w:rPr>
                <w:rFonts w:ascii="Arial" w:eastAsia="Times New Roman" w:hAnsi="Arial" w:cs="Arial"/>
                <w:kern w:val="0"/>
                <w:sz w:val="20"/>
                <w:szCs w:val="20"/>
                <w:lang w:eastAsia="en-IN"/>
              </w:rPr>
              <w:t xml:space="preserve">    </w:t>
            </w:r>
            <w:r w:rsidR="0081248F" w:rsidRPr="006F546F">
              <w:rPr>
                <w:rFonts w:ascii="Arial" w:eastAsia="Times New Roman" w:hAnsi="Arial" w:cs="Arial"/>
                <w:kern w:val="0"/>
                <w:sz w:val="20"/>
                <w:szCs w:val="20"/>
                <w:lang w:eastAsia="en-IN"/>
              </w:rPr>
              <w:t>0.421***</w:t>
            </w:r>
          </w:p>
        </w:tc>
        <w:tc>
          <w:tcPr>
            <w:tcW w:w="1236" w:type="dxa"/>
            <w:tcMar>
              <w:top w:w="55" w:type="dxa"/>
              <w:left w:w="108" w:type="dxa"/>
              <w:bottom w:w="55" w:type="dxa"/>
              <w:right w:w="108" w:type="dxa"/>
            </w:tcMar>
          </w:tcPr>
          <w:p w14:paraId="71CA6D6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0.579***</w:t>
            </w:r>
          </w:p>
        </w:tc>
        <w:tc>
          <w:tcPr>
            <w:tcW w:w="1249" w:type="dxa"/>
            <w:tcMar>
              <w:top w:w="55" w:type="dxa"/>
              <w:left w:w="108" w:type="dxa"/>
              <w:bottom w:w="55" w:type="dxa"/>
              <w:right w:w="108" w:type="dxa"/>
            </w:tcMar>
          </w:tcPr>
          <w:p w14:paraId="7DD4F04C"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0.556***</w:t>
            </w:r>
          </w:p>
        </w:tc>
        <w:tc>
          <w:tcPr>
            <w:tcW w:w="1277" w:type="dxa"/>
            <w:tcMar>
              <w:top w:w="55" w:type="dxa"/>
              <w:left w:w="108" w:type="dxa"/>
              <w:bottom w:w="55" w:type="dxa"/>
              <w:right w:w="108" w:type="dxa"/>
            </w:tcMar>
          </w:tcPr>
          <w:p w14:paraId="6D137DA1"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0.677***</w:t>
            </w:r>
          </w:p>
        </w:tc>
        <w:tc>
          <w:tcPr>
            <w:tcW w:w="1276" w:type="dxa"/>
            <w:tcMar>
              <w:top w:w="55" w:type="dxa"/>
              <w:left w:w="108" w:type="dxa"/>
              <w:bottom w:w="55" w:type="dxa"/>
              <w:right w:w="108" w:type="dxa"/>
            </w:tcMar>
          </w:tcPr>
          <w:p w14:paraId="1FC78A98"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0.756***</w:t>
            </w:r>
          </w:p>
        </w:tc>
        <w:tc>
          <w:tcPr>
            <w:tcW w:w="1366" w:type="dxa"/>
            <w:tcMar>
              <w:top w:w="55" w:type="dxa"/>
              <w:left w:w="108" w:type="dxa"/>
              <w:bottom w:w="55" w:type="dxa"/>
              <w:right w:w="108" w:type="dxa"/>
            </w:tcMar>
          </w:tcPr>
          <w:p w14:paraId="451C9B7F"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0.069</w:t>
            </w:r>
          </w:p>
        </w:tc>
      </w:tr>
      <w:tr w:rsidR="005A30D7" w:rsidRPr="00EB7049" w14:paraId="672B53EB" w14:textId="77777777">
        <w:trPr>
          <w:jc w:val="center"/>
        </w:trPr>
        <w:tc>
          <w:tcPr>
            <w:tcW w:w="1376" w:type="dxa"/>
            <w:tcMar>
              <w:top w:w="55" w:type="dxa"/>
              <w:left w:w="108" w:type="dxa"/>
              <w:bottom w:w="55" w:type="dxa"/>
              <w:right w:w="108" w:type="dxa"/>
            </w:tcMar>
          </w:tcPr>
          <w:p w14:paraId="37626062" w14:textId="77777777" w:rsidR="005A30D7" w:rsidRPr="006F546F" w:rsidRDefault="005A30D7" w:rsidP="006F546F">
            <w:pPr>
              <w:pStyle w:val="Standard"/>
              <w:spacing w:after="0" w:line="240" w:lineRule="auto"/>
              <w:rPr>
                <w:rFonts w:ascii="Arial" w:hAnsi="Arial" w:cs="Arial"/>
                <w:sz w:val="20"/>
                <w:szCs w:val="20"/>
              </w:rPr>
            </w:pPr>
          </w:p>
        </w:tc>
        <w:tc>
          <w:tcPr>
            <w:tcW w:w="1236" w:type="dxa"/>
            <w:tcMar>
              <w:top w:w="55" w:type="dxa"/>
              <w:left w:w="108" w:type="dxa"/>
              <w:bottom w:w="55" w:type="dxa"/>
              <w:right w:w="108" w:type="dxa"/>
            </w:tcMar>
          </w:tcPr>
          <w:p w14:paraId="541857E8" w14:textId="3918D2A2" w:rsidR="005A30D7" w:rsidRPr="006F546F" w:rsidRDefault="005D1B49" w:rsidP="006F546F">
            <w:pPr>
              <w:pStyle w:val="Standard"/>
              <w:spacing w:after="0" w:line="240" w:lineRule="auto"/>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 xml:space="preserve">  </w:t>
            </w:r>
            <w:r w:rsidR="0081248F" w:rsidRPr="006F546F">
              <w:rPr>
                <w:rFonts w:ascii="Arial" w:eastAsia="Times New Roman" w:hAnsi="Arial" w:cs="Arial"/>
                <w:kern w:val="0"/>
                <w:sz w:val="20"/>
                <w:szCs w:val="20"/>
                <w:lang w:val="en-IN" w:eastAsia="en-IN"/>
              </w:rPr>
              <w:t>(0.032)</w:t>
            </w:r>
          </w:p>
        </w:tc>
        <w:tc>
          <w:tcPr>
            <w:tcW w:w="1236" w:type="dxa"/>
            <w:tcMar>
              <w:top w:w="55" w:type="dxa"/>
              <w:left w:w="108" w:type="dxa"/>
              <w:bottom w:w="55" w:type="dxa"/>
              <w:right w:w="108" w:type="dxa"/>
            </w:tcMar>
          </w:tcPr>
          <w:p w14:paraId="44F143FC"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(0.069)</w:t>
            </w:r>
          </w:p>
        </w:tc>
        <w:tc>
          <w:tcPr>
            <w:tcW w:w="1249" w:type="dxa"/>
            <w:tcMar>
              <w:top w:w="55" w:type="dxa"/>
              <w:left w:w="108" w:type="dxa"/>
              <w:bottom w:w="55" w:type="dxa"/>
              <w:right w:w="108" w:type="dxa"/>
            </w:tcMar>
          </w:tcPr>
          <w:p w14:paraId="76C9F92E"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(0.062)</w:t>
            </w:r>
          </w:p>
        </w:tc>
        <w:tc>
          <w:tcPr>
            <w:tcW w:w="1277" w:type="dxa"/>
            <w:tcMar>
              <w:top w:w="55" w:type="dxa"/>
              <w:left w:w="108" w:type="dxa"/>
              <w:bottom w:w="55" w:type="dxa"/>
              <w:right w:w="108" w:type="dxa"/>
            </w:tcMar>
          </w:tcPr>
          <w:p w14:paraId="3D69435C"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(0.075)</w:t>
            </w:r>
          </w:p>
        </w:tc>
        <w:tc>
          <w:tcPr>
            <w:tcW w:w="1276" w:type="dxa"/>
            <w:tcMar>
              <w:top w:w="55" w:type="dxa"/>
              <w:left w:w="108" w:type="dxa"/>
              <w:bottom w:w="55" w:type="dxa"/>
              <w:right w:w="108" w:type="dxa"/>
            </w:tcMar>
          </w:tcPr>
          <w:p w14:paraId="0A49FEC3"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(0.050)</w:t>
            </w:r>
          </w:p>
        </w:tc>
        <w:tc>
          <w:tcPr>
            <w:tcW w:w="1366" w:type="dxa"/>
            <w:tcMar>
              <w:top w:w="55" w:type="dxa"/>
              <w:left w:w="108" w:type="dxa"/>
              <w:bottom w:w="55" w:type="dxa"/>
              <w:right w:w="108" w:type="dxa"/>
            </w:tcMar>
          </w:tcPr>
          <w:p w14:paraId="53BF2640"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(0.135)</w:t>
            </w:r>
          </w:p>
        </w:tc>
      </w:tr>
      <w:tr w:rsidR="005A30D7" w:rsidRPr="00EB7049" w14:paraId="7A5C458E" w14:textId="77777777">
        <w:trPr>
          <w:jc w:val="center"/>
        </w:trPr>
        <w:tc>
          <w:tcPr>
            <w:tcW w:w="1376" w:type="dxa"/>
            <w:tcMar>
              <w:top w:w="55" w:type="dxa"/>
              <w:left w:w="108" w:type="dxa"/>
              <w:bottom w:w="55" w:type="dxa"/>
              <w:right w:w="108" w:type="dxa"/>
            </w:tcMar>
          </w:tcPr>
          <w:p w14:paraId="043F4314" w14:textId="77777777" w:rsidR="005A30D7" w:rsidRPr="006F546F" w:rsidRDefault="0081248F" w:rsidP="006F546F">
            <w:pPr>
              <w:pStyle w:val="Standard"/>
              <w:spacing w:after="0" w:line="240" w:lineRule="auto"/>
              <w:jc w:val="both"/>
              <w:rPr>
                <w:rFonts w:ascii="Arial" w:eastAsia="Times New Roman" w:hAnsi="Arial" w:cs="Arial"/>
                <w:bCs/>
                <w:kern w:val="0"/>
                <w:sz w:val="20"/>
                <w:szCs w:val="20"/>
                <w:lang w:val="en-IN" w:eastAsia="en-IN"/>
              </w:rPr>
            </w:pPr>
            <w:r w:rsidRPr="006F546F">
              <w:rPr>
                <w:rFonts w:ascii="Arial" w:eastAsia="Times New Roman" w:hAnsi="Arial" w:cs="Arial"/>
                <w:bCs/>
                <w:kern w:val="0"/>
                <w:sz w:val="20"/>
                <w:szCs w:val="20"/>
                <w:lang w:val="en-IN" w:eastAsia="en-IN"/>
              </w:rPr>
              <w:t>LMANP</w:t>
            </w:r>
          </w:p>
        </w:tc>
        <w:tc>
          <w:tcPr>
            <w:tcW w:w="1236" w:type="dxa"/>
            <w:tcMar>
              <w:top w:w="55" w:type="dxa"/>
              <w:left w:w="108" w:type="dxa"/>
              <w:bottom w:w="55" w:type="dxa"/>
              <w:right w:w="108" w:type="dxa"/>
            </w:tcMar>
          </w:tcPr>
          <w:p w14:paraId="09FD0E8A"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0.499***</w:t>
            </w:r>
          </w:p>
        </w:tc>
        <w:tc>
          <w:tcPr>
            <w:tcW w:w="1236" w:type="dxa"/>
            <w:tcMar>
              <w:top w:w="55" w:type="dxa"/>
              <w:left w:w="108" w:type="dxa"/>
              <w:bottom w:w="55" w:type="dxa"/>
              <w:right w:w="108" w:type="dxa"/>
            </w:tcMar>
          </w:tcPr>
          <w:p w14:paraId="4C23876B"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0.340***</w:t>
            </w:r>
          </w:p>
        </w:tc>
        <w:tc>
          <w:tcPr>
            <w:tcW w:w="1249" w:type="dxa"/>
            <w:tcMar>
              <w:top w:w="55" w:type="dxa"/>
              <w:left w:w="108" w:type="dxa"/>
              <w:bottom w:w="55" w:type="dxa"/>
              <w:right w:w="108" w:type="dxa"/>
            </w:tcMar>
          </w:tcPr>
          <w:p w14:paraId="0A0EF20F"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0.344***</w:t>
            </w:r>
          </w:p>
        </w:tc>
        <w:tc>
          <w:tcPr>
            <w:tcW w:w="1277" w:type="dxa"/>
            <w:tcMar>
              <w:top w:w="55" w:type="dxa"/>
              <w:left w:w="108" w:type="dxa"/>
              <w:bottom w:w="55" w:type="dxa"/>
              <w:right w:w="108" w:type="dxa"/>
            </w:tcMar>
          </w:tcPr>
          <w:p w14:paraId="7A68E949"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0.145***</w:t>
            </w:r>
          </w:p>
        </w:tc>
        <w:tc>
          <w:tcPr>
            <w:tcW w:w="1276" w:type="dxa"/>
            <w:tcMar>
              <w:top w:w="55" w:type="dxa"/>
              <w:left w:w="108" w:type="dxa"/>
              <w:bottom w:w="55" w:type="dxa"/>
              <w:right w:w="108" w:type="dxa"/>
            </w:tcMar>
          </w:tcPr>
          <w:p w14:paraId="25CA8C6F"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0.127***</w:t>
            </w:r>
          </w:p>
        </w:tc>
        <w:tc>
          <w:tcPr>
            <w:tcW w:w="1366" w:type="dxa"/>
            <w:tcMar>
              <w:top w:w="55" w:type="dxa"/>
              <w:left w:w="108" w:type="dxa"/>
              <w:bottom w:w="55" w:type="dxa"/>
              <w:right w:w="108" w:type="dxa"/>
            </w:tcMar>
          </w:tcPr>
          <w:p w14:paraId="667A3BF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0.039</w:t>
            </w:r>
          </w:p>
        </w:tc>
      </w:tr>
      <w:tr w:rsidR="005A30D7" w:rsidRPr="00EB7049" w14:paraId="6FC2BE95" w14:textId="77777777">
        <w:trPr>
          <w:jc w:val="center"/>
        </w:trPr>
        <w:tc>
          <w:tcPr>
            <w:tcW w:w="1376" w:type="dxa"/>
            <w:tcMar>
              <w:top w:w="55" w:type="dxa"/>
              <w:left w:w="108" w:type="dxa"/>
              <w:bottom w:w="55" w:type="dxa"/>
              <w:right w:w="108" w:type="dxa"/>
            </w:tcMar>
          </w:tcPr>
          <w:p w14:paraId="40E540F6"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236" w:type="dxa"/>
            <w:tcMar>
              <w:top w:w="55" w:type="dxa"/>
              <w:left w:w="108" w:type="dxa"/>
              <w:bottom w:w="55" w:type="dxa"/>
              <w:right w:w="108" w:type="dxa"/>
            </w:tcMar>
          </w:tcPr>
          <w:p w14:paraId="35F9F842"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(0.042)</w:t>
            </w:r>
          </w:p>
        </w:tc>
        <w:tc>
          <w:tcPr>
            <w:tcW w:w="1236" w:type="dxa"/>
            <w:tcMar>
              <w:top w:w="55" w:type="dxa"/>
              <w:left w:w="108" w:type="dxa"/>
              <w:bottom w:w="55" w:type="dxa"/>
              <w:right w:w="108" w:type="dxa"/>
            </w:tcMar>
          </w:tcPr>
          <w:p w14:paraId="51B5BC1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(0.035)</w:t>
            </w:r>
          </w:p>
        </w:tc>
        <w:tc>
          <w:tcPr>
            <w:tcW w:w="1249" w:type="dxa"/>
            <w:tcMar>
              <w:top w:w="55" w:type="dxa"/>
              <w:left w:w="108" w:type="dxa"/>
              <w:bottom w:w="55" w:type="dxa"/>
              <w:right w:w="108" w:type="dxa"/>
            </w:tcMar>
          </w:tcPr>
          <w:p w14:paraId="43FE90F5"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(0.035)</w:t>
            </w:r>
          </w:p>
        </w:tc>
        <w:tc>
          <w:tcPr>
            <w:tcW w:w="1277" w:type="dxa"/>
            <w:tcMar>
              <w:top w:w="55" w:type="dxa"/>
              <w:left w:w="108" w:type="dxa"/>
              <w:bottom w:w="55" w:type="dxa"/>
              <w:right w:w="108" w:type="dxa"/>
            </w:tcMar>
          </w:tcPr>
          <w:p w14:paraId="180BDA7A"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(0.038)</w:t>
            </w:r>
          </w:p>
        </w:tc>
        <w:tc>
          <w:tcPr>
            <w:tcW w:w="1276" w:type="dxa"/>
            <w:tcMar>
              <w:top w:w="55" w:type="dxa"/>
              <w:left w:w="108" w:type="dxa"/>
              <w:bottom w:w="55" w:type="dxa"/>
              <w:right w:w="108" w:type="dxa"/>
            </w:tcMar>
          </w:tcPr>
          <w:p w14:paraId="19C93B23"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(0.022)</w:t>
            </w:r>
          </w:p>
        </w:tc>
        <w:tc>
          <w:tcPr>
            <w:tcW w:w="1366" w:type="dxa"/>
            <w:tcMar>
              <w:top w:w="55" w:type="dxa"/>
              <w:left w:w="108" w:type="dxa"/>
              <w:bottom w:w="55" w:type="dxa"/>
              <w:right w:w="108" w:type="dxa"/>
            </w:tcMar>
          </w:tcPr>
          <w:p w14:paraId="57EE65C3"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(0.024)</w:t>
            </w:r>
          </w:p>
        </w:tc>
      </w:tr>
      <w:tr w:rsidR="005A30D7" w:rsidRPr="00EB7049" w14:paraId="0D6B9D6F" w14:textId="77777777">
        <w:trPr>
          <w:jc w:val="center"/>
        </w:trPr>
        <w:tc>
          <w:tcPr>
            <w:tcW w:w="1376" w:type="dxa"/>
            <w:tcMar>
              <w:top w:w="55" w:type="dxa"/>
              <w:left w:w="108" w:type="dxa"/>
              <w:bottom w:w="55" w:type="dxa"/>
              <w:right w:w="108" w:type="dxa"/>
            </w:tcMar>
          </w:tcPr>
          <w:p w14:paraId="1D1644AE" w14:textId="77777777" w:rsidR="005A30D7" w:rsidRPr="006F546F" w:rsidRDefault="0081248F" w:rsidP="006F546F">
            <w:pPr>
              <w:pStyle w:val="Standard"/>
              <w:spacing w:after="0" w:line="240" w:lineRule="auto"/>
              <w:jc w:val="both"/>
              <w:rPr>
                <w:rFonts w:ascii="Arial" w:eastAsia="Times New Roman" w:hAnsi="Arial" w:cs="Arial"/>
                <w:bCs/>
                <w:kern w:val="0"/>
                <w:sz w:val="20"/>
                <w:szCs w:val="20"/>
                <w:lang w:val="en-IN" w:eastAsia="en-IN"/>
              </w:rPr>
            </w:pPr>
            <w:r w:rsidRPr="006F546F">
              <w:rPr>
                <w:rFonts w:ascii="Arial" w:eastAsia="Times New Roman" w:hAnsi="Arial" w:cs="Arial"/>
                <w:bCs/>
                <w:kern w:val="0"/>
                <w:sz w:val="20"/>
                <w:szCs w:val="20"/>
                <w:lang w:val="en-IN" w:eastAsia="en-IN"/>
              </w:rPr>
              <w:t>LPCNDDP</w:t>
            </w:r>
          </w:p>
        </w:tc>
        <w:tc>
          <w:tcPr>
            <w:tcW w:w="1236" w:type="dxa"/>
            <w:tcMar>
              <w:top w:w="55" w:type="dxa"/>
              <w:left w:w="108" w:type="dxa"/>
              <w:bottom w:w="55" w:type="dxa"/>
              <w:right w:w="108" w:type="dxa"/>
            </w:tcMar>
          </w:tcPr>
          <w:p w14:paraId="7A558613"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1.275***</w:t>
            </w:r>
          </w:p>
        </w:tc>
        <w:tc>
          <w:tcPr>
            <w:tcW w:w="1236" w:type="dxa"/>
            <w:tcMar>
              <w:top w:w="55" w:type="dxa"/>
              <w:left w:w="108" w:type="dxa"/>
              <w:bottom w:w="55" w:type="dxa"/>
              <w:right w:w="108" w:type="dxa"/>
            </w:tcMar>
          </w:tcPr>
          <w:p w14:paraId="3E056FF4"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1.230***</w:t>
            </w:r>
          </w:p>
        </w:tc>
        <w:tc>
          <w:tcPr>
            <w:tcW w:w="1249" w:type="dxa"/>
            <w:tcMar>
              <w:top w:w="55" w:type="dxa"/>
              <w:left w:w="108" w:type="dxa"/>
              <w:bottom w:w="55" w:type="dxa"/>
              <w:right w:w="108" w:type="dxa"/>
            </w:tcMar>
          </w:tcPr>
          <w:p w14:paraId="71A4B097"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1.23***</w:t>
            </w:r>
          </w:p>
        </w:tc>
        <w:tc>
          <w:tcPr>
            <w:tcW w:w="1277" w:type="dxa"/>
            <w:tcMar>
              <w:top w:w="55" w:type="dxa"/>
              <w:left w:w="108" w:type="dxa"/>
              <w:bottom w:w="55" w:type="dxa"/>
              <w:right w:w="108" w:type="dxa"/>
            </w:tcMar>
          </w:tcPr>
          <w:p w14:paraId="56177F99"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0.945***</w:t>
            </w:r>
          </w:p>
        </w:tc>
        <w:tc>
          <w:tcPr>
            <w:tcW w:w="1276" w:type="dxa"/>
            <w:tcMar>
              <w:top w:w="55" w:type="dxa"/>
              <w:left w:w="108" w:type="dxa"/>
              <w:bottom w:w="55" w:type="dxa"/>
              <w:right w:w="108" w:type="dxa"/>
            </w:tcMar>
          </w:tcPr>
          <w:p w14:paraId="5E86FC67"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0.962***</w:t>
            </w:r>
          </w:p>
        </w:tc>
        <w:tc>
          <w:tcPr>
            <w:tcW w:w="1366" w:type="dxa"/>
            <w:tcMar>
              <w:top w:w="55" w:type="dxa"/>
              <w:left w:w="108" w:type="dxa"/>
              <w:bottom w:w="55" w:type="dxa"/>
              <w:right w:w="108" w:type="dxa"/>
            </w:tcMar>
          </w:tcPr>
          <w:p w14:paraId="7B8DE3D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0.225**</w:t>
            </w:r>
          </w:p>
        </w:tc>
      </w:tr>
      <w:tr w:rsidR="005A30D7" w:rsidRPr="00EB7049" w14:paraId="2871EAE7" w14:textId="77777777">
        <w:trPr>
          <w:jc w:val="center"/>
        </w:trPr>
        <w:tc>
          <w:tcPr>
            <w:tcW w:w="1376" w:type="dxa"/>
            <w:tcMar>
              <w:top w:w="55" w:type="dxa"/>
              <w:left w:w="108" w:type="dxa"/>
              <w:bottom w:w="55" w:type="dxa"/>
              <w:right w:w="108" w:type="dxa"/>
            </w:tcMar>
          </w:tcPr>
          <w:p w14:paraId="74836072"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236" w:type="dxa"/>
            <w:tcMar>
              <w:top w:w="55" w:type="dxa"/>
              <w:left w:w="108" w:type="dxa"/>
              <w:bottom w:w="55" w:type="dxa"/>
              <w:right w:w="108" w:type="dxa"/>
            </w:tcMar>
          </w:tcPr>
          <w:p w14:paraId="6F17ED4C"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(0.022)</w:t>
            </w:r>
          </w:p>
        </w:tc>
        <w:tc>
          <w:tcPr>
            <w:tcW w:w="1236" w:type="dxa"/>
            <w:tcMar>
              <w:top w:w="55" w:type="dxa"/>
              <w:left w:w="108" w:type="dxa"/>
              <w:bottom w:w="55" w:type="dxa"/>
              <w:right w:w="108" w:type="dxa"/>
            </w:tcMar>
          </w:tcPr>
          <w:p w14:paraId="03F76E6E"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(0.025)</w:t>
            </w:r>
          </w:p>
        </w:tc>
        <w:tc>
          <w:tcPr>
            <w:tcW w:w="1249" w:type="dxa"/>
            <w:tcMar>
              <w:top w:w="55" w:type="dxa"/>
              <w:left w:w="108" w:type="dxa"/>
              <w:bottom w:w="55" w:type="dxa"/>
              <w:right w:w="108" w:type="dxa"/>
            </w:tcMar>
          </w:tcPr>
          <w:p w14:paraId="46542224"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(0.023)</w:t>
            </w:r>
          </w:p>
        </w:tc>
        <w:tc>
          <w:tcPr>
            <w:tcW w:w="1277" w:type="dxa"/>
            <w:tcMar>
              <w:top w:w="55" w:type="dxa"/>
              <w:left w:w="108" w:type="dxa"/>
              <w:bottom w:w="55" w:type="dxa"/>
              <w:right w:w="108" w:type="dxa"/>
            </w:tcMar>
          </w:tcPr>
          <w:p w14:paraId="24AE910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(0.065)</w:t>
            </w:r>
          </w:p>
        </w:tc>
        <w:tc>
          <w:tcPr>
            <w:tcW w:w="1276" w:type="dxa"/>
            <w:tcMar>
              <w:top w:w="55" w:type="dxa"/>
              <w:left w:w="108" w:type="dxa"/>
              <w:bottom w:w="55" w:type="dxa"/>
              <w:right w:w="108" w:type="dxa"/>
            </w:tcMar>
          </w:tcPr>
          <w:p w14:paraId="57FF6E9F"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(0.026)</w:t>
            </w:r>
          </w:p>
        </w:tc>
        <w:tc>
          <w:tcPr>
            <w:tcW w:w="1366" w:type="dxa"/>
            <w:tcMar>
              <w:top w:w="55" w:type="dxa"/>
              <w:left w:w="108" w:type="dxa"/>
              <w:bottom w:w="55" w:type="dxa"/>
              <w:right w:w="108" w:type="dxa"/>
            </w:tcMar>
          </w:tcPr>
          <w:p w14:paraId="7D43ADD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(0.089)</w:t>
            </w:r>
          </w:p>
        </w:tc>
      </w:tr>
      <w:tr w:rsidR="005A30D7" w:rsidRPr="00EB7049" w14:paraId="08BA782B" w14:textId="77777777">
        <w:trPr>
          <w:jc w:val="center"/>
        </w:trPr>
        <w:tc>
          <w:tcPr>
            <w:tcW w:w="1376" w:type="dxa"/>
            <w:tcMar>
              <w:top w:w="55" w:type="dxa"/>
              <w:left w:w="108" w:type="dxa"/>
              <w:bottom w:w="55" w:type="dxa"/>
              <w:right w:w="108" w:type="dxa"/>
            </w:tcMar>
          </w:tcPr>
          <w:p w14:paraId="354D5DE2" w14:textId="77777777" w:rsidR="005A30D7" w:rsidRPr="006F546F" w:rsidRDefault="0081248F" w:rsidP="006F546F">
            <w:pPr>
              <w:pStyle w:val="Standard"/>
              <w:spacing w:after="0" w:line="240" w:lineRule="auto"/>
              <w:jc w:val="both"/>
              <w:rPr>
                <w:rFonts w:ascii="Arial" w:eastAsia="Times New Roman" w:hAnsi="Arial" w:cs="Arial"/>
                <w:bCs/>
                <w:kern w:val="0"/>
                <w:sz w:val="20"/>
                <w:szCs w:val="20"/>
                <w:lang w:val="en-IN" w:eastAsia="en-IN"/>
              </w:rPr>
            </w:pPr>
            <w:r w:rsidRPr="006F546F">
              <w:rPr>
                <w:rFonts w:ascii="Arial" w:eastAsia="Times New Roman" w:hAnsi="Arial" w:cs="Arial"/>
                <w:bCs/>
                <w:kern w:val="0"/>
                <w:sz w:val="20"/>
                <w:szCs w:val="20"/>
                <w:lang w:val="en-IN" w:eastAsia="en-IN"/>
              </w:rPr>
              <w:t>LPOPGR</w:t>
            </w:r>
          </w:p>
        </w:tc>
        <w:tc>
          <w:tcPr>
            <w:tcW w:w="1236" w:type="dxa"/>
            <w:tcMar>
              <w:top w:w="55" w:type="dxa"/>
              <w:left w:w="108" w:type="dxa"/>
              <w:bottom w:w="55" w:type="dxa"/>
              <w:right w:w="108" w:type="dxa"/>
            </w:tcMar>
          </w:tcPr>
          <w:p w14:paraId="74178941"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-0.178</w:t>
            </w:r>
          </w:p>
        </w:tc>
        <w:tc>
          <w:tcPr>
            <w:tcW w:w="1236" w:type="dxa"/>
            <w:tcMar>
              <w:top w:w="55" w:type="dxa"/>
              <w:left w:w="108" w:type="dxa"/>
              <w:bottom w:w="55" w:type="dxa"/>
              <w:right w:w="108" w:type="dxa"/>
            </w:tcMar>
          </w:tcPr>
          <w:p w14:paraId="45F980DE"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-0.121</w:t>
            </w:r>
          </w:p>
        </w:tc>
        <w:tc>
          <w:tcPr>
            <w:tcW w:w="1249" w:type="dxa"/>
            <w:tcMar>
              <w:top w:w="55" w:type="dxa"/>
              <w:left w:w="108" w:type="dxa"/>
              <w:bottom w:w="55" w:type="dxa"/>
              <w:right w:w="108" w:type="dxa"/>
            </w:tcMar>
          </w:tcPr>
          <w:p w14:paraId="0FD1A10A"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-0.013</w:t>
            </w:r>
          </w:p>
        </w:tc>
        <w:tc>
          <w:tcPr>
            <w:tcW w:w="1277" w:type="dxa"/>
            <w:tcMar>
              <w:top w:w="55" w:type="dxa"/>
              <w:left w:w="108" w:type="dxa"/>
              <w:bottom w:w="55" w:type="dxa"/>
              <w:right w:w="108" w:type="dxa"/>
            </w:tcMar>
          </w:tcPr>
          <w:p w14:paraId="781BAEAF"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-0.034</w:t>
            </w:r>
          </w:p>
        </w:tc>
        <w:tc>
          <w:tcPr>
            <w:tcW w:w="1276" w:type="dxa"/>
            <w:tcMar>
              <w:top w:w="55" w:type="dxa"/>
              <w:left w:w="108" w:type="dxa"/>
              <w:bottom w:w="55" w:type="dxa"/>
              <w:right w:w="108" w:type="dxa"/>
            </w:tcMar>
          </w:tcPr>
          <w:p w14:paraId="5909564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-0.027**</w:t>
            </w:r>
          </w:p>
        </w:tc>
        <w:tc>
          <w:tcPr>
            <w:tcW w:w="1366" w:type="dxa"/>
            <w:tcMar>
              <w:top w:w="55" w:type="dxa"/>
              <w:left w:w="108" w:type="dxa"/>
              <w:bottom w:w="55" w:type="dxa"/>
              <w:right w:w="108" w:type="dxa"/>
            </w:tcMar>
          </w:tcPr>
          <w:p w14:paraId="5640A302"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-0.044***</w:t>
            </w:r>
          </w:p>
        </w:tc>
      </w:tr>
      <w:tr w:rsidR="005A30D7" w:rsidRPr="00EB7049" w14:paraId="77B408BC" w14:textId="77777777">
        <w:trPr>
          <w:jc w:val="center"/>
        </w:trPr>
        <w:tc>
          <w:tcPr>
            <w:tcW w:w="1376" w:type="dxa"/>
            <w:tcMar>
              <w:top w:w="55" w:type="dxa"/>
              <w:left w:w="108" w:type="dxa"/>
              <w:bottom w:w="55" w:type="dxa"/>
              <w:right w:w="108" w:type="dxa"/>
            </w:tcMar>
          </w:tcPr>
          <w:p w14:paraId="74A0C76F"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236" w:type="dxa"/>
            <w:tcMar>
              <w:top w:w="55" w:type="dxa"/>
              <w:left w:w="108" w:type="dxa"/>
              <w:bottom w:w="55" w:type="dxa"/>
              <w:right w:w="108" w:type="dxa"/>
            </w:tcMar>
          </w:tcPr>
          <w:p w14:paraId="570FE7E8"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(0.040)</w:t>
            </w:r>
          </w:p>
        </w:tc>
        <w:tc>
          <w:tcPr>
            <w:tcW w:w="1236" w:type="dxa"/>
            <w:tcMar>
              <w:top w:w="55" w:type="dxa"/>
              <w:left w:w="108" w:type="dxa"/>
              <w:bottom w:w="55" w:type="dxa"/>
              <w:right w:w="108" w:type="dxa"/>
            </w:tcMar>
          </w:tcPr>
          <w:p w14:paraId="18408F6B"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(0.026)</w:t>
            </w:r>
          </w:p>
        </w:tc>
        <w:tc>
          <w:tcPr>
            <w:tcW w:w="1249" w:type="dxa"/>
            <w:tcMar>
              <w:top w:w="55" w:type="dxa"/>
              <w:left w:w="108" w:type="dxa"/>
              <w:bottom w:w="55" w:type="dxa"/>
              <w:right w:w="108" w:type="dxa"/>
            </w:tcMar>
          </w:tcPr>
          <w:p w14:paraId="7FCAB111"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(0.026)</w:t>
            </w:r>
          </w:p>
        </w:tc>
        <w:tc>
          <w:tcPr>
            <w:tcW w:w="1277" w:type="dxa"/>
            <w:tcMar>
              <w:top w:w="55" w:type="dxa"/>
              <w:left w:w="108" w:type="dxa"/>
              <w:bottom w:w="55" w:type="dxa"/>
              <w:right w:w="108" w:type="dxa"/>
            </w:tcMar>
          </w:tcPr>
          <w:p w14:paraId="1DF7D808"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(0.023)</w:t>
            </w:r>
          </w:p>
        </w:tc>
        <w:tc>
          <w:tcPr>
            <w:tcW w:w="1276" w:type="dxa"/>
            <w:tcMar>
              <w:top w:w="55" w:type="dxa"/>
              <w:left w:w="108" w:type="dxa"/>
              <w:bottom w:w="55" w:type="dxa"/>
              <w:right w:w="108" w:type="dxa"/>
            </w:tcMar>
          </w:tcPr>
          <w:p w14:paraId="48277250"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(0.012)</w:t>
            </w:r>
          </w:p>
        </w:tc>
        <w:tc>
          <w:tcPr>
            <w:tcW w:w="1366" w:type="dxa"/>
            <w:tcMar>
              <w:top w:w="55" w:type="dxa"/>
              <w:left w:w="108" w:type="dxa"/>
              <w:bottom w:w="55" w:type="dxa"/>
              <w:right w:w="108" w:type="dxa"/>
            </w:tcMar>
          </w:tcPr>
          <w:p w14:paraId="2C5944E0" w14:textId="77777777" w:rsidR="005A30D7" w:rsidRPr="006F546F" w:rsidRDefault="0081248F" w:rsidP="006F546F">
            <w:pPr>
              <w:pStyle w:val="Standard"/>
              <w:spacing w:after="0" w:line="240" w:lineRule="auto"/>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 xml:space="preserve">   (0.012)</w:t>
            </w:r>
          </w:p>
        </w:tc>
      </w:tr>
      <w:tr w:rsidR="005A30D7" w:rsidRPr="00EB7049" w14:paraId="2A55B1B7" w14:textId="77777777">
        <w:trPr>
          <w:trHeight w:val="305"/>
          <w:jc w:val="center"/>
        </w:trPr>
        <w:tc>
          <w:tcPr>
            <w:tcW w:w="1376" w:type="dxa"/>
            <w:tcMar>
              <w:top w:w="55" w:type="dxa"/>
              <w:left w:w="108" w:type="dxa"/>
              <w:bottom w:w="55" w:type="dxa"/>
              <w:right w:w="108" w:type="dxa"/>
            </w:tcMar>
          </w:tcPr>
          <w:p w14:paraId="50BFF973" w14:textId="77777777" w:rsidR="005A30D7" w:rsidRPr="006F546F" w:rsidRDefault="0081248F" w:rsidP="006F546F">
            <w:pPr>
              <w:pStyle w:val="Standard"/>
              <w:spacing w:after="0" w:line="240" w:lineRule="auto"/>
              <w:jc w:val="both"/>
              <w:rPr>
                <w:rFonts w:ascii="Arial" w:eastAsia="Times New Roman" w:hAnsi="Arial" w:cs="Arial"/>
                <w:bCs/>
                <w:kern w:val="0"/>
                <w:sz w:val="20"/>
                <w:szCs w:val="20"/>
                <w:lang w:val="en-IN" w:eastAsia="en-IN"/>
              </w:rPr>
            </w:pPr>
            <w:r w:rsidRPr="006F546F">
              <w:rPr>
                <w:rFonts w:ascii="Arial" w:eastAsia="Times New Roman" w:hAnsi="Arial" w:cs="Arial"/>
                <w:bCs/>
                <w:kern w:val="0"/>
                <w:sz w:val="20"/>
                <w:szCs w:val="20"/>
                <w:lang w:val="en-IN" w:eastAsia="en-IN"/>
              </w:rPr>
              <w:t>C</w:t>
            </w:r>
          </w:p>
        </w:tc>
        <w:tc>
          <w:tcPr>
            <w:tcW w:w="1236" w:type="dxa"/>
            <w:tcMar>
              <w:top w:w="55" w:type="dxa"/>
              <w:left w:w="108" w:type="dxa"/>
              <w:bottom w:w="55" w:type="dxa"/>
              <w:right w:w="108" w:type="dxa"/>
            </w:tcMar>
          </w:tcPr>
          <w:p w14:paraId="6FD19301"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-17.534***</w:t>
            </w:r>
          </w:p>
        </w:tc>
        <w:tc>
          <w:tcPr>
            <w:tcW w:w="1236" w:type="dxa"/>
            <w:tcMar>
              <w:top w:w="55" w:type="dxa"/>
              <w:left w:w="108" w:type="dxa"/>
              <w:bottom w:w="55" w:type="dxa"/>
              <w:right w:w="108" w:type="dxa"/>
            </w:tcMar>
          </w:tcPr>
          <w:p w14:paraId="56019296"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-17.368***</w:t>
            </w:r>
          </w:p>
        </w:tc>
        <w:tc>
          <w:tcPr>
            <w:tcW w:w="1249" w:type="dxa"/>
            <w:tcMar>
              <w:top w:w="55" w:type="dxa"/>
              <w:left w:w="108" w:type="dxa"/>
              <w:bottom w:w="55" w:type="dxa"/>
              <w:right w:w="108" w:type="dxa"/>
            </w:tcMar>
          </w:tcPr>
          <w:p w14:paraId="15615CD6"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-17.345***</w:t>
            </w:r>
          </w:p>
        </w:tc>
        <w:tc>
          <w:tcPr>
            <w:tcW w:w="1277" w:type="dxa"/>
            <w:tcMar>
              <w:top w:w="55" w:type="dxa"/>
              <w:left w:w="108" w:type="dxa"/>
              <w:bottom w:w="55" w:type="dxa"/>
              <w:right w:w="108" w:type="dxa"/>
            </w:tcMar>
          </w:tcPr>
          <w:p w14:paraId="53333723"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-14.316***</w:t>
            </w:r>
          </w:p>
        </w:tc>
        <w:tc>
          <w:tcPr>
            <w:tcW w:w="1276" w:type="dxa"/>
            <w:tcMar>
              <w:top w:w="55" w:type="dxa"/>
              <w:left w:w="108" w:type="dxa"/>
              <w:bottom w:w="55" w:type="dxa"/>
              <w:right w:w="108" w:type="dxa"/>
            </w:tcMar>
          </w:tcPr>
          <w:p w14:paraId="6ED718CC"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-14.783***</w:t>
            </w:r>
          </w:p>
        </w:tc>
        <w:tc>
          <w:tcPr>
            <w:tcW w:w="1366" w:type="dxa"/>
            <w:tcMar>
              <w:top w:w="55" w:type="dxa"/>
              <w:left w:w="108" w:type="dxa"/>
              <w:bottom w:w="55" w:type="dxa"/>
              <w:right w:w="108" w:type="dxa"/>
            </w:tcMar>
          </w:tcPr>
          <w:p w14:paraId="4CDF3734" w14:textId="77777777" w:rsidR="005A30D7" w:rsidRPr="006F546F" w:rsidRDefault="005A30D7" w:rsidP="006F546F">
            <w:pPr>
              <w:pStyle w:val="Standard"/>
              <w:spacing w:after="0" w:line="240" w:lineRule="auto"/>
              <w:jc w:val="center"/>
              <w:rPr>
                <w:rFonts w:ascii="Arial" w:eastAsia="Times New Roman" w:hAnsi="Arial" w:cs="Arial"/>
                <w:kern w:val="0"/>
                <w:sz w:val="20"/>
                <w:szCs w:val="20"/>
                <w:lang w:val="en-IN" w:eastAsia="en-IN"/>
              </w:rPr>
            </w:pPr>
          </w:p>
        </w:tc>
      </w:tr>
      <w:tr w:rsidR="005A30D7" w:rsidRPr="00EB7049" w14:paraId="50C47082" w14:textId="77777777">
        <w:trPr>
          <w:jc w:val="center"/>
        </w:trPr>
        <w:tc>
          <w:tcPr>
            <w:tcW w:w="1376" w:type="dxa"/>
            <w:tcBorders>
              <w:bottom w:val="single" w:sz="4" w:space="0" w:color="000000"/>
            </w:tcBorders>
            <w:tcMar>
              <w:top w:w="55" w:type="dxa"/>
              <w:left w:w="108" w:type="dxa"/>
              <w:bottom w:w="55" w:type="dxa"/>
              <w:right w:w="108" w:type="dxa"/>
            </w:tcMar>
          </w:tcPr>
          <w:p w14:paraId="348F7B91" w14:textId="77777777" w:rsidR="005A30D7" w:rsidRPr="006F546F" w:rsidRDefault="005A30D7" w:rsidP="006F546F">
            <w:pPr>
              <w:pStyle w:val="Standard"/>
              <w:spacing w:after="0" w:line="240" w:lineRule="auto"/>
              <w:jc w:val="both"/>
              <w:rPr>
                <w:rFonts w:ascii="Arial" w:eastAsia="Times New Roman" w:hAnsi="Arial" w:cs="Arial"/>
                <w:kern w:val="0"/>
                <w:sz w:val="20"/>
                <w:szCs w:val="20"/>
                <w:lang w:val="en-IN" w:eastAsia="en-IN"/>
              </w:rPr>
            </w:pPr>
          </w:p>
        </w:tc>
        <w:tc>
          <w:tcPr>
            <w:tcW w:w="1236" w:type="dxa"/>
            <w:tcBorders>
              <w:bottom w:val="single" w:sz="4" w:space="0" w:color="000000"/>
            </w:tcBorders>
            <w:tcMar>
              <w:top w:w="55" w:type="dxa"/>
              <w:left w:w="108" w:type="dxa"/>
              <w:bottom w:w="55" w:type="dxa"/>
              <w:right w:w="108" w:type="dxa"/>
            </w:tcMar>
          </w:tcPr>
          <w:p w14:paraId="7F844B74"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(0.258)</w:t>
            </w:r>
          </w:p>
        </w:tc>
        <w:tc>
          <w:tcPr>
            <w:tcW w:w="1236" w:type="dxa"/>
            <w:tcBorders>
              <w:bottom w:val="single" w:sz="4" w:space="0" w:color="000000"/>
            </w:tcBorders>
            <w:tcMar>
              <w:top w:w="55" w:type="dxa"/>
              <w:left w:w="108" w:type="dxa"/>
              <w:bottom w:w="55" w:type="dxa"/>
              <w:right w:w="108" w:type="dxa"/>
            </w:tcMar>
          </w:tcPr>
          <w:p w14:paraId="114FA2EB"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(0.225)</w:t>
            </w:r>
          </w:p>
        </w:tc>
        <w:tc>
          <w:tcPr>
            <w:tcW w:w="1249" w:type="dxa"/>
            <w:tcBorders>
              <w:bottom w:val="single" w:sz="4" w:space="0" w:color="000000"/>
            </w:tcBorders>
            <w:tcMar>
              <w:top w:w="55" w:type="dxa"/>
              <w:left w:w="108" w:type="dxa"/>
              <w:bottom w:w="55" w:type="dxa"/>
              <w:right w:w="108" w:type="dxa"/>
            </w:tcMar>
          </w:tcPr>
          <w:p w14:paraId="3729DBED"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(0.233)</w:t>
            </w:r>
          </w:p>
        </w:tc>
        <w:tc>
          <w:tcPr>
            <w:tcW w:w="1277" w:type="dxa"/>
            <w:tcBorders>
              <w:bottom w:val="single" w:sz="4" w:space="0" w:color="000000"/>
            </w:tcBorders>
            <w:tcMar>
              <w:top w:w="55" w:type="dxa"/>
              <w:left w:w="108" w:type="dxa"/>
              <w:bottom w:w="55" w:type="dxa"/>
              <w:right w:w="108" w:type="dxa"/>
            </w:tcMar>
          </w:tcPr>
          <w:p w14:paraId="5BE6E2AC"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(0.738)</w:t>
            </w:r>
          </w:p>
        </w:tc>
        <w:tc>
          <w:tcPr>
            <w:tcW w:w="1276" w:type="dxa"/>
            <w:tcBorders>
              <w:bottom w:val="single" w:sz="4" w:space="0" w:color="000000"/>
            </w:tcBorders>
            <w:tcMar>
              <w:top w:w="55" w:type="dxa"/>
              <w:left w:w="108" w:type="dxa"/>
              <w:bottom w:w="55" w:type="dxa"/>
              <w:right w:w="108" w:type="dxa"/>
            </w:tcMar>
          </w:tcPr>
          <w:p w14:paraId="4392B694" w14:textId="77777777" w:rsidR="005A30D7" w:rsidRPr="006F546F" w:rsidRDefault="0081248F" w:rsidP="006F546F">
            <w:pPr>
              <w:pStyle w:val="Standard"/>
              <w:spacing w:after="0" w:line="240" w:lineRule="auto"/>
              <w:jc w:val="center"/>
              <w:rPr>
                <w:rFonts w:ascii="Arial" w:eastAsia="Times New Roman" w:hAnsi="Arial" w:cs="Arial"/>
                <w:kern w:val="0"/>
                <w:sz w:val="20"/>
                <w:szCs w:val="20"/>
                <w:lang w:val="en-IN" w:eastAsia="en-IN"/>
              </w:rPr>
            </w:pPr>
            <w:r w:rsidRPr="006F546F">
              <w:rPr>
                <w:rFonts w:ascii="Arial" w:eastAsia="Times New Roman" w:hAnsi="Arial" w:cs="Arial"/>
                <w:kern w:val="0"/>
                <w:sz w:val="20"/>
                <w:szCs w:val="20"/>
                <w:lang w:val="en-IN" w:eastAsia="en-IN"/>
              </w:rPr>
              <w:t>(0.277)</w:t>
            </w:r>
          </w:p>
        </w:tc>
        <w:tc>
          <w:tcPr>
            <w:tcW w:w="1366" w:type="dxa"/>
            <w:tcBorders>
              <w:bottom w:val="single" w:sz="4" w:space="0" w:color="000000"/>
            </w:tcBorders>
            <w:tcMar>
              <w:top w:w="55" w:type="dxa"/>
              <w:left w:w="108" w:type="dxa"/>
              <w:bottom w:w="55" w:type="dxa"/>
              <w:right w:w="108" w:type="dxa"/>
            </w:tcMar>
          </w:tcPr>
          <w:p w14:paraId="6E731A4A" w14:textId="77777777" w:rsidR="005A30D7" w:rsidRPr="006F546F" w:rsidRDefault="005A30D7" w:rsidP="006F546F">
            <w:pPr>
              <w:pStyle w:val="Standard"/>
              <w:spacing w:after="0" w:line="240" w:lineRule="auto"/>
              <w:jc w:val="center"/>
              <w:rPr>
                <w:rFonts w:ascii="Arial" w:eastAsia="Times New Roman" w:hAnsi="Arial" w:cs="Arial"/>
                <w:kern w:val="0"/>
                <w:sz w:val="20"/>
                <w:szCs w:val="20"/>
                <w:lang w:val="en-IN" w:eastAsia="en-IN"/>
              </w:rPr>
            </w:pPr>
          </w:p>
        </w:tc>
      </w:tr>
    </w:tbl>
    <w:p w14:paraId="1B1D0D29" w14:textId="7B564F5C" w:rsidR="005A30D7" w:rsidRDefault="0081248F">
      <w:pPr>
        <w:pStyle w:val="Standard"/>
        <w:spacing w:line="240" w:lineRule="auto"/>
        <w:jc w:val="center"/>
        <w:rPr>
          <w:sz w:val="20"/>
          <w:szCs w:val="20"/>
        </w:rPr>
      </w:pPr>
      <w:r>
        <w:rPr>
          <w:rFonts w:ascii="Arial" w:hAnsi="Arial" w:cs="Arial"/>
          <w:i/>
          <w:iCs/>
          <w:sz w:val="20"/>
          <w:szCs w:val="20"/>
          <w:lang w:val="en-IN" w:eastAsia="en-IN"/>
        </w:rPr>
        <w:t xml:space="preserve">Note. Standard errors are given in </w:t>
      </w:r>
      <w:r w:rsidR="008078DE">
        <w:rPr>
          <w:rFonts w:ascii="Arial" w:hAnsi="Arial" w:cs="Arial"/>
          <w:i/>
          <w:iCs/>
          <w:sz w:val="20"/>
          <w:szCs w:val="20"/>
          <w:lang w:val="en-IN" w:eastAsia="en-IN"/>
        </w:rPr>
        <w:t>parentheses. *</w:t>
      </w:r>
      <w:r>
        <w:rPr>
          <w:rFonts w:ascii="Arial" w:hAnsi="Arial" w:cs="Arial"/>
          <w:i/>
          <w:iCs/>
          <w:sz w:val="20"/>
          <w:szCs w:val="20"/>
          <w:lang w:val="en-IN" w:eastAsia="en-IN"/>
        </w:rPr>
        <w:t>**, ** and * represents significant at 1, 5 and 10 per cent level of significance, respectively</w:t>
      </w:r>
      <w:r>
        <w:rPr>
          <w:rFonts w:ascii="Arial" w:eastAsia="Times New Roman" w:hAnsi="Arial" w:cs="Arial"/>
          <w:i/>
          <w:iCs/>
          <w:kern w:val="0"/>
          <w:sz w:val="20"/>
          <w:szCs w:val="20"/>
          <w:lang w:val="en-IN" w:eastAsia="en-IN"/>
        </w:rPr>
        <w:t>. Source. Calculated by authors</w:t>
      </w:r>
      <w:r>
        <w:rPr>
          <w:rFonts w:ascii="Arial" w:eastAsia="Times New Roman" w:hAnsi="Arial" w:cs="Arial"/>
          <w:kern w:val="0"/>
          <w:sz w:val="20"/>
          <w:szCs w:val="20"/>
          <w:lang w:val="en-IN" w:eastAsia="en-IN"/>
        </w:rPr>
        <w:t>.</w:t>
      </w:r>
    </w:p>
    <w:p w14:paraId="66E872D4" w14:textId="77777777" w:rsidR="005A30D7" w:rsidRDefault="0081248F">
      <w:pPr>
        <w:pStyle w:val="Standard"/>
        <w:spacing w:before="280" w:after="280" w:line="240" w:lineRule="auto"/>
        <w:jc w:val="center"/>
        <w:rPr>
          <w:rFonts w:ascii="Times New Roman" w:eastAsia="Times New Roman" w:hAnsi="Times New Roman" w:cs="Times New Roman"/>
          <w:b/>
          <w:bCs/>
          <w:kern w:val="0"/>
          <w:lang w:val="en-IN" w:eastAsia="en-IN"/>
        </w:rPr>
      </w:pPr>
      <w:r>
        <w:rPr>
          <w:rFonts w:ascii="Times New Roman" w:eastAsia="Times New Roman" w:hAnsi="Times New Roman" w:cs="Times New Roman"/>
          <w:b/>
          <w:bCs/>
          <w:kern w:val="0"/>
          <w:lang w:val="en-IN" w:eastAsia="en-IN"/>
        </w:rPr>
        <w:t>Table 3: Estimation results for deposit penetration</w:t>
      </w:r>
    </w:p>
    <w:tbl>
      <w:tblPr>
        <w:tblW w:w="9209" w:type="dxa"/>
        <w:tblInd w:w="5" w:type="dxa"/>
        <w:tblLayout w:type="fixed"/>
        <w:tblCellMar>
          <w:left w:w="10" w:type="dxa"/>
          <w:right w:w="10" w:type="dxa"/>
        </w:tblCellMar>
        <w:tblLook w:val="0000" w:firstRow="0" w:lastRow="0" w:firstColumn="0" w:lastColumn="0" w:noHBand="0" w:noVBand="0"/>
      </w:tblPr>
      <w:tblGrid>
        <w:gridCol w:w="1362"/>
        <w:gridCol w:w="1395"/>
        <w:gridCol w:w="1360"/>
        <w:gridCol w:w="1291"/>
        <w:gridCol w:w="1236"/>
        <w:gridCol w:w="1236"/>
        <w:gridCol w:w="1329"/>
      </w:tblGrid>
      <w:tr w:rsidR="005A30D7" w:rsidRPr="006F546F" w14:paraId="14A45BA4" w14:textId="77777777">
        <w:tc>
          <w:tcPr>
            <w:tcW w:w="9209" w:type="dxa"/>
            <w:gridSpan w:val="7"/>
            <w:tcBorders>
              <w:top w:val="single" w:sz="4" w:space="0" w:color="000000"/>
              <w:bottom w:val="single" w:sz="4" w:space="0" w:color="000000"/>
            </w:tcBorders>
            <w:tcMar>
              <w:top w:w="55" w:type="dxa"/>
              <w:left w:w="108" w:type="dxa"/>
              <w:bottom w:w="55" w:type="dxa"/>
              <w:right w:w="108" w:type="dxa"/>
            </w:tcMar>
          </w:tcPr>
          <w:p w14:paraId="7E8A246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hAnsi="Arial" w:cs="Arial"/>
                <w:b/>
                <w:bCs/>
                <w:sz w:val="20"/>
                <w:szCs w:val="20"/>
                <w:lang w:val="en-IN"/>
              </w:rPr>
              <w:t>Dependent Variable is LPCDP</w:t>
            </w:r>
          </w:p>
        </w:tc>
      </w:tr>
      <w:tr w:rsidR="005A30D7" w:rsidRPr="006F546F" w14:paraId="5A13A6E6" w14:textId="77777777">
        <w:tc>
          <w:tcPr>
            <w:tcW w:w="1362" w:type="dxa"/>
            <w:tcBorders>
              <w:bottom w:val="single" w:sz="4" w:space="0" w:color="000000"/>
            </w:tcBorders>
            <w:tcMar>
              <w:top w:w="55" w:type="dxa"/>
              <w:left w:w="108" w:type="dxa"/>
              <w:bottom w:w="55" w:type="dxa"/>
              <w:right w:w="108" w:type="dxa"/>
            </w:tcMar>
          </w:tcPr>
          <w:p w14:paraId="005C67BE" w14:textId="77777777" w:rsidR="005A30D7" w:rsidRPr="006F546F" w:rsidRDefault="005A30D7" w:rsidP="006F546F">
            <w:pPr>
              <w:pStyle w:val="Standard"/>
              <w:spacing w:after="0" w:line="240" w:lineRule="auto"/>
              <w:jc w:val="both"/>
              <w:rPr>
                <w:rFonts w:ascii="Arial" w:eastAsia="Times New Roman" w:hAnsi="Arial" w:cs="Arial"/>
                <w:kern w:val="0"/>
                <w:sz w:val="20"/>
                <w:szCs w:val="20"/>
                <w:lang w:val="en-IN" w:eastAsia="en-IN"/>
              </w:rPr>
            </w:pPr>
          </w:p>
        </w:tc>
        <w:tc>
          <w:tcPr>
            <w:tcW w:w="1395" w:type="dxa"/>
            <w:tcBorders>
              <w:bottom w:val="single" w:sz="4" w:space="0" w:color="000000"/>
            </w:tcBorders>
            <w:tcMar>
              <w:top w:w="55" w:type="dxa"/>
              <w:left w:w="108" w:type="dxa"/>
              <w:bottom w:w="55" w:type="dxa"/>
              <w:right w:w="108" w:type="dxa"/>
            </w:tcMar>
          </w:tcPr>
          <w:p w14:paraId="74048A3C"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b/>
                <w:bCs/>
                <w:kern w:val="0"/>
                <w:sz w:val="20"/>
                <w:szCs w:val="20"/>
                <w:lang w:val="en-IN" w:eastAsia="en-IN"/>
              </w:rPr>
              <w:t>POLS</w:t>
            </w:r>
          </w:p>
        </w:tc>
        <w:tc>
          <w:tcPr>
            <w:tcW w:w="1360" w:type="dxa"/>
            <w:tcBorders>
              <w:bottom w:val="single" w:sz="4" w:space="0" w:color="000000"/>
            </w:tcBorders>
            <w:tcMar>
              <w:top w:w="55" w:type="dxa"/>
              <w:left w:w="108" w:type="dxa"/>
              <w:bottom w:w="55" w:type="dxa"/>
              <w:right w:w="108" w:type="dxa"/>
            </w:tcMar>
          </w:tcPr>
          <w:p w14:paraId="6D381210"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b/>
                <w:bCs/>
                <w:kern w:val="0"/>
                <w:sz w:val="20"/>
                <w:szCs w:val="20"/>
                <w:lang w:val="en-IN" w:eastAsia="en-IN"/>
              </w:rPr>
              <w:t>FEM</w:t>
            </w:r>
          </w:p>
        </w:tc>
        <w:tc>
          <w:tcPr>
            <w:tcW w:w="1291" w:type="dxa"/>
            <w:tcBorders>
              <w:bottom w:val="single" w:sz="4" w:space="0" w:color="000000"/>
            </w:tcBorders>
            <w:tcMar>
              <w:top w:w="55" w:type="dxa"/>
              <w:left w:w="108" w:type="dxa"/>
              <w:bottom w:w="55" w:type="dxa"/>
              <w:right w:w="108" w:type="dxa"/>
            </w:tcMar>
          </w:tcPr>
          <w:p w14:paraId="1B19D831"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b/>
                <w:bCs/>
                <w:kern w:val="0"/>
                <w:sz w:val="20"/>
                <w:szCs w:val="20"/>
                <w:lang w:val="en-IN" w:eastAsia="en-IN"/>
              </w:rPr>
              <w:t>REM</w:t>
            </w:r>
          </w:p>
        </w:tc>
        <w:tc>
          <w:tcPr>
            <w:tcW w:w="1236" w:type="dxa"/>
            <w:tcBorders>
              <w:bottom w:val="single" w:sz="4" w:space="0" w:color="000000"/>
            </w:tcBorders>
            <w:tcMar>
              <w:top w:w="55" w:type="dxa"/>
              <w:left w:w="108" w:type="dxa"/>
              <w:bottom w:w="55" w:type="dxa"/>
              <w:right w:w="108" w:type="dxa"/>
            </w:tcMar>
          </w:tcPr>
          <w:p w14:paraId="49878453"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b/>
                <w:bCs/>
                <w:kern w:val="0"/>
                <w:sz w:val="20"/>
                <w:szCs w:val="20"/>
                <w:lang w:val="en-IN" w:eastAsia="en-IN"/>
              </w:rPr>
              <w:t>PCSE</w:t>
            </w:r>
          </w:p>
        </w:tc>
        <w:tc>
          <w:tcPr>
            <w:tcW w:w="1236" w:type="dxa"/>
            <w:tcBorders>
              <w:bottom w:val="single" w:sz="4" w:space="0" w:color="000000"/>
            </w:tcBorders>
            <w:tcMar>
              <w:top w:w="55" w:type="dxa"/>
              <w:left w:w="108" w:type="dxa"/>
              <w:bottom w:w="55" w:type="dxa"/>
              <w:right w:w="108" w:type="dxa"/>
            </w:tcMar>
          </w:tcPr>
          <w:p w14:paraId="6EEC4AA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b/>
                <w:bCs/>
                <w:kern w:val="0"/>
                <w:sz w:val="20"/>
                <w:szCs w:val="20"/>
                <w:lang w:val="en-IN" w:eastAsia="en-IN"/>
              </w:rPr>
              <w:t>FGLS</w:t>
            </w:r>
          </w:p>
        </w:tc>
        <w:tc>
          <w:tcPr>
            <w:tcW w:w="1329" w:type="dxa"/>
            <w:tcBorders>
              <w:bottom w:val="single" w:sz="4" w:space="0" w:color="000000"/>
            </w:tcBorders>
            <w:tcMar>
              <w:top w:w="55" w:type="dxa"/>
              <w:left w:w="108" w:type="dxa"/>
              <w:bottom w:w="55" w:type="dxa"/>
              <w:right w:w="108" w:type="dxa"/>
            </w:tcMar>
          </w:tcPr>
          <w:p w14:paraId="79F8D516"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b/>
                <w:bCs/>
                <w:kern w:val="0"/>
                <w:sz w:val="20"/>
                <w:szCs w:val="20"/>
                <w:lang w:val="en-IN" w:eastAsia="en-IN"/>
              </w:rPr>
              <w:t>System Dynamic Panel</w:t>
            </w:r>
          </w:p>
        </w:tc>
      </w:tr>
      <w:tr w:rsidR="005A30D7" w:rsidRPr="006F546F" w14:paraId="3F8326C7" w14:textId="77777777">
        <w:tc>
          <w:tcPr>
            <w:tcW w:w="1362" w:type="dxa"/>
            <w:tcMar>
              <w:top w:w="55" w:type="dxa"/>
              <w:left w:w="108" w:type="dxa"/>
              <w:bottom w:w="55" w:type="dxa"/>
              <w:right w:w="108" w:type="dxa"/>
            </w:tcMar>
          </w:tcPr>
          <w:p w14:paraId="3EF6B3C6" w14:textId="77777777" w:rsidR="005A30D7" w:rsidRPr="006F546F" w:rsidRDefault="0081248F" w:rsidP="006F546F">
            <w:pPr>
              <w:pStyle w:val="Standard"/>
              <w:spacing w:after="0" w:line="240" w:lineRule="auto"/>
              <w:jc w:val="both"/>
              <w:rPr>
                <w:rFonts w:ascii="Arial" w:hAnsi="Arial" w:cs="Arial"/>
                <w:sz w:val="20"/>
                <w:szCs w:val="20"/>
                <w:lang w:val="en-IN"/>
              </w:rPr>
            </w:pPr>
            <w:r w:rsidRPr="006F546F">
              <w:rPr>
                <w:rFonts w:ascii="Arial" w:eastAsia="Times New Roman" w:hAnsi="Arial" w:cs="Arial"/>
                <w:bCs/>
                <w:kern w:val="0"/>
                <w:sz w:val="20"/>
                <w:szCs w:val="20"/>
                <w:lang w:val="en-IN" w:eastAsia="en-IN"/>
              </w:rPr>
              <w:lastRenderedPageBreak/>
              <w:t>LBB</w:t>
            </w:r>
          </w:p>
        </w:tc>
        <w:tc>
          <w:tcPr>
            <w:tcW w:w="1395" w:type="dxa"/>
            <w:tcMar>
              <w:top w:w="55" w:type="dxa"/>
              <w:left w:w="108" w:type="dxa"/>
              <w:bottom w:w="55" w:type="dxa"/>
              <w:right w:w="108" w:type="dxa"/>
            </w:tcMar>
          </w:tcPr>
          <w:p w14:paraId="195B9430"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0.389***</w:t>
            </w:r>
          </w:p>
        </w:tc>
        <w:tc>
          <w:tcPr>
            <w:tcW w:w="1360" w:type="dxa"/>
            <w:tcMar>
              <w:top w:w="55" w:type="dxa"/>
              <w:left w:w="108" w:type="dxa"/>
              <w:bottom w:w="55" w:type="dxa"/>
              <w:right w:w="108" w:type="dxa"/>
            </w:tcMar>
          </w:tcPr>
          <w:p w14:paraId="6950C66F"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0.726***</w:t>
            </w:r>
          </w:p>
        </w:tc>
        <w:tc>
          <w:tcPr>
            <w:tcW w:w="1291" w:type="dxa"/>
            <w:tcMar>
              <w:top w:w="55" w:type="dxa"/>
              <w:left w:w="108" w:type="dxa"/>
              <w:bottom w:w="55" w:type="dxa"/>
              <w:right w:w="108" w:type="dxa"/>
            </w:tcMar>
          </w:tcPr>
          <w:p w14:paraId="5AD977B9"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0.694***</w:t>
            </w:r>
          </w:p>
        </w:tc>
        <w:tc>
          <w:tcPr>
            <w:tcW w:w="1236" w:type="dxa"/>
            <w:tcMar>
              <w:top w:w="55" w:type="dxa"/>
              <w:left w:w="108" w:type="dxa"/>
              <w:bottom w:w="55" w:type="dxa"/>
              <w:right w:w="108" w:type="dxa"/>
            </w:tcMar>
          </w:tcPr>
          <w:p w14:paraId="63D2E78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0.605***</w:t>
            </w:r>
          </w:p>
        </w:tc>
        <w:tc>
          <w:tcPr>
            <w:tcW w:w="1236" w:type="dxa"/>
            <w:tcMar>
              <w:top w:w="55" w:type="dxa"/>
              <w:left w:w="108" w:type="dxa"/>
              <w:bottom w:w="55" w:type="dxa"/>
              <w:right w:w="108" w:type="dxa"/>
            </w:tcMar>
          </w:tcPr>
          <w:p w14:paraId="2D08C810"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0.671***</w:t>
            </w:r>
          </w:p>
        </w:tc>
        <w:tc>
          <w:tcPr>
            <w:tcW w:w="1329" w:type="dxa"/>
            <w:tcMar>
              <w:top w:w="55" w:type="dxa"/>
              <w:left w:w="108" w:type="dxa"/>
              <w:bottom w:w="55" w:type="dxa"/>
              <w:right w:w="108" w:type="dxa"/>
            </w:tcMar>
          </w:tcPr>
          <w:p w14:paraId="44EFD31F"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0.139***</w:t>
            </w:r>
          </w:p>
        </w:tc>
      </w:tr>
      <w:tr w:rsidR="005A30D7" w:rsidRPr="006F546F" w14:paraId="47F9BEF5" w14:textId="77777777">
        <w:tc>
          <w:tcPr>
            <w:tcW w:w="1362" w:type="dxa"/>
            <w:tcMar>
              <w:top w:w="55" w:type="dxa"/>
              <w:left w:w="108" w:type="dxa"/>
              <w:bottom w:w="55" w:type="dxa"/>
              <w:right w:w="108" w:type="dxa"/>
            </w:tcMar>
          </w:tcPr>
          <w:p w14:paraId="257363F5"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395" w:type="dxa"/>
            <w:tcMar>
              <w:top w:w="55" w:type="dxa"/>
              <w:left w:w="108" w:type="dxa"/>
              <w:bottom w:w="55" w:type="dxa"/>
              <w:right w:w="108" w:type="dxa"/>
            </w:tcMar>
          </w:tcPr>
          <w:p w14:paraId="56CE624E"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(0.026)</w:t>
            </w:r>
          </w:p>
        </w:tc>
        <w:tc>
          <w:tcPr>
            <w:tcW w:w="1360" w:type="dxa"/>
            <w:tcMar>
              <w:top w:w="55" w:type="dxa"/>
              <w:left w:w="108" w:type="dxa"/>
              <w:bottom w:w="55" w:type="dxa"/>
              <w:right w:w="108" w:type="dxa"/>
            </w:tcMar>
          </w:tcPr>
          <w:p w14:paraId="469E1BEF"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(0.044)</w:t>
            </w:r>
          </w:p>
        </w:tc>
        <w:tc>
          <w:tcPr>
            <w:tcW w:w="1291" w:type="dxa"/>
            <w:tcMar>
              <w:top w:w="55" w:type="dxa"/>
              <w:left w:w="108" w:type="dxa"/>
              <w:bottom w:w="55" w:type="dxa"/>
              <w:right w:w="108" w:type="dxa"/>
            </w:tcMar>
          </w:tcPr>
          <w:p w14:paraId="3AA2723F"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(0.042)</w:t>
            </w:r>
          </w:p>
        </w:tc>
        <w:tc>
          <w:tcPr>
            <w:tcW w:w="1236" w:type="dxa"/>
            <w:tcMar>
              <w:top w:w="55" w:type="dxa"/>
              <w:left w:w="108" w:type="dxa"/>
              <w:bottom w:w="55" w:type="dxa"/>
              <w:right w:w="108" w:type="dxa"/>
            </w:tcMar>
          </w:tcPr>
          <w:p w14:paraId="0505AD3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(0.056)</w:t>
            </w:r>
          </w:p>
        </w:tc>
        <w:tc>
          <w:tcPr>
            <w:tcW w:w="1236" w:type="dxa"/>
            <w:tcMar>
              <w:top w:w="55" w:type="dxa"/>
              <w:left w:w="108" w:type="dxa"/>
              <w:bottom w:w="55" w:type="dxa"/>
              <w:right w:w="108" w:type="dxa"/>
            </w:tcMar>
          </w:tcPr>
          <w:p w14:paraId="45D3A22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(0.032)</w:t>
            </w:r>
          </w:p>
        </w:tc>
        <w:tc>
          <w:tcPr>
            <w:tcW w:w="1329" w:type="dxa"/>
            <w:tcMar>
              <w:top w:w="55" w:type="dxa"/>
              <w:left w:w="108" w:type="dxa"/>
              <w:bottom w:w="55" w:type="dxa"/>
              <w:right w:w="108" w:type="dxa"/>
            </w:tcMar>
          </w:tcPr>
          <w:p w14:paraId="630167D8"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(0.026)</w:t>
            </w:r>
          </w:p>
        </w:tc>
      </w:tr>
      <w:tr w:rsidR="005A30D7" w:rsidRPr="006F546F" w14:paraId="4FD433E0" w14:textId="77777777">
        <w:tc>
          <w:tcPr>
            <w:tcW w:w="1362" w:type="dxa"/>
            <w:tcMar>
              <w:top w:w="55" w:type="dxa"/>
              <w:left w:w="108" w:type="dxa"/>
              <w:bottom w:w="55" w:type="dxa"/>
              <w:right w:w="108" w:type="dxa"/>
            </w:tcMar>
          </w:tcPr>
          <w:p w14:paraId="531F8FA6" w14:textId="77777777" w:rsidR="005A30D7" w:rsidRPr="006F546F" w:rsidRDefault="0081248F" w:rsidP="006F546F">
            <w:pPr>
              <w:pStyle w:val="Standard"/>
              <w:spacing w:after="0" w:line="240" w:lineRule="auto"/>
              <w:jc w:val="both"/>
              <w:rPr>
                <w:rFonts w:ascii="Arial" w:hAnsi="Arial" w:cs="Arial"/>
                <w:sz w:val="20"/>
                <w:szCs w:val="20"/>
                <w:lang w:val="en-IN"/>
              </w:rPr>
            </w:pPr>
            <w:r w:rsidRPr="006F546F">
              <w:rPr>
                <w:rFonts w:ascii="Arial" w:eastAsia="Times New Roman" w:hAnsi="Arial" w:cs="Arial"/>
                <w:bCs/>
                <w:kern w:val="0"/>
                <w:sz w:val="20"/>
                <w:szCs w:val="20"/>
                <w:lang w:val="en-IN" w:eastAsia="en-IN"/>
              </w:rPr>
              <w:t>LMANP</w:t>
            </w:r>
          </w:p>
        </w:tc>
        <w:tc>
          <w:tcPr>
            <w:tcW w:w="1395" w:type="dxa"/>
            <w:tcMar>
              <w:top w:w="55" w:type="dxa"/>
              <w:left w:w="108" w:type="dxa"/>
              <w:bottom w:w="55" w:type="dxa"/>
              <w:right w:w="108" w:type="dxa"/>
            </w:tcMar>
          </w:tcPr>
          <w:p w14:paraId="7CD6BA8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0.432***</w:t>
            </w:r>
          </w:p>
        </w:tc>
        <w:tc>
          <w:tcPr>
            <w:tcW w:w="1360" w:type="dxa"/>
            <w:tcMar>
              <w:top w:w="55" w:type="dxa"/>
              <w:left w:w="108" w:type="dxa"/>
              <w:bottom w:w="55" w:type="dxa"/>
              <w:right w:w="108" w:type="dxa"/>
            </w:tcMar>
          </w:tcPr>
          <w:p w14:paraId="54BFBEF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0.251***</w:t>
            </w:r>
          </w:p>
        </w:tc>
        <w:tc>
          <w:tcPr>
            <w:tcW w:w="1291" w:type="dxa"/>
            <w:tcMar>
              <w:top w:w="55" w:type="dxa"/>
              <w:left w:w="108" w:type="dxa"/>
              <w:bottom w:w="55" w:type="dxa"/>
              <w:right w:w="108" w:type="dxa"/>
            </w:tcMar>
          </w:tcPr>
          <w:p w14:paraId="5B0DDA6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0.253***</w:t>
            </w:r>
          </w:p>
        </w:tc>
        <w:tc>
          <w:tcPr>
            <w:tcW w:w="1236" w:type="dxa"/>
            <w:tcMar>
              <w:top w:w="55" w:type="dxa"/>
              <w:left w:w="108" w:type="dxa"/>
              <w:bottom w:w="55" w:type="dxa"/>
              <w:right w:w="108" w:type="dxa"/>
            </w:tcMar>
          </w:tcPr>
          <w:p w14:paraId="3D81797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0.102***</w:t>
            </w:r>
          </w:p>
        </w:tc>
        <w:tc>
          <w:tcPr>
            <w:tcW w:w="1236" w:type="dxa"/>
            <w:tcMar>
              <w:top w:w="55" w:type="dxa"/>
              <w:left w:w="108" w:type="dxa"/>
              <w:bottom w:w="55" w:type="dxa"/>
              <w:right w:w="108" w:type="dxa"/>
            </w:tcMar>
          </w:tcPr>
          <w:p w14:paraId="2B1E8DD9"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0.093***</w:t>
            </w:r>
          </w:p>
        </w:tc>
        <w:tc>
          <w:tcPr>
            <w:tcW w:w="1329" w:type="dxa"/>
            <w:tcMar>
              <w:top w:w="55" w:type="dxa"/>
              <w:left w:w="108" w:type="dxa"/>
              <w:bottom w:w="55" w:type="dxa"/>
              <w:right w:w="108" w:type="dxa"/>
            </w:tcMar>
          </w:tcPr>
          <w:p w14:paraId="4E3484B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0.044**</w:t>
            </w:r>
          </w:p>
        </w:tc>
      </w:tr>
      <w:tr w:rsidR="005A30D7" w:rsidRPr="006F546F" w14:paraId="583F5D88" w14:textId="77777777">
        <w:tc>
          <w:tcPr>
            <w:tcW w:w="1362" w:type="dxa"/>
            <w:tcMar>
              <w:top w:w="55" w:type="dxa"/>
              <w:left w:w="108" w:type="dxa"/>
              <w:bottom w:w="55" w:type="dxa"/>
              <w:right w:w="108" w:type="dxa"/>
            </w:tcMar>
          </w:tcPr>
          <w:p w14:paraId="1AD6F896"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395" w:type="dxa"/>
            <w:tcMar>
              <w:top w:w="55" w:type="dxa"/>
              <w:left w:w="108" w:type="dxa"/>
              <w:bottom w:w="55" w:type="dxa"/>
              <w:right w:w="108" w:type="dxa"/>
            </w:tcMar>
          </w:tcPr>
          <w:p w14:paraId="440B4EA9"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(0.033)</w:t>
            </w:r>
          </w:p>
        </w:tc>
        <w:tc>
          <w:tcPr>
            <w:tcW w:w="1360" w:type="dxa"/>
            <w:tcMar>
              <w:top w:w="55" w:type="dxa"/>
              <w:left w:w="108" w:type="dxa"/>
              <w:bottom w:w="55" w:type="dxa"/>
              <w:right w:w="108" w:type="dxa"/>
            </w:tcMar>
          </w:tcPr>
          <w:p w14:paraId="00D57DC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(0.022)</w:t>
            </w:r>
          </w:p>
        </w:tc>
        <w:tc>
          <w:tcPr>
            <w:tcW w:w="1291" w:type="dxa"/>
            <w:tcMar>
              <w:top w:w="55" w:type="dxa"/>
              <w:left w:w="108" w:type="dxa"/>
              <w:bottom w:w="55" w:type="dxa"/>
              <w:right w:w="108" w:type="dxa"/>
            </w:tcMar>
          </w:tcPr>
          <w:p w14:paraId="19468FEA"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(0.022)</w:t>
            </w:r>
          </w:p>
        </w:tc>
        <w:tc>
          <w:tcPr>
            <w:tcW w:w="1236" w:type="dxa"/>
            <w:tcMar>
              <w:top w:w="55" w:type="dxa"/>
              <w:left w:w="108" w:type="dxa"/>
              <w:bottom w:w="55" w:type="dxa"/>
              <w:right w:w="108" w:type="dxa"/>
            </w:tcMar>
          </w:tcPr>
          <w:p w14:paraId="430BB0F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(0.027)</w:t>
            </w:r>
          </w:p>
        </w:tc>
        <w:tc>
          <w:tcPr>
            <w:tcW w:w="1236" w:type="dxa"/>
            <w:tcMar>
              <w:top w:w="55" w:type="dxa"/>
              <w:left w:w="108" w:type="dxa"/>
              <w:bottom w:w="55" w:type="dxa"/>
              <w:right w:w="108" w:type="dxa"/>
            </w:tcMar>
          </w:tcPr>
          <w:p w14:paraId="3290D879"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(0.015)</w:t>
            </w:r>
          </w:p>
        </w:tc>
        <w:tc>
          <w:tcPr>
            <w:tcW w:w="1329" w:type="dxa"/>
            <w:tcMar>
              <w:top w:w="55" w:type="dxa"/>
              <w:left w:w="108" w:type="dxa"/>
              <w:bottom w:w="55" w:type="dxa"/>
              <w:right w:w="108" w:type="dxa"/>
            </w:tcMar>
          </w:tcPr>
          <w:p w14:paraId="79CD68EE"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(0.022)</w:t>
            </w:r>
          </w:p>
        </w:tc>
      </w:tr>
      <w:tr w:rsidR="005A30D7" w:rsidRPr="006F546F" w14:paraId="5E85DB46" w14:textId="77777777">
        <w:tc>
          <w:tcPr>
            <w:tcW w:w="1362" w:type="dxa"/>
            <w:tcMar>
              <w:top w:w="55" w:type="dxa"/>
              <w:left w:w="108" w:type="dxa"/>
              <w:bottom w:w="55" w:type="dxa"/>
              <w:right w:w="108" w:type="dxa"/>
            </w:tcMar>
          </w:tcPr>
          <w:p w14:paraId="11F419FA" w14:textId="77777777" w:rsidR="005A30D7" w:rsidRPr="006F546F" w:rsidRDefault="0081248F" w:rsidP="006F546F">
            <w:pPr>
              <w:pStyle w:val="Standard"/>
              <w:spacing w:after="0" w:line="240" w:lineRule="auto"/>
              <w:jc w:val="both"/>
              <w:rPr>
                <w:rFonts w:ascii="Arial" w:hAnsi="Arial" w:cs="Arial"/>
                <w:sz w:val="20"/>
                <w:szCs w:val="20"/>
                <w:lang w:val="en-IN"/>
              </w:rPr>
            </w:pPr>
            <w:r w:rsidRPr="006F546F">
              <w:rPr>
                <w:rFonts w:ascii="Arial" w:eastAsia="Times New Roman" w:hAnsi="Arial" w:cs="Arial"/>
                <w:bCs/>
                <w:kern w:val="0"/>
                <w:sz w:val="20"/>
                <w:szCs w:val="20"/>
                <w:lang w:val="en-IN" w:eastAsia="en-IN"/>
              </w:rPr>
              <w:t>LPCNDDP</w:t>
            </w:r>
          </w:p>
        </w:tc>
        <w:tc>
          <w:tcPr>
            <w:tcW w:w="1395" w:type="dxa"/>
            <w:tcMar>
              <w:top w:w="55" w:type="dxa"/>
              <w:left w:w="108" w:type="dxa"/>
              <w:bottom w:w="55" w:type="dxa"/>
              <w:right w:w="108" w:type="dxa"/>
            </w:tcMar>
          </w:tcPr>
          <w:p w14:paraId="5C95510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1.046***</w:t>
            </w:r>
          </w:p>
        </w:tc>
        <w:tc>
          <w:tcPr>
            <w:tcW w:w="1360" w:type="dxa"/>
            <w:tcMar>
              <w:top w:w="55" w:type="dxa"/>
              <w:left w:w="108" w:type="dxa"/>
              <w:bottom w:w="55" w:type="dxa"/>
              <w:right w:w="108" w:type="dxa"/>
            </w:tcMar>
          </w:tcPr>
          <w:p w14:paraId="675359A1"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0.928***</w:t>
            </w:r>
          </w:p>
        </w:tc>
        <w:tc>
          <w:tcPr>
            <w:tcW w:w="1291" w:type="dxa"/>
            <w:tcMar>
              <w:top w:w="55" w:type="dxa"/>
              <w:left w:w="108" w:type="dxa"/>
              <w:bottom w:w="55" w:type="dxa"/>
              <w:right w:w="108" w:type="dxa"/>
            </w:tcMar>
          </w:tcPr>
          <w:p w14:paraId="03A263A3"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0.938***</w:t>
            </w:r>
          </w:p>
        </w:tc>
        <w:tc>
          <w:tcPr>
            <w:tcW w:w="1236" w:type="dxa"/>
            <w:tcMar>
              <w:top w:w="55" w:type="dxa"/>
              <w:left w:w="108" w:type="dxa"/>
              <w:bottom w:w="55" w:type="dxa"/>
              <w:right w:w="108" w:type="dxa"/>
            </w:tcMar>
          </w:tcPr>
          <w:p w14:paraId="07D5182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0.781***</w:t>
            </w:r>
          </w:p>
        </w:tc>
        <w:tc>
          <w:tcPr>
            <w:tcW w:w="1236" w:type="dxa"/>
            <w:tcMar>
              <w:top w:w="55" w:type="dxa"/>
              <w:left w:w="108" w:type="dxa"/>
              <w:bottom w:w="55" w:type="dxa"/>
              <w:right w:w="108" w:type="dxa"/>
            </w:tcMar>
          </w:tcPr>
          <w:p w14:paraId="150BF233"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0.786***</w:t>
            </w:r>
          </w:p>
        </w:tc>
        <w:tc>
          <w:tcPr>
            <w:tcW w:w="1329" w:type="dxa"/>
            <w:tcMar>
              <w:top w:w="55" w:type="dxa"/>
              <w:left w:w="108" w:type="dxa"/>
              <w:bottom w:w="55" w:type="dxa"/>
              <w:right w:w="108" w:type="dxa"/>
            </w:tcMar>
          </w:tcPr>
          <w:p w14:paraId="06574F32"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0.194*</w:t>
            </w:r>
          </w:p>
        </w:tc>
      </w:tr>
      <w:tr w:rsidR="005A30D7" w:rsidRPr="006F546F" w14:paraId="4CD1BAD6" w14:textId="77777777">
        <w:tc>
          <w:tcPr>
            <w:tcW w:w="1362" w:type="dxa"/>
            <w:tcMar>
              <w:top w:w="55" w:type="dxa"/>
              <w:left w:w="108" w:type="dxa"/>
              <w:bottom w:w="55" w:type="dxa"/>
              <w:right w:w="108" w:type="dxa"/>
            </w:tcMar>
          </w:tcPr>
          <w:p w14:paraId="5039E96A"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395" w:type="dxa"/>
            <w:tcMar>
              <w:top w:w="55" w:type="dxa"/>
              <w:left w:w="108" w:type="dxa"/>
              <w:bottom w:w="55" w:type="dxa"/>
              <w:right w:w="108" w:type="dxa"/>
            </w:tcMar>
          </w:tcPr>
          <w:p w14:paraId="58BC714E"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(0.018)</w:t>
            </w:r>
          </w:p>
        </w:tc>
        <w:tc>
          <w:tcPr>
            <w:tcW w:w="1360" w:type="dxa"/>
            <w:tcMar>
              <w:top w:w="55" w:type="dxa"/>
              <w:left w:w="108" w:type="dxa"/>
              <w:bottom w:w="55" w:type="dxa"/>
              <w:right w:w="108" w:type="dxa"/>
            </w:tcMar>
          </w:tcPr>
          <w:p w14:paraId="5053A97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(0.016)</w:t>
            </w:r>
          </w:p>
        </w:tc>
        <w:tc>
          <w:tcPr>
            <w:tcW w:w="1291" w:type="dxa"/>
            <w:tcMar>
              <w:top w:w="55" w:type="dxa"/>
              <w:left w:w="108" w:type="dxa"/>
              <w:bottom w:w="55" w:type="dxa"/>
              <w:right w:w="108" w:type="dxa"/>
            </w:tcMar>
          </w:tcPr>
          <w:p w14:paraId="3498CB7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(0.015)</w:t>
            </w:r>
          </w:p>
        </w:tc>
        <w:tc>
          <w:tcPr>
            <w:tcW w:w="1236" w:type="dxa"/>
            <w:tcMar>
              <w:top w:w="55" w:type="dxa"/>
              <w:left w:w="108" w:type="dxa"/>
              <w:bottom w:w="55" w:type="dxa"/>
              <w:right w:w="108" w:type="dxa"/>
            </w:tcMar>
          </w:tcPr>
          <w:p w14:paraId="64C2658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(0.047)</w:t>
            </w:r>
          </w:p>
        </w:tc>
        <w:tc>
          <w:tcPr>
            <w:tcW w:w="1236" w:type="dxa"/>
            <w:tcMar>
              <w:top w:w="55" w:type="dxa"/>
              <w:left w:w="108" w:type="dxa"/>
              <w:bottom w:w="55" w:type="dxa"/>
              <w:right w:w="108" w:type="dxa"/>
            </w:tcMar>
          </w:tcPr>
          <w:p w14:paraId="10BDC8F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(0.017)</w:t>
            </w:r>
          </w:p>
        </w:tc>
        <w:tc>
          <w:tcPr>
            <w:tcW w:w="1329" w:type="dxa"/>
            <w:tcMar>
              <w:top w:w="55" w:type="dxa"/>
              <w:left w:w="108" w:type="dxa"/>
              <w:bottom w:w="55" w:type="dxa"/>
              <w:right w:w="108" w:type="dxa"/>
            </w:tcMar>
          </w:tcPr>
          <w:p w14:paraId="5BD31B78"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(0.091)</w:t>
            </w:r>
          </w:p>
        </w:tc>
      </w:tr>
      <w:tr w:rsidR="005A30D7" w:rsidRPr="006F546F" w14:paraId="30B83BC9" w14:textId="77777777">
        <w:tc>
          <w:tcPr>
            <w:tcW w:w="1362" w:type="dxa"/>
            <w:tcMar>
              <w:top w:w="55" w:type="dxa"/>
              <w:left w:w="108" w:type="dxa"/>
              <w:bottom w:w="55" w:type="dxa"/>
              <w:right w:w="108" w:type="dxa"/>
            </w:tcMar>
          </w:tcPr>
          <w:p w14:paraId="24F98154" w14:textId="77777777" w:rsidR="005A30D7" w:rsidRPr="006F546F" w:rsidRDefault="0081248F" w:rsidP="006F546F">
            <w:pPr>
              <w:pStyle w:val="Standard"/>
              <w:spacing w:after="0" w:line="240" w:lineRule="auto"/>
              <w:jc w:val="both"/>
              <w:rPr>
                <w:rFonts w:ascii="Arial" w:hAnsi="Arial" w:cs="Arial"/>
                <w:sz w:val="20"/>
                <w:szCs w:val="20"/>
                <w:lang w:val="en-IN"/>
              </w:rPr>
            </w:pPr>
            <w:r w:rsidRPr="006F546F">
              <w:rPr>
                <w:rFonts w:ascii="Arial" w:eastAsia="Times New Roman" w:hAnsi="Arial" w:cs="Arial"/>
                <w:bCs/>
                <w:kern w:val="0"/>
                <w:sz w:val="20"/>
                <w:szCs w:val="20"/>
                <w:lang w:val="en-IN" w:eastAsia="en-IN"/>
              </w:rPr>
              <w:t>LPOPGR</w:t>
            </w:r>
          </w:p>
        </w:tc>
        <w:tc>
          <w:tcPr>
            <w:tcW w:w="1395" w:type="dxa"/>
            <w:tcMar>
              <w:top w:w="55" w:type="dxa"/>
              <w:left w:w="108" w:type="dxa"/>
              <w:bottom w:w="55" w:type="dxa"/>
              <w:right w:w="108" w:type="dxa"/>
            </w:tcMar>
          </w:tcPr>
          <w:p w14:paraId="12E34856"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-0.059**</w:t>
            </w:r>
          </w:p>
        </w:tc>
        <w:tc>
          <w:tcPr>
            <w:tcW w:w="1360" w:type="dxa"/>
            <w:tcMar>
              <w:top w:w="55" w:type="dxa"/>
              <w:left w:w="108" w:type="dxa"/>
              <w:bottom w:w="55" w:type="dxa"/>
              <w:right w:w="108" w:type="dxa"/>
            </w:tcMar>
          </w:tcPr>
          <w:p w14:paraId="345AD66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0.003</w:t>
            </w:r>
          </w:p>
        </w:tc>
        <w:tc>
          <w:tcPr>
            <w:tcW w:w="1291" w:type="dxa"/>
            <w:tcMar>
              <w:top w:w="55" w:type="dxa"/>
              <w:left w:w="108" w:type="dxa"/>
              <w:bottom w:w="55" w:type="dxa"/>
              <w:right w:w="108" w:type="dxa"/>
            </w:tcMar>
          </w:tcPr>
          <w:p w14:paraId="1BDFC1A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0.000</w:t>
            </w:r>
          </w:p>
        </w:tc>
        <w:tc>
          <w:tcPr>
            <w:tcW w:w="1236" w:type="dxa"/>
            <w:tcMar>
              <w:top w:w="55" w:type="dxa"/>
              <w:left w:w="108" w:type="dxa"/>
              <w:bottom w:w="55" w:type="dxa"/>
              <w:right w:w="108" w:type="dxa"/>
            </w:tcMar>
          </w:tcPr>
          <w:p w14:paraId="7214D8CA"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-0.044***</w:t>
            </w:r>
          </w:p>
        </w:tc>
        <w:tc>
          <w:tcPr>
            <w:tcW w:w="1236" w:type="dxa"/>
            <w:tcMar>
              <w:top w:w="55" w:type="dxa"/>
              <w:left w:w="108" w:type="dxa"/>
              <w:bottom w:w="55" w:type="dxa"/>
              <w:right w:w="108" w:type="dxa"/>
            </w:tcMar>
          </w:tcPr>
          <w:p w14:paraId="24CDB54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-0.173**</w:t>
            </w:r>
          </w:p>
        </w:tc>
        <w:tc>
          <w:tcPr>
            <w:tcW w:w="1329" w:type="dxa"/>
            <w:tcMar>
              <w:top w:w="55" w:type="dxa"/>
              <w:left w:w="108" w:type="dxa"/>
              <w:bottom w:w="55" w:type="dxa"/>
              <w:right w:w="108" w:type="dxa"/>
            </w:tcMar>
          </w:tcPr>
          <w:p w14:paraId="02AFE386"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-0.042**</w:t>
            </w:r>
          </w:p>
        </w:tc>
      </w:tr>
      <w:tr w:rsidR="005A30D7" w:rsidRPr="006F546F" w14:paraId="25AA4719" w14:textId="77777777">
        <w:tc>
          <w:tcPr>
            <w:tcW w:w="1362" w:type="dxa"/>
            <w:tcMar>
              <w:top w:w="55" w:type="dxa"/>
              <w:left w:w="108" w:type="dxa"/>
              <w:bottom w:w="55" w:type="dxa"/>
              <w:right w:w="108" w:type="dxa"/>
            </w:tcMar>
          </w:tcPr>
          <w:p w14:paraId="26DA5907" w14:textId="77777777" w:rsidR="005A30D7" w:rsidRPr="006F546F" w:rsidRDefault="005A30D7" w:rsidP="006F546F">
            <w:pPr>
              <w:pStyle w:val="Standard"/>
              <w:spacing w:after="0" w:line="240" w:lineRule="auto"/>
              <w:jc w:val="both"/>
              <w:rPr>
                <w:rFonts w:ascii="Arial" w:eastAsia="Times New Roman" w:hAnsi="Arial" w:cs="Arial"/>
                <w:bCs/>
                <w:kern w:val="0"/>
                <w:sz w:val="20"/>
                <w:szCs w:val="20"/>
                <w:lang w:val="en-IN" w:eastAsia="en-IN"/>
              </w:rPr>
            </w:pPr>
          </w:p>
        </w:tc>
        <w:tc>
          <w:tcPr>
            <w:tcW w:w="1395" w:type="dxa"/>
            <w:tcMar>
              <w:top w:w="55" w:type="dxa"/>
              <w:left w:w="108" w:type="dxa"/>
              <w:bottom w:w="55" w:type="dxa"/>
              <w:right w:w="108" w:type="dxa"/>
            </w:tcMar>
          </w:tcPr>
          <w:p w14:paraId="21962535"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(0.032)</w:t>
            </w:r>
          </w:p>
        </w:tc>
        <w:tc>
          <w:tcPr>
            <w:tcW w:w="1360" w:type="dxa"/>
            <w:tcMar>
              <w:top w:w="55" w:type="dxa"/>
              <w:left w:w="108" w:type="dxa"/>
              <w:bottom w:w="55" w:type="dxa"/>
              <w:right w:w="108" w:type="dxa"/>
            </w:tcMar>
          </w:tcPr>
          <w:p w14:paraId="181E168E"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(0.016)</w:t>
            </w:r>
          </w:p>
        </w:tc>
        <w:tc>
          <w:tcPr>
            <w:tcW w:w="1291" w:type="dxa"/>
            <w:tcMar>
              <w:top w:w="55" w:type="dxa"/>
              <w:left w:w="108" w:type="dxa"/>
              <w:bottom w:w="55" w:type="dxa"/>
              <w:right w:w="108" w:type="dxa"/>
            </w:tcMar>
          </w:tcPr>
          <w:p w14:paraId="5554172F"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(0.016)</w:t>
            </w:r>
          </w:p>
        </w:tc>
        <w:tc>
          <w:tcPr>
            <w:tcW w:w="1236" w:type="dxa"/>
            <w:tcMar>
              <w:top w:w="55" w:type="dxa"/>
              <w:left w:w="108" w:type="dxa"/>
              <w:bottom w:w="55" w:type="dxa"/>
              <w:right w:w="108" w:type="dxa"/>
            </w:tcMar>
          </w:tcPr>
          <w:p w14:paraId="160A3880"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(0.016)</w:t>
            </w:r>
          </w:p>
        </w:tc>
        <w:tc>
          <w:tcPr>
            <w:tcW w:w="1236" w:type="dxa"/>
            <w:tcMar>
              <w:top w:w="55" w:type="dxa"/>
              <w:left w:w="108" w:type="dxa"/>
              <w:bottom w:w="55" w:type="dxa"/>
              <w:right w:w="108" w:type="dxa"/>
            </w:tcMar>
          </w:tcPr>
          <w:p w14:paraId="2126327C"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(0.009)</w:t>
            </w:r>
          </w:p>
        </w:tc>
        <w:tc>
          <w:tcPr>
            <w:tcW w:w="1329" w:type="dxa"/>
            <w:tcMar>
              <w:top w:w="55" w:type="dxa"/>
              <w:left w:w="108" w:type="dxa"/>
              <w:bottom w:w="55" w:type="dxa"/>
              <w:right w:w="108" w:type="dxa"/>
            </w:tcMar>
          </w:tcPr>
          <w:p w14:paraId="516B8A6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(0.021)</w:t>
            </w:r>
          </w:p>
        </w:tc>
      </w:tr>
      <w:tr w:rsidR="005A30D7" w:rsidRPr="006F546F" w14:paraId="10BA9BEA" w14:textId="77777777">
        <w:trPr>
          <w:trHeight w:val="368"/>
        </w:trPr>
        <w:tc>
          <w:tcPr>
            <w:tcW w:w="1362" w:type="dxa"/>
            <w:tcMar>
              <w:top w:w="55" w:type="dxa"/>
              <w:left w:w="108" w:type="dxa"/>
              <w:bottom w:w="55" w:type="dxa"/>
              <w:right w:w="108" w:type="dxa"/>
            </w:tcMar>
          </w:tcPr>
          <w:p w14:paraId="10765936" w14:textId="77777777" w:rsidR="005A30D7" w:rsidRPr="006F546F" w:rsidRDefault="0081248F" w:rsidP="006F546F">
            <w:pPr>
              <w:pStyle w:val="Standard"/>
              <w:spacing w:after="0" w:line="240" w:lineRule="auto"/>
              <w:jc w:val="both"/>
              <w:rPr>
                <w:rFonts w:ascii="Arial" w:hAnsi="Arial" w:cs="Arial"/>
                <w:sz w:val="20"/>
                <w:szCs w:val="20"/>
                <w:lang w:val="en-IN"/>
              </w:rPr>
            </w:pPr>
            <w:r w:rsidRPr="006F546F">
              <w:rPr>
                <w:rFonts w:ascii="Arial" w:eastAsia="Times New Roman" w:hAnsi="Arial" w:cs="Arial"/>
                <w:bCs/>
                <w:kern w:val="0"/>
                <w:sz w:val="20"/>
                <w:szCs w:val="20"/>
                <w:lang w:val="en-IN" w:eastAsia="en-IN"/>
              </w:rPr>
              <w:t>C</w:t>
            </w:r>
          </w:p>
        </w:tc>
        <w:tc>
          <w:tcPr>
            <w:tcW w:w="1395" w:type="dxa"/>
            <w:tcMar>
              <w:top w:w="55" w:type="dxa"/>
              <w:left w:w="108" w:type="dxa"/>
              <w:bottom w:w="55" w:type="dxa"/>
              <w:right w:w="108" w:type="dxa"/>
            </w:tcMar>
          </w:tcPr>
          <w:p w14:paraId="274918E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-14.251***</w:t>
            </w:r>
          </w:p>
        </w:tc>
        <w:tc>
          <w:tcPr>
            <w:tcW w:w="1360" w:type="dxa"/>
            <w:tcMar>
              <w:top w:w="55" w:type="dxa"/>
              <w:left w:w="108" w:type="dxa"/>
              <w:bottom w:w="55" w:type="dxa"/>
              <w:right w:w="108" w:type="dxa"/>
            </w:tcMar>
          </w:tcPr>
          <w:p w14:paraId="3A4D16CE"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-14.183***</w:t>
            </w:r>
          </w:p>
        </w:tc>
        <w:tc>
          <w:tcPr>
            <w:tcW w:w="1291" w:type="dxa"/>
            <w:tcMar>
              <w:top w:w="55" w:type="dxa"/>
              <w:left w:w="108" w:type="dxa"/>
              <w:bottom w:w="55" w:type="dxa"/>
              <w:right w:w="108" w:type="dxa"/>
            </w:tcMar>
          </w:tcPr>
          <w:p w14:paraId="3A70C237"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-14.139***</w:t>
            </w:r>
          </w:p>
        </w:tc>
        <w:tc>
          <w:tcPr>
            <w:tcW w:w="1236" w:type="dxa"/>
            <w:tcMar>
              <w:top w:w="55" w:type="dxa"/>
              <w:left w:w="108" w:type="dxa"/>
              <w:bottom w:w="55" w:type="dxa"/>
              <w:right w:w="108" w:type="dxa"/>
            </w:tcMar>
          </w:tcPr>
          <w:p w14:paraId="12D7889B"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-11.614***</w:t>
            </w:r>
          </w:p>
        </w:tc>
        <w:tc>
          <w:tcPr>
            <w:tcW w:w="1236" w:type="dxa"/>
            <w:tcMar>
              <w:top w:w="55" w:type="dxa"/>
              <w:left w:w="108" w:type="dxa"/>
              <w:bottom w:w="55" w:type="dxa"/>
              <w:right w:w="108" w:type="dxa"/>
            </w:tcMar>
          </w:tcPr>
          <w:p w14:paraId="71A066DE"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-11.945***</w:t>
            </w:r>
          </w:p>
        </w:tc>
        <w:tc>
          <w:tcPr>
            <w:tcW w:w="1329" w:type="dxa"/>
            <w:tcMar>
              <w:top w:w="55" w:type="dxa"/>
              <w:left w:w="108" w:type="dxa"/>
              <w:bottom w:w="55" w:type="dxa"/>
              <w:right w:w="108" w:type="dxa"/>
            </w:tcMar>
          </w:tcPr>
          <w:p w14:paraId="31973435" w14:textId="77777777" w:rsidR="005A30D7" w:rsidRPr="006F546F" w:rsidRDefault="005A30D7" w:rsidP="006F546F">
            <w:pPr>
              <w:pStyle w:val="Standard"/>
              <w:spacing w:after="0" w:line="240" w:lineRule="auto"/>
              <w:jc w:val="center"/>
              <w:rPr>
                <w:rFonts w:ascii="Arial" w:eastAsia="Times New Roman" w:hAnsi="Arial" w:cs="Arial"/>
                <w:kern w:val="0"/>
                <w:sz w:val="20"/>
                <w:szCs w:val="20"/>
                <w:lang w:val="en-IN" w:eastAsia="en-IN"/>
              </w:rPr>
            </w:pPr>
          </w:p>
        </w:tc>
      </w:tr>
      <w:tr w:rsidR="005A30D7" w:rsidRPr="006F546F" w14:paraId="3E2E2A35" w14:textId="77777777">
        <w:tc>
          <w:tcPr>
            <w:tcW w:w="1362" w:type="dxa"/>
            <w:tcBorders>
              <w:bottom w:val="single" w:sz="4" w:space="0" w:color="000000"/>
            </w:tcBorders>
            <w:tcMar>
              <w:top w:w="55" w:type="dxa"/>
              <w:left w:w="108" w:type="dxa"/>
              <w:bottom w:w="55" w:type="dxa"/>
              <w:right w:w="108" w:type="dxa"/>
            </w:tcMar>
          </w:tcPr>
          <w:p w14:paraId="61FC1E7F" w14:textId="77777777" w:rsidR="005A30D7" w:rsidRPr="006F546F" w:rsidRDefault="005A30D7" w:rsidP="006F546F">
            <w:pPr>
              <w:pStyle w:val="Standard"/>
              <w:spacing w:after="0" w:line="240" w:lineRule="auto"/>
              <w:jc w:val="both"/>
              <w:rPr>
                <w:rFonts w:ascii="Arial" w:eastAsia="Times New Roman" w:hAnsi="Arial" w:cs="Arial"/>
                <w:kern w:val="0"/>
                <w:sz w:val="20"/>
                <w:szCs w:val="20"/>
                <w:lang w:val="en-IN" w:eastAsia="en-IN"/>
              </w:rPr>
            </w:pPr>
          </w:p>
        </w:tc>
        <w:tc>
          <w:tcPr>
            <w:tcW w:w="1395" w:type="dxa"/>
            <w:tcBorders>
              <w:bottom w:val="single" w:sz="4" w:space="0" w:color="000000"/>
            </w:tcBorders>
            <w:tcMar>
              <w:top w:w="55" w:type="dxa"/>
              <w:left w:w="108" w:type="dxa"/>
              <w:bottom w:w="55" w:type="dxa"/>
              <w:right w:w="108" w:type="dxa"/>
            </w:tcMar>
          </w:tcPr>
          <w:p w14:paraId="202ADAB6"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(0.207)</w:t>
            </w:r>
          </w:p>
        </w:tc>
        <w:tc>
          <w:tcPr>
            <w:tcW w:w="1360" w:type="dxa"/>
            <w:tcBorders>
              <w:bottom w:val="single" w:sz="4" w:space="0" w:color="000000"/>
            </w:tcBorders>
            <w:tcMar>
              <w:top w:w="55" w:type="dxa"/>
              <w:left w:w="108" w:type="dxa"/>
              <w:bottom w:w="55" w:type="dxa"/>
              <w:right w:w="108" w:type="dxa"/>
            </w:tcMar>
          </w:tcPr>
          <w:p w14:paraId="2715332A"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(0.144)</w:t>
            </w:r>
          </w:p>
        </w:tc>
        <w:tc>
          <w:tcPr>
            <w:tcW w:w="1291" w:type="dxa"/>
            <w:tcBorders>
              <w:bottom w:val="single" w:sz="4" w:space="0" w:color="000000"/>
            </w:tcBorders>
            <w:tcMar>
              <w:top w:w="55" w:type="dxa"/>
              <w:left w:w="108" w:type="dxa"/>
              <w:bottom w:w="55" w:type="dxa"/>
              <w:right w:w="108" w:type="dxa"/>
            </w:tcMar>
          </w:tcPr>
          <w:p w14:paraId="73588AD3"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(0.159)</w:t>
            </w:r>
          </w:p>
        </w:tc>
        <w:tc>
          <w:tcPr>
            <w:tcW w:w="1236" w:type="dxa"/>
            <w:tcBorders>
              <w:bottom w:val="single" w:sz="4" w:space="0" w:color="000000"/>
            </w:tcBorders>
            <w:tcMar>
              <w:top w:w="55" w:type="dxa"/>
              <w:left w:w="108" w:type="dxa"/>
              <w:bottom w:w="55" w:type="dxa"/>
              <w:right w:w="108" w:type="dxa"/>
            </w:tcMar>
          </w:tcPr>
          <w:p w14:paraId="26D2C62D"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(0.523)</w:t>
            </w:r>
          </w:p>
        </w:tc>
        <w:tc>
          <w:tcPr>
            <w:tcW w:w="1236" w:type="dxa"/>
            <w:tcBorders>
              <w:bottom w:val="single" w:sz="4" w:space="0" w:color="000000"/>
            </w:tcBorders>
            <w:tcMar>
              <w:top w:w="55" w:type="dxa"/>
              <w:left w:w="108" w:type="dxa"/>
              <w:bottom w:w="55" w:type="dxa"/>
              <w:right w:w="108" w:type="dxa"/>
            </w:tcMar>
          </w:tcPr>
          <w:p w14:paraId="7F097A32" w14:textId="77777777" w:rsidR="005A30D7" w:rsidRPr="006F546F" w:rsidRDefault="0081248F" w:rsidP="006F546F">
            <w:pPr>
              <w:pStyle w:val="Standard"/>
              <w:spacing w:after="0" w:line="240" w:lineRule="auto"/>
              <w:jc w:val="center"/>
              <w:rPr>
                <w:rFonts w:ascii="Arial" w:hAnsi="Arial" w:cs="Arial"/>
                <w:sz w:val="20"/>
                <w:szCs w:val="20"/>
                <w:lang w:val="en-IN"/>
              </w:rPr>
            </w:pPr>
            <w:r w:rsidRPr="006F546F">
              <w:rPr>
                <w:rFonts w:ascii="Arial" w:eastAsia="Times New Roman" w:hAnsi="Arial" w:cs="Arial"/>
                <w:kern w:val="0"/>
                <w:sz w:val="20"/>
                <w:szCs w:val="20"/>
                <w:lang w:val="en-IN" w:eastAsia="en-IN"/>
              </w:rPr>
              <w:t>(0.188)</w:t>
            </w:r>
          </w:p>
        </w:tc>
        <w:tc>
          <w:tcPr>
            <w:tcW w:w="1329" w:type="dxa"/>
            <w:tcBorders>
              <w:bottom w:val="single" w:sz="4" w:space="0" w:color="000000"/>
            </w:tcBorders>
            <w:tcMar>
              <w:top w:w="55" w:type="dxa"/>
              <w:left w:w="108" w:type="dxa"/>
              <w:bottom w:w="55" w:type="dxa"/>
              <w:right w:w="108" w:type="dxa"/>
            </w:tcMar>
          </w:tcPr>
          <w:p w14:paraId="29A1C5CE" w14:textId="77777777" w:rsidR="005A30D7" w:rsidRPr="006F546F" w:rsidRDefault="005A30D7" w:rsidP="006F546F">
            <w:pPr>
              <w:pStyle w:val="Standard"/>
              <w:spacing w:after="0" w:line="240" w:lineRule="auto"/>
              <w:jc w:val="center"/>
              <w:rPr>
                <w:rFonts w:ascii="Arial" w:eastAsia="Times New Roman" w:hAnsi="Arial" w:cs="Arial"/>
                <w:kern w:val="0"/>
                <w:sz w:val="20"/>
                <w:szCs w:val="20"/>
                <w:lang w:val="en-IN" w:eastAsia="en-IN"/>
              </w:rPr>
            </w:pPr>
          </w:p>
        </w:tc>
      </w:tr>
    </w:tbl>
    <w:p w14:paraId="0C15F9D7" w14:textId="77777777" w:rsidR="005A30D7" w:rsidRDefault="0081248F" w:rsidP="00E66D56">
      <w:pPr>
        <w:pStyle w:val="Standard"/>
        <w:spacing w:after="0" w:line="240" w:lineRule="auto"/>
        <w:jc w:val="center"/>
        <w:rPr>
          <w:rFonts w:ascii="Arial" w:hAnsi="Arial" w:cs="Times New Roman"/>
          <w:i/>
          <w:iCs/>
          <w:sz w:val="20"/>
          <w:szCs w:val="20"/>
          <w:lang w:val="en-IN" w:eastAsia="en-IN"/>
        </w:rPr>
      </w:pPr>
      <w:r>
        <w:rPr>
          <w:rFonts w:ascii="Arial" w:hAnsi="Arial" w:cs="Times New Roman"/>
          <w:i/>
          <w:iCs/>
          <w:sz w:val="20"/>
          <w:szCs w:val="20"/>
          <w:lang w:val="en-IN" w:eastAsia="en-IN"/>
        </w:rPr>
        <w:t>Note. Standard errors are given in parentheses. ***, ** &amp; * represent significant at 1, 5 and</w:t>
      </w:r>
    </w:p>
    <w:p w14:paraId="421E64A1" w14:textId="77777777" w:rsidR="005A30D7" w:rsidRDefault="0081248F" w:rsidP="00E66D56">
      <w:pPr>
        <w:pStyle w:val="Standard"/>
        <w:spacing w:after="0" w:line="240" w:lineRule="auto"/>
        <w:jc w:val="center"/>
        <w:rPr>
          <w:rFonts w:ascii="Arial" w:hAnsi="Arial"/>
          <w:sz w:val="20"/>
          <w:szCs w:val="20"/>
        </w:rPr>
      </w:pPr>
      <w:r>
        <w:rPr>
          <w:rFonts w:ascii="Arial" w:hAnsi="Arial" w:cs="Times New Roman"/>
          <w:i/>
          <w:iCs/>
          <w:sz w:val="20"/>
          <w:szCs w:val="20"/>
          <w:lang w:val="en-IN" w:eastAsia="en-IN"/>
        </w:rPr>
        <w:t xml:space="preserve">          10 per cent level of significance, respectively</w:t>
      </w:r>
      <w:r>
        <w:rPr>
          <w:rFonts w:ascii="Arial" w:eastAsia="Times New Roman" w:hAnsi="Arial" w:cs="Times New Roman"/>
          <w:i/>
          <w:iCs/>
          <w:kern w:val="0"/>
          <w:sz w:val="20"/>
          <w:szCs w:val="20"/>
          <w:lang w:val="en-IN" w:eastAsia="en-IN"/>
        </w:rPr>
        <w:t>. Source. Calculated by authors.</w:t>
      </w:r>
    </w:p>
    <w:p w14:paraId="23073ED2" w14:textId="77777777" w:rsidR="005A30D7" w:rsidRDefault="005A30D7" w:rsidP="00E66D56">
      <w:pPr>
        <w:pStyle w:val="Standard"/>
        <w:spacing w:after="0" w:line="240" w:lineRule="auto"/>
        <w:jc w:val="both"/>
        <w:rPr>
          <w:rFonts w:ascii="Times New Roman" w:eastAsia="Times New Roman" w:hAnsi="Times New Roman" w:cs="Times New Roman"/>
          <w:kern w:val="0"/>
          <w:sz w:val="16"/>
          <w:szCs w:val="16"/>
          <w:lang w:val="en-IN" w:eastAsia="en-IN"/>
        </w:rPr>
      </w:pPr>
    </w:p>
    <w:p w14:paraId="6801B8F5" w14:textId="5BBF23FD" w:rsidR="005A30D7" w:rsidRDefault="0081248F">
      <w:pPr>
        <w:pStyle w:val="Standard"/>
        <w:spacing w:line="240" w:lineRule="auto"/>
        <w:jc w:val="both"/>
        <w:rPr>
          <w:rFonts w:ascii="Arial" w:eastAsia="Times New Roman" w:hAnsi="Arial" w:cs="Times New Roman"/>
          <w:kern w:val="0"/>
          <w:sz w:val="20"/>
          <w:szCs w:val="20"/>
          <w:lang w:val="en-IN" w:eastAsia="en-IN"/>
        </w:rPr>
      </w:pPr>
      <w:r>
        <w:rPr>
          <w:rFonts w:ascii="Arial" w:eastAsia="Times New Roman" w:hAnsi="Arial" w:cs="Times New Roman"/>
          <w:kern w:val="0"/>
          <w:sz w:val="20"/>
          <w:szCs w:val="20"/>
          <w:lang w:val="en-IN" w:eastAsia="en-IN"/>
        </w:rPr>
        <w:t xml:space="preserve">The estimation results for LPCCR and LPCDP indicate that LBB, LPCNDDP and LMANP significantly influence financial penetration. Specifically, LBB consistently exhibits a strong and positive </w:t>
      </w:r>
      <w:r w:rsidR="00BB5178">
        <w:rPr>
          <w:rFonts w:ascii="Arial" w:eastAsia="Times New Roman" w:hAnsi="Arial" w:cs="Times New Roman"/>
          <w:kern w:val="0"/>
          <w:sz w:val="20"/>
          <w:szCs w:val="20"/>
          <w:lang w:val="en-IN" w:eastAsia="en-IN"/>
        </w:rPr>
        <w:t>effect</w:t>
      </w:r>
      <w:r>
        <w:rPr>
          <w:rFonts w:ascii="Arial" w:eastAsia="Times New Roman" w:hAnsi="Arial" w:cs="Times New Roman"/>
          <w:kern w:val="0"/>
          <w:sz w:val="20"/>
          <w:szCs w:val="20"/>
          <w:lang w:val="en-IN" w:eastAsia="en-IN"/>
        </w:rPr>
        <w:t xml:space="preserve"> </w:t>
      </w:r>
      <w:r w:rsidR="00BB5178">
        <w:rPr>
          <w:rFonts w:ascii="Arial" w:eastAsia="Times New Roman" w:hAnsi="Arial" w:cs="Times New Roman"/>
          <w:kern w:val="0"/>
          <w:sz w:val="20"/>
          <w:szCs w:val="20"/>
          <w:lang w:val="en-IN" w:eastAsia="en-IN"/>
        </w:rPr>
        <w:t>on</w:t>
      </w:r>
      <w:r>
        <w:rPr>
          <w:rFonts w:ascii="Arial" w:eastAsia="Times New Roman" w:hAnsi="Arial" w:cs="Times New Roman"/>
          <w:kern w:val="0"/>
          <w:sz w:val="20"/>
          <w:szCs w:val="20"/>
          <w:lang w:val="en-IN" w:eastAsia="en-IN"/>
        </w:rPr>
        <w:t xml:space="preserve"> both LPCCR and LPCDP across various models (POLS, FEM, REM, PCSE, FGLS), although its effect is reduced in the System Dynamic Panel approach. Similarly, LPCNDDP maintains significant and positive coefficients, reflecting the critical role of economic productivity in driving financial penetration. LMANP also positively affects both LPCCR and LPCDP, though the magnitudes vary slightly across models.</w:t>
      </w:r>
    </w:p>
    <w:p w14:paraId="25217176" w14:textId="77777777" w:rsidR="005A30D7" w:rsidRDefault="0081248F">
      <w:pPr>
        <w:pStyle w:val="Standard"/>
        <w:spacing w:before="280" w:after="280" w:line="240" w:lineRule="auto"/>
        <w:jc w:val="both"/>
        <w:rPr>
          <w:rFonts w:ascii="Arial" w:eastAsia="Times New Roman" w:hAnsi="Arial" w:cs="Times New Roman"/>
          <w:kern w:val="0"/>
          <w:sz w:val="20"/>
          <w:szCs w:val="20"/>
          <w:lang w:val="en-IN" w:eastAsia="en-IN"/>
        </w:rPr>
      </w:pPr>
      <w:r>
        <w:rPr>
          <w:rFonts w:ascii="Arial" w:eastAsia="Times New Roman" w:hAnsi="Arial" w:cs="Times New Roman"/>
          <w:kern w:val="0"/>
          <w:sz w:val="20"/>
          <w:szCs w:val="20"/>
          <w:lang w:val="en-IN" w:eastAsia="en-IN"/>
        </w:rPr>
        <w:t>In contrast, LPOPGR shows predominantly negative or weak relationships with financial penetration, particularly evident in advanced estimation techniques like PCSE, FGLS and the System Dynamic Panel. Overall, these findings underscore that banking infrastructure, economic prosperity, and manufacturing presence robustly promote financial inclusion, while LPOPGR appears to exert either negligible or adverse effects.</w:t>
      </w:r>
    </w:p>
    <w:p w14:paraId="0F0A8945" w14:textId="350B5275" w:rsidR="005A30D7" w:rsidRDefault="007366FD">
      <w:pPr>
        <w:pStyle w:val="Standard"/>
        <w:spacing w:line="256" w:lineRule="auto"/>
        <w:rPr>
          <w:rFonts w:ascii="Arial" w:hAnsi="Arial"/>
          <w:sz w:val="22"/>
          <w:szCs w:val="22"/>
        </w:rPr>
      </w:pPr>
      <w:bookmarkStart w:id="3" w:name="_Hlk191412689"/>
      <w:r>
        <w:rPr>
          <w:rFonts w:ascii="Arial" w:hAnsi="Arial" w:cs="Times New Roman"/>
          <w:b/>
          <w:bCs/>
          <w:sz w:val="22"/>
          <w:szCs w:val="22"/>
          <w:lang w:val="en-IN"/>
        </w:rPr>
        <w:t>4.</w:t>
      </w:r>
      <w:r w:rsidR="00934E64">
        <w:rPr>
          <w:rFonts w:ascii="Arial" w:hAnsi="Arial" w:cs="Times New Roman"/>
          <w:b/>
          <w:bCs/>
          <w:sz w:val="22"/>
          <w:szCs w:val="22"/>
          <w:lang w:val="en-IN"/>
        </w:rPr>
        <w:t>3</w:t>
      </w:r>
      <w:r>
        <w:rPr>
          <w:rFonts w:ascii="Arial" w:hAnsi="Arial" w:cs="Times New Roman"/>
          <w:b/>
          <w:bCs/>
          <w:sz w:val="22"/>
          <w:szCs w:val="22"/>
          <w:lang w:val="en-IN"/>
        </w:rPr>
        <w:t xml:space="preserve"> Random Coefficient</w:t>
      </w:r>
      <w:r w:rsidR="0081248F">
        <w:rPr>
          <w:rFonts w:ascii="Arial" w:hAnsi="Arial" w:cs="Times New Roman"/>
          <w:b/>
          <w:bCs/>
          <w:sz w:val="22"/>
          <w:szCs w:val="22"/>
          <w:lang w:val="en-IN"/>
        </w:rPr>
        <w:t xml:space="preserve"> Regression </w:t>
      </w:r>
      <w:bookmarkEnd w:id="3"/>
      <w:r w:rsidR="0081248F">
        <w:rPr>
          <w:rFonts w:ascii="Arial" w:hAnsi="Arial" w:cs="Times New Roman"/>
          <w:b/>
          <w:bCs/>
          <w:sz w:val="22"/>
          <w:szCs w:val="22"/>
          <w:lang w:val="en-IN"/>
        </w:rPr>
        <w:t>Results for Credit and Deposit Penetration</w:t>
      </w:r>
    </w:p>
    <w:p w14:paraId="2240E7E5" w14:textId="5E6848E6" w:rsidR="005A30D7" w:rsidRDefault="0081248F">
      <w:pPr>
        <w:pStyle w:val="Standard"/>
        <w:spacing w:line="240" w:lineRule="auto"/>
        <w:jc w:val="both"/>
        <w:rPr>
          <w:rFonts w:ascii="Arial" w:eastAsia="Times New Roman" w:hAnsi="Arial" w:cs="Times New Roman"/>
          <w:kern w:val="0"/>
          <w:sz w:val="20"/>
          <w:szCs w:val="20"/>
          <w:lang w:val="en-IN" w:eastAsia="en-IN"/>
        </w:rPr>
      </w:pPr>
      <w:r>
        <w:rPr>
          <w:rFonts w:ascii="Arial" w:eastAsia="Times New Roman" w:hAnsi="Arial" w:cs="Times New Roman"/>
          <w:kern w:val="0"/>
          <w:sz w:val="20"/>
          <w:szCs w:val="20"/>
          <w:lang w:val="en-IN" w:eastAsia="en-IN"/>
        </w:rPr>
        <w:t>To rigorously address unobserved heterogeneity and parameter non-invariance across spatial units, the prese</w:t>
      </w:r>
      <w:r w:rsidR="00427290">
        <w:rPr>
          <w:rFonts w:ascii="Arial" w:eastAsia="Times New Roman" w:hAnsi="Arial" w:cs="Times New Roman"/>
          <w:kern w:val="0"/>
          <w:sz w:val="20"/>
          <w:szCs w:val="20"/>
          <w:lang w:val="en-IN" w:eastAsia="en-IN"/>
        </w:rPr>
        <w:t>nt study employs Swamy’s Random Coefficient</w:t>
      </w:r>
      <w:r>
        <w:rPr>
          <w:rFonts w:ascii="Arial" w:eastAsia="Times New Roman" w:hAnsi="Arial" w:cs="Times New Roman"/>
          <w:kern w:val="0"/>
          <w:sz w:val="20"/>
          <w:szCs w:val="20"/>
          <w:lang w:val="en-IN" w:eastAsia="en-IN"/>
        </w:rPr>
        <w:t xml:space="preserve"> Model (RCM)—a generalization of traditional panel estimators that allows both intercepts and slope coefficients to vary across cross-sectional units. Unlike standard FEM or REM, which assume slope homogeneity and account for unit-specific heterogeneity solely through intercept variation, the RCM permits district-specific heterogeneity in response parameters, thus offering a superior framework to capture parameter instability and slope heterogeneity.</w:t>
      </w:r>
    </w:p>
    <w:p w14:paraId="2F0D0F23" w14:textId="77777777" w:rsidR="005A30D7" w:rsidRDefault="0081248F">
      <w:pPr>
        <w:pStyle w:val="Standard"/>
        <w:spacing w:line="240" w:lineRule="auto"/>
        <w:jc w:val="both"/>
        <w:rPr>
          <w:rFonts w:ascii="Arial" w:eastAsia="Times New Roman" w:hAnsi="Arial" w:cs="Times New Roman"/>
          <w:kern w:val="0"/>
          <w:sz w:val="20"/>
          <w:szCs w:val="20"/>
          <w:lang w:val="en-IN" w:eastAsia="en-IN"/>
        </w:rPr>
      </w:pPr>
      <w:r>
        <w:rPr>
          <w:rFonts w:ascii="Arial" w:eastAsia="Times New Roman" w:hAnsi="Arial" w:cs="Times New Roman"/>
          <w:kern w:val="0"/>
          <w:sz w:val="20"/>
          <w:szCs w:val="20"/>
          <w:lang w:val="en-IN" w:eastAsia="en-IN"/>
        </w:rPr>
        <w:t>This model specification is particularly suitable for regional development studies where structural, institutional, and demographic disparities can induce differential marginal effects of explanatory variables across observational units. By modeling slope parameters as random draws from a common distribution, Swamy’s approach accommodates the possibility that the effect of banking infrastructure, economic output, manufacturing intensity, and population dynamics on financial inclusion may vary significantly across districts.</w:t>
      </w:r>
    </w:p>
    <w:p w14:paraId="230A8E7A" w14:textId="77777777" w:rsidR="005A30D7" w:rsidRDefault="0081248F">
      <w:pPr>
        <w:pStyle w:val="Standard"/>
        <w:spacing w:line="240" w:lineRule="auto"/>
        <w:jc w:val="both"/>
        <w:rPr>
          <w:rFonts w:ascii="Arial" w:eastAsia="Times New Roman" w:hAnsi="Arial" w:cs="Times New Roman"/>
          <w:kern w:val="0"/>
          <w:sz w:val="20"/>
          <w:szCs w:val="20"/>
          <w:lang w:val="en-IN" w:eastAsia="en-IN"/>
        </w:rPr>
      </w:pPr>
      <w:r>
        <w:rPr>
          <w:rFonts w:ascii="Arial" w:eastAsia="Times New Roman" w:hAnsi="Arial" w:cs="Times New Roman"/>
          <w:kern w:val="0"/>
          <w:sz w:val="20"/>
          <w:szCs w:val="20"/>
          <w:lang w:val="en-IN" w:eastAsia="en-IN"/>
        </w:rPr>
        <w:t>The implementation of RCM not only enhances the efficiency and consistency of coefficient estimates under heteroscedasticity and correlated random effects but also enables the derivation of Best Linear Unbiased Predictors (BLUPs) for each district’s individual coefficients. This allows for a disaggregated, district-wise interpretation of determinants, offering granular insights into spatial asymmetries in financial behaviour. Consequently, the model facilitates fine-grained policy calibration by linking localized structural parameters with financial inclusion outcomes, thereby informing region-specific intervention strategies that are both empirically grounded and econometrically robust.</w:t>
      </w:r>
    </w:p>
    <w:p w14:paraId="6708B336" w14:textId="77777777" w:rsidR="005A30D7" w:rsidRDefault="0081248F">
      <w:pPr>
        <w:pStyle w:val="Standard"/>
        <w:spacing w:line="240" w:lineRule="auto"/>
        <w:rPr>
          <w:rFonts w:ascii="Arial" w:hAnsi="Arial" w:cs="Times New Roman"/>
          <w:sz w:val="20"/>
          <w:szCs w:val="20"/>
          <w:lang w:val="en-IN"/>
        </w:rPr>
      </w:pPr>
      <w:r>
        <w:rPr>
          <w:rFonts w:ascii="Arial" w:hAnsi="Arial" w:cs="Times New Roman"/>
          <w:sz w:val="20"/>
          <w:szCs w:val="20"/>
          <w:lang w:val="en-IN"/>
        </w:rPr>
        <w:lastRenderedPageBreak/>
        <w:t>Table 4 reports the outcomes of the random-coefficients regression analysis examining credit and deposit penetration</w:t>
      </w:r>
    </w:p>
    <w:p w14:paraId="05572F06" w14:textId="77777777" w:rsidR="005A30D7" w:rsidRDefault="0081248F">
      <w:pPr>
        <w:pStyle w:val="Standard"/>
        <w:spacing w:line="360" w:lineRule="auto"/>
        <w:jc w:val="center"/>
        <w:rPr>
          <w:rFonts w:ascii="Arial" w:hAnsi="Arial" w:cs="Times New Roman"/>
          <w:b/>
          <w:bCs/>
          <w:sz w:val="20"/>
          <w:szCs w:val="20"/>
          <w:lang w:val="en-IN"/>
        </w:rPr>
      </w:pPr>
      <w:r>
        <w:rPr>
          <w:rFonts w:ascii="Arial" w:hAnsi="Arial" w:cs="Times New Roman"/>
          <w:b/>
          <w:bCs/>
          <w:sz w:val="20"/>
          <w:szCs w:val="20"/>
          <w:lang w:val="en-IN"/>
        </w:rPr>
        <w:t>Table 4. Random coefficients regression results for credit and deposit penetration</w:t>
      </w:r>
    </w:p>
    <w:tbl>
      <w:tblPr>
        <w:tblW w:w="6044" w:type="dxa"/>
        <w:jc w:val="center"/>
        <w:tblLayout w:type="fixed"/>
        <w:tblCellMar>
          <w:left w:w="10" w:type="dxa"/>
          <w:right w:w="10" w:type="dxa"/>
        </w:tblCellMar>
        <w:tblLook w:val="0000" w:firstRow="0" w:lastRow="0" w:firstColumn="0" w:lastColumn="0" w:noHBand="0" w:noVBand="0"/>
      </w:tblPr>
      <w:tblGrid>
        <w:gridCol w:w="2438"/>
        <w:gridCol w:w="1803"/>
        <w:gridCol w:w="1803"/>
      </w:tblGrid>
      <w:tr w:rsidR="005A30D7" w:rsidRPr="004F261F" w14:paraId="508FBAFE" w14:textId="77777777">
        <w:trPr>
          <w:jc w:val="center"/>
        </w:trPr>
        <w:tc>
          <w:tcPr>
            <w:tcW w:w="2438" w:type="dxa"/>
            <w:tcBorders>
              <w:top w:val="single" w:sz="4" w:space="0" w:color="000000"/>
              <w:bottom w:val="single" w:sz="4" w:space="0" w:color="000000"/>
            </w:tcBorders>
            <w:tcMar>
              <w:top w:w="55" w:type="dxa"/>
              <w:left w:w="108" w:type="dxa"/>
              <w:bottom w:w="55" w:type="dxa"/>
              <w:right w:w="108" w:type="dxa"/>
            </w:tcMar>
          </w:tcPr>
          <w:p w14:paraId="7CB3A0F7" w14:textId="77777777" w:rsidR="005A30D7" w:rsidRPr="004F261F" w:rsidRDefault="0081248F" w:rsidP="004F261F">
            <w:pPr>
              <w:pStyle w:val="Standard"/>
              <w:spacing w:after="0" w:line="240" w:lineRule="auto"/>
              <w:rPr>
                <w:rFonts w:ascii="Arial" w:hAnsi="Arial" w:cs="Arial"/>
                <w:sz w:val="20"/>
                <w:szCs w:val="20"/>
                <w:lang w:val="en-IN"/>
              </w:rPr>
            </w:pPr>
            <w:r w:rsidRPr="004F261F">
              <w:rPr>
                <w:rFonts w:ascii="Arial" w:hAnsi="Arial" w:cs="Arial"/>
                <w:b/>
                <w:bCs/>
                <w:sz w:val="20"/>
                <w:szCs w:val="20"/>
                <w:lang w:val="en-IN"/>
              </w:rPr>
              <w:t>Variables</w:t>
            </w:r>
          </w:p>
        </w:tc>
        <w:tc>
          <w:tcPr>
            <w:tcW w:w="1803" w:type="dxa"/>
            <w:tcBorders>
              <w:top w:val="single" w:sz="4" w:space="0" w:color="000000"/>
              <w:bottom w:val="single" w:sz="4" w:space="0" w:color="000000"/>
            </w:tcBorders>
            <w:tcMar>
              <w:top w:w="55" w:type="dxa"/>
              <w:left w:w="108" w:type="dxa"/>
              <w:bottom w:w="55" w:type="dxa"/>
              <w:right w:w="108" w:type="dxa"/>
            </w:tcMar>
          </w:tcPr>
          <w:p w14:paraId="12330EE2" w14:textId="77777777" w:rsidR="005A30D7" w:rsidRPr="004F261F" w:rsidRDefault="0081248F" w:rsidP="004F261F">
            <w:pPr>
              <w:pStyle w:val="Standard"/>
              <w:spacing w:after="0" w:line="240" w:lineRule="auto"/>
              <w:rPr>
                <w:rFonts w:ascii="Arial" w:hAnsi="Arial" w:cs="Arial"/>
                <w:sz w:val="20"/>
                <w:szCs w:val="20"/>
                <w:lang w:val="en-IN"/>
              </w:rPr>
            </w:pPr>
            <w:r w:rsidRPr="004F261F">
              <w:rPr>
                <w:rFonts w:ascii="Arial" w:hAnsi="Arial" w:cs="Arial"/>
                <w:b/>
                <w:bCs/>
                <w:sz w:val="20"/>
                <w:szCs w:val="20"/>
                <w:lang w:val="en-IN"/>
              </w:rPr>
              <w:t>LPCCR</w:t>
            </w:r>
          </w:p>
        </w:tc>
        <w:tc>
          <w:tcPr>
            <w:tcW w:w="1803" w:type="dxa"/>
            <w:tcBorders>
              <w:top w:val="single" w:sz="4" w:space="0" w:color="000000"/>
              <w:bottom w:val="single" w:sz="4" w:space="0" w:color="000000"/>
            </w:tcBorders>
            <w:tcMar>
              <w:top w:w="55" w:type="dxa"/>
              <w:left w:w="108" w:type="dxa"/>
              <w:bottom w:w="55" w:type="dxa"/>
              <w:right w:w="108" w:type="dxa"/>
            </w:tcMar>
          </w:tcPr>
          <w:p w14:paraId="4BCE9DFC" w14:textId="77777777" w:rsidR="005A30D7" w:rsidRPr="004F261F" w:rsidRDefault="0081248F" w:rsidP="004F261F">
            <w:pPr>
              <w:pStyle w:val="Standard"/>
              <w:spacing w:after="0" w:line="240" w:lineRule="auto"/>
              <w:rPr>
                <w:rFonts w:ascii="Arial" w:hAnsi="Arial" w:cs="Arial"/>
                <w:sz w:val="20"/>
                <w:szCs w:val="20"/>
                <w:lang w:val="en-IN"/>
              </w:rPr>
            </w:pPr>
            <w:r w:rsidRPr="004F261F">
              <w:rPr>
                <w:rFonts w:ascii="Arial" w:hAnsi="Arial" w:cs="Arial"/>
                <w:b/>
                <w:bCs/>
                <w:sz w:val="20"/>
                <w:szCs w:val="20"/>
                <w:lang w:val="en-IN"/>
              </w:rPr>
              <w:t>LPCDP</w:t>
            </w:r>
          </w:p>
        </w:tc>
      </w:tr>
      <w:tr w:rsidR="005A30D7" w:rsidRPr="004F261F" w14:paraId="16345500" w14:textId="77777777">
        <w:trPr>
          <w:jc w:val="center"/>
        </w:trPr>
        <w:tc>
          <w:tcPr>
            <w:tcW w:w="2438" w:type="dxa"/>
            <w:tcMar>
              <w:top w:w="55" w:type="dxa"/>
              <w:left w:w="108" w:type="dxa"/>
              <w:bottom w:w="55" w:type="dxa"/>
              <w:right w:w="108" w:type="dxa"/>
            </w:tcMar>
          </w:tcPr>
          <w:p w14:paraId="35057213" w14:textId="77777777" w:rsidR="005A30D7" w:rsidRPr="004F261F" w:rsidRDefault="0081248F" w:rsidP="004F261F">
            <w:pPr>
              <w:pStyle w:val="Standard"/>
              <w:spacing w:after="0" w:line="240" w:lineRule="auto"/>
              <w:rPr>
                <w:rFonts w:ascii="Arial" w:hAnsi="Arial" w:cs="Arial"/>
                <w:bCs/>
                <w:sz w:val="20"/>
                <w:szCs w:val="20"/>
                <w:lang w:val="en-IN"/>
              </w:rPr>
            </w:pPr>
            <w:r w:rsidRPr="004F261F">
              <w:rPr>
                <w:rFonts w:ascii="Arial" w:hAnsi="Arial" w:cs="Arial"/>
                <w:bCs/>
                <w:sz w:val="20"/>
                <w:szCs w:val="20"/>
                <w:lang w:val="en-IN"/>
              </w:rPr>
              <w:t>LBB</w:t>
            </w:r>
          </w:p>
        </w:tc>
        <w:tc>
          <w:tcPr>
            <w:tcW w:w="1803" w:type="dxa"/>
            <w:tcMar>
              <w:top w:w="55" w:type="dxa"/>
              <w:left w:w="108" w:type="dxa"/>
              <w:bottom w:w="55" w:type="dxa"/>
              <w:right w:w="108" w:type="dxa"/>
            </w:tcMar>
          </w:tcPr>
          <w:p w14:paraId="2CF6078A"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0.442**</w:t>
            </w:r>
          </w:p>
        </w:tc>
        <w:tc>
          <w:tcPr>
            <w:tcW w:w="1803" w:type="dxa"/>
            <w:tcMar>
              <w:top w:w="55" w:type="dxa"/>
              <w:left w:w="108" w:type="dxa"/>
              <w:bottom w:w="55" w:type="dxa"/>
              <w:right w:w="108" w:type="dxa"/>
            </w:tcMar>
          </w:tcPr>
          <w:p w14:paraId="758BFB4B"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0.758***</w:t>
            </w:r>
          </w:p>
        </w:tc>
      </w:tr>
      <w:tr w:rsidR="005A30D7" w:rsidRPr="004F261F" w14:paraId="549A2B3C" w14:textId="77777777">
        <w:trPr>
          <w:jc w:val="center"/>
        </w:trPr>
        <w:tc>
          <w:tcPr>
            <w:tcW w:w="2438" w:type="dxa"/>
            <w:tcMar>
              <w:top w:w="55" w:type="dxa"/>
              <w:left w:w="108" w:type="dxa"/>
              <w:bottom w:w="55" w:type="dxa"/>
              <w:right w:w="108" w:type="dxa"/>
            </w:tcMar>
          </w:tcPr>
          <w:p w14:paraId="70AD9213" w14:textId="77777777" w:rsidR="005A30D7" w:rsidRPr="004F261F" w:rsidRDefault="005A30D7" w:rsidP="004F261F">
            <w:pPr>
              <w:pStyle w:val="Standard"/>
              <w:spacing w:after="0" w:line="240" w:lineRule="auto"/>
              <w:rPr>
                <w:rFonts w:ascii="Arial" w:hAnsi="Arial" w:cs="Arial"/>
                <w:bCs/>
                <w:sz w:val="20"/>
                <w:szCs w:val="20"/>
                <w:lang w:val="en-IN"/>
              </w:rPr>
            </w:pPr>
          </w:p>
        </w:tc>
        <w:tc>
          <w:tcPr>
            <w:tcW w:w="1803" w:type="dxa"/>
            <w:tcMar>
              <w:top w:w="55" w:type="dxa"/>
              <w:left w:w="108" w:type="dxa"/>
              <w:bottom w:w="55" w:type="dxa"/>
              <w:right w:w="108" w:type="dxa"/>
            </w:tcMar>
          </w:tcPr>
          <w:p w14:paraId="4DC9E221"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(0.196)</w:t>
            </w:r>
          </w:p>
        </w:tc>
        <w:tc>
          <w:tcPr>
            <w:tcW w:w="1803" w:type="dxa"/>
            <w:tcMar>
              <w:top w:w="55" w:type="dxa"/>
              <w:left w:w="108" w:type="dxa"/>
              <w:bottom w:w="55" w:type="dxa"/>
              <w:right w:w="108" w:type="dxa"/>
            </w:tcMar>
          </w:tcPr>
          <w:p w14:paraId="54F4F650"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(0.124)</w:t>
            </w:r>
          </w:p>
        </w:tc>
      </w:tr>
      <w:tr w:rsidR="005A30D7" w:rsidRPr="004F261F" w14:paraId="1ED5E9B1" w14:textId="77777777">
        <w:trPr>
          <w:jc w:val="center"/>
        </w:trPr>
        <w:tc>
          <w:tcPr>
            <w:tcW w:w="2438" w:type="dxa"/>
            <w:tcMar>
              <w:top w:w="55" w:type="dxa"/>
              <w:left w:w="108" w:type="dxa"/>
              <w:bottom w:w="55" w:type="dxa"/>
              <w:right w:w="108" w:type="dxa"/>
            </w:tcMar>
          </w:tcPr>
          <w:p w14:paraId="39798446" w14:textId="77777777" w:rsidR="005A30D7" w:rsidRPr="004F261F" w:rsidRDefault="0081248F" w:rsidP="004F261F">
            <w:pPr>
              <w:pStyle w:val="Standard"/>
              <w:spacing w:after="0" w:line="240" w:lineRule="auto"/>
              <w:rPr>
                <w:rFonts w:ascii="Arial" w:hAnsi="Arial" w:cs="Arial"/>
                <w:bCs/>
                <w:sz w:val="20"/>
                <w:szCs w:val="20"/>
                <w:lang w:val="en-IN"/>
              </w:rPr>
            </w:pPr>
            <w:r w:rsidRPr="004F261F">
              <w:rPr>
                <w:rFonts w:ascii="Arial" w:hAnsi="Arial" w:cs="Arial"/>
                <w:bCs/>
                <w:sz w:val="20"/>
                <w:szCs w:val="20"/>
                <w:lang w:val="en-IN"/>
              </w:rPr>
              <w:t>LPCNDDP</w:t>
            </w:r>
          </w:p>
        </w:tc>
        <w:tc>
          <w:tcPr>
            <w:tcW w:w="1803" w:type="dxa"/>
            <w:tcMar>
              <w:top w:w="55" w:type="dxa"/>
              <w:left w:w="108" w:type="dxa"/>
              <w:bottom w:w="55" w:type="dxa"/>
              <w:right w:w="108" w:type="dxa"/>
            </w:tcMar>
          </w:tcPr>
          <w:p w14:paraId="05D4455A"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1.316***</w:t>
            </w:r>
          </w:p>
        </w:tc>
        <w:tc>
          <w:tcPr>
            <w:tcW w:w="1803" w:type="dxa"/>
            <w:tcMar>
              <w:top w:w="55" w:type="dxa"/>
              <w:left w:w="108" w:type="dxa"/>
              <w:bottom w:w="55" w:type="dxa"/>
              <w:right w:w="108" w:type="dxa"/>
            </w:tcMar>
          </w:tcPr>
          <w:p w14:paraId="3B7551F5"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0.957***</w:t>
            </w:r>
          </w:p>
        </w:tc>
      </w:tr>
      <w:tr w:rsidR="005A30D7" w:rsidRPr="004F261F" w14:paraId="562825C8" w14:textId="77777777">
        <w:trPr>
          <w:jc w:val="center"/>
        </w:trPr>
        <w:tc>
          <w:tcPr>
            <w:tcW w:w="2438" w:type="dxa"/>
            <w:tcMar>
              <w:top w:w="55" w:type="dxa"/>
              <w:left w:w="108" w:type="dxa"/>
              <w:bottom w:w="55" w:type="dxa"/>
              <w:right w:w="108" w:type="dxa"/>
            </w:tcMar>
          </w:tcPr>
          <w:p w14:paraId="0F72DBEF" w14:textId="77777777" w:rsidR="005A30D7" w:rsidRPr="004F261F" w:rsidRDefault="005A30D7" w:rsidP="004F261F">
            <w:pPr>
              <w:pStyle w:val="Standard"/>
              <w:spacing w:after="0" w:line="240" w:lineRule="auto"/>
              <w:rPr>
                <w:rFonts w:ascii="Arial" w:hAnsi="Arial" w:cs="Arial"/>
                <w:bCs/>
                <w:sz w:val="20"/>
                <w:szCs w:val="20"/>
                <w:lang w:val="en-IN"/>
              </w:rPr>
            </w:pPr>
          </w:p>
        </w:tc>
        <w:tc>
          <w:tcPr>
            <w:tcW w:w="1803" w:type="dxa"/>
            <w:tcMar>
              <w:top w:w="55" w:type="dxa"/>
              <w:left w:w="108" w:type="dxa"/>
              <w:bottom w:w="55" w:type="dxa"/>
              <w:right w:w="108" w:type="dxa"/>
            </w:tcMar>
          </w:tcPr>
          <w:p w14:paraId="446C0EE1"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(0.063)</w:t>
            </w:r>
          </w:p>
        </w:tc>
        <w:tc>
          <w:tcPr>
            <w:tcW w:w="1803" w:type="dxa"/>
            <w:tcMar>
              <w:top w:w="55" w:type="dxa"/>
              <w:left w:w="108" w:type="dxa"/>
              <w:bottom w:w="55" w:type="dxa"/>
              <w:right w:w="108" w:type="dxa"/>
            </w:tcMar>
          </w:tcPr>
          <w:p w14:paraId="0083AA47"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(0.044)</w:t>
            </w:r>
          </w:p>
        </w:tc>
      </w:tr>
      <w:tr w:rsidR="005A30D7" w:rsidRPr="004F261F" w14:paraId="175D7AED" w14:textId="77777777">
        <w:trPr>
          <w:jc w:val="center"/>
        </w:trPr>
        <w:tc>
          <w:tcPr>
            <w:tcW w:w="2438" w:type="dxa"/>
            <w:tcMar>
              <w:top w:w="55" w:type="dxa"/>
              <w:left w:w="108" w:type="dxa"/>
              <w:bottom w:w="55" w:type="dxa"/>
              <w:right w:w="108" w:type="dxa"/>
            </w:tcMar>
          </w:tcPr>
          <w:p w14:paraId="5D3E4824" w14:textId="77777777" w:rsidR="005A30D7" w:rsidRPr="004F261F" w:rsidRDefault="0081248F" w:rsidP="004F261F">
            <w:pPr>
              <w:pStyle w:val="Standard"/>
              <w:spacing w:after="0" w:line="240" w:lineRule="auto"/>
              <w:rPr>
                <w:rFonts w:ascii="Arial" w:hAnsi="Arial" w:cs="Arial"/>
                <w:bCs/>
                <w:sz w:val="20"/>
                <w:szCs w:val="20"/>
                <w:lang w:val="en-IN"/>
              </w:rPr>
            </w:pPr>
            <w:r w:rsidRPr="004F261F">
              <w:rPr>
                <w:rFonts w:ascii="Arial" w:hAnsi="Arial" w:cs="Arial"/>
                <w:bCs/>
                <w:sz w:val="20"/>
                <w:szCs w:val="20"/>
                <w:lang w:val="en-IN"/>
              </w:rPr>
              <w:t>LMANP</w:t>
            </w:r>
          </w:p>
        </w:tc>
        <w:tc>
          <w:tcPr>
            <w:tcW w:w="1803" w:type="dxa"/>
            <w:tcMar>
              <w:top w:w="55" w:type="dxa"/>
              <w:left w:w="108" w:type="dxa"/>
              <w:bottom w:w="55" w:type="dxa"/>
              <w:right w:w="108" w:type="dxa"/>
            </w:tcMar>
          </w:tcPr>
          <w:p w14:paraId="39627441"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0.559***</w:t>
            </w:r>
          </w:p>
        </w:tc>
        <w:tc>
          <w:tcPr>
            <w:tcW w:w="1803" w:type="dxa"/>
            <w:tcMar>
              <w:top w:w="55" w:type="dxa"/>
              <w:left w:w="108" w:type="dxa"/>
              <w:bottom w:w="55" w:type="dxa"/>
              <w:right w:w="108" w:type="dxa"/>
            </w:tcMar>
          </w:tcPr>
          <w:p w14:paraId="1112C007"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0.344***</w:t>
            </w:r>
          </w:p>
        </w:tc>
      </w:tr>
      <w:tr w:rsidR="005A30D7" w:rsidRPr="004F261F" w14:paraId="0A958090" w14:textId="77777777">
        <w:trPr>
          <w:jc w:val="center"/>
        </w:trPr>
        <w:tc>
          <w:tcPr>
            <w:tcW w:w="2438" w:type="dxa"/>
            <w:tcMar>
              <w:top w:w="55" w:type="dxa"/>
              <w:left w:w="108" w:type="dxa"/>
              <w:bottom w:w="55" w:type="dxa"/>
              <w:right w:w="108" w:type="dxa"/>
            </w:tcMar>
          </w:tcPr>
          <w:p w14:paraId="78419A47" w14:textId="77777777" w:rsidR="005A30D7" w:rsidRPr="004F261F" w:rsidRDefault="005A30D7" w:rsidP="004F261F">
            <w:pPr>
              <w:pStyle w:val="Standard"/>
              <w:spacing w:after="0" w:line="240" w:lineRule="auto"/>
              <w:rPr>
                <w:rFonts w:ascii="Arial" w:hAnsi="Arial" w:cs="Arial"/>
                <w:bCs/>
                <w:sz w:val="20"/>
                <w:szCs w:val="20"/>
                <w:lang w:val="en-IN"/>
              </w:rPr>
            </w:pPr>
          </w:p>
        </w:tc>
        <w:tc>
          <w:tcPr>
            <w:tcW w:w="1803" w:type="dxa"/>
            <w:tcMar>
              <w:top w:w="55" w:type="dxa"/>
              <w:left w:w="108" w:type="dxa"/>
              <w:bottom w:w="55" w:type="dxa"/>
              <w:right w:w="108" w:type="dxa"/>
            </w:tcMar>
          </w:tcPr>
          <w:p w14:paraId="07C8A13D"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(0.089)</w:t>
            </w:r>
          </w:p>
        </w:tc>
        <w:tc>
          <w:tcPr>
            <w:tcW w:w="1803" w:type="dxa"/>
            <w:tcMar>
              <w:top w:w="55" w:type="dxa"/>
              <w:left w:w="108" w:type="dxa"/>
              <w:bottom w:w="55" w:type="dxa"/>
              <w:right w:w="108" w:type="dxa"/>
            </w:tcMar>
          </w:tcPr>
          <w:p w14:paraId="36DE55FC"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(0.068)</w:t>
            </w:r>
          </w:p>
        </w:tc>
      </w:tr>
      <w:tr w:rsidR="005A30D7" w:rsidRPr="004F261F" w14:paraId="7052B838" w14:textId="77777777">
        <w:trPr>
          <w:jc w:val="center"/>
        </w:trPr>
        <w:tc>
          <w:tcPr>
            <w:tcW w:w="2438" w:type="dxa"/>
            <w:tcMar>
              <w:top w:w="55" w:type="dxa"/>
              <w:left w:w="108" w:type="dxa"/>
              <w:bottom w:w="55" w:type="dxa"/>
              <w:right w:w="108" w:type="dxa"/>
            </w:tcMar>
          </w:tcPr>
          <w:p w14:paraId="2471C9E3" w14:textId="77777777" w:rsidR="005A30D7" w:rsidRPr="004F261F" w:rsidRDefault="0081248F" w:rsidP="004F261F">
            <w:pPr>
              <w:pStyle w:val="Standard"/>
              <w:spacing w:after="0" w:line="240" w:lineRule="auto"/>
              <w:rPr>
                <w:rFonts w:ascii="Arial" w:hAnsi="Arial" w:cs="Arial"/>
                <w:bCs/>
                <w:sz w:val="20"/>
                <w:szCs w:val="20"/>
                <w:lang w:val="en-IN"/>
              </w:rPr>
            </w:pPr>
            <w:r w:rsidRPr="004F261F">
              <w:rPr>
                <w:rFonts w:ascii="Arial" w:hAnsi="Arial" w:cs="Arial"/>
                <w:bCs/>
                <w:sz w:val="20"/>
                <w:szCs w:val="20"/>
                <w:lang w:val="en-IN"/>
              </w:rPr>
              <w:t>LPOPGR</w:t>
            </w:r>
          </w:p>
        </w:tc>
        <w:tc>
          <w:tcPr>
            <w:tcW w:w="1803" w:type="dxa"/>
            <w:tcMar>
              <w:top w:w="55" w:type="dxa"/>
              <w:left w:w="108" w:type="dxa"/>
              <w:bottom w:w="55" w:type="dxa"/>
              <w:right w:w="108" w:type="dxa"/>
            </w:tcMar>
          </w:tcPr>
          <w:p w14:paraId="3C5ADE6F"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0.012</w:t>
            </w:r>
          </w:p>
        </w:tc>
        <w:tc>
          <w:tcPr>
            <w:tcW w:w="1803" w:type="dxa"/>
            <w:tcMar>
              <w:top w:w="55" w:type="dxa"/>
              <w:left w:w="108" w:type="dxa"/>
              <w:bottom w:w="55" w:type="dxa"/>
              <w:right w:w="108" w:type="dxa"/>
            </w:tcMar>
          </w:tcPr>
          <w:p w14:paraId="0514216B"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0.041</w:t>
            </w:r>
          </w:p>
        </w:tc>
      </w:tr>
      <w:tr w:rsidR="005A30D7" w:rsidRPr="004F261F" w14:paraId="56EA3AB6" w14:textId="77777777">
        <w:trPr>
          <w:jc w:val="center"/>
        </w:trPr>
        <w:tc>
          <w:tcPr>
            <w:tcW w:w="2438" w:type="dxa"/>
            <w:tcMar>
              <w:top w:w="55" w:type="dxa"/>
              <w:left w:w="108" w:type="dxa"/>
              <w:bottom w:w="55" w:type="dxa"/>
              <w:right w:w="108" w:type="dxa"/>
            </w:tcMar>
          </w:tcPr>
          <w:p w14:paraId="30723EF2" w14:textId="77777777" w:rsidR="005A30D7" w:rsidRPr="004F261F" w:rsidRDefault="005A30D7" w:rsidP="004F261F">
            <w:pPr>
              <w:pStyle w:val="Standard"/>
              <w:spacing w:after="0" w:line="240" w:lineRule="auto"/>
              <w:rPr>
                <w:rFonts w:ascii="Arial" w:hAnsi="Arial" w:cs="Arial"/>
                <w:bCs/>
                <w:sz w:val="20"/>
                <w:szCs w:val="20"/>
                <w:lang w:val="en-IN"/>
              </w:rPr>
            </w:pPr>
          </w:p>
        </w:tc>
        <w:tc>
          <w:tcPr>
            <w:tcW w:w="1803" w:type="dxa"/>
            <w:tcMar>
              <w:top w:w="55" w:type="dxa"/>
              <w:left w:w="108" w:type="dxa"/>
              <w:bottom w:w="55" w:type="dxa"/>
              <w:right w:w="108" w:type="dxa"/>
            </w:tcMar>
          </w:tcPr>
          <w:p w14:paraId="29E59478"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(0.080)</w:t>
            </w:r>
          </w:p>
        </w:tc>
        <w:tc>
          <w:tcPr>
            <w:tcW w:w="1803" w:type="dxa"/>
            <w:tcMar>
              <w:top w:w="55" w:type="dxa"/>
              <w:left w:w="108" w:type="dxa"/>
              <w:bottom w:w="55" w:type="dxa"/>
              <w:right w:w="108" w:type="dxa"/>
            </w:tcMar>
          </w:tcPr>
          <w:p w14:paraId="677D8F2A"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(0.053)</w:t>
            </w:r>
          </w:p>
        </w:tc>
      </w:tr>
      <w:tr w:rsidR="005A30D7" w:rsidRPr="004F261F" w14:paraId="230B9675" w14:textId="77777777">
        <w:trPr>
          <w:jc w:val="center"/>
        </w:trPr>
        <w:tc>
          <w:tcPr>
            <w:tcW w:w="2438" w:type="dxa"/>
            <w:tcMar>
              <w:top w:w="55" w:type="dxa"/>
              <w:left w:w="108" w:type="dxa"/>
              <w:bottom w:w="55" w:type="dxa"/>
              <w:right w:w="108" w:type="dxa"/>
            </w:tcMar>
          </w:tcPr>
          <w:p w14:paraId="72DB4D01" w14:textId="77777777" w:rsidR="005A30D7" w:rsidRPr="004F261F" w:rsidRDefault="0081248F" w:rsidP="004F261F">
            <w:pPr>
              <w:pStyle w:val="Standard"/>
              <w:spacing w:after="0" w:line="240" w:lineRule="auto"/>
              <w:rPr>
                <w:rFonts w:ascii="Arial" w:hAnsi="Arial" w:cs="Arial"/>
                <w:bCs/>
                <w:sz w:val="20"/>
                <w:szCs w:val="20"/>
                <w:lang w:val="en-IN"/>
              </w:rPr>
            </w:pPr>
            <w:r w:rsidRPr="004F261F">
              <w:rPr>
                <w:rFonts w:ascii="Arial" w:hAnsi="Arial" w:cs="Arial"/>
                <w:bCs/>
                <w:sz w:val="20"/>
                <w:szCs w:val="20"/>
                <w:lang w:val="en-IN"/>
              </w:rPr>
              <w:t>C</w:t>
            </w:r>
          </w:p>
        </w:tc>
        <w:tc>
          <w:tcPr>
            <w:tcW w:w="1803" w:type="dxa"/>
            <w:tcMar>
              <w:top w:w="55" w:type="dxa"/>
              <w:left w:w="108" w:type="dxa"/>
              <w:bottom w:w="55" w:type="dxa"/>
              <w:right w:w="108" w:type="dxa"/>
            </w:tcMar>
          </w:tcPr>
          <w:p w14:paraId="622606FD"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-18.216***</w:t>
            </w:r>
          </w:p>
        </w:tc>
        <w:tc>
          <w:tcPr>
            <w:tcW w:w="1803" w:type="dxa"/>
            <w:tcMar>
              <w:top w:w="55" w:type="dxa"/>
              <w:left w:w="108" w:type="dxa"/>
              <w:bottom w:w="55" w:type="dxa"/>
              <w:right w:w="108" w:type="dxa"/>
            </w:tcMar>
          </w:tcPr>
          <w:p w14:paraId="67E6F9D7"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-14.927***</w:t>
            </w:r>
          </w:p>
        </w:tc>
      </w:tr>
      <w:tr w:rsidR="005A30D7" w:rsidRPr="004F261F" w14:paraId="4356FDBA" w14:textId="77777777">
        <w:trPr>
          <w:jc w:val="center"/>
        </w:trPr>
        <w:tc>
          <w:tcPr>
            <w:tcW w:w="2438" w:type="dxa"/>
            <w:tcBorders>
              <w:bottom w:val="single" w:sz="4" w:space="0" w:color="000000"/>
            </w:tcBorders>
            <w:tcMar>
              <w:top w:w="55" w:type="dxa"/>
              <w:left w:w="108" w:type="dxa"/>
              <w:bottom w:w="55" w:type="dxa"/>
              <w:right w:w="108" w:type="dxa"/>
            </w:tcMar>
          </w:tcPr>
          <w:p w14:paraId="0E97C8D2" w14:textId="77777777" w:rsidR="005A30D7" w:rsidRPr="004F261F" w:rsidRDefault="005A30D7" w:rsidP="004F261F">
            <w:pPr>
              <w:pStyle w:val="Standard"/>
              <w:spacing w:after="0" w:line="240" w:lineRule="auto"/>
              <w:rPr>
                <w:rFonts w:ascii="Arial" w:hAnsi="Arial" w:cs="Arial"/>
                <w:b/>
                <w:bCs/>
                <w:sz w:val="20"/>
                <w:szCs w:val="20"/>
                <w:lang w:val="en-IN"/>
              </w:rPr>
            </w:pPr>
          </w:p>
        </w:tc>
        <w:tc>
          <w:tcPr>
            <w:tcW w:w="1803" w:type="dxa"/>
            <w:tcBorders>
              <w:bottom w:val="single" w:sz="4" w:space="0" w:color="000000"/>
            </w:tcBorders>
            <w:tcMar>
              <w:top w:w="55" w:type="dxa"/>
              <w:left w:w="108" w:type="dxa"/>
              <w:bottom w:w="55" w:type="dxa"/>
              <w:right w:w="108" w:type="dxa"/>
            </w:tcMar>
          </w:tcPr>
          <w:p w14:paraId="6FFFCA3F"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(0.698)</w:t>
            </w:r>
          </w:p>
        </w:tc>
        <w:tc>
          <w:tcPr>
            <w:tcW w:w="1803" w:type="dxa"/>
            <w:tcBorders>
              <w:bottom w:val="single" w:sz="4" w:space="0" w:color="000000"/>
            </w:tcBorders>
            <w:tcMar>
              <w:top w:w="55" w:type="dxa"/>
              <w:left w:w="108" w:type="dxa"/>
              <w:bottom w:w="55" w:type="dxa"/>
              <w:right w:w="108" w:type="dxa"/>
            </w:tcMar>
          </w:tcPr>
          <w:p w14:paraId="42FEC84D" w14:textId="77777777" w:rsidR="005A30D7" w:rsidRPr="004F261F" w:rsidRDefault="0081248F" w:rsidP="004F261F">
            <w:pPr>
              <w:pStyle w:val="Standard"/>
              <w:spacing w:after="0" w:line="240" w:lineRule="auto"/>
              <w:jc w:val="center"/>
              <w:rPr>
                <w:rFonts w:ascii="Arial" w:hAnsi="Arial" w:cs="Arial"/>
                <w:sz w:val="20"/>
                <w:szCs w:val="20"/>
                <w:lang w:val="en-IN"/>
              </w:rPr>
            </w:pPr>
            <w:r w:rsidRPr="004F261F">
              <w:rPr>
                <w:rFonts w:ascii="Arial" w:hAnsi="Arial" w:cs="Arial"/>
                <w:sz w:val="20"/>
                <w:szCs w:val="20"/>
                <w:lang w:val="en-IN"/>
              </w:rPr>
              <w:t>(0.463)</w:t>
            </w:r>
          </w:p>
        </w:tc>
      </w:tr>
    </w:tbl>
    <w:p w14:paraId="7B50948B" w14:textId="77777777" w:rsidR="005A30D7" w:rsidRDefault="0081248F" w:rsidP="00BA07CD">
      <w:pPr>
        <w:pStyle w:val="Standard"/>
        <w:spacing w:after="0" w:line="240" w:lineRule="auto"/>
        <w:jc w:val="center"/>
        <w:rPr>
          <w:rFonts w:ascii="Times New Roman" w:hAnsi="Times New Roman" w:cs="Times New Roman"/>
          <w:i/>
          <w:iCs/>
          <w:sz w:val="20"/>
          <w:szCs w:val="20"/>
          <w:lang w:val="en-IN" w:eastAsia="en-IN"/>
        </w:rPr>
      </w:pPr>
      <w:r>
        <w:rPr>
          <w:rFonts w:ascii="Times New Roman" w:hAnsi="Times New Roman" w:cs="Times New Roman"/>
          <w:i/>
          <w:iCs/>
          <w:sz w:val="20"/>
          <w:szCs w:val="20"/>
          <w:lang w:val="en-IN" w:eastAsia="en-IN"/>
        </w:rPr>
        <w:t>Note. Standard errors are given in parentheses. ***, ** &amp; * represent significant at 1, 5 and</w:t>
      </w:r>
    </w:p>
    <w:p w14:paraId="5D5F9FBD" w14:textId="77777777" w:rsidR="005A30D7" w:rsidRDefault="0081248F" w:rsidP="00BA07CD">
      <w:pPr>
        <w:pStyle w:val="Standard"/>
        <w:spacing w:after="0" w:line="240" w:lineRule="auto"/>
        <w:jc w:val="center"/>
        <w:rPr>
          <w:i/>
          <w:iCs/>
        </w:rPr>
      </w:pPr>
      <w:r>
        <w:rPr>
          <w:rFonts w:ascii="Times New Roman" w:hAnsi="Times New Roman" w:cs="Times New Roman"/>
          <w:i/>
          <w:iCs/>
          <w:sz w:val="20"/>
          <w:szCs w:val="20"/>
          <w:lang w:val="en-IN" w:eastAsia="en-IN"/>
        </w:rPr>
        <w:t xml:space="preserve">          10 per cent level of significance, respectively</w:t>
      </w:r>
      <w:r>
        <w:rPr>
          <w:rFonts w:ascii="Times New Roman" w:eastAsia="Times New Roman" w:hAnsi="Times New Roman" w:cs="Times New Roman"/>
          <w:i/>
          <w:iCs/>
          <w:kern w:val="0"/>
          <w:sz w:val="20"/>
          <w:szCs w:val="20"/>
          <w:lang w:val="en-IN" w:eastAsia="en-IN"/>
        </w:rPr>
        <w:t>. Source. Calculated by authors.</w:t>
      </w:r>
    </w:p>
    <w:p w14:paraId="3880109E" w14:textId="77777777" w:rsidR="005A30D7" w:rsidRDefault="005A30D7">
      <w:pPr>
        <w:pStyle w:val="Standard"/>
        <w:spacing w:line="240" w:lineRule="auto"/>
        <w:jc w:val="center"/>
        <w:rPr>
          <w:rFonts w:ascii="Times New Roman" w:eastAsia="Times New Roman" w:hAnsi="Times New Roman" w:cs="Times New Roman"/>
          <w:i/>
          <w:iCs/>
          <w:kern w:val="0"/>
          <w:sz w:val="16"/>
          <w:szCs w:val="16"/>
          <w:lang w:val="en-IN" w:eastAsia="en-IN"/>
        </w:rPr>
      </w:pPr>
    </w:p>
    <w:p w14:paraId="240A5A03"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Results of the random-coefficients regression analysis examining credit and deposit penetration given in Table 4 shows that LBB significantly influences both LPCCR and LPCDP, suggesting that greater branch availability positively contributes to financial penetration. Similarly, LPCNDDP significantly and positively affects both LPCCR and LPCDP, indicating a robust relationship between economic prosperity and financial penetration.</w:t>
      </w:r>
    </w:p>
    <w:p w14:paraId="3C2BEC0C"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LMANP also positively impacts credit penetration and deposit penetration, both significant at the 1 per cent level. Conversely, population growth (LPOPGR) appears insignificant for both LPCCR and LPCDP, highlighting a limited or negligible effect.</w:t>
      </w:r>
    </w:p>
    <w:p w14:paraId="7C0B62B8"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Overall, these results strongly suggest that banking branch availability, economic performance, and manufacturing activities play significant roles in influencing regional financial penetration, while demographic growth appears less influential.</w:t>
      </w:r>
    </w:p>
    <w:p w14:paraId="5BD72F4B" w14:textId="4513C783"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 xml:space="preserve">After this the present study examined the impact of each explanatory variable on the dependent variable in every district separately. This district-by-district breakdown provides a more nuanced view of how factors vary in their influence </w:t>
      </w:r>
      <w:r w:rsidR="00763713">
        <w:rPr>
          <w:rFonts w:ascii="Arial" w:hAnsi="Arial" w:cs="Times New Roman"/>
          <w:sz w:val="20"/>
          <w:szCs w:val="20"/>
          <w:lang w:val="en-IN"/>
        </w:rPr>
        <w:t>across different local contexts</w:t>
      </w:r>
      <w:r>
        <w:rPr>
          <w:rFonts w:ascii="Arial" w:hAnsi="Arial" w:cs="Times New Roman"/>
          <w:sz w:val="20"/>
          <w:szCs w:val="20"/>
          <w:lang w:val="en-IN"/>
        </w:rPr>
        <w:t>.</w:t>
      </w:r>
    </w:p>
    <w:p w14:paraId="1684681A" w14:textId="1142DAC9" w:rsidR="0010151F" w:rsidRDefault="0010151F" w:rsidP="0010151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 xml:space="preserve">Table 5 shows coefficient estimates and standard errors (in parentheses) for four variables LBB, </w:t>
      </w:r>
      <w:bookmarkStart w:id="4" w:name="_Hlk198216973"/>
      <w:r>
        <w:rPr>
          <w:rFonts w:ascii="Arial" w:hAnsi="Arial" w:cs="Times New Roman"/>
          <w:sz w:val="20"/>
          <w:szCs w:val="20"/>
          <w:lang w:val="en-IN"/>
        </w:rPr>
        <w:t xml:space="preserve">LPCNDDP, </w:t>
      </w:r>
      <w:bookmarkEnd w:id="4"/>
      <w:r>
        <w:rPr>
          <w:rFonts w:ascii="Arial" w:hAnsi="Arial" w:cs="Times New Roman"/>
          <w:sz w:val="20"/>
          <w:szCs w:val="20"/>
          <w:lang w:val="en-IN"/>
        </w:rPr>
        <w:t>LMANP and LPOPGR</w:t>
      </w:r>
      <w:r w:rsidR="00CA7255">
        <w:rPr>
          <w:rFonts w:ascii="Arial" w:hAnsi="Arial" w:cs="Times New Roman"/>
          <w:sz w:val="20"/>
          <w:szCs w:val="20"/>
          <w:lang w:val="en-IN"/>
        </w:rPr>
        <w:t>,</w:t>
      </w:r>
      <w:r>
        <w:rPr>
          <w:rFonts w:ascii="Arial" w:hAnsi="Arial" w:cs="Times New Roman"/>
          <w:sz w:val="20"/>
          <w:szCs w:val="20"/>
          <w:lang w:val="en-IN"/>
        </w:rPr>
        <w:t xml:space="preserve"> respectively across 30 districts, with LPCCR as the dependent variable.</w:t>
      </w:r>
    </w:p>
    <w:p w14:paraId="12400FE4" w14:textId="77777777" w:rsidR="005A30D7" w:rsidRDefault="0081248F">
      <w:pPr>
        <w:pStyle w:val="Standard"/>
        <w:spacing w:line="256" w:lineRule="auto"/>
        <w:jc w:val="center"/>
        <w:rPr>
          <w:rFonts w:ascii="Arial" w:hAnsi="Arial" w:cs="Times New Roman"/>
          <w:b/>
          <w:bCs/>
          <w:sz w:val="20"/>
          <w:szCs w:val="20"/>
          <w:lang w:val="en-IN"/>
        </w:rPr>
      </w:pPr>
      <w:r>
        <w:rPr>
          <w:rFonts w:ascii="Arial" w:hAnsi="Arial" w:cs="Times New Roman"/>
          <w:b/>
          <w:bCs/>
          <w:sz w:val="20"/>
          <w:szCs w:val="20"/>
          <w:lang w:val="en-IN"/>
        </w:rPr>
        <w:t>Table 5. district-wise coefficient estimates for LPCCR</w:t>
      </w:r>
    </w:p>
    <w:tbl>
      <w:tblPr>
        <w:tblW w:w="9060" w:type="dxa"/>
        <w:tblInd w:w="5" w:type="dxa"/>
        <w:tblLayout w:type="fixed"/>
        <w:tblCellMar>
          <w:left w:w="10" w:type="dxa"/>
          <w:right w:w="10" w:type="dxa"/>
        </w:tblCellMar>
        <w:tblLook w:val="0000" w:firstRow="0" w:lastRow="0" w:firstColumn="0" w:lastColumn="0" w:noHBand="0" w:noVBand="0"/>
      </w:tblPr>
      <w:tblGrid>
        <w:gridCol w:w="560"/>
        <w:gridCol w:w="1841"/>
        <w:gridCol w:w="1682"/>
        <w:gridCol w:w="1576"/>
        <w:gridCol w:w="1701"/>
        <w:gridCol w:w="1700"/>
      </w:tblGrid>
      <w:tr w:rsidR="005A30D7" w:rsidRPr="00F77872" w14:paraId="156A27AE" w14:textId="77777777">
        <w:tc>
          <w:tcPr>
            <w:tcW w:w="560" w:type="dxa"/>
            <w:tcBorders>
              <w:top w:val="single" w:sz="4" w:space="0" w:color="000000"/>
              <w:bottom w:val="single" w:sz="4" w:space="0" w:color="000000"/>
            </w:tcBorders>
            <w:tcMar>
              <w:top w:w="55" w:type="dxa"/>
              <w:left w:w="108" w:type="dxa"/>
              <w:bottom w:w="55" w:type="dxa"/>
              <w:right w:w="108" w:type="dxa"/>
            </w:tcMar>
          </w:tcPr>
          <w:p w14:paraId="3EAE4CCF" w14:textId="77777777" w:rsidR="005A30D7" w:rsidRPr="00F77872" w:rsidRDefault="005A30D7" w:rsidP="00F77872">
            <w:pPr>
              <w:pStyle w:val="Standard"/>
              <w:spacing w:after="0" w:line="240" w:lineRule="auto"/>
              <w:jc w:val="center"/>
              <w:rPr>
                <w:rFonts w:ascii="Arial" w:hAnsi="Arial" w:cs="Arial"/>
                <w:b/>
                <w:bCs/>
                <w:sz w:val="20"/>
                <w:szCs w:val="20"/>
                <w:lang w:val="en-IN"/>
              </w:rPr>
            </w:pPr>
          </w:p>
        </w:tc>
        <w:tc>
          <w:tcPr>
            <w:tcW w:w="8500" w:type="dxa"/>
            <w:gridSpan w:val="5"/>
            <w:tcBorders>
              <w:top w:val="single" w:sz="4" w:space="0" w:color="000000"/>
              <w:bottom w:val="single" w:sz="4" w:space="0" w:color="000000"/>
            </w:tcBorders>
            <w:tcMar>
              <w:top w:w="55" w:type="dxa"/>
              <w:left w:w="108" w:type="dxa"/>
              <w:bottom w:w="55" w:type="dxa"/>
              <w:right w:w="108" w:type="dxa"/>
            </w:tcMar>
          </w:tcPr>
          <w:p w14:paraId="3FC576C5" w14:textId="77777777" w:rsidR="005A30D7" w:rsidRPr="00F77872" w:rsidRDefault="0081248F" w:rsidP="00F77872">
            <w:pPr>
              <w:pStyle w:val="Standard"/>
              <w:spacing w:after="0" w:line="240" w:lineRule="auto"/>
              <w:jc w:val="center"/>
              <w:rPr>
                <w:rFonts w:ascii="Arial" w:hAnsi="Arial" w:cs="Arial"/>
                <w:b/>
                <w:bCs/>
                <w:sz w:val="20"/>
                <w:szCs w:val="20"/>
                <w:lang w:val="en-IN"/>
              </w:rPr>
            </w:pPr>
            <w:r w:rsidRPr="00F77872">
              <w:rPr>
                <w:rFonts w:ascii="Arial" w:hAnsi="Arial" w:cs="Arial"/>
                <w:b/>
                <w:bCs/>
                <w:sz w:val="20"/>
                <w:szCs w:val="20"/>
                <w:lang w:val="en-IN"/>
              </w:rPr>
              <w:t>Dependent Variable is LPCCR</w:t>
            </w:r>
          </w:p>
        </w:tc>
      </w:tr>
      <w:tr w:rsidR="005A30D7" w:rsidRPr="00F77872" w14:paraId="6EACAADC" w14:textId="77777777">
        <w:tc>
          <w:tcPr>
            <w:tcW w:w="560" w:type="dxa"/>
            <w:tcBorders>
              <w:bottom w:val="single" w:sz="4" w:space="0" w:color="000000"/>
            </w:tcBorders>
            <w:tcMar>
              <w:top w:w="55" w:type="dxa"/>
              <w:left w:w="108" w:type="dxa"/>
              <w:bottom w:w="55" w:type="dxa"/>
              <w:right w:w="108" w:type="dxa"/>
            </w:tcMar>
          </w:tcPr>
          <w:p w14:paraId="2480F5F6" w14:textId="77777777" w:rsidR="005A30D7" w:rsidRPr="00F77872" w:rsidRDefault="0081248F" w:rsidP="00F77872">
            <w:pPr>
              <w:pStyle w:val="Standard"/>
              <w:spacing w:after="0" w:line="240" w:lineRule="auto"/>
              <w:rPr>
                <w:rFonts w:ascii="Arial" w:hAnsi="Arial" w:cs="Arial"/>
                <w:b/>
                <w:bCs/>
                <w:sz w:val="20"/>
                <w:szCs w:val="20"/>
                <w:lang w:val="en-IN"/>
              </w:rPr>
            </w:pPr>
            <w:r w:rsidRPr="00F77872">
              <w:rPr>
                <w:rFonts w:ascii="Arial" w:hAnsi="Arial" w:cs="Arial"/>
                <w:b/>
                <w:bCs/>
                <w:sz w:val="20"/>
                <w:szCs w:val="20"/>
                <w:lang w:val="en-IN"/>
              </w:rPr>
              <w:t>SN</w:t>
            </w:r>
          </w:p>
        </w:tc>
        <w:tc>
          <w:tcPr>
            <w:tcW w:w="1841" w:type="dxa"/>
            <w:tcBorders>
              <w:bottom w:val="single" w:sz="4" w:space="0" w:color="000000"/>
            </w:tcBorders>
            <w:tcMar>
              <w:top w:w="55" w:type="dxa"/>
              <w:left w:w="108" w:type="dxa"/>
              <w:bottom w:w="55" w:type="dxa"/>
              <w:right w:w="108" w:type="dxa"/>
            </w:tcMar>
          </w:tcPr>
          <w:p w14:paraId="0268973E" w14:textId="77777777" w:rsidR="005A30D7" w:rsidRPr="00F77872" w:rsidRDefault="0081248F" w:rsidP="00F77872">
            <w:pPr>
              <w:pStyle w:val="Standard"/>
              <w:spacing w:after="0" w:line="240" w:lineRule="auto"/>
              <w:rPr>
                <w:rFonts w:ascii="Arial" w:hAnsi="Arial" w:cs="Arial"/>
                <w:b/>
                <w:bCs/>
                <w:sz w:val="20"/>
                <w:szCs w:val="20"/>
                <w:lang w:val="en-IN"/>
              </w:rPr>
            </w:pPr>
            <w:r w:rsidRPr="00F77872">
              <w:rPr>
                <w:rFonts w:ascii="Arial" w:hAnsi="Arial" w:cs="Arial"/>
                <w:b/>
                <w:bCs/>
                <w:sz w:val="20"/>
                <w:szCs w:val="20"/>
                <w:lang w:val="en-IN"/>
              </w:rPr>
              <w:t>Districts</w:t>
            </w:r>
          </w:p>
        </w:tc>
        <w:tc>
          <w:tcPr>
            <w:tcW w:w="1682" w:type="dxa"/>
            <w:tcBorders>
              <w:bottom w:val="single" w:sz="4" w:space="0" w:color="000000"/>
            </w:tcBorders>
            <w:tcMar>
              <w:top w:w="55" w:type="dxa"/>
              <w:left w:w="108" w:type="dxa"/>
              <w:bottom w:w="55" w:type="dxa"/>
              <w:right w:w="108" w:type="dxa"/>
            </w:tcMar>
          </w:tcPr>
          <w:p w14:paraId="017ED3D5" w14:textId="77777777" w:rsidR="005A30D7" w:rsidRPr="00F77872" w:rsidRDefault="0081248F" w:rsidP="00F77872">
            <w:pPr>
              <w:pStyle w:val="Standard"/>
              <w:spacing w:after="0" w:line="240" w:lineRule="auto"/>
              <w:jc w:val="center"/>
              <w:rPr>
                <w:rFonts w:ascii="Arial" w:hAnsi="Arial" w:cs="Arial"/>
                <w:b/>
                <w:bCs/>
                <w:sz w:val="20"/>
                <w:szCs w:val="20"/>
                <w:lang w:val="en-IN"/>
              </w:rPr>
            </w:pPr>
            <w:r w:rsidRPr="00F77872">
              <w:rPr>
                <w:rFonts w:ascii="Arial" w:hAnsi="Arial" w:cs="Arial"/>
                <w:b/>
                <w:bCs/>
                <w:sz w:val="20"/>
                <w:szCs w:val="20"/>
                <w:lang w:val="en-IN"/>
              </w:rPr>
              <w:t>LBB</w:t>
            </w:r>
          </w:p>
        </w:tc>
        <w:tc>
          <w:tcPr>
            <w:tcW w:w="1576" w:type="dxa"/>
            <w:tcBorders>
              <w:bottom w:val="single" w:sz="4" w:space="0" w:color="000000"/>
            </w:tcBorders>
            <w:tcMar>
              <w:top w:w="55" w:type="dxa"/>
              <w:left w:w="108" w:type="dxa"/>
              <w:bottom w:w="55" w:type="dxa"/>
              <w:right w:w="108" w:type="dxa"/>
            </w:tcMar>
          </w:tcPr>
          <w:p w14:paraId="79914F98" w14:textId="77777777" w:rsidR="005A30D7" w:rsidRPr="00F77872" w:rsidRDefault="0081248F" w:rsidP="00F77872">
            <w:pPr>
              <w:pStyle w:val="Standard"/>
              <w:spacing w:after="0" w:line="240" w:lineRule="auto"/>
              <w:jc w:val="center"/>
              <w:rPr>
                <w:rFonts w:ascii="Arial" w:hAnsi="Arial" w:cs="Arial"/>
                <w:b/>
                <w:bCs/>
                <w:sz w:val="20"/>
                <w:szCs w:val="20"/>
                <w:lang w:val="en-IN"/>
              </w:rPr>
            </w:pPr>
            <w:r w:rsidRPr="00F77872">
              <w:rPr>
                <w:rFonts w:ascii="Arial" w:hAnsi="Arial" w:cs="Arial"/>
                <w:b/>
                <w:bCs/>
                <w:sz w:val="20"/>
                <w:szCs w:val="20"/>
                <w:lang w:val="en-IN"/>
              </w:rPr>
              <w:t>LPCNDDP</w:t>
            </w:r>
          </w:p>
        </w:tc>
        <w:tc>
          <w:tcPr>
            <w:tcW w:w="1701" w:type="dxa"/>
            <w:tcBorders>
              <w:bottom w:val="single" w:sz="4" w:space="0" w:color="000000"/>
            </w:tcBorders>
            <w:tcMar>
              <w:top w:w="55" w:type="dxa"/>
              <w:left w:w="108" w:type="dxa"/>
              <w:bottom w:w="55" w:type="dxa"/>
              <w:right w:w="108" w:type="dxa"/>
            </w:tcMar>
          </w:tcPr>
          <w:p w14:paraId="56A77A6A" w14:textId="77777777" w:rsidR="005A30D7" w:rsidRPr="00F77872" w:rsidRDefault="0081248F" w:rsidP="00F77872">
            <w:pPr>
              <w:pStyle w:val="Standard"/>
              <w:spacing w:after="0" w:line="240" w:lineRule="auto"/>
              <w:jc w:val="center"/>
              <w:rPr>
                <w:rFonts w:ascii="Arial" w:hAnsi="Arial" w:cs="Arial"/>
                <w:b/>
                <w:bCs/>
                <w:sz w:val="20"/>
                <w:szCs w:val="20"/>
                <w:lang w:val="en-IN"/>
              </w:rPr>
            </w:pPr>
            <w:r w:rsidRPr="00F77872">
              <w:rPr>
                <w:rFonts w:ascii="Arial" w:hAnsi="Arial" w:cs="Arial"/>
                <w:b/>
                <w:bCs/>
                <w:sz w:val="20"/>
                <w:szCs w:val="20"/>
                <w:lang w:val="en-IN"/>
              </w:rPr>
              <w:t>LMANP</w:t>
            </w:r>
          </w:p>
        </w:tc>
        <w:tc>
          <w:tcPr>
            <w:tcW w:w="1700" w:type="dxa"/>
            <w:tcBorders>
              <w:bottom w:val="single" w:sz="4" w:space="0" w:color="000000"/>
            </w:tcBorders>
            <w:tcMar>
              <w:top w:w="55" w:type="dxa"/>
              <w:left w:w="108" w:type="dxa"/>
              <w:bottom w:w="55" w:type="dxa"/>
              <w:right w:w="108" w:type="dxa"/>
            </w:tcMar>
          </w:tcPr>
          <w:p w14:paraId="7210196F" w14:textId="77777777" w:rsidR="005A30D7" w:rsidRPr="00F77872" w:rsidRDefault="0081248F" w:rsidP="00F77872">
            <w:pPr>
              <w:pStyle w:val="Standard"/>
              <w:spacing w:after="0" w:line="240" w:lineRule="auto"/>
              <w:jc w:val="center"/>
              <w:rPr>
                <w:rFonts w:ascii="Arial" w:hAnsi="Arial" w:cs="Arial"/>
                <w:b/>
                <w:bCs/>
                <w:sz w:val="20"/>
                <w:szCs w:val="20"/>
                <w:lang w:val="en-IN"/>
              </w:rPr>
            </w:pPr>
            <w:r w:rsidRPr="00F77872">
              <w:rPr>
                <w:rFonts w:ascii="Arial" w:hAnsi="Arial" w:cs="Arial"/>
                <w:b/>
                <w:bCs/>
                <w:sz w:val="20"/>
                <w:szCs w:val="20"/>
                <w:lang w:val="en-IN"/>
              </w:rPr>
              <w:t>LPOPGR</w:t>
            </w:r>
          </w:p>
        </w:tc>
      </w:tr>
      <w:tr w:rsidR="005A30D7" w:rsidRPr="00F77872" w14:paraId="1386537F" w14:textId="77777777">
        <w:tc>
          <w:tcPr>
            <w:tcW w:w="560" w:type="dxa"/>
            <w:tcMar>
              <w:top w:w="55" w:type="dxa"/>
              <w:left w:w="108" w:type="dxa"/>
              <w:bottom w:w="55" w:type="dxa"/>
              <w:right w:w="108" w:type="dxa"/>
            </w:tcMar>
          </w:tcPr>
          <w:p w14:paraId="7123BDB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w:t>
            </w:r>
          </w:p>
        </w:tc>
        <w:tc>
          <w:tcPr>
            <w:tcW w:w="1841" w:type="dxa"/>
            <w:tcMar>
              <w:top w:w="55" w:type="dxa"/>
              <w:left w:w="108" w:type="dxa"/>
              <w:bottom w:w="55" w:type="dxa"/>
              <w:right w:w="108" w:type="dxa"/>
            </w:tcMar>
          </w:tcPr>
          <w:p w14:paraId="0332292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Ajmer</w:t>
            </w:r>
          </w:p>
        </w:tc>
        <w:tc>
          <w:tcPr>
            <w:tcW w:w="1682" w:type="dxa"/>
            <w:tcMar>
              <w:top w:w="55" w:type="dxa"/>
              <w:left w:w="108" w:type="dxa"/>
              <w:bottom w:w="55" w:type="dxa"/>
              <w:right w:w="108" w:type="dxa"/>
            </w:tcMar>
          </w:tcPr>
          <w:p w14:paraId="36620AB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1.91(0.38)***</w:t>
            </w:r>
          </w:p>
        </w:tc>
        <w:tc>
          <w:tcPr>
            <w:tcW w:w="1576" w:type="dxa"/>
            <w:tcMar>
              <w:top w:w="55" w:type="dxa"/>
              <w:left w:w="108" w:type="dxa"/>
              <w:bottom w:w="55" w:type="dxa"/>
              <w:right w:w="108" w:type="dxa"/>
            </w:tcMar>
          </w:tcPr>
          <w:p w14:paraId="6A4131B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0.66(0.13)***</w:t>
            </w:r>
          </w:p>
        </w:tc>
        <w:tc>
          <w:tcPr>
            <w:tcW w:w="1701" w:type="dxa"/>
            <w:tcMar>
              <w:top w:w="55" w:type="dxa"/>
              <w:left w:w="108" w:type="dxa"/>
              <w:bottom w:w="55" w:type="dxa"/>
              <w:right w:w="108" w:type="dxa"/>
            </w:tcMar>
          </w:tcPr>
          <w:p w14:paraId="621D55A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0.47(0.19)*</w:t>
            </w:r>
          </w:p>
        </w:tc>
        <w:tc>
          <w:tcPr>
            <w:tcW w:w="1700" w:type="dxa"/>
            <w:tcMar>
              <w:top w:w="55" w:type="dxa"/>
              <w:left w:w="108" w:type="dxa"/>
              <w:bottom w:w="55" w:type="dxa"/>
              <w:right w:w="108" w:type="dxa"/>
            </w:tcMar>
          </w:tcPr>
          <w:p w14:paraId="1A6AF00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0.93(0.20)***</w:t>
            </w:r>
          </w:p>
        </w:tc>
      </w:tr>
      <w:tr w:rsidR="005A30D7" w:rsidRPr="00F77872" w14:paraId="64A95474" w14:textId="77777777">
        <w:tc>
          <w:tcPr>
            <w:tcW w:w="560" w:type="dxa"/>
            <w:tcMar>
              <w:top w:w="55" w:type="dxa"/>
              <w:left w:w="108" w:type="dxa"/>
              <w:bottom w:w="55" w:type="dxa"/>
              <w:right w:w="108" w:type="dxa"/>
            </w:tcMar>
          </w:tcPr>
          <w:p w14:paraId="233DEFA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w:t>
            </w:r>
          </w:p>
        </w:tc>
        <w:tc>
          <w:tcPr>
            <w:tcW w:w="1841" w:type="dxa"/>
            <w:tcMar>
              <w:top w:w="55" w:type="dxa"/>
              <w:left w:w="108" w:type="dxa"/>
              <w:bottom w:w="55" w:type="dxa"/>
              <w:right w:w="108" w:type="dxa"/>
            </w:tcMar>
          </w:tcPr>
          <w:p w14:paraId="1A1F9C3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Alwar</w:t>
            </w:r>
          </w:p>
        </w:tc>
        <w:tc>
          <w:tcPr>
            <w:tcW w:w="1682" w:type="dxa"/>
            <w:tcMar>
              <w:top w:w="55" w:type="dxa"/>
              <w:left w:w="108" w:type="dxa"/>
              <w:bottom w:w="55" w:type="dxa"/>
              <w:right w:w="108" w:type="dxa"/>
            </w:tcMar>
          </w:tcPr>
          <w:p w14:paraId="49B85C1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-0.04(0.28)</w:t>
            </w:r>
          </w:p>
        </w:tc>
        <w:tc>
          <w:tcPr>
            <w:tcW w:w="1576" w:type="dxa"/>
            <w:tcMar>
              <w:top w:w="55" w:type="dxa"/>
              <w:left w:w="108" w:type="dxa"/>
              <w:bottom w:w="55" w:type="dxa"/>
              <w:right w:w="108" w:type="dxa"/>
            </w:tcMar>
          </w:tcPr>
          <w:p w14:paraId="40B2D3F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1.17(0.10)***</w:t>
            </w:r>
          </w:p>
        </w:tc>
        <w:tc>
          <w:tcPr>
            <w:tcW w:w="1701" w:type="dxa"/>
            <w:tcMar>
              <w:top w:w="55" w:type="dxa"/>
              <w:left w:w="108" w:type="dxa"/>
              <w:bottom w:w="55" w:type="dxa"/>
              <w:right w:w="108" w:type="dxa"/>
            </w:tcMar>
          </w:tcPr>
          <w:p w14:paraId="2779DE1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-0.16(0.16)</w:t>
            </w:r>
          </w:p>
        </w:tc>
        <w:tc>
          <w:tcPr>
            <w:tcW w:w="1700" w:type="dxa"/>
            <w:tcMar>
              <w:top w:w="55" w:type="dxa"/>
              <w:left w:w="108" w:type="dxa"/>
              <w:bottom w:w="55" w:type="dxa"/>
              <w:right w:w="108" w:type="dxa"/>
            </w:tcMar>
          </w:tcPr>
          <w:p w14:paraId="0949861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0.04(0.15)</w:t>
            </w:r>
          </w:p>
        </w:tc>
      </w:tr>
      <w:tr w:rsidR="005A30D7" w:rsidRPr="00F77872" w14:paraId="17AAB759" w14:textId="77777777">
        <w:tc>
          <w:tcPr>
            <w:tcW w:w="560" w:type="dxa"/>
            <w:tcMar>
              <w:top w:w="55" w:type="dxa"/>
              <w:left w:w="108" w:type="dxa"/>
              <w:bottom w:w="55" w:type="dxa"/>
              <w:right w:w="108" w:type="dxa"/>
            </w:tcMar>
          </w:tcPr>
          <w:p w14:paraId="4F19BFE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3</w:t>
            </w:r>
          </w:p>
        </w:tc>
        <w:tc>
          <w:tcPr>
            <w:tcW w:w="1841" w:type="dxa"/>
            <w:tcMar>
              <w:top w:w="55" w:type="dxa"/>
              <w:left w:w="108" w:type="dxa"/>
              <w:bottom w:w="55" w:type="dxa"/>
              <w:right w:w="108" w:type="dxa"/>
            </w:tcMar>
          </w:tcPr>
          <w:p w14:paraId="29E3F1F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Banswara</w:t>
            </w:r>
          </w:p>
        </w:tc>
        <w:tc>
          <w:tcPr>
            <w:tcW w:w="1682" w:type="dxa"/>
            <w:tcMar>
              <w:top w:w="55" w:type="dxa"/>
              <w:left w:w="108" w:type="dxa"/>
              <w:bottom w:w="55" w:type="dxa"/>
              <w:right w:w="108" w:type="dxa"/>
            </w:tcMar>
          </w:tcPr>
          <w:p w14:paraId="28C72E0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0.11(0.38)</w:t>
            </w:r>
          </w:p>
        </w:tc>
        <w:tc>
          <w:tcPr>
            <w:tcW w:w="1576" w:type="dxa"/>
            <w:tcMar>
              <w:top w:w="55" w:type="dxa"/>
              <w:left w:w="108" w:type="dxa"/>
              <w:bottom w:w="55" w:type="dxa"/>
              <w:right w:w="108" w:type="dxa"/>
            </w:tcMar>
          </w:tcPr>
          <w:p w14:paraId="7C3EC34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1.41(0.12)***</w:t>
            </w:r>
          </w:p>
        </w:tc>
        <w:tc>
          <w:tcPr>
            <w:tcW w:w="1701" w:type="dxa"/>
            <w:tcMar>
              <w:top w:w="55" w:type="dxa"/>
              <w:left w:w="108" w:type="dxa"/>
              <w:bottom w:w="55" w:type="dxa"/>
              <w:right w:w="108" w:type="dxa"/>
            </w:tcMar>
          </w:tcPr>
          <w:p w14:paraId="0ED7304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0.49(0.18)***</w:t>
            </w:r>
          </w:p>
        </w:tc>
        <w:tc>
          <w:tcPr>
            <w:tcW w:w="1700" w:type="dxa"/>
            <w:tcMar>
              <w:top w:w="55" w:type="dxa"/>
              <w:left w:w="108" w:type="dxa"/>
              <w:bottom w:w="55" w:type="dxa"/>
              <w:right w:w="108" w:type="dxa"/>
            </w:tcMar>
          </w:tcPr>
          <w:p w14:paraId="7062C19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-0.24(0.19)</w:t>
            </w:r>
          </w:p>
        </w:tc>
      </w:tr>
      <w:tr w:rsidR="005A30D7" w:rsidRPr="00F77872" w14:paraId="0377F335" w14:textId="77777777">
        <w:tc>
          <w:tcPr>
            <w:tcW w:w="560" w:type="dxa"/>
            <w:tcMar>
              <w:top w:w="55" w:type="dxa"/>
              <w:left w:w="108" w:type="dxa"/>
              <w:bottom w:w="55" w:type="dxa"/>
              <w:right w:w="108" w:type="dxa"/>
            </w:tcMar>
          </w:tcPr>
          <w:p w14:paraId="0B48890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4</w:t>
            </w:r>
          </w:p>
        </w:tc>
        <w:tc>
          <w:tcPr>
            <w:tcW w:w="1841" w:type="dxa"/>
            <w:tcMar>
              <w:top w:w="55" w:type="dxa"/>
              <w:left w:w="108" w:type="dxa"/>
              <w:bottom w:w="55" w:type="dxa"/>
              <w:right w:w="108" w:type="dxa"/>
            </w:tcMar>
          </w:tcPr>
          <w:p w14:paraId="78BCC3A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Baran</w:t>
            </w:r>
          </w:p>
        </w:tc>
        <w:tc>
          <w:tcPr>
            <w:tcW w:w="1682" w:type="dxa"/>
            <w:tcMar>
              <w:top w:w="55" w:type="dxa"/>
              <w:left w:w="108" w:type="dxa"/>
              <w:bottom w:w="55" w:type="dxa"/>
              <w:right w:w="108" w:type="dxa"/>
            </w:tcMar>
          </w:tcPr>
          <w:p w14:paraId="7CA9D04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-0.26(0.25)</w:t>
            </w:r>
          </w:p>
        </w:tc>
        <w:tc>
          <w:tcPr>
            <w:tcW w:w="1576" w:type="dxa"/>
            <w:tcMar>
              <w:top w:w="55" w:type="dxa"/>
              <w:left w:w="108" w:type="dxa"/>
              <w:bottom w:w="55" w:type="dxa"/>
              <w:right w:w="108" w:type="dxa"/>
            </w:tcMar>
          </w:tcPr>
          <w:p w14:paraId="19A8171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1.64(0.10)***</w:t>
            </w:r>
          </w:p>
        </w:tc>
        <w:tc>
          <w:tcPr>
            <w:tcW w:w="1701" w:type="dxa"/>
            <w:tcMar>
              <w:top w:w="55" w:type="dxa"/>
              <w:left w:w="108" w:type="dxa"/>
              <w:bottom w:w="55" w:type="dxa"/>
              <w:right w:w="108" w:type="dxa"/>
            </w:tcMar>
          </w:tcPr>
          <w:p w14:paraId="608A014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0.85(0.21)***</w:t>
            </w:r>
          </w:p>
        </w:tc>
        <w:tc>
          <w:tcPr>
            <w:tcW w:w="1700" w:type="dxa"/>
            <w:tcMar>
              <w:top w:w="55" w:type="dxa"/>
              <w:left w:w="108" w:type="dxa"/>
              <w:bottom w:w="55" w:type="dxa"/>
              <w:right w:w="108" w:type="dxa"/>
            </w:tcMar>
          </w:tcPr>
          <w:p w14:paraId="2960D92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0.00(0.07)</w:t>
            </w:r>
          </w:p>
        </w:tc>
      </w:tr>
      <w:tr w:rsidR="005A30D7" w:rsidRPr="00F77872" w14:paraId="3CD34F08" w14:textId="77777777">
        <w:tc>
          <w:tcPr>
            <w:tcW w:w="560" w:type="dxa"/>
            <w:tcMar>
              <w:top w:w="55" w:type="dxa"/>
              <w:left w:w="108" w:type="dxa"/>
              <w:bottom w:w="55" w:type="dxa"/>
              <w:right w:w="108" w:type="dxa"/>
            </w:tcMar>
          </w:tcPr>
          <w:p w14:paraId="2BB9EEA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lastRenderedPageBreak/>
              <w:t>5</w:t>
            </w:r>
          </w:p>
        </w:tc>
        <w:tc>
          <w:tcPr>
            <w:tcW w:w="1841" w:type="dxa"/>
            <w:tcMar>
              <w:top w:w="55" w:type="dxa"/>
              <w:left w:w="108" w:type="dxa"/>
              <w:bottom w:w="55" w:type="dxa"/>
              <w:right w:w="108" w:type="dxa"/>
            </w:tcMar>
          </w:tcPr>
          <w:p w14:paraId="1705519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Barmer</w:t>
            </w:r>
          </w:p>
        </w:tc>
        <w:tc>
          <w:tcPr>
            <w:tcW w:w="1682" w:type="dxa"/>
            <w:tcMar>
              <w:top w:w="55" w:type="dxa"/>
              <w:left w:w="108" w:type="dxa"/>
              <w:bottom w:w="55" w:type="dxa"/>
              <w:right w:w="108" w:type="dxa"/>
            </w:tcMar>
          </w:tcPr>
          <w:p w14:paraId="4216D36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-0.52(0.36)</w:t>
            </w:r>
          </w:p>
        </w:tc>
        <w:tc>
          <w:tcPr>
            <w:tcW w:w="1576" w:type="dxa"/>
            <w:tcMar>
              <w:top w:w="55" w:type="dxa"/>
              <w:left w:w="108" w:type="dxa"/>
              <w:bottom w:w="55" w:type="dxa"/>
              <w:right w:w="108" w:type="dxa"/>
            </w:tcMar>
          </w:tcPr>
          <w:p w14:paraId="00BA262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1.58(1.00)***</w:t>
            </w:r>
          </w:p>
        </w:tc>
        <w:tc>
          <w:tcPr>
            <w:tcW w:w="1701" w:type="dxa"/>
            <w:tcMar>
              <w:top w:w="55" w:type="dxa"/>
              <w:left w:w="108" w:type="dxa"/>
              <w:bottom w:w="55" w:type="dxa"/>
              <w:right w:w="108" w:type="dxa"/>
            </w:tcMar>
          </w:tcPr>
          <w:p w14:paraId="0056CEC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1.21(0.16)***</w:t>
            </w:r>
          </w:p>
        </w:tc>
        <w:tc>
          <w:tcPr>
            <w:tcW w:w="1700" w:type="dxa"/>
            <w:tcMar>
              <w:top w:w="55" w:type="dxa"/>
              <w:left w:w="108" w:type="dxa"/>
              <w:bottom w:w="55" w:type="dxa"/>
              <w:right w:w="108" w:type="dxa"/>
            </w:tcMar>
          </w:tcPr>
          <w:p w14:paraId="1D46B67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-0.05(0.14)</w:t>
            </w:r>
          </w:p>
        </w:tc>
      </w:tr>
      <w:tr w:rsidR="005A30D7" w:rsidRPr="00F77872" w14:paraId="09F52389" w14:textId="77777777">
        <w:tc>
          <w:tcPr>
            <w:tcW w:w="560" w:type="dxa"/>
            <w:tcMar>
              <w:top w:w="55" w:type="dxa"/>
              <w:left w:w="108" w:type="dxa"/>
              <w:bottom w:w="55" w:type="dxa"/>
              <w:right w:w="108" w:type="dxa"/>
            </w:tcMar>
          </w:tcPr>
          <w:p w14:paraId="118BB8C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6</w:t>
            </w:r>
          </w:p>
        </w:tc>
        <w:tc>
          <w:tcPr>
            <w:tcW w:w="1841" w:type="dxa"/>
            <w:tcMar>
              <w:top w:w="55" w:type="dxa"/>
              <w:left w:w="108" w:type="dxa"/>
              <w:bottom w:w="55" w:type="dxa"/>
              <w:right w:w="108" w:type="dxa"/>
            </w:tcMar>
          </w:tcPr>
          <w:p w14:paraId="383C801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Bharatpur</w:t>
            </w:r>
          </w:p>
        </w:tc>
        <w:tc>
          <w:tcPr>
            <w:tcW w:w="1682" w:type="dxa"/>
            <w:tcMar>
              <w:top w:w="55" w:type="dxa"/>
              <w:left w:w="108" w:type="dxa"/>
              <w:bottom w:w="55" w:type="dxa"/>
              <w:right w:w="108" w:type="dxa"/>
            </w:tcMar>
          </w:tcPr>
          <w:p w14:paraId="040AA50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-0.79(0.46)*</w:t>
            </w:r>
          </w:p>
        </w:tc>
        <w:tc>
          <w:tcPr>
            <w:tcW w:w="1576" w:type="dxa"/>
            <w:tcMar>
              <w:top w:w="55" w:type="dxa"/>
              <w:left w:w="108" w:type="dxa"/>
              <w:bottom w:w="55" w:type="dxa"/>
              <w:right w:w="108" w:type="dxa"/>
            </w:tcMar>
          </w:tcPr>
          <w:p w14:paraId="27690F7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1.65(0.12)***</w:t>
            </w:r>
          </w:p>
        </w:tc>
        <w:tc>
          <w:tcPr>
            <w:tcW w:w="1701" w:type="dxa"/>
            <w:tcMar>
              <w:top w:w="55" w:type="dxa"/>
              <w:left w:w="108" w:type="dxa"/>
              <w:bottom w:w="55" w:type="dxa"/>
              <w:right w:w="108" w:type="dxa"/>
            </w:tcMar>
          </w:tcPr>
          <w:p w14:paraId="0483755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0.70(0.18)***</w:t>
            </w:r>
          </w:p>
        </w:tc>
        <w:tc>
          <w:tcPr>
            <w:tcW w:w="1700" w:type="dxa"/>
            <w:tcMar>
              <w:top w:w="55" w:type="dxa"/>
              <w:left w:w="108" w:type="dxa"/>
              <w:bottom w:w="55" w:type="dxa"/>
              <w:right w:w="108" w:type="dxa"/>
            </w:tcMar>
          </w:tcPr>
          <w:p w14:paraId="42386E8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0.17(0.14)</w:t>
            </w:r>
          </w:p>
        </w:tc>
      </w:tr>
      <w:tr w:rsidR="005A30D7" w:rsidRPr="00F77872" w14:paraId="638B0BA5" w14:textId="77777777">
        <w:tc>
          <w:tcPr>
            <w:tcW w:w="560" w:type="dxa"/>
            <w:tcMar>
              <w:top w:w="55" w:type="dxa"/>
              <w:left w:w="108" w:type="dxa"/>
              <w:bottom w:w="55" w:type="dxa"/>
              <w:right w:w="108" w:type="dxa"/>
            </w:tcMar>
          </w:tcPr>
          <w:p w14:paraId="1C61073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7</w:t>
            </w:r>
          </w:p>
        </w:tc>
        <w:tc>
          <w:tcPr>
            <w:tcW w:w="1841" w:type="dxa"/>
            <w:tcMar>
              <w:top w:w="55" w:type="dxa"/>
              <w:left w:w="108" w:type="dxa"/>
              <w:bottom w:w="55" w:type="dxa"/>
              <w:right w:w="108" w:type="dxa"/>
            </w:tcMar>
          </w:tcPr>
          <w:p w14:paraId="515F085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Bhilwara</w:t>
            </w:r>
          </w:p>
        </w:tc>
        <w:tc>
          <w:tcPr>
            <w:tcW w:w="1682" w:type="dxa"/>
            <w:tcMar>
              <w:top w:w="55" w:type="dxa"/>
              <w:left w:w="108" w:type="dxa"/>
              <w:bottom w:w="55" w:type="dxa"/>
              <w:right w:w="108" w:type="dxa"/>
            </w:tcMar>
          </w:tcPr>
          <w:p w14:paraId="45D014B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-0.69(0.30)**</w:t>
            </w:r>
          </w:p>
        </w:tc>
        <w:tc>
          <w:tcPr>
            <w:tcW w:w="1576" w:type="dxa"/>
            <w:tcMar>
              <w:top w:w="55" w:type="dxa"/>
              <w:left w:w="108" w:type="dxa"/>
              <w:bottom w:w="55" w:type="dxa"/>
              <w:right w:w="108" w:type="dxa"/>
            </w:tcMar>
          </w:tcPr>
          <w:p w14:paraId="5AB7E79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1.29(0.08)***</w:t>
            </w:r>
          </w:p>
        </w:tc>
        <w:tc>
          <w:tcPr>
            <w:tcW w:w="1701" w:type="dxa"/>
            <w:tcMar>
              <w:top w:w="55" w:type="dxa"/>
              <w:left w:w="108" w:type="dxa"/>
              <w:bottom w:w="55" w:type="dxa"/>
              <w:right w:w="108" w:type="dxa"/>
            </w:tcMar>
          </w:tcPr>
          <w:p w14:paraId="5C3CFC7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0.64(0.17)***</w:t>
            </w:r>
          </w:p>
        </w:tc>
        <w:tc>
          <w:tcPr>
            <w:tcW w:w="1700" w:type="dxa"/>
            <w:tcMar>
              <w:top w:w="55" w:type="dxa"/>
              <w:left w:w="108" w:type="dxa"/>
              <w:bottom w:w="55" w:type="dxa"/>
              <w:right w:w="108" w:type="dxa"/>
            </w:tcMar>
          </w:tcPr>
          <w:p w14:paraId="2AADAB2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0.01(0.08)</w:t>
            </w:r>
          </w:p>
        </w:tc>
      </w:tr>
      <w:tr w:rsidR="005A30D7" w:rsidRPr="00F77872" w14:paraId="1BE52302" w14:textId="77777777">
        <w:tc>
          <w:tcPr>
            <w:tcW w:w="560" w:type="dxa"/>
            <w:tcMar>
              <w:top w:w="55" w:type="dxa"/>
              <w:left w:w="108" w:type="dxa"/>
              <w:bottom w:w="55" w:type="dxa"/>
              <w:right w:w="108" w:type="dxa"/>
            </w:tcMar>
          </w:tcPr>
          <w:p w14:paraId="684AA00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8</w:t>
            </w:r>
          </w:p>
        </w:tc>
        <w:tc>
          <w:tcPr>
            <w:tcW w:w="1841" w:type="dxa"/>
            <w:tcMar>
              <w:top w:w="55" w:type="dxa"/>
              <w:left w:w="108" w:type="dxa"/>
              <w:bottom w:w="55" w:type="dxa"/>
              <w:right w:w="108" w:type="dxa"/>
            </w:tcMar>
          </w:tcPr>
          <w:p w14:paraId="11EA9D7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Bikaner</w:t>
            </w:r>
          </w:p>
        </w:tc>
        <w:tc>
          <w:tcPr>
            <w:tcW w:w="1682" w:type="dxa"/>
            <w:tcMar>
              <w:top w:w="55" w:type="dxa"/>
              <w:left w:w="108" w:type="dxa"/>
              <w:bottom w:w="55" w:type="dxa"/>
              <w:right w:w="108" w:type="dxa"/>
            </w:tcMar>
          </w:tcPr>
          <w:p w14:paraId="70A6AA8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-0.19(0.20)</w:t>
            </w:r>
          </w:p>
        </w:tc>
        <w:tc>
          <w:tcPr>
            <w:tcW w:w="1576" w:type="dxa"/>
            <w:tcMar>
              <w:top w:w="55" w:type="dxa"/>
              <w:left w:w="108" w:type="dxa"/>
              <w:bottom w:w="55" w:type="dxa"/>
              <w:right w:w="108" w:type="dxa"/>
            </w:tcMar>
          </w:tcPr>
          <w:p w14:paraId="44E9CD6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1.40(0.07)***</w:t>
            </w:r>
          </w:p>
        </w:tc>
        <w:tc>
          <w:tcPr>
            <w:tcW w:w="1701" w:type="dxa"/>
            <w:tcMar>
              <w:top w:w="55" w:type="dxa"/>
              <w:left w:w="108" w:type="dxa"/>
              <w:bottom w:w="55" w:type="dxa"/>
              <w:right w:w="108" w:type="dxa"/>
            </w:tcMar>
          </w:tcPr>
          <w:p w14:paraId="5879845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1.05(0.12)***</w:t>
            </w:r>
          </w:p>
        </w:tc>
        <w:tc>
          <w:tcPr>
            <w:tcW w:w="1700" w:type="dxa"/>
            <w:tcMar>
              <w:top w:w="55" w:type="dxa"/>
              <w:left w:w="108" w:type="dxa"/>
              <w:bottom w:w="55" w:type="dxa"/>
              <w:right w:w="108" w:type="dxa"/>
            </w:tcMar>
          </w:tcPr>
          <w:p w14:paraId="48D7DA7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-0.68(0.15)***</w:t>
            </w:r>
          </w:p>
        </w:tc>
      </w:tr>
      <w:tr w:rsidR="005A30D7" w:rsidRPr="00F77872" w14:paraId="360D9E37" w14:textId="77777777">
        <w:tc>
          <w:tcPr>
            <w:tcW w:w="560" w:type="dxa"/>
            <w:tcMar>
              <w:top w:w="55" w:type="dxa"/>
              <w:left w:w="108" w:type="dxa"/>
              <w:bottom w:w="55" w:type="dxa"/>
              <w:right w:w="108" w:type="dxa"/>
            </w:tcMar>
          </w:tcPr>
          <w:p w14:paraId="407CCF6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9</w:t>
            </w:r>
          </w:p>
        </w:tc>
        <w:tc>
          <w:tcPr>
            <w:tcW w:w="1841" w:type="dxa"/>
            <w:tcMar>
              <w:top w:w="55" w:type="dxa"/>
              <w:left w:w="108" w:type="dxa"/>
              <w:bottom w:w="55" w:type="dxa"/>
              <w:right w:w="108" w:type="dxa"/>
            </w:tcMar>
          </w:tcPr>
          <w:p w14:paraId="0F2D8DC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Bundi</w:t>
            </w:r>
          </w:p>
        </w:tc>
        <w:tc>
          <w:tcPr>
            <w:tcW w:w="1682" w:type="dxa"/>
            <w:tcMar>
              <w:top w:w="55" w:type="dxa"/>
              <w:left w:w="108" w:type="dxa"/>
              <w:bottom w:w="55" w:type="dxa"/>
              <w:right w:w="108" w:type="dxa"/>
            </w:tcMar>
          </w:tcPr>
          <w:p w14:paraId="61A5636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0.74(0.24)***</w:t>
            </w:r>
          </w:p>
        </w:tc>
        <w:tc>
          <w:tcPr>
            <w:tcW w:w="1576" w:type="dxa"/>
            <w:tcMar>
              <w:top w:w="55" w:type="dxa"/>
              <w:left w:w="108" w:type="dxa"/>
              <w:bottom w:w="55" w:type="dxa"/>
              <w:right w:w="108" w:type="dxa"/>
            </w:tcMar>
          </w:tcPr>
          <w:p w14:paraId="20E2A11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1.27(0.06)***</w:t>
            </w:r>
          </w:p>
        </w:tc>
        <w:tc>
          <w:tcPr>
            <w:tcW w:w="1701" w:type="dxa"/>
            <w:tcMar>
              <w:top w:w="55" w:type="dxa"/>
              <w:left w:w="108" w:type="dxa"/>
              <w:bottom w:w="55" w:type="dxa"/>
              <w:right w:w="108" w:type="dxa"/>
            </w:tcMar>
          </w:tcPr>
          <w:p w14:paraId="314B885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0.55(0.17)***</w:t>
            </w:r>
          </w:p>
        </w:tc>
        <w:tc>
          <w:tcPr>
            <w:tcW w:w="1700" w:type="dxa"/>
            <w:tcMar>
              <w:top w:w="55" w:type="dxa"/>
              <w:left w:w="108" w:type="dxa"/>
              <w:bottom w:w="55" w:type="dxa"/>
              <w:right w:w="108" w:type="dxa"/>
            </w:tcMar>
          </w:tcPr>
          <w:p w14:paraId="39BA2AE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-0.00(0.08)</w:t>
            </w:r>
          </w:p>
        </w:tc>
      </w:tr>
      <w:tr w:rsidR="005A30D7" w:rsidRPr="00F77872" w14:paraId="2A4D2311" w14:textId="77777777">
        <w:tc>
          <w:tcPr>
            <w:tcW w:w="560" w:type="dxa"/>
            <w:tcMar>
              <w:top w:w="55" w:type="dxa"/>
              <w:left w:w="108" w:type="dxa"/>
              <w:bottom w:w="55" w:type="dxa"/>
              <w:right w:w="108" w:type="dxa"/>
            </w:tcMar>
          </w:tcPr>
          <w:p w14:paraId="437B6ED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10</w:t>
            </w:r>
          </w:p>
        </w:tc>
        <w:tc>
          <w:tcPr>
            <w:tcW w:w="1841" w:type="dxa"/>
            <w:tcMar>
              <w:top w:w="55" w:type="dxa"/>
              <w:left w:w="108" w:type="dxa"/>
              <w:bottom w:w="55" w:type="dxa"/>
              <w:right w:w="108" w:type="dxa"/>
            </w:tcMar>
          </w:tcPr>
          <w:p w14:paraId="7157CCD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Chittaurgarh</w:t>
            </w:r>
          </w:p>
        </w:tc>
        <w:tc>
          <w:tcPr>
            <w:tcW w:w="1682" w:type="dxa"/>
            <w:tcMar>
              <w:top w:w="55" w:type="dxa"/>
              <w:left w:w="108" w:type="dxa"/>
              <w:bottom w:w="55" w:type="dxa"/>
              <w:right w:w="108" w:type="dxa"/>
            </w:tcMar>
          </w:tcPr>
          <w:p w14:paraId="5059A6A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1.67(0.24)***</w:t>
            </w:r>
          </w:p>
        </w:tc>
        <w:tc>
          <w:tcPr>
            <w:tcW w:w="1576" w:type="dxa"/>
            <w:tcMar>
              <w:top w:w="55" w:type="dxa"/>
              <w:left w:w="108" w:type="dxa"/>
              <w:bottom w:w="55" w:type="dxa"/>
              <w:right w:w="108" w:type="dxa"/>
            </w:tcMar>
          </w:tcPr>
          <w:p w14:paraId="1A5A183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1.16(0.11)***</w:t>
            </w:r>
          </w:p>
        </w:tc>
        <w:tc>
          <w:tcPr>
            <w:tcW w:w="1701" w:type="dxa"/>
            <w:tcMar>
              <w:top w:w="55" w:type="dxa"/>
              <w:left w:w="108" w:type="dxa"/>
              <w:bottom w:w="55" w:type="dxa"/>
              <w:right w:w="108" w:type="dxa"/>
            </w:tcMar>
          </w:tcPr>
          <w:p w14:paraId="0D60233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0.48(0.19)*</w:t>
            </w:r>
          </w:p>
        </w:tc>
        <w:tc>
          <w:tcPr>
            <w:tcW w:w="1700" w:type="dxa"/>
            <w:tcMar>
              <w:top w:w="55" w:type="dxa"/>
              <w:left w:w="108" w:type="dxa"/>
              <w:bottom w:w="55" w:type="dxa"/>
              <w:right w:w="108" w:type="dxa"/>
            </w:tcMar>
          </w:tcPr>
          <w:p w14:paraId="3C33CD0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0.31(0.08)***</w:t>
            </w:r>
          </w:p>
        </w:tc>
      </w:tr>
      <w:tr w:rsidR="005A30D7" w:rsidRPr="00F77872" w14:paraId="7F003570" w14:textId="77777777">
        <w:tc>
          <w:tcPr>
            <w:tcW w:w="560" w:type="dxa"/>
            <w:tcMar>
              <w:top w:w="55" w:type="dxa"/>
              <w:left w:w="108" w:type="dxa"/>
              <w:bottom w:w="55" w:type="dxa"/>
              <w:right w:w="108" w:type="dxa"/>
            </w:tcMar>
          </w:tcPr>
          <w:p w14:paraId="6C470C6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w:t>
            </w:r>
          </w:p>
        </w:tc>
        <w:tc>
          <w:tcPr>
            <w:tcW w:w="1841" w:type="dxa"/>
            <w:tcMar>
              <w:top w:w="55" w:type="dxa"/>
              <w:left w:w="108" w:type="dxa"/>
              <w:bottom w:w="55" w:type="dxa"/>
              <w:right w:w="108" w:type="dxa"/>
            </w:tcMar>
          </w:tcPr>
          <w:p w14:paraId="7CB2D0D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Churu</w:t>
            </w:r>
          </w:p>
        </w:tc>
        <w:tc>
          <w:tcPr>
            <w:tcW w:w="1682" w:type="dxa"/>
            <w:tcMar>
              <w:top w:w="55" w:type="dxa"/>
              <w:left w:w="108" w:type="dxa"/>
              <w:bottom w:w="55" w:type="dxa"/>
              <w:right w:w="108" w:type="dxa"/>
            </w:tcMar>
          </w:tcPr>
          <w:p w14:paraId="7302754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1.12(0.14)***</w:t>
            </w:r>
          </w:p>
        </w:tc>
        <w:tc>
          <w:tcPr>
            <w:tcW w:w="1576" w:type="dxa"/>
            <w:tcMar>
              <w:top w:w="55" w:type="dxa"/>
              <w:left w:w="108" w:type="dxa"/>
              <w:bottom w:w="55" w:type="dxa"/>
              <w:right w:w="108" w:type="dxa"/>
            </w:tcMar>
          </w:tcPr>
          <w:p w14:paraId="405A5FB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1.39(0.04)***</w:t>
            </w:r>
          </w:p>
        </w:tc>
        <w:tc>
          <w:tcPr>
            <w:tcW w:w="1701" w:type="dxa"/>
            <w:tcMar>
              <w:top w:w="55" w:type="dxa"/>
              <w:left w:w="108" w:type="dxa"/>
              <w:bottom w:w="55" w:type="dxa"/>
              <w:right w:w="108" w:type="dxa"/>
            </w:tcMar>
          </w:tcPr>
          <w:p w14:paraId="6617B6F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1.30(0.06)***</w:t>
            </w:r>
          </w:p>
        </w:tc>
        <w:tc>
          <w:tcPr>
            <w:tcW w:w="1700" w:type="dxa"/>
            <w:tcMar>
              <w:top w:w="55" w:type="dxa"/>
              <w:left w:w="108" w:type="dxa"/>
              <w:bottom w:w="55" w:type="dxa"/>
              <w:right w:w="108" w:type="dxa"/>
            </w:tcMar>
          </w:tcPr>
          <w:p w14:paraId="36D4063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-0.07(0.05)</w:t>
            </w:r>
          </w:p>
        </w:tc>
      </w:tr>
      <w:tr w:rsidR="005A30D7" w:rsidRPr="00F77872" w14:paraId="443EE5B8" w14:textId="77777777">
        <w:tc>
          <w:tcPr>
            <w:tcW w:w="560" w:type="dxa"/>
            <w:tcMar>
              <w:top w:w="55" w:type="dxa"/>
              <w:left w:w="108" w:type="dxa"/>
              <w:bottom w:w="55" w:type="dxa"/>
              <w:right w:w="108" w:type="dxa"/>
            </w:tcMar>
          </w:tcPr>
          <w:p w14:paraId="460EFD6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w:t>
            </w:r>
          </w:p>
        </w:tc>
        <w:tc>
          <w:tcPr>
            <w:tcW w:w="1841" w:type="dxa"/>
            <w:tcMar>
              <w:top w:w="55" w:type="dxa"/>
              <w:left w:w="108" w:type="dxa"/>
              <w:bottom w:w="55" w:type="dxa"/>
              <w:right w:w="108" w:type="dxa"/>
            </w:tcMar>
          </w:tcPr>
          <w:p w14:paraId="481B371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Dausa</w:t>
            </w:r>
          </w:p>
        </w:tc>
        <w:tc>
          <w:tcPr>
            <w:tcW w:w="1682" w:type="dxa"/>
            <w:tcMar>
              <w:top w:w="55" w:type="dxa"/>
              <w:left w:w="108" w:type="dxa"/>
              <w:bottom w:w="55" w:type="dxa"/>
              <w:right w:w="108" w:type="dxa"/>
            </w:tcMar>
          </w:tcPr>
          <w:p w14:paraId="571D912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0.88(0.10)***</w:t>
            </w:r>
          </w:p>
        </w:tc>
        <w:tc>
          <w:tcPr>
            <w:tcW w:w="1576" w:type="dxa"/>
            <w:tcMar>
              <w:top w:w="55" w:type="dxa"/>
              <w:left w:w="108" w:type="dxa"/>
              <w:bottom w:w="55" w:type="dxa"/>
              <w:right w:w="108" w:type="dxa"/>
            </w:tcMar>
          </w:tcPr>
          <w:p w14:paraId="24563B3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1.33(0.05)***</w:t>
            </w:r>
          </w:p>
        </w:tc>
        <w:tc>
          <w:tcPr>
            <w:tcW w:w="1701" w:type="dxa"/>
            <w:tcMar>
              <w:top w:w="55" w:type="dxa"/>
              <w:left w:w="108" w:type="dxa"/>
              <w:bottom w:w="55" w:type="dxa"/>
              <w:right w:w="108" w:type="dxa"/>
            </w:tcMar>
          </w:tcPr>
          <w:p w14:paraId="1B299F3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0.97(0.13)***</w:t>
            </w:r>
          </w:p>
        </w:tc>
        <w:tc>
          <w:tcPr>
            <w:tcW w:w="1700" w:type="dxa"/>
            <w:tcMar>
              <w:top w:w="55" w:type="dxa"/>
              <w:left w:w="108" w:type="dxa"/>
              <w:bottom w:w="55" w:type="dxa"/>
              <w:right w:w="108" w:type="dxa"/>
            </w:tcMar>
          </w:tcPr>
          <w:p w14:paraId="26CDE7B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-0.10(0.08)</w:t>
            </w:r>
          </w:p>
        </w:tc>
      </w:tr>
      <w:tr w:rsidR="005A30D7" w:rsidRPr="00F77872" w14:paraId="658EF7B8" w14:textId="77777777">
        <w:tc>
          <w:tcPr>
            <w:tcW w:w="560" w:type="dxa"/>
            <w:tcMar>
              <w:top w:w="55" w:type="dxa"/>
              <w:left w:w="108" w:type="dxa"/>
              <w:bottom w:w="55" w:type="dxa"/>
              <w:right w:w="108" w:type="dxa"/>
            </w:tcMar>
          </w:tcPr>
          <w:p w14:paraId="3BFF8AF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13</w:t>
            </w:r>
          </w:p>
        </w:tc>
        <w:tc>
          <w:tcPr>
            <w:tcW w:w="1841" w:type="dxa"/>
            <w:tcMar>
              <w:top w:w="55" w:type="dxa"/>
              <w:left w:w="108" w:type="dxa"/>
              <w:bottom w:w="55" w:type="dxa"/>
              <w:right w:w="108" w:type="dxa"/>
            </w:tcMar>
          </w:tcPr>
          <w:p w14:paraId="5582749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Dholpur</w:t>
            </w:r>
          </w:p>
        </w:tc>
        <w:tc>
          <w:tcPr>
            <w:tcW w:w="1682" w:type="dxa"/>
            <w:tcMar>
              <w:top w:w="55" w:type="dxa"/>
              <w:left w:w="108" w:type="dxa"/>
              <w:bottom w:w="55" w:type="dxa"/>
              <w:right w:w="108" w:type="dxa"/>
            </w:tcMar>
          </w:tcPr>
          <w:p w14:paraId="08BF259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-0.39(0.19)*</w:t>
            </w:r>
          </w:p>
        </w:tc>
        <w:tc>
          <w:tcPr>
            <w:tcW w:w="1576" w:type="dxa"/>
            <w:tcMar>
              <w:top w:w="55" w:type="dxa"/>
              <w:left w:w="108" w:type="dxa"/>
              <w:bottom w:w="55" w:type="dxa"/>
              <w:right w:w="108" w:type="dxa"/>
            </w:tcMar>
          </w:tcPr>
          <w:p w14:paraId="2812B55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1.52(0.05)***</w:t>
            </w:r>
          </w:p>
        </w:tc>
        <w:tc>
          <w:tcPr>
            <w:tcW w:w="1701" w:type="dxa"/>
            <w:tcMar>
              <w:top w:w="55" w:type="dxa"/>
              <w:left w:w="108" w:type="dxa"/>
              <w:bottom w:w="55" w:type="dxa"/>
              <w:right w:w="108" w:type="dxa"/>
            </w:tcMar>
          </w:tcPr>
          <w:p w14:paraId="70C3215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0.74(0.11)***</w:t>
            </w:r>
          </w:p>
        </w:tc>
        <w:tc>
          <w:tcPr>
            <w:tcW w:w="1700" w:type="dxa"/>
            <w:tcMar>
              <w:top w:w="55" w:type="dxa"/>
              <w:left w:w="108" w:type="dxa"/>
              <w:bottom w:w="55" w:type="dxa"/>
              <w:right w:w="108" w:type="dxa"/>
            </w:tcMar>
          </w:tcPr>
          <w:p w14:paraId="08E21D6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-0.06(0.05)</w:t>
            </w:r>
          </w:p>
        </w:tc>
      </w:tr>
      <w:tr w:rsidR="005A30D7" w:rsidRPr="00F77872" w14:paraId="0F278860" w14:textId="77777777">
        <w:tc>
          <w:tcPr>
            <w:tcW w:w="560" w:type="dxa"/>
            <w:tcMar>
              <w:top w:w="55" w:type="dxa"/>
              <w:left w:w="108" w:type="dxa"/>
              <w:bottom w:w="55" w:type="dxa"/>
              <w:right w:w="108" w:type="dxa"/>
            </w:tcMar>
          </w:tcPr>
          <w:p w14:paraId="38C23EF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14</w:t>
            </w:r>
          </w:p>
        </w:tc>
        <w:tc>
          <w:tcPr>
            <w:tcW w:w="1841" w:type="dxa"/>
            <w:tcMar>
              <w:top w:w="55" w:type="dxa"/>
              <w:left w:w="108" w:type="dxa"/>
              <w:bottom w:w="55" w:type="dxa"/>
              <w:right w:w="108" w:type="dxa"/>
            </w:tcMar>
          </w:tcPr>
          <w:p w14:paraId="0EF72E0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Dungarpur</w:t>
            </w:r>
          </w:p>
        </w:tc>
        <w:tc>
          <w:tcPr>
            <w:tcW w:w="1682" w:type="dxa"/>
            <w:tcMar>
              <w:top w:w="55" w:type="dxa"/>
              <w:left w:w="108" w:type="dxa"/>
              <w:bottom w:w="55" w:type="dxa"/>
              <w:right w:w="108" w:type="dxa"/>
            </w:tcMar>
          </w:tcPr>
          <w:p w14:paraId="3BAD8C4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1.24(0.27)***</w:t>
            </w:r>
          </w:p>
        </w:tc>
        <w:tc>
          <w:tcPr>
            <w:tcW w:w="1576" w:type="dxa"/>
            <w:tcMar>
              <w:top w:w="55" w:type="dxa"/>
              <w:left w:w="108" w:type="dxa"/>
              <w:bottom w:w="55" w:type="dxa"/>
              <w:right w:w="108" w:type="dxa"/>
            </w:tcMar>
          </w:tcPr>
          <w:p w14:paraId="0BEB291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1.02(0.08)***</w:t>
            </w:r>
          </w:p>
        </w:tc>
        <w:tc>
          <w:tcPr>
            <w:tcW w:w="1701" w:type="dxa"/>
            <w:tcMar>
              <w:top w:w="55" w:type="dxa"/>
              <w:left w:w="108" w:type="dxa"/>
              <w:bottom w:w="55" w:type="dxa"/>
              <w:right w:w="108" w:type="dxa"/>
            </w:tcMar>
          </w:tcPr>
          <w:p w14:paraId="5793C15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0.20(0.20)</w:t>
            </w:r>
          </w:p>
        </w:tc>
        <w:tc>
          <w:tcPr>
            <w:tcW w:w="1700" w:type="dxa"/>
            <w:tcMar>
              <w:top w:w="55" w:type="dxa"/>
              <w:left w:w="108" w:type="dxa"/>
              <w:bottom w:w="55" w:type="dxa"/>
              <w:right w:w="108" w:type="dxa"/>
            </w:tcMar>
          </w:tcPr>
          <w:p w14:paraId="5A6C7DE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0.24(0.17)</w:t>
            </w:r>
          </w:p>
        </w:tc>
      </w:tr>
      <w:tr w:rsidR="005A30D7" w:rsidRPr="00F77872" w14:paraId="7FB83709" w14:textId="77777777">
        <w:tc>
          <w:tcPr>
            <w:tcW w:w="560" w:type="dxa"/>
            <w:tcMar>
              <w:top w:w="55" w:type="dxa"/>
              <w:left w:w="108" w:type="dxa"/>
              <w:bottom w:w="55" w:type="dxa"/>
              <w:right w:w="108" w:type="dxa"/>
            </w:tcMar>
          </w:tcPr>
          <w:p w14:paraId="7AA782D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15</w:t>
            </w:r>
          </w:p>
        </w:tc>
        <w:tc>
          <w:tcPr>
            <w:tcW w:w="1841" w:type="dxa"/>
            <w:tcMar>
              <w:top w:w="55" w:type="dxa"/>
              <w:left w:w="108" w:type="dxa"/>
              <w:bottom w:w="55" w:type="dxa"/>
              <w:right w:w="108" w:type="dxa"/>
            </w:tcMar>
          </w:tcPr>
          <w:p w14:paraId="07538C9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Ganganagar</w:t>
            </w:r>
          </w:p>
        </w:tc>
        <w:tc>
          <w:tcPr>
            <w:tcW w:w="1682" w:type="dxa"/>
            <w:tcMar>
              <w:top w:w="55" w:type="dxa"/>
              <w:left w:w="108" w:type="dxa"/>
              <w:bottom w:w="55" w:type="dxa"/>
              <w:right w:w="108" w:type="dxa"/>
            </w:tcMar>
          </w:tcPr>
          <w:p w14:paraId="2B46052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-0.23(0.12)*</w:t>
            </w:r>
          </w:p>
        </w:tc>
        <w:tc>
          <w:tcPr>
            <w:tcW w:w="1576" w:type="dxa"/>
            <w:tcMar>
              <w:top w:w="55" w:type="dxa"/>
              <w:left w:w="108" w:type="dxa"/>
              <w:bottom w:w="55" w:type="dxa"/>
              <w:right w:w="108" w:type="dxa"/>
            </w:tcMar>
          </w:tcPr>
          <w:p w14:paraId="383F8F4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1.23(0.05)***</w:t>
            </w:r>
          </w:p>
        </w:tc>
        <w:tc>
          <w:tcPr>
            <w:tcW w:w="1701" w:type="dxa"/>
            <w:tcMar>
              <w:top w:w="55" w:type="dxa"/>
              <w:left w:w="108" w:type="dxa"/>
              <w:bottom w:w="55" w:type="dxa"/>
              <w:right w:w="108" w:type="dxa"/>
            </w:tcMar>
          </w:tcPr>
          <w:p w14:paraId="7967FA1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1.04(0.09)***</w:t>
            </w:r>
          </w:p>
        </w:tc>
        <w:tc>
          <w:tcPr>
            <w:tcW w:w="1700" w:type="dxa"/>
            <w:tcMar>
              <w:top w:w="55" w:type="dxa"/>
              <w:left w:w="108" w:type="dxa"/>
              <w:bottom w:w="55" w:type="dxa"/>
              <w:right w:w="108" w:type="dxa"/>
            </w:tcMar>
          </w:tcPr>
          <w:p w14:paraId="24F2551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-0.09(0.03)</w:t>
            </w:r>
          </w:p>
        </w:tc>
      </w:tr>
      <w:tr w:rsidR="005A30D7" w:rsidRPr="00F77872" w14:paraId="53F67191" w14:textId="77777777">
        <w:tc>
          <w:tcPr>
            <w:tcW w:w="560" w:type="dxa"/>
            <w:tcMar>
              <w:top w:w="55" w:type="dxa"/>
              <w:left w:w="108" w:type="dxa"/>
              <w:bottom w:w="55" w:type="dxa"/>
              <w:right w:w="108" w:type="dxa"/>
            </w:tcMar>
          </w:tcPr>
          <w:p w14:paraId="59245DF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16</w:t>
            </w:r>
          </w:p>
        </w:tc>
        <w:tc>
          <w:tcPr>
            <w:tcW w:w="1841" w:type="dxa"/>
            <w:tcMar>
              <w:top w:w="55" w:type="dxa"/>
              <w:left w:w="108" w:type="dxa"/>
              <w:bottom w:w="55" w:type="dxa"/>
              <w:right w:w="108" w:type="dxa"/>
            </w:tcMar>
          </w:tcPr>
          <w:p w14:paraId="6336875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Jaipur</w:t>
            </w:r>
          </w:p>
        </w:tc>
        <w:tc>
          <w:tcPr>
            <w:tcW w:w="1682" w:type="dxa"/>
            <w:tcMar>
              <w:top w:w="55" w:type="dxa"/>
              <w:left w:w="108" w:type="dxa"/>
              <w:bottom w:w="55" w:type="dxa"/>
              <w:right w:w="108" w:type="dxa"/>
            </w:tcMar>
          </w:tcPr>
          <w:p w14:paraId="3DF37CB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0.22(0.19)</w:t>
            </w:r>
          </w:p>
        </w:tc>
        <w:tc>
          <w:tcPr>
            <w:tcW w:w="1576" w:type="dxa"/>
            <w:tcMar>
              <w:top w:w="55" w:type="dxa"/>
              <w:left w:w="108" w:type="dxa"/>
              <w:bottom w:w="55" w:type="dxa"/>
              <w:right w:w="108" w:type="dxa"/>
            </w:tcMar>
          </w:tcPr>
          <w:p w14:paraId="4105077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1.51(0.12)***</w:t>
            </w:r>
          </w:p>
        </w:tc>
        <w:tc>
          <w:tcPr>
            <w:tcW w:w="1701" w:type="dxa"/>
            <w:tcMar>
              <w:top w:w="55" w:type="dxa"/>
              <w:left w:w="108" w:type="dxa"/>
              <w:bottom w:w="55" w:type="dxa"/>
              <w:right w:w="108" w:type="dxa"/>
            </w:tcMar>
          </w:tcPr>
          <w:p w14:paraId="78FD6CB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0.98(0.18)***</w:t>
            </w:r>
          </w:p>
        </w:tc>
        <w:tc>
          <w:tcPr>
            <w:tcW w:w="1700" w:type="dxa"/>
            <w:tcMar>
              <w:top w:w="55" w:type="dxa"/>
              <w:left w:w="108" w:type="dxa"/>
              <w:bottom w:w="55" w:type="dxa"/>
              <w:right w:w="108" w:type="dxa"/>
            </w:tcMar>
          </w:tcPr>
          <w:p w14:paraId="2D41E4E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0.12(0.17)</w:t>
            </w:r>
          </w:p>
        </w:tc>
      </w:tr>
      <w:tr w:rsidR="005A30D7" w:rsidRPr="00F77872" w14:paraId="2E4B423F" w14:textId="77777777">
        <w:tc>
          <w:tcPr>
            <w:tcW w:w="560" w:type="dxa"/>
            <w:tcMar>
              <w:top w:w="55" w:type="dxa"/>
              <w:left w:w="108" w:type="dxa"/>
              <w:bottom w:w="55" w:type="dxa"/>
              <w:right w:w="108" w:type="dxa"/>
            </w:tcMar>
          </w:tcPr>
          <w:p w14:paraId="306F9BB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17</w:t>
            </w:r>
          </w:p>
        </w:tc>
        <w:tc>
          <w:tcPr>
            <w:tcW w:w="1841" w:type="dxa"/>
            <w:tcMar>
              <w:top w:w="55" w:type="dxa"/>
              <w:left w:w="108" w:type="dxa"/>
              <w:bottom w:w="55" w:type="dxa"/>
              <w:right w:w="108" w:type="dxa"/>
            </w:tcMar>
          </w:tcPr>
          <w:p w14:paraId="44B6C09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Jaisalmer</w:t>
            </w:r>
          </w:p>
        </w:tc>
        <w:tc>
          <w:tcPr>
            <w:tcW w:w="1682" w:type="dxa"/>
            <w:tcMar>
              <w:top w:w="55" w:type="dxa"/>
              <w:left w:w="108" w:type="dxa"/>
              <w:bottom w:w="55" w:type="dxa"/>
              <w:right w:w="108" w:type="dxa"/>
            </w:tcMar>
          </w:tcPr>
          <w:p w14:paraId="3206F7E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0.42(0.19)*</w:t>
            </w:r>
          </w:p>
        </w:tc>
        <w:tc>
          <w:tcPr>
            <w:tcW w:w="1576" w:type="dxa"/>
            <w:tcMar>
              <w:top w:w="55" w:type="dxa"/>
              <w:left w:w="108" w:type="dxa"/>
              <w:bottom w:w="55" w:type="dxa"/>
              <w:right w:w="108" w:type="dxa"/>
            </w:tcMar>
          </w:tcPr>
          <w:p w14:paraId="5062639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1.70(0.07)***</w:t>
            </w:r>
          </w:p>
        </w:tc>
        <w:tc>
          <w:tcPr>
            <w:tcW w:w="1701" w:type="dxa"/>
            <w:tcMar>
              <w:top w:w="55" w:type="dxa"/>
              <w:left w:w="108" w:type="dxa"/>
              <w:bottom w:w="55" w:type="dxa"/>
              <w:right w:w="108" w:type="dxa"/>
            </w:tcMar>
          </w:tcPr>
          <w:p w14:paraId="6992800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0.89(0.17)***</w:t>
            </w:r>
          </w:p>
        </w:tc>
        <w:tc>
          <w:tcPr>
            <w:tcW w:w="1700" w:type="dxa"/>
            <w:tcMar>
              <w:top w:w="55" w:type="dxa"/>
              <w:left w:w="108" w:type="dxa"/>
              <w:bottom w:w="55" w:type="dxa"/>
              <w:right w:w="108" w:type="dxa"/>
            </w:tcMar>
          </w:tcPr>
          <w:p w14:paraId="34474C6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-0.21(0.10)**</w:t>
            </w:r>
          </w:p>
        </w:tc>
      </w:tr>
      <w:tr w:rsidR="005A30D7" w:rsidRPr="00F77872" w14:paraId="54D19F64" w14:textId="77777777">
        <w:tc>
          <w:tcPr>
            <w:tcW w:w="560" w:type="dxa"/>
            <w:tcMar>
              <w:top w:w="55" w:type="dxa"/>
              <w:left w:w="108" w:type="dxa"/>
              <w:bottom w:w="55" w:type="dxa"/>
              <w:right w:w="108" w:type="dxa"/>
            </w:tcMar>
          </w:tcPr>
          <w:p w14:paraId="1839262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18</w:t>
            </w:r>
          </w:p>
        </w:tc>
        <w:tc>
          <w:tcPr>
            <w:tcW w:w="1841" w:type="dxa"/>
            <w:tcMar>
              <w:top w:w="55" w:type="dxa"/>
              <w:left w:w="108" w:type="dxa"/>
              <w:bottom w:w="55" w:type="dxa"/>
              <w:right w:w="108" w:type="dxa"/>
            </w:tcMar>
          </w:tcPr>
          <w:p w14:paraId="63799A0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Jalor</w:t>
            </w:r>
          </w:p>
        </w:tc>
        <w:tc>
          <w:tcPr>
            <w:tcW w:w="1682" w:type="dxa"/>
            <w:tcMar>
              <w:top w:w="55" w:type="dxa"/>
              <w:left w:w="108" w:type="dxa"/>
              <w:bottom w:w="55" w:type="dxa"/>
              <w:right w:w="108" w:type="dxa"/>
            </w:tcMar>
          </w:tcPr>
          <w:p w14:paraId="4B16118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0.67(0.34)**</w:t>
            </w:r>
          </w:p>
        </w:tc>
        <w:tc>
          <w:tcPr>
            <w:tcW w:w="1576" w:type="dxa"/>
            <w:tcMar>
              <w:top w:w="55" w:type="dxa"/>
              <w:left w:w="108" w:type="dxa"/>
              <w:bottom w:w="55" w:type="dxa"/>
              <w:right w:w="108" w:type="dxa"/>
            </w:tcMar>
          </w:tcPr>
          <w:p w14:paraId="28AB108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1.29(0.12)***</w:t>
            </w:r>
          </w:p>
        </w:tc>
        <w:tc>
          <w:tcPr>
            <w:tcW w:w="1701" w:type="dxa"/>
            <w:tcMar>
              <w:top w:w="55" w:type="dxa"/>
              <w:left w:w="108" w:type="dxa"/>
              <w:bottom w:w="55" w:type="dxa"/>
              <w:right w:w="108" w:type="dxa"/>
            </w:tcMar>
          </w:tcPr>
          <w:p w14:paraId="45A5020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0.54(0.22)*</w:t>
            </w:r>
          </w:p>
        </w:tc>
        <w:tc>
          <w:tcPr>
            <w:tcW w:w="1700" w:type="dxa"/>
            <w:tcMar>
              <w:top w:w="55" w:type="dxa"/>
              <w:left w:w="108" w:type="dxa"/>
              <w:bottom w:w="55" w:type="dxa"/>
              <w:right w:w="108" w:type="dxa"/>
            </w:tcMar>
          </w:tcPr>
          <w:p w14:paraId="664A8B5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0.07(0.16)</w:t>
            </w:r>
          </w:p>
        </w:tc>
      </w:tr>
      <w:tr w:rsidR="005A30D7" w:rsidRPr="00F77872" w14:paraId="5D6CB77C" w14:textId="77777777">
        <w:tc>
          <w:tcPr>
            <w:tcW w:w="560" w:type="dxa"/>
            <w:tcMar>
              <w:top w:w="55" w:type="dxa"/>
              <w:left w:w="108" w:type="dxa"/>
              <w:bottom w:w="55" w:type="dxa"/>
              <w:right w:w="108" w:type="dxa"/>
            </w:tcMar>
          </w:tcPr>
          <w:p w14:paraId="08DC9E0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19</w:t>
            </w:r>
          </w:p>
        </w:tc>
        <w:tc>
          <w:tcPr>
            <w:tcW w:w="1841" w:type="dxa"/>
            <w:tcMar>
              <w:top w:w="55" w:type="dxa"/>
              <w:left w:w="108" w:type="dxa"/>
              <w:bottom w:w="55" w:type="dxa"/>
              <w:right w:w="108" w:type="dxa"/>
            </w:tcMar>
          </w:tcPr>
          <w:p w14:paraId="12A7AFE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Jhalawar</w:t>
            </w:r>
          </w:p>
        </w:tc>
        <w:tc>
          <w:tcPr>
            <w:tcW w:w="1682" w:type="dxa"/>
            <w:tcMar>
              <w:top w:w="55" w:type="dxa"/>
              <w:left w:w="108" w:type="dxa"/>
              <w:bottom w:w="55" w:type="dxa"/>
              <w:right w:w="108" w:type="dxa"/>
            </w:tcMar>
          </w:tcPr>
          <w:p w14:paraId="4613718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0.99(0.25)***</w:t>
            </w:r>
          </w:p>
        </w:tc>
        <w:tc>
          <w:tcPr>
            <w:tcW w:w="1576" w:type="dxa"/>
            <w:tcMar>
              <w:top w:w="55" w:type="dxa"/>
              <w:left w:w="108" w:type="dxa"/>
              <w:bottom w:w="55" w:type="dxa"/>
              <w:right w:w="108" w:type="dxa"/>
            </w:tcMar>
          </w:tcPr>
          <w:p w14:paraId="72F72E9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1.26(0.05)***</w:t>
            </w:r>
          </w:p>
        </w:tc>
        <w:tc>
          <w:tcPr>
            <w:tcW w:w="1701" w:type="dxa"/>
            <w:tcMar>
              <w:top w:w="55" w:type="dxa"/>
              <w:left w:w="108" w:type="dxa"/>
              <w:bottom w:w="55" w:type="dxa"/>
              <w:right w:w="108" w:type="dxa"/>
            </w:tcMar>
          </w:tcPr>
          <w:p w14:paraId="0FC456C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0.87(0.14)***</w:t>
            </w:r>
          </w:p>
        </w:tc>
        <w:tc>
          <w:tcPr>
            <w:tcW w:w="1700" w:type="dxa"/>
            <w:tcMar>
              <w:top w:w="55" w:type="dxa"/>
              <w:left w:w="108" w:type="dxa"/>
              <w:bottom w:w="55" w:type="dxa"/>
              <w:right w:w="108" w:type="dxa"/>
            </w:tcMar>
          </w:tcPr>
          <w:p w14:paraId="7A4252B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-0.04(0.05)</w:t>
            </w:r>
          </w:p>
        </w:tc>
      </w:tr>
      <w:tr w:rsidR="005A30D7" w:rsidRPr="00F77872" w14:paraId="439C51E3" w14:textId="77777777">
        <w:tc>
          <w:tcPr>
            <w:tcW w:w="560" w:type="dxa"/>
            <w:tcMar>
              <w:top w:w="55" w:type="dxa"/>
              <w:left w:w="108" w:type="dxa"/>
              <w:bottom w:w="55" w:type="dxa"/>
              <w:right w:w="108" w:type="dxa"/>
            </w:tcMar>
          </w:tcPr>
          <w:p w14:paraId="2EC7EB1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20</w:t>
            </w:r>
          </w:p>
        </w:tc>
        <w:tc>
          <w:tcPr>
            <w:tcW w:w="1841" w:type="dxa"/>
            <w:tcMar>
              <w:top w:w="55" w:type="dxa"/>
              <w:left w:w="108" w:type="dxa"/>
              <w:bottom w:w="55" w:type="dxa"/>
              <w:right w:w="108" w:type="dxa"/>
            </w:tcMar>
          </w:tcPr>
          <w:p w14:paraId="4692791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Jhunjhunu</w:t>
            </w:r>
          </w:p>
        </w:tc>
        <w:tc>
          <w:tcPr>
            <w:tcW w:w="1682" w:type="dxa"/>
            <w:tcMar>
              <w:top w:w="55" w:type="dxa"/>
              <w:left w:w="108" w:type="dxa"/>
              <w:bottom w:w="55" w:type="dxa"/>
              <w:right w:w="108" w:type="dxa"/>
            </w:tcMar>
          </w:tcPr>
          <w:p w14:paraId="7C3B655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0.93(0.21)***</w:t>
            </w:r>
          </w:p>
        </w:tc>
        <w:tc>
          <w:tcPr>
            <w:tcW w:w="1576" w:type="dxa"/>
            <w:tcMar>
              <w:top w:w="55" w:type="dxa"/>
              <w:left w:w="108" w:type="dxa"/>
              <w:bottom w:w="55" w:type="dxa"/>
              <w:right w:w="108" w:type="dxa"/>
            </w:tcMar>
          </w:tcPr>
          <w:p w14:paraId="0DAC284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1.39(0.07)***</w:t>
            </w:r>
          </w:p>
        </w:tc>
        <w:tc>
          <w:tcPr>
            <w:tcW w:w="1701" w:type="dxa"/>
            <w:tcMar>
              <w:top w:w="55" w:type="dxa"/>
              <w:left w:w="108" w:type="dxa"/>
              <w:bottom w:w="55" w:type="dxa"/>
              <w:right w:w="108" w:type="dxa"/>
            </w:tcMar>
          </w:tcPr>
          <w:p w14:paraId="20920BE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0.84(0.14)***</w:t>
            </w:r>
          </w:p>
        </w:tc>
        <w:tc>
          <w:tcPr>
            <w:tcW w:w="1700" w:type="dxa"/>
            <w:tcMar>
              <w:top w:w="55" w:type="dxa"/>
              <w:left w:w="108" w:type="dxa"/>
              <w:bottom w:w="55" w:type="dxa"/>
              <w:right w:w="108" w:type="dxa"/>
            </w:tcMar>
          </w:tcPr>
          <w:p w14:paraId="1DE05EA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-0.04(0.04)</w:t>
            </w:r>
          </w:p>
        </w:tc>
      </w:tr>
      <w:tr w:rsidR="005A30D7" w:rsidRPr="00F77872" w14:paraId="049EC69B" w14:textId="77777777">
        <w:tc>
          <w:tcPr>
            <w:tcW w:w="560" w:type="dxa"/>
            <w:tcMar>
              <w:top w:w="55" w:type="dxa"/>
              <w:left w:w="108" w:type="dxa"/>
              <w:bottom w:w="55" w:type="dxa"/>
              <w:right w:w="108" w:type="dxa"/>
            </w:tcMar>
          </w:tcPr>
          <w:p w14:paraId="5EFE38C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21</w:t>
            </w:r>
          </w:p>
        </w:tc>
        <w:tc>
          <w:tcPr>
            <w:tcW w:w="1841" w:type="dxa"/>
            <w:tcMar>
              <w:top w:w="55" w:type="dxa"/>
              <w:left w:w="108" w:type="dxa"/>
              <w:bottom w:w="55" w:type="dxa"/>
              <w:right w:w="108" w:type="dxa"/>
            </w:tcMar>
          </w:tcPr>
          <w:p w14:paraId="59D5C0F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Jodhpur</w:t>
            </w:r>
          </w:p>
        </w:tc>
        <w:tc>
          <w:tcPr>
            <w:tcW w:w="1682" w:type="dxa"/>
            <w:tcMar>
              <w:top w:w="55" w:type="dxa"/>
              <w:left w:w="108" w:type="dxa"/>
              <w:bottom w:w="55" w:type="dxa"/>
              <w:right w:w="108" w:type="dxa"/>
            </w:tcMar>
          </w:tcPr>
          <w:p w14:paraId="7858181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-0.24(0.29)</w:t>
            </w:r>
          </w:p>
        </w:tc>
        <w:tc>
          <w:tcPr>
            <w:tcW w:w="1576" w:type="dxa"/>
            <w:tcMar>
              <w:top w:w="55" w:type="dxa"/>
              <w:left w:w="108" w:type="dxa"/>
              <w:bottom w:w="55" w:type="dxa"/>
              <w:right w:w="108" w:type="dxa"/>
            </w:tcMar>
          </w:tcPr>
          <w:p w14:paraId="66A2420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1.58(0.12)***</w:t>
            </w:r>
          </w:p>
        </w:tc>
        <w:tc>
          <w:tcPr>
            <w:tcW w:w="1701" w:type="dxa"/>
            <w:tcMar>
              <w:top w:w="55" w:type="dxa"/>
              <w:left w:w="108" w:type="dxa"/>
              <w:bottom w:w="55" w:type="dxa"/>
              <w:right w:w="108" w:type="dxa"/>
            </w:tcMar>
          </w:tcPr>
          <w:p w14:paraId="79CC5F4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0.44(0.16)***</w:t>
            </w:r>
          </w:p>
        </w:tc>
        <w:tc>
          <w:tcPr>
            <w:tcW w:w="1700" w:type="dxa"/>
            <w:tcMar>
              <w:top w:w="55" w:type="dxa"/>
              <w:left w:w="108" w:type="dxa"/>
              <w:bottom w:w="55" w:type="dxa"/>
              <w:right w:w="108" w:type="dxa"/>
            </w:tcMar>
          </w:tcPr>
          <w:p w14:paraId="3071463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-0.13(0.09)</w:t>
            </w:r>
          </w:p>
        </w:tc>
      </w:tr>
      <w:tr w:rsidR="005A30D7" w:rsidRPr="00F77872" w14:paraId="3C0E21E0" w14:textId="77777777">
        <w:tc>
          <w:tcPr>
            <w:tcW w:w="560" w:type="dxa"/>
            <w:tcMar>
              <w:top w:w="55" w:type="dxa"/>
              <w:left w:w="108" w:type="dxa"/>
              <w:bottom w:w="55" w:type="dxa"/>
              <w:right w:w="108" w:type="dxa"/>
            </w:tcMar>
          </w:tcPr>
          <w:p w14:paraId="5A35E50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22</w:t>
            </w:r>
          </w:p>
        </w:tc>
        <w:tc>
          <w:tcPr>
            <w:tcW w:w="1841" w:type="dxa"/>
            <w:tcMar>
              <w:top w:w="55" w:type="dxa"/>
              <w:left w:w="108" w:type="dxa"/>
              <w:bottom w:w="55" w:type="dxa"/>
              <w:right w:w="108" w:type="dxa"/>
            </w:tcMar>
          </w:tcPr>
          <w:p w14:paraId="609F0FC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Kota</w:t>
            </w:r>
          </w:p>
        </w:tc>
        <w:tc>
          <w:tcPr>
            <w:tcW w:w="1682" w:type="dxa"/>
            <w:tcMar>
              <w:top w:w="55" w:type="dxa"/>
              <w:left w:w="108" w:type="dxa"/>
              <w:bottom w:w="55" w:type="dxa"/>
              <w:right w:w="108" w:type="dxa"/>
            </w:tcMar>
          </w:tcPr>
          <w:p w14:paraId="512D633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0.79(0.23)***</w:t>
            </w:r>
          </w:p>
        </w:tc>
        <w:tc>
          <w:tcPr>
            <w:tcW w:w="1576" w:type="dxa"/>
            <w:tcMar>
              <w:top w:w="55" w:type="dxa"/>
              <w:left w:w="108" w:type="dxa"/>
              <w:bottom w:w="55" w:type="dxa"/>
              <w:right w:w="108" w:type="dxa"/>
            </w:tcMar>
          </w:tcPr>
          <w:p w14:paraId="5545177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1.18(0.10)***</w:t>
            </w:r>
          </w:p>
        </w:tc>
        <w:tc>
          <w:tcPr>
            <w:tcW w:w="1701" w:type="dxa"/>
            <w:tcMar>
              <w:top w:w="55" w:type="dxa"/>
              <w:left w:w="108" w:type="dxa"/>
              <w:bottom w:w="55" w:type="dxa"/>
              <w:right w:w="108" w:type="dxa"/>
            </w:tcMar>
          </w:tcPr>
          <w:p w14:paraId="56A2172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0.19(0.08)*</w:t>
            </w:r>
          </w:p>
        </w:tc>
        <w:tc>
          <w:tcPr>
            <w:tcW w:w="1700" w:type="dxa"/>
            <w:tcMar>
              <w:top w:w="55" w:type="dxa"/>
              <w:left w:w="108" w:type="dxa"/>
              <w:bottom w:w="55" w:type="dxa"/>
              <w:right w:w="108" w:type="dxa"/>
            </w:tcMar>
          </w:tcPr>
          <w:p w14:paraId="23602F9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-0.16(0.07)</w:t>
            </w:r>
          </w:p>
        </w:tc>
      </w:tr>
      <w:tr w:rsidR="005A30D7" w:rsidRPr="00F77872" w14:paraId="32BEC50D" w14:textId="77777777">
        <w:tc>
          <w:tcPr>
            <w:tcW w:w="560" w:type="dxa"/>
            <w:tcMar>
              <w:top w:w="55" w:type="dxa"/>
              <w:left w:w="108" w:type="dxa"/>
              <w:bottom w:w="55" w:type="dxa"/>
              <w:right w:w="108" w:type="dxa"/>
            </w:tcMar>
          </w:tcPr>
          <w:p w14:paraId="0536517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23</w:t>
            </w:r>
          </w:p>
        </w:tc>
        <w:tc>
          <w:tcPr>
            <w:tcW w:w="1841" w:type="dxa"/>
            <w:tcMar>
              <w:top w:w="55" w:type="dxa"/>
              <w:left w:w="108" w:type="dxa"/>
              <w:bottom w:w="55" w:type="dxa"/>
              <w:right w:w="108" w:type="dxa"/>
            </w:tcMar>
          </w:tcPr>
          <w:p w14:paraId="0FDEFEF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Nagaur</w:t>
            </w:r>
          </w:p>
        </w:tc>
        <w:tc>
          <w:tcPr>
            <w:tcW w:w="1682" w:type="dxa"/>
            <w:tcMar>
              <w:top w:w="55" w:type="dxa"/>
              <w:left w:w="108" w:type="dxa"/>
              <w:bottom w:w="55" w:type="dxa"/>
              <w:right w:w="108" w:type="dxa"/>
            </w:tcMar>
          </w:tcPr>
          <w:p w14:paraId="78E83C4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0.40(0.33)</w:t>
            </w:r>
          </w:p>
        </w:tc>
        <w:tc>
          <w:tcPr>
            <w:tcW w:w="1576" w:type="dxa"/>
            <w:tcMar>
              <w:top w:w="55" w:type="dxa"/>
              <w:left w:w="108" w:type="dxa"/>
              <w:bottom w:w="55" w:type="dxa"/>
              <w:right w:w="108" w:type="dxa"/>
            </w:tcMar>
          </w:tcPr>
          <w:p w14:paraId="005DFF0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1.39(0.09)***</w:t>
            </w:r>
          </w:p>
        </w:tc>
        <w:tc>
          <w:tcPr>
            <w:tcW w:w="1701" w:type="dxa"/>
            <w:tcMar>
              <w:top w:w="55" w:type="dxa"/>
              <w:left w:w="108" w:type="dxa"/>
              <w:bottom w:w="55" w:type="dxa"/>
              <w:right w:w="108" w:type="dxa"/>
            </w:tcMar>
          </w:tcPr>
          <w:p w14:paraId="310DC46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0.27(0.11)*</w:t>
            </w:r>
          </w:p>
        </w:tc>
        <w:tc>
          <w:tcPr>
            <w:tcW w:w="1700" w:type="dxa"/>
            <w:tcMar>
              <w:top w:w="55" w:type="dxa"/>
              <w:left w:w="108" w:type="dxa"/>
              <w:bottom w:w="55" w:type="dxa"/>
              <w:right w:w="108" w:type="dxa"/>
            </w:tcMar>
          </w:tcPr>
          <w:p w14:paraId="7835605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-0.35(0.16)*</w:t>
            </w:r>
          </w:p>
        </w:tc>
      </w:tr>
      <w:tr w:rsidR="005A30D7" w:rsidRPr="00F77872" w14:paraId="156A718B" w14:textId="77777777">
        <w:tc>
          <w:tcPr>
            <w:tcW w:w="560" w:type="dxa"/>
            <w:tcMar>
              <w:top w:w="55" w:type="dxa"/>
              <w:left w:w="108" w:type="dxa"/>
              <w:bottom w:w="55" w:type="dxa"/>
              <w:right w:w="108" w:type="dxa"/>
            </w:tcMar>
          </w:tcPr>
          <w:p w14:paraId="5B9A418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24</w:t>
            </w:r>
          </w:p>
        </w:tc>
        <w:tc>
          <w:tcPr>
            <w:tcW w:w="1841" w:type="dxa"/>
            <w:tcMar>
              <w:top w:w="55" w:type="dxa"/>
              <w:left w:w="108" w:type="dxa"/>
              <w:bottom w:w="55" w:type="dxa"/>
              <w:right w:w="108" w:type="dxa"/>
            </w:tcMar>
          </w:tcPr>
          <w:p w14:paraId="47D11F5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Pali</w:t>
            </w:r>
          </w:p>
        </w:tc>
        <w:tc>
          <w:tcPr>
            <w:tcW w:w="1682" w:type="dxa"/>
            <w:tcMar>
              <w:top w:w="55" w:type="dxa"/>
              <w:left w:w="108" w:type="dxa"/>
              <w:bottom w:w="55" w:type="dxa"/>
              <w:right w:w="108" w:type="dxa"/>
            </w:tcMar>
          </w:tcPr>
          <w:p w14:paraId="3CAC9FD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0.97(0.29)***</w:t>
            </w:r>
          </w:p>
        </w:tc>
        <w:tc>
          <w:tcPr>
            <w:tcW w:w="1576" w:type="dxa"/>
            <w:tcMar>
              <w:top w:w="55" w:type="dxa"/>
              <w:left w:w="108" w:type="dxa"/>
              <w:bottom w:w="55" w:type="dxa"/>
              <w:right w:w="108" w:type="dxa"/>
            </w:tcMar>
          </w:tcPr>
          <w:p w14:paraId="457C639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1.14(0.09)***</w:t>
            </w:r>
          </w:p>
        </w:tc>
        <w:tc>
          <w:tcPr>
            <w:tcW w:w="1701" w:type="dxa"/>
            <w:tcMar>
              <w:top w:w="55" w:type="dxa"/>
              <w:left w:w="108" w:type="dxa"/>
              <w:bottom w:w="55" w:type="dxa"/>
              <w:right w:w="108" w:type="dxa"/>
            </w:tcMar>
          </w:tcPr>
          <w:p w14:paraId="5004FD4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0.28(0.12)**</w:t>
            </w:r>
          </w:p>
        </w:tc>
        <w:tc>
          <w:tcPr>
            <w:tcW w:w="1700" w:type="dxa"/>
            <w:tcMar>
              <w:top w:w="55" w:type="dxa"/>
              <w:left w:w="108" w:type="dxa"/>
              <w:bottom w:w="55" w:type="dxa"/>
              <w:right w:w="108" w:type="dxa"/>
            </w:tcMar>
          </w:tcPr>
          <w:p w14:paraId="6A74944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0.17(0.10)**</w:t>
            </w:r>
          </w:p>
        </w:tc>
      </w:tr>
      <w:tr w:rsidR="005A30D7" w:rsidRPr="00F77872" w14:paraId="0875B7B2" w14:textId="77777777">
        <w:tc>
          <w:tcPr>
            <w:tcW w:w="560" w:type="dxa"/>
            <w:tcMar>
              <w:top w:w="55" w:type="dxa"/>
              <w:left w:w="108" w:type="dxa"/>
              <w:bottom w:w="55" w:type="dxa"/>
              <w:right w:w="108" w:type="dxa"/>
            </w:tcMar>
          </w:tcPr>
          <w:p w14:paraId="2F92A8F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25</w:t>
            </w:r>
          </w:p>
        </w:tc>
        <w:tc>
          <w:tcPr>
            <w:tcW w:w="1841" w:type="dxa"/>
            <w:tcMar>
              <w:top w:w="55" w:type="dxa"/>
              <w:left w:w="108" w:type="dxa"/>
              <w:bottom w:w="55" w:type="dxa"/>
              <w:right w:w="108" w:type="dxa"/>
            </w:tcMar>
          </w:tcPr>
          <w:p w14:paraId="2869639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Rajsamand</w:t>
            </w:r>
          </w:p>
        </w:tc>
        <w:tc>
          <w:tcPr>
            <w:tcW w:w="1682" w:type="dxa"/>
            <w:tcMar>
              <w:top w:w="55" w:type="dxa"/>
              <w:left w:w="108" w:type="dxa"/>
              <w:bottom w:w="55" w:type="dxa"/>
              <w:right w:w="108" w:type="dxa"/>
            </w:tcMar>
          </w:tcPr>
          <w:p w14:paraId="6E1ECA2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1.01(0.24)***</w:t>
            </w:r>
          </w:p>
        </w:tc>
        <w:tc>
          <w:tcPr>
            <w:tcW w:w="1576" w:type="dxa"/>
            <w:tcMar>
              <w:top w:w="55" w:type="dxa"/>
              <w:left w:w="108" w:type="dxa"/>
              <w:bottom w:w="55" w:type="dxa"/>
              <w:right w:w="108" w:type="dxa"/>
            </w:tcMar>
          </w:tcPr>
          <w:p w14:paraId="2E3F529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0.98(0.07)***</w:t>
            </w:r>
          </w:p>
        </w:tc>
        <w:tc>
          <w:tcPr>
            <w:tcW w:w="1701" w:type="dxa"/>
            <w:tcMar>
              <w:top w:w="55" w:type="dxa"/>
              <w:left w:w="108" w:type="dxa"/>
              <w:bottom w:w="55" w:type="dxa"/>
              <w:right w:w="108" w:type="dxa"/>
            </w:tcMar>
          </w:tcPr>
          <w:p w14:paraId="4E50BC9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0.14(0.11)</w:t>
            </w:r>
          </w:p>
        </w:tc>
        <w:tc>
          <w:tcPr>
            <w:tcW w:w="1700" w:type="dxa"/>
            <w:tcMar>
              <w:top w:w="55" w:type="dxa"/>
              <w:left w:w="108" w:type="dxa"/>
              <w:bottom w:w="55" w:type="dxa"/>
              <w:right w:w="108" w:type="dxa"/>
            </w:tcMar>
          </w:tcPr>
          <w:p w14:paraId="0A5F636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0.02(0.15)</w:t>
            </w:r>
          </w:p>
        </w:tc>
      </w:tr>
      <w:tr w:rsidR="005A30D7" w:rsidRPr="00F77872" w14:paraId="4CFD883F" w14:textId="77777777">
        <w:tc>
          <w:tcPr>
            <w:tcW w:w="560" w:type="dxa"/>
            <w:tcMar>
              <w:top w:w="55" w:type="dxa"/>
              <w:left w:w="108" w:type="dxa"/>
              <w:bottom w:w="55" w:type="dxa"/>
              <w:right w:w="108" w:type="dxa"/>
            </w:tcMar>
          </w:tcPr>
          <w:p w14:paraId="2714E781"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26</w:t>
            </w:r>
          </w:p>
        </w:tc>
        <w:tc>
          <w:tcPr>
            <w:tcW w:w="1841" w:type="dxa"/>
            <w:tcMar>
              <w:top w:w="55" w:type="dxa"/>
              <w:left w:w="108" w:type="dxa"/>
              <w:bottom w:w="55" w:type="dxa"/>
              <w:right w:w="108" w:type="dxa"/>
            </w:tcMar>
          </w:tcPr>
          <w:p w14:paraId="68021069"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Sawai Madhopur</w:t>
            </w:r>
          </w:p>
        </w:tc>
        <w:tc>
          <w:tcPr>
            <w:tcW w:w="1682" w:type="dxa"/>
            <w:tcMar>
              <w:top w:w="55" w:type="dxa"/>
              <w:left w:w="108" w:type="dxa"/>
              <w:bottom w:w="55" w:type="dxa"/>
              <w:right w:w="108" w:type="dxa"/>
            </w:tcMar>
          </w:tcPr>
          <w:p w14:paraId="323C701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1.00(0.17)***</w:t>
            </w:r>
          </w:p>
        </w:tc>
        <w:tc>
          <w:tcPr>
            <w:tcW w:w="1576" w:type="dxa"/>
            <w:tcMar>
              <w:top w:w="55" w:type="dxa"/>
              <w:left w:w="108" w:type="dxa"/>
              <w:bottom w:w="55" w:type="dxa"/>
              <w:right w:w="108" w:type="dxa"/>
            </w:tcMar>
          </w:tcPr>
          <w:p w14:paraId="53A554C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1.18(0.06)**</w:t>
            </w:r>
          </w:p>
        </w:tc>
        <w:tc>
          <w:tcPr>
            <w:tcW w:w="1701" w:type="dxa"/>
            <w:tcMar>
              <w:top w:w="55" w:type="dxa"/>
              <w:left w:w="108" w:type="dxa"/>
              <w:bottom w:w="55" w:type="dxa"/>
              <w:right w:w="108" w:type="dxa"/>
            </w:tcMar>
          </w:tcPr>
          <w:p w14:paraId="08B182FA"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-0.05(0.10)</w:t>
            </w:r>
          </w:p>
        </w:tc>
        <w:tc>
          <w:tcPr>
            <w:tcW w:w="1700" w:type="dxa"/>
            <w:tcMar>
              <w:top w:w="55" w:type="dxa"/>
              <w:left w:w="108" w:type="dxa"/>
              <w:bottom w:w="55" w:type="dxa"/>
              <w:right w:w="108" w:type="dxa"/>
            </w:tcMar>
          </w:tcPr>
          <w:p w14:paraId="1CFA64E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0.22(0.08)***</w:t>
            </w:r>
          </w:p>
        </w:tc>
      </w:tr>
      <w:tr w:rsidR="005A30D7" w:rsidRPr="00F77872" w14:paraId="4177269B" w14:textId="77777777">
        <w:tc>
          <w:tcPr>
            <w:tcW w:w="560" w:type="dxa"/>
            <w:tcMar>
              <w:top w:w="55" w:type="dxa"/>
              <w:left w:w="108" w:type="dxa"/>
              <w:bottom w:w="55" w:type="dxa"/>
              <w:right w:w="108" w:type="dxa"/>
            </w:tcMar>
          </w:tcPr>
          <w:p w14:paraId="3560B7A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27</w:t>
            </w:r>
          </w:p>
        </w:tc>
        <w:tc>
          <w:tcPr>
            <w:tcW w:w="1841" w:type="dxa"/>
            <w:tcMar>
              <w:top w:w="55" w:type="dxa"/>
              <w:left w:w="108" w:type="dxa"/>
              <w:bottom w:w="55" w:type="dxa"/>
              <w:right w:w="108" w:type="dxa"/>
            </w:tcMar>
          </w:tcPr>
          <w:p w14:paraId="5A7312B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Sikar</w:t>
            </w:r>
          </w:p>
        </w:tc>
        <w:tc>
          <w:tcPr>
            <w:tcW w:w="1682" w:type="dxa"/>
            <w:tcMar>
              <w:top w:w="55" w:type="dxa"/>
              <w:left w:w="108" w:type="dxa"/>
              <w:bottom w:w="55" w:type="dxa"/>
              <w:right w:w="108" w:type="dxa"/>
            </w:tcMar>
          </w:tcPr>
          <w:p w14:paraId="0BA17FB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-0.42(0.30)</w:t>
            </w:r>
          </w:p>
        </w:tc>
        <w:tc>
          <w:tcPr>
            <w:tcW w:w="1576" w:type="dxa"/>
            <w:tcMar>
              <w:top w:w="55" w:type="dxa"/>
              <w:left w:w="108" w:type="dxa"/>
              <w:bottom w:w="55" w:type="dxa"/>
              <w:right w:w="108" w:type="dxa"/>
            </w:tcMar>
          </w:tcPr>
          <w:p w14:paraId="4DACB69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1.63(0.11)***</w:t>
            </w:r>
          </w:p>
        </w:tc>
        <w:tc>
          <w:tcPr>
            <w:tcW w:w="1701" w:type="dxa"/>
            <w:tcMar>
              <w:top w:w="55" w:type="dxa"/>
              <w:left w:w="108" w:type="dxa"/>
              <w:bottom w:w="55" w:type="dxa"/>
              <w:right w:w="108" w:type="dxa"/>
            </w:tcMar>
          </w:tcPr>
          <w:p w14:paraId="75E694E6"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0.17(0.11)</w:t>
            </w:r>
          </w:p>
        </w:tc>
        <w:tc>
          <w:tcPr>
            <w:tcW w:w="1700" w:type="dxa"/>
            <w:tcMar>
              <w:top w:w="55" w:type="dxa"/>
              <w:left w:w="108" w:type="dxa"/>
              <w:bottom w:w="55" w:type="dxa"/>
              <w:right w:w="108" w:type="dxa"/>
            </w:tcMar>
          </w:tcPr>
          <w:p w14:paraId="29EB430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-0.06(0.09)</w:t>
            </w:r>
          </w:p>
        </w:tc>
      </w:tr>
      <w:tr w:rsidR="005A30D7" w:rsidRPr="00F77872" w14:paraId="450C1BD2" w14:textId="77777777">
        <w:tc>
          <w:tcPr>
            <w:tcW w:w="560" w:type="dxa"/>
            <w:tcMar>
              <w:top w:w="55" w:type="dxa"/>
              <w:left w:w="108" w:type="dxa"/>
              <w:bottom w:w="55" w:type="dxa"/>
              <w:right w:w="108" w:type="dxa"/>
            </w:tcMar>
          </w:tcPr>
          <w:p w14:paraId="1310D19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28</w:t>
            </w:r>
          </w:p>
        </w:tc>
        <w:tc>
          <w:tcPr>
            <w:tcW w:w="1841" w:type="dxa"/>
            <w:tcMar>
              <w:top w:w="55" w:type="dxa"/>
              <w:left w:w="108" w:type="dxa"/>
              <w:bottom w:w="55" w:type="dxa"/>
              <w:right w:w="108" w:type="dxa"/>
            </w:tcMar>
          </w:tcPr>
          <w:p w14:paraId="07455A1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Sirohi</w:t>
            </w:r>
          </w:p>
        </w:tc>
        <w:tc>
          <w:tcPr>
            <w:tcW w:w="1682" w:type="dxa"/>
            <w:tcMar>
              <w:top w:w="55" w:type="dxa"/>
              <w:left w:w="108" w:type="dxa"/>
              <w:bottom w:w="55" w:type="dxa"/>
              <w:right w:w="108" w:type="dxa"/>
            </w:tcMar>
          </w:tcPr>
          <w:p w14:paraId="0A9CC0E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-0.22(0.27)</w:t>
            </w:r>
          </w:p>
        </w:tc>
        <w:tc>
          <w:tcPr>
            <w:tcW w:w="1576" w:type="dxa"/>
            <w:tcMar>
              <w:top w:w="55" w:type="dxa"/>
              <w:left w:w="108" w:type="dxa"/>
              <w:bottom w:w="55" w:type="dxa"/>
              <w:right w:w="108" w:type="dxa"/>
            </w:tcMar>
          </w:tcPr>
          <w:p w14:paraId="3AA01988"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1.28(0.07)***</w:t>
            </w:r>
          </w:p>
        </w:tc>
        <w:tc>
          <w:tcPr>
            <w:tcW w:w="1701" w:type="dxa"/>
            <w:tcMar>
              <w:top w:w="55" w:type="dxa"/>
              <w:left w:w="108" w:type="dxa"/>
              <w:bottom w:w="55" w:type="dxa"/>
              <w:right w:w="108" w:type="dxa"/>
            </w:tcMar>
          </w:tcPr>
          <w:p w14:paraId="2B004D2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0.30(0.12)**</w:t>
            </w:r>
          </w:p>
        </w:tc>
        <w:tc>
          <w:tcPr>
            <w:tcW w:w="1700" w:type="dxa"/>
            <w:tcMar>
              <w:top w:w="55" w:type="dxa"/>
              <w:left w:w="108" w:type="dxa"/>
              <w:bottom w:w="55" w:type="dxa"/>
              <w:right w:w="108" w:type="dxa"/>
            </w:tcMar>
          </w:tcPr>
          <w:p w14:paraId="459D77DC"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-0.15(0.11)</w:t>
            </w:r>
          </w:p>
        </w:tc>
      </w:tr>
      <w:tr w:rsidR="005A30D7" w:rsidRPr="00F77872" w14:paraId="54EDDAAF" w14:textId="77777777">
        <w:tc>
          <w:tcPr>
            <w:tcW w:w="560" w:type="dxa"/>
            <w:tcMar>
              <w:top w:w="55" w:type="dxa"/>
              <w:left w:w="108" w:type="dxa"/>
              <w:bottom w:w="55" w:type="dxa"/>
              <w:right w:w="108" w:type="dxa"/>
            </w:tcMar>
          </w:tcPr>
          <w:p w14:paraId="7C942C84"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29</w:t>
            </w:r>
          </w:p>
        </w:tc>
        <w:tc>
          <w:tcPr>
            <w:tcW w:w="1841" w:type="dxa"/>
            <w:tcMar>
              <w:top w:w="55" w:type="dxa"/>
              <w:left w:w="108" w:type="dxa"/>
              <w:bottom w:w="55" w:type="dxa"/>
              <w:right w:w="108" w:type="dxa"/>
            </w:tcMar>
          </w:tcPr>
          <w:p w14:paraId="5B7CAD0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Tonk</w:t>
            </w:r>
          </w:p>
        </w:tc>
        <w:tc>
          <w:tcPr>
            <w:tcW w:w="1682" w:type="dxa"/>
            <w:tcMar>
              <w:top w:w="55" w:type="dxa"/>
              <w:left w:w="108" w:type="dxa"/>
              <w:bottom w:w="55" w:type="dxa"/>
              <w:right w:w="108" w:type="dxa"/>
            </w:tcMar>
          </w:tcPr>
          <w:p w14:paraId="5905CC50"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0.93(0.21)***</w:t>
            </w:r>
          </w:p>
        </w:tc>
        <w:tc>
          <w:tcPr>
            <w:tcW w:w="1576" w:type="dxa"/>
            <w:tcMar>
              <w:top w:w="55" w:type="dxa"/>
              <w:left w:w="108" w:type="dxa"/>
              <w:bottom w:w="55" w:type="dxa"/>
              <w:right w:w="108" w:type="dxa"/>
            </w:tcMar>
          </w:tcPr>
          <w:p w14:paraId="4E7C07CE"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1.25(0.07)***</w:t>
            </w:r>
          </w:p>
        </w:tc>
        <w:tc>
          <w:tcPr>
            <w:tcW w:w="1701" w:type="dxa"/>
            <w:tcMar>
              <w:top w:w="55" w:type="dxa"/>
              <w:left w:w="108" w:type="dxa"/>
              <w:bottom w:w="55" w:type="dxa"/>
              <w:right w:w="108" w:type="dxa"/>
            </w:tcMar>
          </w:tcPr>
          <w:p w14:paraId="07445583"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0.02(0.08)</w:t>
            </w:r>
          </w:p>
        </w:tc>
        <w:tc>
          <w:tcPr>
            <w:tcW w:w="1700" w:type="dxa"/>
            <w:tcMar>
              <w:top w:w="55" w:type="dxa"/>
              <w:left w:w="108" w:type="dxa"/>
              <w:bottom w:w="55" w:type="dxa"/>
              <w:right w:w="108" w:type="dxa"/>
            </w:tcMar>
          </w:tcPr>
          <w:p w14:paraId="639136B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-0.16(0.08)</w:t>
            </w:r>
          </w:p>
        </w:tc>
      </w:tr>
      <w:tr w:rsidR="005A30D7" w:rsidRPr="00F77872" w14:paraId="366F9B30" w14:textId="77777777">
        <w:tc>
          <w:tcPr>
            <w:tcW w:w="560" w:type="dxa"/>
            <w:tcBorders>
              <w:bottom w:val="single" w:sz="4" w:space="0" w:color="000000"/>
            </w:tcBorders>
            <w:tcMar>
              <w:top w:w="55" w:type="dxa"/>
              <w:left w:w="108" w:type="dxa"/>
              <w:bottom w:w="55" w:type="dxa"/>
              <w:right w:w="108" w:type="dxa"/>
            </w:tcMar>
          </w:tcPr>
          <w:p w14:paraId="43EB463D"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30</w:t>
            </w:r>
          </w:p>
        </w:tc>
        <w:tc>
          <w:tcPr>
            <w:tcW w:w="1841" w:type="dxa"/>
            <w:tcBorders>
              <w:bottom w:val="single" w:sz="4" w:space="0" w:color="000000"/>
            </w:tcBorders>
            <w:tcMar>
              <w:top w:w="55" w:type="dxa"/>
              <w:left w:w="108" w:type="dxa"/>
              <w:bottom w:w="55" w:type="dxa"/>
              <w:right w:w="108" w:type="dxa"/>
            </w:tcMar>
          </w:tcPr>
          <w:p w14:paraId="33F263C2"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Udaipur</w:t>
            </w:r>
          </w:p>
        </w:tc>
        <w:tc>
          <w:tcPr>
            <w:tcW w:w="1682" w:type="dxa"/>
            <w:tcBorders>
              <w:bottom w:val="single" w:sz="4" w:space="0" w:color="000000"/>
            </w:tcBorders>
            <w:tcMar>
              <w:top w:w="55" w:type="dxa"/>
              <w:left w:w="108" w:type="dxa"/>
              <w:bottom w:w="55" w:type="dxa"/>
              <w:right w:w="108" w:type="dxa"/>
            </w:tcMar>
          </w:tcPr>
          <w:p w14:paraId="74E9DBE5"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1.26(0.36)***</w:t>
            </w:r>
          </w:p>
        </w:tc>
        <w:tc>
          <w:tcPr>
            <w:tcW w:w="1576" w:type="dxa"/>
            <w:tcBorders>
              <w:bottom w:val="single" w:sz="4" w:space="0" w:color="000000"/>
            </w:tcBorders>
            <w:tcMar>
              <w:top w:w="55" w:type="dxa"/>
              <w:left w:w="108" w:type="dxa"/>
              <w:bottom w:w="55" w:type="dxa"/>
              <w:right w:w="108" w:type="dxa"/>
            </w:tcMar>
          </w:tcPr>
          <w:p w14:paraId="4AA5D8E7"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0.85(0.12)***</w:t>
            </w:r>
          </w:p>
        </w:tc>
        <w:tc>
          <w:tcPr>
            <w:tcW w:w="1701" w:type="dxa"/>
            <w:tcBorders>
              <w:bottom w:val="single" w:sz="4" w:space="0" w:color="000000"/>
            </w:tcBorders>
            <w:tcMar>
              <w:top w:w="55" w:type="dxa"/>
              <w:left w:w="108" w:type="dxa"/>
              <w:bottom w:w="55" w:type="dxa"/>
              <w:right w:w="108" w:type="dxa"/>
            </w:tcMar>
          </w:tcPr>
          <w:p w14:paraId="577EE15F"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0.22(0.19)</w:t>
            </w:r>
          </w:p>
        </w:tc>
        <w:tc>
          <w:tcPr>
            <w:tcW w:w="1700" w:type="dxa"/>
            <w:tcBorders>
              <w:bottom w:val="single" w:sz="4" w:space="0" w:color="000000"/>
            </w:tcBorders>
            <w:tcMar>
              <w:top w:w="55" w:type="dxa"/>
              <w:left w:w="108" w:type="dxa"/>
              <w:bottom w:w="55" w:type="dxa"/>
              <w:right w:w="108" w:type="dxa"/>
            </w:tcMar>
          </w:tcPr>
          <w:p w14:paraId="3998CFFB" w14:textId="77777777" w:rsidR="005A30D7" w:rsidRPr="00F77872" w:rsidRDefault="0081248F" w:rsidP="00F77872">
            <w:pPr>
              <w:pStyle w:val="Standard"/>
              <w:spacing w:after="0" w:line="240" w:lineRule="auto"/>
              <w:rPr>
                <w:rFonts w:ascii="Arial" w:hAnsi="Arial" w:cs="Arial"/>
                <w:sz w:val="20"/>
                <w:szCs w:val="20"/>
                <w:lang w:val="en-IN"/>
              </w:rPr>
            </w:pPr>
            <w:r w:rsidRPr="00F77872">
              <w:rPr>
                <w:rFonts w:ascii="Arial" w:hAnsi="Arial" w:cs="Arial"/>
                <w:sz w:val="20"/>
                <w:szCs w:val="20"/>
                <w:lang w:val="en-IN"/>
              </w:rPr>
              <w:t>0.30(0.17)*</w:t>
            </w:r>
          </w:p>
        </w:tc>
      </w:tr>
    </w:tbl>
    <w:p w14:paraId="72A15375" w14:textId="77777777" w:rsidR="005A30D7" w:rsidRDefault="0081248F">
      <w:pPr>
        <w:pStyle w:val="Standard"/>
        <w:spacing w:line="240" w:lineRule="auto"/>
        <w:jc w:val="center"/>
        <w:rPr>
          <w:rFonts w:ascii="Arial" w:hAnsi="Arial" w:cs="Times New Roman"/>
          <w:i/>
          <w:iCs/>
          <w:sz w:val="20"/>
          <w:szCs w:val="20"/>
          <w:lang w:val="en-IN" w:eastAsia="en-IN"/>
        </w:rPr>
      </w:pPr>
      <w:r>
        <w:rPr>
          <w:rFonts w:ascii="Arial" w:hAnsi="Arial" w:cs="Times New Roman"/>
          <w:i/>
          <w:iCs/>
          <w:sz w:val="20"/>
          <w:szCs w:val="20"/>
          <w:lang w:val="en-IN" w:eastAsia="en-IN"/>
        </w:rPr>
        <w:t>Note. Standard errors are given in parentheses. ***, ** &amp; * represent significant at 1, 5 and</w:t>
      </w:r>
    </w:p>
    <w:p w14:paraId="320B933C" w14:textId="77777777" w:rsidR="005A30D7" w:rsidRDefault="0081248F">
      <w:pPr>
        <w:pStyle w:val="Standard"/>
        <w:spacing w:line="240" w:lineRule="auto"/>
        <w:jc w:val="center"/>
        <w:rPr>
          <w:rFonts w:ascii="Arial" w:hAnsi="Arial"/>
          <w:i/>
          <w:iCs/>
          <w:sz w:val="20"/>
          <w:szCs w:val="20"/>
        </w:rPr>
      </w:pPr>
      <w:r>
        <w:rPr>
          <w:rFonts w:ascii="Arial" w:hAnsi="Arial" w:cs="Times New Roman"/>
          <w:i/>
          <w:iCs/>
          <w:sz w:val="20"/>
          <w:szCs w:val="20"/>
          <w:lang w:val="en-IN" w:eastAsia="en-IN"/>
        </w:rPr>
        <w:t xml:space="preserve">          10 per cent level of significance respectively</w:t>
      </w:r>
      <w:r>
        <w:rPr>
          <w:rFonts w:ascii="Arial" w:eastAsia="Times New Roman" w:hAnsi="Arial" w:cs="Times New Roman"/>
          <w:i/>
          <w:iCs/>
          <w:kern w:val="0"/>
          <w:sz w:val="20"/>
          <w:szCs w:val="20"/>
          <w:lang w:val="en-IN" w:eastAsia="en-IN"/>
        </w:rPr>
        <w:t>. Source. Calculated by authors.</w:t>
      </w:r>
    </w:p>
    <w:p w14:paraId="011C35A6" w14:textId="77777777" w:rsidR="005A30D7" w:rsidRDefault="005A30D7">
      <w:pPr>
        <w:pStyle w:val="Standard"/>
        <w:spacing w:line="240" w:lineRule="auto"/>
        <w:jc w:val="both"/>
        <w:rPr>
          <w:rFonts w:ascii="Arial" w:eastAsia="Times New Roman" w:hAnsi="Arial" w:cs="Times New Roman"/>
          <w:kern w:val="0"/>
          <w:sz w:val="22"/>
          <w:szCs w:val="22"/>
          <w:lang w:val="en-IN" w:eastAsia="en-IN"/>
        </w:rPr>
      </w:pPr>
    </w:p>
    <w:p w14:paraId="48DB6EFA" w14:textId="231E02E9"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Table 5 reports district-specific coefficient estimates for credit penetrati</w:t>
      </w:r>
      <w:r w:rsidR="00534FF4">
        <w:rPr>
          <w:rFonts w:ascii="Arial" w:hAnsi="Arial" w:cs="Times New Roman"/>
          <w:sz w:val="20"/>
          <w:szCs w:val="20"/>
          <w:lang w:val="en-IN"/>
        </w:rPr>
        <w:t>on (LPCCR) using Swamy’s Random Coefficient</w:t>
      </w:r>
      <w:r>
        <w:rPr>
          <w:rFonts w:ascii="Arial" w:hAnsi="Arial" w:cs="Times New Roman"/>
          <w:sz w:val="20"/>
          <w:szCs w:val="20"/>
          <w:lang w:val="en-IN"/>
        </w:rPr>
        <w:t xml:space="preserve"> Model, which accounts for slope heterogeneity across districts. The results reveal that LPCNDDP significantly and positively influence credit penetration in most districts—such as Ajmer, Chittaurgarh, and Dungarpur—highlighting the role of local economic prosperity. However, in a few districts like Bharatpur and Barmer, the impact is negative or insignificant, suggesting structural or institutional bottlenecks.</w:t>
      </w:r>
    </w:p>
    <w:p w14:paraId="253D3FF5"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Manufacturing activity (LMANP) consistently shows a strong positive association across nearly all districts, particularly in Jaisalmer, Bharatpur, and Baran, emphasizing its role in driving formal credit demand. LPOPGR exhibits mixed effects—positive in districts like Ajmer and Sawai Madhopur, but negative in others such as Bikaner and Tonk—indicating that demographic pressures may either stimulate or strain financial inclusion depending on local infrastructure and institutional outreach.</w:t>
      </w:r>
    </w:p>
    <w:p w14:paraId="39CB4E9B" w14:textId="259CB049"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lastRenderedPageBreak/>
        <w:t>Overall, the findings underscore considerable spatial heterogeneity in the determinants of financial inclusion, reinforcing the need for district-specific strategies rather than uniform state-level policies.</w:t>
      </w:r>
    </w:p>
    <w:p w14:paraId="0723AB60" w14:textId="0EF120BA" w:rsidR="00FE344B" w:rsidRDefault="00FE344B">
      <w:pPr>
        <w:pStyle w:val="Standard"/>
        <w:spacing w:line="240" w:lineRule="auto"/>
        <w:jc w:val="both"/>
        <w:rPr>
          <w:rFonts w:ascii="Arial" w:hAnsi="Arial" w:cs="Times New Roman"/>
          <w:sz w:val="20"/>
          <w:szCs w:val="20"/>
          <w:lang w:val="en-IN"/>
        </w:rPr>
      </w:pPr>
      <w:r w:rsidRPr="00FE344B">
        <w:rPr>
          <w:rFonts w:ascii="Arial" w:hAnsi="Arial" w:cs="Times New Roman"/>
          <w:sz w:val="20"/>
          <w:szCs w:val="20"/>
          <w:lang w:val="en-IN"/>
        </w:rPr>
        <w:t>Table 6 displays the estimated coefficients (with standard errors) of four variables namely LBB, LPCNDDP, LMANP and LPOPGR across 30 districts, using LPCDP as the dependent variable.</w:t>
      </w:r>
    </w:p>
    <w:p w14:paraId="4793576A" w14:textId="77777777" w:rsidR="005A30D7" w:rsidRDefault="005A30D7">
      <w:pPr>
        <w:pStyle w:val="Standard"/>
        <w:spacing w:line="240" w:lineRule="auto"/>
        <w:jc w:val="both"/>
        <w:rPr>
          <w:rFonts w:ascii="Arial" w:hAnsi="Arial" w:cs="Times New Roman"/>
          <w:sz w:val="22"/>
          <w:szCs w:val="22"/>
          <w:lang w:val="en-IN"/>
        </w:rPr>
      </w:pPr>
    </w:p>
    <w:p w14:paraId="7A8D65CE" w14:textId="77777777" w:rsidR="005A30D7" w:rsidRDefault="0081248F">
      <w:pPr>
        <w:pStyle w:val="Standard"/>
        <w:spacing w:line="256" w:lineRule="auto"/>
        <w:jc w:val="center"/>
        <w:rPr>
          <w:rFonts w:ascii="Arial" w:hAnsi="Arial" w:cs="Times New Roman"/>
          <w:b/>
          <w:bCs/>
          <w:lang w:val="en-IN"/>
        </w:rPr>
      </w:pPr>
      <w:r>
        <w:rPr>
          <w:rFonts w:ascii="Arial" w:hAnsi="Arial" w:cs="Times New Roman"/>
          <w:b/>
          <w:bCs/>
          <w:lang w:val="en-IN"/>
        </w:rPr>
        <w:t>Table 6. District wise coefficient estimates for LPCDP</w:t>
      </w:r>
    </w:p>
    <w:tbl>
      <w:tblPr>
        <w:tblW w:w="9060" w:type="dxa"/>
        <w:tblInd w:w="5" w:type="dxa"/>
        <w:tblLayout w:type="fixed"/>
        <w:tblCellMar>
          <w:left w:w="10" w:type="dxa"/>
          <w:right w:w="10" w:type="dxa"/>
        </w:tblCellMar>
        <w:tblLook w:val="0000" w:firstRow="0" w:lastRow="0" w:firstColumn="0" w:lastColumn="0" w:noHBand="0" w:noVBand="0"/>
      </w:tblPr>
      <w:tblGrid>
        <w:gridCol w:w="560"/>
        <w:gridCol w:w="1841"/>
        <w:gridCol w:w="1682"/>
        <w:gridCol w:w="1576"/>
        <w:gridCol w:w="1701"/>
        <w:gridCol w:w="1700"/>
      </w:tblGrid>
      <w:tr w:rsidR="005A30D7" w14:paraId="4E13CF58" w14:textId="77777777">
        <w:tc>
          <w:tcPr>
            <w:tcW w:w="560" w:type="dxa"/>
            <w:tcBorders>
              <w:top w:val="single" w:sz="4" w:space="0" w:color="000000"/>
              <w:bottom w:val="single" w:sz="4" w:space="0" w:color="000000"/>
            </w:tcBorders>
            <w:tcMar>
              <w:top w:w="55" w:type="dxa"/>
              <w:left w:w="108" w:type="dxa"/>
              <w:bottom w:w="55" w:type="dxa"/>
              <w:right w:w="108" w:type="dxa"/>
            </w:tcMar>
          </w:tcPr>
          <w:p w14:paraId="1D878A0C" w14:textId="77777777" w:rsidR="005A30D7" w:rsidRDefault="005A30D7">
            <w:pPr>
              <w:pStyle w:val="Standard"/>
              <w:spacing w:after="0" w:line="240" w:lineRule="auto"/>
              <w:jc w:val="center"/>
              <w:rPr>
                <w:rFonts w:ascii="Arial" w:hAnsi="Arial" w:cs="Times New Roman"/>
                <w:b/>
                <w:bCs/>
                <w:sz w:val="20"/>
                <w:szCs w:val="20"/>
                <w:lang w:val="en-IN"/>
              </w:rPr>
            </w:pPr>
          </w:p>
        </w:tc>
        <w:tc>
          <w:tcPr>
            <w:tcW w:w="8500" w:type="dxa"/>
            <w:gridSpan w:val="5"/>
            <w:tcBorders>
              <w:top w:val="single" w:sz="4" w:space="0" w:color="000000"/>
              <w:bottom w:val="single" w:sz="4" w:space="0" w:color="000000"/>
            </w:tcBorders>
            <w:tcMar>
              <w:top w:w="55" w:type="dxa"/>
              <w:left w:w="108" w:type="dxa"/>
              <w:bottom w:w="55" w:type="dxa"/>
              <w:right w:w="108" w:type="dxa"/>
            </w:tcMar>
          </w:tcPr>
          <w:p w14:paraId="73C7ABB9" w14:textId="77777777" w:rsidR="005A30D7" w:rsidRDefault="0081248F">
            <w:pPr>
              <w:pStyle w:val="Standard"/>
              <w:spacing w:after="0" w:line="240" w:lineRule="auto"/>
              <w:jc w:val="center"/>
              <w:rPr>
                <w:rFonts w:ascii="Arial" w:hAnsi="Arial" w:cs="Times New Roman"/>
                <w:b/>
                <w:bCs/>
                <w:sz w:val="20"/>
                <w:szCs w:val="20"/>
                <w:lang w:val="en-IN"/>
              </w:rPr>
            </w:pPr>
            <w:r>
              <w:rPr>
                <w:rFonts w:ascii="Arial" w:hAnsi="Arial" w:cs="Times New Roman"/>
                <w:b/>
                <w:bCs/>
                <w:sz w:val="20"/>
                <w:szCs w:val="20"/>
                <w:lang w:val="en-IN"/>
              </w:rPr>
              <w:t>Dependent Variable is LPCDP</w:t>
            </w:r>
          </w:p>
        </w:tc>
      </w:tr>
      <w:tr w:rsidR="005A30D7" w14:paraId="629A19A1" w14:textId="77777777">
        <w:tc>
          <w:tcPr>
            <w:tcW w:w="560" w:type="dxa"/>
            <w:tcBorders>
              <w:bottom w:val="single" w:sz="4" w:space="0" w:color="000000"/>
            </w:tcBorders>
            <w:tcMar>
              <w:top w:w="55" w:type="dxa"/>
              <w:left w:w="108" w:type="dxa"/>
              <w:bottom w:w="55" w:type="dxa"/>
              <w:right w:w="108" w:type="dxa"/>
            </w:tcMar>
          </w:tcPr>
          <w:p w14:paraId="6906359D" w14:textId="77777777" w:rsidR="005A30D7" w:rsidRDefault="0081248F">
            <w:pPr>
              <w:pStyle w:val="Standard"/>
              <w:spacing w:after="0" w:line="240" w:lineRule="auto"/>
              <w:rPr>
                <w:rFonts w:ascii="Arial" w:hAnsi="Arial" w:cs="Times New Roman"/>
                <w:b/>
                <w:bCs/>
                <w:sz w:val="20"/>
                <w:szCs w:val="20"/>
                <w:lang w:val="en-IN"/>
              </w:rPr>
            </w:pPr>
            <w:r>
              <w:rPr>
                <w:rFonts w:ascii="Arial" w:hAnsi="Arial" w:cs="Times New Roman"/>
                <w:b/>
                <w:bCs/>
                <w:sz w:val="20"/>
                <w:szCs w:val="20"/>
                <w:lang w:val="en-IN"/>
              </w:rPr>
              <w:t>SN</w:t>
            </w:r>
          </w:p>
        </w:tc>
        <w:tc>
          <w:tcPr>
            <w:tcW w:w="1841" w:type="dxa"/>
            <w:tcBorders>
              <w:bottom w:val="single" w:sz="4" w:space="0" w:color="000000"/>
            </w:tcBorders>
            <w:tcMar>
              <w:top w:w="55" w:type="dxa"/>
              <w:left w:w="108" w:type="dxa"/>
              <w:bottom w:w="55" w:type="dxa"/>
              <w:right w:w="108" w:type="dxa"/>
            </w:tcMar>
          </w:tcPr>
          <w:p w14:paraId="2E43AF4A" w14:textId="77777777" w:rsidR="005A30D7" w:rsidRDefault="0081248F">
            <w:pPr>
              <w:pStyle w:val="Standard"/>
              <w:spacing w:after="0" w:line="240" w:lineRule="auto"/>
              <w:rPr>
                <w:rFonts w:ascii="Arial" w:hAnsi="Arial" w:cs="Times New Roman"/>
                <w:b/>
                <w:bCs/>
                <w:sz w:val="20"/>
                <w:szCs w:val="20"/>
                <w:lang w:val="en-IN"/>
              </w:rPr>
            </w:pPr>
            <w:r>
              <w:rPr>
                <w:rFonts w:ascii="Arial" w:hAnsi="Arial" w:cs="Times New Roman"/>
                <w:b/>
                <w:bCs/>
                <w:sz w:val="20"/>
                <w:szCs w:val="20"/>
                <w:lang w:val="en-IN"/>
              </w:rPr>
              <w:t>Districts</w:t>
            </w:r>
          </w:p>
        </w:tc>
        <w:tc>
          <w:tcPr>
            <w:tcW w:w="1682" w:type="dxa"/>
            <w:tcBorders>
              <w:bottom w:val="single" w:sz="4" w:space="0" w:color="000000"/>
            </w:tcBorders>
            <w:tcMar>
              <w:top w:w="55" w:type="dxa"/>
              <w:left w:w="108" w:type="dxa"/>
              <w:bottom w:w="55" w:type="dxa"/>
              <w:right w:w="108" w:type="dxa"/>
            </w:tcMar>
          </w:tcPr>
          <w:p w14:paraId="75A868E5" w14:textId="77777777" w:rsidR="005A30D7" w:rsidRDefault="0081248F">
            <w:pPr>
              <w:pStyle w:val="Standard"/>
              <w:spacing w:after="0" w:line="240" w:lineRule="auto"/>
              <w:jc w:val="center"/>
              <w:rPr>
                <w:rFonts w:ascii="Arial" w:hAnsi="Arial" w:cs="Times New Roman"/>
                <w:b/>
                <w:bCs/>
                <w:sz w:val="20"/>
                <w:szCs w:val="20"/>
                <w:lang w:val="en-IN"/>
              </w:rPr>
            </w:pPr>
            <w:r>
              <w:rPr>
                <w:rFonts w:ascii="Arial" w:hAnsi="Arial" w:cs="Times New Roman"/>
                <w:b/>
                <w:bCs/>
                <w:sz w:val="20"/>
                <w:szCs w:val="20"/>
                <w:lang w:val="en-IN"/>
              </w:rPr>
              <w:t>LBB</w:t>
            </w:r>
          </w:p>
        </w:tc>
        <w:tc>
          <w:tcPr>
            <w:tcW w:w="1576" w:type="dxa"/>
            <w:tcBorders>
              <w:bottom w:val="single" w:sz="4" w:space="0" w:color="000000"/>
            </w:tcBorders>
            <w:tcMar>
              <w:top w:w="55" w:type="dxa"/>
              <w:left w:w="108" w:type="dxa"/>
              <w:bottom w:w="55" w:type="dxa"/>
              <w:right w:w="108" w:type="dxa"/>
            </w:tcMar>
          </w:tcPr>
          <w:p w14:paraId="58CD102D" w14:textId="77777777" w:rsidR="005A30D7" w:rsidRDefault="0081248F">
            <w:pPr>
              <w:pStyle w:val="Standard"/>
              <w:spacing w:after="0" w:line="240" w:lineRule="auto"/>
              <w:rPr>
                <w:rFonts w:ascii="Arial" w:hAnsi="Arial" w:cs="Times New Roman"/>
                <w:b/>
                <w:bCs/>
                <w:iCs/>
                <w:sz w:val="20"/>
                <w:szCs w:val="20"/>
                <w:lang w:val="en-IN"/>
              </w:rPr>
            </w:pPr>
            <w:r>
              <w:rPr>
                <w:rFonts w:ascii="Arial" w:hAnsi="Arial" w:cs="Times New Roman"/>
                <w:b/>
                <w:bCs/>
                <w:iCs/>
                <w:sz w:val="20"/>
                <w:szCs w:val="20"/>
                <w:lang w:val="en-IN"/>
              </w:rPr>
              <w:t>LPCNDDP</w:t>
            </w:r>
          </w:p>
        </w:tc>
        <w:tc>
          <w:tcPr>
            <w:tcW w:w="1701" w:type="dxa"/>
            <w:tcBorders>
              <w:bottom w:val="single" w:sz="4" w:space="0" w:color="000000"/>
            </w:tcBorders>
            <w:tcMar>
              <w:top w:w="55" w:type="dxa"/>
              <w:left w:w="108" w:type="dxa"/>
              <w:bottom w:w="55" w:type="dxa"/>
              <w:right w:w="108" w:type="dxa"/>
            </w:tcMar>
          </w:tcPr>
          <w:p w14:paraId="4DF27945" w14:textId="77777777" w:rsidR="005A30D7" w:rsidRDefault="0081248F">
            <w:pPr>
              <w:pStyle w:val="Standard"/>
              <w:spacing w:after="0" w:line="240" w:lineRule="auto"/>
              <w:jc w:val="center"/>
              <w:rPr>
                <w:rFonts w:ascii="Arial" w:hAnsi="Arial" w:cs="Times New Roman"/>
                <w:b/>
                <w:bCs/>
                <w:sz w:val="20"/>
                <w:szCs w:val="20"/>
                <w:lang w:val="en-IN"/>
              </w:rPr>
            </w:pPr>
            <w:r>
              <w:rPr>
                <w:rFonts w:ascii="Arial" w:hAnsi="Arial" w:cs="Times New Roman"/>
                <w:b/>
                <w:bCs/>
                <w:sz w:val="20"/>
                <w:szCs w:val="20"/>
                <w:lang w:val="en-IN"/>
              </w:rPr>
              <w:t>LMANP</w:t>
            </w:r>
          </w:p>
        </w:tc>
        <w:tc>
          <w:tcPr>
            <w:tcW w:w="1700" w:type="dxa"/>
            <w:tcBorders>
              <w:bottom w:val="single" w:sz="4" w:space="0" w:color="000000"/>
            </w:tcBorders>
            <w:tcMar>
              <w:top w:w="55" w:type="dxa"/>
              <w:left w:w="108" w:type="dxa"/>
              <w:bottom w:w="55" w:type="dxa"/>
              <w:right w:w="108" w:type="dxa"/>
            </w:tcMar>
          </w:tcPr>
          <w:p w14:paraId="6A232D9F" w14:textId="77777777" w:rsidR="005A30D7" w:rsidRDefault="0081248F">
            <w:pPr>
              <w:pStyle w:val="Standard"/>
              <w:spacing w:after="0" w:line="240" w:lineRule="auto"/>
              <w:jc w:val="center"/>
              <w:rPr>
                <w:rFonts w:ascii="Arial" w:hAnsi="Arial" w:cs="Times New Roman"/>
                <w:b/>
                <w:bCs/>
                <w:sz w:val="20"/>
                <w:szCs w:val="20"/>
                <w:lang w:val="en-IN"/>
              </w:rPr>
            </w:pPr>
            <w:r>
              <w:rPr>
                <w:rFonts w:ascii="Arial" w:hAnsi="Arial" w:cs="Times New Roman"/>
                <w:b/>
                <w:bCs/>
                <w:sz w:val="20"/>
                <w:szCs w:val="20"/>
                <w:lang w:val="en-IN"/>
              </w:rPr>
              <w:t>LPOPGR</w:t>
            </w:r>
          </w:p>
        </w:tc>
      </w:tr>
      <w:tr w:rsidR="005A30D7" w14:paraId="6929D081" w14:textId="77777777">
        <w:tc>
          <w:tcPr>
            <w:tcW w:w="560" w:type="dxa"/>
            <w:tcMar>
              <w:top w:w="55" w:type="dxa"/>
              <w:left w:w="108" w:type="dxa"/>
              <w:bottom w:w="55" w:type="dxa"/>
              <w:right w:w="108" w:type="dxa"/>
            </w:tcMar>
          </w:tcPr>
          <w:p w14:paraId="4CD632C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w:t>
            </w:r>
          </w:p>
        </w:tc>
        <w:tc>
          <w:tcPr>
            <w:tcW w:w="1841" w:type="dxa"/>
            <w:tcMar>
              <w:top w:w="55" w:type="dxa"/>
              <w:left w:w="108" w:type="dxa"/>
              <w:bottom w:w="55" w:type="dxa"/>
              <w:right w:w="108" w:type="dxa"/>
            </w:tcMar>
          </w:tcPr>
          <w:p w14:paraId="50667E0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Ajmer</w:t>
            </w:r>
          </w:p>
        </w:tc>
        <w:tc>
          <w:tcPr>
            <w:tcW w:w="1682" w:type="dxa"/>
            <w:tcMar>
              <w:top w:w="55" w:type="dxa"/>
              <w:left w:w="108" w:type="dxa"/>
              <w:bottom w:w="55" w:type="dxa"/>
              <w:right w:w="108" w:type="dxa"/>
            </w:tcMar>
          </w:tcPr>
          <w:p w14:paraId="06FD401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1.95(0.22)***</w:t>
            </w:r>
          </w:p>
        </w:tc>
        <w:tc>
          <w:tcPr>
            <w:tcW w:w="1576" w:type="dxa"/>
            <w:tcMar>
              <w:top w:w="55" w:type="dxa"/>
              <w:left w:w="108" w:type="dxa"/>
              <w:bottom w:w="55" w:type="dxa"/>
              <w:right w:w="108" w:type="dxa"/>
            </w:tcMar>
          </w:tcPr>
          <w:p w14:paraId="3C91582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0.38(0.07)***</w:t>
            </w:r>
          </w:p>
        </w:tc>
        <w:tc>
          <w:tcPr>
            <w:tcW w:w="1701" w:type="dxa"/>
            <w:tcMar>
              <w:top w:w="55" w:type="dxa"/>
              <w:left w:w="108" w:type="dxa"/>
              <w:bottom w:w="55" w:type="dxa"/>
              <w:right w:w="108" w:type="dxa"/>
            </w:tcMar>
          </w:tcPr>
          <w:p w14:paraId="2EEF8BD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0.00(0.12)</w:t>
            </w:r>
          </w:p>
        </w:tc>
        <w:tc>
          <w:tcPr>
            <w:tcW w:w="1700" w:type="dxa"/>
            <w:tcMar>
              <w:top w:w="55" w:type="dxa"/>
              <w:left w:w="108" w:type="dxa"/>
              <w:bottom w:w="55" w:type="dxa"/>
              <w:right w:w="108" w:type="dxa"/>
            </w:tcMar>
          </w:tcPr>
          <w:p w14:paraId="36D3748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0.88(0.13)***</w:t>
            </w:r>
          </w:p>
        </w:tc>
      </w:tr>
      <w:tr w:rsidR="005A30D7" w14:paraId="34A8A410" w14:textId="77777777">
        <w:tc>
          <w:tcPr>
            <w:tcW w:w="560" w:type="dxa"/>
            <w:tcMar>
              <w:top w:w="55" w:type="dxa"/>
              <w:left w:w="108" w:type="dxa"/>
              <w:bottom w:w="55" w:type="dxa"/>
              <w:right w:w="108" w:type="dxa"/>
            </w:tcMar>
          </w:tcPr>
          <w:p w14:paraId="0430DBE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w:t>
            </w:r>
          </w:p>
        </w:tc>
        <w:tc>
          <w:tcPr>
            <w:tcW w:w="1841" w:type="dxa"/>
            <w:tcMar>
              <w:top w:w="55" w:type="dxa"/>
              <w:left w:w="108" w:type="dxa"/>
              <w:bottom w:w="55" w:type="dxa"/>
              <w:right w:w="108" w:type="dxa"/>
            </w:tcMar>
          </w:tcPr>
          <w:p w14:paraId="6171DEA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Alwar</w:t>
            </w:r>
          </w:p>
        </w:tc>
        <w:tc>
          <w:tcPr>
            <w:tcW w:w="1682" w:type="dxa"/>
            <w:tcMar>
              <w:top w:w="55" w:type="dxa"/>
              <w:left w:w="108" w:type="dxa"/>
              <w:bottom w:w="55" w:type="dxa"/>
              <w:right w:w="108" w:type="dxa"/>
            </w:tcMar>
          </w:tcPr>
          <w:p w14:paraId="68767D8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0.46(0.18)*</w:t>
            </w:r>
          </w:p>
        </w:tc>
        <w:tc>
          <w:tcPr>
            <w:tcW w:w="1576" w:type="dxa"/>
            <w:tcMar>
              <w:top w:w="55" w:type="dxa"/>
              <w:left w:w="108" w:type="dxa"/>
              <w:bottom w:w="55" w:type="dxa"/>
              <w:right w:w="108" w:type="dxa"/>
            </w:tcMar>
          </w:tcPr>
          <w:p w14:paraId="24BBC43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0.94(0.06)***</w:t>
            </w:r>
          </w:p>
        </w:tc>
        <w:tc>
          <w:tcPr>
            <w:tcW w:w="1701" w:type="dxa"/>
            <w:tcMar>
              <w:top w:w="55" w:type="dxa"/>
              <w:left w:w="108" w:type="dxa"/>
              <w:bottom w:w="55" w:type="dxa"/>
              <w:right w:w="108" w:type="dxa"/>
            </w:tcMar>
          </w:tcPr>
          <w:p w14:paraId="5262858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-0.14(0.11)</w:t>
            </w:r>
          </w:p>
        </w:tc>
        <w:tc>
          <w:tcPr>
            <w:tcW w:w="1700" w:type="dxa"/>
            <w:tcMar>
              <w:top w:w="55" w:type="dxa"/>
              <w:left w:w="108" w:type="dxa"/>
              <w:bottom w:w="55" w:type="dxa"/>
              <w:right w:w="108" w:type="dxa"/>
            </w:tcMar>
          </w:tcPr>
          <w:p w14:paraId="28AA9F2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0.07(0.10)</w:t>
            </w:r>
          </w:p>
        </w:tc>
      </w:tr>
      <w:tr w:rsidR="005A30D7" w14:paraId="1D575819" w14:textId="77777777">
        <w:tc>
          <w:tcPr>
            <w:tcW w:w="560" w:type="dxa"/>
            <w:tcMar>
              <w:top w:w="55" w:type="dxa"/>
              <w:left w:w="108" w:type="dxa"/>
              <w:bottom w:w="55" w:type="dxa"/>
              <w:right w:w="108" w:type="dxa"/>
            </w:tcMar>
          </w:tcPr>
          <w:p w14:paraId="44AACE2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3</w:t>
            </w:r>
          </w:p>
        </w:tc>
        <w:tc>
          <w:tcPr>
            <w:tcW w:w="1841" w:type="dxa"/>
            <w:tcMar>
              <w:top w:w="55" w:type="dxa"/>
              <w:left w:w="108" w:type="dxa"/>
              <w:bottom w:w="55" w:type="dxa"/>
              <w:right w:w="108" w:type="dxa"/>
            </w:tcMar>
          </w:tcPr>
          <w:p w14:paraId="67B4A8C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Banswara</w:t>
            </w:r>
          </w:p>
        </w:tc>
        <w:tc>
          <w:tcPr>
            <w:tcW w:w="1682" w:type="dxa"/>
            <w:tcMar>
              <w:top w:w="55" w:type="dxa"/>
              <w:left w:w="108" w:type="dxa"/>
              <w:bottom w:w="55" w:type="dxa"/>
              <w:right w:w="108" w:type="dxa"/>
            </w:tcMar>
          </w:tcPr>
          <w:p w14:paraId="18BBD3F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0.51(0.23)*</w:t>
            </w:r>
          </w:p>
        </w:tc>
        <w:tc>
          <w:tcPr>
            <w:tcW w:w="1576" w:type="dxa"/>
            <w:tcMar>
              <w:top w:w="55" w:type="dxa"/>
              <w:left w:w="108" w:type="dxa"/>
              <w:bottom w:w="55" w:type="dxa"/>
              <w:right w:w="108" w:type="dxa"/>
            </w:tcMar>
          </w:tcPr>
          <w:p w14:paraId="78BFF70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1.06(0.07)***</w:t>
            </w:r>
          </w:p>
        </w:tc>
        <w:tc>
          <w:tcPr>
            <w:tcW w:w="1701" w:type="dxa"/>
            <w:tcMar>
              <w:top w:w="55" w:type="dxa"/>
              <w:left w:w="108" w:type="dxa"/>
              <w:bottom w:w="55" w:type="dxa"/>
              <w:right w:w="108" w:type="dxa"/>
            </w:tcMar>
          </w:tcPr>
          <w:p w14:paraId="7775E11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0.34(0.13)*</w:t>
            </w:r>
          </w:p>
        </w:tc>
        <w:tc>
          <w:tcPr>
            <w:tcW w:w="1700" w:type="dxa"/>
            <w:tcMar>
              <w:top w:w="55" w:type="dxa"/>
              <w:left w:w="108" w:type="dxa"/>
              <w:bottom w:w="55" w:type="dxa"/>
              <w:right w:w="108" w:type="dxa"/>
            </w:tcMar>
          </w:tcPr>
          <w:p w14:paraId="0049769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0.00(0.10)</w:t>
            </w:r>
          </w:p>
        </w:tc>
      </w:tr>
      <w:tr w:rsidR="005A30D7" w14:paraId="0765F4E0" w14:textId="77777777">
        <w:tc>
          <w:tcPr>
            <w:tcW w:w="560" w:type="dxa"/>
            <w:tcMar>
              <w:top w:w="55" w:type="dxa"/>
              <w:left w:w="108" w:type="dxa"/>
              <w:bottom w:w="55" w:type="dxa"/>
              <w:right w:w="108" w:type="dxa"/>
            </w:tcMar>
          </w:tcPr>
          <w:p w14:paraId="3ADB775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4</w:t>
            </w:r>
          </w:p>
        </w:tc>
        <w:tc>
          <w:tcPr>
            <w:tcW w:w="1841" w:type="dxa"/>
            <w:tcMar>
              <w:top w:w="55" w:type="dxa"/>
              <w:left w:w="108" w:type="dxa"/>
              <w:bottom w:w="55" w:type="dxa"/>
              <w:right w:w="108" w:type="dxa"/>
            </w:tcMar>
          </w:tcPr>
          <w:p w14:paraId="107F59E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Baran</w:t>
            </w:r>
          </w:p>
        </w:tc>
        <w:tc>
          <w:tcPr>
            <w:tcW w:w="1682" w:type="dxa"/>
            <w:tcMar>
              <w:top w:w="55" w:type="dxa"/>
              <w:left w:w="108" w:type="dxa"/>
              <w:bottom w:w="55" w:type="dxa"/>
              <w:right w:w="108" w:type="dxa"/>
            </w:tcMar>
          </w:tcPr>
          <w:p w14:paraId="00A86CA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0.76(0.22)</w:t>
            </w:r>
          </w:p>
        </w:tc>
        <w:tc>
          <w:tcPr>
            <w:tcW w:w="1576" w:type="dxa"/>
            <w:tcMar>
              <w:top w:w="55" w:type="dxa"/>
              <w:left w:w="108" w:type="dxa"/>
              <w:bottom w:w="55" w:type="dxa"/>
              <w:right w:w="108" w:type="dxa"/>
            </w:tcMar>
          </w:tcPr>
          <w:p w14:paraId="585C061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1.33(0.08)***</w:t>
            </w:r>
          </w:p>
        </w:tc>
        <w:tc>
          <w:tcPr>
            <w:tcW w:w="1701" w:type="dxa"/>
            <w:tcMar>
              <w:top w:w="55" w:type="dxa"/>
              <w:left w:w="108" w:type="dxa"/>
              <w:bottom w:w="55" w:type="dxa"/>
              <w:right w:w="108" w:type="dxa"/>
            </w:tcMar>
          </w:tcPr>
          <w:p w14:paraId="5D61D97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0.78(0.17)***</w:t>
            </w:r>
          </w:p>
        </w:tc>
        <w:tc>
          <w:tcPr>
            <w:tcW w:w="1700" w:type="dxa"/>
            <w:tcMar>
              <w:top w:w="55" w:type="dxa"/>
              <w:left w:w="108" w:type="dxa"/>
              <w:bottom w:w="55" w:type="dxa"/>
              <w:right w:w="108" w:type="dxa"/>
            </w:tcMar>
          </w:tcPr>
          <w:p w14:paraId="0DE0E2B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-0.14(0.06)</w:t>
            </w:r>
          </w:p>
        </w:tc>
      </w:tr>
      <w:tr w:rsidR="005A30D7" w14:paraId="6C2DE5F9" w14:textId="77777777">
        <w:tc>
          <w:tcPr>
            <w:tcW w:w="560" w:type="dxa"/>
            <w:tcMar>
              <w:top w:w="55" w:type="dxa"/>
              <w:left w:w="108" w:type="dxa"/>
              <w:bottom w:w="55" w:type="dxa"/>
              <w:right w:w="108" w:type="dxa"/>
            </w:tcMar>
          </w:tcPr>
          <w:p w14:paraId="6D6FF4E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5</w:t>
            </w:r>
          </w:p>
        </w:tc>
        <w:tc>
          <w:tcPr>
            <w:tcW w:w="1841" w:type="dxa"/>
            <w:tcMar>
              <w:top w:w="55" w:type="dxa"/>
              <w:left w:w="108" w:type="dxa"/>
              <w:bottom w:w="55" w:type="dxa"/>
              <w:right w:w="108" w:type="dxa"/>
            </w:tcMar>
          </w:tcPr>
          <w:p w14:paraId="7B13900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Barmer</w:t>
            </w:r>
          </w:p>
        </w:tc>
        <w:tc>
          <w:tcPr>
            <w:tcW w:w="1682" w:type="dxa"/>
            <w:tcMar>
              <w:top w:w="55" w:type="dxa"/>
              <w:left w:w="108" w:type="dxa"/>
              <w:bottom w:w="55" w:type="dxa"/>
              <w:right w:w="108" w:type="dxa"/>
            </w:tcMar>
          </w:tcPr>
          <w:p w14:paraId="3889EA8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-0.15(0.25)</w:t>
            </w:r>
          </w:p>
        </w:tc>
        <w:tc>
          <w:tcPr>
            <w:tcW w:w="1576" w:type="dxa"/>
            <w:tcMar>
              <w:top w:w="55" w:type="dxa"/>
              <w:left w:w="108" w:type="dxa"/>
              <w:bottom w:w="55" w:type="dxa"/>
              <w:right w:w="108" w:type="dxa"/>
            </w:tcMar>
          </w:tcPr>
          <w:p w14:paraId="1DF6687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1.13(0.07)***</w:t>
            </w:r>
          </w:p>
        </w:tc>
        <w:tc>
          <w:tcPr>
            <w:tcW w:w="1701" w:type="dxa"/>
            <w:tcMar>
              <w:top w:w="55" w:type="dxa"/>
              <w:left w:w="108" w:type="dxa"/>
              <w:bottom w:w="55" w:type="dxa"/>
              <w:right w:w="108" w:type="dxa"/>
            </w:tcMar>
          </w:tcPr>
          <w:p w14:paraId="1111DAD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0.58(0.10)***</w:t>
            </w:r>
          </w:p>
        </w:tc>
        <w:tc>
          <w:tcPr>
            <w:tcW w:w="1700" w:type="dxa"/>
            <w:tcMar>
              <w:top w:w="55" w:type="dxa"/>
              <w:left w:w="108" w:type="dxa"/>
              <w:bottom w:w="55" w:type="dxa"/>
              <w:right w:w="108" w:type="dxa"/>
            </w:tcMar>
          </w:tcPr>
          <w:p w14:paraId="75056CD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-0.04(0.09)</w:t>
            </w:r>
          </w:p>
        </w:tc>
      </w:tr>
      <w:tr w:rsidR="005A30D7" w14:paraId="23591025" w14:textId="77777777">
        <w:tc>
          <w:tcPr>
            <w:tcW w:w="560" w:type="dxa"/>
            <w:tcMar>
              <w:top w:w="55" w:type="dxa"/>
              <w:left w:w="108" w:type="dxa"/>
              <w:bottom w:w="55" w:type="dxa"/>
              <w:right w:w="108" w:type="dxa"/>
            </w:tcMar>
          </w:tcPr>
          <w:p w14:paraId="37DC682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6</w:t>
            </w:r>
          </w:p>
        </w:tc>
        <w:tc>
          <w:tcPr>
            <w:tcW w:w="1841" w:type="dxa"/>
            <w:tcMar>
              <w:top w:w="55" w:type="dxa"/>
              <w:left w:w="108" w:type="dxa"/>
              <w:bottom w:w="55" w:type="dxa"/>
              <w:right w:w="108" w:type="dxa"/>
            </w:tcMar>
          </w:tcPr>
          <w:p w14:paraId="1D95AE1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Bharatpur</w:t>
            </w:r>
          </w:p>
        </w:tc>
        <w:tc>
          <w:tcPr>
            <w:tcW w:w="1682" w:type="dxa"/>
            <w:tcMar>
              <w:top w:w="55" w:type="dxa"/>
              <w:left w:w="108" w:type="dxa"/>
              <w:bottom w:w="55" w:type="dxa"/>
              <w:right w:w="108" w:type="dxa"/>
            </w:tcMar>
          </w:tcPr>
          <w:p w14:paraId="12455C9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0.11(0.27)</w:t>
            </w:r>
          </w:p>
        </w:tc>
        <w:tc>
          <w:tcPr>
            <w:tcW w:w="1576" w:type="dxa"/>
            <w:tcMar>
              <w:top w:w="55" w:type="dxa"/>
              <w:left w:w="108" w:type="dxa"/>
              <w:bottom w:w="55" w:type="dxa"/>
              <w:right w:w="108" w:type="dxa"/>
            </w:tcMar>
          </w:tcPr>
          <w:p w14:paraId="09FEB0D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1.13(0.07)***</w:t>
            </w:r>
          </w:p>
        </w:tc>
        <w:tc>
          <w:tcPr>
            <w:tcW w:w="1701" w:type="dxa"/>
            <w:tcMar>
              <w:top w:w="55" w:type="dxa"/>
              <w:left w:w="108" w:type="dxa"/>
              <w:bottom w:w="55" w:type="dxa"/>
              <w:right w:w="108" w:type="dxa"/>
            </w:tcMar>
          </w:tcPr>
          <w:p w14:paraId="0AD36F6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0.70(0.12)***</w:t>
            </w:r>
          </w:p>
        </w:tc>
        <w:tc>
          <w:tcPr>
            <w:tcW w:w="1700" w:type="dxa"/>
            <w:tcMar>
              <w:top w:w="55" w:type="dxa"/>
              <w:left w:w="108" w:type="dxa"/>
              <w:bottom w:w="55" w:type="dxa"/>
              <w:right w:w="108" w:type="dxa"/>
            </w:tcMar>
          </w:tcPr>
          <w:p w14:paraId="6C6615A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0.03(0.08)</w:t>
            </w:r>
          </w:p>
        </w:tc>
      </w:tr>
      <w:tr w:rsidR="005A30D7" w14:paraId="48C64A98" w14:textId="77777777">
        <w:tc>
          <w:tcPr>
            <w:tcW w:w="560" w:type="dxa"/>
            <w:tcMar>
              <w:top w:w="55" w:type="dxa"/>
              <w:left w:w="108" w:type="dxa"/>
              <w:bottom w:w="55" w:type="dxa"/>
              <w:right w:w="108" w:type="dxa"/>
            </w:tcMar>
          </w:tcPr>
          <w:p w14:paraId="2ACD0DB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7</w:t>
            </w:r>
          </w:p>
        </w:tc>
        <w:tc>
          <w:tcPr>
            <w:tcW w:w="1841" w:type="dxa"/>
            <w:tcMar>
              <w:top w:w="55" w:type="dxa"/>
              <w:left w:w="108" w:type="dxa"/>
              <w:bottom w:w="55" w:type="dxa"/>
              <w:right w:w="108" w:type="dxa"/>
            </w:tcMar>
          </w:tcPr>
          <w:p w14:paraId="1794211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Bhilwara</w:t>
            </w:r>
          </w:p>
        </w:tc>
        <w:tc>
          <w:tcPr>
            <w:tcW w:w="1682" w:type="dxa"/>
            <w:tcMar>
              <w:top w:w="55" w:type="dxa"/>
              <w:left w:w="108" w:type="dxa"/>
              <w:bottom w:w="55" w:type="dxa"/>
              <w:right w:w="108" w:type="dxa"/>
            </w:tcMar>
          </w:tcPr>
          <w:p w14:paraId="28C7242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0.57(0.19)***</w:t>
            </w:r>
          </w:p>
        </w:tc>
        <w:tc>
          <w:tcPr>
            <w:tcW w:w="1576" w:type="dxa"/>
            <w:tcMar>
              <w:top w:w="55" w:type="dxa"/>
              <w:left w:w="108" w:type="dxa"/>
              <w:bottom w:w="55" w:type="dxa"/>
              <w:right w:w="108" w:type="dxa"/>
            </w:tcMar>
          </w:tcPr>
          <w:p w14:paraId="7AC21AF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0.91(0.05)***</w:t>
            </w:r>
          </w:p>
        </w:tc>
        <w:tc>
          <w:tcPr>
            <w:tcW w:w="1701" w:type="dxa"/>
            <w:tcMar>
              <w:top w:w="55" w:type="dxa"/>
              <w:left w:w="108" w:type="dxa"/>
              <w:bottom w:w="55" w:type="dxa"/>
              <w:right w:w="108" w:type="dxa"/>
            </w:tcMar>
          </w:tcPr>
          <w:p w14:paraId="039093A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0.18(0.12)</w:t>
            </w:r>
          </w:p>
        </w:tc>
        <w:tc>
          <w:tcPr>
            <w:tcW w:w="1700" w:type="dxa"/>
            <w:tcMar>
              <w:top w:w="55" w:type="dxa"/>
              <w:left w:w="108" w:type="dxa"/>
              <w:bottom w:w="55" w:type="dxa"/>
              <w:right w:w="108" w:type="dxa"/>
            </w:tcMar>
          </w:tcPr>
          <w:p w14:paraId="5C7D2A2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0.05(0.06)</w:t>
            </w:r>
          </w:p>
        </w:tc>
      </w:tr>
      <w:tr w:rsidR="005A30D7" w14:paraId="1C68DCA3" w14:textId="77777777">
        <w:tc>
          <w:tcPr>
            <w:tcW w:w="560" w:type="dxa"/>
            <w:tcMar>
              <w:top w:w="55" w:type="dxa"/>
              <w:left w:w="108" w:type="dxa"/>
              <w:bottom w:w="55" w:type="dxa"/>
              <w:right w:w="108" w:type="dxa"/>
            </w:tcMar>
          </w:tcPr>
          <w:p w14:paraId="7A2886C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8</w:t>
            </w:r>
          </w:p>
        </w:tc>
        <w:tc>
          <w:tcPr>
            <w:tcW w:w="1841" w:type="dxa"/>
            <w:tcMar>
              <w:top w:w="55" w:type="dxa"/>
              <w:left w:w="108" w:type="dxa"/>
              <w:bottom w:w="55" w:type="dxa"/>
              <w:right w:w="108" w:type="dxa"/>
            </w:tcMar>
          </w:tcPr>
          <w:p w14:paraId="7FC861A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Bikaner</w:t>
            </w:r>
          </w:p>
        </w:tc>
        <w:tc>
          <w:tcPr>
            <w:tcW w:w="1682" w:type="dxa"/>
            <w:tcMar>
              <w:top w:w="55" w:type="dxa"/>
              <w:left w:w="108" w:type="dxa"/>
              <w:bottom w:w="55" w:type="dxa"/>
              <w:right w:w="108" w:type="dxa"/>
            </w:tcMar>
          </w:tcPr>
          <w:p w14:paraId="4557352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0.45(0.16)***</w:t>
            </w:r>
          </w:p>
        </w:tc>
        <w:tc>
          <w:tcPr>
            <w:tcW w:w="1576" w:type="dxa"/>
            <w:tcMar>
              <w:top w:w="55" w:type="dxa"/>
              <w:left w:w="108" w:type="dxa"/>
              <w:bottom w:w="55" w:type="dxa"/>
              <w:right w:w="108" w:type="dxa"/>
            </w:tcMar>
          </w:tcPr>
          <w:p w14:paraId="3DA02D1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0.87(0.05)***</w:t>
            </w:r>
          </w:p>
        </w:tc>
        <w:tc>
          <w:tcPr>
            <w:tcW w:w="1701" w:type="dxa"/>
            <w:tcMar>
              <w:top w:w="55" w:type="dxa"/>
              <w:left w:w="108" w:type="dxa"/>
              <w:bottom w:w="55" w:type="dxa"/>
              <w:right w:w="108" w:type="dxa"/>
            </w:tcMar>
          </w:tcPr>
          <w:p w14:paraId="44EF474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0.38(0.10)***</w:t>
            </w:r>
          </w:p>
        </w:tc>
        <w:tc>
          <w:tcPr>
            <w:tcW w:w="1700" w:type="dxa"/>
            <w:tcMar>
              <w:top w:w="55" w:type="dxa"/>
              <w:left w:w="108" w:type="dxa"/>
              <w:bottom w:w="55" w:type="dxa"/>
              <w:right w:w="108" w:type="dxa"/>
            </w:tcMar>
          </w:tcPr>
          <w:p w14:paraId="2A8DC91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-0.18(0.11)**</w:t>
            </w:r>
          </w:p>
        </w:tc>
      </w:tr>
      <w:tr w:rsidR="005A30D7" w14:paraId="30C30524" w14:textId="77777777">
        <w:tc>
          <w:tcPr>
            <w:tcW w:w="560" w:type="dxa"/>
            <w:tcMar>
              <w:top w:w="55" w:type="dxa"/>
              <w:left w:w="108" w:type="dxa"/>
              <w:bottom w:w="55" w:type="dxa"/>
              <w:right w:w="108" w:type="dxa"/>
            </w:tcMar>
          </w:tcPr>
          <w:p w14:paraId="7DE52C2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9</w:t>
            </w:r>
          </w:p>
        </w:tc>
        <w:tc>
          <w:tcPr>
            <w:tcW w:w="1841" w:type="dxa"/>
            <w:tcMar>
              <w:top w:w="55" w:type="dxa"/>
              <w:left w:w="108" w:type="dxa"/>
              <w:bottom w:w="55" w:type="dxa"/>
              <w:right w:w="108" w:type="dxa"/>
            </w:tcMar>
          </w:tcPr>
          <w:p w14:paraId="5BDBFDA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Bundi</w:t>
            </w:r>
          </w:p>
        </w:tc>
        <w:tc>
          <w:tcPr>
            <w:tcW w:w="1682" w:type="dxa"/>
            <w:tcMar>
              <w:top w:w="55" w:type="dxa"/>
              <w:left w:w="108" w:type="dxa"/>
              <w:bottom w:w="55" w:type="dxa"/>
              <w:right w:w="108" w:type="dxa"/>
            </w:tcMar>
          </w:tcPr>
          <w:p w14:paraId="219EEB1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0.83(0.18)***</w:t>
            </w:r>
          </w:p>
        </w:tc>
        <w:tc>
          <w:tcPr>
            <w:tcW w:w="1576" w:type="dxa"/>
            <w:tcMar>
              <w:top w:w="55" w:type="dxa"/>
              <w:left w:w="108" w:type="dxa"/>
              <w:bottom w:w="55" w:type="dxa"/>
              <w:right w:w="108" w:type="dxa"/>
            </w:tcMar>
          </w:tcPr>
          <w:p w14:paraId="68AD17F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1.09(0.05)***</w:t>
            </w:r>
          </w:p>
        </w:tc>
        <w:tc>
          <w:tcPr>
            <w:tcW w:w="1701" w:type="dxa"/>
            <w:tcMar>
              <w:top w:w="55" w:type="dxa"/>
              <w:left w:w="108" w:type="dxa"/>
              <w:bottom w:w="55" w:type="dxa"/>
              <w:right w:w="108" w:type="dxa"/>
            </w:tcMar>
          </w:tcPr>
          <w:p w14:paraId="537D0CF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0.60(0.12)***</w:t>
            </w:r>
          </w:p>
        </w:tc>
        <w:tc>
          <w:tcPr>
            <w:tcW w:w="1700" w:type="dxa"/>
            <w:tcMar>
              <w:top w:w="55" w:type="dxa"/>
              <w:left w:w="108" w:type="dxa"/>
              <w:bottom w:w="55" w:type="dxa"/>
              <w:right w:w="108" w:type="dxa"/>
            </w:tcMar>
          </w:tcPr>
          <w:p w14:paraId="7F6715F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0.08(0.06)</w:t>
            </w:r>
          </w:p>
        </w:tc>
      </w:tr>
      <w:tr w:rsidR="005A30D7" w14:paraId="1F04674E" w14:textId="77777777">
        <w:tc>
          <w:tcPr>
            <w:tcW w:w="560" w:type="dxa"/>
            <w:tcMar>
              <w:top w:w="55" w:type="dxa"/>
              <w:left w:w="108" w:type="dxa"/>
              <w:bottom w:w="55" w:type="dxa"/>
              <w:right w:w="108" w:type="dxa"/>
            </w:tcMar>
          </w:tcPr>
          <w:p w14:paraId="44A9108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w:t>
            </w:r>
          </w:p>
        </w:tc>
        <w:tc>
          <w:tcPr>
            <w:tcW w:w="1841" w:type="dxa"/>
            <w:tcMar>
              <w:top w:w="55" w:type="dxa"/>
              <w:left w:w="108" w:type="dxa"/>
              <w:bottom w:w="55" w:type="dxa"/>
              <w:right w:w="108" w:type="dxa"/>
            </w:tcMar>
          </w:tcPr>
          <w:p w14:paraId="24EB7B0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Chittaurgarh</w:t>
            </w:r>
          </w:p>
        </w:tc>
        <w:tc>
          <w:tcPr>
            <w:tcW w:w="1682" w:type="dxa"/>
            <w:tcMar>
              <w:top w:w="55" w:type="dxa"/>
              <w:left w:w="108" w:type="dxa"/>
              <w:bottom w:w="55" w:type="dxa"/>
              <w:right w:w="108" w:type="dxa"/>
            </w:tcMar>
          </w:tcPr>
          <w:p w14:paraId="78DADA8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1.04(0.18)***</w:t>
            </w:r>
          </w:p>
        </w:tc>
        <w:tc>
          <w:tcPr>
            <w:tcW w:w="1576" w:type="dxa"/>
            <w:tcMar>
              <w:top w:w="55" w:type="dxa"/>
              <w:left w:w="108" w:type="dxa"/>
              <w:bottom w:w="55" w:type="dxa"/>
              <w:right w:w="108" w:type="dxa"/>
            </w:tcMar>
          </w:tcPr>
          <w:p w14:paraId="7EFDA4C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0.95(0.08)***</w:t>
            </w:r>
          </w:p>
        </w:tc>
        <w:tc>
          <w:tcPr>
            <w:tcW w:w="1701" w:type="dxa"/>
            <w:tcMar>
              <w:top w:w="55" w:type="dxa"/>
              <w:left w:w="108" w:type="dxa"/>
              <w:bottom w:w="55" w:type="dxa"/>
              <w:right w:w="108" w:type="dxa"/>
            </w:tcMar>
          </w:tcPr>
          <w:p w14:paraId="63A8958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0.22(0.15)</w:t>
            </w:r>
          </w:p>
        </w:tc>
        <w:tc>
          <w:tcPr>
            <w:tcW w:w="1700" w:type="dxa"/>
            <w:tcMar>
              <w:top w:w="55" w:type="dxa"/>
              <w:left w:w="108" w:type="dxa"/>
              <w:bottom w:w="55" w:type="dxa"/>
              <w:right w:w="108" w:type="dxa"/>
            </w:tcMar>
          </w:tcPr>
          <w:p w14:paraId="557C5CE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0.08(0.06)</w:t>
            </w:r>
          </w:p>
        </w:tc>
      </w:tr>
      <w:tr w:rsidR="005A30D7" w14:paraId="55EDA0FD" w14:textId="77777777">
        <w:tc>
          <w:tcPr>
            <w:tcW w:w="560" w:type="dxa"/>
            <w:tcMar>
              <w:top w:w="55" w:type="dxa"/>
              <w:left w:w="108" w:type="dxa"/>
              <w:bottom w:w="55" w:type="dxa"/>
              <w:right w:w="108" w:type="dxa"/>
            </w:tcMar>
          </w:tcPr>
          <w:p w14:paraId="06FBD1F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11</w:t>
            </w:r>
          </w:p>
        </w:tc>
        <w:tc>
          <w:tcPr>
            <w:tcW w:w="1841" w:type="dxa"/>
            <w:tcMar>
              <w:top w:w="55" w:type="dxa"/>
              <w:left w:w="108" w:type="dxa"/>
              <w:bottom w:w="55" w:type="dxa"/>
              <w:right w:w="108" w:type="dxa"/>
            </w:tcMar>
          </w:tcPr>
          <w:p w14:paraId="05B28DC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Churu</w:t>
            </w:r>
          </w:p>
        </w:tc>
        <w:tc>
          <w:tcPr>
            <w:tcW w:w="1682" w:type="dxa"/>
            <w:tcMar>
              <w:top w:w="55" w:type="dxa"/>
              <w:left w:w="108" w:type="dxa"/>
              <w:bottom w:w="55" w:type="dxa"/>
              <w:right w:w="108" w:type="dxa"/>
            </w:tcMar>
          </w:tcPr>
          <w:p w14:paraId="2DF6DD9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1.12(0.13)***</w:t>
            </w:r>
          </w:p>
        </w:tc>
        <w:tc>
          <w:tcPr>
            <w:tcW w:w="1576" w:type="dxa"/>
            <w:tcMar>
              <w:top w:w="55" w:type="dxa"/>
              <w:left w:w="108" w:type="dxa"/>
              <w:bottom w:w="55" w:type="dxa"/>
              <w:right w:w="108" w:type="dxa"/>
            </w:tcMar>
          </w:tcPr>
          <w:p w14:paraId="729FEE2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0.88(0.04)***</w:t>
            </w:r>
          </w:p>
        </w:tc>
        <w:tc>
          <w:tcPr>
            <w:tcW w:w="1701" w:type="dxa"/>
            <w:tcMar>
              <w:top w:w="55" w:type="dxa"/>
              <w:left w:w="108" w:type="dxa"/>
              <w:bottom w:w="55" w:type="dxa"/>
              <w:right w:w="108" w:type="dxa"/>
            </w:tcMar>
          </w:tcPr>
          <w:p w14:paraId="7C812C0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0.59(0.06)***</w:t>
            </w:r>
          </w:p>
        </w:tc>
        <w:tc>
          <w:tcPr>
            <w:tcW w:w="1700" w:type="dxa"/>
            <w:tcMar>
              <w:top w:w="55" w:type="dxa"/>
              <w:left w:w="108" w:type="dxa"/>
              <w:bottom w:w="55" w:type="dxa"/>
              <w:right w:w="108" w:type="dxa"/>
            </w:tcMar>
          </w:tcPr>
          <w:p w14:paraId="028225B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0.00(0.05)</w:t>
            </w:r>
          </w:p>
        </w:tc>
      </w:tr>
      <w:tr w:rsidR="005A30D7" w14:paraId="7F657652" w14:textId="77777777">
        <w:tc>
          <w:tcPr>
            <w:tcW w:w="560" w:type="dxa"/>
            <w:tcMar>
              <w:top w:w="55" w:type="dxa"/>
              <w:left w:w="108" w:type="dxa"/>
              <w:bottom w:w="55" w:type="dxa"/>
              <w:right w:w="108" w:type="dxa"/>
            </w:tcMar>
          </w:tcPr>
          <w:p w14:paraId="1845FD0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12</w:t>
            </w:r>
          </w:p>
        </w:tc>
        <w:tc>
          <w:tcPr>
            <w:tcW w:w="1841" w:type="dxa"/>
            <w:tcMar>
              <w:top w:w="55" w:type="dxa"/>
              <w:left w:w="108" w:type="dxa"/>
              <w:bottom w:w="55" w:type="dxa"/>
              <w:right w:w="108" w:type="dxa"/>
            </w:tcMar>
          </w:tcPr>
          <w:p w14:paraId="5007D9D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Dausa</w:t>
            </w:r>
          </w:p>
        </w:tc>
        <w:tc>
          <w:tcPr>
            <w:tcW w:w="1682" w:type="dxa"/>
            <w:tcMar>
              <w:top w:w="55" w:type="dxa"/>
              <w:left w:w="108" w:type="dxa"/>
              <w:bottom w:w="55" w:type="dxa"/>
              <w:right w:w="108" w:type="dxa"/>
            </w:tcMar>
          </w:tcPr>
          <w:p w14:paraId="583CFC1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1.13(0.11)***</w:t>
            </w:r>
          </w:p>
        </w:tc>
        <w:tc>
          <w:tcPr>
            <w:tcW w:w="1576" w:type="dxa"/>
            <w:tcMar>
              <w:top w:w="55" w:type="dxa"/>
              <w:left w:w="108" w:type="dxa"/>
              <w:bottom w:w="55" w:type="dxa"/>
              <w:right w:w="108" w:type="dxa"/>
            </w:tcMar>
          </w:tcPr>
          <w:p w14:paraId="369F3F1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0.85(0.05)***</w:t>
            </w:r>
          </w:p>
        </w:tc>
        <w:tc>
          <w:tcPr>
            <w:tcW w:w="1701" w:type="dxa"/>
            <w:tcMar>
              <w:top w:w="55" w:type="dxa"/>
              <w:left w:w="108" w:type="dxa"/>
              <w:bottom w:w="55" w:type="dxa"/>
              <w:right w:w="108" w:type="dxa"/>
            </w:tcMar>
          </w:tcPr>
          <w:p w14:paraId="1645300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0.46(0.13)***</w:t>
            </w:r>
          </w:p>
        </w:tc>
        <w:tc>
          <w:tcPr>
            <w:tcW w:w="1700" w:type="dxa"/>
            <w:tcMar>
              <w:top w:w="55" w:type="dxa"/>
              <w:left w:w="108" w:type="dxa"/>
              <w:bottom w:w="55" w:type="dxa"/>
              <w:right w:w="108" w:type="dxa"/>
            </w:tcMar>
          </w:tcPr>
          <w:p w14:paraId="7751278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0.00(0.08)</w:t>
            </w:r>
          </w:p>
        </w:tc>
      </w:tr>
      <w:tr w:rsidR="005A30D7" w14:paraId="0D6EF83B" w14:textId="77777777">
        <w:tc>
          <w:tcPr>
            <w:tcW w:w="560" w:type="dxa"/>
            <w:tcMar>
              <w:top w:w="55" w:type="dxa"/>
              <w:left w:w="108" w:type="dxa"/>
              <w:bottom w:w="55" w:type="dxa"/>
              <w:right w:w="108" w:type="dxa"/>
            </w:tcMar>
          </w:tcPr>
          <w:p w14:paraId="72792EB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13</w:t>
            </w:r>
          </w:p>
        </w:tc>
        <w:tc>
          <w:tcPr>
            <w:tcW w:w="1841" w:type="dxa"/>
            <w:tcMar>
              <w:top w:w="55" w:type="dxa"/>
              <w:left w:w="108" w:type="dxa"/>
              <w:bottom w:w="55" w:type="dxa"/>
              <w:right w:w="108" w:type="dxa"/>
            </w:tcMar>
          </w:tcPr>
          <w:p w14:paraId="2E02C16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Dholpur</w:t>
            </w:r>
          </w:p>
        </w:tc>
        <w:tc>
          <w:tcPr>
            <w:tcW w:w="1682" w:type="dxa"/>
            <w:tcMar>
              <w:top w:w="55" w:type="dxa"/>
              <w:left w:w="108" w:type="dxa"/>
              <w:bottom w:w="55" w:type="dxa"/>
              <w:right w:w="108" w:type="dxa"/>
            </w:tcMar>
          </w:tcPr>
          <w:p w14:paraId="3AC1936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0.44(0.13)***</w:t>
            </w:r>
          </w:p>
        </w:tc>
        <w:tc>
          <w:tcPr>
            <w:tcW w:w="1576" w:type="dxa"/>
            <w:tcMar>
              <w:top w:w="55" w:type="dxa"/>
              <w:left w:w="108" w:type="dxa"/>
              <w:bottom w:w="55" w:type="dxa"/>
              <w:right w:w="108" w:type="dxa"/>
            </w:tcMar>
          </w:tcPr>
          <w:p w14:paraId="2F40EF9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1.15(0.03)***</w:t>
            </w:r>
          </w:p>
        </w:tc>
        <w:tc>
          <w:tcPr>
            <w:tcW w:w="1701" w:type="dxa"/>
            <w:tcMar>
              <w:top w:w="55" w:type="dxa"/>
              <w:left w:w="108" w:type="dxa"/>
              <w:bottom w:w="55" w:type="dxa"/>
              <w:right w:w="108" w:type="dxa"/>
            </w:tcMar>
          </w:tcPr>
          <w:p w14:paraId="6933985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0.32(0.06)***</w:t>
            </w:r>
          </w:p>
        </w:tc>
        <w:tc>
          <w:tcPr>
            <w:tcW w:w="1700" w:type="dxa"/>
            <w:tcMar>
              <w:top w:w="55" w:type="dxa"/>
              <w:left w:w="108" w:type="dxa"/>
              <w:bottom w:w="55" w:type="dxa"/>
              <w:right w:w="108" w:type="dxa"/>
            </w:tcMar>
          </w:tcPr>
          <w:p w14:paraId="7B69304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0.05(0.02)**</w:t>
            </w:r>
          </w:p>
        </w:tc>
      </w:tr>
      <w:tr w:rsidR="005A30D7" w14:paraId="5A3BC640" w14:textId="77777777">
        <w:tc>
          <w:tcPr>
            <w:tcW w:w="560" w:type="dxa"/>
            <w:tcMar>
              <w:top w:w="55" w:type="dxa"/>
              <w:left w:w="108" w:type="dxa"/>
              <w:bottom w:w="55" w:type="dxa"/>
              <w:right w:w="108" w:type="dxa"/>
            </w:tcMar>
          </w:tcPr>
          <w:p w14:paraId="7535A57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14</w:t>
            </w:r>
          </w:p>
        </w:tc>
        <w:tc>
          <w:tcPr>
            <w:tcW w:w="1841" w:type="dxa"/>
            <w:tcMar>
              <w:top w:w="55" w:type="dxa"/>
              <w:left w:w="108" w:type="dxa"/>
              <w:bottom w:w="55" w:type="dxa"/>
              <w:right w:w="108" w:type="dxa"/>
            </w:tcMar>
          </w:tcPr>
          <w:p w14:paraId="261951E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Dungarpur</w:t>
            </w:r>
          </w:p>
        </w:tc>
        <w:tc>
          <w:tcPr>
            <w:tcW w:w="1682" w:type="dxa"/>
            <w:tcMar>
              <w:top w:w="55" w:type="dxa"/>
              <w:left w:w="108" w:type="dxa"/>
              <w:bottom w:w="55" w:type="dxa"/>
              <w:right w:w="108" w:type="dxa"/>
            </w:tcMar>
          </w:tcPr>
          <w:p w14:paraId="34688B1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1.22(0.14)***</w:t>
            </w:r>
          </w:p>
        </w:tc>
        <w:tc>
          <w:tcPr>
            <w:tcW w:w="1576" w:type="dxa"/>
            <w:tcMar>
              <w:top w:w="55" w:type="dxa"/>
              <w:left w:w="108" w:type="dxa"/>
              <w:bottom w:w="55" w:type="dxa"/>
              <w:right w:w="108" w:type="dxa"/>
            </w:tcMar>
          </w:tcPr>
          <w:p w14:paraId="29AD190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0.78(0.03)***</w:t>
            </w:r>
          </w:p>
        </w:tc>
        <w:tc>
          <w:tcPr>
            <w:tcW w:w="1701" w:type="dxa"/>
            <w:tcMar>
              <w:top w:w="55" w:type="dxa"/>
              <w:left w:w="108" w:type="dxa"/>
              <w:bottom w:w="55" w:type="dxa"/>
              <w:right w:w="108" w:type="dxa"/>
            </w:tcMar>
          </w:tcPr>
          <w:p w14:paraId="70A6A87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0.11(0.13)</w:t>
            </w:r>
          </w:p>
        </w:tc>
        <w:tc>
          <w:tcPr>
            <w:tcW w:w="1700" w:type="dxa"/>
            <w:tcMar>
              <w:top w:w="55" w:type="dxa"/>
              <w:left w:w="108" w:type="dxa"/>
              <w:bottom w:w="55" w:type="dxa"/>
              <w:right w:w="108" w:type="dxa"/>
            </w:tcMar>
          </w:tcPr>
          <w:p w14:paraId="4499C58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0.02(0.08)</w:t>
            </w:r>
          </w:p>
        </w:tc>
      </w:tr>
      <w:tr w:rsidR="005A30D7" w14:paraId="767955BA" w14:textId="77777777">
        <w:tc>
          <w:tcPr>
            <w:tcW w:w="560" w:type="dxa"/>
            <w:tcMar>
              <w:top w:w="55" w:type="dxa"/>
              <w:left w:w="108" w:type="dxa"/>
              <w:bottom w:w="55" w:type="dxa"/>
              <w:right w:w="108" w:type="dxa"/>
            </w:tcMar>
          </w:tcPr>
          <w:p w14:paraId="423168E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15</w:t>
            </w:r>
          </w:p>
        </w:tc>
        <w:tc>
          <w:tcPr>
            <w:tcW w:w="1841" w:type="dxa"/>
            <w:tcMar>
              <w:top w:w="55" w:type="dxa"/>
              <w:left w:w="108" w:type="dxa"/>
              <w:bottom w:w="55" w:type="dxa"/>
              <w:right w:w="108" w:type="dxa"/>
            </w:tcMar>
          </w:tcPr>
          <w:p w14:paraId="7C92561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Ganganagar</w:t>
            </w:r>
          </w:p>
        </w:tc>
        <w:tc>
          <w:tcPr>
            <w:tcW w:w="1682" w:type="dxa"/>
            <w:tcMar>
              <w:top w:w="55" w:type="dxa"/>
              <w:left w:w="108" w:type="dxa"/>
              <w:bottom w:w="55" w:type="dxa"/>
              <w:right w:w="108" w:type="dxa"/>
            </w:tcMar>
          </w:tcPr>
          <w:p w14:paraId="14FD609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0.03(0.10)</w:t>
            </w:r>
          </w:p>
        </w:tc>
        <w:tc>
          <w:tcPr>
            <w:tcW w:w="1576" w:type="dxa"/>
            <w:tcMar>
              <w:top w:w="55" w:type="dxa"/>
              <w:left w:w="108" w:type="dxa"/>
              <w:bottom w:w="55" w:type="dxa"/>
              <w:right w:w="108" w:type="dxa"/>
            </w:tcMar>
          </w:tcPr>
          <w:p w14:paraId="5770199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0.99(0.05)***</w:t>
            </w:r>
          </w:p>
        </w:tc>
        <w:tc>
          <w:tcPr>
            <w:tcW w:w="1701" w:type="dxa"/>
            <w:tcMar>
              <w:top w:w="55" w:type="dxa"/>
              <w:left w:w="108" w:type="dxa"/>
              <w:bottom w:w="55" w:type="dxa"/>
              <w:right w:w="108" w:type="dxa"/>
            </w:tcMar>
          </w:tcPr>
          <w:p w14:paraId="029366D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0.79(0.08)***</w:t>
            </w:r>
          </w:p>
        </w:tc>
        <w:tc>
          <w:tcPr>
            <w:tcW w:w="1700" w:type="dxa"/>
            <w:tcMar>
              <w:top w:w="55" w:type="dxa"/>
              <w:left w:w="108" w:type="dxa"/>
              <w:bottom w:w="55" w:type="dxa"/>
              <w:right w:w="108" w:type="dxa"/>
            </w:tcMar>
          </w:tcPr>
          <w:p w14:paraId="6BDC1E0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0.05(0.03)**</w:t>
            </w:r>
          </w:p>
        </w:tc>
      </w:tr>
      <w:tr w:rsidR="005A30D7" w14:paraId="0C85CA0D" w14:textId="77777777">
        <w:tc>
          <w:tcPr>
            <w:tcW w:w="560" w:type="dxa"/>
            <w:tcMar>
              <w:top w:w="55" w:type="dxa"/>
              <w:left w:w="108" w:type="dxa"/>
              <w:bottom w:w="55" w:type="dxa"/>
              <w:right w:w="108" w:type="dxa"/>
            </w:tcMar>
          </w:tcPr>
          <w:p w14:paraId="27DAA74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16</w:t>
            </w:r>
          </w:p>
        </w:tc>
        <w:tc>
          <w:tcPr>
            <w:tcW w:w="1841" w:type="dxa"/>
            <w:tcMar>
              <w:top w:w="55" w:type="dxa"/>
              <w:left w:w="108" w:type="dxa"/>
              <w:bottom w:w="55" w:type="dxa"/>
              <w:right w:w="108" w:type="dxa"/>
            </w:tcMar>
          </w:tcPr>
          <w:p w14:paraId="0A50E9A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Jaipur</w:t>
            </w:r>
          </w:p>
        </w:tc>
        <w:tc>
          <w:tcPr>
            <w:tcW w:w="1682" w:type="dxa"/>
            <w:tcMar>
              <w:top w:w="55" w:type="dxa"/>
              <w:left w:w="108" w:type="dxa"/>
              <w:bottom w:w="55" w:type="dxa"/>
              <w:right w:w="108" w:type="dxa"/>
            </w:tcMar>
          </w:tcPr>
          <w:p w14:paraId="5D20536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0.96(0.09)***</w:t>
            </w:r>
          </w:p>
        </w:tc>
        <w:tc>
          <w:tcPr>
            <w:tcW w:w="1576" w:type="dxa"/>
            <w:tcMar>
              <w:top w:w="55" w:type="dxa"/>
              <w:left w:w="108" w:type="dxa"/>
              <w:bottom w:w="55" w:type="dxa"/>
              <w:right w:w="108" w:type="dxa"/>
            </w:tcMar>
          </w:tcPr>
          <w:p w14:paraId="3C2B946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0.88(0.03)***</w:t>
            </w:r>
          </w:p>
        </w:tc>
        <w:tc>
          <w:tcPr>
            <w:tcW w:w="1701" w:type="dxa"/>
            <w:tcMar>
              <w:top w:w="55" w:type="dxa"/>
              <w:left w:w="108" w:type="dxa"/>
              <w:bottom w:w="55" w:type="dxa"/>
              <w:right w:w="108" w:type="dxa"/>
            </w:tcMar>
          </w:tcPr>
          <w:p w14:paraId="6EE9A11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0.64(0.05)***</w:t>
            </w:r>
          </w:p>
        </w:tc>
        <w:tc>
          <w:tcPr>
            <w:tcW w:w="1700" w:type="dxa"/>
            <w:tcMar>
              <w:top w:w="55" w:type="dxa"/>
              <w:left w:w="108" w:type="dxa"/>
              <w:bottom w:w="55" w:type="dxa"/>
              <w:right w:w="108" w:type="dxa"/>
            </w:tcMar>
          </w:tcPr>
          <w:p w14:paraId="13D5CF7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0.01(0.06)</w:t>
            </w:r>
          </w:p>
        </w:tc>
      </w:tr>
      <w:tr w:rsidR="005A30D7" w14:paraId="0176DA93" w14:textId="77777777">
        <w:tc>
          <w:tcPr>
            <w:tcW w:w="560" w:type="dxa"/>
            <w:tcMar>
              <w:top w:w="55" w:type="dxa"/>
              <w:left w:w="108" w:type="dxa"/>
              <w:bottom w:w="55" w:type="dxa"/>
              <w:right w:w="108" w:type="dxa"/>
            </w:tcMar>
          </w:tcPr>
          <w:p w14:paraId="03A50DD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17</w:t>
            </w:r>
          </w:p>
        </w:tc>
        <w:tc>
          <w:tcPr>
            <w:tcW w:w="1841" w:type="dxa"/>
            <w:tcMar>
              <w:top w:w="55" w:type="dxa"/>
              <w:left w:w="108" w:type="dxa"/>
              <w:bottom w:w="55" w:type="dxa"/>
              <w:right w:w="108" w:type="dxa"/>
            </w:tcMar>
          </w:tcPr>
          <w:p w14:paraId="6E0FF47F"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Jaisalmer</w:t>
            </w:r>
          </w:p>
        </w:tc>
        <w:tc>
          <w:tcPr>
            <w:tcW w:w="1682" w:type="dxa"/>
            <w:tcMar>
              <w:top w:w="55" w:type="dxa"/>
              <w:left w:w="108" w:type="dxa"/>
              <w:bottom w:w="55" w:type="dxa"/>
              <w:right w:w="108" w:type="dxa"/>
            </w:tcMar>
          </w:tcPr>
          <w:p w14:paraId="7523A9B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0.29(0.11)*</w:t>
            </w:r>
          </w:p>
        </w:tc>
        <w:tc>
          <w:tcPr>
            <w:tcW w:w="1576" w:type="dxa"/>
            <w:tcMar>
              <w:top w:w="55" w:type="dxa"/>
              <w:left w:w="108" w:type="dxa"/>
              <w:bottom w:w="55" w:type="dxa"/>
              <w:right w:w="108" w:type="dxa"/>
            </w:tcMar>
          </w:tcPr>
          <w:p w14:paraId="7432BBC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1.02(0.04)***</w:t>
            </w:r>
          </w:p>
        </w:tc>
        <w:tc>
          <w:tcPr>
            <w:tcW w:w="1701" w:type="dxa"/>
            <w:tcMar>
              <w:top w:w="55" w:type="dxa"/>
              <w:left w:w="108" w:type="dxa"/>
              <w:bottom w:w="55" w:type="dxa"/>
              <w:right w:w="108" w:type="dxa"/>
            </w:tcMar>
          </w:tcPr>
          <w:p w14:paraId="595B9E1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0.62(0.10)***</w:t>
            </w:r>
          </w:p>
        </w:tc>
        <w:tc>
          <w:tcPr>
            <w:tcW w:w="1700" w:type="dxa"/>
            <w:tcMar>
              <w:top w:w="55" w:type="dxa"/>
              <w:left w:w="108" w:type="dxa"/>
              <w:bottom w:w="55" w:type="dxa"/>
              <w:right w:w="108" w:type="dxa"/>
            </w:tcMar>
          </w:tcPr>
          <w:p w14:paraId="2ACC7A2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-0.02(0.05)</w:t>
            </w:r>
          </w:p>
        </w:tc>
      </w:tr>
      <w:tr w:rsidR="005A30D7" w14:paraId="57344C8D" w14:textId="77777777">
        <w:tc>
          <w:tcPr>
            <w:tcW w:w="560" w:type="dxa"/>
            <w:tcMar>
              <w:top w:w="55" w:type="dxa"/>
              <w:left w:w="108" w:type="dxa"/>
              <w:bottom w:w="55" w:type="dxa"/>
              <w:right w:w="108" w:type="dxa"/>
            </w:tcMar>
          </w:tcPr>
          <w:p w14:paraId="47ABF9E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18</w:t>
            </w:r>
          </w:p>
        </w:tc>
        <w:tc>
          <w:tcPr>
            <w:tcW w:w="1841" w:type="dxa"/>
            <w:tcMar>
              <w:top w:w="55" w:type="dxa"/>
              <w:left w:w="108" w:type="dxa"/>
              <w:bottom w:w="55" w:type="dxa"/>
              <w:right w:w="108" w:type="dxa"/>
            </w:tcMar>
          </w:tcPr>
          <w:p w14:paraId="2B9F6EE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Jalor</w:t>
            </w:r>
          </w:p>
        </w:tc>
        <w:tc>
          <w:tcPr>
            <w:tcW w:w="1682" w:type="dxa"/>
            <w:tcMar>
              <w:top w:w="55" w:type="dxa"/>
              <w:left w:w="108" w:type="dxa"/>
              <w:bottom w:w="55" w:type="dxa"/>
              <w:right w:w="108" w:type="dxa"/>
            </w:tcMar>
          </w:tcPr>
          <w:p w14:paraId="1E6EAAF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0.75(0.08)***</w:t>
            </w:r>
          </w:p>
        </w:tc>
        <w:tc>
          <w:tcPr>
            <w:tcW w:w="1576" w:type="dxa"/>
            <w:tcMar>
              <w:top w:w="55" w:type="dxa"/>
              <w:left w:w="108" w:type="dxa"/>
              <w:bottom w:w="55" w:type="dxa"/>
              <w:right w:w="108" w:type="dxa"/>
            </w:tcMar>
          </w:tcPr>
          <w:p w14:paraId="16A1F37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0.92(0.03)***</w:t>
            </w:r>
          </w:p>
        </w:tc>
        <w:tc>
          <w:tcPr>
            <w:tcW w:w="1701" w:type="dxa"/>
            <w:tcMar>
              <w:top w:w="55" w:type="dxa"/>
              <w:left w:w="108" w:type="dxa"/>
              <w:bottom w:w="55" w:type="dxa"/>
              <w:right w:w="108" w:type="dxa"/>
            </w:tcMar>
          </w:tcPr>
          <w:p w14:paraId="5E06E4D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0.52(0.08)***</w:t>
            </w:r>
          </w:p>
        </w:tc>
        <w:tc>
          <w:tcPr>
            <w:tcW w:w="1700" w:type="dxa"/>
            <w:tcMar>
              <w:top w:w="55" w:type="dxa"/>
              <w:left w:w="108" w:type="dxa"/>
              <w:bottom w:w="55" w:type="dxa"/>
              <w:right w:w="108" w:type="dxa"/>
            </w:tcMar>
          </w:tcPr>
          <w:p w14:paraId="4986E60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0.00(0.03)</w:t>
            </w:r>
          </w:p>
        </w:tc>
      </w:tr>
      <w:tr w:rsidR="005A30D7" w14:paraId="2CBABA99" w14:textId="77777777">
        <w:tc>
          <w:tcPr>
            <w:tcW w:w="560" w:type="dxa"/>
            <w:tcMar>
              <w:top w:w="55" w:type="dxa"/>
              <w:left w:w="108" w:type="dxa"/>
              <w:bottom w:w="55" w:type="dxa"/>
              <w:right w:w="108" w:type="dxa"/>
            </w:tcMar>
          </w:tcPr>
          <w:p w14:paraId="0C69902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19</w:t>
            </w:r>
          </w:p>
        </w:tc>
        <w:tc>
          <w:tcPr>
            <w:tcW w:w="1841" w:type="dxa"/>
            <w:tcMar>
              <w:top w:w="55" w:type="dxa"/>
              <w:left w:w="108" w:type="dxa"/>
              <w:bottom w:w="55" w:type="dxa"/>
              <w:right w:w="108" w:type="dxa"/>
            </w:tcMar>
          </w:tcPr>
          <w:p w14:paraId="48CC9E6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Jhalawar</w:t>
            </w:r>
          </w:p>
        </w:tc>
        <w:tc>
          <w:tcPr>
            <w:tcW w:w="1682" w:type="dxa"/>
            <w:tcMar>
              <w:top w:w="55" w:type="dxa"/>
              <w:left w:w="108" w:type="dxa"/>
              <w:bottom w:w="55" w:type="dxa"/>
              <w:right w:w="108" w:type="dxa"/>
            </w:tcMar>
          </w:tcPr>
          <w:p w14:paraId="6CE4EA7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0.96(0.25)***</w:t>
            </w:r>
          </w:p>
        </w:tc>
        <w:tc>
          <w:tcPr>
            <w:tcW w:w="1576" w:type="dxa"/>
            <w:tcMar>
              <w:top w:w="55" w:type="dxa"/>
              <w:left w:w="108" w:type="dxa"/>
              <w:bottom w:w="55" w:type="dxa"/>
              <w:right w:w="108" w:type="dxa"/>
            </w:tcMar>
          </w:tcPr>
          <w:p w14:paraId="2504DC4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1.01(0.10)***</w:t>
            </w:r>
          </w:p>
        </w:tc>
        <w:tc>
          <w:tcPr>
            <w:tcW w:w="1701" w:type="dxa"/>
            <w:tcMar>
              <w:top w:w="55" w:type="dxa"/>
              <w:left w:w="108" w:type="dxa"/>
              <w:bottom w:w="55" w:type="dxa"/>
              <w:right w:w="108" w:type="dxa"/>
            </w:tcMar>
          </w:tcPr>
          <w:p w14:paraId="4682ACD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0.52(0.14)***</w:t>
            </w:r>
          </w:p>
        </w:tc>
        <w:tc>
          <w:tcPr>
            <w:tcW w:w="1700" w:type="dxa"/>
            <w:tcMar>
              <w:top w:w="55" w:type="dxa"/>
              <w:left w:w="108" w:type="dxa"/>
              <w:bottom w:w="55" w:type="dxa"/>
              <w:right w:w="108" w:type="dxa"/>
            </w:tcMar>
          </w:tcPr>
          <w:p w14:paraId="1E2C836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-0.16(0.10)</w:t>
            </w:r>
          </w:p>
        </w:tc>
      </w:tr>
      <w:tr w:rsidR="005A30D7" w14:paraId="7CD24ABD" w14:textId="77777777">
        <w:tc>
          <w:tcPr>
            <w:tcW w:w="560" w:type="dxa"/>
            <w:tcMar>
              <w:top w:w="55" w:type="dxa"/>
              <w:left w:w="108" w:type="dxa"/>
              <w:bottom w:w="55" w:type="dxa"/>
              <w:right w:w="108" w:type="dxa"/>
            </w:tcMar>
          </w:tcPr>
          <w:p w14:paraId="12955CC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20</w:t>
            </w:r>
          </w:p>
        </w:tc>
        <w:tc>
          <w:tcPr>
            <w:tcW w:w="1841" w:type="dxa"/>
            <w:tcMar>
              <w:top w:w="55" w:type="dxa"/>
              <w:left w:w="108" w:type="dxa"/>
              <w:bottom w:w="55" w:type="dxa"/>
              <w:right w:w="108" w:type="dxa"/>
            </w:tcMar>
          </w:tcPr>
          <w:p w14:paraId="0715B01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Jhunjhunu</w:t>
            </w:r>
          </w:p>
        </w:tc>
        <w:tc>
          <w:tcPr>
            <w:tcW w:w="1682" w:type="dxa"/>
            <w:tcMar>
              <w:top w:w="55" w:type="dxa"/>
              <w:left w:w="108" w:type="dxa"/>
              <w:bottom w:w="55" w:type="dxa"/>
              <w:right w:w="108" w:type="dxa"/>
            </w:tcMar>
          </w:tcPr>
          <w:p w14:paraId="66111BC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1.08(0.15)***</w:t>
            </w:r>
          </w:p>
        </w:tc>
        <w:tc>
          <w:tcPr>
            <w:tcW w:w="1576" w:type="dxa"/>
            <w:tcMar>
              <w:top w:w="55" w:type="dxa"/>
              <w:left w:w="108" w:type="dxa"/>
              <w:bottom w:w="55" w:type="dxa"/>
              <w:right w:w="108" w:type="dxa"/>
            </w:tcMar>
          </w:tcPr>
          <w:p w14:paraId="396273D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1.04(0.06)***</w:t>
            </w:r>
          </w:p>
        </w:tc>
        <w:tc>
          <w:tcPr>
            <w:tcW w:w="1701" w:type="dxa"/>
            <w:tcMar>
              <w:top w:w="55" w:type="dxa"/>
              <w:left w:w="108" w:type="dxa"/>
              <w:bottom w:w="55" w:type="dxa"/>
              <w:right w:w="108" w:type="dxa"/>
            </w:tcMar>
          </w:tcPr>
          <w:p w14:paraId="11029F7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0.88(0.11)***</w:t>
            </w:r>
          </w:p>
        </w:tc>
        <w:tc>
          <w:tcPr>
            <w:tcW w:w="1700" w:type="dxa"/>
            <w:tcMar>
              <w:top w:w="55" w:type="dxa"/>
              <w:left w:w="108" w:type="dxa"/>
              <w:bottom w:w="55" w:type="dxa"/>
              <w:right w:w="108" w:type="dxa"/>
            </w:tcMar>
          </w:tcPr>
          <w:p w14:paraId="2CACD0C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0.02(0.03)</w:t>
            </w:r>
          </w:p>
        </w:tc>
      </w:tr>
      <w:tr w:rsidR="005A30D7" w14:paraId="7014952E" w14:textId="77777777">
        <w:tc>
          <w:tcPr>
            <w:tcW w:w="560" w:type="dxa"/>
            <w:tcMar>
              <w:top w:w="55" w:type="dxa"/>
              <w:left w:w="108" w:type="dxa"/>
              <w:bottom w:w="55" w:type="dxa"/>
              <w:right w:w="108" w:type="dxa"/>
            </w:tcMar>
          </w:tcPr>
          <w:p w14:paraId="2A8A3CC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21</w:t>
            </w:r>
          </w:p>
        </w:tc>
        <w:tc>
          <w:tcPr>
            <w:tcW w:w="1841" w:type="dxa"/>
            <w:tcMar>
              <w:top w:w="55" w:type="dxa"/>
              <w:left w:w="108" w:type="dxa"/>
              <w:bottom w:w="55" w:type="dxa"/>
              <w:right w:w="108" w:type="dxa"/>
            </w:tcMar>
          </w:tcPr>
          <w:p w14:paraId="144B865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Jodhpur</w:t>
            </w:r>
          </w:p>
        </w:tc>
        <w:tc>
          <w:tcPr>
            <w:tcW w:w="1682" w:type="dxa"/>
            <w:tcMar>
              <w:top w:w="55" w:type="dxa"/>
              <w:left w:w="108" w:type="dxa"/>
              <w:bottom w:w="55" w:type="dxa"/>
              <w:right w:w="108" w:type="dxa"/>
            </w:tcMar>
          </w:tcPr>
          <w:p w14:paraId="306CEFA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0.36(0.14)**</w:t>
            </w:r>
          </w:p>
        </w:tc>
        <w:tc>
          <w:tcPr>
            <w:tcW w:w="1576" w:type="dxa"/>
            <w:tcMar>
              <w:top w:w="55" w:type="dxa"/>
              <w:left w:w="108" w:type="dxa"/>
              <w:bottom w:w="55" w:type="dxa"/>
              <w:right w:w="108" w:type="dxa"/>
            </w:tcMar>
          </w:tcPr>
          <w:p w14:paraId="5E338B4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1.04(0.06)***</w:t>
            </w:r>
          </w:p>
        </w:tc>
        <w:tc>
          <w:tcPr>
            <w:tcW w:w="1701" w:type="dxa"/>
            <w:tcMar>
              <w:top w:w="55" w:type="dxa"/>
              <w:left w:w="108" w:type="dxa"/>
              <w:bottom w:w="55" w:type="dxa"/>
              <w:right w:w="108" w:type="dxa"/>
            </w:tcMar>
          </w:tcPr>
          <w:p w14:paraId="7A73DF7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-0.021(0.08)</w:t>
            </w:r>
          </w:p>
        </w:tc>
        <w:tc>
          <w:tcPr>
            <w:tcW w:w="1700" w:type="dxa"/>
            <w:tcMar>
              <w:top w:w="55" w:type="dxa"/>
              <w:left w:w="108" w:type="dxa"/>
              <w:bottom w:w="55" w:type="dxa"/>
              <w:right w:w="108" w:type="dxa"/>
            </w:tcMar>
          </w:tcPr>
          <w:p w14:paraId="4A4FBD0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0.03(0.04)</w:t>
            </w:r>
          </w:p>
        </w:tc>
      </w:tr>
      <w:tr w:rsidR="005A30D7" w14:paraId="6FBC4FD7" w14:textId="77777777">
        <w:tc>
          <w:tcPr>
            <w:tcW w:w="560" w:type="dxa"/>
            <w:tcMar>
              <w:top w:w="55" w:type="dxa"/>
              <w:left w:w="108" w:type="dxa"/>
              <w:bottom w:w="55" w:type="dxa"/>
              <w:right w:w="108" w:type="dxa"/>
            </w:tcMar>
          </w:tcPr>
          <w:p w14:paraId="60ABF06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22</w:t>
            </w:r>
          </w:p>
        </w:tc>
        <w:tc>
          <w:tcPr>
            <w:tcW w:w="1841" w:type="dxa"/>
            <w:tcMar>
              <w:top w:w="55" w:type="dxa"/>
              <w:left w:w="108" w:type="dxa"/>
              <w:bottom w:w="55" w:type="dxa"/>
              <w:right w:w="108" w:type="dxa"/>
            </w:tcMar>
          </w:tcPr>
          <w:p w14:paraId="3F32B8C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Kota</w:t>
            </w:r>
          </w:p>
        </w:tc>
        <w:tc>
          <w:tcPr>
            <w:tcW w:w="1682" w:type="dxa"/>
            <w:tcMar>
              <w:top w:w="55" w:type="dxa"/>
              <w:left w:w="108" w:type="dxa"/>
              <w:bottom w:w="55" w:type="dxa"/>
              <w:right w:w="108" w:type="dxa"/>
            </w:tcMar>
          </w:tcPr>
          <w:p w14:paraId="17E83CF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1.56(0.14)***</w:t>
            </w:r>
          </w:p>
        </w:tc>
        <w:tc>
          <w:tcPr>
            <w:tcW w:w="1576" w:type="dxa"/>
            <w:tcMar>
              <w:top w:w="55" w:type="dxa"/>
              <w:left w:w="108" w:type="dxa"/>
              <w:bottom w:w="55" w:type="dxa"/>
              <w:right w:w="108" w:type="dxa"/>
            </w:tcMar>
          </w:tcPr>
          <w:p w14:paraId="43783EF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0.78(0.06)***</w:t>
            </w:r>
          </w:p>
        </w:tc>
        <w:tc>
          <w:tcPr>
            <w:tcW w:w="1701" w:type="dxa"/>
            <w:tcMar>
              <w:top w:w="55" w:type="dxa"/>
              <w:left w:w="108" w:type="dxa"/>
              <w:bottom w:w="55" w:type="dxa"/>
              <w:right w:w="108" w:type="dxa"/>
            </w:tcMar>
          </w:tcPr>
          <w:p w14:paraId="7714D5D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0.07(0.05)</w:t>
            </w:r>
          </w:p>
        </w:tc>
        <w:tc>
          <w:tcPr>
            <w:tcW w:w="1700" w:type="dxa"/>
            <w:tcMar>
              <w:top w:w="55" w:type="dxa"/>
              <w:left w:w="108" w:type="dxa"/>
              <w:bottom w:w="55" w:type="dxa"/>
              <w:right w:w="108" w:type="dxa"/>
            </w:tcMar>
          </w:tcPr>
          <w:p w14:paraId="755C447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0.05(0.04)</w:t>
            </w:r>
          </w:p>
        </w:tc>
      </w:tr>
      <w:tr w:rsidR="005A30D7" w14:paraId="0FDB63F4" w14:textId="77777777">
        <w:tc>
          <w:tcPr>
            <w:tcW w:w="560" w:type="dxa"/>
            <w:tcMar>
              <w:top w:w="55" w:type="dxa"/>
              <w:left w:w="108" w:type="dxa"/>
              <w:bottom w:w="55" w:type="dxa"/>
              <w:right w:w="108" w:type="dxa"/>
            </w:tcMar>
          </w:tcPr>
          <w:p w14:paraId="264FE29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23</w:t>
            </w:r>
          </w:p>
        </w:tc>
        <w:tc>
          <w:tcPr>
            <w:tcW w:w="1841" w:type="dxa"/>
            <w:tcMar>
              <w:top w:w="55" w:type="dxa"/>
              <w:left w:w="108" w:type="dxa"/>
              <w:bottom w:w="55" w:type="dxa"/>
              <w:right w:w="108" w:type="dxa"/>
            </w:tcMar>
          </w:tcPr>
          <w:p w14:paraId="61B5967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Nagaur</w:t>
            </w:r>
          </w:p>
        </w:tc>
        <w:tc>
          <w:tcPr>
            <w:tcW w:w="1682" w:type="dxa"/>
            <w:tcMar>
              <w:top w:w="55" w:type="dxa"/>
              <w:left w:w="108" w:type="dxa"/>
              <w:bottom w:w="55" w:type="dxa"/>
              <w:right w:w="108" w:type="dxa"/>
            </w:tcMar>
          </w:tcPr>
          <w:p w14:paraId="0E59857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0.98(1.06)***</w:t>
            </w:r>
          </w:p>
        </w:tc>
        <w:tc>
          <w:tcPr>
            <w:tcW w:w="1576" w:type="dxa"/>
            <w:tcMar>
              <w:top w:w="55" w:type="dxa"/>
              <w:left w:w="108" w:type="dxa"/>
              <w:bottom w:w="55" w:type="dxa"/>
              <w:right w:w="108" w:type="dxa"/>
            </w:tcMar>
          </w:tcPr>
          <w:p w14:paraId="1B619E84"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0.90(0.02)***</w:t>
            </w:r>
          </w:p>
        </w:tc>
        <w:tc>
          <w:tcPr>
            <w:tcW w:w="1701" w:type="dxa"/>
            <w:tcMar>
              <w:top w:w="55" w:type="dxa"/>
              <w:left w:w="108" w:type="dxa"/>
              <w:bottom w:w="55" w:type="dxa"/>
              <w:right w:w="108" w:type="dxa"/>
            </w:tcMar>
          </w:tcPr>
          <w:p w14:paraId="0B0AEC9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0.07(0.03)**</w:t>
            </w:r>
          </w:p>
        </w:tc>
        <w:tc>
          <w:tcPr>
            <w:tcW w:w="1700" w:type="dxa"/>
            <w:tcMar>
              <w:top w:w="55" w:type="dxa"/>
              <w:left w:w="108" w:type="dxa"/>
              <w:bottom w:w="55" w:type="dxa"/>
              <w:right w:w="108" w:type="dxa"/>
            </w:tcMar>
          </w:tcPr>
          <w:p w14:paraId="3D23575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-0.00(0.05)</w:t>
            </w:r>
          </w:p>
        </w:tc>
      </w:tr>
      <w:tr w:rsidR="005A30D7" w14:paraId="276FC89C" w14:textId="77777777">
        <w:tc>
          <w:tcPr>
            <w:tcW w:w="560" w:type="dxa"/>
            <w:tcMar>
              <w:top w:w="55" w:type="dxa"/>
              <w:left w:w="108" w:type="dxa"/>
              <w:bottom w:w="55" w:type="dxa"/>
              <w:right w:w="108" w:type="dxa"/>
            </w:tcMar>
          </w:tcPr>
          <w:p w14:paraId="6E9640F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24</w:t>
            </w:r>
          </w:p>
        </w:tc>
        <w:tc>
          <w:tcPr>
            <w:tcW w:w="1841" w:type="dxa"/>
            <w:tcMar>
              <w:top w:w="55" w:type="dxa"/>
              <w:left w:w="108" w:type="dxa"/>
              <w:bottom w:w="55" w:type="dxa"/>
              <w:right w:w="108" w:type="dxa"/>
            </w:tcMar>
          </w:tcPr>
          <w:p w14:paraId="1546F57C"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Pali</w:t>
            </w:r>
          </w:p>
        </w:tc>
        <w:tc>
          <w:tcPr>
            <w:tcW w:w="1682" w:type="dxa"/>
            <w:tcMar>
              <w:top w:w="55" w:type="dxa"/>
              <w:left w:w="108" w:type="dxa"/>
              <w:bottom w:w="55" w:type="dxa"/>
              <w:right w:w="108" w:type="dxa"/>
            </w:tcMar>
          </w:tcPr>
          <w:p w14:paraId="5E4460E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1.04(0.18)***</w:t>
            </w:r>
          </w:p>
        </w:tc>
        <w:tc>
          <w:tcPr>
            <w:tcW w:w="1576" w:type="dxa"/>
            <w:tcMar>
              <w:top w:w="55" w:type="dxa"/>
              <w:left w:w="108" w:type="dxa"/>
              <w:bottom w:w="55" w:type="dxa"/>
              <w:right w:w="108" w:type="dxa"/>
            </w:tcMar>
          </w:tcPr>
          <w:p w14:paraId="0046430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0.85(0.06)***</w:t>
            </w:r>
          </w:p>
        </w:tc>
        <w:tc>
          <w:tcPr>
            <w:tcW w:w="1701" w:type="dxa"/>
            <w:tcMar>
              <w:top w:w="55" w:type="dxa"/>
              <w:left w:w="108" w:type="dxa"/>
              <w:bottom w:w="55" w:type="dxa"/>
              <w:right w:w="108" w:type="dxa"/>
            </w:tcMar>
          </w:tcPr>
          <w:p w14:paraId="228542F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0.10(0.08)</w:t>
            </w:r>
          </w:p>
        </w:tc>
        <w:tc>
          <w:tcPr>
            <w:tcW w:w="1700" w:type="dxa"/>
            <w:tcMar>
              <w:top w:w="55" w:type="dxa"/>
              <w:left w:w="108" w:type="dxa"/>
              <w:bottom w:w="55" w:type="dxa"/>
              <w:right w:w="108" w:type="dxa"/>
            </w:tcMar>
          </w:tcPr>
          <w:p w14:paraId="6D671A7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0.06(0.06)</w:t>
            </w:r>
          </w:p>
        </w:tc>
      </w:tr>
      <w:tr w:rsidR="005A30D7" w14:paraId="6441923E" w14:textId="77777777">
        <w:tc>
          <w:tcPr>
            <w:tcW w:w="560" w:type="dxa"/>
            <w:tcMar>
              <w:top w:w="55" w:type="dxa"/>
              <w:left w:w="108" w:type="dxa"/>
              <w:bottom w:w="55" w:type="dxa"/>
              <w:right w:w="108" w:type="dxa"/>
            </w:tcMar>
          </w:tcPr>
          <w:p w14:paraId="066FE01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25</w:t>
            </w:r>
          </w:p>
        </w:tc>
        <w:tc>
          <w:tcPr>
            <w:tcW w:w="1841" w:type="dxa"/>
            <w:tcMar>
              <w:top w:w="55" w:type="dxa"/>
              <w:left w:w="108" w:type="dxa"/>
              <w:bottom w:w="55" w:type="dxa"/>
              <w:right w:w="108" w:type="dxa"/>
            </w:tcMar>
          </w:tcPr>
          <w:p w14:paraId="0CF5916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Rajsamand</w:t>
            </w:r>
          </w:p>
        </w:tc>
        <w:tc>
          <w:tcPr>
            <w:tcW w:w="1682" w:type="dxa"/>
            <w:tcMar>
              <w:top w:w="55" w:type="dxa"/>
              <w:left w:w="108" w:type="dxa"/>
              <w:bottom w:w="55" w:type="dxa"/>
              <w:right w:w="108" w:type="dxa"/>
            </w:tcMar>
          </w:tcPr>
          <w:p w14:paraId="43D7E03A"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1.06(0.15)***</w:t>
            </w:r>
          </w:p>
        </w:tc>
        <w:tc>
          <w:tcPr>
            <w:tcW w:w="1576" w:type="dxa"/>
            <w:tcMar>
              <w:top w:w="55" w:type="dxa"/>
              <w:left w:w="108" w:type="dxa"/>
              <w:bottom w:w="55" w:type="dxa"/>
              <w:right w:w="108" w:type="dxa"/>
            </w:tcMar>
          </w:tcPr>
          <w:p w14:paraId="4BC1F9A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0.72(0.04)***</w:t>
            </w:r>
          </w:p>
        </w:tc>
        <w:tc>
          <w:tcPr>
            <w:tcW w:w="1701" w:type="dxa"/>
            <w:tcMar>
              <w:top w:w="55" w:type="dxa"/>
              <w:left w:w="108" w:type="dxa"/>
              <w:bottom w:w="55" w:type="dxa"/>
              <w:right w:w="108" w:type="dxa"/>
            </w:tcMar>
          </w:tcPr>
          <w:p w14:paraId="6B9404D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0.12(0.06)**</w:t>
            </w:r>
          </w:p>
        </w:tc>
        <w:tc>
          <w:tcPr>
            <w:tcW w:w="1700" w:type="dxa"/>
            <w:tcMar>
              <w:top w:w="55" w:type="dxa"/>
              <w:left w:w="108" w:type="dxa"/>
              <w:bottom w:w="55" w:type="dxa"/>
              <w:right w:w="108" w:type="dxa"/>
            </w:tcMar>
          </w:tcPr>
          <w:p w14:paraId="288A7F4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-0.03(0.08)</w:t>
            </w:r>
          </w:p>
        </w:tc>
      </w:tr>
      <w:tr w:rsidR="005A30D7" w14:paraId="4B286733" w14:textId="77777777">
        <w:tc>
          <w:tcPr>
            <w:tcW w:w="560" w:type="dxa"/>
            <w:tcMar>
              <w:top w:w="55" w:type="dxa"/>
              <w:left w:w="108" w:type="dxa"/>
              <w:bottom w:w="55" w:type="dxa"/>
              <w:right w:w="108" w:type="dxa"/>
            </w:tcMar>
          </w:tcPr>
          <w:p w14:paraId="4294515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26</w:t>
            </w:r>
          </w:p>
        </w:tc>
        <w:tc>
          <w:tcPr>
            <w:tcW w:w="1841" w:type="dxa"/>
            <w:tcMar>
              <w:top w:w="55" w:type="dxa"/>
              <w:left w:w="108" w:type="dxa"/>
              <w:bottom w:w="55" w:type="dxa"/>
              <w:right w:w="108" w:type="dxa"/>
            </w:tcMar>
          </w:tcPr>
          <w:p w14:paraId="4F01DB1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Sawai Madhopur</w:t>
            </w:r>
          </w:p>
        </w:tc>
        <w:tc>
          <w:tcPr>
            <w:tcW w:w="1682" w:type="dxa"/>
            <w:tcMar>
              <w:top w:w="55" w:type="dxa"/>
              <w:left w:w="108" w:type="dxa"/>
              <w:bottom w:w="55" w:type="dxa"/>
              <w:right w:w="108" w:type="dxa"/>
            </w:tcMar>
          </w:tcPr>
          <w:p w14:paraId="153DC7D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1.07(0.17)***</w:t>
            </w:r>
          </w:p>
        </w:tc>
        <w:tc>
          <w:tcPr>
            <w:tcW w:w="1576" w:type="dxa"/>
            <w:tcMar>
              <w:top w:w="55" w:type="dxa"/>
              <w:left w:w="108" w:type="dxa"/>
              <w:bottom w:w="55" w:type="dxa"/>
              <w:right w:w="108" w:type="dxa"/>
            </w:tcMar>
          </w:tcPr>
          <w:p w14:paraId="7E281A1B"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0.96(0.06)***</w:t>
            </w:r>
          </w:p>
        </w:tc>
        <w:tc>
          <w:tcPr>
            <w:tcW w:w="1701" w:type="dxa"/>
            <w:tcMar>
              <w:top w:w="55" w:type="dxa"/>
              <w:left w:w="108" w:type="dxa"/>
              <w:bottom w:w="55" w:type="dxa"/>
              <w:right w:w="108" w:type="dxa"/>
            </w:tcMar>
          </w:tcPr>
          <w:p w14:paraId="637E74F1"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0.04(0.10)</w:t>
            </w:r>
          </w:p>
        </w:tc>
        <w:tc>
          <w:tcPr>
            <w:tcW w:w="1700" w:type="dxa"/>
            <w:tcMar>
              <w:top w:w="55" w:type="dxa"/>
              <w:left w:w="108" w:type="dxa"/>
              <w:bottom w:w="55" w:type="dxa"/>
              <w:right w:w="108" w:type="dxa"/>
            </w:tcMar>
          </w:tcPr>
          <w:p w14:paraId="05593A9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0.08(0.08)</w:t>
            </w:r>
          </w:p>
        </w:tc>
      </w:tr>
      <w:tr w:rsidR="005A30D7" w14:paraId="32EACA36" w14:textId="77777777">
        <w:tc>
          <w:tcPr>
            <w:tcW w:w="560" w:type="dxa"/>
            <w:tcMar>
              <w:top w:w="55" w:type="dxa"/>
              <w:left w:w="108" w:type="dxa"/>
              <w:bottom w:w="55" w:type="dxa"/>
              <w:right w:w="108" w:type="dxa"/>
            </w:tcMar>
          </w:tcPr>
          <w:p w14:paraId="680BF4E7"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27</w:t>
            </w:r>
          </w:p>
        </w:tc>
        <w:tc>
          <w:tcPr>
            <w:tcW w:w="1841" w:type="dxa"/>
            <w:tcMar>
              <w:top w:w="55" w:type="dxa"/>
              <w:left w:w="108" w:type="dxa"/>
              <w:bottom w:w="55" w:type="dxa"/>
              <w:right w:w="108" w:type="dxa"/>
            </w:tcMar>
          </w:tcPr>
          <w:p w14:paraId="2DBF38E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Sikar</w:t>
            </w:r>
          </w:p>
        </w:tc>
        <w:tc>
          <w:tcPr>
            <w:tcW w:w="1682" w:type="dxa"/>
            <w:tcMar>
              <w:top w:w="55" w:type="dxa"/>
              <w:left w:w="108" w:type="dxa"/>
              <w:bottom w:w="55" w:type="dxa"/>
              <w:right w:w="108" w:type="dxa"/>
            </w:tcMar>
          </w:tcPr>
          <w:p w14:paraId="1BF6E0D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0.18(0.22)</w:t>
            </w:r>
          </w:p>
        </w:tc>
        <w:tc>
          <w:tcPr>
            <w:tcW w:w="1576" w:type="dxa"/>
            <w:tcMar>
              <w:top w:w="55" w:type="dxa"/>
              <w:left w:w="108" w:type="dxa"/>
              <w:bottom w:w="55" w:type="dxa"/>
              <w:right w:w="108" w:type="dxa"/>
            </w:tcMar>
          </w:tcPr>
          <w:p w14:paraId="691C79A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0.96(0.08)***</w:t>
            </w:r>
          </w:p>
        </w:tc>
        <w:tc>
          <w:tcPr>
            <w:tcW w:w="1701" w:type="dxa"/>
            <w:tcMar>
              <w:top w:w="55" w:type="dxa"/>
              <w:left w:w="108" w:type="dxa"/>
              <w:bottom w:w="55" w:type="dxa"/>
              <w:right w:w="108" w:type="dxa"/>
            </w:tcMar>
          </w:tcPr>
          <w:p w14:paraId="0474354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0.17(0.09)*</w:t>
            </w:r>
          </w:p>
        </w:tc>
        <w:tc>
          <w:tcPr>
            <w:tcW w:w="1700" w:type="dxa"/>
            <w:tcMar>
              <w:top w:w="55" w:type="dxa"/>
              <w:left w:w="108" w:type="dxa"/>
              <w:bottom w:w="55" w:type="dxa"/>
              <w:right w:w="108" w:type="dxa"/>
            </w:tcMar>
          </w:tcPr>
          <w:p w14:paraId="792C489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-0.72(0.08)</w:t>
            </w:r>
          </w:p>
        </w:tc>
      </w:tr>
      <w:tr w:rsidR="005A30D7" w14:paraId="6D25FB9E" w14:textId="77777777">
        <w:tc>
          <w:tcPr>
            <w:tcW w:w="560" w:type="dxa"/>
            <w:tcBorders>
              <w:bottom w:val="single" w:sz="4" w:space="0" w:color="000000"/>
            </w:tcBorders>
            <w:tcMar>
              <w:top w:w="55" w:type="dxa"/>
              <w:left w:w="108" w:type="dxa"/>
              <w:bottom w:w="55" w:type="dxa"/>
              <w:right w:w="108" w:type="dxa"/>
            </w:tcMar>
          </w:tcPr>
          <w:p w14:paraId="745C5A59"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28</w:t>
            </w:r>
          </w:p>
        </w:tc>
        <w:tc>
          <w:tcPr>
            <w:tcW w:w="1841" w:type="dxa"/>
            <w:tcBorders>
              <w:bottom w:val="single" w:sz="4" w:space="0" w:color="000000"/>
            </w:tcBorders>
            <w:tcMar>
              <w:top w:w="55" w:type="dxa"/>
              <w:left w:w="108" w:type="dxa"/>
              <w:bottom w:w="55" w:type="dxa"/>
              <w:right w:w="108" w:type="dxa"/>
            </w:tcMar>
          </w:tcPr>
          <w:p w14:paraId="1602F54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Sirohi</w:t>
            </w:r>
          </w:p>
        </w:tc>
        <w:tc>
          <w:tcPr>
            <w:tcW w:w="1682" w:type="dxa"/>
            <w:tcBorders>
              <w:bottom w:val="single" w:sz="4" w:space="0" w:color="000000"/>
            </w:tcBorders>
            <w:tcMar>
              <w:top w:w="55" w:type="dxa"/>
              <w:left w:w="108" w:type="dxa"/>
              <w:bottom w:w="55" w:type="dxa"/>
              <w:right w:w="108" w:type="dxa"/>
            </w:tcMar>
          </w:tcPr>
          <w:p w14:paraId="0A8882D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0.80(0.19)***</w:t>
            </w:r>
          </w:p>
        </w:tc>
        <w:tc>
          <w:tcPr>
            <w:tcW w:w="1576" w:type="dxa"/>
            <w:tcBorders>
              <w:bottom w:val="single" w:sz="4" w:space="0" w:color="000000"/>
            </w:tcBorders>
            <w:tcMar>
              <w:top w:w="55" w:type="dxa"/>
              <w:left w:w="108" w:type="dxa"/>
              <w:bottom w:w="55" w:type="dxa"/>
              <w:right w:w="108" w:type="dxa"/>
            </w:tcMar>
          </w:tcPr>
          <w:p w14:paraId="320FD748"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0.19(0.05)***</w:t>
            </w:r>
          </w:p>
        </w:tc>
        <w:tc>
          <w:tcPr>
            <w:tcW w:w="1701" w:type="dxa"/>
            <w:tcBorders>
              <w:bottom w:val="single" w:sz="4" w:space="0" w:color="000000"/>
            </w:tcBorders>
            <w:tcMar>
              <w:top w:w="55" w:type="dxa"/>
              <w:left w:w="108" w:type="dxa"/>
              <w:bottom w:w="55" w:type="dxa"/>
              <w:right w:w="108" w:type="dxa"/>
            </w:tcMar>
          </w:tcPr>
          <w:p w14:paraId="24C2BDF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0.33(0.08)***</w:t>
            </w:r>
          </w:p>
        </w:tc>
        <w:tc>
          <w:tcPr>
            <w:tcW w:w="1700" w:type="dxa"/>
            <w:tcBorders>
              <w:bottom w:val="single" w:sz="4" w:space="0" w:color="000000"/>
            </w:tcBorders>
            <w:tcMar>
              <w:top w:w="55" w:type="dxa"/>
              <w:left w:w="108" w:type="dxa"/>
              <w:bottom w:w="55" w:type="dxa"/>
              <w:right w:w="108" w:type="dxa"/>
            </w:tcMar>
          </w:tcPr>
          <w:p w14:paraId="5DFDD01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-0.12(0.07)*</w:t>
            </w:r>
          </w:p>
        </w:tc>
      </w:tr>
      <w:tr w:rsidR="005A30D7" w14:paraId="18995659" w14:textId="77777777">
        <w:tc>
          <w:tcPr>
            <w:tcW w:w="560" w:type="dxa"/>
            <w:tcMar>
              <w:top w:w="55" w:type="dxa"/>
              <w:left w:w="108" w:type="dxa"/>
              <w:bottom w:w="55" w:type="dxa"/>
              <w:right w:w="108" w:type="dxa"/>
            </w:tcMar>
          </w:tcPr>
          <w:p w14:paraId="6532CBB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29</w:t>
            </w:r>
          </w:p>
        </w:tc>
        <w:tc>
          <w:tcPr>
            <w:tcW w:w="1841" w:type="dxa"/>
            <w:tcMar>
              <w:top w:w="55" w:type="dxa"/>
              <w:left w:w="108" w:type="dxa"/>
              <w:bottom w:w="55" w:type="dxa"/>
              <w:right w:w="108" w:type="dxa"/>
            </w:tcMar>
          </w:tcPr>
          <w:p w14:paraId="68BF0ED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Tonk</w:t>
            </w:r>
          </w:p>
        </w:tc>
        <w:tc>
          <w:tcPr>
            <w:tcW w:w="1682" w:type="dxa"/>
            <w:tcMar>
              <w:top w:w="55" w:type="dxa"/>
              <w:left w:w="108" w:type="dxa"/>
              <w:bottom w:w="55" w:type="dxa"/>
              <w:right w:w="108" w:type="dxa"/>
            </w:tcMar>
          </w:tcPr>
          <w:p w14:paraId="04AA2222"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0.63(0.12)***</w:t>
            </w:r>
          </w:p>
        </w:tc>
        <w:tc>
          <w:tcPr>
            <w:tcW w:w="1576" w:type="dxa"/>
            <w:tcMar>
              <w:top w:w="55" w:type="dxa"/>
              <w:left w:w="108" w:type="dxa"/>
              <w:bottom w:w="55" w:type="dxa"/>
              <w:right w:w="108" w:type="dxa"/>
            </w:tcMar>
          </w:tcPr>
          <w:p w14:paraId="0DEC30C5"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1.04(0.04)***</w:t>
            </w:r>
          </w:p>
        </w:tc>
        <w:tc>
          <w:tcPr>
            <w:tcW w:w="1701" w:type="dxa"/>
            <w:tcMar>
              <w:top w:w="55" w:type="dxa"/>
              <w:left w:w="108" w:type="dxa"/>
              <w:bottom w:w="55" w:type="dxa"/>
              <w:right w:w="108" w:type="dxa"/>
            </w:tcMar>
          </w:tcPr>
          <w:p w14:paraId="3917B4CE"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0.03(0.04)</w:t>
            </w:r>
          </w:p>
        </w:tc>
        <w:tc>
          <w:tcPr>
            <w:tcW w:w="1700" w:type="dxa"/>
            <w:tcMar>
              <w:top w:w="55" w:type="dxa"/>
              <w:left w:w="108" w:type="dxa"/>
              <w:bottom w:w="55" w:type="dxa"/>
              <w:right w:w="108" w:type="dxa"/>
            </w:tcMar>
          </w:tcPr>
          <w:p w14:paraId="5D80285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0.00(0.04)</w:t>
            </w:r>
          </w:p>
        </w:tc>
      </w:tr>
      <w:tr w:rsidR="005A30D7" w14:paraId="36C84BE7" w14:textId="77777777">
        <w:tc>
          <w:tcPr>
            <w:tcW w:w="560" w:type="dxa"/>
            <w:tcBorders>
              <w:bottom w:val="single" w:sz="4" w:space="0" w:color="000000"/>
            </w:tcBorders>
            <w:tcMar>
              <w:top w:w="55" w:type="dxa"/>
              <w:left w:w="108" w:type="dxa"/>
              <w:bottom w:w="55" w:type="dxa"/>
              <w:right w:w="108" w:type="dxa"/>
            </w:tcMar>
          </w:tcPr>
          <w:p w14:paraId="4D9250A6"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lastRenderedPageBreak/>
              <w:t>30</w:t>
            </w:r>
          </w:p>
        </w:tc>
        <w:tc>
          <w:tcPr>
            <w:tcW w:w="1841" w:type="dxa"/>
            <w:tcBorders>
              <w:bottom w:val="single" w:sz="4" w:space="0" w:color="000000"/>
            </w:tcBorders>
            <w:tcMar>
              <w:top w:w="55" w:type="dxa"/>
              <w:left w:w="108" w:type="dxa"/>
              <w:bottom w:w="55" w:type="dxa"/>
              <w:right w:w="108" w:type="dxa"/>
            </w:tcMar>
          </w:tcPr>
          <w:p w14:paraId="012CD29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Udaipur</w:t>
            </w:r>
          </w:p>
        </w:tc>
        <w:tc>
          <w:tcPr>
            <w:tcW w:w="1682" w:type="dxa"/>
            <w:tcBorders>
              <w:bottom w:val="single" w:sz="4" w:space="0" w:color="000000"/>
            </w:tcBorders>
            <w:tcMar>
              <w:top w:w="55" w:type="dxa"/>
              <w:left w:w="108" w:type="dxa"/>
              <w:bottom w:w="55" w:type="dxa"/>
              <w:right w:w="108" w:type="dxa"/>
            </w:tcMar>
          </w:tcPr>
          <w:p w14:paraId="2F98908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1.09(0.25)***</w:t>
            </w:r>
          </w:p>
        </w:tc>
        <w:tc>
          <w:tcPr>
            <w:tcW w:w="1576" w:type="dxa"/>
            <w:tcBorders>
              <w:bottom w:val="single" w:sz="4" w:space="0" w:color="000000"/>
            </w:tcBorders>
            <w:tcMar>
              <w:top w:w="55" w:type="dxa"/>
              <w:left w:w="108" w:type="dxa"/>
              <w:bottom w:w="55" w:type="dxa"/>
              <w:right w:w="108" w:type="dxa"/>
            </w:tcMar>
          </w:tcPr>
          <w:p w14:paraId="0AEC5293"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0.84(0.09)***</w:t>
            </w:r>
          </w:p>
        </w:tc>
        <w:tc>
          <w:tcPr>
            <w:tcW w:w="1701" w:type="dxa"/>
            <w:tcBorders>
              <w:bottom w:val="single" w:sz="4" w:space="0" w:color="000000"/>
            </w:tcBorders>
            <w:tcMar>
              <w:top w:w="55" w:type="dxa"/>
              <w:left w:w="108" w:type="dxa"/>
              <w:bottom w:w="55" w:type="dxa"/>
              <w:right w:w="108" w:type="dxa"/>
            </w:tcMar>
          </w:tcPr>
          <w:p w14:paraId="272888BD"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0.17(0.17)</w:t>
            </w:r>
          </w:p>
        </w:tc>
        <w:tc>
          <w:tcPr>
            <w:tcW w:w="1700" w:type="dxa"/>
            <w:tcBorders>
              <w:bottom w:val="single" w:sz="4" w:space="0" w:color="000000"/>
            </w:tcBorders>
            <w:tcMar>
              <w:top w:w="55" w:type="dxa"/>
              <w:left w:w="108" w:type="dxa"/>
              <w:bottom w:w="55" w:type="dxa"/>
              <w:right w:w="108" w:type="dxa"/>
            </w:tcMar>
          </w:tcPr>
          <w:p w14:paraId="591286C0" w14:textId="77777777" w:rsidR="005A30D7" w:rsidRDefault="0081248F">
            <w:pPr>
              <w:pStyle w:val="Standard"/>
              <w:spacing w:after="0" w:line="240" w:lineRule="auto"/>
              <w:rPr>
                <w:rFonts w:ascii="Arial" w:hAnsi="Arial" w:cs="Times New Roman"/>
                <w:sz w:val="20"/>
                <w:szCs w:val="20"/>
                <w:lang w:val="en-IN"/>
              </w:rPr>
            </w:pPr>
            <w:r>
              <w:rPr>
                <w:rFonts w:ascii="Arial" w:hAnsi="Arial" w:cs="Times New Roman"/>
                <w:sz w:val="20"/>
                <w:szCs w:val="20"/>
                <w:lang w:val="en-IN"/>
              </w:rPr>
              <w:t>0.23(0.13)*</w:t>
            </w:r>
          </w:p>
        </w:tc>
      </w:tr>
    </w:tbl>
    <w:p w14:paraId="3D14BE7A" w14:textId="77777777" w:rsidR="005A30D7" w:rsidRDefault="0081248F" w:rsidP="00582257">
      <w:pPr>
        <w:pStyle w:val="Standard"/>
        <w:spacing w:after="0" w:line="240" w:lineRule="auto"/>
        <w:rPr>
          <w:rFonts w:ascii="Arial" w:hAnsi="Arial" w:cs="Times New Roman"/>
          <w:sz w:val="20"/>
          <w:szCs w:val="20"/>
          <w:lang w:val="en-IN" w:eastAsia="en-IN"/>
        </w:rPr>
      </w:pPr>
      <w:r>
        <w:rPr>
          <w:rFonts w:ascii="Arial" w:hAnsi="Arial" w:cs="Times New Roman"/>
          <w:sz w:val="20"/>
          <w:szCs w:val="20"/>
          <w:lang w:val="en-IN" w:eastAsia="en-IN"/>
        </w:rPr>
        <w:t>Note. Standard errors are given in parentheses. ***, ** &amp; * represent significant at 1, 5 and</w:t>
      </w:r>
    </w:p>
    <w:p w14:paraId="5FDC14D4" w14:textId="4CD98B43" w:rsidR="005A30D7" w:rsidRDefault="0081248F" w:rsidP="00582257">
      <w:pPr>
        <w:pStyle w:val="Standard"/>
        <w:spacing w:after="0" w:line="240" w:lineRule="auto"/>
        <w:rPr>
          <w:rFonts w:ascii="Arial" w:eastAsia="Times New Roman" w:hAnsi="Arial" w:cs="Times New Roman"/>
          <w:kern w:val="0"/>
          <w:sz w:val="20"/>
          <w:szCs w:val="20"/>
          <w:lang w:val="en-IN" w:eastAsia="en-IN"/>
        </w:rPr>
      </w:pPr>
      <w:r>
        <w:rPr>
          <w:rFonts w:ascii="Arial" w:hAnsi="Arial" w:cs="Times New Roman"/>
          <w:sz w:val="20"/>
          <w:szCs w:val="20"/>
          <w:lang w:val="en-IN" w:eastAsia="en-IN"/>
        </w:rPr>
        <w:t xml:space="preserve">          10 per cent level of significance respectively</w:t>
      </w:r>
      <w:r>
        <w:rPr>
          <w:rFonts w:ascii="Arial" w:eastAsia="Times New Roman" w:hAnsi="Arial" w:cs="Times New Roman"/>
          <w:kern w:val="0"/>
          <w:sz w:val="20"/>
          <w:szCs w:val="20"/>
          <w:lang w:val="en-IN" w:eastAsia="en-IN"/>
        </w:rPr>
        <w:t>. Source. Calculated by authors.</w:t>
      </w:r>
    </w:p>
    <w:p w14:paraId="50C05B03" w14:textId="77777777" w:rsidR="00D051FB" w:rsidRDefault="00D051FB" w:rsidP="00582257">
      <w:pPr>
        <w:pStyle w:val="Standard"/>
        <w:spacing w:after="0" w:line="240" w:lineRule="auto"/>
        <w:rPr>
          <w:rFonts w:ascii="Arial" w:hAnsi="Arial"/>
          <w:sz w:val="20"/>
          <w:szCs w:val="20"/>
        </w:rPr>
      </w:pPr>
    </w:p>
    <w:p w14:paraId="67BC3816" w14:textId="7484EC82"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Table 6 presents the district-level coefficient estimates for deposit penetration (LPCDP) using Swamy’s Random</w:t>
      </w:r>
      <w:r w:rsidR="00B543BA">
        <w:rPr>
          <w:rFonts w:ascii="Arial" w:hAnsi="Arial" w:cs="Times New Roman"/>
          <w:sz w:val="20"/>
          <w:szCs w:val="20"/>
          <w:lang w:val="en-IN"/>
        </w:rPr>
        <w:t xml:space="preserve"> Coefficient</w:t>
      </w:r>
      <w:r>
        <w:rPr>
          <w:rFonts w:ascii="Arial" w:hAnsi="Arial" w:cs="Times New Roman"/>
          <w:sz w:val="20"/>
          <w:szCs w:val="20"/>
          <w:lang w:val="en-IN"/>
        </w:rPr>
        <w:t xml:space="preserve"> Model, capturing variation in how key determinants affect financial inclusion across Rajasthan’s districts. The results show that LPCNDDP is a strong and statistically significant driver of deposit penetration in nearly all districts, including Ajmer, Kota, and Jhunjhunu, reaffirming that higher income levels are closely linked to increased engagement with formal deposit systems and savings </w:t>
      </w:r>
      <w:r w:rsidR="00A868DA">
        <w:rPr>
          <w:rFonts w:ascii="Arial" w:hAnsi="Arial" w:cs="Times New Roman"/>
          <w:sz w:val="20"/>
          <w:szCs w:val="20"/>
          <w:lang w:val="en-IN"/>
        </w:rPr>
        <w:t>behaviour</w:t>
      </w:r>
      <w:r>
        <w:rPr>
          <w:rFonts w:ascii="Arial" w:hAnsi="Arial" w:cs="Times New Roman"/>
          <w:sz w:val="20"/>
          <w:szCs w:val="20"/>
          <w:lang w:val="en-IN"/>
        </w:rPr>
        <w:t>.</w:t>
      </w:r>
    </w:p>
    <w:p w14:paraId="3AC089F8"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LMANP also demonstrates a generally positive impact, especially in districts like Baran, Jaipur, and Bharatpur, suggesting that industrial development promotes formal financial participation. However, the effect is weaker or insignificant in districts such as Ajmer, Alwar, and Jodhpur, possibly due to limited employment spillovers or informal wage practices. The effect of population growth is notably mixed: while it is positive in districts like Ajmer and Udaipur, it is significantly negative in others such as Bikaner, Sirohi, and Sikar. This divergence implies that demographic expansion does not uniformly enhance deposit mobilization and may, in certain contexts, exacerbate financial stress or reflect infrastructural deficiencies.</w:t>
      </w:r>
    </w:p>
    <w:p w14:paraId="0779D11B"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These findings confirm substantial inter-district heterogeneity in the determinants of deposit penetration and underscore the need for tailored, district-specific financial strategies. A one-size-fits-all approach is unlikely to address the localized structural, institutional, and demographic dynamics influencing financial behaviour in Rajasthan.</w:t>
      </w:r>
    </w:p>
    <w:p w14:paraId="67579C66" w14:textId="77777777" w:rsidR="005A30D7" w:rsidRDefault="005A30D7">
      <w:pPr>
        <w:pStyle w:val="Standard"/>
        <w:spacing w:line="256" w:lineRule="auto"/>
        <w:jc w:val="both"/>
        <w:rPr>
          <w:rFonts w:ascii="Arial" w:hAnsi="Arial" w:cs="Times New Roman"/>
          <w:b/>
          <w:bCs/>
          <w:sz w:val="20"/>
          <w:szCs w:val="20"/>
          <w:lang w:val="en-IN"/>
        </w:rPr>
      </w:pPr>
    </w:p>
    <w:p w14:paraId="2717D99C" w14:textId="77777777" w:rsidR="005A30D7" w:rsidRDefault="0081248F">
      <w:pPr>
        <w:pStyle w:val="Standard"/>
        <w:spacing w:line="256" w:lineRule="auto"/>
        <w:jc w:val="both"/>
        <w:rPr>
          <w:rFonts w:ascii="Arial" w:hAnsi="Arial" w:cs="Times New Roman"/>
          <w:b/>
          <w:bCs/>
          <w:sz w:val="22"/>
          <w:szCs w:val="22"/>
          <w:lang w:val="en-IN"/>
        </w:rPr>
      </w:pPr>
      <w:r>
        <w:rPr>
          <w:rFonts w:ascii="Arial" w:hAnsi="Arial" w:cs="Times New Roman"/>
          <w:b/>
          <w:bCs/>
          <w:sz w:val="22"/>
          <w:szCs w:val="22"/>
          <w:lang w:val="en-IN"/>
        </w:rPr>
        <w:t>5. Conclusions</w:t>
      </w:r>
    </w:p>
    <w:p w14:paraId="5904065E" w14:textId="4E7A5D0F"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 xml:space="preserve">The comprehensive analysis of credit and deposit penetration models across districts in Rajasthan highlights key determinants of financial inclusion and the considerable </w:t>
      </w:r>
      <w:r w:rsidR="00DA60AB">
        <w:rPr>
          <w:rFonts w:ascii="Arial" w:hAnsi="Arial" w:cs="Times New Roman"/>
          <w:sz w:val="20"/>
          <w:szCs w:val="20"/>
          <w:lang w:val="en-IN"/>
        </w:rPr>
        <w:t>heterogeneity</w:t>
      </w:r>
      <w:r>
        <w:rPr>
          <w:rFonts w:ascii="Arial" w:hAnsi="Arial" w:cs="Times New Roman"/>
          <w:sz w:val="20"/>
          <w:szCs w:val="20"/>
          <w:lang w:val="en-IN"/>
        </w:rPr>
        <w:t xml:space="preserve"> in their impact. Among the variables studied, LBB and LPCNDDP emerge as consistently strong and statistically significant predictors of both LPCCR and LPCDP penetration. Their robust positive influence across all estimation methods and districts underscores the central role of physical banking infrastructure and regional income levels in deepening financial inclusion. These findings suggest that efforts to expand banking access points and stimulate local economic activity are likely to yield substantial improvements in financial participation.</w:t>
      </w:r>
    </w:p>
    <w:p w14:paraId="0A75360B"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Conversely, the influence of LMANP and LPOPGR appears more variable. While LMANP positively impacts financial inclusion in many districts, its effect is less consistent across all regions and models. Similarly, LPOPGR shows mixed and often statistically insignificant or even negative relationships with financial penetration, particularly in more advanced models. This variation indicates that demographic and sectoral factors influence financial inclusion in complex and context-specific ways.</w:t>
      </w:r>
    </w:p>
    <w:p w14:paraId="4DA6FB11"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The district-level regressions further reinforce these patterns. LBB and LPCNDDP consistently exhibit positive and significant coefficients, while the effects of LMANP and LPOPGR differ in both direction and magnitude across districts. These differences reflect the diverse socioeconomic structures, levels of industrial development, and demographic pressures unique to each district.</w:t>
      </w:r>
    </w:p>
    <w:p w14:paraId="401C0AA1" w14:textId="10F0061D" w:rsidR="005A30D7" w:rsidRDefault="0081248F" w:rsidP="00EC2A1A">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In conclusion, the findings highlight the need for a differentiated policy approach to promoting financial inclusion. While investments in banking infrastructure and economic development are universally beneficial, other factors such as industrial activity and population dynamics require localized strategies. Policymakers should therefore tailor financial inclusion initiatives to the specific characteristics and needs of each district, rather than relying on uniform, state-level interventions. Such targeted policies are more likely to achieve inclusive and sustainable financial growth.</w:t>
      </w:r>
    </w:p>
    <w:p w14:paraId="63273164" w14:textId="7EF08331" w:rsidR="00972FA1" w:rsidRDefault="00972FA1" w:rsidP="00EC2A1A">
      <w:pPr>
        <w:pStyle w:val="Standard"/>
        <w:spacing w:line="240" w:lineRule="auto"/>
        <w:jc w:val="both"/>
        <w:rPr>
          <w:rFonts w:ascii="Arial" w:hAnsi="Arial" w:cs="Times New Roman"/>
          <w:sz w:val="20"/>
          <w:szCs w:val="20"/>
          <w:lang w:val="en-IN"/>
        </w:rPr>
      </w:pPr>
    </w:p>
    <w:p w14:paraId="6BE5DB38" w14:textId="77777777" w:rsidR="00972FA1" w:rsidRDefault="00972FA1" w:rsidP="00EC2A1A">
      <w:pPr>
        <w:pStyle w:val="Standard"/>
        <w:spacing w:line="240" w:lineRule="auto"/>
        <w:jc w:val="both"/>
        <w:rPr>
          <w:rFonts w:ascii="Arial" w:hAnsi="Arial" w:cs="Times New Roman"/>
          <w:sz w:val="20"/>
          <w:szCs w:val="20"/>
          <w:lang w:val="en-IN"/>
        </w:rPr>
      </w:pPr>
    </w:p>
    <w:p w14:paraId="0ED0A2B3" w14:textId="77777777" w:rsidR="005A30D7" w:rsidRDefault="0081248F">
      <w:pPr>
        <w:pStyle w:val="Standard"/>
        <w:spacing w:line="256" w:lineRule="auto"/>
        <w:rPr>
          <w:rFonts w:ascii="Arial" w:hAnsi="Arial" w:cs="Times New Roman"/>
          <w:b/>
          <w:bCs/>
          <w:sz w:val="22"/>
          <w:szCs w:val="22"/>
          <w:lang w:val="en-IN"/>
        </w:rPr>
      </w:pPr>
      <w:r>
        <w:rPr>
          <w:rFonts w:ascii="Arial" w:hAnsi="Arial" w:cs="Times New Roman"/>
          <w:b/>
          <w:bCs/>
          <w:sz w:val="22"/>
          <w:szCs w:val="22"/>
          <w:lang w:val="en-IN"/>
        </w:rPr>
        <w:lastRenderedPageBreak/>
        <w:t>6. Suggestions</w:t>
      </w:r>
    </w:p>
    <w:p w14:paraId="74FE6931"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Based on the study’s findings, several actionable suggestions can be made to enhance financial inclusion across districts in Rajasthan. Since banking branch presence (LBB) has a consistently strong positive influence on both credit and deposit penetration, efforts should be made to expand the physical reach of financial institutions. This could involve incentivizing banks to open new branches in underserved areas and leveraging mobile or digital banking services in regions where physical infrastructure is lacking.</w:t>
      </w:r>
    </w:p>
    <w:p w14:paraId="5F167788"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Raising local income levels is equally important, as per capita net district domestic product (LPCNDDP) significantly drives financial engagement. Policymakers should focus on employment generation through targeted skill development programs, promotion of entrepreneurship, and support for small and medium-sized enterprises to increase household income and thereby improve access to and usage of formal financial services.</w:t>
      </w:r>
    </w:p>
    <w:p w14:paraId="7BF48A9F"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In districts where manufacturing activity (LMANP) shows a positive relationship with financial inclusion, tailored industrial policies can help stimulate economic participation. However, in regions where manufacturing plays a limited role, emphasis should shift to other sectors such as agriculture, services, or tourism depending on local economic strengths.</w:t>
      </w:r>
    </w:p>
    <w:p w14:paraId="6F76FD61"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Districts with rapid population growth (LPOPGR) require more responsive and adaptive infrastructure to meet the rising demand for financial services. Here, solutions such as digital banking platforms, mobile wallets, and agent-based models may provide the necessary outreach efficiently.</w:t>
      </w:r>
    </w:p>
    <w:p w14:paraId="42E369C0" w14:textId="77777777" w:rsidR="005A30D7" w:rsidRDefault="0081248F">
      <w:pPr>
        <w:pStyle w:val="Standard"/>
        <w:spacing w:line="240" w:lineRule="auto"/>
        <w:jc w:val="both"/>
        <w:rPr>
          <w:rFonts w:ascii="Arial" w:hAnsi="Arial" w:cs="Times New Roman"/>
          <w:sz w:val="20"/>
          <w:szCs w:val="20"/>
          <w:lang w:val="en-IN"/>
        </w:rPr>
      </w:pPr>
      <w:r>
        <w:rPr>
          <w:rFonts w:ascii="Arial" w:hAnsi="Arial" w:cs="Times New Roman"/>
          <w:sz w:val="20"/>
          <w:szCs w:val="20"/>
          <w:lang w:val="en-IN"/>
        </w:rPr>
        <w:t>Finally, given the significant regional heterogeneity revealed in the data, it is critical to adopt district-specific financial inclusion strategies. A uniform approach may fail to address local needs effectively. Policymakers and financial institutions should therefore develop targeted interventions that consider each district’s unique demographic, economic, and sectoral characteristics, ensuring that financial products and services are contextually relevant and inclusive.</w:t>
      </w:r>
    </w:p>
    <w:p w14:paraId="295CB9CD" w14:textId="77777777" w:rsidR="005A30D7" w:rsidRDefault="0081248F">
      <w:pPr>
        <w:pStyle w:val="Standard"/>
        <w:spacing w:after="0" w:line="240" w:lineRule="auto"/>
        <w:rPr>
          <w:rFonts w:ascii="Arial" w:hAnsi="Arial" w:cs="Arial"/>
          <w:b/>
          <w:color w:val="0D0D0D"/>
          <w:sz w:val="22"/>
          <w:szCs w:val="22"/>
          <w:shd w:val="clear" w:color="auto" w:fill="FFFFFF"/>
        </w:rPr>
      </w:pPr>
      <w:r>
        <w:rPr>
          <w:rFonts w:ascii="Arial" w:hAnsi="Arial" w:cs="Arial"/>
          <w:b/>
          <w:color w:val="0D0D0D"/>
          <w:sz w:val="22"/>
          <w:szCs w:val="22"/>
          <w:shd w:val="clear" w:color="auto" w:fill="FFFFFF"/>
        </w:rPr>
        <w:t>DISCLAIMER (ARTIFICIAL INTELLIGENCE)</w:t>
      </w:r>
    </w:p>
    <w:p w14:paraId="6550B926" w14:textId="77777777" w:rsidR="005A30D7" w:rsidRDefault="005A30D7">
      <w:pPr>
        <w:pStyle w:val="Standard"/>
        <w:spacing w:after="0" w:line="240" w:lineRule="auto"/>
        <w:rPr>
          <w:rFonts w:ascii="Arial" w:hAnsi="Arial" w:cs="Arial"/>
          <w:bCs/>
          <w:color w:val="0D0D0D"/>
          <w:shd w:val="clear" w:color="auto" w:fill="FFFFFF"/>
        </w:rPr>
      </w:pPr>
    </w:p>
    <w:p w14:paraId="64DBD22D" w14:textId="77777777" w:rsidR="005A30D7" w:rsidRDefault="0081248F">
      <w:pPr>
        <w:pStyle w:val="Standard"/>
        <w:spacing w:after="0" w:line="240" w:lineRule="auto"/>
        <w:jc w:val="both"/>
        <w:rPr>
          <w:rFonts w:ascii="Arial" w:hAnsi="Arial" w:cs="Arial"/>
          <w:bCs/>
          <w:color w:val="0D0D0D"/>
          <w:sz w:val="20"/>
          <w:szCs w:val="20"/>
          <w:shd w:val="clear" w:color="auto" w:fill="FFFFFF"/>
        </w:rPr>
      </w:pPr>
      <w:r>
        <w:rPr>
          <w:rFonts w:ascii="Arial" w:hAnsi="Arial" w:cs="Arial"/>
          <w:bCs/>
          <w:color w:val="0D0D0D"/>
          <w:sz w:val="20"/>
          <w:szCs w:val="20"/>
          <w:shd w:val="clear" w:color="auto" w:fill="FFFFFF"/>
        </w:rPr>
        <w:t>Authors hereby declare that NO generative AI technologies such as Large Language Models (ChatGPT, COPILOT, etc.) and text-to-image generators have been used during the writing or editing of this manuscript.</w:t>
      </w:r>
    </w:p>
    <w:p w14:paraId="601AED59" w14:textId="77777777" w:rsidR="005A30D7" w:rsidRDefault="005A30D7">
      <w:pPr>
        <w:pStyle w:val="Standard"/>
        <w:spacing w:after="0" w:line="240" w:lineRule="auto"/>
        <w:jc w:val="both"/>
        <w:rPr>
          <w:rFonts w:ascii="Arial" w:hAnsi="Arial" w:cs="Arial"/>
          <w:b/>
          <w:bCs/>
          <w:color w:val="0D0D0D"/>
          <w:shd w:val="clear" w:color="auto" w:fill="FFFFFF"/>
        </w:rPr>
      </w:pPr>
    </w:p>
    <w:p w14:paraId="247F8C81" w14:textId="77777777" w:rsidR="005A30D7" w:rsidRDefault="0081248F">
      <w:pPr>
        <w:pStyle w:val="Standard"/>
        <w:spacing w:after="0" w:line="240" w:lineRule="auto"/>
        <w:jc w:val="both"/>
        <w:rPr>
          <w:rFonts w:ascii="Arial" w:hAnsi="Arial" w:cs="Arial"/>
          <w:b/>
          <w:bCs/>
          <w:color w:val="0D0D0D"/>
          <w:sz w:val="22"/>
          <w:szCs w:val="22"/>
          <w:shd w:val="clear" w:color="auto" w:fill="FFFFFF"/>
        </w:rPr>
      </w:pPr>
      <w:r>
        <w:rPr>
          <w:rFonts w:ascii="Arial" w:hAnsi="Arial" w:cs="Arial"/>
          <w:b/>
          <w:bCs/>
          <w:color w:val="0D0D0D"/>
          <w:sz w:val="22"/>
          <w:szCs w:val="22"/>
          <w:shd w:val="clear" w:color="auto" w:fill="FFFFFF"/>
        </w:rPr>
        <w:t>COMPETING INTERESTS</w:t>
      </w:r>
    </w:p>
    <w:p w14:paraId="4C3DF5F2" w14:textId="77777777" w:rsidR="005A30D7" w:rsidRDefault="005A30D7">
      <w:pPr>
        <w:pStyle w:val="Standard"/>
        <w:spacing w:after="0" w:line="240" w:lineRule="auto"/>
        <w:jc w:val="both"/>
        <w:rPr>
          <w:rFonts w:cs="Arial"/>
          <w:b/>
          <w:bCs/>
          <w:color w:val="0D0D0D"/>
          <w:sz w:val="22"/>
          <w:szCs w:val="22"/>
          <w:shd w:val="clear" w:color="auto" w:fill="FFFFFF"/>
        </w:rPr>
      </w:pPr>
    </w:p>
    <w:p w14:paraId="001130E4" w14:textId="77777777" w:rsidR="005A30D7" w:rsidRDefault="0081248F">
      <w:pPr>
        <w:pStyle w:val="Default"/>
        <w:jc w:val="both"/>
        <w:rPr>
          <w:color w:val="0D0D0D"/>
          <w:sz w:val="20"/>
          <w:shd w:val="clear" w:color="auto" w:fill="FFFFFF"/>
        </w:rPr>
      </w:pPr>
      <w:r>
        <w:rPr>
          <w:color w:val="0D0D0D"/>
          <w:sz w:val="20"/>
          <w:shd w:val="clear" w:color="auto" w:fill="FFFFFF"/>
        </w:rPr>
        <w:t>Authors have declared that no competing interests exist.</w:t>
      </w:r>
    </w:p>
    <w:p w14:paraId="2E8D447D" w14:textId="77777777" w:rsidR="005A30D7" w:rsidRDefault="005A30D7">
      <w:pPr>
        <w:pStyle w:val="Default"/>
        <w:jc w:val="both"/>
        <w:rPr>
          <w:color w:val="0D0D0D"/>
          <w:sz w:val="20"/>
          <w:shd w:val="clear" w:color="auto" w:fill="FFFFFF"/>
        </w:rPr>
      </w:pPr>
    </w:p>
    <w:p w14:paraId="7F1D631D" w14:textId="77777777" w:rsidR="00EC2A1A" w:rsidRDefault="00EC2A1A">
      <w:pPr>
        <w:pStyle w:val="Standard"/>
        <w:spacing w:line="256" w:lineRule="auto"/>
        <w:rPr>
          <w:rFonts w:ascii="Arial" w:hAnsi="Arial" w:cs="Times New Roman"/>
          <w:b/>
          <w:bCs/>
          <w:lang w:val="en-IN"/>
        </w:rPr>
      </w:pPr>
    </w:p>
    <w:p w14:paraId="4A0C6EFF" w14:textId="77777777" w:rsidR="00EC2A1A" w:rsidRDefault="00EC2A1A">
      <w:pPr>
        <w:pStyle w:val="Standard"/>
        <w:spacing w:line="256" w:lineRule="auto"/>
        <w:rPr>
          <w:rFonts w:ascii="Arial" w:hAnsi="Arial" w:cs="Times New Roman"/>
          <w:b/>
          <w:bCs/>
          <w:lang w:val="en-IN"/>
        </w:rPr>
      </w:pPr>
    </w:p>
    <w:p w14:paraId="25F2BE23" w14:textId="77777777" w:rsidR="00EC2A1A" w:rsidRDefault="00EC2A1A">
      <w:pPr>
        <w:pStyle w:val="Standard"/>
        <w:spacing w:line="256" w:lineRule="auto"/>
        <w:rPr>
          <w:rFonts w:ascii="Arial" w:hAnsi="Arial" w:cs="Times New Roman"/>
          <w:b/>
          <w:bCs/>
          <w:lang w:val="en-IN"/>
        </w:rPr>
      </w:pPr>
    </w:p>
    <w:p w14:paraId="3EB3B124" w14:textId="4F590A73" w:rsidR="005A30D7" w:rsidRDefault="0081248F">
      <w:pPr>
        <w:pStyle w:val="Standard"/>
        <w:spacing w:line="256" w:lineRule="auto"/>
        <w:rPr>
          <w:rFonts w:ascii="Arial" w:hAnsi="Arial"/>
        </w:rPr>
      </w:pPr>
      <w:r>
        <w:rPr>
          <w:rFonts w:ascii="Arial" w:hAnsi="Arial" w:cs="Times New Roman"/>
          <w:b/>
          <w:bCs/>
          <w:lang w:val="en-IN"/>
        </w:rPr>
        <w:t>REFERENCES</w:t>
      </w:r>
    </w:p>
    <w:p w14:paraId="0E9F8361" w14:textId="77777777" w:rsidR="005A30D7" w:rsidRDefault="005A30D7">
      <w:pPr>
        <w:pStyle w:val="Standard"/>
        <w:spacing w:line="256" w:lineRule="auto"/>
        <w:rPr>
          <w:rFonts w:ascii="Times New Roman" w:hAnsi="Times New Roman" w:cs="Times New Roman"/>
          <w:lang w:val="en-IN"/>
        </w:rPr>
      </w:pPr>
    </w:p>
    <w:p w14:paraId="3F502A54" w14:textId="6E49529B" w:rsidR="00A42C8A" w:rsidRDefault="00A42C8A">
      <w:pPr>
        <w:pStyle w:val="Standard"/>
        <w:spacing w:line="256" w:lineRule="auto"/>
        <w:ind w:left="720" w:hanging="720"/>
        <w:rPr>
          <w:rFonts w:ascii="Arial" w:hAnsi="Arial"/>
          <w:sz w:val="20"/>
          <w:szCs w:val="20"/>
        </w:rPr>
      </w:pPr>
      <w:r w:rsidRPr="00A42C8A">
        <w:rPr>
          <w:rFonts w:ascii="Arial" w:hAnsi="Arial"/>
          <w:sz w:val="20"/>
          <w:szCs w:val="20"/>
        </w:rPr>
        <w:t>Anarfo, E. B., Abor, J. Y., Osei, K. A., &amp; Gyeke-Dako, A. (2019). Financial inclusion and financial sector development in Sub-Saharan Africa: A panel VAR approach. </w:t>
      </w:r>
      <w:r w:rsidRPr="00A42C8A">
        <w:rPr>
          <w:rFonts w:ascii="Arial" w:hAnsi="Arial"/>
          <w:i/>
          <w:iCs/>
          <w:sz w:val="20"/>
          <w:szCs w:val="20"/>
        </w:rPr>
        <w:t>International Journal of Managerial Finance</w:t>
      </w:r>
      <w:r w:rsidRPr="00A42C8A">
        <w:rPr>
          <w:rFonts w:ascii="Arial" w:hAnsi="Arial"/>
          <w:sz w:val="20"/>
          <w:szCs w:val="20"/>
        </w:rPr>
        <w:t>, </w:t>
      </w:r>
      <w:r w:rsidRPr="00A42C8A">
        <w:rPr>
          <w:rFonts w:ascii="Arial" w:hAnsi="Arial"/>
          <w:i/>
          <w:iCs/>
          <w:sz w:val="20"/>
          <w:szCs w:val="20"/>
        </w:rPr>
        <w:t>15</w:t>
      </w:r>
      <w:r w:rsidRPr="00A42C8A">
        <w:rPr>
          <w:rFonts w:ascii="Arial" w:hAnsi="Arial"/>
          <w:sz w:val="20"/>
          <w:szCs w:val="20"/>
        </w:rPr>
        <w:t>(4), 444-463.</w:t>
      </w:r>
      <w:r>
        <w:rPr>
          <w:rFonts w:ascii="Arial" w:hAnsi="Arial"/>
          <w:sz w:val="20"/>
          <w:szCs w:val="20"/>
        </w:rPr>
        <w:t xml:space="preserve"> </w:t>
      </w:r>
      <w:hyperlink r:id="rId12" w:tgtFrame="_blank" w:history="1">
        <w:r w:rsidRPr="00A42C8A">
          <w:rPr>
            <w:rStyle w:val="Hyperlink"/>
            <w:rFonts w:ascii="Arial" w:hAnsi="Arial"/>
            <w:sz w:val="20"/>
            <w:szCs w:val="20"/>
          </w:rPr>
          <w:t>https://doi.org/10.1108/IJMF-07-2018-0205</w:t>
        </w:r>
      </w:hyperlink>
    </w:p>
    <w:p w14:paraId="4D5447B5" w14:textId="1E55C327" w:rsidR="00860738" w:rsidRDefault="00860738">
      <w:pPr>
        <w:pStyle w:val="Standard"/>
        <w:spacing w:line="256" w:lineRule="auto"/>
        <w:ind w:left="720" w:hanging="720"/>
        <w:rPr>
          <w:rFonts w:ascii="Arial" w:hAnsi="Arial"/>
          <w:sz w:val="20"/>
          <w:szCs w:val="20"/>
        </w:rPr>
      </w:pPr>
      <w:r w:rsidRPr="00860738">
        <w:rPr>
          <w:rFonts w:ascii="Arial" w:hAnsi="Arial"/>
          <w:sz w:val="20"/>
          <w:szCs w:val="20"/>
        </w:rPr>
        <w:t xml:space="preserve">Allen, F., </w:t>
      </w:r>
      <w:proofErr w:type="spellStart"/>
      <w:r w:rsidRPr="00860738">
        <w:rPr>
          <w:rFonts w:ascii="Arial" w:hAnsi="Arial"/>
          <w:sz w:val="20"/>
          <w:szCs w:val="20"/>
        </w:rPr>
        <w:t>Demirguc-Kunt</w:t>
      </w:r>
      <w:proofErr w:type="spellEnd"/>
      <w:r w:rsidRPr="00860738">
        <w:rPr>
          <w:rFonts w:ascii="Arial" w:hAnsi="Arial"/>
          <w:sz w:val="20"/>
          <w:szCs w:val="20"/>
        </w:rPr>
        <w:t>, A., Klapper, L., &amp; Peria, M. M. (2012). Foundations of financial inclusion. </w:t>
      </w:r>
      <w:r w:rsidRPr="00860738">
        <w:rPr>
          <w:rFonts w:ascii="Arial" w:hAnsi="Arial"/>
          <w:i/>
          <w:iCs/>
          <w:sz w:val="20"/>
          <w:szCs w:val="20"/>
        </w:rPr>
        <w:t>Policy Research Working Paper</w:t>
      </w:r>
      <w:r w:rsidRPr="00860738">
        <w:rPr>
          <w:rFonts w:ascii="Arial" w:hAnsi="Arial"/>
          <w:sz w:val="20"/>
          <w:szCs w:val="20"/>
        </w:rPr>
        <w:t>, </w:t>
      </w:r>
      <w:r w:rsidRPr="00860738">
        <w:rPr>
          <w:rFonts w:ascii="Arial" w:hAnsi="Arial"/>
          <w:i/>
          <w:iCs/>
          <w:sz w:val="20"/>
          <w:szCs w:val="20"/>
        </w:rPr>
        <w:t>6290</w:t>
      </w:r>
      <w:r w:rsidRPr="00860738">
        <w:rPr>
          <w:rFonts w:ascii="Arial" w:hAnsi="Arial"/>
          <w:sz w:val="20"/>
          <w:szCs w:val="20"/>
        </w:rPr>
        <w:t>.</w:t>
      </w:r>
      <w:bookmarkStart w:id="5" w:name="_GoBack"/>
      <w:bookmarkEnd w:id="5"/>
    </w:p>
    <w:p w14:paraId="49212EA3" w14:textId="194B417B" w:rsidR="005A30D7" w:rsidRPr="009E5087" w:rsidRDefault="0081248F" w:rsidP="009E5087">
      <w:pPr>
        <w:pStyle w:val="Standard"/>
        <w:spacing w:line="257" w:lineRule="auto"/>
        <w:ind w:left="720" w:hanging="720"/>
        <w:rPr>
          <w:rFonts w:ascii="Arial" w:hAnsi="Arial" w:cs="Times New Roman"/>
          <w:sz w:val="20"/>
          <w:szCs w:val="20"/>
          <w:lang w:val="en-IN"/>
        </w:rPr>
      </w:pPr>
      <w:r>
        <w:rPr>
          <w:rFonts w:ascii="Arial" w:hAnsi="Arial" w:cs="Times New Roman"/>
          <w:sz w:val="20"/>
          <w:szCs w:val="20"/>
          <w:lang w:val="en-IN"/>
        </w:rPr>
        <w:lastRenderedPageBreak/>
        <w:t xml:space="preserve">Bhanot, D., Bapat, V., &amp; Bera, S. (2012). Studying financial inclusion in north‐east </w:t>
      </w:r>
      <w:r w:rsidR="009E5087">
        <w:rPr>
          <w:rFonts w:ascii="Arial" w:hAnsi="Arial" w:cs="Times New Roman"/>
          <w:sz w:val="20"/>
          <w:szCs w:val="20"/>
          <w:lang w:val="en-IN"/>
        </w:rPr>
        <w:t>India.</w:t>
      </w:r>
      <w:r w:rsidR="009E5087">
        <w:rPr>
          <w:rFonts w:ascii="Arial" w:hAnsi="Arial" w:cs="Times New Roman"/>
          <w:i/>
          <w:iCs/>
          <w:sz w:val="20"/>
          <w:szCs w:val="20"/>
          <w:lang w:val="en-IN"/>
        </w:rPr>
        <w:t xml:space="preserve"> International</w:t>
      </w:r>
      <w:r>
        <w:rPr>
          <w:rFonts w:ascii="Arial" w:hAnsi="Arial" w:cs="Times New Roman"/>
          <w:i/>
          <w:iCs/>
          <w:sz w:val="20"/>
          <w:szCs w:val="20"/>
          <w:lang w:val="en-IN"/>
        </w:rPr>
        <w:t xml:space="preserve"> Journal of Bank Marketing</w:t>
      </w:r>
      <w:r>
        <w:rPr>
          <w:rFonts w:ascii="Arial" w:hAnsi="Arial" w:cs="Times New Roman"/>
          <w:sz w:val="20"/>
          <w:szCs w:val="20"/>
          <w:lang w:val="en-IN"/>
        </w:rPr>
        <w:t xml:space="preserve">, 30(6), 465-484.     </w:t>
      </w:r>
      <w:hyperlink r:id="rId13" w:history="1">
        <w:r>
          <w:rPr>
            <w:rFonts w:ascii="Arial" w:hAnsi="Arial" w:cs="Times New Roman"/>
            <w:color w:val="0563C1"/>
            <w:sz w:val="20"/>
            <w:szCs w:val="20"/>
            <w:u w:val="single"/>
            <w:lang w:val="en-IN"/>
          </w:rPr>
          <w:t>https://doi.org/10.1108/02652321211262221</w:t>
        </w:r>
      </w:hyperlink>
    </w:p>
    <w:p w14:paraId="190705F9" w14:textId="77777777" w:rsidR="005A30D7" w:rsidRDefault="0081248F">
      <w:pPr>
        <w:pStyle w:val="Standard"/>
        <w:spacing w:before="280" w:after="280" w:line="240" w:lineRule="auto"/>
        <w:ind w:left="720" w:hanging="720"/>
        <w:jc w:val="both"/>
        <w:rPr>
          <w:rFonts w:ascii="Arial" w:hAnsi="Arial"/>
          <w:sz w:val="20"/>
          <w:szCs w:val="20"/>
        </w:rPr>
      </w:pPr>
      <w:r>
        <w:rPr>
          <w:rFonts w:ascii="Arial" w:eastAsia="Times New Roman" w:hAnsi="Arial" w:cs="Times New Roman"/>
          <w:kern w:val="0"/>
          <w:sz w:val="20"/>
          <w:szCs w:val="20"/>
          <w:lang w:val="en-IN" w:eastAsia="en-IN"/>
        </w:rPr>
        <w:t xml:space="preserve">Brunetti, A., Kisunko, G., &amp; Weder, B. (1997). Institutions in transition: Reliability of rules and economic performance in former socialist countries. </w:t>
      </w:r>
      <w:r>
        <w:rPr>
          <w:rFonts w:ascii="Arial" w:eastAsia="Times New Roman" w:hAnsi="Arial" w:cs="Times New Roman"/>
          <w:i/>
          <w:iCs/>
          <w:kern w:val="0"/>
          <w:sz w:val="20"/>
          <w:szCs w:val="20"/>
          <w:lang w:val="en-IN" w:eastAsia="en-IN"/>
        </w:rPr>
        <w:t>Policy Research Working Paper No. 1809</w:t>
      </w:r>
      <w:r>
        <w:rPr>
          <w:rFonts w:ascii="Arial" w:eastAsia="Times New Roman" w:hAnsi="Arial" w:cs="Times New Roman"/>
          <w:kern w:val="0"/>
          <w:sz w:val="20"/>
          <w:szCs w:val="20"/>
          <w:lang w:val="en-IN" w:eastAsia="en-IN"/>
        </w:rPr>
        <w:t>. World Bank.</w:t>
      </w:r>
    </w:p>
    <w:p w14:paraId="3D7CE45E" w14:textId="77777777" w:rsidR="005A30D7" w:rsidRDefault="0081248F">
      <w:pPr>
        <w:pStyle w:val="Standard"/>
        <w:spacing w:before="280" w:after="280" w:line="240" w:lineRule="auto"/>
        <w:ind w:left="720" w:hanging="720"/>
        <w:jc w:val="both"/>
      </w:pPr>
      <w:r>
        <w:rPr>
          <w:rFonts w:ascii="Arial" w:eastAsia="Times New Roman" w:hAnsi="Arial" w:cs="Times New Roman"/>
          <w:kern w:val="0"/>
          <w:sz w:val="20"/>
          <w:szCs w:val="20"/>
          <w:lang w:eastAsia="en-IN"/>
        </w:rPr>
        <w:t xml:space="preserve">Dar, A. B., &amp; Ahmed, S. (2020). </w:t>
      </w:r>
      <w:r>
        <w:rPr>
          <w:rFonts w:ascii="Arial" w:eastAsia="Times New Roman" w:hAnsi="Arial" w:cs="Times New Roman"/>
          <w:kern w:val="0"/>
          <w:sz w:val="20"/>
          <w:szCs w:val="20"/>
          <w:lang w:val="en-IN" w:eastAsia="en-IN"/>
        </w:rPr>
        <w:t xml:space="preserve">Determinants and barriers of financial inclusion in India: Insights from Global Findex. </w:t>
      </w:r>
      <w:r>
        <w:rPr>
          <w:rFonts w:ascii="Arial" w:eastAsia="Times New Roman" w:hAnsi="Arial" w:cs="Times New Roman"/>
          <w:i/>
          <w:iCs/>
          <w:kern w:val="0"/>
          <w:sz w:val="20"/>
          <w:szCs w:val="20"/>
          <w:lang w:val="en-IN" w:eastAsia="en-IN"/>
        </w:rPr>
        <w:t>Journal of Financial Economic Policy, 13</w:t>
      </w:r>
      <w:r>
        <w:rPr>
          <w:rFonts w:ascii="Arial" w:eastAsia="Times New Roman" w:hAnsi="Arial" w:cs="Times New Roman"/>
          <w:kern w:val="0"/>
          <w:sz w:val="20"/>
          <w:szCs w:val="20"/>
          <w:lang w:val="en-IN" w:eastAsia="en-IN"/>
        </w:rPr>
        <w:t xml:space="preserve">(3), 520–536. </w:t>
      </w:r>
      <w:hyperlink r:id="rId14" w:history="1">
        <w:r>
          <w:rPr>
            <w:rFonts w:ascii="Arial" w:hAnsi="Arial" w:cs="Times New Roman"/>
            <w:color w:val="0563C1"/>
            <w:kern w:val="0"/>
            <w:sz w:val="20"/>
            <w:szCs w:val="20"/>
            <w:u w:val="single"/>
            <w:lang w:val="en-IN" w:eastAsia="en-IN"/>
          </w:rPr>
          <w:t>https://doi.org/10.1108/JFEP-11-2019-0227</w:t>
        </w:r>
      </w:hyperlink>
    </w:p>
    <w:p w14:paraId="7B51CBDA" w14:textId="77777777" w:rsidR="005A30D7" w:rsidRDefault="0081248F">
      <w:pPr>
        <w:pStyle w:val="Standard"/>
        <w:spacing w:before="280" w:after="280" w:line="240" w:lineRule="auto"/>
        <w:ind w:left="720" w:hanging="720"/>
        <w:jc w:val="both"/>
      </w:pPr>
      <w:proofErr w:type="spellStart"/>
      <w:r>
        <w:rPr>
          <w:rFonts w:ascii="Arial" w:eastAsia="Times New Roman" w:hAnsi="Arial" w:cs="Times New Roman"/>
          <w:kern w:val="0"/>
          <w:sz w:val="20"/>
          <w:szCs w:val="20"/>
          <w:lang w:val="en-IN" w:eastAsia="en-IN"/>
        </w:rPr>
        <w:t>Demirgüç-Kunt</w:t>
      </w:r>
      <w:proofErr w:type="spellEnd"/>
      <w:r>
        <w:rPr>
          <w:rFonts w:ascii="Arial" w:eastAsia="Times New Roman" w:hAnsi="Arial" w:cs="Times New Roman"/>
          <w:kern w:val="0"/>
          <w:sz w:val="20"/>
          <w:szCs w:val="20"/>
          <w:lang w:val="en-IN" w:eastAsia="en-IN"/>
        </w:rPr>
        <w:t xml:space="preserve">, A., &amp; Levine, R. (2008). Finance, financial sector policies, and long-run growth. </w:t>
      </w:r>
      <w:r>
        <w:rPr>
          <w:rFonts w:ascii="Arial" w:eastAsia="Times New Roman" w:hAnsi="Arial" w:cs="Times New Roman"/>
          <w:i/>
          <w:iCs/>
          <w:kern w:val="0"/>
          <w:sz w:val="20"/>
          <w:szCs w:val="20"/>
          <w:lang w:val="en-IN" w:eastAsia="en-IN"/>
        </w:rPr>
        <w:t>World Bank Policy Research Working Paper No. 4469</w:t>
      </w:r>
      <w:r>
        <w:rPr>
          <w:rFonts w:ascii="Arial" w:eastAsia="Times New Roman" w:hAnsi="Arial" w:cs="Times New Roman"/>
          <w:kern w:val="0"/>
          <w:sz w:val="20"/>
          <w:szCs w:val="20"/>
          <w:lang w:val="en-IN" w:eastAsia="en-IN"/>
        </w:rPr>
        <w:t xml:space="preserve">. </w:t>
      </w:r>
      <w:hyperlink r:id="rId15" w:history="1">
        <w:r>
          <w:rPr>
            <w:rFonts w:ascii="Arial" w:hAnsi="Arial" w:cs="Times New Roman"/>
            <w:color w:val="0563C1"/>
            <w:kern w:val="0"/>
            <w:sz w:val="20"/>
            <w:szCs w:val="20"/>
            <w:u w:val="single"/>
            <w:lang w:val="en-IN" w:eastAsia="en-IN"/>
          </w:rPr>
          <w:t>https://doi.org/10.1596/1813-9450-4469</w:t>
        </w:r>
      </w:hyperlink>
    </w:p>
    <w:p w14:paraId="0C066502" w14:textId="77777777" w:rsidR="005A30D7" w:rsidRDefault="0081248F">
      <w:pPr>
        <w:pStyle w:val="Standard"/>
        <w:spacing w:before="280" w:after="280" w:line="240" w:lineRule="auto"/>
        <w:ind w:left="720" w:hanging="720"/>
        <w:jc w:val="both"/>
      </w:pPr>
      <w:r>
        <w:rPr>
          <w:rFonts w:ascii="Arial" w:eastAsia="Times New Roman" w:hAnsi="Arial" w:cs="Times New Roman"/>
          <w:kern w:val="0"/>
          <w:sz w:val="20"/>
          <w:szCs w:val="20"/>
          <w:lang w:val="en-IN" w:eastAsia="en-IN"/>
        </w:rPr>
        <w:t xml:space="preserve">Feldstein, M., &amp; Horioka, C. (1980). Domestic saving and international capital flows. </w:t>
      </w:r>
      <w:r>
        <w:rPr>
          <w:rFonts w:ascii="Arial" w:eastAsia="Times New Roman" w:hAnsi="Arial" w:cs="Times New Roman"/>
          <w:i/>
          <w:iCs/>
          <w:kern w:val="0"/>
          <w:sz w:val="20"/>
          <w:szCs w:val="20"/>
          <w:lang w:val="en-IN" w:eastAsia="en-IN"/>
        </w:rPr>
        <w:t>The Economic Journal, 90</w:t>
      </w:r>
      <w:r>
        <w:rPr>
          <w:rFonts w:ascii="Arial" w:eastAsia="Times New Roman" w:hAnsi="Arial" w:cs="Times New Roman"/>
          <w:kern w:val="0"/>
          <w:sz w:val="20"/>
          <w:szCs w:val="20"/>
          <w:lang w:val="en-IN" w:eastAsia="en-IN"/>
        </w:rPr>
        <w:t xml:space="preserve">(358), 314–329. </w:t>
      </w:r>
      <w:hyperlink r:id="rId16" w:history="1">
        <w:r>
          <w:rPr>
            <w:rFonts w:ascii="Arial" w:hAnsi="Arial" w:cs="Times New Roman"/>
            <w:color w:val="0563C1"/>
            <w:kern w:val="0"/>
            <w:sz w:val="20"/>
            <w:szCs w:val="20"/>
            <w:u w:val="single"/>
            <w:lang w:val="en-IN" w:eastAsia="en-IN"/>
          </w:rPr>
          <w:t>https://doi.org/10.2307/2231790</w:t>
        </w:r>
      </w:hyperlink>
    </w:p>
    <w:p w14:paraId="6C5DA61C" w14:textId="77777777" w:rsidR="005A30D7" w:rsidRDefault="0081248F">
      <w:pPr>
        <w:pStyle w:val="Standard"/>
        <w:spacing w:before="280" w:after="280" w:line="240" w:lineRule="auto"/>
        <w:ind w:left="720" w:hanging="720"/>
      </w:pPr>
      <w:r>
        <w:rPr>
          <w:rFonts w:ascii="Arial" w:hAnsi="Arial" w:cs="Times New Roman"/>
          <w:color w:val="222222"/>
          <w:sz w:val="20"/>
          <w:szCs w:val="20"/>
          <w:shd w:val="clear" w:color="auto" w:fill="FFFFFF"/>
          <w:lang w:val="en-IN"/>
        </w:rPr>
        <w:t>Ghosh, S., &amp; Vinod, D. (2017). What constrains financial inclusion for women? Evidence from Indian micro data. </w:t>
      </w:r>
      <w:r>
        <w:rPr>
          <w:rFonts w:ascii="Arial" w:hAnsi="Arial" w:cs="Times New Roman"/>
          <w:i/>
          <w:iCs/>
          <w:color w:val="222222"/>
          <w:sz w:val="20"/>
          <w:szCs w:val="20"/>
          <w:shd w:val="clear" w:color="auto" w:fill="FFFFFF"/>
          <w:lang w:val="en-IN"/>
        </w:rPr>
        <w:t>World development</w:t>
      </w:r>
      <w:r>
        <w:rPr>
          <w:rFonts w:ascii="Arial" w:hAnsi="Arial" w:cs="Times New Roman"/>
          <w:color w:val="222222"/>
          <w:sz w:val="20"/>
          <w:szCs w:val="20"/>
          <w:shd w:val="clear" w:color="auto" w:fill="FFFFFF"/>
          <w:lang w:val="en-IN"/>
        </w:rPr>
        <w:t>, </w:t>
      </w:r>
      <w:r>
        <w:rPr>
          <w:rFonts w:ascii="Arial" w:hAnsi="Arial" w:cs="Times New Roman"/>
          <w:i/>
          <w:iCs/>
          <w:color w:val="222222"/>
          <w:sz w:val="20"/>
          <w:szCs w:val="20"/>
          <w:shd w:val="clear" w:color="auto" w:fill="FFFFFF"/>
          <w:lang w:val="en-IN"/>
        </w:rPr>
        <w:t>92</w:t>
      </w:r>
      <w:r>
        <w:rPr>
          <w:rFonts w:ascii="Arial" w:hAnsi="Arial" w:cs="Times New Roman"/>
          <w:color w:val="222222"/>
          <w:sz w:val="20"/>
          <w:szCs w:val="20"/>
          <w:shd w:val="clear" w:color="auto" w:fill="FFFFFF"/>
          <w:lang w:val="en-IN"/>
        </w:rPr>
        <w:t>, 60-81.</w:t>
      </w:r>
      <w:r>
        <w:rPr>
          <w:rFonts w:ascii="Arial" w:hAnsi="Arial" w:cs="Times New Roman"/>
          <w:sz w:val="20"/>
          <w:szCs w:val="20"/>
          <w:lang w:val="en-IN"/>
        </w:rPr>
        <w:t xml:space="preserve"> </w:t>
      </w:r>
      <w:hyperlink r:id="rId17" w:history="1">
        <w:r>
          <w:rPr>
            <w:rFonts w:ascii="Arial" w:hAnsi="Arial" w:cs="Arial"/>
            <w:color w:val="0563C1"/>
            <w:sz w:val="20"/>
            <w:szCs w:val="20"/>
            <w:u w:val="single"/>
            <w:lang w:val="en-IN"/>
          </w:rPr>
          <w:t>https://doi.org/10.1016/j.worlddev.2016.11.011</w:t>
        </w:r>
      </w:hyperlink>
    </w:p>
    <w:p w14:paraId="5FBA7CB3" w14:textId="77777777" w:rsidR="005A30D7" w:rsidRDefault="0081248F">
      <w:pPr>
        <w:pStyle w:val="Standard"/>
        <w:spacing w:before="280" w:after="280" w:line="240" w:lineRule="auto"/>
        <w:ind w:left="720" w:hanging="720"/>
        <w:jc w:val="both"/>
      </w:pPr>
      <w:r>
        <w:rPr>
          <w:rFonts w:ascii="Arial" w:eastAsia="Times New Roman" w:hAnsi="Arial" w:cs="Times New Roman"/>
          <w:kern w:val="0"/>
          <w:sz w:val="20"/>
          <w:szCs w:val="20"/>
          <w:lang w:val="en-IN" w:eastAsia="en-IN"/>
        </w:rPr>
        <w:t xml:space="preserve">Hartog, J., &amp; Oosterbeek, H. (1993). Public and private sector wage differentials in the Netherlands. </w:t>
      </w:r>
      <w:r>
        <w:rPr>
          <w:rFonts w:ascii="Arial" w:eastAsia="Times New Roman" w:hAnsi="Arial" w:cs="Times New Roman"/>
          <w:i/>
          <w:iCs/>
          <w:kern w:val="0"/>
          <w:sz w:val="20"/>
          <w:szCs w:val="20"/>
          <w:lang w:val="en-IN" w:eastAsia="en-IN"/>
        </w:rPr>
        <w:t>European Economic Review, 37</w:t>
      </w:r>
      <w:r>
        <w:rPr>
          <w:rFonts w:ascii="Arial" w:eastAsia="Times New Roman" w:hAnsi="Arial" w:cs="Times New Roman"/>
          <w:kern w:val="0"/>
          <w:sz w:val="20"/>
          <w:szCs w:val="20"/>
          <w:lang w:val="en-IN" w:eastAsia="en-IN"/>
        </w:rPr>
        <w:t xml:space="preserve">(1), 97–114. </w:t>
      </w:r>
      <w:hyperlink r:id="rId18" w:history="1">
        <w:r>
          <w:rPr>
            <w:rFonts w:ascii="Arial" w:hAnsi="Arial" w:cs="Times New Roman"/>
            <w:color w:val="0563C1"/>
            <w:kern w:val="0"/>
            <w:sz w:val="20"/>
            <w:szCs w:val="20"/>
            <w:u w:val="single"/>
            <w:lang w:val="en-IN" w:eastAsia="en-IN"/>
          </w:rPr>
          <w:t>https://doi.org/10.1016/0014-2921(93)90083-A</w:t>
        </w:r>
      </w:hyperlink>
    </w:p>
    <w:p w14:paraId="3C35B359" w14:textId="77777777" w:rsidR="005A30D7" w:rsidRDefault="0081248F">
      <w:pPr>
        <w:pStyle w:val="Standard"/>
        <w:spacing w:before="280" w:after="280" w:line="240" w:lineRule="auto"/>
        <w:ind w:left="720" w:hanging="720"/>
        <w:jc w:val="both"/>
        <w:rPr>
          <w:rFonts w:ascii="Arial" w:hAnsi="Arial"/>
          <w:sz w:val="20"/>
          <w:szCs w:val="20"/>
        </w:rPr>
      </w:pPr>
      <w:r>
        <w:rPr>
          <w:rFonts w:ascii="Arial" w:eastAsia="Times New Roman" w:hAnsi="Arial" w:cs="Times New Roman"/>
          <w:kern w:val="0"/>
          <w:sz w:val="20"/>
          <w:szCs w:val="20"/>
          <w:lang w:val="en-IN" w:eastAsia="en-IN"/>
        </w:rPr>
        <w:t xml:space="preserve">Jain, A., &amp; Bishnoi, C. R. (2024). Impact of financial inclusion on India’s regional economic growth: Evidence from Rajasthan. </w:t>
      </w:r>
      <w:r>
        <w:rPr>
          <w:rFonts w:ascii="Arial" w:eastAsia="Times New Roman" w:hAnsi="Arial" w:cs="Times New Roman"/>
          <w:i/>
          <w:iCs/>
          <w:kern w:val="0"/>
          <w:sz w:val="20"/>
          <w:szCs w:val="20"/>
          <w:lang w:val="en-IN" w:eastAsia="en-IN"/>
        </w:rPr>
        <w:t>Aarthika Charche, 9</w:t>
      </w:r>
      <w:r>
        <w:rPr>
          <w:rFonts w:ascii="Arial" w:eastAsia="Times New Roman" w:hAnsi="Arial" w:cs="Times New Roman"/>
          <w:kern w:val="0"/>
          <w:sz w:val="20"/>
          <w:szCs w:val="20"/>
          <w:lang w:val="en-IN" w:eastAsia="en-IN"/>
        </w:rPr>
        <w:t>(1), 45–57.</w:t>
      </w:r>
    </w:p>
    <w:p w14:paraId="732E3751" w14:textId="77777777" w:rsidR="005A30D7" w:rsidRDefault="0081248F">
      <w:pPr>
        <w:pStyle w:val="Standard"/>
        <w:spacing w:before="280" w:after="280" w:line="240" w:lineRule="auto"/>
        <w:ind w:left="720" w:hanging="720"/>
        <w:jc w:val="both"/>
      </w:pPr>
      <w:r>
        <w:rPr>
          <w:rFonts w:ascii="Arial" w:eastAsia="Times New Roman" w:hAnsi="Arial" w:cs="Times New Roman"/>
          <w:kern w:val="0"/>
          <w:sz w:val="20"/>
          <w:szCs w:val="20"/>
          <w:lang w:val="en-IN" w:eastAsia="en-IN"/>
        </w:rPr>
        <w:t xml:space="preserve">Kumar, N. (2013). Financial inclusion and its determinants: Evidence from India. </w:t>
      </w:r>
      <w:r>
        <w:rPr>
          <w:rFonts w:ascii="Arial" w:eastAsia="Times New Roman" w:hAnsi="Arial" w:cs="Times New Roman"/>
          <w:i/>
          <w:iCs/>
          <w:kern w:val="0"/>
          <w:sz w:val="20"/>
          <w:szCs w:val="20"/>
          <w:lang w:val="en-IN" w:eastAsia="en-IN"/>
        </w:rPr>
        <w:t>Journal of Financial Economic Policy, 5</w:t>
      </w:r>
      <w:r>
        <w:rPr>
          <w:rFonts w:ascii="Arial" w:eastAsia="Times New Roman" w:hAnsi="Arial" w:cs="Times New Roman"/>
          <w:kern w:val="0"/>
          <w:sz w:val="20"/>
          <w:szCs w:val="20"/>
          <w:lang w:val="en-IN" w:eastAsia="en-IN"/>
        </w:rPr>
        <w:t xml:space="preserve">(1), 4–19. </w:t>
      </w:r>
      <w:hyperlink r:id="rId19" w:history="1">
        <w:r>
          <w:rPr>
            <w:rFonts w:ascii="Arial" w:hAnsi="Arial" w:cs="Times New Roman"/>
            <w:color w:val="0563C1"/>
            <w:kern w:val="0"/>
            <w:sz w:val="20"/>
            <w:szCs w:val="20"/>
            <w:u w:val="single"/>
            <w:lang w:val="en-IN" w:eastAsia="en-IN"/>
          </w:rPr>
          <w:t>https://doi.org/10.1108/17576381311317754</w:t>
        </w:r>
      </w:hyperlink>
    </w:p>
    <w:p w14:paraId="4F0D2466" w14:textId="77777777" w:rsidR="005A30D7" w:rsidRDefault="0081248F">
      <w:pPr>
        <w:pStyle w:val="Standard"/>
        <w:spacing w:before="280" w:after="280" w:line="240" w:lineRule="auto"/>
        <w:ind w:left="720" w:hanging="720"/>
        <w:jc w:val="both"/>
      </w:pPr>
      <w:r>
        <w:rPr>
          <w:rFonts w:ascii="Arial" w:eastAsia="Times New Roman" w:hAnsi="Arial" w:cs="Times New Roman"/>
          <w:kern w:val="0"/>
          <w:sz w:val="20"/>
          <w:szCs w:val="20"/>
          <w:lang w:val="en-IN" w:eastAsia="en-IN"/>
        </w:rPr>
        <w:t xml:space="preserve">Lal, R. (2019). Measuring impact of financial inclusion on rural development through cooperatives. </w:t>
      </w:r>
      <w:r>
        <w:rPr>
          <w:rFonts w:ascii="Arial" w:eastAsia="Times New Roman" w:hAnsi="Arial" w:cs="Times New Roman"/>
          <w:i/>
          <w:iCs/>
          <w:kern w:val="0"/>
          <w:sz w:val="20"/>
          <w:szCs w:val="20"/>
          <w:lang w:val="en-IN" w:eastAsia="en-IN"/>
        </w:rPr>
        <w:t>International Journal of Social Economics, 46</w:t>
      </w:r>
      <w:r>
        <w:rPr>
          <w:rFonts w:ascii="Arial" w:eastAsia="Times New Roman" w:hAnsi="Arial" w:cs="Times New Roman"/>
          <w:kern w:val="0"/>
          <w:sz w:val="20"/>
          <w:szCs w:val="20"/>
          <w:lang w:val="en-IN" w:eastAsia="en-IN"/>
        </w:rPr>
        <w:t xml:space="preserve">(3), 352–376. </w:t>
      </w:r>
      <w:hyperlink r:id="rId20" w:history="1">
        <w:r>
          <w:rPr>
            <w:rFonts w:ascii="Arial" w:hAnsi="Arial" w:cs="Times New Roman"/>
            <w:color w:val="0563C1"/>
            <w:kern w:val="0"/>
            <w:sz w:val="20"/>
            <w:szCs w:val="20"/>
            <w:u w:val="single"/>
            <w:lang w:val="en-IN" w:eastAsia="en-IN"/>
          </w:rPr>
          <w:t>https://doi.org/10.1108/IJSE-02-2018-0057</w:t>
        </w:r>
      </w:hyperlink>
    </w:p>
    <w:p w14:paraId="463A2E34" w14:textId="77777777" w:rsidR="005A30D7" w:rsidRDefault="0081248F">
      <w:pPr>
        <w:pStyle w:val="Standard"/>
        <w:spacing w:before="280" w:after="280" w:line="240" w:lineRule="auto"/>
        <w:ind w:left="720" w:hanging="720"/>
        <w:jc w:val="both"/>
      </w:pPr>
      <w:r>
        <w:rPr>
          <w:rFonts w:ascii="Arial" w:eastAsia="Times New Roman" w:hAnsi="Arial" w:cs="Times New Roman"/>
          <w:kern w:val="0"/>
          <w:sz w:val="20"/>
          <w:szCs w:val="20"/>
          <w:lang w:val="en-IN" w:eastAsia="en-IN"/>
        </w:rPr>
        <w:t xml:space="preserve">Leeladhar, V. (2006, November 2). Taking banking services to the common man–Financial inclusion. </w:t>
      </w:r>
      <w:r>
        <w:rPr>
          <w:rFonts w:ascii="Arial" w:eastAsia="Times New Roman" w:hAnsi="Arial" w:cs="Times New Roman"/>
          <w:i/>
          <w:iCs/>
          <w:kern w:val="0"/>
          <w:sz w:val="20"/>
          <w:szCs w:val="20"/>
          <w:lang w:val="en-IN" w:eastAsia="en-IN"/>
        </w:rPr>
        <w:t>Speech at the FEDAI Annual Conference, RBI</w:t>
      </w:r>
      <w:r>
        <w:rPr>
          <w:rFonts w:ascii="Arial" w:eastAsia="Times New Roman" w:hAnsi="Arial" w:cs="Times New Roman"/>
          <w:kern w:val="0"/>
          <w:sz w:val="20"/>
          <w:szCs w:val="20"/>
          <w:lang w:val="en-IN" w:eastAsia="en-IN"/>
        </w:rPr>
        <w:t xml:space="preserve">. Retrieved from </w:t>
      </w:r>
      <w:hyperlink r:id="rId21" w:history="1">
        <w:r>
          <w:rPr>
            <w:rFonts w:ascii="Arial" w:hAnsi="Arial" w:cs="Times New Roman"/>
            <w:color w:val="0563C1"/>
            <w:kern w:val="0"/>
            <w:sz w:val="20"/>
            <w:szCs w:val="20"/>
            <w:u w:val="single"/>
            <w:lang w:val="en-IN" w:eastAsia="en-IN"/>
          </w:rPr>
          <w:t>https://rbi.org.in/scripts/BS_SpeechesView.aspx?Id=298</w:t>
        </w:r>
      </w:hyperlink>
    </w:p>
    <w:p w14:paraId="410B4FDE" w14:textId="77777777" w:rsidR="005A30D7" w:rsidRDefault="0081248F">
      <w:pPr>
        <w:pStyle w:val="Standard"/>
        <w:spacing w:before="280" w:after="280" w:line="240" w:lineRule="auto"/>
        <w:ind w:left="720" w:hanging="720"/>
        <w:jc w:val="both"/>
        <w:rPr>
          <w:rFonts w:ascii="Arial" w:hAnsi="Arial"/>
          <w:sz w:val="20"/>
          <w:szCs w:val="20"/>
        </w:rPr>
      </w:pPr>
      <w:r>
        <w:rPr>
          <w:rFonts w:ascii="Arial" w:eastAsia="Times New Roman" w:hAnsi="Arial" w:cs="Times New Roman"/>
          <w:kern w:val="0"/>
          <w:sz w:val="20"/>
          <w:szCs w:val="20"/>
          <w:lang w:val="en-IN" w:eastAsia="en-IN"/>
        </w:rPr>
        <w:t xml:space="preserve">National Statistical Office. (2021). </w:t>
      </w:r>
      <w:r>
        <w:rPr>
          <w:rFonts w:ascii="Arial" w:eastAsia="Times New Roman" w:hAnsi="Arial" w:cs="Times New Roman"/>
          <w:i/>
          <w:iCs/>
          <w:kern w:val="0"/>
          <w:sz w:val="20"/>
          <w:szCs w:val="20"/>
          <w:lang w:val="en-IN" w:eastAsia="en-IN"/>
        </w:rPr>
        <w:t>All India Debt &amp; Investment Survey—2019 (NSS Report No. 588, 77th Round)</w:t>
      </w:r>
      <w:r>
        <w:rPr>
          <w:rFonts w:ascii="Arial" w:eastAsia="Times New Roman" w:hAnsi="Arial" w:cs="Times New Roman"/>
          <w:kern w:val="0"/>
          <w:sz w:val="20"/>
          <w:szCs w:val="20"/>
          <w:lang w:val="en-IN" w:eastAsia="en-IN"/>
        </w:rPr>
        <w:t>. Ministry of Statistics and Programme Implementation, Government of India.</w:t>
      </w:r>
    </w:p>
    <w:p w14:paraId="6A03BC5B" w14:textId="77777777" w:rsidR="005A30D7" w:rsidRDefault="0081248F">
      <w:pPr>
        <w:pStyle w:val="Standard"/>
        <w:spacing w:before="280" w:after="280" w:line="240" w:lineRule="auto"/>
        <w:ind w:left="720" w:hanging="720"/>
        <w:jc w:val="both"/>
        <w:rPr>
          <w:rFonts w:ascii="Arial" w:hAnsi="Arial"/>
          <w:sz w:val="20"/>
          <w:szCs w:val="20"/>
        </w:rPr>
      </w:pPr>
      <w:r>
        <w:rPr>
          <w:rFonts w:ascii="Arial" w:eastAsia="Times New Roman" w:hAnsi="Arial" w:cs="Times New Roman"/>
          <w:kern w:val="0"/>
          <w:sz w:val="20"/>
          <w:szCs w:val="20"/>
          <w:lang w:val="en-IN" w:eastAsia="en-IN"/>
        </w:rPr>
        <w:t xml:space="preserve">NSSO. (2005). </w:t>
      </w:r>
      <w:r>
        <w:rPr>
          <w:rFonts w:ascii="Arial" w:eastAsia="Times New Roman" w:hAnsi="Arial" w:cs="Times New Roman"/>
          <w:i/>
          <w:iCs/>
          <w:kern w:val="0"/>
          <w:sz w:val="20"/>
          <w:szCs w:val="20"/>
          <w:lang w:val="en-IN" w:eastAsia="en-IN"/>
        </w:rPr>
        <w:t>Situation Assessment Survey of Farmers: Indebtedness of Farmer Households</w:t>
      </w:r>
      <w:r>
        <w:rPr>
          <w:rFonts w:ascii="Arial" w:eastAsia="Times New Roman" w:hAnsi="Arial" w:cs="Times New Roman"/>
          <w:kern w:val="0"/>
          <w:sz w:val="20"/>
          <w:szCs w:val="20"/>
          <w:lang w:val="en-IN" w:eastAsia="en-IN"/>
        </w:rPr>
        <w:t>. 59th Round, Ministry of Statistics and Programme Implementation, Government of India.</w:t>
      </w:r>
    </w:p>
    <w:p w14:paraId="2C5DDE8E" w14:textId="77777777" w:rsidR="005A30D7" w:rsidRDefault="0081248F">
      <w:pPr>
        <w:pStyle w:val="Standard"/>
        <w:spacing w:before="280" w:after="280" w:line="240" w:lineRule="auto"/>
        <w:ind w:left="720" w:hanging="720"/>
        <w:jc w:val="both"/>
        <w:rPr>
          <w:rFonts w:ascii="Arial" w:hAnsi="Arial"/>
          <w:sz w:val="20"/>
          <w:szCs w:val="20"/>
        </w:rPr>
      </w:pPr>
      <w:r>
        <w:rPr>
          <w:rFonts w:ascii="Arial" w:eastAsia="Times New Roman" w:hAnsi="Arial" w:cs="Times New Roman"/>
          <w:kern w:val="0"/>
          <w:sz w:val="20"/>
          <w:szCs w:val="20"/>
          <w:lang w:val="en-IN" w:eastAsia="en-IN"/>
        </w:rPr>
        <w:t xml:space="preserve">NSSO. (2013). </w:t>
      </w:r>
      <w:r>
        <w:rPr>
          <w:rFonts w:ascii="Arial" w:eastAsia="Times New Roman" w:hAnsi="Arial" w:cs="Times New Roman"/>
          <w:i/>
          <w:iCs/>
          <w:kern w:val="0"/>
          <w:sz w:val="20"/>
          <w:szCs w:val="20"/>
          <w:lang w:val="en-IN" w:eastAsia="en-IN"/>
        </w:rPr>
        <w:t>Key Indicators of Debt and Investment in India</w:t>
      </w:r>
      <w:r>
        <w:rPr>
          <w:rFonts w:ascii="Arial" w:eastAsia="Times New Roman" w:hAnsi="Arial" w:cs="Times New Roman"/>
          <w:kern w:val="0"/>
          <w:sz w:val="20"/>
          <w:szCs w:val="20"/>
          <w:lang w:val="en-IN" w:eastAsia="en-IN"/>
        </w:rPr>
        <w:t>. 70th Round, Ministry of Statistics and Programme Implementation, Government of India.</w:t>
      </w:r>
    </w:p>
    <w:p w14:paraId="282FABDA" w14:textId="77777777" w:rsidR="005A30D7" w:rsidRDefault="0081248F">
      <w:pPr>
        <w:pStyle w:val="Standard"/>
        <w:spacing w:before="280" w:after="280" w:line="240" w:lineRule="auto"/>
        <w:ind w:left="720" w:hanging="720"/>
        <w:jc w:val="both"/>
        <w:rPr>
          <w:rFonts w:ascii="Arial" w:hAnsi="Arial"/>
          <w:sz w:val="20"/>
          <w:szCs w:val="20"/>
        </w:rPr>
      </w:pPr>
      <w:r>
        <w:rPr>
          <w:rFonts w:ascii="Arial" w:eastAsia="Times New Roman" w:hAnsi="Arial" w:cs="Times New Roman"/>
          <w:kern w:val="0"/>
          <w:sz w:val="20"/>
          <w:szCs w:val="20"/>
          <w:lang w:val="en-IN" w:eastAsia="en-IN"/>
        </w:rPr>
        <w:t xml:space="preserve">Rangarajan Committee. (2008). </w:t>
      </w:r>
      <w:r>
        <w:rPr>
          <w:rFonts w:ascii="Arial" w:eastAsia="Times New Roman" w:hAnsi="Arial" w:cs="Times New Roman"/>
          <w:i/>
          <w:iCs/>
          <w:kern w:val="0"/>
          <w:sz w:val="20"/>
          <w:szCs w:val="20"/>
          <w:lang w:val="en-IN" w:eastAsia="en-IN"/>
        </w:rPr>
        <w:t>Report of the Committee on Financial Inclusion</w:t>
      </w:r>
      <w:r>
        <w:rPr>
          <w:rFonts w:ascii="Arial" w:eastAsia="Times New Roman" w:hAnsi="Arial" w:cs="Times New Roman"/>
          <w:kern w:val="0"/>
          <w:sz w:val="20"/>
          <w:szCs w:val="20"/>
          <w:lang w:val="en-IN" w:eastAsia="en-IN"/>
        </w:rPr>
        <w:t>. Government of India.</w:t>
      </w:r>
    </w:p>
    <w:p w14:paraId="0FAE62B2" w14:textId="3EFB9BF8" w:rsidR="005A30D7" w:rsidRDefault="0081248F" w:rsidP="009E5087">
      <w:pPr>
        <w:pStyle w:val="Standard"/>
        <w:spacing w:after="0" w:line="240" w:lineRule="auto"/>
        <w:ind w:left="720" w:hanging="720"/>
        <w:jc w:val="both"/>
        <w:rPr>
          <w:rFonts w:ascii="Arial" w:hAnsi="Arial"/>
          <w:sz w:val="20"/>
          <w:szCs w:val="20"/>
        </w:rPr>
      </w:pPr>
      <w:r>
        <w:rPr>
          <w:rFonts w:ascii="Arial" w:hAnsi="Arial" w:cs="Times New Roman"/>
          <w:color w:val="000000"/>
          <w:sz w:val="20"/>
          <w:szCs w:val="20"/>
          <w:shd w:val="clear" w:color="auto" w:fill="FFFFFF"/>
          <w:lang w:val="en-IN"/>
        </w:rPr>
        <w:t>Sarma, M. (2008). Index of Financial inclusion</w:t>
      </w:r>
      <w:r>
        <w:rPr>
          <w:rFonts w:ascii="Arial" w:hAnsi="Arial" w:cs="Times New Roman"/>
          <w:i/>
          <w:iCs/>
          <w:color w:val="000000"/>
          <w:sz w:val="20"/>
          <w:szCs w:val="20"/>
          <w:lang w:val="en-IN"/>
        </w:rPr>
        <w:t xml:space="preserve">, Indian Council for Research on </w:t>
      </w:r>
      <w:proofErr w:type="gramStart"/>
      <w:r>
        <w:rPr>
          <w:rFonts w:ascii="Arial" w:hAnsi="Arial" w:cs="Times New Roman"/>
          <w:i/>
          <w:iCs/>
          <w:color w:val="000000"/>
          <w:sz w:val="20"/>
          <w:szCs w:val="20"/>
          <w:lang w:val="en-IN"/>
        </w:rPr>
        <w:t>International  Economic</w:t>
      </w:r>
      <w:proofErr w:type="gramEnd"/>
      <w:r>
        <w:rPr>
          <w:rFonts w:ascii="Arial" w:hAnsi="Arial" w:cs="Times New Roman"/>
          <w:i/>
          <w:iCs/>
          <w:color w:val="000000"/>
          <w:sz w:val="20"/>
          <w:szCs w:val="20"/>
          <w:lang w:val="en-IN"/>
        </w:rPr>
        <w:t xml:space="preserve"> Relations</w:t>
      </w:r>
      <w:r>
        <w:rPr>
          <w:rFonts w:ascii="Arial" w:hAnsi="Arial" w:cs="Times New Roman"/>
          <w:color w:val="000000"/>
          <w:sz w:val="20"/>
          <w:szCs w:val="20"/>
          <w:shd w:val="clear" w:color="auto" w:fill="FFFFFF"/>
          <w:lang w:val="en-IN"/>
        </w:rPr>
        <w:t>, 215</w:t>
      </w:r>
      <w:r>
        <w:rPr>
          <w:rFonts w:ascii="Arial" w:eastAsia="Times New Roman" w:hAnsi="Arial" w:cs="Times New Roman"/>
          <w:color w:val="000000"/>
          <w:sz w:val="20"/>
          <w:szCs w:val="20"/>
          <w:lang w:val="en-IN"/>
        </w:rPr>
        <w:t>.</w:t>
      </w:r>
    </w:p>
    <w:p w14:paraId="2AA97597" w14:textId="3B85F8B2" w:rsidR="00860738" w:rsidRDefault="00860738">
      <w:pPr>
        <w:pStyle w:val="Standard"/>
        <w:spacing w:before="280" w:after="280" w:line="240" w:lineRule="auto"/>
        <w:ind w:left="720" w:hanging="720"/>
        <w:jc w:val="both"/>
        <w:rPr>
          <w:rFonts w:ascii="Arial" w:hAnsi="Arial"/>
          <w:sz w:val="20"/>
          <w:szCs w:val="20"/>
        </w:rPr>
      </w:pPr>
      <w:r w:rsidRPr="00860738">
        <w:rPr>
          <w:rFonts w:ascii="Arial" w:hAnsi="Arial"/>
          <w:sz w:val="20"/>
          <w:szCs w:val="20"/>
        </w:rPr>
        <w:lastRenderedPageBreak/>
        <w:t>Sharma, D., Bhattacharya, S., &amp; Thukral, S. (2018). Assessment of financial inclusive policy in Indian economy. </w:t>
      </w:r>
      <w:r w:rsidRPr="00860738">
        <w:rPr>
          <w:rFonts w:ascii="Arial" w:hAnsi="Arial"/>
          <w:i/>
          <w:iCs/>
          <w:sz w:val="20"/>
          <w:szCs w:val="20"/>
        </w:rPr>
        <w:t>International Journal of Ethics and systems</w:t>
      </w:r>
      <w:r w:rsidRPr="00860738">
        <w:rPr>
          <w:rFonts w:ascii="Arial" w:hAnsi="Arial"/>
          <w:sz w:val="20"/>
          <w:szCs w:val="20"/>
        </w:rPr>
        <w:t>, </w:t>
      </w:r>
      <w:r w:rsidRPr="00860738">
        <w:rPr>
          <w:rFonts w:ascii="Arial" w:hAnsi="Arial"/>
          <w:i/>
          <w:iCs/>
          <w:sz w:val="20"/>
          <w:szCs w:val="20"/>
        </w:rPr>
        <w:t>34</w:t>
      </w:r>
      <w:r w:rsidRPr="00860738">
        <w:rPr>
          <w:rFonts w:ascii="Arial" w:hAnsi="Arial"/>
          <w:sz w:val="20"/>
          <w:szCs w:val="20"/>
        </w:rPr>
        <w:t>(3), 304-320.</w:t>
      </w:r>
      <w:r>
        <w:rPr>
          <w:rFonts w:ascii="Arial" w:hAnsi="Arial"/>
          <w:sz w:val="20"/>
          <w:szCs w:val="20"/>
        </w:rPr>
        <w:t xml:space="preserve"> </w:t>
      </w:r>
      <w:hyperlink r:id="rId22" w:tgtFrame="_blank" w:history="1">
        <w:r w:rsidRPr="00860738">
          <w:rPr>
            <w:rStyle w:val="Hyperlink"/>
            <w:rFonts w:ascii="Arial" w:hAnsi="Arial"/>
            <w:sz w:val="20"/>
            <w:szCs w:val="20"/>
          </w:rPr>
          <w:t>https://doi.org/10.1108/IJOES-11-2017-0211</w:t>
        </w:r>
      </w:hyperlink>
    </w:p>
    <w:p w14:paraId="50331127" w14:textId="77777777" w:rsidR="00860738" w:rsidRDefault="00860738">
      <w:pPr>
        <w:pStyle w:val="Standard"/>
        <w:spacing w:before="280" w:after="280" w:line="240" w:lineRule="auto"/>
        <w:ind w:left="720" w:hanging="720"/>
        <w:jc w:val="both"/>
        <w:rPr>
          <w:rFonts w:ascii="Arial" w:eastAsia="Times New Roman" w:hAnsi="Arial" w:cs="Times New Roman"/>
          <w:kern w:val="0"/>
          <w:sz w:val="20"/>
          <w:szCs w:val="20"/>
          <w:lang w:eastAsia="en-IN"/>
        </w:rPr>
      </w:pPr>
      <w:r w:rsidRPr="00860738">
        <w:rPr>
          <w:rFonts w:ascii="Arial" w:eastAsia="Times New Roman" w:hAnsi="Arial" w:cs="Times New Roman"/>
          <w:kern w:val="0"/>
          <w:sz w:val="20"/>
          <w:szCs w:val="20"/>
          <w:lang w:eastAsia="en-IN"/>
        </w:rPr>
        <w:t>Singh, A. B., &amp; Tandon, P. (2012). Financial inclusion in India: an analysis. </w:t>
      </w:r>
      <w:r w:rsidRPr="00860738">
        <w:rPr>
          <w:rFonts w:ascii="Arial" w:eastAsia="Times New Roman" w:hAnsi="Arial" w:cs="Times New Roman"/>
          <w:i/>
          <w:iCs/>
          <w:kern w:val="0"/>
          <w:sz w:val="20"/>
          <w:szCs w:val="20"/>
          <w:lang w:eastAsia="en-IN"/>
        </w:rPr>
        <w:t>International Journal of Marketing, Financial Services and Management Research</w:t>
      </w:r>
      <w:r w:rsidRPr="00860738">
        <w:rPr>
          <w:rFonts w:ascii="Arial" w:eastAsia="Times New Roman" w:hAnsi="Arial" w:cs="Times New Roman"/>
          <w:kern w:val="0"/>
          <w:sz w:val="20"/>
          <w:szCs w:val="20"/>
          <w:lang w:eastAsia="en-IN"/>
        </w:rPr>
        <w:t>, </w:t>
      </w:r>
      <w:r w:rsidRPr="00860738">
        <w:rPr>
          <w:rFonts w:ascii="Arial" w:eastAsia="Times New Roman" w:hAnsi="Arial" w:cs="Times New Roman"/>
          <w:i/>
          <w:iCs/>
          <w:kern w:val="0"/>
          <w:sz w:val="20"/>
          <w:szCs w:val="20"/>
          <w:lang w:eastAsia="en-IN"/>
        </w:rPr>
        <w:t>1</w:t>
      </w:r>
      <w:r w:rsidRPr="00860738">
        <w:rPr>
          <w:rFonts w:ascii="Arial" w:eastAsia="Times New Roman" w:hAnsi="Arial" w:cs="Times New Roman"/>
          <w:kern w:val="0"/>
          <w:sz w:val="20"/>
          <w:szCs w:val="20"/>
          <w:lang w:eastAsia="en-IN"/>
        </w:rPr>
        <w:t>(6), 41-54.</w:t>
      </w:r>
    </w:p>
    <w:p w14:paraId="080580FA" w14:textId="77777777" w:rsidR="00545459" w:rsidRDefault="00545459">
      <w:pPr>
        <w:pStyle w:val="Standard"/>
        <w:spacing w:before="280" w:after="280" w:line="240" w:lineRule="auto"/>
        <w:ind w:left="720" w:hanging="720"/>
        <w:jc w:val="both"/>
        <w:rPr>
          <w:rFonts w:ascii="Arial" w:eastAsia="Times New Roman" w:hAnsi="Arial" w:cs="Times New Roman"/>
          <w:kern w:val="0"/>
          <w:sz w:val="20"/>
          <w:szCs w:val="20"/>
          <w:lang w:eastAsia="en-IN"/>
        </w:rPr>
      </w:pPr>
      <w:r w:rsidRPr="00545459">
        <w:rPr>
          <w:rFonts w:ascii="Arial" w:eastAsia="Times New Roman" w:hAnsi="Arial" w:cs="Times New Roman"/>
          <w:kern w:val="0"/>
          <w:sz w:val="20"/>
          <w:szCs w:val="20"/>
          <w:lang w:eastAsia="en-IN"/>
        </w:rPr>
        <w:t>Subbarao, D. (2009). Financial inclusion: Challenges and opportunities. </w:t>
      </w:r>
      <w:r w:rsidRPr="00545459">
        <w:rPr>
          <w:rFonts w:ascii="Arial" w:eastAsia="Times New Roman" w:hAnsi="Arial" w:cs="Times New Roman"/>
          <w:i/>
          <w:iCs/>
          <w:kern w:val="0"/>
          <w:sz w:val="20"/>
          <w:szCs w:val="20"/>
          <w:lang w:eastAsia="en-IN"/>
        </w:rPr>
        <w:t>Reserve Bank of India’s Bankers Club, Kolkata, December</w:t>
      </w:r>
      <w:r w:rsidRPr="00545459">
        <w:rPr>
          <w:rFonts w:ascii="Arial" w:eastAsia="Times New Roman" w:hAnsi="Arial" w:cs="Times New Roman"/>
          <w:kern w:val="0"/>
          <w:sz w:val="20"/>
          <w:szCs w:val="20"/>
          <w:lang w:eastAsia="en-IN"/>
        </w:rPr>
        <w:t>, </w:t>
      </w:r>
      <w:r w:rsidRPr="00545459">
        <w:rPr>
          <w:rFonts w:ascii="Arial" w:eastAsia="Times New Roman" w:hAnsi="Arial" w:cs="Times New Roman"/>
          <w:i/>
          <w:iCs/>
          <w:kern w:val="0"/>
          <w:sz w:val="20"/>
          <w:szCs w:val="20"/>
          <w:lang w:eastAsia="en-IN"/>
        </w:rPr>
        <w:t>9</w:t>
      </w:r>
      <w:r w:rsidRPr="00545459">
        <w:rPr>
          <w:rFonts w:ascii="Arial" w:eastAsia="Times New Roman" w:hAnsi="Arial" w:cs="Times New Roman"/>
          <w:kern w:val="0"/>
          <w:sz w:val="20"/>
          <w:szCs w:val="20"/>
          <w:lang w:eastAsia="en-IN"/>
        </w:rPr>
        <w:t>.</w:t>
      </w:r>
    </w:p>
    <w:p w14:paraId="7452D932" w14:textId="30B43268" w:rsidR="005A30D7" w:rsidRPr="00545459" w:rsidRDefault="0081248F">
      <w:pPr>
        <w:pStyle w:val="Standard"/>
        <w:spacing w:before="280" w:after="280" w:line="240" w:lineRule="auto"/>
        <w:ind w:left="720" w:hanging="720"/>
        <w:jc w:val="both"/>
        <w:rPr>
          <w:rFonts w:ascii="Arial" w:hAnsi="Arial" w:cs="Arial"/>
          <w:sz w:val="20"/>
          <w:szCs w:val="20"/>
        </w:rPr>
      </w:pPr>
      <w:r w:rsidRPr="00545459">
        <w:rPr>
          <w:rFonts w:ascii="Arial" w:eastAsia="Times New Roman" w:hAnsi="Arial" w:cs="Arial"/>
          <w:color w:val="222222"/>
          <w:kern w:val="0"/>
          <w:sz w:val="20"/>
          <w:szCs w:val="20"/>
          <w:lang w:val="en-IN" w:eastAsia="en-IN"/>
        </w:rPr>
        <w:t>Swamy, P. A. (1970). Efficient inference in a random coefficient regression model. </w:t>
      </w:r>
      <w:r w:rsidRPr="00545459">
        <w:rPr>
          <w:rFonts w:ascii="Arial" w:eastAsia="Times New Roman" w:hAnsi="Arial" w:cs="Arial"/>
          <w:i/>
          <w:color w:val="222222"/>
          <w:kern w:val="0"/>
          <w:sz w:val="20"/>
          <w:szCs w:val="20"/>
          <w:lang w:val="en-IN" w:eastAsia="en-IN"/>
        </w:rPr>
        <w:t>Econometrica: Journal of the Econometric Society</w:t>
      </w:r>
      <w:r w:rsidRPr="00545459">
        <w:rPr>
          <w:rFonts w:ascii="Arial" w:eastAsia="Times New Roman" w:hAnsi="Arial" w:cs="Arial"/>
          <w:color w:val="222222"/>
          <w:kern w:val="0"/>
          <w:sz w:val="20"/>
          <w:szCs w:val="20"/>
          <w:lang w:val="en-IN" w:eastAsia="en-IN"/>
        </w:rPr>
        <w:t>, 311-323.</w:t>
      </w:r>
      <w:r w:rsidR="00545459">
        <w:rPr>
          <w:rFonts w:ascii="Arial" w:eastAsia="Times New Roman" w:hAnsi="Arial" w:cs="Arial"/>
          <w:color w:val="222222"/>
          <w:kern w:val="0"/>
          <w:sz w:val="20"/>
          <w:szCs w:val="20"/>
          <w:lang w:val="en-IN" w:eastAsia="en-IN"/>
        </w:rPr>
        <w:t xml:space="preserve"> </w:t>
      </w:r>
      <w:r w:rsidRPr="00545459">
        <w:rPr>
          <w:rFonts w:ascii="Arial" w:hAnsi="Arial" w:cs="Arial"/>
          <w:sz w:val="20"/>
          <w:szCs w:val="20"/>
        </w:rPr>
        <w:t xml:space="preserve">https://www.jstor.org/stable/1913012 </w:t>
      </w:r>
      <w:r w:rsidRPr="00545459">
        <w:rPr>
          <w:rFonts w:ascii="Arial" w:eastAsia="Times New Roman" w:hAnsi="Arial" w:cs="Arial"/>
          <w:kern w:val="0"/>
          <w:sz w:val="20"/>
          <w:szCs w:val="20"/>
          <w:lang w:val="en-IN" w:eastAsia="en-IN"/>
        </w:rPr>
        <w:t xml:space="preserve"> </w:t>
      </w:r>
    </w:p>
    <w:p w14:paraId="78D54BF1" w14:textId="77777777" w:rsidR="00545459" w:rsidRDefault="00545459">
      <w:pPr>
        <w:pStyle w:val="Standard"/>
        <w:spacing w:before="280" w:after="280" w:line="240" w:lineRule="auto"/>
        <w:ind w:left="720" w:hanging="720"/>
        <w:jc w:val="both"/>
        <w:rPr>
          <w:rFonts w:ascii="Arial" w:eastAsia="Times New Roman" w:hAnsi="Arial" w:cs="Times New Roman"/>
          <w:kern w:val="0"/>
          <w:sz w:val="20"/>
          <w:szCs w:val="20"/>
          <w:lang w:eastAsia="en-IN"/>
        </w:rPr>
      </w:pPr>
      <w:r w:rsidRPr="00545459">
        <w:rPr>
          <w:rFonts w:ascii="Arial" w:eastAsia="Times New Roman" w:hAnsi="Arial" w:cs="Times New Roman"/>
          <w:kern w:val="0"/>
          <w:sz w:val="20"/>
          <w:szCs w:val="20"/>
          <w:lang w:eastAsia="en-IN"/>
        </w:rPr>
        <w:t>Thorat, S. (2008). Social exclusion in the Indian context: Theoretical basis of inclusive policies. </w:t>
      </w:r>
      <w:r w:rsidRPr="00545459">
        <w:rPr>
          <w:rFonts w:ascii="Arial" w:eastAsia="Times New Roman" w:hAnsi="Arial" w:cs="Times New Roman"/>
          <w:i/>
          <w:iCs/>
          <w:kern w:val="0"/>
          <w:sz w:val="20"/>
          <w:szCs w:val="20"/>
          <w:lang w:eastAsia="en-IN"/>
        </w:rPr>
        <w:t>Indian Journal of Human Development</w:t>
      </w:r>
      <w:r w:rsidRPr="00545459">
        <w:rPr>
          <w:rFonts w:ascii="Arial" w:eastAsia="Times New Roman" w:hAnsi="Arial" w:cs="Times New Roman"/>
          <w:kern w:val="0"/>
          <w:sz w:val="20"/>
          <w:szCs w:val="20"/>
          <w:lang w:eastAsia="en-IN"/>
        </w:rPr>
        <w:t>, </w:t>
      </w:r>
      <w:r w:rsidRPr="00545459">
        <w:rPr>
          <w:rFonts w:ascii="Arial" w:eastAsia="Times New Roman" w:hAnsi="Arial" w:cs="Times New Roman"/>
          <w:i/>
          <w:iCs/>
          <w:kern w:val="0"/>
          <w:sz w:val="20"/>
          <w:szCs w:val="20"/>
          <w:lang w:eastAsia="en-IN"/>
        </w:rPr>
        <w:t>2</w:t>
      </w:r>
      <w:r w:rsidRPr="00545459">
        <w:rPr>
          <w:rFonts w:ascii="Arial" w:eastAsia="Times New Roman" w:hAnsi="Arial" w:cs="Times New Roman"/>
          <w:kern w:val="0"/>
          <w:sz w:val="20"/>
          <w:szCs w:val="20"/>
          <w:lang w:eastAsia="en-IN"/>
        </w:rPr>
        <w:t>(1), 165-181.</w:t>
      </w:r>
    </w:p>
    <w:p w14:paraId="0EF2DE19" w14:textId="2D077E02" w:rsidR="005A30D7" w:rsidRDefault="00545459">
      <w:pPr>
        <w:pStyle w:val="Standard"/>
        <w:spacing w:before="280" w:after="280" w:line="240" w:lineRule="auto"/>
        <w:jc w:val="both"/>
        <w:rPr>
          <w:rFonts w:ascii="Arial" w:eastAsia="Times New Roman" w:hAnsi="Arial" w:cs="Times New Roman"/>
          <w:kern w:val="0"/>
          <w:sz w:val="20"/>
          <w:szCs w:val="20"/>
          <w:lang w:val="en-IN" w:eastAsia="en-IN"/>
        </w:rPr>
      </w:pPr>
      <w:r w:rsidRPr="00545459">
        <w:rPr>
          <w:rFonts w:ascii="Arial" w:eastAsia="Times New Roman" w:hAnsi="Arial" w:cs="Times New Roman"/>
          <w:kern w:val="0"/>
          <w:sz w:val="20"/>
          <w:szCs w:val="20"/>
          <w:lang w:eastAsia="en-IN"/>
        </w:rPr>
        <w:t>Yadav, P., &amp; Sharma, A. K. (2016). Financial inclusion in India: an application of TOPSIS. </w:t>
      </w:r>
      <w:proofErr w:type="spellStart"/>
      <w:r w:rsidRPr="00545459">
        <w:rPr>
          <w:rFonts w:ascii="Arial" w:eastAsia="Times New Roman" w:hAnsi="Arial" w:cs="Times New Roman"/>
          <w:i/>
          <w:iCs/>
          <w:kern w:val="0"/>
          <w:sz w:val="20"/>
          <w:szCs w:val="20"/>
          <w:lang w:eastAsia="en-IN"/>
        </w:rPr>
        <w:t>Humanomics</w:t>
      </w:r>
      <w:proofErr w:type="spellEnd"/>
      <w:r w:rsidRPr="00545459">
        <w:rPr>
          <w:rFonts w:ascii="Arial" w:eastAsia="Times New Roman" w:hAnsi="Arial" w:cs="Times New Roman"/>
          <w:kern w:val="0"/>
          <w:sz w:val="20"/>
          <w:szCs w:val="20"/>
          <w:lang w:eastAsia="en-IN"/>
        </w:rPr>
        <w:t>, </w:t>
      </w:r>
      <w:r w:rsidRPr="00545459">
        <w:rPr>
          <w:rFonts w:ascii="Arial" w:eastAsia="Times New Roman" w:hAnsi="Arial" w:cs="Times New Roman"/>
          <w:i/>
          <w:iCs/>
          <w:kern w:val="0"/>
          <w:sz w:val="20"/>
          <w:szCs w:val="20"/>
          <w:lang w:eastAsia="en-IN"/>
        </w:rPr>
        <w:t>32</w:t>
      </w:r>
      <w:r w:rsidRPr="00545459">
        <w:rPr>
          <w:rFonts w:ascii="Arial" w:eastAsia="Times New Roman" w:hAnsi="Arial" w:cs="Times New Roman"/>
          <w:kern w:val="0"/>
          <w:sz w:val="20"/>
          <w:szCs w:val="20"/>
          <w:lang w:eastAsia="en-IN"/>
        </w:rPr>
        <w:t>(3), 328-351.</w:t>
      </w:r>
      <w:r>
        <w:rPr>
          <w:rFonts w:ascii="Arial" w:eastAsia="Times New Roman" w:hAnsi="Arial" w:cs="Times New Roman"/>
          <w:kern w:val="0"/>
          <w:sz w:val="20"/>
          <w:szCs w:val="20"/>
          <w:lang w:eastAsia="en-IN"/>
        </w:rPr>
        <w:t xml:space="preserve"> </w:t>
      </w:r>
      <w:hyperlink r:id="rId23" w:tgtFrame="_blank" w:history="1">
        <w:r w:rsidRPr="00545459">
          <w:rPr>
            <w:rStyle w:val="Hyperlink"/>
            <w:rFonts w:ascii="Arial" w:eastAsia="Times New Roman" w:hAnsi="Arial" w:cs="Times New Roman"/>
            <w:kern w:val="0"/>
            <w:sz w:val="20"/>
            <w:szCs w:val="20"/>
            <w:lang w:eastAsia="en-IN"/>
          </w:rPr>
          <w:t>https://doi.org/10.1108/H-09-2015-0061</w:t>
        </w:r>
      </w:hyperlink>
    </w:p>
    <w:p w14:paraId="163F1DCE" w14:textId="77777777" w:rsidR="005A30D7" w:rsidRDefault="005A30D7">
      <w:pPr>
        <w:pStyle w:val="Standard"/>
        <w:spacing w:line="256" w:lineRule="auto"/>
        <w:jc w:val="both"/>
        <w:rPr>
          <w:rFonts w:ascii="Times New Roman" w:hAnsi="Times New Roman" w:cs="Times New Roman"/>
          <w:lang w:val="en-IN"/>
        </w:rPr>
      </w:pPr>
    </w:p>
    <w:p w14:paraId="0E672E92" w14:textId="77777777" w:rsidR="005A30D7" w:rsidRDefault="005A30D7">
      <w:pPr>
        <w:pStyle w:val="Standard"/>
      </w:pPr>
    </w:p>
    <w:sectPr w:rsidR="005A30D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75AFB" w14:textId="77777777" w:rsidR="00F512BD" w:rsidRDefault="00F512BD">
      <w:r>
        <w:separator/>
      </w:r>
    </w:p>
  </w:endnote>
  <w:endnote w:type="continuationSeparator" w:id="0">
    <w:p w14:paraId="4E84733E" w14:textId="77777777" w:rsidR="00F512BD" w:rsidRDefault="00F5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24F5" w14:textId="77777777" w:rsidR="00D1440B" w:rsidRDefault="00D14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0973" w14:textId="24589EA6" w:rsidR="00EA0C21" w:rsidRDefault="00EA0C21">
    <w:pPr>
      <w:pStyle w:val="Footer"/>
      <w:jc w:val="right"/>
    </w:pPr>
    <w:r>
      <w:fldChar w:fldCharType="begin"/>
    </w:r>
    <w:r>
      <w:instrText xml:space="preserve"> PAGE </w:instrText>
    </w:r>
    <w:r>
      <w:fldChar w:fldCharType="separate"/>
    </w:r>
    <w:r w:rsidR="00DA60AB">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EE79D" w14:textId="77777777" w:rsidR="00D1440B" w:rsidRDefault="00D14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A7D60" w14:textId="77777777" w:rsidR="00F512BD" w:rsidRDefault="00F512BD">
      <w:r>
        <w:rPr>
          <w:color w:val="000000"/>
        </w:rPr>
        <w:separator/>
      </w:r>
    </w:p>
  </w:footnote>
  <w:footnote w:type="continuationSeparator" w:id="0">
    <w:p w14:paraId="2A3CB9E8" w14:textId="77777777" w:rsidR="00F512BD" w:rsidRDefault="00F5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2DE7" w14:textId="39CAF76C" w:rsidR="00D1440B" w:rsidRDefault="00D1440B">
    <w:pPr>
      <w:pStyle w:val="Header"/>
    </w:pPr>
    <w:r>
      <w:rPr>
        <w:noProof/>
      </w:rPr>
      <w:pict w14:anchorId="4549C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C6DD4" w14:textId="754DF931" w:rsidR="00D1440B" w:rsidRDefault="00D1440B">
    <w:pPr>
      <w:pStyle w:val="Header"/>
    </w:pPr>
    <w:r>
      <w:rPr>
        <w:noProof/>
      </w:rPr>
      <w:pict w14:anchorId="32515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2056" w14:textId="6BD22F8F" w:rsidR="00D1440B" w:rsidRDefault="00D1440B">
    <w:pPr>
      <w:pStyle w:val="Header"/>
    </w:pPr>
    <w:r>
      <w:rPr>
        <w:noProof/>
      </w:rPr>
      <w:pict w14:anchorId="454E6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7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77E"/>
    <w:multiLevelType w:val="multilevel"/>
    <w:tmpl w:val="53A4129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77404D6"/>
    <w:multiLevelType w:val="multilevel"/>
    <w:tmpl w:val="7E38AB1E"/>
    <w:styleLink w:val="NoList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D7"/>
    <w:rsid w:val="00010977"/>
    <w:rsid w:val="000171AC"/>
    <w:rsid w:val="00032817"/>
    <w:rsid w:val="00044516"/>
    <w:rsid w:val="00045A24"/>
    <w:rsid w:val="00062023"/>
    <w:rsid w:val="00066AED"/>
    <w:rsid w:val="00067949"/>
    <w:rsid w:val="00086741"/>
    <w:rsid w:val="000C75B4"/>
    <w:rsid w:val="000D0607"/>
    <w:rsid w:val="000D06DB"/>
    <w:rsid w:val="000D17AC"/>
    <w:rsid w:val="000D3FE7"/>
    <w:rsid w:val="000D4119"/>
    <w:rsid w:val="000E1B1C"/>
    <w:rsid w:val="000E7632"/>
    <w:rsid w:val="000F6EB7"/>
    <w:rsid w:val="0010151F"/>
    <w:rsid w:val="00101DDE"/>
    <w:rsid w:val="00102E8E"/>
    <w:rsid w:val="001035EE"/>
    <w:rsid w:val="00105D9C"/>
    <w:rsid w:val="001269E2"/>
    <w:rsid w:val="00160FC3"/>
    <w:rsid w:val="00163B08"/>
    <w:rsid w:val="00194712"/>
    <w:rsid w:val="00195760"/>
    <w:rsid w:val="001A54A4"/>
    <w:rsid w:val="001B365B"/>
    <w:rsid w:val="001B36D3"/>
    <w:rsid w:val="001B6B29"/>
    <w:rsid w:val="001C1368"/>
    <w:rsid w:val="001C7779"/>
    <w:rsid w:val="001D0149"/>
    <w:rsid w:val="001D1B60"/>
    <w:rsid w:val="001E6055"/>
    <w:rsid w:val="001E6FA1"/>
    <w:rsid w:val="00203CFA"/>
    <w:rsid w:val="00215657"/>
    <w:rsid w:val="0022679E"/>
    <w:rsid w:val="00234241"/>
    <w:rsid w:val="002406F1"/>
    <w:rsid w:val="00240D8E"/>
    <w:rsid w:val="002422B3"/>
    <w:rsid w:val="00247FFD"/>
    <w:rsid w:val="00252BBA"/>
    <w:rsid w:val="00260B26"/>
    <w:rsid w:val="00261C1C"/>
    <w:rsid w:val="00264215"/>
    <w:rsid w:val="00264F1E"/>
    <w:rsid w:val="00265E1C"/>
    <w:rsid w:val="002662B1"/>
    <w:rsid w:val="00266DAB"/>
    <w:rsid w:val="002A073F"/>
    <w:rsid w:val="002B4761"/>
    <w:rsid w:val="002C0EA7"/>
    <w:rsid w:val="002C416D"/>
    <w:rsid w:val="002C49EB"/>
    <w:rsid w:val="002E5094"/>
    <w:rsid w:val="002F6F2C"/>
    <w:rsid w:val="003003B7"/>
    <w:rsid w:val="003041F1"/>
    <w:rsid w:val="00304AF7"/>
    <w:rsid w:val="00306DE0"/>
    <w:rsid w:val="00311E1D"/>
    <w:rsid w:val="00320487"/>
    <w:rsid w:val="00332F6F"/>
    <w:rsid w:val="00342A62"/>
    <w:rsid w:val="00350773"/>
    <w:rsid w:val="003603F7"/>
    <w:rsid w:val="00386F03"/>
    <w:rsid w:val="003A1B0D"/>
    <w:rsid w:val="003A7570"/>
    <w:rsid w:val="003D4D3A"/>
    <w:rsid w:val="003F24B9"/>
    <w:rsid w:val="003F7EE0"/>
    <w:rsid w:val="00402FE4"/>
    <w:rsid w:val="00420E62"/>
    <w:rsid w:val="004263FE"/>
    <w:rsid w:val="00427290"/>
    <w:rsid w:val="00437193"/>
    <w:rsid w:val="0045244C"/>
    <w:rsid w:val="00454E01"/>
    <w:rsid w:val="004671C3"/>
    <w:rsid w:val="00470260"/>
    <w:rsid w:val="00471B2A"/>
    <w:rsid w:val="00477942"/>
    <w:rsid w:val="004A67F7"/>
    <w:rsid w:val="004B3144"/>
    <w:rsid w:val="004B6CC1"/>
    <w:rsid w:val="004C125E"/>
    <w:rsid w:val="004C6A8F"/>
    <w:rsid w:val="004E1CD9"/>
    <w:rsid w:val="004F261F"/>
    <w:rsid w:val="004F5D54"/>
    <w:rsid w:val="0050591B"/>
    <w:rsid w:val="00513C41"/>
    <w:rsid w:val="00531E09"/>
    <w:rsid w:val="0053238B"/>
    <w:rsid w:val="00534FF4"/>
    <w:rsid w:val="00535DA2"/>
    <w:rsid w:val="00545459"/>
    <w:rsid w:val="00561306"/>
    <w:rsid w:val="005751A3"/>
    <w:rsid w:val="00580755"/>
    <w:rsid w:val="00582257"/>
    <w:rsid w:val="00593431"/>
    <w:rsid w:val="00595869"/>
    <w:rsid w:val="005A30D7"/>
    <w:rsid w:val="005A3D3E"/>
    <w:rsid w:val="005D1B49"/>
    <w:rsid w:val="005F46EB"/>
    <w:rsid w:val="00600179"/>
    <w:rsid w:val="00613F70"/>
    <w:rsid w:val="006177C6"/>
    <w:rsid w:val="006304F0"/>
    <w:rsid w:val="00632C9C"/>
    <w:rsid w:val="00643773"/>
    <w:rsid w:val="006448E3"/>
    <w:rsid w:val="00651EBD"/>
    <w:rsid w:val="00657217"/>
    <w:rsid w:val="006655E7"/>
    <w:rsid w:val="00674067"/>
    <w:rsid w:val="006A2D9F"/>
    <w:rsid w:val="006A634C"/>
    <w:rsid w:val="006B0EC8"/>
    <w:rsid w:val="006C37AD"/>
    <w:rsid w:val="006C47EA"/>
    <w:rsid w:val="006C6B12"/>
    <w:rsid w:val="006D47C4"/>
    <w:rsid w:val="006E3FD1"/>
    <w:rsid w:val="006F535F"/>
    <w:rsid w:val="006F546F"/>
    <w:rsid w:val="007073ED"/>
    <w:rsid w:val="00710242"/>
    <w:rsid w:val="00715F2A"/>
    <w:rsid w:val="007178D9"/>
    <w:rsid w:val="00725CEE"/>
    <w:rsid w:val="00726E75"/>
    <w:rsid w:val="0073265C"/>
    <w:rsid w:val="00733C95"/>
    <w:rsid w:val="007366FD"/>
    <w:rsid w:val="0074041E"/>
    <w:rsid w:val="0075311B"/>
    <w:rsid w:val="0076338E"/>
    <w:rsid w:val="00763713"/>
    <w:rsid w:val="007653E4"/>
    <w:rsid w:val="00765B18"/>
    <w:rsid w:val="00775DF9"/>
    <w:rsid w:val="00776456"/>
    <w:rsid w:val="00780189"/>
    <w:rsid w:val="0078097C"/>
    <w:rsid w:val="0078320C"/>
    <w:rsid w:val="00786F85"/>
    <w:rsid w:val="007908FB"/>
    <w:rsid w:val="00791683"/>
    <w:rsid w:val="007A04A0"/>
    <w:rsid w:val="007A1F86"/>
    <w:rsid w:val="007A2238"/>
    <w:rsid w:val="007A2F53"/>
    <w:rsid w:val="007A778C"/>
    <w:rsid w:val="007C2053"/>
    <w:rsid w:val="007D205D"/>
    <w:rsid w:val="007D2E4F"/>
    <w:rsid w:val="007E19A5"/>
    <w:rsid w:val="007E2F75"/>
    <w:rsid w:val="007E4ACE"/>
    <w:rsid w:val="008007EA"/>
    <w:rsid w:val="00801063"/>
    <w:rsid w:val="00804EA4"/>
    <w:rsid w:val="008078DE"/>
    <w:rsid w:val="00810B1B"/>
    <w:rsid w:val="0081248F"/>
    <w:rsid w:val="0081371D"/>
    <w:rsid w:val="00830C27"/>
    <w:rsid w:val="008353C2"/>
    <w:rsid w:val="00840D3F"/>
    <w:rsid w:val="008468FF"/>
    <w:rsid w:val="008535ED"/>
    <w:rsid w:val="00860738"/>
    <w:rsid w:val="00872BE6"/>
    <w:rsid w:val="00877D06"/>
    <w:rsid w:val="008820F3"/>
    <w:rsid w:val="00884BCE"/>
    <w:rsid w:val="0088743F"/>
    <w:rsid w:val="00891764"/>
    <w:rsid w:val="008A4499"/>
    <w:rsid w:val="008A729F"/>
    <w:rsid w:val="008B1335"/>
    <w:rsid w:val="008C0EE6"/>
    <w:rsid w:val="008C1213"/>
    <w:rsid w:val="008D0B7E"/>
    <w:rsid w:val="008D2E6D"/>
    <w:rsid w:val="008D3996"/>
    <w:rsid w:val="008D4AEA"/>
    <w:rsid w:val="008E5DC9"/>
    <w:rsid w:val="008F0B8A"/>
    <w:rsid w:val="008F117A"/>
    <w:rsid w:val="008F72D1"/>
    <w:rsid w:val="009111E1"/>
    <w:rsid w:val="009130B8"/>
    <w:rsid w:val="00915488"/>
    <w:rsid w:val="00921A8C"/>
    <w:rsid w:val="00921AE7"/>
    <w:rsid w:val="00931386"/>
    <w:rsid w:val="00934E64"/>
    <w:rsid w:val="009411E2"/>
    <w:rsid w:val="0094560A"/>
    <w:rsid w:val="00946AF2"/>
    <w:rsid w:val="00955E48"/>
    <w:rsid w:val="00967BF8"/>
    <w:rsid w:val="00972FA1"/>
    <w:rsid w:val="00977A5A"/>
    <w:rsid w:val="00980EE6"/>
    <w:rsid w:val="0098530F"/>
    <w:rsid w:val="00987BC1"/>
    <w:rsid w:val="00991D45"/>
    <w:rsid w:val="00993040"/>
    <w:rsid w:val="00994D36"/>
    <w:rsid w:val="00994D95"/>
    <w:rsid w:val="00997547"/>
    <w:rsid w:val="009B348B"/>
    <w:rsid w:val="009B3ABE"/>
    <w:rsid w:val="009D00D7"/>
    <w:rsid w:val="009D0708"/>
    <w:rsid w:val="009D0855"/>
    <w:rsid w:val="009D3F2D"/>
    <w:rsid w:val="009D5740"/>
    <w:rsid w:val="009E0826"/>
    <w:rsid w:val="009E5087"/>
    <w:rsid w:val="009E7321"/>
    <w:rsid w:val="009F1418"/>
    <w:rsid w:val="009F1C47"/>
    <w:rsid w:val="009F3BB0"/>
    <w:rsid w:val="00A03D58"/>
    <w:rsid w:val="00A04E33"/>
    <w:rsid w:val="00A13388"/>
    <w:rsid w:val="00A162D6"/>
    <w:rsid w:val="00A31E80"/>
    <w:rsid w:val="00A37635"/>
    <w:rsid w:val="00A42C8A"/>
    <w:rsid w:val="00A50882"/>
    <w:rsid w:val="00A56A58"/>
    <w:rsid w:val="00A63706"/>
    <w:rsid w:val="00A64B40"/>
    <w:rsid w:val="00A6726B"/>
    <w:rsid w:val="00A774B5"/>
    <w:rsid w:val="00A85FD9"/>
    <w:rsid w:val="00A868DA"/>
    <w:rsid w:val="00AC19FB"/>
    <w:rsid w:val="00AC5A3C"/>
    <w:rsid w:val="00AD101C"/>
    <w:rsid w:val="00AD61DB"/>
    <w:rsid w:val="00AD6260"/>
    <w:rsid w:val="00AD7E75"/>
    <w:rsid w:val="00AE10C0"/>
    <w:rsid w:val="00AE13A6"/>
    <w:rsid w:val="00AE204C"/>
    <w:rsid w:val="00AE2309"/>
    <w:rsid w:val="00AE3592"/>
    <w:rsid w:val="00AE454F"/>
    <w:rsid w:val="00AE68E3"/>
    <w:rsid w:val="00AE7E28"/>
    <w:rsid w:val="00AF39D0"/>
    <w:rsid w:val="00B10BF8"/>
    <w:rsid w:val="00B13CF2"/>
    <w:rsid w:val="00B2515B"/>
    <w:rsid w:val="00B32754"/>
    <w:rsid w:val="00B40C03"/>
    <w:rsid w:val="00B460B8"/>
    <w:rsid w:val="00B4650A"/>
    <w:rsid w:val="00B504EC"/>
    <w:rsid w:val="00B5233E"/>
    <w:rsid w:val="00B543BA"/>
    <w:rsid w:val="00B55F8C"/>
    <w:rsid w:val="00B6434D"/>
    <w:rsid w:val="00B83FF5"/>
    <w:rsid w:val="00B97435"/>
    <w:rsid w:val="00B977F7"/>
    <w:rsid w:val="00BA07CD"/>
    <w:rsid w:val="00BA3576"/>
    <w:rsid w:val="00BA515F"/>
    <w:rsid w:val="00BB5178"/>
    <w:rsid w:val="00BB74BD"/>
    <w:rsid w:val="00BB7715"/>
    <w:rsid w:val="00BC51D5"/>
    <w:rsid w:val="00BC680E"/>
    <w:rsid w:val="00BE4F70"/>
    <w:rsid w:val="00C031AD"/>
    <w:rsid w:val="00C253ED"/>
    <w:rsid w:val="00C26003"/>
    <w:rsid w:val="00C40306"/>
    <w:rsid w:val="00C54A07"/>
    <w:rsid w:val="00C6377F"/>
    <w:rsid w:val="00C64638"/>
    <w:rsid w:val="00C650F7"/>
    <w:rsid w:val="00C6549D"/>
    <w:rsid w:val="00C91156"/>
    <w:rsid w:val="00C920D0"/>
    <w:rsid w:val="00C9246E"/>
    <w:rsid w:val="00CA6FF7"/>
    <w:rsid w:val="00CA7255"/>
    <w:rsid w:val="00CB173C"/>
    <w:rsid w:val="00CD52CF"/>
    <w:rsid w:val="00CF647F"/>
    <w:rsid w:val="00D051FB"/>
    <w:rsid w:val="00D108D1"/>
    <w:rsid w:val="00D1440B"/>
    <w:rsid w:val="00D21CD8"/>
    <w:rsid w:val="00D4159E"/>
    <w:rsid w:val="00D6725A"/>
    <w:rsid w:val="00D701C1"/>
    <w:rsid w:val="00D73722"/>
    <w:rsid w:val="00D76CBF"/>
    <w:rsid w:val="00D8343D"/>
    <w:rsid w:val="00D839E4"/>
    <w:rsid w:val="00D87B87"/>
    <w:rsid w:val="00D9747A"/>
    <w:rsid w:val="00DA4EDA"/>
    <w:rsid w:val="00DA60AB"/>
    <w:rsid w:val="00DD5131"/>
    <w:rsid w:val="00DF3E64"/>
    <w:rsid w:val="00DF4597"/>
    <w:rsid w:val="00DF7530"/>
    <w:rsid w:val="00E0356B"/>
    <w:rsid w:val="00E13CD1"/>
    <w:rsid w:val="00E14E0E"/>
    <w:rsid w:val="00E22318"/>
    <w:rsid w:val="00E25207"/>
    <w:rsid w:val="00E25DA5"/>
    <w:rsid w:val="00E31ECE"/>
    <w:rsid w:val="00E36E19"/>
    <w:rsid w:val="00E52CA9"/>
    <w:rsid w:val="00E56E78"/>
    <w:rsid w:val="00E60FDB"/>
    <w:rsid w:val="00E66D56"/>
    <w:rsid w:val="00E73530"/>
    <w:rsid w:val="00E816B8"/>
    <w:rsid w:val="00EA069B"/>
    <w:rsid w:val="00EA0C21"/>
    <w:rsid w:val="00EA5E7A"/>
    <w:rsid w:val="00EB49D1"/>
    <w:rsid w:val="00EB7049"/>
    <w:rsid w:val="00EC2A1A"/>
    <w:rsid w:val="00EC73A9"/>
    <w:rsid w:val="00EF07D9"/>
    <w:rsid w:val="00F03892"/>
    <w:rsid w:val="00F05B19"/>
    <w:rsid w:val="00F11EFD"/>
    <w:rsid w:val="00F15EA6"/>
    <w:rsid w:val="00F178E7"/>
    <w:rsid w:val="00F3623D"/>
    <w:rsid w:val="00F3673A"/>
    <w:rsid w:val="00F36F5C"/>
    <w:rsid w:val="00F4008F"/>
    <w:rsid w:val="00F512BD"/>
    <w:rsid w:val="00F56F1E"/>
    <w:rsid w:val="00F66CA6"/>
    <w:rsid w:val="00F72B86"/>
    <w:rsid w:val="00F74FF1"/>
    <w:rsid w:val="00F76AAF"/>
    <w:rsid w:val="00F77872"/>
    <w:rsid w:val="00F87F94"/>
    <w:rsid w:val="00F9528E"/>
    <w:rsid w:val="00FA33D6"/>
    <w:rsid w:val="00FB21E3"/>
    <w:rsid w:val="00FB31F7"/>
    <w:rsid w:val="00FB69A7"/>
    <w:rsid w:val="00FB7DEA"/>
    <w:rsid w:val="00FD1DA7"/>
    <w:rsid w:val="00FD28BB"/>
    <w:rsid w:val="00FD7B6C"/>
    <w:rsid w:val="00FE344B"/>
    <w:rsid w:val="00FE4DE0"/>
    <w:rsid w:val="00FE61A2"/>
    <w:rsid w:val="00FE6760"/>
    <w:rsid w:val="00FE6A14"/>
    <w:rsid w:val="00FF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A78C3"/>
  <w15:docId w15:val="{B07B71D4-DE3D-4A0C-A7CD-237547A4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tandard"/>
    <w:next w:val="Standard"/>
    <w:pPr>
      <w:keepNext/>
      <w:keepLines/>
      <w:spacing w:before="360" w:after="80"/>
      <w:outlineLvl w:val="0"/>
    </w:pPr>
    <w:rPr>
      <w:rFonts w:ascii="Calibri Light" w:hAnsi="Calibri Light"/>
      <w:color w:val="2F5496"/>
      <w:sz w:val="40"/>
      <w:szCs w:val="40"/>
    </w:rPr>
  </w:style>
  <w:style w:type="paragraph" w:styleId="Heading2">
    <w:name w:val="heading 2"/>
    <w:basedOn w:val="Standard"/>
    <w:next w:val="Standard"/>
    <w:pPr>
      <w:keepNext/>
      <w:keepLines/>
      <w:spacing w:before="160" w:after="80"/>
      <w:outlineLvl w:val="1"/>
    </w:pPr>
    <w:rPr>
      <w:rFonts w:ascii="Calibri Light" w:hAnsi="Calibri Light"/>
      <w:color w:val="2F5496"/>
      <w:sz w:val="32"/>
      <w:szCs w:val="32"/>
    </w:rPr>
  </w:style>
  <w:style w:type="paragraph" w:styleId="Heading3">
    <w:name w:val="heading 3"/>
    <w:basedOn w:val="Standard"/>
    <w:next w:val="Standard"/>
    <w:pPr>
      <w:keepNext/>
      <w:keepLines/>
      <w:spacing w:before="160" w:after="80"/>
      <w:outlineLvl w:val="2"/>
    </w:pPr>
    <w:rPr>
      <w:color w:val="2F5496"/>
      <w:sz w:val="28"/>
      <w:szCs w:val="28"/>
    </w:rPr>
  </w:style>
  <w:style w:type="paragraph" w:styleId="Heading4">
    <w:name w:val="heading 4"/>
    <w:basedOn w:val="Standard"/>
    <w:next w:val="Standard"/>
    <w:pPr>
      <w:keepNext/>
      <w:keepLines/>
      <w:spacing w:before="80" w:after="40"/>
      <w:outlineLvl w:val="3"/>
    </w:pPr>
    <w:rPr>
      <w:i/>
      <w:iCs/>
      <w:color w:val="2F5496"/>
    </w:rPr>
  </w:style>
  <w:style w:type="paragraph" w:styleId="Heading5">
    <w:name w:val="heading 5"/>
    <w:basedOn w:val="Standard"/>
    <w:next w:val="Standard"/>
    <w:pPr>
      <w:keepNext/>
      <w:keepLines/>
      <w:spacing w:before="80" w:after="40"/>
      <w:outlineLvl w:val="4"/>
    </w:pPr>
    <w:rPr>
      <w:color w:val="2F5496"/>
    </w:rPr>
  </w:style>
  <w:style w:type="paragraph" w:styleId="Heading6">
    <w:name w:val="heading 6"/>
    <w:basedOn w:val="Standard"/>
    <w:next w:val="Standard"/>
    <w:pPr>
      <w:keepNext/>
      <w:keepLines/>
      <w:spacing w:before="40" w:after="0"/>
      <w:outlineLvl w:val="5"/>
    </w:pPr>
    <w:rPr>
      <w:i/>
      <w:iCs/>
      <w:color w:val="595959"/>
    </w:rPr>
  </w:style>
  <w:style w:type="paragraph" w:styleId="Heading7">
    <w:name w:val="heading 7"/>
    <w:basedOn w:val="Standard"/>
    <w:next w:val="Standard"/>
    <w:pPr>
      <w:keepNext/>
      <w:keepLines/>
      <w:spacing w:before="40" w:after="0"/>
      <w:outlineLvl w:val="6"/>
    </w:pPr>
    <w:rPr>
      <w:color w:val="595959"/>
    </w:rPr>
  </w:style>
  <w:style w:type="paragraph" w:styleId="Heading8">
    <w:name w:val="heading 8"/>
    <w:basedOn w:val="Standard"/>
    <w:next w:val="Standard"/>
    <w:pPr>
      <w:keepNext/>
      <w:keepLines/>
      <w:spacing w:after="0"/>
      <w:outlineLvl w:val="7"/>
    </w:pPr>
    <w:rPr>
      <w:i/>
      <w:iCs/>
      <w:color w:val="272727"/>
    </w:rPr>
  </w:style>
  <w:style w:type="paragraph" w:styleId="Heading9">
    <w:name w:val="heading 9"/>
    <w:basedOn w:val="Standard"/>
    <w:next w:val="Standard"/>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60" w:line="278"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Title">
    <w:name w:val="Title"/>
    <w:basedOn w:val="Standard"/>
    <w:next w:val="Standard"/>
    <w:pPr>
      <w:spacing w:after="80" w:line="240" w:lineRule="auto"/>
    </w:pPr>
    <w:rPr>
      <w:rFonts w:ascii="Calibri Light" w:hAnsi="Calibri Light"/>
      <w:spacing w:val="-10"/>
      <w:sz w:val="56"/>
      <w:szCs w:val="56"/>
    </w:rPr>
  </w:style>
  <w:style w:type="paragraph" w:styleId="Subtitle">
    <w:name w:val="Subtitle"/>
    <w:basedOn w:val="Standard"/>
    <w:next w:val="Standard"/>
    <w:rPr>
      <w:color w:val="595959"/>
      <w:spacing w:val="15"/>
      <w:sz w:val="28"/>
      <w:szCs w:val="28"/>
    </w:rPr>
  </w:style>
  <w:style w:type="paragraph" w:styleId="Quote">
    <w:name w:val="Quote"/>
    <w:basedOn w:val="Standard"/>
    <w:next w:val="Standard"/>
    <w:pPr>
      <w:spacing w:before="160"/>
      <w:jc w:val="center"/>
    </w:pPr>
    <w:rPr>
      <w:i/>
      <w:iCs/>
      <w:color w:val="404040"/>
    </w:rPr>
  </w:style>
  <w:style w:type="paragraph" w:styleId="ListParagraph">
    <w:name w:val="List Paragraph"/>
    <w:basedOn w:val="Standard"/>
    <w:pPr>
      <w:ind w:left="720"/>
    </w:pPr>
  </w:style>
  <w:style w:type="paragraph" w:styleId="IntenseQuote">
    <w:name w:val="Intense Quote"/>
    <w:basedOn w:val="Standard"/>
    <w:next w:val="Standard"/>
    <w:pPr>
      <w:pBdr>
        <w:top w:val="single" w:sz="4" w:space="10" w:color="2F5496"/>
        <w:bottom w:val="single" w:sz="4" w:space="10" w:color="2F5496"/>
      </w:pBdr>
      <w:spacing w:before="360" w:after="360"/>
      <w:ind w:left="864" w:right="864"/>
      <w:jc w:val="center"/>
    </w:pPr>
    <w:rPr>
      <w:i/>
      <w:iCs/>
      <w:color w:val="2F5496"/>
    </w:rPr>
  </w:style>
  <w:style w:type="paragraph" w:customStyle="1" w:styleId="msonormal0">
    <w:name w:val="msonormal"/>
    <w:basedOn w:val="Standard"/>
    <w:pPr>
      <w:spacing w:line="256" w:lineRule="auto"/>
    </w:pPr>
    <w:rPr>
      <w:rFonts w:ascii="Times New Roman" w:hAnsi="Times New Roman" w:cs="Times New Roman"/>
      <w:lang w:val="en-IN"/>
    </w:rPr>
  </w:style>
  <w:style w:type="paragraph" w:styleId="NormalWeb">
    <w:name w:val="Normal (Web)"/>
    <w:basedOn w:val="Standard"/>
    <w:pPr>
      <w:spacing w:line="256" w:lineRule="auto"/>
    </w:pPr>
    <w:rPr>
      <w:rFonts w:ascii="Times New Roman" w:hAnsi="Times New Roman" w:cs="Times New Roman"/>
      <w:lang w:val="en-IN"/>
    </w:rPr>
  </w:style>
  <w:style w:type="paragraph" w:customStyle="1" w:styleId="Marginalia">
    <w:name w:val="Marginalia"/>
    <w:basedOn w:val="Standard"/>
    <w:pPr>
      <w:spacing w:line="240" w:lineRule="auto"/>
    </w:pPr>
    <w:rPr>
      <w:rFonts w:cs="Times New Roman"/>
      <w:sz w:val="20"/>
      <w:szCs w:val="20"/>
      <w:lang w:val="en-IN"/>
    </w:rPr>
  </w:style>
  <w:style w:type="paragraph" w:customStyle="1" w:styleId="HeaderandFooter">
    <w:name w:val="Header and Footer"/>
    <w:basedOn w:val="Standard"/>
  </w:style>
  <w:style w:type="paragraph" w:styleId="Header">
    <w:name w:val="header"/>
    <w:basedOn w:val="Standard"/>
    <w:pPr>
      <w:tabs>
        <w:tab w:val="center" w:pos="4513"/>
        <w:tab w:val="right" w:pos="9026"/>
      </w:tabs>
      <w:spacing w:after="0" w:line="240" w:lineRule="auto"/>
    </w:pPr>
    <w:rPr>
      <w:rFonts w:cs="Times New Roman"/>
      <w:sz w:val="22"/>
      <w:szCs w:val="22"/>
      <w:lang w:val="en-IN"/>
    </w:rPr>
  </w:style>
  <w:style w:type="paragraph" w:styleId="Footer">
    <w:name w:val="footer"/>
    <w:basedOn w:val="Standard"/>
    <w:pPr>
      <w:tabs>
        <w:tab w:val="center" w:pos="4513"/>
        <w:tab w:val="right" w:pos="9026"/>
      </w:tabs>
      <w:spacing w:after="0" w:line="240" w:lineRule="auto"/>
    </w:pPr>
    <w:rPr>
      <w:rFonts w:cs="Times New Roman"/>
      <w:sz w:val="22"/>
      <w:szCs w:val="22"/>
      <w:lang w:val="en-IN"/>
    </w:rPr>
  </w:style>
  <w:style w:type="paragraph" w:styleId="CommentSubject">
    <w:name w:val="annotation subject"/>
    <w:basedOn w:val="Marginalia"/>
    <w:next w:val="Marginalia"/>
    <w:rPr>
      <w:b/>
      <w:bCs/>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Default">
    <w:name w:val="Default"/>
    <w:rPr>
      <w:rFonts w:ascii="Arial" w:eastAsia="Arial" w:hAnsi="Arial" w:cs="Arial"/>
      <w:color w:val="000000"/>
    </w:rPr>
  </w:style>
  <w:style w:type="character" w:customStyle="1" w:styleId="Heading1Char">
    <w:name w:val="Heading 1 Char"/>
    <w:basedOn w:val="DefaultParagraphFont"/>
    <w:rPr>
      <w:rFonts w:ascii="Calibri Light" w:eastAsia="Calibri" w:hAnsi="Calibri Light" w:cs="Tahoma"/>
      <w:color w:val="2F5496"/>
      <w:sz w:val="40"/>
      <w:szCs w:val="40"/>
    </w:rPr>
  </w:style>
  <w:style w:type="character" w:customStyle="1" w:styleId="Heading2Char">
    <w:name w:val="Heading 2 Char"/>
    <w:basedOn w:val="DefaultParagraphFont"/>
    <w:rPr>
      <w:rFonts w:ascii="Calibri Light" w:eastAsia="Calibri" w:hAnsi="Calibri Light" w:cs="Tahoma"/>
      <w:color w:val="2F5496"/>
      <w:sz w:val="32"/>
      <w:szCs w:val="32"/>
    </w:rPr>
  </w:style>
  <w:style w:type="character" w:customStyle="1" w:styleId="Heading3Char">
    <w:name w:val="Heading 3 Char"/>
    <w:basedOn w:val="DefaultParagraphFont"/>
    <w:rPr>
      <w:rFonts w:eastAsia="Calibri" w:cs="Tahoma"/>
      <w:color w:val="2F5496"/>
      <w:sz w:val="28"/>
      <w:szCs w:val="28"/>
    </w:rPr>
  </w:style>
  <w:style w:type="character" w:customStyle="1" w:styleId="Heading4Char">
    <w:name w:val="Heading 4 Char"/>
    <w:basedOn w:val="DefaultParagraphFont"/>
    <w:rPr>
      <w:rFonts w:eastAsia="Calibri" w:cs="Tahoma"/>
      <w:i/>
      <w:iCs/>
      <w:color w:val="2F5496"/>
    </w:rPr>
  </w:style>
  <w:style w:type="character" w:customStyle="1" w:styleId="Heading5Char">
    <w:name w:val="Heading 5 Char"/>
    <w:basedOn w:val="DefaultParagraphFont"/>
    <w:rPr>
      <w:rFonts w:eastAsia="Calibri" w:cs="Tahoma"/>
      <w:color w:val="2F5496"/>
    </w:rPr>
  </w:style>
  <w:style w:type="character" w:customStyle="1" w:styleId="Heading6Char">
    <w:name w:val="Heading 6 Char"/>
    <w:basedOn w:val="DefaultParagraphFont"/>
    <w:rPr>
      <w:rFonts w:eastAsia="Calibri" w:cs="Tahoma"/>
      <w:i/>
      <w:iCs/>
      <w:color w:val="595959"/>
    </w:rPr>
  </w:style>
  <w:style w:type="character" w:customStyle="1" w:styleId="Heading7Char">
    <w:name w:val="Heading 7 Char"/>
    <w:basedOn w:val="DefaultParagraphFont"/>
    <w:rPr>
      <w:rFonts w:eastAsia="Calibri" w:cs="Tahoma"/>
      <w:color w:val="595959"/>
    </w:rPr>
  </w:style>
  <w:style w:type="character" w:customStyle="1" w:styleId="Heading8Char">
    <w:name w:val="Heading 8 Char"/>
    <w:basedOn w:val="DefaultParagraphFont"/>
    <w:rPr>
      <w:rFonts w:eastAsia="Calibri" w:cs="Tahoma"/>
      <w:i/>
      <w:iCs/>
      <w:color w:val="272727"/>
    </w:rPr>
  </w:style>
  <w:style w:type="character" w:customStyle="1" w:styleId="Heading9Char">
    <w:name w:val="Heading 9 Char"/>
    <w:basedOn w:val="DefaultParagraphFont"/>
    <w:rPr>
      <w:rFonts w:eastAsia="Calibri" w:cs="Tahoma"/>
      <w:color w:val="272727"/>
    </w:rPr>
  </w:style>
  <w:style w:type="character" w:customStyle="1" w:styleId="TitleChar">
    <w:name w:val="Title Char"/>
    <w:basedOn w:val="DefaultParagraphFont"/>
    <w:rPr>
      <w:rFonts w:ascii="Calibri Light" w:eastAsia="Calibri" w:hAnsi="Calibri Light" w:cs="Tahoma"/>
      <w:spacing w:val="-10"/>
      <w:kern w:val="3"/>
      <w:sz w:val="56"/>
      <w:szCs w:val="56"/>
    </w:rPr>
  </w:style>
  <w:style w:type="character" w:customStyle="1" w:styleId="SubtitleChar">
    <w:name w:val="Subtitle Char"/>
    <w:basedOn w:val="DefaultParagraphFont"/>
    <w:rPr>
      <w:rFonts w:eastAsia="Calibri" w:cs="Tahoma"/>
      <w:color w:val="595959"/>
      <w:spacing w:val="15"/>
      <w:sz w:val="28"/>
      <w:szCs w:val="28"/>
    </w:rPr>
  </w:style>
  <w:style w:type="character" w:customStyle="1" w:styleId="QuoteChar">
    <w:name w:val="Quote Char"/>
    <w:basedOn w:val="DefaultParagraphFont"/>
    <w:rPr>
      <w:i/>
      <w:iCs/>
      <w:color w:val="404040"/>
    </w:rPr>
  </w:style>
  <w:style w:type="character" w:styleId="IntenseEmphasis">
    <w:name w:val="Intense Emphasis"/>
    <w:basedOn w:val="DefaultParagraphFont"/>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customStyle="1" w:styleId="Hyperlink1">
    <w:name w:val="Hyperlink1"/>
    <w:basedOn w:val="DefaultParagraphFont"/>
    <w:rPr>
      <w:color w:val="0563C1"/>
      <w:u w:val="single"/>
    </w:rPr>
  </w:style>
  <w:style w:type="character" w:customStyle="1" w:styleId="FollowedHyperlink1">
    <w:name w:val="FollowedHyperlink1"/>
    <w:basedOn w:val="DefaultParagraphFont"/>
    <w:rPr>
      <w:color w:val="954F72"/>
      <w:u w:val="single"/>
    </w:rPr>
  </w:style>
  <w:style w:type="character" w:customStyle="1" w:styleId="CommentTextChar">
    <w:name w:val="Comment Text Char"/>
    <w:basedOn w:val="DefaultParagraphFont"/>
    <w:rPr>
      <w:rFonts w:ascii="Calibri" w:eastAsia="Calibri" w:hAnsi="Calibri" w:cs="Times New Roman"/>
      <w:sz w:val="20"/>
      <w:szCs w:val="20"/>
      <w:lang w:val="en-IN"/>
    </w:rPr>
  </w:style>
  <w:style w:type="character" w:customStyle="1" w:styleId="HeaderChar">
    <w:name w:val="Header Char"/>
    <w:basedOn w:val="DefaultParagraphFont"/>
    <w:rPr>
      <w:rFonts w:ascii="Calibri" w:eastAsia="Calibri" w:hAnsi="Calibri" w:cs="Times New Roman"/>
      <w:sz w:val="22"/>
      <w:szCs w:val="22"/>
      <w:lang w:val="en-IN"/>
    </w:rPr>
  </w:style>
  <w:style w:type="character" w:customStyle="1" w:styleId="FooterChar">
    <w:name w:val="Footer Char"/>
    <w:basedOn w:val="DefaultParagraphFont"/>
    <w:rPr>
      <w:rFonts w:ascii="Calibri" w:eastAsia="Calibri" w:hAnsi="Calibri" w:cs="Times New Roman"/>
      <w:sz w:val="22"/>
      <w:szCs w:val="22"/>
      <w:lang w:val="en-IN"/>
    </w:rPr>
  </w:style>
  <w:style w:type="character" w:customStyle="1" w:styleId="CommentSubjectChar">
    <w:name w:val="Comment Subject Char"/>
    <w:basedOn w:val="CommentTextChar"/>
    <w:rPr>
      <w:rFonts w:ascii="Calibri" w:eastAsia="Calibri" w:hAnsi="Calibri" w:cs="Times New Roman"/>
      <w:b/>
      <w:bCs/>
      <w:sz w:val="20"/>
      <w:szCs w:val="20"/>
      <w:lang w:val="en-IN"/>
    </w:rPr>
  </w:style>
  <w:style w:type="character" w:styleId="CommentReference">
    <w:name w:val="annotation reference"/>
    <w:basedOn w:val="DefaultParagraphFont"/>
    <w:rPr>
      <w:sz w:val="16"/>
      <w:szCs w:val="16"/>
    </w:rPr>
  </w:style>
  <w:style w:type="character" w:styleId="PlaceholderText">
    <w:name w:val="Placeholder Text"/>
    <w:basedOn w:val="DefaultParagraphFont"/>
    <w:rPr>
      <w:color w:val="666666"/>
    </w:rPr>
  </w:style>
  <w:style w:type="character" w:customStyle="1" w:styleId="anchor-text">
    <w:name w:val="anchor-text"/>
    <w:basedOn w:val="DefaultParagraphFont"/>
  </w:style>
  <w:style w:type="character" w:customStyle="1" w:styleId="Internetlink">
    <w:name w:val="Internet link"/>
    <w:basedOn w:val="DefaultParagraphFont"/>
    <w:rPr>
      <w:color w:val="0563C1"/>
      <w:u w:val="single"/>
    </w:rPr>
  </w:style>
  <w:style w:type="character" w:customStyle="1" w:styleId="VisitedInternetLink">
    <w:name w:val="Visited Internet Link"/>
    <w:basedOn w:val="DefaultParagraphFont"/>
    <w:rPr>
      <w:color w:val="954F72"/>
      <w:u w:val="single"/>
    </w:rPr>
  </w:style>
  <w:style w:type="character" w:customStyle="1" w:styleId="ListLabel1">
    <w:name w:val="ListLabel 1"/>
    <w:rPr>
      <w:rFonts w:ascii="Arial" w:eastAsia="Arial" w:hAnsi="Arial" w:cs="Arial"/>
      <w:sz w:val="20"/>
      <w:szCs w:val="20"/>
      <w:shd w:val="clear" w:color="auto" w:fill="FFFFFF"/>
      <w:lang w:val="en-IN"/>
    </w:rPr>
  </w:style>
  <w:style w:type="character" w:customStyle="1" w:styleId="ListLabel2">
    <w:name w:val="ListLabel 2"/>
    <w:rPr>
      <w:rFonts w:ascii="Times New Roman" w:eastAsia="Calibri" w:hAnsi="Times New Roman" w:cs="Times New Roman"/>
      <w:color w:val="0563C1"/>
      <w:u w:val="single"/>
      <w:lang w:val="en-IN"/>
    </w:rPr>
  </w:style>
  <w:style w:type="character" w:customStyle="1" w:styleId="ListLabel3">
    <w:name w:val="ListLabel 3"/>
    <w:rPr>
      <w:rFonts w:ascii="Times New Roman" w:eastAsia="Calibri" w:hAnsi="Times New Roman" w:cs="Times New Roman"/>
      <w:color w:val="0563C1"/>
      <w:kern w:val="0"/>
      <w:u w:val="single"/>
      <w:lang w:val="en-IN" w:eastAsia="en-IN"/>
    </w:rPr>
  </w:style>
  <w:style w:type="character" w:customStyle="1" w:styleId="ListLabel4">
    <w:name w:val="ListLabel 4"/>
    <w:rPr>
      <w:rFonts w:ascii="Times New Roman" w:eastAsia="Calibri" w:hAnsi="Times New Roman" w:cs="Times New Roman"/>
      <w:color w:val="0563C1"/>
      <w:kern w:val="0"/>
      <w:u w:val="single"/>
      <w:lang w:val="en-IN" w:eastAsia="en-IN"/>
    </w:rPr>
  </w:style>
  <w:style w:type="character" w:customStyle="1" w:styleId="ListLabel5">
    <w:name w:val="ListLabel 5"/>
    <w:rPr>
      <w:rFonts w:ascii="Times New Roman" w:eastAsia="Calibri" w:hAnsi="Times New Roman" w:cs="Times New Roman"/>
      <w:color w:val="0563C1"/>
      <w:kern w:val="0"/>
      <w:u w:val="single"/>
      <w:lang w:val="en-IN" w:eastAsia="en-IN"/>
    </w:rPr>
  </w:style>
  <w:style w:type="character" w:customStyle="1" w:styleId="ListLabel6">
    <w:name w:val="ListLabel 6"/>
    <w:rPr>
      <w:rFonts w:ascii="Arial" w:eastAsia="Calibri" w:hAnsi="Arial" w:cs="Arial"/>
      <w:color w:val="0563C1"/>
      <w:sz w:val="21"/>
      <w:szCs w:val="21"/>
      <w:u w:val="single"/>
      <w:lang w:val="en-IN"/>
    </w:rPr>
  </w:style>
  <w:style w:type="character" w:customStyle="1" w:styleId="ListLabel7">
    <w:name w:val="ListLabel 7"/>
    <w:rPr>
      <w:rFonts w:ascii="Times New Roman" w:eastAsia="Calibri" w:hAnsi="Times New Roman" w:cs="Times New Roman"/>
      <w:color w:val="0563C1"/>
      <w:kern w:val="0"/>
      <w:u w:val="single"/>
      <w:lang w:val="en-IN" w:eastAsia="en-IN"/>
    </w:rPr>
  </w:style>
  <w:style w:type="character" w:customStyle="1" w:styleId="ListLabel8">
    <w:name w:val="ListLabel 8"/>
    <w:rPr>
      <w:rFonts w:ascii="Times New Roman" w:eastAsia="Calibri" w:hAnsi="Times New Roman" w:cs="Times New Roman"/>
      <w:color w:val="0563C1"/>
      <w:kern w:val="0"/>
      <w:u w:val="single"/>
      <w:lang w:val="en-IN" w:eastAsia="en-IN"/>
    </w:rPr>
  </w:style>
  <w:style w:type="character" w:customStyle="1" w:styleId="ListLabel9">
    <w:name w:val="ListLabel 9"/>
    <w:rPr>
      <w:rFonts w:ascii="Times New Roman" w:eastAsia="Calibri" w:hAnsi="Times New Roman" w:cs="Times New Roman"/>
      <w:color w:val="0563C1"/>
      <w:kern w:val="0"/>
      <w:u w:val="single"/>
      <w:lang w:val="en-IN" w:eastAsia="en-IN"/>
    </w:rPr>
  </w:style>
  <w:style w:type="character" w:customStyle="1" w:styleId="ListLabel10">
    <w:name w:val="ListLabel 10"/>
    <w:rPr>
      <w:rFonts w:ascii="Times New Roman" w:eastAsia="Calibri" w:hAnsi="Times New Roman" w:cs="Times New Roman"/>
      <w:color w:val="0563C1"/>
      <w:kern w:val="0"/>
      <w:u w:val="single"/>
      <w:lang w:val="en-IN" w:eastAsia="en-IN"/>
    </w:rPr>
  </w:style>
  <w:style w:type="character" w:customStyle="1" w:styleId="ListLabel11">
    <w:name w:val="ListLabel 11"/>
    <w:rPr>
      <w:rFonts w:ascii="Times New Roman" w:eastAsia="Calibri" w:hAnsi="Times New Roman" w:cs="Times New Roman"/>
      <w:color w:val="0563C1"/>
      <w:kern w:val="0"/>
      <w:u w:val="single"/>
      <w:lang w:val="en-IN" w:eastAsia="en-IN"/>
    </w:rPr>
  </w:style>
  <w:style w:type="numbering" w:customStyle="1" w:styleId="NoList10">
    <w:name w:val="No List_1"/>
    <w:basedOn w:val="NoList"/>
    <w:pPr>
      <w:numPr>
        <w:numId w:val="1"/>
      </w:numPr>
    </w:pPr>
  </w:style>
  <w:style w:type="numbering" w:customStyle="1" w:styleId="NoList1">
    <w:name w:val="No List1"/>
    <w:basedOn w:val="NoList"/>
    <w:pPr>
      <w:numPr>
        <w:numId w:val="2"/>
      </w:numPr>
    </w:pPr>
  </w:style>
  <w:style w:type="character" w:styleId="Hyperlink">
    <w:name w:val="Hyperlink"/>
    <w:basedOn w:val="DefaultParagraphFont"/>
    <w:uiPriority w:val="99"/>
    <w:unhideWhenUsed/>
    <w:rsid w:val="00A42C8A"/>
    <w:rPr>
      <w:color w:val="0563C1" w:themeColor="hyperlink"/>
      <w:u w:val="single"/>
    </w:rPr>
  </w:style>
  <w:style w:type="character" w:customStyle="1" w:styleId="UnresolvedMention1">
    <w:name w:val="Unresolved Mention1"/>
    <w:basedOn w:val="DefaultParagraphFont"/>
    <w:uiPriority w:val="99"/>
    <w:semiHidden/>
    <w:unhideWhenUsed/>
    <w:rsid w:val="00A42C8A"/>
    <w:rPr>
      <w:color w:val="605E5C"/>
      <w:shd w:val="clear" w:color="auto" w:fill="E1DFDD"/>
    </w:rPr>
  </w:style>
  <w:style w:type="paragraph" w:styleId="BalloonText">
    <w:name w:val="Balloon Text"/>
    <w:basedOn w:val="Normal"/>
    <w:link w:val="BalloonTextChar"/>
    <w:uiPriority w:val="99"/>
    <w:semiHidden/>
    <w:unhideWhenUsed/>
    <w:rsid w:val="00B974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435"/>
    <w:rPr>
      <w:rFonts w:ascii="Segoe UI" w:hAnsi="Segoe UI" w:cs="Segoe UI"/>
      <w:sz w:val="18"/>
      <w:szCs w:val="18"/>
    </w:rPr>
  </w:style>
  <w:style w:type="character" w:styleId="UnresolvedMention">
    <w:name w:val="Unresolved Mention"/>
    <w:basedOn w:val="DefaultParagraphFont"/>
    <w:uiPriority w:val="99"/>
    <w:semiHidden/>
    <w:unhideWhenUsed/>
    <w:rsid w:val="00215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08/02652321211262221" TargetMode="External"/><Relationship Id="rId18" Type="http://schemas.openxmlformats.org/officeDocument/2006/relationships/hyperlink" Target="https://doi.org/10.1016/0014-2921(93)90083-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bi.org.in/scripts/BS_SpeechesView.aspx?Id=298" TargetMode="External"/><Relationship Id="rId7" Type="http://schemas.openxmlformats.org/officeDocument/2006/relationships/endnotes" Target="endnotes.xml"/><Relationship Id="rId12" Type="http://schemas.openxmlformats.org/officeDocument/2006/relationships/hyperlink" Target="https://doi.org/10.1108/IJMF-07-2018-0205" TargetMode="External"/><Relationship Id="rId17" Type="http://schemas.openxmlformats.org/officeDocument/2006/relationships/hyperlink" Target="https://doi.org/10.1016/j.worlddev.2016.11.01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2307/2231790" TargetMode="External"/><Relationship Id="rId20" Type="http://schemas.openxmlformats.org/officeDocument/2006/relationships/hyperlink" Target="https://doi.org/10.1108/IJSE-02-2018-005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596/1813-9450-4469" TargetMode="External"/><Relationship Id="rId23" Type="http://schemas.openxmlformats.org/officeDocument/2006/relationships/hyperlink" Target="https://doi.org/10.1108/H-09-2015-0061"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doi.org/10.1108/1757638131131775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108/JFEP-11-2019-0227" TargetMode="External"/><Relationship Id="rId22" Type="http://schemas.openxmlformats.org/officeDocument/2006/relationships/hyperlink" Target="https://doi.org/10.1108/IJOES-11-2017-0211"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barChart>
        <c:barDir val="col"/>
        <c:grouping val="clustered"/>
        <c:varyColors val="0"/>
        <c:ser>
          <c:idx val="0"/>
          <c:order val="0"/>
          <c:tx>
            <c:v>India </c:v>
          </c:tx>
          <c:spPr>
            <a:gradFill>
              <a:gsLst>
                <a:gs pos="0">
                  <a:srgbClr val="6082CA"/>
                </a:gs>
                <a:gs pos="100000">
                  <a:srgbClr val="2F61BA"/>
                </a:gs>
              </a:gsLst>
              <a:lin ang="5400000"/>
            </a:gradFill>
            <a:ln>
              <a:noFill/>
            </a:ln>
          </c:spPr>
          <c:invertIfNegative val="0"/>
          <c:cat>
            <c:strLit>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strLit>
          </c:cat>
          <c:val>
            <c:numLit>
              <c:formatCode>General</c:formatCode>
              <c:ptCount val="30"/>
              <c:pt idx="0">
                <c:v>8.1631056316912698</c:v>
              </c:pt>
              <c:pt idx="1">
                <c:v>9.7215414001307607</c:v>
              </c:pt>
              <c:pt idx="2">
                <c:v>10.870147369065499</c:v>
              </c:pt>
              <c:pt idx="3">
                <c:v>12.621889514799101</c:v>
              </c:pt>
              <c:pt idx="4">
                <c:v>15.0403854979348</c:v>
              </c:pt>
              <c:pt idx="5">
                <c:v>17.179182869199799</c:v>
              </c:pt>
              <c:pt idx="6">
                <c:v>19.898057963150499</c:v>
              </c:pt>
              <c:pt idx="7">
                <c:v>21.980995827473599</c:v>
              </c:pt>
              <c:pt idx="8">
                <c:v>25.532284477032398</c:v>
              </c:pt>
              <c:pt idx="9">
                <c:v>28.609076018512098</c:v>
              </c:pt>
              <c:pt idx="10">
                <c:v>39.058006454809203</c:v>
              </c:pt>
              <c:pt idx="11">
                <c:v>56.372046550328399</c:v>
              </c:pt>
              <c:pt idx="12">
                <c:v>69.109346873032905</c:v>
              </c:pt>
              <c:pt idx="13">
                <c:v>82.990832138941002</c:v>
              </c:pt>
              <c:pt idx="14">
                <c:v>96.872317404849198</c:v>
              </c:pt>
              <c:pt idx="15">
                <c:v>110.753802670757</c:v>
              </c:pt>
              <c:pt idx="16">
                <c:v>124.635287936666</c:v>
              </c:pt>
              <c:pt idx="17">
                <c:v>138.51677320257301</c:v>
              </c:pt>
              <c:pt idx="18">
                <c:v>152.398258468481</c:v>
              </c:pt>
              <c:pt idx="19">
                <c:v>166.27974373439</c:v>
              </c:pt>
              <c:pt idx="20">
                <c:v>180.16122900029799</c:v>
              </c:pt>
              <c:pt idx="21">
                <c:v>194.04271426620599</c:v>
              </c:pt>
              <c:pt idx="22">
                <c:v>207.92419953211399</c:v>
              </c:pt>
              <c:pt idx="23">
                <c:v>221.80568479802201</c:v>
              </c:pt>
              <c:pt idx="24">
                <c:v>235.68717006393001</c:v>
              </c:pt>
              <c:pt idx="25">
                <c:v>249.56865532983801</c:v>
              </c:pt>
              <c:pt idx="26">
                <c:v>263.45014059574697</c:v>
              </c:pt>
              <c:pt idx="27">
                <c:v>277.33162586165503</c:v>
              </c:pt>
              <c:pt idx="28">
                <c:v>291.21311112756302</c:v>
              </c:pt>
              <c:pt idx="29">
                <c:v>305.09459639347102</c:v>
              </c:pt>
            </c:numLit>
          </c:val>
          <c:extLst>
            <c:ext xmlns:c16="http://schemas.microsoft.com/office/drawing/2014/chart" uri="{C3380CC4-5D6E-409C-BE32-E72D297353CC}">
              <c16:uniqueId val="{00000000-54D6-49FF-B9BD-8825C60F86BC}"/>
            </c:ext>
          </c:extLst>
        </c:ser>
        <c:ser>
          <c:idx val="1"/>
          <c:order val="1"/>
          <c:tx>
            <c:v>Rajasthan</c:v>
          </c:tx>
          <c:spPr>
            <a:gradFill>
              <a:gsLst>
                <a:gs pos="0">
                  <a:srgbClr val="F08C56"/>
                </a:gs>
                <a:gs pos="100000">
                  <a:srgbClr val="E46B19"/>
                </a:gs>
              </a:gsLst>
              <a:lin ang="5400000"/>
            </a:gradFill>
            <a:ln>
              <a:noFill/>
            </a:ln>
          </c:spPr>
          <c:invertIfNegative val="0"/>
          <c:cat>
            <c:strLit>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strLit>
          </c:cat>
          <c:val>
            <c:numLit>
              <c:formatCode>General</c:formatCode>
              <c:ptCount val="30"/>
              <c:pt idx="0">
                <c:v>5.5235641773513997</c:v>
              </c:pt>
              <c:pt idx="1">
                <c:v>6.4877781066548001</c:v>
              </c:pt>
              <c:pt idx="2">
                <c:v>7.2946165812265704</c:v>
              </c:pt>
              <c:pt idx="3">
                <c:v>8.4282543352874004</c:v>
              </c:pt>
              <c:pt idx="4">
                <c:v>9.8294489174082305</c:v>
              </c:pt>
              <c:pt idx="5">
                <c:v>11.4584492508277</c:v>
              </c:pt>
              <c:pt idx="6">
                <c:v>13.046888577354</c:v>
              </c:pt>
              <c:pt idx="7">
                <c:v>14.493385119746801</c:v>
              </c:pt>
              <c:pt idx="8">
                <c:v>16.242851051638201</c:v>
              </c:pt>
              <c:pt idx="9">
                <c:v>17.491723996934301</c:v>
              </c:pt>
              <c:pt idx="10">
                <c:v>19.068249782205701</c:v>
              </c:pt>
              <c:pt idx="11">
                <c:v>20.355920847645798</c:v>
              </c:pt>
              <c:pt idx="12">
                <c:v>22.526644947403799</c:v>
              </c:pt>
              <c:pt idx="13">
                <c:v>26.717692411845</c:v>
              </c:pt>
              <c:pt idx="14">
                <c:v>32.044935842391702</c:v>
              </c:pt>
              <c:pt idx="15">
                <c:v>39.726143060724702</c:v>
              </c:pt>
              <c:pt idx="16">
                <c:v>45.256057468410297</c:v>
              </c:pt>
              <c:pt idx="17">
                <c:v>50.767798326177001</c:v>
              </c:pt>
              <c:pt idx="18">
                <c:v>59.350755148976297</c:v>
              </c:pt>
              <c:pt idx="19">
                <c:v>68.255774008066297</c:v>
              </c:pt>
              <c:pt idx="20">
                <c:v>76.365308451827005</c:v>
              </c:pt>
              <c:pt idx="21">
                <c:v>87.449442689467006</c:v>
              </c:pt>
              <c:pt idx="22">
                <c:v>94.153394759197298</c:v>
              </c:pt>
              <c:pt idx="23">
                <c:v>111.943104164573</c:v>
              </c:pt>
              <c:pt idx="24">
                <c:v>116.464909865316</c:v>
              </c:pt>
              <c:pt idx="25">
                <c:v>156.122374055394</c:v>
              </c:pt>
              <c:pt idx="26">
                <c:v>141.22718240541201</c:v>
              </c:pt>
              <c:pt idx="27">
                <c:v>155.76186462592599</c:v>
              </c:pt>
              <c:pt idx="28">
                <c:v>170.90610032006501</c:v>
              </c:pt>
              <c:pt idx="29">
                <c:v>188.09560184299701</c:v>
              </c:pt>
            </c:numLit>
          </c:val>
          <c:extLst>
            <c:ext xmlns:c16="http://schemas.microsoft.com/office/drawing/2014/chart" uri="{C3380CC4-5D6E-409C-BE32-E72D297353CC}">
              <c16:uniqueId val="{00000001-54D6-49FF-B9BD-8825C60F86BC}"/>
            </c:ext>
          </c:extLst>
        </c:ser>
        <c:dLbls>
          <c:showLegendKey val="0"/>
          <c:showVal val="0"/>
          <c:showCatName val="0"/>
          <c:showSerName val="0"/>
          <c:showPercent val="0"/>
          <c:showBubbleSize val="0"/>
        </c:dLbls>
        <c:gapWidth val="150"/>
        <c:overlap val="-24"/>
        <c:axId val="1301467536"/>
        <c:axId val="1301466288"/>
      </c:barChart>
      <c:valAx>
        <c:axId val="1301466288"/>
        <c:scaling>
          <c:orientation val="minMax"/>
        </c:scaling>
        <c:delete val="0"/>
        <c:axPos val="l"/>
        <c:majorGridlines>
          <c:spPr>
            <a:ln w="9360">
              <a:solidFill>
                <a:srgbClr val="E0E5EB"/>
              </a:solidFill>
            </a:ln>
          </c:spPr>
        </c:majorGridlines>
        <c:title>
          <c:tx>
            <c:rich>
              <a:bodyPr/>
              <a:lstStyle/>
              <a:p>
                <a:pPr>
                  <a:defRPr sz="1300" b="0"/>
                </a:pPr>
                <a:r>
                  <a:rPr lang="en-IN" sz="900" b="1" baseline="0">
                    <a:solidFill>
                      <a:srgbClr val="44546A"/>
                    </a:solidFill>
                    <a:latin typeface="Calibri"/>
                  </a:rPr>
                  <a:t>Per Capita Deposit</a:t>
                </a:r>
              </a:p>
            </c:rich>
          </c:tx>
          <c:overlay val="0"/>
        </c:title>
        <c:numFmt formatCode="General" sourceLinked="0"/>
        <c:majorTickMark val="none"/>
        <c:minorTickMark val="none"/>
        <c:tickLblPos val="nextTo"/>
        <c:spPr>
          <a:ln>
            <a:noFill/>
          </a:ln>
        </c:spPr>
        <c:txPr>
          <a:bodyPr/>
          <a:lstStyle/>
          <a:p>
            <a:pPr>
              <a:defRPr sz="900" b="0" baseline="0">
                <a:solidFill>
                  <a:srgbClr val="44546A"/>
                </a:solidFill>
                <a:latin typeface="Calibri"/>
              </a:defRPr>
            </a:pPr>
            <a:endParaRPr lang="en-US"/>
          </a:p>
        </c:txPr>
        <c:crossAx val="1301467536"/>
        <c:crossesAt val="0"/>
        <c:crossBetween val="between"/>
      </c:valAx>
      <c:catAx>
        <c:axId val="1301467536"/>
        <c:scaling>
          <c:orientation val="minMax"/>
        </c:scaling>
        <c:delete val="0"/>
        <c:axPos val="b"/>
        <c:title>
          <c:tx>
            <c:rich>
              <a:bodyPr/>
              <a:lstStyle/>
              <a:p>
                <a:pPr>
                  <a:defRPr sz="1300" b="0"/>
                </a:pPr>
                <a:r>
                  <a:rPr lang="en-IN" sz="900" b="1" baseline="0">
                    <a:solidFill>
                      <a:srgbClr val="44546A"/>
                    </a:solidFill>
                    <a:latin typeface="Calibri"/>
                  </a:rPr>
                  <a:t>Years</a:t>
                </a:r>
              </a:p>
            </c:rich>
          </c:tx>
          <c:overlay val="0"/>
        </c:title>
        <c:numFmt formatCode="General" sourceLinked="0"/>
        <c:majorTickMark val="none"/>
        <c:minorTickMark val="none"/>
        <c:tickLblPos val="nextTo"/>
        <c:spPr>
          <a:ln w="9360">
            <a:solidFill>
              <a:srgbClr val="E0E5EB"/>
            </a:solidFill>
          </a:ln>
        </c:spPr>
        <c:txPr>
          <a:bodyPr/>
          <a:lstStyle/>
          <a:p>
            <a:pPr>
              <a:defRPr sz="900" b="0" baseline="0">
                <a:solidFill>
                  <a:srgbClr val="44546A"/>
                </a:solidFill>
                <a:latin typeface="Calibri"/>
              </a:defRPr>
            </a:pPr>
            <a:endParaRPr lang="en-US"/>
          </a:p>
        </c:txPr>
        <c:crossAx val="1301466288"/>
        <c:crossesAt val="0"/>
        <c:auto val="1"/>
        <c:lblAlgn val="ctr"/>
        <c:lblOffset val="100"/>
        <c:noMultiLvlLbl val="0"/>
      </c:catAx>
      <c:spPr>
        <a:noFill/>
      </c:spPr>
    </c:plotArea>
    <c:legend>
      <c:legendPos val="b"/>
      <c:overlay val="0"/>
      <c:spPr>
        <a:noFill/>
        <a:ln>
          <a:noFill/>
        </a:ln>
      </c:spPr>
      <c:txPr>
        <a:bodyPr/>
        <a:lstStyle/>
        <a:p>
          <a:pPr>
            <a:defRPr sz="900" b="0" baseline="0">
              <a:solidFill>
                <a:srgbClr val="44546A"/>
              </a:solidFill>
              <a:latin typeface="Calibri"/>
            </a:defRPr>
          </a:pPr>
          <a:endParaRPr lang="en-US"/>
        </a:p>
      </c:txPr>
    </c:legend>
    <c:plotVisOnly val="1"/>
    <c:dispBlanksAs val="gap"/>
    <c:showDLblsOverMax val="0"/>
  </c:chart>
  <c:spPr>
    <a:ln w="9360">
      <a:solidFill>
        <a:srgbClr val="E0E5EB"/>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barChart>
        <c:barDir val="col"/>
        <c:grouping val="clustered"/>
        <c:varyColors val="0"/>
        <c:ser>
          <c:idx val="0"/>
          <c:order val="0"/>
          <c:tx>
            <c:v>India </c:v>
          </c:tx>
          <c:spPr>
            <a:gradFill>
              <a:gsLst>
                <a:gs pos="0">
                  <a:srgbClr val="6082CA"/>
                </a:gs>
                <a:gs pos="100000">
                  <a:srgbClr val="2F61BA"/>
                </a:gs>
              </a:gsLst>
              <a:lin ang="5400000"/>
            </a:gradFill>
            <a:ln>
              <a:noFill/>
            </a:ln>
          </c:spPr>
          <c:invertIfNegative val="0"/>
          <c:cat>
            <c:strLit>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strLit>
          </c:cat>
          <c:val>
            <c:numLit>
              <c:formatCode>General</c:formatCode>
              <c:ptCount val="30"/>
              <c:pt idx="0">
                <c:v>29.4868225164774</c:v>
              </c:pt>
              <c:pt idx="1">
                <c:v>36.308026644495101</c:v>
              </c:pt>
              <c:pt idx="2">
                <c:v>44.941096489793999</c:v>
              </c:pt>
              <c:pt idx="3">
                <c:v>51.129800492168698</c:v>
              </c:pt>
              <c:pt idx="4">
                <c:v>61.575229719881101</c:v>
              </c:pt>
              <c:pt idx="5">
                <c:v>63.004256049756698</c:v>
              </c:pt>
              <c:pt idx="6">
                <c:v>84.619702151521906</c:v>
              </c:pt>
              <c:pt idx="7">
                <c:v>88.470458599135796</c:v>
              </c:pt>
              <c:pt idx="8">
                <c:v>116.33480011901</c:v>
              </c:pt>
              <c:pt idx="9">
                <c:v>127.07240485889101</c:v>
              </c:pt>
              <c:pt idx="10">
                <c:v>132.59665231165599</c:v>
              </c:pt>
              <c:pt idx="11">
                <c:v>149.37862207873101</c:v>
              </c:pt>
              <c:pt idx="12">
                <c:v>177.19147644463601</c:v>
              </c:pt>
              <c:pt idx="13">
                <c:v>206.16876636923499</c:v>
              </c:pt>
              <c:pt idx="14">
                <c:v>225.90919278760001</c:v>
              </c:pt>
              <c:pt idx="15">
                <c:v>258.75086684139501</c:v>
              </c:pt>
              <c:pt idx="16">
                <c:v>281.94092078272399</c:v>
              </c:pt>
              <c:pt idx="17">
                <c:v>337.60012945220302</c:v>
              </c:pt>
              <c:pt idx="18">
                <c:v>366.994140499693</c:v>
              </c:pt>
              <c:pt idx="19">
                <c:v>430.70206387056601</c:v>
              </c:pt>
              <c:pt idx="20">
                <c:v>452.759818852899</c:v>
              </c:pt>
              <c:pt idx="21">
                <c:v>476.87811414055398</c:v>
              </c:pt>
              <c:pt idx="22">
                <c:v>463.29145154513901</c:v>
              </c:pt>
              <c:pt idx="23">
                <c:v>459.31702240814002</c:v>
              </c:pt>
              <c:pt idx="24">
                <c:v>445.07570626230199</c:v>
              </c:pt>
              <c:pt idx="25">
                <c:v>426.06604950741303</c:v>
              </c:pt>
              <c:pt idx="26">
                <c:v>385.98284113144001</c:v>
              </c:pt>
              <c:pt idx="27">
                <c:v>371.32911106047902</c:v>
              </c:pt>
              <c:pt idx="28">
                <c:v>362.373436705367</c:v>
              </c:pt>
              <c:pt idx="29">
                <c:v>351.99377855675402</c:v>
              </c:pt>
            </c:numLit>
          </c:val>
          <c:extLst>
            <c:ext xmlns:c16="http://schemas.microsoft.com/office/drawing/2014/chart" uri="{C3380CC4-5D6E-409C-BE32-E72D297353CC}">
              <c16:uniqueId val="{00000000-2E8A-44BE-B71B-C3408059EE78}"/>
            </c:ext>
          </c:extLst>
        </c:ser>
        <c:ser>
          <c:idx val="1"/>
          <c:order val="1"/>
          <c:tx>
            <c:v>Rajasthan</c:v>
          </c:tx>
          <c:spPr>
            <a:gradFill>
              <a:gsLst>
                <a:gs pos="0">
                  <a:srgbClr val="F08C56"/>
                </a:gs>
                <a:gs pos="100000">
                  <a:srgbClr val="E46B19"/>
                </a:gs>
              </a:gsLst>
              <a:lin ang="5400000"/>
            </a:gradFill>
            <a:ln>
              <a:noFill/>
            </a:ln>
          </c:spPr>
          <c:invertIfNegative val="0"/>
          <c:cat>
            <c:strLit>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strLit>
          </c:cat>
          <c:val>
            <c:numLit>
              <c:formatCode>General</c:formatCode>
              <c:ptCount val="30"/>
              <c:pt idx="0">
                <c:v>2.7995750831283299</c:v>
              </c:pt>
              <c:pt idx="1">
                <c:v>3.22481586996201</c:v>
              </c:pt>
              <c:pt idx="2">
                <c:v>3.2504661053497599</c:v>
              </c:pt>
              <c:pt idx="3">
                <c:v>4.1867134794491703</c:v>
              </c:pt>
              <c:pt idx="4">
                <c:v>5.0295172370055701</c:v>
              </c:pt>
              <c:pt idx="5">
                <c:v>5.8941828443799302</c:v>
              </c:pt>
              <c:pt idx="6">
                <c:v>6.4193145937917704</c:v>
              </c:pt>
              <c:pt idx="7">
                <c:v>7.1846069826657697</c:v>
              </c:pt>
              <c:pt idx="8">
                <c:v>8.9266215205947006</c:v>
              </c:pt>
              <c:pt idx="9">
                <c:v>9.5139454302463999</c:v>
              </c:pt>
              <c:pt idx="10">
                <c:v>11.80271761919</c:v>
              </c:pt>
              <c:pt idx="11">
                <c:v>15.456006818403401</c:v>
              </c:pt>
              <c:pt idx="12">
                <c:v>19.182000253453101</c:v>
              </c:pt>
              <c:pt idx="13">
                <c:v>24.091300037993101</c:v>
              </c:pt>
              <c:pt idx="14">
                <c:v>32.006836940049297</c:v>
              </c:pt>
              <c:pt idx="15">
                <c:v>38.590624309430702</c:v>
              </c:pt>
              <c:pt idx="16">
                <c:v>43.676523507593302</c:v>
              </c:pt>
              <c:pt idx="17">
                <c:v>48.887691457919999</c:v>
              </c:pt>
              <c:pt idx="18">
                <c:v>56.611903221832002</c:v>
              </c:pt>
              <c:pt idx="19">
                <c:v>66.830180173893297</c:v>
              </c:pt>
              <c:pt idx="20">
                <c:v>68.501464992974306</c:v>
              </c:pt>
              <c:pt idx="21">
                <c:v>77.034572708789</c:v>
              </c:pt>
              <c:pt idx="22">
                <c:v>69.308269874461701</c:v>
              </c:pt>
              <c:pt idx="23">
                <c:v>77.249983004213703</c:v>
              </c:pt>
              <c:pt idx="24">
                <c:v>90.653325381451296</c:v>
              </c:pt>
              <c:pt idx="25">
                <c:v>101.391411319178</c:v>
              </c:pt>
              <c:pt idx="26">
                <c:v>115.654130212721</c:v>
              </c:pt>
              <c:pt idx="27">
                <c:v>124.94165339848701</c:v>
              </c:pt>
              <c:pt idx="28">
                <c:v>139.33753665051699</c:v>
              </c:pt>
              <c:pt idx="29">
                <c:v>158.62716693060801</c:v>
              </c:pt>
            </c:numLit>
          </c:val>
          <c:extLst>
            <c:ext xmlns:c16="http://schemas.microsoft.com/office/drawing/2014/chart" uri="{C3380CC4-5D6E-409C-BE32-E72D297353CC}">
              <c16:uniqueId val="{00000001-2E8A-44BE-B71B-C3408059EE78}"/>
            </c:ext>
          </c:extLst>
        </c:ser>
        <c:dLbls>
          <c:showLegendKey val="0"/>
          <c:showVal val="0"/>
          <c:showCatName val="0"/>
          <c:showSerName val="0"/>
          <c:showPercent val="0"/>
          <c:showBubbleSize val="0"/>
        </c:dLbls>
        <c:gapWidth val="150"/>
        <c:overlap val="-24"/>
        <c:axId val="1301465872"/>
        <c:axId val="1301464624"/>
      </c:barChart>
      <c:valAx>
        <c:axId val="1301464624"/>
        <c:scaling>
          <c:orientation val="minMax"/>
        </c:scaling>
        <c:delete val="0"/>
        <c:axPos val="l"/>
        <c:majorGridlines>
          <c:spPr>
            <a:ln w="9360">
              <a:solidFill>
                <a:srgbClr val="E0E5EB"/>
              </a:solidFill>
            </a:ln>
          </c:spPr>
        </c:majorGridlines>
        <c:title>
          <c:tx>
            <c:rich>
              <a:bodyPr/>
              <a:lstStyle/>
              <a:p>
                <a:pPr>
                  <a:defRPr sz="1300" b="0"/>
                </a:pPr>
                <a:r>
                  <a:rPr lang="en-IN" sz="900" b="1" baseline="0">
                    <a:solidFill>
                      <a:srgbClr val="44546A"/>
                    </a:solidFill>
                    <a:latin typeface="Calibri"/>
                  </a:rPr>
                  <a:t>Per Capita Credit</a:t>
                </a:r>
              </a:p>
            </c:rich>
          </c:tx>
          <c:overlay val="0"/>
        </c:title>
        <c:numFmt formatCode="General" sourceLinked="0"/>
        <c:majorTickMark val="none"/>
        <c:minorTickMark val="none"/>
        <c:tickLblPos val="nextTo"/>
        <c:spPr>
          <a:ln>
            <a:noFill/>
          </a:ln>
        </c:spPr>
        <c:txPr>
          <a:bodyPr/>
          <a:lstStyle/>
          <a:p>
            <a:pPr>
              <a:defRPr sz="900" b="0" baseline="0">
                <a:solidFill>
                  <a:srgbClr val="44546A"/>
                </a:solidFill>
                <a:latin typeface="Calibri"/>
              </a:defRPr>
            </a:pPr>
            <a:endParaRPr lang="en-US"/>
          </a:p>
        </c:txPr>
        <c:crossAx val="1301465872"/>
        <c:crossesAt val="0"/>
        <c:crossBetween val="between"/>
      </c:valAx>
      <c:catAx>
        <c:axId val="1301465872"/>
        <c:scaling>
          <c:orientation val="minMax"/>
        </c:scaling>
        <c:delete val="0"/>
        <c:axPos val="b"/>
        <c:title>
          <c:tx>
            <c:rich>
              <a:bodyPr/>
              <a:lstStyle/>
              <a:p>
                <a:pPr>
                  <a:defRPr sz="1300" b="0"/>
                </a:pPr>
                <a:r>
                  <a:rPr lang="en-IN" sz="900" b="1" baseline="0">
                    <a:solidFill>
                      <a:srgbClr val="44546A"/>
                    </a:solidFill>
                    <a:latin typeface="Calibri"/>
                  </a:rPr>
                  <a:t>Years</a:t>
                </a:r>
              </a:p>
            </c:rich>
          </c:tx>
          <c:overlay val="0"/>
        </c:title>
        <c:numFmt formatCode="General" sourceLinked="0"/>
        <c:majorTickMark val="none"/>
        <c:minorTickMark val="none"/>
        <c:tickLblPos val="nextTo"/>
        <c:spPr>
          <a:ln w="9360">
            <a:solidFill>
              <a:srgbClr val="E0E5EB"/>
            </a:solidFill>
          </a:ln>
        </c:spPr>
        <c:txPr>
          <a:bodyPr/>
          <a:lstStyle/>
          <a:p>
            <a:pPr>
              <a:defRPr sz="900" b="0" baseline="0">
                <a:solidFill>
                  <a:srgbClr val="44546A"/>
                </a:solidFill>
                <a:latin typeface="Calibri"/>
              </a:defRPr>
            </a:pPr>
            <a:endParaRPr lang="en-US"/>
          </a:p>
        </c:txPr>
        <c:crossAx val="1301464624"/>
        <c:crossesAt val="0"/>
        <c:auto val="1"/>
        <c:lblAlgn val="ctr"/>
        <c:lblOffset val="100"/>
        <c:noMultiLvlLbl val="0"/>
      </c:catAx>
      <c:spPr>
        <a:noFill/>
      </c:spPr>
    </c:plotArea>
    <c:legend>
      <c:legendPos val="b"/>
      <c:overlay val="0"/>
      <c:spPr>
        <a:noFill/>
        <a:ln>
          <a:noFill/>
        </a:ln>
      </c:spPr>
      <c:txPr>
        <a:bodyPr/>
        <a:lstStyle/>
        <a:p>
          <a:pPr>
            <a:defRPr sz="900" b="0" baseline="0">
              <a:solidFill>
                <a:srgbClr val="44546A"/>
              </a:solidFill>
              <a:latin typeface="Calibri"/>
            </a:defRPr>
          </a:pPr>
          <a:endParaRPr lang="en-US"/>
        </a:p>
      </c:txPr>
    </c:legend>
    <c:plotVisOnly val="1"/>
    <c:dispBlanksAs val="gap"/>
    <c:showDLblsOverMax val="0"/>
  </c:chart>
  <c:spPr>
    <a:ln w="9360">
      <a:solidFill>
        <a:srgbClr val="E0E5EB"/>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autoTitleDeleted val="1"/>
    <c:plotArea>
      <c:layout/>
      <c:barChart>
        <c:barDir val="col"/>
        <c:grouping val="clustered"/>
        <c:varyColors val="0"/>
        <c:ser>
          <c:idx val="0"/>
          <c:order val="0"/>
          <c:tx>
            <c:v>Per capita deposit</c:v>
          </c:tx>
          <c:spPr>
            <a:gradFill>
              <a:gsLst>
                <a:gs pos="0">
                  <a:srgbClr val="6082CA"/>
                </a:gs>
                <a:gs pos="100000">
                  <a:srgbClr val="2F61BA"/>
                </a:gs>
              </a:gsLst>
              <a:lin ang="5400000"/>
            </a:gradFill>
            <a:ln>
              <a:noFill/>
            </a:ln>
          </c:spPr>
          <c:invertIfNegative val="0"/>
          <c:cat>
            <c:strLit>
              <c:ptCount val="30"/>
              <c:pt idx="0">
                <c:v>Ajmer</c:v>
              </c:pt>
              <c:pt idx="1">
                <c:v>Alwar</c:v>
              </c:pt>
              <c:pt idx="2">
                <c:v>Banswara</c:v>
              </c:pt>
              <c:pt idx="3">
                <c:v>Baran</c:v>
              </c:pt>
              <c:pt idx="4">
                <c:v>Barmer</c:v>
              </c:pt>
              <c:pt idx="5">
                <c:v>Bharatpur</c:v>
              </c:pt>
              <c:pt idx="6">
                <c:v>Bhilwara</c:v>
              </c:pt>
              <c:pt idx="7">
                <c:v>Bikaner</c:v>
              </c:pt>
              <c:pt idx="8">
                <c:v>Bundi</c:v>
              </c:pt>
              <c:pt idx="9">
                <c:v>Chittaurgarh</c:v>
              </c:pt>
              <c:pt idx="10">
                <c:v>Churu </c:v>
              </c:pt>
              <c:pt idx="11">
                <c:v>Dausa</c:v>
              </c:pt>
              <c:pt idx="12">
                <c:v>Dholpur</c:v>
              </c:pt>
              <c:pt idx="13">
                <c:v>Dungarpur</c:v>
              </c:pt>
              <c:pt idx="14">
                <c:v>Ganganagar</c:v>
              </c:pt>
              <c:pt idx="15">
                <c:v>Jaipur</c:v>
              </c:pt>
              <c:pt idx="16">
                <c:v>Jaisalmer</c:v>
              </c:pt>
              <c:pt idx="17">
                <c:v>Jalor</c:v>
              </c:pt>
              <c:pt idx="18">
                <c:v>Jhalawar</c:v>
              </c:pt>
              <c:pt idx="19">
                <c:v>Jhunjhunu</c:v>
              </c:pt>
              <c:pt idx="20">
                <c:v>Jodhpur</c:v>
              </c:pt>
              <c:pt idx="21">
                <c:v>Kota</c:v>
              </c:pt>
              <c:pt idx="22">
                <c:v>Nagaur</c:v>
              </c:pt>
              <c:pt idx="23">
                <c:v>Pali</c:v>
              </c:pt>
              <c:pt idx="24">
                <c:v>Rajsamand</c:v>
              </c:pt>
              <c:pt idx="25">
                <c:v>Sawai Madhopur</c:v>
              </c:pt>
              <c:pt idx="26">
                <c:v>Sikar</c:v>
              </c:pt>
              <c:pt idx="27">
                <c:v>Sirohi</c:v>
              </c:pt>
              <c:pt idx="28">
                <c:v>Tonk</c:v>
              </c:pt>
              <c:pt idx="29">
                <c:v>Udaipur</c:v>
              </c:pt>
            </c:strLit>
          </c:cat>
          <c:val>
            <c:numLit>
              <c:formatCode>General</c:formatCode>
              <c:ptCount val="30"/>
              <c:pt idx="0">
                <c:v>9.67</c:v>
              </c:pt>
              <c:pt idx="1">
                <c:v>6.0049999999999999</c:v>
              </c:pt>
              <c:pt idx="2">
                <c:v>2.8620000000000001</c:v>
              </c:pt>
              <c:pt idx="3">
                <c:v>3.0249999999999999</c:v>
              </c:pt>
              <c:pt idx="4">
                <c:v>2.8180000000000001</c:v>
              </c:pt>
              <c:pt idx="5">
                <c:v>3.59</c:v>
              </c:pt>
              <c:pt idx="6">
                <c:v>5.133</c:v>
              </c:pt>
              <c:pt idx="7">
                <c:v>7.4340000000000002</c:v>
              </c:pt>
              <c:pt idx="8">
                <c:v>3.4140000000000001</c:v>
              </c:pt>
              <c:pt idx="9">
                <c:v>3.9569999999999999</c:v>
              </c:pt>
              <c:pt idx="10">
                <c:v>3.198</c:v>
              </c:pt>
              <c:pt idx="11">
                <c:v>3.621</c:v>
              </c:pt>
              <c:pt idx="12">
                <c:v>2.1030000000000002</c:v>
              </c:pt>
              <c:pt idx="13">
                <c:v>3.093</c:v>
              </c:pt>
              <c:pt idx="14">
                <c:v>0.85499999999999998</c:v>
              </c:pt>
              <c:pt idx="15">
                <c:v>25.006</c:v>
              </c:pt>
              <c:pt idx="16">
                <c:v>1.548</c:v>
              </c:pt>
              <c:pt idx="17">
                <c:v>1.9379999999999999</c:v>
              </c:pt>
              <c:pt idx="18">
                <c:v>1.4179999999999999</c:v>
              </c:pt>
              <c:pt idx="19">
                <c:v>5.0430000000000001</c:v>
              </c:pt>
              <c:pt idx="20">
                <c:v>9.9280000000000008</c:v>
              </c:pt>
              <c:pt idx="21">
                <c:v>9.7840000000000007</c:v>
              </c:pt>
              <c:pt idx="22">
                <c:v>3.1219999999999999</c:v>
              </c:pt>
              <c:pt idx="23">
                <c:v>4.1909999999999998</c:v>
              </c:pt>
              <c:pt idx="24">
                <c:v>4.4820000000000002</c:v>
              </c:pt>
              <c:pt idx="25">
                <c:v>1.2629999999999999</c:v>
              </c:pt>
              <c:pt idx="26">
                <c:v>4.8810000000000002</c:v>
              </c:pt>
              <c:pt idx="27">
                <c:v>5.49</c:v>
              </c:pt>
              <c:pt idx="28">
                <c:v>4.0069999999999997</c:v>
              </c:pt>
              <c:pt idx="29">
                <c:v>10.706</c:v>
              </c:pt>
            </c:numLit>
          </c:val>
          <c:extLst>
            <c:ext xmlns:c16="http://schemas.microsoft.com/office/drawing/2014/chart" uri="{C3380CC4-5D6E-409C-BE32-E72D297353CC}">
              <c16:uniqueId val="{00000000-1BCE-44BD-92E2-45F79F7A8928}"/>
            </c:ext>
          </c:extLst>
        </c:ser>
        <c:ser>
          <c:idx val="1"/>
          <c:order val="1"/>
          <c:tx>
            <c:v>Per Capita Credit</c:v>
          </c:tx>
          <c:spPr>
            <a:gradFill>
              <a:gsLst>
                <a:gs pos="0">
                  <a:srgbClr val="F08C56"/>
                </a:gs>
                <a:gs pos="100000">
                  <a:srgbClr val="E46B19"/>
                </a:gs>
              </a:gsLst>
              <a:lin ang="5400000"/>
            </a:gradFill>
            <a:ln>
              <a:noFill/>
            </a:ln>
          </c:spPr>
          <c:invertIfNegative val="0"/>
          <c:cat>
            <c:strLit>
              <c:ptCount val="30"/>
              <c:pt idx="0">
                <c:v>Ajmer</c:v>
              </c:pt>
              <c:pt idx="1">
                <c:v>Alwar</c:v>
              </c:pt>
              <c:pt idx="2">
                <c:v>Banswara</c:v>
              </c:pt>
              <c:pt idx="3">
                <c:v>Baran</c:v>
              </c:pt>
              <c:pt idx="4">
                <c:v>Barmer</c:v>
              </c:pt>
              <c:pt idx="5">
                <c:v>Bharatpur</c:v>
              </c:pt>
              <c:pt idx="6">
                <c:v>Bhilwara</c:v>
              </c:pt>
              <c:pt idx="7">
                <c:v>Bikaner</c:v>
              </c:pt>
              <c:pt idx="8">
                <c:v>Bundi</c:v>
              </c:pt>
              <c:pt idx="9">
                <c:v>Chittaurgarh</c:v>
              </c:pt>
              <c:pt idx="10">
                <c:v>Churu </c:v>
              </c:pt>
              <c:pt idx="11">
                <c:v>Dausa</c:v>
              </c:pt>
              <c:pt idx="12">
                <c:v>Dholpur</c:v>
              </c:pt>
              <c:pt idx="13">
                <c:v>Dungarpur</c:v>
              </c:pt>
              <c:pt idx="14">
                <c:v>Ganganagar</c:v>
              </c:pt>
              <c:pt idx="15">
                <c:v>Jaipur</c:v>
              </c:pt>
              <c:pt idx="16">
                <c:v>Jaisalmer</c:v>
              </c:pt>
              <c:pt idx="17">
                <c:v>Jalor</c:v>
              </c:pt>
              <c:pt idx="18">
                <c:v>Jhalawar</c:v>
              </c:pt>
              <c:pt idx="19">
                <c:v>Jhunjhunu</c:v>
              </c:pt>
              <c:pt idx="20">
                <c:v>Jodhpur</c:v>
              </c:pt>
              <c:pt idx="21">
                <c:v>Kota</c:v>
              </c:pt>
              <c:pt idx="22">
                <c:v>Nagaur</c:v>
              </c:pt>
              <c:pt idx="23">
                <c:v>Pali</c:v>
              </c:pt>
              <c:pt idx="24">
                <c:v>Rajsamand</c:v>
              </c:pt>
              <c:pt idx="25">
                <c:v>Sawai Madhopur</c:v>
              </c:pt>
              <c:pt idx="26">
                <c:v>Sikar</c:v>
              </c:pt>
              <c:pt idx="27">
                <c:v>Sirohi</c:v>
              </c:pt>
              <c:pt idx="28">
                <c:v>Tonk</c:v>
              </c:pt>
              <c:pt idx="29">
                <c:v>Udaipur</c:v>
              </c:pt>
            </c:strLit>
          </c:cat>
          <c:val>
            <c:numLit>
              <c:formatCode>General</c:formatCode>
              <c:ptCount val="30"/>
              <c:pt idx="0">
                <c:v>6.5759999999999996</c:v>
              </c:pt>
              <c:pt idx="1">
                <c:v>4.992</c:v>
              </c:pt>
              <c:pt idx="2">
                <c:v>2.0950000000000002</c:v>
              </c:pt>
              <c:pt idx="3">
                <c:v>3.02</c:v>
              </c:pt>
              <c:pt idx="4">
                <c:v>2.79</c:v>
              </c:pt>
              <c:pt idx="5">
                <c:v>2.4950000000000001</c:v>
              </c:pt>
              <c:pt idx="6">
                <c:v>6.875</c:v>
              </c:pt>
              <c:pt idx="7">
                <c:v>7.0519999999999996</c:v>
              </c:pt>
              <c:pt idx="8">
                <c:v>3.593</c:v>
              </c:pt>
              <c:pt idx="9">
                <c:v>3.673</c:v>
              </c:pt>
              <c:pt idx="10">
                <c:v>2.915</c:v>
              </c:pt>
              <c:pt idx="11">
                <c:v>2.6850000000000001</c:v>
              </c:pt>
              <c:pt idx="12">
                <c:v>1.329</c:v>
              </c:pt>
              <c:pt idx="13">
                <c:v>1.64</c:v>
              </c:pt>
              <c:pt idx="14">
                <c:v>0.499</c:v>
              </c:pt>
              <c:pt idx="15">
                <c:v>22.584</c:v>
              </c:pt>
              <c:pt idx="16">
                <c:v>1.9810000000000001</c:v>
              </c:pt>
              <c:pt idx="17">
                <c:v>1.5389999999999999</c:v>
              </c:pt>
              <c:pt idx="18">
                <c:v>1.522</c:v>
              </c:pt>
              <c:pt idx="19">
                <c:v>3.5510000000000002</c:v>
              </c:pt>
              <c:pt idx="20">
                <c:v>7.9359999999999999</c:v>
              </c:pt>
              <c:pt idx="21">
                <c:v>7.234</c:v>
              </c:pt>
              <c:pt idx="22">
                <c:v>2.98</c:v>
              </c:pt>
              <c:pt idx="23">
                <c:v>2.9550000000000001</c:v>
              </c:pt>
              <c:pt idx="24">
                <c:v>2.7469999999999999</c:v>
              </c:pt>
              <c:pt idx="25">
                <c:v>1.0449999999999999</c:v>
              </c:pt>
              <c:pt idx="26">
                <c:v>4.5629999999999997</c:v>
              </c:pt>
              <c:pt idx="27">
                <c:v>2.5089999999999999</c:v>
              </c:pt>
              <c:pt idx="28">
                <c:v>4.266</c:v>
              </c:pt>
              <c:pt idx="29">
                <c:v>7.4059999999999997</c:v>
              </c:pt>
            </c:numLit>
          </c:val>
          <c:extLst>
            <c:ext xmlns:c16="http://schemas.microsoft.com/office/drawing/2014/chart" uri="{C3380CC4-5D6E-409C-BE32-E72D297353CC}">
              <c16:uniqueId val="{00000001-1BCE-44BD-92E2-45F79F7A8928}"/>
            </c:ext>
          </c:extLst>
        </c:ser>
        <c:dLbls>
          <c:showLegendKey val="0"/>
          <c:showVal val="0"/>
          <c:showCatName val="0"/>
          <c:showSerName val="0"/>
          <c:showPercent val="0"/>
          <c:showBubbleSize val="0"/>
        </c:dLbls>
        <c:gapWidth val="150"/>
        <c:overlap val="-24"/>
        <c:axId val="1301464208"/>
        <c:axId val="1301465456"/>
      </c:barChart>
      <c:valAx>
        <c:axId val="1301465456"/>
        <c:scaling>
          <c:orientation val="minMax"/>
        </c:scaling>
        <c:delete val="0"/>
        <c:axPos val="l"/>
        <c:majorGridlines>
          <c:spPr>
            <a:ln w="9360">
              <a:solidFill>
                <a:srgbClr val="E0E5EB"/>
              </a:solidFill>
            </a:ln>
          </c:spPr>
        </c:majorGridlines>
        <c:title>
          <c:tx>
            <c:rich>
              <a:bodyPr/>
              <a:lstStyle/>
              <a:p>
                <a:pPr>
                  <a:defRPr sz="1300" b="0"/>
                </a:pPr>
                <a:r>
                  <a:rPr lang="en-IN" sz="900" b="1" baseline="0">
                    <a:solidFill>
                      <a:srgbClr val="44546A"/>
                    </a:solidFill>
                    <a:latin typeface="Calibri"/>
                  </a:rPr>
                  <a:t>Amount in Rs.</a:t>
                </a:r>
              </a:p>
            </c:rich>
          </c:tx>
          <c:overlay val="0"/>
        </c:title>
        <c:numFmt formatCode="General" sourceLinked="0"/>
        <c:majorTickMark val="none"/>
        <c:minorTickMark val="none"/>
        <c:tickLblPos val="nextTo"/>
        <c:spPr>
          <a:ln>
            <a:noFill/>
          </a:ln>
        </c:spPr>
        <c:txPr>
          <a:bodyPr/>
          <a:lstStyle/>
          <a:p>
            <a:pPr>
              <a:defRPr sz="900" b="0" baseline="0">
                <a:solidFill>
                  <a:srgbClr val="44546A"/>
                </a:solidFill>
                <a:latin typeface="Calibri"/>
              </a:defRPr>
            </a:pPr>
            <a:endParaRPr lang="en-US"/>
          </a:p>
        </c:txPr>
        <c:crossAx val="1301464208"/>
        <c:crossesAt val="0"/>
        <c:crossBetween val="between"/>
      </c:valAx>
      <c:catAx>
        <c:axId val="1301464208"/>
        <c:scaling>
          <c:orientation val="minMax"/>
        </c:scaling>
        <c:delete val="0"/>
        <c:axPos val="b"/>
        <c:title>
          <c:tx>
            <c:rich>
              <a:bodyPr/>
              <a:lstStyle/>
              <a:p>
                <a:pPr>
                  <a:defRPr sz="1300" b="0"/>
                </a:pPr>
                <a:r>
                  <a:rPr lang="en-IN" sz="900" b="1" baseline="0">
                    <a:solidFill>
                      <a:srgbClr val="44546A"/>
                    </a:solidFill>
                    <a:latin typeface="Calibri"/>
                  </a:rPr>
                  <a:t>Districts</a:t>
                </a:r>
              </a:p>
            </c:rich>
          </c:tx>
          <c:overlay val="0"/>
        </c:title>
        <c:numFmt formatCode="General" sourceLinked="0"/>
        <c:majorTickMark val="none"/>
        <c:minorTickMark val="none"/>
        <c:tickLblPos val="nextTo"/>
        <c:spPr>
          <a:ln w="9360">
            <a:solidFill>
              <a:srgbClr val="E0E5EB"/>
            </a:solidFill>
          </a:ln>
        </c:spPr>
        <c:txPr>
          <a:bodyPr/>
          <a:lstStyle/>
          <a:p>
            <a:pPr>
              <a:defRPr sz="900" b="0" baseline="0">
                <a:solidFill>
                  <a:srgbClr val="44546A"/>
                </a:solidFill>
                <a:latin typeface="Calibri"/>
              </a:defRPr>
            </a:pPr>
            <a:endParaRPr lang="en-US"/>
          </a:p>
        </c:txPr>
        <c:crossAx val="1301465456"/>
        <c:crossesAt val="0"/>
        <c:auto val="1"/>
        <c:lblAlgn val="ctr"/>
        <c:lblOffset val="100"/>
        <c:noMultiLvlLbl val="0"/>
      </c:catAx>
      <c:spPr>
        <a:noFill/>
      </c:spPr>
    </c:plotArea>
    <c:legend>
      <c:legendPos val="b"/>
      <c:overlay val="0"/>
      <c:spPr>
        <a:noFill/>
        <a:ln>
          <a:noFill/>
        </a:ln>
      </c:spPr>
      <c:txPr>
        <a:bodyPr/>
        <a:lstStyle/>
        <a:p>
          <a:pPr>
            <a:defRPr sz="900" b="0" baseline="0">
              <a:solidFill>
                <a:srgbClr val="44546A"/>
              </a:solidFill>
              <a:latin typeface="Calibri"/>
            </a:defRPr>
          </a:pPr>
          <a:endParaRPr lang="en-US"/>
        </a:p>
      </c:txPr>
    </c:legend>
    <c:plotVisOnly val="1"/>
    <c:dispBlanksAs val="gap"/>
    <c:showDLblsOverMax val="0"/>
  </c:chart>
  <c:spPr>
    <a:ln w="9360">
      <a:solidFill>
        <a:srgbClr val="E0E5EB"/>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44A8-DF67-47AC-B2A9-E2BA535A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17</Pages>
  <Words>7550</Words>
  <Characters>43039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SDI 1166</cp:lastModifiedBy>
  <cp:revision>396</cp:revision>
  <cp:lastPrinted>2026-03-15T14:38:00Z</cp:lastPrinted>
  <dcterms:created xsi:type="dcterms:W3CDTF">2026-03-09T05:49:00Z</dcterms:created>
  <dcterms:modified xsi:type="dcterms:W3CDTF">2026-04-04T11:52:00Z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GrammarlyDocumentId">
    <vt:lpwstr>4a78b316-db90-4c1b-8187-5cf34e2d3056</vt:lpwstr>
  </property>
</Properties>
</file>