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6BA560" w14:textId="77777777" w:rsidR="00045344" w:rsidRDefault="00045344" w:rsidP="002A0C70">
      <w:pPr>
        <w:pStyle w:val="Heading1"/>
        <w:spacing w:after="0" w:line="240" w:lineRule="auto"/>
        <w:jc w:val="center"/>
        <w:rPr>
          <w:rFonts w:ascii="Times New Roman" w:hAnsi="Times New Roman" w:cs="Times New Roman"/>
          <w:b/>
          <w:bCs/>
          <w:color w:val="auto"/>
          <w:sz w:val="24"/>
          <w:szCs w:val="24"/>
          <w:lang w:val="en-GB"/>
        </w:rPr>
      </w:pPr>
      <w:bookmarkStart w:id="0" w:name="_Toc220325800"/>
      <w:r w:rsidRPr="002A0C70">
        <w:rPr>
          <w:rFonts w:ascii="Times New Roman" w:hAnsi="Times New Roman" w:cs="Times New Roman"/>
          <w:b/>
          <w:bCs/>
          <w:color w:val="auto"/>
          <w:sz w:val="24"/>
          <w:szCs w:val="24"/>
          <w:lang w:val="en-GB"/>
        </w:rPr>
        <w:t>Net Export Performance and Future Outlook of Cassava in Tanzania: Evidence from ARIMA Modelling</w:t>
      </w:r>
      <w:bookmarkEnd w:id="0"/>
    </w:p>
    <w:p w14:paraId="6AB4FBBD" w14:textId="77777777" w:rsidR="002707EF" w:rsidRPr="002707EF" w:rsidRDefault="002707EF" w:rsidP="002707EF">
      <w:pPr>
        <w:rPr>
          <w:lang w:val="en-GB"/>
        </w:rPr>
      </w:pPr>
    </w:p>
    <w:p w14:paraId="6BB458CC" w14:textId="77777777" w:rsidR="00045344" w:rsidRPr="002A0C70" w:rsidRDefault="00045344" w:rsidP="002A0C70">
      <w:pPr>
        <w:spacing w:after="0" w:line="240" w:lineRule="auto"/>
        <w:jc w:val="center"/>
        <w:rPr>
          <w:rFonts w:ascii="Times New Roman" w:hAnsi="Times New Roman" w:cs="Times New Roman"/>
          <w:b/>
          <w:bCs/>
          <w:sz w:val="24"/>
          <w:szCs w:val="24"/>
          <w:lang w:val="en-GB"/>
        </w:rPr>
      </w:pPr>
    </w:p>
    <w:p w14:paraId="7A6170E5" w14:textId="77777777" w:rsidR="002707EF" w:rsidRDefault="002707EF" w:rsidP="002A0C70">
      <w:pPr>
        <w:spacing w:after="0" w:line="240" w:lineRule="auto"/>
        <w:jc w:val="center"/>
        <w:rPr>
          <w:rFonts w:ascii="Times New Roman" w:hAnsi="Times New Roman" w:cs="Times New Roman"/>
          <w:bCs/>
          <w:sz w:val="24"/>
          <w:szCs w:val="24"/>
        </w:rPr>
      </w:pPr>
      <w:bookmarkStart w:id="1" w:name="_GoBack"/>
      <w:bookmarkEnd w:id="1"/>
    </w:p>
    <w:p w14:paraId="7A6943D1" w14:textId="77777777" w:rsidR="00045344" w:rsidRPr="002A0C70" w:rsidRDefault="00045344" w:rsidP="002A0C70">
      <w:pPr>
        <w:pStyle w:val="Heading1"/>
        <w:spacing w:line="240" w:lineRule="auto"/>
        <w:rPr>
          <w:rFonts w:ascii="Times New Roman" w:hAnsi="Times New Roman" w:cs="Times New Roman"/>
          <w:b/>
          <w:bCs/>
          <w:color w:val="auto"/>
          <w:sz w:val="24"/>
          <w:szCs w:val="24"/>
        </w:rPr>
      </w:pPr>
      <w:bookmarkStart w:id="2" w:name="_Toc220325801"/>
      <w:r w:rsidRPr="002A0C70">
        <w:rPr>
          <w:rFonts w:ascii="Times New Roman" w:hAnsi="Times New Roman" w:cs="Times New Roman"/>
          <w:b/>
          <w:bCs/>
          <w:color w:val="auto"/>
          <w:sz w:val="24"/>
          <w:szCs w:val="24"/>
        </w:rPr>
        <w:t>Abstract</w:t>
      </w:r>
      <w:bookmarkEnd w:id="2"/>
    </w:p>
    <w:p w14:paraId="335B92F3" w14:textId="639F7760" w:rsidR="00045344" w:rsidRPr="002A0C70" w:rsidRDefault="00045344" w:rsidP="002A0C70">
      <w:pPr>
        <w:spacing w:after="0" w:line="240" w:lineRule="auto"/>
        <w:jc w:val="both"/>
        <w:rPr>
          <w:rFonts w:ascii="Times New Roman" w:hAnsi="Times New Roman" w:cs="Times New Roman"/>
          <w:sz w:val="24"/>
          <w:szCs w:val="24"/>
          <w:lang w:val="en-GB"/>
        </w:rPr>
      </w:pPr>
      <w:r w:rsidRPr="002A0C70">
        <w:rPr>
          <w:rFonts w:ascii="Times New Roman" w:hAnsi="Times New Roman" w:cs="Times New Roman"/>
          <w:sz w:val="24"/>
          <w:szCs w:val="24"/>
          <w:lang w:val="en-GB"/>
        </w:rPr>
        <w:t>Cassava (</w:t>
      </w:r>
      <w:r w:rsidRPr="002A0C70">
        <w:rPr>
          <w:rFonts w:ascii="Times New Roman" w:hAnsi="Times New Roman" w:cs="Times New Roman"/>
          <w:i/>
          <w:iCs/>
          <w:sz w:val="24"/>
          <w:szCs w:val="24"/>
          <w:lang w:val="en-GB"/>
        </w:rPr>
        <w:t>Manihot esculenta</w:t>
      </w:r>
      <w:r w:rsidRPr="002A0C70">
        <w:rPr>
          <w:rFonts w:ascii="Times New Roman" w:hAnsi="Times New Roman" w:cs="Times New Roman"/>
          <w:sz w:val="24"/>
          <w:szCs w:val="24"/>
          <w:lang w:val="en-GB"/>
        </w:rPr>
        <w:t xml:space="preserve"> Crantz) has become increasingly important for food security and rural livelihoods in Tanzania, with growing recognition as a valuable traded commodity across the East African region. Although Tanzania ranks among Africa's top cassava producers, there remains surprisingly limited empirical evidence documenting the country's long-term export performance and future trade prospects. This study analyses Tanzania's cassava net export performance from 1961 to 2024 and projects future trends through 2030 using time series econometric methods. We compiled secondary annual data from the FAOSTAT database (1961–2013) and Tanzania Revenue Authority customs records (2014–2024). Historical trade patterns were examined across four distinct policy regimes through descriptive statistics and trend analysis, while the Autoregressive Integrated Moving Average (ARIMA) modelling approach was employed for forecasting purposes. We tested the stationarity of the net export series using the Augmented Dickey–Fuller procedure and selected the optimal model based on Akaike and Bayesian Information Criteria. Our findings reveal that Tanzania sustained a positive cassava trade balance in 63 of 64 years, with net exports growing markedly during the post-liberali</w:t>
      </w:r>
      <w:r w:rsidR="00D75953">
        <w:rPr>
          <w:rFonts w:ascii="Times New Roman" w:hAnsi="Times New Roman" w:cs="Times New Roman"/>
          <w:sz w:val="24"/>
          <w:szCs w:val="24"/>
          <w:lang w:val="en-GB"/>
        </w:rPr>
        <w:t>s</w:t>
      </w:r>
      <w:r w:rsidRPr="002A0C70">
        <w:rPr>
          <w:rFonts w:ascii="Times New Roman" w:hAnsi="Times New Roman" w:cs="Times New Roman"/>
          <w:sz w:val="24"/>
          <w:szCs w:val="24"/>
          <w:lang w:val="en-GB"/>
        </w:rPr>
        <w:t>ation and modern growth periods. The ARIMA (2,1,0) model emerged as the best-fitting specification, forecasting stabili</w:t>
      </w:r>
      <w:r w:rsidR="00D75953">
        <w:rPr>
          <w:rFonts w:ascii="Times New Roman" w:hAnsi="Times New Roman" w:cs="Times New Roman"/>
          <w:sz w:val="24"/>
          <w:szCs w:val="24"/>
          <w:lang w:val="en-GB"/>
        </w:rPr>
        <w:t>s</w:t>
      </w:r>
      <w:r w:rsidRPr="002A0C70">
        <w:rPr>
          <w:rFonts w:ascii="Times New Roman" w:hAnsi="Times New Roman" w:cs="Times New Roman"/>
          <w:sz w:val="24"/>
          <w:szCs w:val="24"/>
          <w:lang w:val="en-GB"/>
        </w:rPr>
        <w:t>ation of net exports at approximately 44,000 to 46,000 metric tons per year from 2025 to 2030, though with progressively wider confidence intervals indicating increasing uncertainty. The evidence points to a fundamental transformation of Tanzania's cassava sector from minimal exporter to substantial regional supplier. We conclude that maintaining export momentum will necessitate strategic policy interventions, notably strengthening export infrastructure, facilitating regional trade flows, encouraging value-added processing</w:t>
      </w:r>
      <w:r w:rsidR="00133BE4" w:rsidRPr="002A0C70">
        <w:rPr>
          <w:rFonts w:ascii="Times New Roman" w:hAnsi="Times New Roman" w:cs="Times New Roman"/>
          <w:sz w:val="24"/>
          <w:szCs w:val="24"/>
          <w:lang w:val="en-GB"/>
        </w:rPr>
        <w:t xml:space="preserve"> at industrial scale</w:t>
      </w:r>
      <w:r w:rsidRPr="002A0C70">
        <w:rPr>
          <w:rFonts w:ascii="Times New Roman" w:hAnsi="Times New Roman" w:cs="Times New Roman"/>
          <w:sz w:val="24"/>
          <w:szCs w:val="24"/>
          <w:lang w:val="en-GB"/>
        </w:rPr>
        <w:t>, and ensuring domestic food security safeguards as cassava exports continue expanding.</w:t>
      </w:r>
    </w:p>
    <w:p w14:paraId="5B214F04" w14:textId="77777777" w:rsidR="00045344" w:rsidRPr="002A0C70" w:rsidRDefault="00045344" w:rsidP="002A0C70">
      <w:pPr>
        <w:spacing w:before="240" w:after="0" w:line="240" w:lineRule="auto"/>
        <w:jc w:val="both"/>
        <w:rPr>
          <w:rFonts w:ascii="Times New Roman" w:hAnsi="Times New Roman" w:cs="Times New Roman"/>
          <w:i/>
          <w:sz w:val="24"/>
          <w:szCs w:val="24"/>
          <w:lang w:val="en-GB"/>
        </w:rPr>
      </w:pPr>
      <w:r w:rsidRPr="002A0C70">
        <w:rPr>
          <w:rFonts w:ascii="Times New Roman" w:hAnsi="Times New Roman" w:cs="Times New Roman"/>
          <w:b/>
          <w:bCs/>
          <w:sz w:val="24"/>
          <w:szCs w:val="24"/>
        </w:rPr>
        <w:t xml:space="preserve">Key words: </w:t>
      </w:r>
      <w:r w:rsidRPr="002A0C70">
        <w:rPr>
          <w:rFonts w:ascii="Times New Roman" w:hAnsi="Times New Roman" w:cs="Times New Roman"/>
          <w:i/>
          <w:sz w:val="24"/>
          <w:szCs w:val="24"/>
          <w:lang w:val="en-GB"/>
        </w:rPr>
        <w:t>Cassava trade</w:t>
      </w:r>
      <w:r w:rsidR="007E610C" w:rsidRPr="002A0C70">
        <w:rPr>
          <w:rFonts w:ascii="Times New Roman" w:hAnsi="Times New Roman" w:cs="Times New Roman"/>
          <w:i/>
          <w:sz w:val="24"/>
          <w:szCs w:val="24"/>
          <w:lang w:val="en-GB"/>
        </w:rPr>
        <w:t xml:space="preserve">; net export performance; agricultural exports; time </w:t>
      </w:r>
      <w:r w:rsidRPr="002A0C70">
        <w:rPr>
          <w:rFonts w:ascii="Times New Roman" w:hAnsi="Times New Roman" w:cs="Times New Roman"/>
          <w:i/>
          <w:sz w:val="24"/>
          <w:szCs w:val="24"/>
          <w:lang w:val="en-GB"/>
        </w:rPr>
        <w:t xml:space="preserve">series analysis; ARIMA modelling; </w:t>
      </w:r>
      <w:r w:rsidR="007E610C" w:rsidRPr="002A0C70">
        <w:rPr>
          <w:rFonts w:ascii="Times New Roman" w:hAnsi="Times New Roman" w:cs="Times New Roman"/>
          <w:i/>
          <w:sz w:val="24"/>
          <w:szCs w:val="24"/>
          <w:lang w:val="en-GB"/>
        </w:rPr>
        <w:t>trade forecasting</w:t>
      </w:r>
      <w:r w:rsidRPr="002A0C70">
        <w:rPr>
          <w:rFonts w:ascii="Times New Roman" w:hAnsi="Times New Roman" w:cs="Times New Roman"/>
          <w:i/>
          <w:sz w:val="24"/>
          <w:szCs w:val="24"/>
          <w:lang w:val="en-GB"/>
        </w:rPr>
        <w:t xml:space="preserve">; Tanzania; </w:t>
      </w:r>
      <w:r w:rsidR="007E610C" w:rsidRPr="002A0C70">
        <w:rPr>
          <w:rFonts w:ascii="Times New Roman" w:hAnsi="Times New Roman" w:cs="Times New Roman"/>
          <w:i/>
          <w:sz w:val="24"/>
          <w:szCs w:val="24"/>
          <w:lang w:val="en-GB"/>
        </w:rPr>
        <w:t>regional agricultural trade.</w:t>
      </w:r>
    </w:p>
    <w:p w14:paraId="27E12505" w14:textId="77777777" w:rsidR="00045344" w:rsidRPr="002A0C70" w:rsidRDefault="00045344" w:rsidP="002A0C70">
      <w:pPr>
        <w:pStyle w:val="Heading1"/>
        <w:numPr>
          <w:ilvl w:val="0"/>
          <w:numId w:val="2"/>
        </w:numPr>
        <w:spacing w:line="240" w:lineRule="auto"/>
        <w:rPr>
          <w:rFonts w:ascii="Times New Roman" w:hAnsi="Times New Roman" w:cs="Times New Roman"/>
          <w:b/>
          <w:bCs/>
          <w:sz w:val="24"/>
          <w:szCs w:val="24"/>
          <w:lang w:val="en-GB"/>
        </w:rPr>
      </w:pPr>
      <w:bookmarkStart w:id="3" w:name="_Toc220325802"/>
      <w:r w:rsidRPr="002A0C70">
        <w:rPr>
          <w:rFonts w:ascii="Times New Roman" w:hAnsi="Times New Roman" w:cs="Times New Roman"/>
          <w:b/>
          <w:bCs/>
          <w:color w:val="auto"/>
          <w:sz w:val="24"/>
          <w:szCs w:val="24"/>
          <w:lang w:val="en-GB"/>
        </w:rPr>
        <w:t>Introduction</w:t>
      </w:r>
      <w:bookmarkEnd w:id="3"/>
    </w:p>
    <w:p w14:paraId="0355FF1F" w14:textId="77777777" w:rsidR="007E610C" w:rsidRPr="002A0C70" w:rsidRDefault="00045344" w:rsidP="002A0C70">
      <w:pPr>
        <w:spacing w:line="240" w:lineRule="auto"/>
        <w:jc w:val="both"/>
        <w:rPr>
          <w:rFonts w:ascii="Times New Roman" w:hAnsi="Times New Roman" w:cs="Times New Roman"/>
          <w:sz w:val="24"/>
          <w:szCs w:val="24"/>
          <w:lang w:val="en-GB"/>
        </w:rPr>
      </w:pPr>
      <w:r w:rsidRPr="002A0C70">
        <w:rPr>
          <w:rFonts w:ascii="Times New Roman" w:hAnsi="Times New Roman" w:cs="Times New Roman"/>
          <w:sz w:val="24"/>
          <w:szCs w:val="24"/>
          <w:lang w:val="en-GB"/>
        </w:rPr>
        <w:t>Cassava (</w:t>
      </w:r>
      <w:r w:rsidRPr="002A0C70">
        <w:rPr>
          <w:rFonts w:ascii="Times New Roman" w:hAnsi="Times New Roman" w:cs="Times New Roman"/>
          <w:i/>
          <w:iCs/>
          <w:sz w:val="24"/>
          <w:szCs w:val="24"/>
          <w:lang w:val="en-GB"/>
        </w:rPr>
        <w:t>Manihot esculenta Crantz</w:t>
      </w:r>
      <w:r w:rsidRPr="002A0C70">
        <w:rPr>
          <w:rFonts w:ascii="Times New Roman" w:hAnsi="Times New Roman" w:cs="Times New Roman"/>
          <w:sz w:val="24"/>
          <w:szCs w:val="24"/>
          <w:lang w:val="en-GB"/>
        </w:rPr>
        <w:t xml:space="preserve">) stands as one of the world's most resilient and versatile root crops, providing sustenance, income, and industrial raw materials to millions of households across tropical regions. As a staple food crop, cassava demonstrates exceptional adaptability to marginal soils, drought conditions, and erratic rainfall patterns, making it particularly valuable in the context of climate variability and food security challenges facing sub-Saharan Africa (Jarvis </w:t>
      </w:r>
      <w:r w:rsidRPr="002A0C70">
        <w:rPr>
          <w:rFonts w:ascii="Times New Roman" w:hAnsi="Times New Roman" w:cs="Times New Roman"/>
          <w:i/>
          <w:iCs/>
          <w:sz w:val="24"/>
          <w:szCs w:val="24"/>
          <w:lang w:val="en-GB"/>
        </w:rPr>
        <w:t>et al</w:t>
      </w:r>
      <w:r w:rsidRPr="002A0C70">
        <w:rPr>
          <w:rFonts w:ascii="Times New Roman" w:hAnsi="Times New Roman" w:cs="Times New Roman"/>
          <w:sz w:val="24"/>
          <w:szCs w:val="24"/>
          <w:lang w:val="en-GB"/>
        </w:rPr>
        <w:t xml:space="preserve">., 2012; Emmanuel </w:t>
      </w:r>
      <w:r w:rsidRPr="002A0C70">
        <w:rPr>
          <w:rFonts w:ascii="Times New Roman" w:hAnsi="Times New Roman" w:cs="Times New Roman"/>
          <w:i/>
          <w:iCs/>
          <w:sz w:val="24"/>
          <w:szCs w:val="24"/>
          <w:lang w:val="en-GB"/>
        </w:rPr>
        <w:t>et al.,</w:t>
      </w:r>
      <w:r w:rsidRPr="002A0C70">
        <w:rPr>
          <w:rFonts w:ascii="Times New Roman" w:hAnsi="Times New Roman" w:cs="Times New Roman"/>
          <w:sz w:val="24"/>
          <w:szCs w:val="24"/>
          <w:lang w:val="en-GB"/>
        </w:rPr>
        <w:t xml:space="preserve"> 2024). Global cassava production surpassed 330 million metric tons in 2022, with sub-Saharan Africa contributing over 60% of total output, led by Nigeria, the Democratic Republic of Congo, and Tanzania (</w:t>
      </w:r>
      <w:r w:rsidR="00580534" w:rsidRPr="002A0C70">
        <w:rPr>
          <w:rFonts w:ascii="Times New Roman" w:hAnsi="Times New Roman" w:cs="Times New Roman"/>
          <w:sz w:val="24"/>
          <w:szCs w:val="24"/>
          <w:lang w:val="en-GB"/>
        </w:rPr>
        <w:t>Food and Agriculture Organisation [</w:t>
      </w:r>
      <w:r w:rsidRPr="002A0C70">
        <w:rPr>
          <w:rFonts w:ascii="Times New Roman" w:hAnsi="Times New Roman" w:cs="Times New Roman"/>
          <w:sz w:val="24"/>
          <w:szCs w:val="24"/>
          <w:lang w:val="en-GB"/>
        </w:rPr>
        <w:t>FAO</w:t>
      </w:r>
      <w:r w:rsidR="00580534" w:rsidRPr="002A0C70">
        <w:rPr>
          <w:rFonts w:ascii="Times New Roman" w:hAnsi="Times New Roman" w:cs="Times New Roman"/>
          <w:sz w:val="24"/>
          <w:szCs w:val="24"/>
          <w:lang w:val="en-GB"/>
        </w:rPr>
        <w:t>]</w:t>
      </w:r>
      <w:r w:rsidRPr="002A0C70">
        <w:rPr>
          <w:rFonts w:ascii="Times New Roman" w:hAnsi="Times New Roman" w:cs="Times New Roman"/>
          <w:sz w:val="24"/>
          <w:szCs w:val="24"/>
          <w:lang w:val="en-GB"/>
        </w:rPr>
        <w:t xml:space="preserve">, 2023). Beyond its traditional role as a subsistence crop, cassava has increasingly emerged as a commercially traded </w:t>
      </w:r>
      <w:r w:rsidRPr="002A0C70">
        <w:rPr>
          <w:rFonts w:ascii="Times New Roman" w:hAnsi="Times New Roman" w:cs="Times New Roman"/>
          <w:sz w:val="24"/>
          <w:szCs w:val="24"/>
          <w:lang w:val="en-GB"/>
        </w:rPr>
        <w:lastRenderedPageBreak/>
        <w:t>commodity, driven by expanding regional demand, diverse industrial applications, and its superior climate resilience compared to cereals (</w:t>
      </w:r>
      <w:proofErr w:type="spellStart"/>
      <w:r w:rsidRPr="002A0C70">
        <w:rPr>
          <w:rFonts w:ascii="Times New Roman" w:hAnsi="Times New Roman" w:cs="Times New Roman"/>
          <w:sz w:val="24"/>
          <w:szCs w:val="24"/>
          <w:lang w:val="en-GB"/>
        </w:rPr>
        <w:t>Howeler</w:t>
      </w:r>
      <w:proofErr w:type="spellEnd"/>
      <w:r w:rsidRPr="002A0C70">
        <w:rPr>
          <w:rFonts w:ascii="Times New Roman" w:hAnsi="Times New Roman" w:cs="Times New Roman"/>
          <w:sz w:val="24"/>
          <w:szCs w:val="24"/>
          <w:lang w:val="en-GB"/>
        </w:rPr>
        <w:t xml:space="preserve"> </w:t>
      </w:r>
      <w:r w:rsidRPr="002A0C70">
        <w:rPr>
          <w:rFonts w:ascii="Times New Roman" w:hAnsi="Times New Roman" w:cs="Times New Roman"/>
          <w:i/>
          <w:iCs/>
          <w:sz w:val="24"/>
          <w:szCs w:val="24"/>
          <w:lang w:val="en-GB"/>
        </w:rPr>
        <w:t>et al</w:t>
      </w:r>
      <w:r w:rsidRPr="002A0C70">
        <w:rPr>
          <w:rFonts w:ascii="Times New Roman" w:hAnsi="Times New Roman" w:cs="Times New Roman"/>
          <w:sz w:val="24"/>
          <w:szCs w:val="24"/>
          <w:lang w:val="en-GB"/>
        </w:rPr>
        <w:t xml:space="preserve">., 2013; </w:t>
      </w:r>
      <w:proofErr w:type="spellStart"/>
      <w:r w:rsidRPr="002A0C70">
        <w:rPr>
          <w:rFonts w:ascii="Times New Roman" w:hAnsi="Times New Roman" w:cs="Times New Roman"/>
          <w:sz w:val="24"/>
          <w:szCs w:val="24"/>
          <w:lang w:val="en-GB"/>
        </w:rPr>
        <w:t>Barku</w:t>
      </w:r>
      <w:proofErr w:type="spellEnd"/>
      <w:r w:rsidRPr="002A0C70">
        <w:rPr>
          <w:rFonts w:ascii="Times New Roman" w:hAnsi="Times New Roman" w:cs="Times New Roman"/>
          <w:sz w:val="24"/>
          <w:szCs w:val="24"/>
          <w:lang w:val="en-GB"/>
        </w:rPr>
        <w:t xml:space="preserve"> </w:t>
      </w:r>
      <w:r w:rsidRPr="002A0C70">
        <w:rPr>
          <w:rFonts w:ascii="Times New Roman" w:hAnsi="Times New Roman" w:cs="Times New Roman"/>
          <w:i/>
          <w:iCs/>
          <w:sz w:val="24"/>
          <w:szCs w:val="24"/>
          <w:lang w:val="en-GB"/>
        </w:rPr>
        <w:t>et al</w:t>
      </w:r>
      <w:r w:rsidRPr="002A0C70">
        <w:rPr>
          <w:rFonts w:ascii="Times New Roman" w:hAnsi="Times New Roman" w:cs="Times New Roman"/>
          <w:sz w:val="24"/>
          <w:szCs w:val="24"/>
          <w:lang w:val="en-GB"/>
        </w:rPr>
        <w:t>., 2025).</w:t>
      </w:r>
    </w:p>
    <w:p w14:paraId="1528F49F" w14:textId="1BC828B7" w:rsidR="007E610C" w:rsidRPr="002A0C70" w:rsidRDefault="00045344" w:rsidP="002A0C70">
      <w:pPr>
        <w:spacing w:line="240" w:lineRule="auto"/>
        <w:jc w:val="both"/>
        <w:rPr>
          <w:rFonts w:ascii="Times New Roman" w:hAnsi="Times New Roman" w:cs="Times New Roman"/>
          <w:sz w:val="24"/>
          <w:szCs w:val="24"/>
          <w:lang w:val="en-GB"/>
        </w:rPr>
      </w:pPr>
      <w:r w:rsidRPr="002A0C70">
        <w:rPr>
          <w:rFonts w:ascii="Times New Roman" w:hAnsi="Times New Roman" w:cs="Times New Roman"/>
          <w:sz w:val="24"/>
          <w:szCs w:val="24"/>
          <w:lang w:val="en-GB"/>
        </w:rPr>
        <w:t xml:space="preserve">Within Tanzania's agricultural landscape, cassava occupies a position of strategic importance in both the national food system and rural economy. The crop is extensively cultivated across multiple ecological zones, including the Lake Zone, Southern Highlands, Eastern Zone, and Coastal areas, where it serves dual functions as a drought-tolerant </w:t>
      </w:r>
      <w:r w:rsidR="00133BE4" w:rsidRPr="002A0C70">
        <w:rPr>
          <w:rFonts w:ascii="Times New Roman" w:hAnsi="Times New Roman" w:cs="Times New Roman"/>
          <w:sz w:val="24"/>
          <w:szCs w:val="24"/>
          <w:lang w:val="en-GB"/>
        </w:rPr>
        <w:t xml:space="preserve">food security </w:t>
      </w:r>
      <w:r w:rsidRPr="002A0C70">
        <w:rPr>
          <w:rFonts w:ascii="Times New Roman" w:hAnsi="Times New Roman" w:cs="Times New Roman"/>
          <w:sz w:val="24"/>
          <w:szCs w:val="24"/>
          <w:lang w:val="en-GB"/>
        </w:rPr>
        <w:t>crop and a source of cash income for smallholder farmers (</w:t>
      </w:r>
      <w:proofErr w:type="spellStart"/>
      <w:r w:rsidRPr="002A0C70">
        <w:rPr>
          <w:rFonts w:ascii="Times New Roman" w:hAnsi="Times New Roman" w:cs="Times New Roman"/>
          <w:sz w:val="24"/>
          <w:szCs w:val="24"/>
          <w:lang w:val="en-GB"/>
        </w:rPr>
        <w:t>Msikita</w:t>
      </w:r>
      <w:proofErr w:type="spellEnd"/>
      <w:r w:rsidRPr="002A0C70">
        <w:rPr>
          <w:rFonts w:ascii="Times New Roman" w:hAnsi="Times New Roman" w:cs="Times New Roman"/>
          <w:sz w:val="24"/>
          <w:szCs w:val="24"/>
          <w:lang w:val="en-GB"/>
        </w:rPr>
        <w:t xml:space="preserve"> </w:t>
      </w:r>
      <w:r w:rsidRPr="002A0C70">
        <w:rPr>
          <w:rFonts w:ascii="Times New Roman" w:hAnsi="Times New Roman" w:cs="Times New Roman"/>
          <w:i/>
          <w:iCs/>
          <w:sz w:val="24"/>
          <w:szCs w:val="24"/>
          <w:lang w:val="en-GB"/>
        </w:rPr>
        <w:t>et al</w:t>
      </w:r>
      <w:r w:rsidRPr="002A0C70">
        <w:rPr>
          <w:rFonts w:ascii="Times New Roman" w:hAnsi="Times New Roman" w:cs="Times New Roman"/>
          <w:sz w:val="24"/>
          <w:szCs w:val="24"/>
          <w:lang w:val="en-GB"/>
        </w:rPr>
        <w:t xml:space="preserve">., 2010; </w:t>
      </w:r>
      <w:proofErr w:type="spellStart"/>
      <w:r w:rsidRPr="002A0C70">
        <w:rPr>
          <w:rFonts w:ascii="Times New Roman" w:hAnsi="Times New Roman" w:cs="Times New Roman"/>
          <w:sz w:val="24"/>
          <w:szCs w:val="24"/>
          <w:lang w:val="en-GB"/>
        </w:rPr>
        <w:t>Msami</w:t>
      </w:r>
      <w:proofErr w:type="spellEnd"/>
      <w:r w:rsidRPr="002A0C70">
        <w:rPr>
          <w:rFonts w:ascii="Times New Roman" w:hAnsi="Times New Roman" w:cs="Times New Roman"/>
          <w:sz w:val="24"/>
          <w:szCs w:val="24"/>
          <w:lang w:val="en-GB"/>
        </w:rPr>
        <w:t xml:space="preserve"> </w:t>
      </w:r>
      <w:r w:rsidRPr="002A0C70">
        <w:rPr>
          <w:rFonts w:ascii="Times New Roman" w:hAnsi="Times New Roman" w:cs="Times New Roman"/>
          <w:i/>
          <w:iCs/>
          <w:sz w:val="24"/>
          <w:szCs w:val="24"/>
          <w:lang w:val="en-GB"/>
        </w:rPr>
        <w:t>et al</w:t>
      </w:r>
      <w:r w:rsidRPr="002A0C70">
        <w:rPr>
          <w:rFonts w:ascii="Times New Roman" w:hAnsi="Times New Roman" w:cs="Times New Roman"/>
          <w:sz w:val="24"/>
          <w:szCs w:val="24"/>
          <w:lang w:val="en-GB"/>
        </w:rPr>
        <w:t>., 2025). Tanzania currently ranks as Africa's sixth-largest cassava producer, with annual production reaching approximately 5.6 million tonnes according to recent estimates (Tanzania National Cassava Development Strategy, 2020). While cassava has historically been perceived primarily through the lens of subsistence agriculture with limited market integration, accumulating evidence points to a marked transformation toward commerciali</w:t>
      </w:r>
      <w:r w:rsidR="00805B74">
        <w:rPr>
          <w:rFonts w:ascii="Times New Roman" w:hAnsi="Times New Roman" w:cs="Times New Roman"/>
          <w:sz w:val="24"/>
          <w:szCs w:val="24"/>
          <w:lang w:val="en-GB"/>
        </w:rPr>
        <w:t>s</w:t>
      </w:r>
      <w:r w:rsidRPr="002A0C70">
        <w:rPr>
          <w:rFonts w:ascii="Times New Roman" w:hAnsi="Times New Roman" w:cs="Times New Roman"/>
          <w:sz w:val="24"/>
          <w:szCs w:val="24"/>
          <w:lang w:val="en-GB"/>
        </w:rPr>
        <w:t>ation and expanding regional trade, particularly within the East African Community (EAC) and with neighbouring countries including Kenya, Rwanda, Burundi, and the Democratic Republic of Congo (</w:t>
      </w:r>
      <w:proofErr w:type="spellStart"/>
      <w:r w:rsidRPr="002A0C70">
        <w:rPr>
          <w:rFonts w:ascii="Times New Roman" w:hAnsi="Times New Roman" w:cs="Times New Roman"/>
          <w:sz w:val="24"/>
          <w:szCs w:val="24"/>
          <w:lang w:val="en-GB"/>
        </w:rPr>
        <w:t>Haggblade</w:t>
      </w:r>
      <w:proofErr w:type="spellEnd"/>
      <w:r w:rsidRPr="002A0C70">
        <w:rPr>
          <w:rFonts w:ascii="Times New Roman" w:hAnsi="Times New Roman" w:cs="Times New Roman"/>
          <w:sz w:val="24"/>
          <w:szCs w:val="24"/>
          <w:lang w:val="en-GB"/>
        </w:rPr>
        <w:t xml:space="preserve"> </w:t>
      </w:r>
      <w:r w:rsidRPr="002A0C70">
        <w:rPr>
          <w:rFonts w:ascii="Times New Roman" w:hAnsi="Times New Roman" w:cs="Times New Roman"/>
          <w:i/>
          <w:iCs/>
          <w:sz w:val="24"/>
          <w:szCs w:val="24"/>
          <w:lang w:val="en-GB"/>
        </w:rPr>
        <w:t>et al</w:t>
      </w:r>
      <w:r w:rsidRPr="002A0C70">
        <w:rPr>
          <w:rFonts w:ascii="Times New Roman" w:hAnsi="Times New Roman" w:cs="Times New Roman"/>
          <w:sz w:val="24"/>
          <w:szCs w:val="24"/>
          <w:lang w:val="en-GB"/>
        </w:rPr>
        <w:t xml:space="preserve">., 2012; Minot </w:t>
      </w:r>
      <w:r w:rsidRPr="002A0C70">
        <w:rPr>
          <w:rFonts w:ascii="Times New Roman" w:hAnsi="Times New Roman" w:cs="Times New Roman"/>
          <w:i/>
          <w:iCs/>
          <w:sz w:val="24"/>
          <w:szCs w:val="24"/>
          <w:lang w:val="en-GB"/>
        </w:rPr>
        <w:t>et al</w:t>
      </w:r>
      <w:r w:rsidRPr="002A0C70">
        <w:rPr>
          <w:rFonts w:ascii="Times New Roman" w:hAnsi="Times New Roman" w:cs="Times New Roman"/>
          <w:sz w:val="24"/>
          <w:szCs w:val="24"/>
          <w:lang w:val="en-GB"/>
        </w:rPr>
        <w:t>., 2015</w:t>
      </w:r>
      <w:r w:rsidR="00805B74">
        <w:rPr>
          <w:rFonts w:ascii="Times New Roman" w:hAnsi="Times New Roman" w:cs="Times New Roman"/>
          <w:sz w:val="24"/>
          <w:szCs w:val="24"/>
          <w:lang w:val="en-GB"/>
        </w:rPr>
        <w:t xml:space="preserve">; Sanga </w:t>
      </w:r>
      <w:r w:rsidR="00805B74" w:rsidRPr="00805B74">
        <w:rPr>
          <w:rFonts w:ascii="Times New Roman" w:hAnsi="Times New Roman" w:cs="Times New Roman"/>
          <w:i/>
          <w:iCs/>
          <w:sz w:val="24"/>
          <w:szCs w:val="24"/>
          <w:lang w:val="en-GB"/>
        </w:rPr>
        <w:t>et al</w:t>
      </w:r>
      <w:r w:rsidR="00805B74">
        <w:rPr>
          <w:rFonts w:ascii="Times New Roman" w:hAnsi="Times New Roman" w:cs="Times New Roman"/>
          <w:sz w:val="24"/>
          <w:szCs w:val="24"/>
          <w:lang w:val="en-GB"/>
        </w:rPr>
        <w:t>., 2026</w:t>
      </w:r>
      <w:r w:rsidRPr="002A0C70">
        <w:rPr>
          <w:rFonts w:ascii="Times New Roman" w:hAnsi="Times New Roman" w:cs="Times New Roman"/>
          <w:sz w:val="24"/>
          <w:szCs w:val="24"/>
          <w:lang w:val="en-GB"/>
        </w:rPr>
        <w:t>).</w:t>
      </w:r>
      <w:r w:rsidR="007905C9" w:rsidRPr="002A0C70">
        <w:rPr>
          <w:rFonts w:ascii="Times New Roman" w:hAnsi="Times New Roman" w:cs="Times New Roman"/>
          <w:sz w:val="24"/>
          <w:szCs w:val="24"/>
          <w:lang w:val="en-GB"/>
        </w:rPr>
        <w:t xml:space="preserve"> Indeed, cassava offer unmatched potential for Tanzania to fulfil its long-term aspiration of becoming a leading food producer country in Africa and among 10 top food producers in world by 2050 (URT, 2025).</w:t>
      </w:r>
    </w:p>
    <w:p w14:paraId="5F3D3F9E" w14:textId="37365FF8" w:rsidR="007E610C" w:rsidRPr="002A0C70" w:rsidRDefault="00045344" w:rsidP="002A0C70">
      <w:pPr>
        <w:spacing w:line="240" w:lineRule="auto"/>
        <w:jc w:val="both"/>
        <w:rPr>
          <w:rFonts w:ascii="Times New Roman" w:hAnsi="Times New Roman" w:cs="Times New Roman"/>
          <w:sz w:val="24"/>
          <w:szCs w:val="24"/>
          <w:lang w:val="en-GB"/>
        </w:rPr>
      </w:pPr>
      <w:r w:rsidRPr="002A0C70">
        <w:rPr>
          <w:rFonts w:ascii="Times New Roman" w:hAnsi="Times New Roman" w:cs="Times New Roman"/>
          <w:sz w:val="24"/>
          <w:szCs w:val="24"/>
          <w:lang w:val="en-GB"/>
        </w:rPr>
        <w:t xml:space="preserve">Despite Tanzania's prominence as </w:t>
      </w:r>
      <w:r w:rsidR="0076262F" w:rsidRPr="002A0C70">
        <w:rPr>
          <w:rFonts w:ascii="Times New Roman" w:hAnsi="Times New Roman" w:cs="Times New Roman"/>
          <w:sz w:val="24"/>
          <w:szCs w:val="24"/>
          <w:lang w:val="en-GB"/>
        </w:rPr>
        <w:t xml:space="preserve">one of </w:t>
      </w:r>
      <w:r w:rsidRPr="002A0C70">
        <w:rPr>
          <w:rFonts w:ascii="Times New Roman" w:hAnsi="Times New Roman" w:cs="Times New Roman"/>
          <w:sz w:val="24"/>
          <w:szCs w:val="24"/>
          <w:lang w:val="en-GB"/>
        </w:rPr>
        <w:t>major cassava producer</w:t>
      </w:r>
      <w:r w:rsidR="0076262F" w:rsidRPr="002A0C70">
        <w:rPr>
          <w:rFonts w:ascii="Times New Roman" w:hAnsi="Times New Roman" w:cs="Times New Roman"/>
          <w:sz w:val="24"/>
          <w:szCs w:val="24"/>
          <w:lang w:val="en-GB"/>
        </w:rPr>
        <w:t>s</w:t>
      </w:r>
      <w:r w:rsidRPr="002A0C70">
        <w:rPr>
          <w:rFonts w:ascii="Times New Roman" w:hAnsi="Times New Roman" w:cs="Times New Roman"/>
          <w:sz w:val="24"/>
          <w:szCs w:val="24"/>
          <w:lang w:val="en-GB"/>
        </w:rPr>
        <w:t xml:space="preserve"> in Africa, empirical evidence examining the country's long-term cassava trade performance remains surprisingly limited. Existing research has predominantly focused on production constraints, adoption of improved varieties, value chain development, and food security implications (Legg </w:t>
      </w:r>
      <w:r w:rsidRPr="002A0C70">
        <w:rPr>
          <w:rFonts w:ascii="Times New Roman" w:hAnsi="Times New Roman" w:cs="Times New Roman"/>
          <w:i/>
          <w:iCs/>
          <w:sz w:val="24"/>
          <w:szCs w:val="24"/>
          <w:lang w:val="en-GB"/>
        </w:rPr>
        <w:t>et al</w:t>
      </w:r>
      <w:r w:rsidRPr="002A0C70">
        <w:rPr>
          <w:rFonts w:ascii="Times New Roman" w:hAnsi="Times New Roman" w:cs="Times New Roman"/>
          <w:sz w:val="24"/>
          <w:szCs w:val="24"/>
          <w:lang w:val="en-GB"/>
        </w:rPr>
        <w:t>., 2014; Adebayo, 2023), with comparatively little systematic attention devoted to the dynamics of cassava exports, import substitution, and net trade performance over extended time horizons. Moreover, few studies have attempted to quantitatively forecast the future trajectory of cassava trade using rigorous time series econometric methodologies. This research gap is particularly significant given that regional cassava trade has demonstrated substantial growth in recent years, yet lacks the comprehensive analytical foundation needed to inform evidence-based policy formulation and future private sector investment decisions.</w:t>
      </w:r>
    </w:p>
    <w:p w14:paraId="4BBE71A8" w14:textId="2F26B6C1" w:rsidR="007E610C" w:rsidRPr="002A0C70" w:rsidRDefault="00045344" w:rsidP="002A0C70">
      <w:pPr>
        <w:spacing w:line="240" w:lineRule="auto"/>
        <w:jc w:val="both"/>
        <w:rPr>
          <w:rFonts w:ascii="Times New Roman" w:hAnsi="Times New Roman" w:cs="Times New Roman"/>
          <w:sz w:val="24"/>
          <w:szCs w:val="24"/>
          <w:lang w:val="en-GB"/>
        </w:rPr>
      </w:pPr>
      <w:r w:rsidRPr="002A0C70">
        <w:rPr>
          <w:rFonts w:ascii="Times New Roman" w:hAnsi="Times New Roman" w:cs="Times New Roman"/>
          <w:sz w:val="24"/>
          <w:szCs w:val="24"/>
          <w:lang w:val="en-GB"/>
        </w:rPr>
        <w:t xml:space="preserve">Understanding the long-term export performance and future outlook of cassava trade assumes heightened importance in the contemporary context of structural economic reforms, deeper regional integration, and recent economic shocks including the COVID-19 pandemic, which fundamentally altered food supply chains and intensified cross-border trade in staple commodities (Laborde </w:t>
      </w:r>
      <w:r w:rsidRPr="002A0C70">
        <w:rPr>
          <w:rFonts w:ascii="Times New Roman" w:hAnsi="Times New Roman" w:cs="Times New Roman"/>
          <w:i/>
          <w:iCs/>
          <w:sz w:val="24"/>
          <w:szCs w:val="24"/>
          <w:lang w:val="en-GB"/>
        </w:rPr>
        <w:t>et al</w:t>
      </w:r>
      <w:r w:rsidRPr="002A0C70">
        <w:rPr>
          <w:rFonts w:ascii="Times New Roman" w:hAnsi="Times New Roman" w:cs="Times New Roman"/>
          <w:sz w:val="24"/>
          <w:szCs w:val="24"/>
          <w:lang w:val="en-GB"/>
        </w:rPr>
        <w:t>., 2020). For policy makers tasked with balancing export promotion against domestic food security imperatives, and for private sector actors considering investments in cassava value chains, reliable forecasts of net export paths are essential inputs for infrastructure planning, trade facilitation initiatives, value addition investments, and strategic positioning within regional markets</w:t>
      </w:r>
      <w:r w:rsidR="00133BE4" w:rsidRPr="002A0C70">
        <w:rPr>
          <w:rFonts w:ascii="Times New Roman" w:hAnsi="Times New Roman" w:cs="Times New Roman"/>
          <w:sz w:val="24"/>
          <w:szCs w:val="24"/>
          <w:lang w:val="en-GB"/>
        </w:rPr>
        <w:t xml:space="preserve"> including economics diplomacy</w:t>
      </w:r>
      <w:r w:rsidRPr="002A0C70">
        <w:rPr>
          <w:rFonts w:ascii="Times New Roman" w:hAnsi="Times New Roman" w:cs="Times New Roman"/>
          <w:sz w:val="24"/>
          <w:szCs w:val="24"/>
          <w:lang w:val="en-GB"/>
        </w:rPr>
        <w:t xml:space="preserve">. Furthermore, as Tanzania implements </w:t>
      </w:r>
      <w:r w:rsidR="00133BE4" w:rsidRPr="002A0C70">
        <w:rPr>
          <w:rFonts w:ascii="Times New Roman" w:hAnsi="Times New Roman" w:cs="Times New Roman"/>
          <w:sz w:val="24"/>
          <w:szCs w:val="24"/>
          <w:lang w:val="en-GB"/>
        </w:rPr>
        <w:t>its</w:t>
      </w:r>
      <w:r w:rsidRPr="002A0C70">
        <w:rPr>
          <w:rFonts w:ascii="Times New Roman" w:hAnsi="Times New Roman" w:cs="Times New Roman"/>
          <w:sz w:val="24"/>
          <w:szCs w:val="24"/>
          <w:lang w:val="en-GB"/>
        </w:rPr>
        <w:t xml:space="preserve"> National Cassava Development Strategy (2020–2030), which targets a 550% increase in cassava production and the establishment of 150 processing plants, robust empirical analysis of trade trends becomes crucial for assessing the viability and sustainability of these ambitious expansion plans.</w:t>
      </w:r>
    </w:p>
    <w:p w14:paraId="641B0B07" w14:textId="77777777" w:rsidR="00045344" w:rsidRPr="002A0C70" w:rsidRDefault="00045344" w:rsidP="002A0C70">
      <w:pPr>
        <w:spacing w:line="240" w:lineRule="auto"/>
        <w:jc w:val="both"/>
        <w:rPr>
          <w:rFonts w:ascii="Times New Roman" w:hAnsi="Times New Roman" w:cs="Times New Roman"/>
          <w:sz w:val="24"/>
          <w:szCs w:val="24"/>
          <w:lang w:val="en-GB"/>
        </w:rPr>
      </w:pPr>
      <w:r w:rsidRPr="002A0C70">
        <w:rPr>
          <w:rFonts w:ascii="Times New Roman" w:hAnsi="Times New Roman" w:cs="Times New Roman"/>
          <w:sz w:val="24"/>
          <w:szCs w:val="24"/>
          <w:lang w:val="en-GB"/>
        </w:rPr>
        <w:t xml:space="preserve">Against this backdrop, this study undertakes a comprehensive analysis of Tanzania's cassava net export performance spanning a 64-year period (1961–2024) and provides empirically grounded forecasts extending to 2030 using the Autoregressive Integrated Moving Average (ARIMA) modelling framework. By integrating long-term historical data from FAOSTAT with recent detailed customs records from the Tanzania Revenue Authority, this study offers one of the most </w:t>
      </w:r>
      <w:r w:rsidRPr="002A0C70">
        <w:rPr>
          <w:rFonts w:ascii="Times New Roman" w:hAnsi="Times New Roman" w:cs="Times New Roman"/>
          <w:sz w:val="24"/>
          <w:szCs w:val="24"/>
          <w:lang w:val="en-GB"/>
        </w:rPr>
        <w:lastRenderedPageBreak/>
        <w:t>extensive empirical assessments of cassava trade dynamics in Tanzania to date. The analysis contributes to the existing literature through multiple dimensions: first, by documenting structural changes in export performance across distinct policy regimes; second, by rigorously evaluating the suitability and performance of ARIMA models in forecasting agricultural trade for an African context; and third, by generating policy-relevant insights on cassava's evolving role within Tanzania's regional trade portfolio. The findings are expected to inform evidence-based policy formulation, guide private sector investment decisions, and contribute methodologically to the application of time series forecasting techniques in African agricultural trade analysis.</w:t>
      </w:r>
    </w:p>
    <w:p w14:paraId="7C82F2F1" w14:textId="07DAFF39" w:rsidR="00045344" w:rsidRPr="002A0C70" w:rsidRDefault="00045344" w:rsidP="002A0C70">
      <w:pPr>
        <w:pStyle w:val="Heading2"/>
        <w:numPr>
          <w:ilvl w:val="0"/>
          <w:numId w:val="2"/>
        </w:numPr>
        <w:spacing w:line="240" w:lineRule="auto"/>
        <w:rPr>
          <w:rFonts w:ascii="Times New Roman" w:hAnsi="Times New Roman" w:cs="Times New Roman"/>
          <w:b/>
          <w:bCs/>
          <w:color w:val="auto"/>
          <w:sz w:val="24"/>
          <w:szCs w:val="24"/>
          <w:lang w:val="en-GB"/>
        </w:rPr>
      </w:pPr>
      <w:bookmarkStart w:id="4" w:name="_Toc220325803"/>
      <w:r w:rsidRPr="002A0C70">
        <w:rPr>
          <w:rFonts w:ascii="Times New Roman" w:hAnsi="Times New Roman" w:cs="Times New Roman"/>
          <w:b/>
          <w:bCs/>
          <w:color w:val="auto"/>
          <w:sz w:val="24"/>
          <w:szCs w:val="24"/>
          <w:lang w:val="en-GB"/>
        </w:rPr>
        <w:t xml:space="preserve">Literature </w:t>
      </w:r>
      <w:r w:rsidR="00805B74" w:rsidRPr="002A0C70">
        <w:rPr>
          <w:rFonts w:ascii="Times New Roman" w:hAnsi="Times New Roman" w:cs="Times New Roman"/>
          <w:b/>
          <w:bCs/>
          <w:color w:val="auto"/>
          <w:sz w:val="24"/>
          <w:szCs w:val="24"/>
          <w:lang w:val="en-GB"/>
        </w:rPr>
        <w:t>review</w:t>
      </w:r>
      <w:bookmarkEnd w:id="4"/>
    </w:p>
    <w:p w14:paraId="46AEFADE" w14:textId="31DE8923" w:rsidR="00045344" w:rsidRPr="002A0C70" w:rsidRDefault="00B84E1A" w:rsidP="002A0C70">
      <w:pPr>
        <w:pStyle w:val="Heading2"/>
        <w:spacing w:line="240" w:lineRule="auto"/>
        <w:rPr>
          <w:rFonts w:ascii="Times New Roman" w:hAnsi="Times New Roman" w:cs="Times New Roman"/>
          <w:b/>
          <w:bCs/>
          <w:color w:val="auto"/>
          <w:sz w:val="24"/>
          <w:szCs w:val="24"/>
          <w:lang w:val="en-GB"/>
        </w:rPr>
      </w:pPr>
      <w:bookmarkStart w:id="5" w:name="_Toc220325804"/>
      <w:r w:rsidRPr="002A0C70">
        <w:rPr>
          <w:rFonts w:ascii="Times New Roman" w:hAnsi="Times New Roman" w:cs="Times New Roman"/>
          <w:b/>
          <w:bCs/>
          <w:color w:val="auto"/>
          <w:sz w:val="24"/>
          <w:szCs w:val="24"/>
          <w:lang w:val="en-GB"/>
        </w:rPr>
        <w:t>2</w:t>
      </w:r>
      <w:r w:rsidR="00045344" w:rsidRPr="002A0C70">
        <w:rPr>
          <w:rFonts w:ascii="Times New Roman" w:hAnsi="Times New Roman" w:cs="Times New Roman"/>
          <w:b/>
          <w:bCs/>
          <w:color w:val="auto"/>
          <w:sz w:val="24"/>
          <w:szCs w:val="24"/>
          <w:lang w:val="en-GB"/>
        </w:rPr>
        <w:t xml:space="preserve">.1 Cassava </w:t>
      </w:r>
      <w:r w:rsidR="00805B74" w:rsidRPr="002A0C70">
        <w:rPr>
          <w:rFonts w:ascii="Times New Roman" w:hAnsi="Times New Roman" w:cs="Times New Roman"/>
          <w:b/>
          <w:bCs/>
          <w:color w:val="auto"/>
          <w:sz w:val="24"/>
          <w:szCs w:val="24"/>
          <w:lang w:val="en-GB"/>
        </w:rPr>
        <w:t>production, commerciali</w:t>
      </w:r>
      <w:r w:rsidR="00805B74">
        <w:rPr>
          <w:rFonts w:ascii="Times New Roman" w:hAnsi="Times New Roman" w:cs="Times New Roman"/>
          <w:b/>
          <w:bCs/>
          <w:color w:val="auto"/>
          <w:sz w:val="24"/>
          <w:szCs w:val="24"/>
          <w:lang w:val="en-GB"/>
        </w:rPr>
        <w:t>s</w:t>
      </w:r>
      <w:r w:rsidR="00805B74" w:rsidRPr="002A0C70">
        <w:rPr>
          <w:rFonts w:ascii="Times New Roman" w:hAnsi="Times New Roman" w:cs="Times New Roman"/>
          <w:b/>
          <w:bCs/>
          <w:color w:val="auto"/>
          <w:sz w:val="24"/>
          <w:szCs w:val="24"/>
          <w:lang w:val="en-GB"/>
        </w:rPr>
        <w:t xml:space="preserve">ation, and trade in sub-Saharan </w:t>
      </w:r>
      <w:r w:rsidR="00045344" w:rsidRPr="002A0C70">
        <w:rPr>
          <w:rFonts w:ascii="Times New Roman" w:hAnsi="Times New Roman" w:cs="Times New Roman"/>
          <w:b/>
          <w:bCs/>
          <w:color w:val="auto"/>
          <w:sz w:val="24"/>
          <w:szCs w:val="24"/>
          <w:lang w:val="en-GB"/>
        </w:rPr>
        <w:t>Africa</w:t>
      </w:r>
      <w:bookmarkEnd w:id="5"/>
    </w:p>
    <w:p w14:paraId="41DADF1B" w14:textId="54EA1F3D" w:rsidR="00045344" w:rsidRPr="002A0C70" w:rsidRDefault="00045344" w:rsidP="002A0C70">
      <w:pPr>
        <w:spacing w:after="0" w:line="240" w:lineRule="auto"/>
        <w:jc w:val="both"/>
        <w:rPr>
          <w:rFonts w:ascii="Times New Roman" w:hAnsi="Times New Roman" w:cs="Times New Roman"/>
          <w:sz w:val="24"/>
          <w:szCs w:val="24"/>
          <w:lang w:val="en-GB"/>
        </w:rPr>
      </w:pPr>
      <w:r w:rsidRPr="002A0C70">
        <w:rPr>
          <w:rFonts w:ascii="Times New Roman" w:hAnsi="Times New Roman" w:cs="Times New Roman"/>
          <w:sz w:val="24"/>
          <w:szCs w:val="24"/>
          <w:lang w:val="en-GB"/>
        </w:rPr>
        <w:t>Cassava</w:t>
      </w:r>
      <w:r w:rsidR="00B51FFE" w:rsidRPr="002A0C70">
        <w:rPr>
          <w:rFonts w:ascii="Times New Roman" w:hAnsi="Times New Roman" w:cs="Times New Roman"/>
          <w:sz w:val="24"/>
          <w:szCs w:val="24"/>
          <w:lang w:val="en-GB"/>
        </w:rPr>
        <w:t>'</w:t>
      </w:r>
      <w:r w:rsidRPr="002A0C70">
        <w:rPr>
          <w:rFonts w:ascii="Times New Roman" w:hAnsi="Times New Roman" w:cs="Times New Roman"/>
          <w:sz w:val="24"/>
          <w:szCs w:val="24"/>
          <w:lang w:val="en-GB"/>
        </w:rPr>
        <w:t xml:space="preserve">s importance in sub-Saharan Africa extends beyond caloric contribution to encompass income generation, risk management, and resilience to climate </w:t>
      </w:r>
      <w:r w:rsidR="0076262F" w:rsidRPr="002A0C70">
        <w:rPr>
          <w:rFonts w:ascii="Times New Roman" w:hAnsi="Times New Roman" w:cs="Times New Roman"/>
          <w:sz w:val="24"/>
          <w:szCs w:val="24"/>
          <w:lang w:val="en-GB"/>
        </w:rPr>
        <w:t xml:space="preserve">change and </w:t>
      </w:r>
      <w:r w:rsidRPr="002A0C70">
        <w:rPr>
          <w:rFonts w:ascii="Times New Roman" w:hAnsi="Times New Roman" w:cs="Times New Roman"/>
          <w:sz w:val="24"/>
          <w:szCs w:val="24"/>
          <w:lang w:val="en-GB"/>
        </w:rPr>
        <w:t xml:space="preserve">variability. Compared to cereals, cassava exhibits high tolerance to drought, poor soils, and erratic rainfall, making it a preferred crop under increasing climate stress (Jarvis </w:t>
      </w:r>
      <w:r w:rsidRPr="002A0C70">
        <w:rPr>
          <w:rFonts w:ascii="Times New Roman" w:hAnsi="Times New Roman" w:cs="Times New Roman"/>
          <w:i/>
          <w:iCs/>
          <w:sz w:val="24"/>
          <w:szCs w:val="24"/>
          <w:lang w:val="en-GB"/>
        </w:rPr>
        <w:t>et al</w:t>
      </w:r>
      <w:r w:rsidRPr="002A0C70">
        <w:rPr>
          <w:rFonts w:ascii="Times New Roman" w:hAnsi="Times New Roman" w:cs="Times New Roman"/>
          <w:sz w:val="24"/>
          <w:szCs w:val="24"/>
          <w:lang w:val="en-GB"/>
        </w:rPr>
        <w:t xml:space="preserve">., 2012). Nweke </w:t>
      </w:r>
      <w:r w:rsidRPr="002A0C70">
        <w:rPr>
          <w:rFonts w:ascii="Times New Roman" w:hAnsi="Times New Roman" w:cs="Times New Roman"/>
          <w:i/>
          <w:iCs/>
          <w:sz w:val="24"/>
          <w:szCs w:val="24"/>
          <w:lang w:val="en-GB"/>
        </w:rPr>
        <w:t>et al</w:t>
      </w:r>
      <w:r w:rsidRPr="002A0C70">
        <w:rPr>
          <w:rFonts w:ascii="Times New Roman" w:hAnsi="Times New Roman" w:cs="Times New Roman"/>
          <w:sz w:val="24"/>
          <w:szCs w:val="24"/>
          <w:lang w:val="en-GB"/>
        </w:rPr>
        <w:t>. (2002) argue that cassava</w:t>
      </w:r>
      <w:r w:rsidR="00B51FFE" w:rsidRPr="002A0C70">
        <w:rPr>
          <w:rFonts w:ascii="Times New Roman" w:hAnsi="Times New Roman" w:cs="Times New Roman"/>
          <w:sz w:val="24"/>
          <w:szCs w:val="24"/>
          <w:lang w:val="en-GB"/>
        </w:rPr>
        <w:t>'</w:t>
      </w:r>
      <w:r w:rsidRPr="002A0C70">
        <w:rPr>
          <w:rFonts w:ascii="Times New Roman" w:hAnsi="Times New Roman" w:cs="Times New Roman"/>
          <w:sz w:val="24"/>
          <w:szCs w:val="24"/>
          <w:lang w:val="en-GB"/>
        </w:rPr>
        <w:t xml:space="preserve">s transformation from a “famine reserve crop” to a commercial commodity has been driven by population growth, </w:t>
      </w:r>
      <w:r w:rsidR="00E3023D" w:rsidRPr="002A0C70">
        <w:rPr>
          <w:rFonts w:ascii="Times New Roman" w:hAnsi="Times New Roman" w:cs="Times New Roman"/>
          <w:sz w:val="24"/>
          <w:szCs w:val="24"/>
          <w:lang w:val="en-GB"/>
        </w:rPr>
        <w:t>urbanisation</w:t>
      </w:r>
      <w:r w:rsidRPr="002A0C70">
        <w:rPr>
          <w:rFonts w:ascii="Times New Roman" w:hAnsi="Times New Roman" w:cs="Times New Roman"/>
          <w:sz w:val="24"/>
          <w:szCs w:val="24"/>
          <w:lang w:val="en-GB"/>
        </w:rPr>
        <w:t xml:space="preserve">, and technological change, particularly the dissemination of improved varieties and processing technologies. </w:t>
      </w:r>
      <w:r w:rsidR="00574743" w:rsidRPr="002A0C70">
        <w:rPr>
          <w:rFonts w:ascii="Times New Roman" w:hAnsi="Times New Roman" w:cs="Times New Roman"/>
          <w:sz w:val="24"/>
          <w:szCs w:val="24"/>
          <w:lang w:val="en-GB"/>
        </w:rPr>
        <w:t>Moreover, supplementary irrigation and mechani</w:t>
      </w:r>
      <w:r w:rsidR="00D75953">
        <w:rPr>
          <w:rFonts w:ascii="Times New Roman" w:hAnsi="Times New Roman" w:cs="Times New Roman"/>
          <w:sz w:val="24"/>
          <w:szCs w:val="24"/>
          <w:lang w:val="en-GB"/>
        </w:rPr>
        <w:t>s</w:t>
      </w:r>
      <w:r w:rsidR="00574743" w:rsidRPr="002A0C70">
        <w:rPr>
          <w:rFonts w:ascii="Times New Roman" w:hAnsi="Times New Roman" w:cs="Times New Roman"/>
          <w:sz w:val="24"/>
          <w:szCs w:val="24"/>
          <w:lang w:val="en-GB"/>
        </w:rPr>
        <w:t>ation technologies for increased and stabili</w:t>
      </w:r>
      <w:r w:rsidR="00D75953">
        <w:rPr>
          <w:rFonts w:ascii="Times New Roman" w:hAnsi="Times New Roman" w:cs="Times New Roman"/>
          <w:sz w:val="24"/>
          <w:szCs w:val="24"/>
          <w:lang w:val="en-GB"/>
        </w:rPr>
        <w:t>s</w:t>
      </w:r>
      <w:r w:rsidR="00574743" w:rsidRPr="002A0C70">
        <w:rPr>
          <w:rFonts w:ascii="Times New Roman" w:hAnsi="Times New Roman" w:cs="Times New Roman"/>
          <w:sz w:val="24"/>
          <w:szCs w:val="24"/>
          <w:lang w:val="en-GB"/>
        </w:rPr>
        <w:t xml:space="preserve">ed supply of quality cassava are being scaled in leading global cassava producers such as Thailand and Nigeria. </w:t>
      </w:r>
      <w:r w:rsidRPr="002A0C70">
        <w:rPr>
          <w:rFonts w:ascii="Times New Roman" w:hAnsi="Times New Roman" w:cs="Times New Roman"/>
          <w:sz w:val="24"/>
          <w:szCs w:val="24"/>
          <w:lang w:val="en-GB"/>
        </w:rPr>
        <w:t>Regional trade in cassava and cassava-based products has expanded steadily over the past two decades, largely concentrated within Africa rather than global markets. While Thailand and Vietnam dominate global exports of processed cassava products such as starch and pellets, African cassava trade is primarily regional and dominated by fresh and dried roots, chips, and flour (</w:t>
      </w:r>
      <w:proofErr w:type="spellStart"/>
      <w:r w:rsidRPr="002A0C70">
        <w:rPr>
          <w:rFonts w:ascii="Times New Roman" w:hAnsi="Times New Roman" w:cs="Times New Roman"/>
          <w:sz w:val="24"/>
          <w:szCs w:val="24"/>
          <w:lang w:val="en-GB"/>
        </w:rPr>
        <w:t>Ezedinma</w:t>
      </w:r>
      <w:proofErr w:type="spellEnd"/>
      <w:r w:rsidRPr="002A0C70">
        <w:rPr>
          <w:rFonts w:ascii="Times New Roman" w:hAnsi="Times New Roman" w:cs="Times New Roman"/>
          <w:sz w:val="24"/>
          <w:szCs w:val="24"/>
          <w:lang w:val="en-GB"/>
        </w:rPr>
        <w:t xml:space="preserve"> </w:t>
      </w:r>
      <w:r w:rsidRPr="002A0C70">
        <w:rPr>
          <w:rFonts w:ascii="Times New Roman" w:hAnsi="Times New Roman" w:cs="Times New Roman"/>
          <w:i/>
          <w:iCs/>
          <w:sz w:val="24"/>
          <w:szCs w:val="24"/>
          <w:lang w:val="en-GB"/>
        </w:rPr>
        <w:t>et al</w:t>
      </w:r>
      <w:r w:rsidRPr="002A0C70">
        <w:rPr>
          <w:rFonts w:ascii="Times New Roman" w:hAnsi="Times New Roman" w:cs="Times New Roman"/>
          <w:sz w:val="24"/>
          <w:szCs w:val="24"/>
          <w:lang w:val="en-GB"/>
        </w:rPr>
        <w:t xml:space="preserve">., 2007; </w:t>
      </w:r>
      <w:proofErr w:type="spellStart"/>
      <w:r w:rsidRPr="002A0C70">
        <w:rPr>
          <w:rFonts w:ascii="Times New Roman" w:hAnsi="Times New Roman" w:cs="Times New Roman"/>
          <w:sz w:val="24"/>
          <w:szCs w:val="24"/>
          <w:lang w:val="en-GB"/>
        </w:rPr>
        <w:t>Otekunrin</w:t>
      </w:r>
      <w:proofErr w:type="spellEnd"/>
      <w:r w:rsidRPr="002A0C70">
        <w:rPr>
          <w:rFonts w:ascii="Times New Roman" w:hAnsi="Times New Roman" w:cs="Times New Roman"/>
          <w:sz w:val="24"/>
          <w:szCs w:val="24"/>
          <w:lang w:val="en-GB"/>
        </w:rPr>
        <w:t xml:space="preserve"> </w:t>
      </w:r>
      <w:r w:rsidRPr="002A0C70">
        <w:rPr>
          <w:rFonts w:ascii="Times New Roman" w:hAnsi="Times New Roman" w:cs="Times New Roman"/>
          <w:i/>
          <w:iCs/>
          <w:sz w:val="24"/>
          <w:szCs w:val="24"/>
          <w:lang w:val="en-GB"/>
        </w:rPr>
        <w:t>et al</w:t>
      </w:r>
      <w:r w:rsidRPr="002A0C70">
        <w:rPr>
          <w:rFonts w:ascii="Times New Roman" w:hAnsi="Times New Roman" w:cs="Times New Roman"/>
          <w:sz w:val="24"/>
          <w:szCs w:val="24"/>
          <w:lang w:val="en-GB"/>
        </w:rPr>
        <w:t xml:space="preserve">., 2024). In addition, </w:t>
      </w:r>
      <w:proofErr w:type="spellStart"/>
      <w:r w:rsidRPr="002A0C70">
        <w:rPr>
          <w:rFonts w:ascii="Times New Roman" w:hAnsi="Times New Roman" w:cs="Times New Roman"/>
          <w:sz w:val="24"/>
          <w:szCs w:val="24"/>
          <w:lang w:val="en-GB"/>
        </w:rPr>
        <w:t>Haggblade</w:t>
      </w:r>
      <w:proofErr w:type="spellEnd"/>
      <w:r w:rsidRPr="002A0C70">
        <w:rPr>
          <w:rFonts w:ascii="Times New Roman" w:hAnsi="Times New Roman" w:cs="Times New Roman"/>
          <w:sz w:val="24"/>
          <w:szCs w:val="24"/>
          <w:lang w:val="en-GB"/>
        </w:rPr>
        <w:t xml:space="preserve"> </w:t>
      </w:r>
      <w:r w:rsidRPr="002A0C70">
        <w:rPr>
          <w:rFonts w:ascii="Times New Roman" w:hAnsi="Times New Roman" w:cs="Times New Roman"/>
          <w:i/>
          <w:iCs/>
          <w:sz w:val="24"/>
          <w:szCs w:val="24"/>
          <w:lang w:val="en-GB"/>
        </w:rPr>
        <w:t>et al</w:t>
      </w:r>
      <w:r w:rsidRPr="002A0C70">
        <w:rPr>
          <w:rFonts w:ascii="Times New Roman" w:hAnsi="Times New Roman" w:cs="Times New Roman"/>
          <w:sz w:val="24"/>
          <w:szCs w:val="24"/>
          <w:lang w:val="en-GB"/>
        </w:rPr>
        <w:t>. (2012) highlight that improvements in road infrastructure, cross-border trade liberali</w:t>
      </w:r>
      <w:r w:rsidR="00D75953">
        <w:rPr>
          <w:rFonts w:ascii="Times New Roman" w:hAnsi="Times New Roman" w:cs="Times New Roman"/>
          <w:sz w:val="24"/>
          <w:szCs w:val="24"/>
          <w:lang w:val="en-GB"/>
        </w:rPr>
        <w:t>s</w:t>
      </w:r>
      <w:r w:rsidRPr="002A0C70">
        <w:rPr>
          <w:rFonts w:ascii="Times New Roman" w:hAnsi="Times New Roman" w:cs="Times New Roman"/>
          <w:sz w:val="24"/>
          <w:szCs w:val="24"/>
          <w:lang w:val="en-GB"/>
        </w:rPr>
        <w:t>ation, and rising urban demand have strengthened cassava value chains in Eastern and Southern Africa. However, cassava trade in Africa remains characteri</w:t>
      </w:r>
      <w:r w:rsidR="00D75953">
        <w:rPr>
          <w:rFonts w:ascii="Times New Roman" w:hAnsi="Times New Roman" w:cs="Times New Roman"/>
          <w:sz w:val="24"/>
          <w:szCs w:val="24"/>
          <w:lang w:val="en-GB"/>
        </w:rPr>
        <w:t>s</w:t>
      </w:r>
      <w:r w:rsidRPr="002A0C70">
        <w:rPr>
          <w:rFonts w:ascii="Times New Roman" w:hAnsi="Times New Roman" w:cs="Times New Roman"/>
          <w:sz w:val="24"/>
          <w:szCs w:val="24"/>
          <w:lang w:val="en-GB"/>
        </w:rPr>
        <w:t xml:space="preserve">ed by high volatility, informality, and sensitivity to policy changes. Non-tariff barriers, phytosanitary regulations, and episodic export bans introduced to protect domestic food security continue to affect trade flows (Minot </w:t>
      </w:r>
      <w:r w:rsidRPr="002A0C70">
        <w:rPr>
          <w:rFonts w:ascii="Times New Roman" w:hAnsi="Times New Roman" w:cs="Times New Roman"/>
          <w:i/>
          <w:iCs/>
          <w:sz w:val="24"/>
          <w:szCs w:val="24"/>
          <w:lang w:val="en-GB"/>
        </w:rPr>
        <w:t>et al</w:t>
      </w:r>
      <w:r w:rsidRPr="002A0C70">
        <w:rPr>
          <w:rFonts w:ascii="Times New Roman" w:hAnsi="Times New Roman" w:cs="Times New Roman"/>
          <w:sz w:val="24"/>
          <w:szCs w:val="24"/>
          <w:lang w:val="en-GB"/>
        </w:rPr>
        <w:t>., 2015). These characteristics necessitate the need for long-term empirical analysis that captures both structural trends and cyclical fluctuations in cassava trade performance.</w:t>
      </w:r>
    </w:p>
    <w:p w14:paraId="04ADDB17" w14:textId="0D62FECC" w:rsidR="00045344" w:rsidRPr="002A0C70" w:rsidRDefault="00B84E1A" w:rsidP="002A0C70">
      <w:pPr>
        <w:pStyle w:val="Heading2"/>
        <w:spacing w:line="240" w:lineRule="auto"/>
        <w:rPr>
          <w:rFonts w:ascii="Times New Roman" w:hAnsi="Times New Roman" w:cs="Times New Roman"/>
          <w:b/>
          <w:bCs/>
          <w:color w:val="auto"/>
          <w:sz w:val="24"/>
          <w:szCs w:val="24"/>
          <w:lang w:val="en-GB"/>
        </w:rPr>
      </w:pPr>
      <w:bookmarkStart w:id="6" w:name="_Toc220325805"/>
      <w:r w:rsidRPr="002A0C70">
        <w:rPr>
          <w:rFonts w:ascii="Times New Roman" w:hAnsi="Times New Roman" w:cs="Times New Roman"/>
          <w:b/>
          <w:bCs/>
          <w:color w:val="auto"/>
          <w:sz w:val="24"/>
          <w:szCs w:val="24"/>
          <w:lang w:val="en-GB"/>
        </w:rPr>
        <w:t>2</w:t>
      </w:r>
      <w:r w:rsidR="00045344" w:rsidRPr="002A0C70">
        <w:rPr>
          <w:rFonts w:ascii="Times New Roman" w:hAnsi="Times New Roman" w:cs="Times New Roman"/>
          <w:b/>
          <w:bCs/>
          <w:color w:val="auto"/>
          <w:sz w:val="24"/>
          <w:szCs w:val="24"/>
          <w:lang w:val="en-GB"/>
        </w:rPr>
        <w:t xml:space="preserve">.2 Cassava </w:t>
      </w:r>
      <w:r w:rsidR="00805B74" w:rsidRPr="002A0C70">
        <w:rPr>
          <w:rFonts w:ascii="Times New Roman" w:hAnsi="Times New Roman" w:cs="Times New Roman"/>
          <w:b/>
          <w:bCs/>
          <w:color w:val="auto"/>
          <w:sz w:val="24"/>
          <w:szCs w:val="24"/>
          <w:lang w:val="en-GB"/>
        </w:rPr>
        <w:t xml:space="preserve">trade and export performance </w:t>
      </w:r>
      <w:r w:rsidR="00045344" w:rsidRPr="002A0C70">
        <w:rPr>
          <w:rFonts w:ascii="Times New Roman" w:hAnsi="Times New Roman" w:cs="Times New Roman"/>
          <w:b/>
          <w:bCs/>
          <w:color w:val="auto"/>
          <w:sz w:val="24"/>
          <w:szCs w:val="24"/>
          <w:lang w:val="en-GB"/>
        </w:rPr>
        <w:t>in Tanzania</w:t>
      </w:r>
      <w:bookmarkEnd w:id="6"/>
    </w:p>
    <w:p w14:paraId="1CBAB163" w14:textId="097CEF26" w:rsidR="00045344" w:rsidRPr="002A0C70" w:rsidRDefault="00045344" w:rsidP="002A0C70">
      <w:pPr>
        <w:spacing w:before="240" w:after="0" w:line="240" w:lineRule="auto"/>
        <w:jc w:val="both"/>
        <w:rPr>
          <w:rFonts w:ascii="Times New Roman" w:hAnsi="Times New Roman" w:cs="Times New Roman"/>
          <w:sz w:val="24"/>
          <w:szCs w:val="24"/>
          <w:lang w:val="en-GB"/>
        </w:rPr>
      </w:pPr>
      <w:r w:rsidRPr="002A0C70">
        <w:rPr>
          <w:rFonts w:ascii="Times New Roman" w:hAnsi="Times New Roman" w:cs="Times New Roman"/>
          <w:sz w:val="24"/>
          <w:szCs w:val="24"/>
          <w:lang w:val="en-GB"/>
        </w:rPr>
        <w:t>In Tanzania, cassava has traditionally been viewed through the lens of food security rather than export competitiveness. Early studies emphasi</w:t>
      </w:r>
      <w:r w:rsidR="00D75953">
        <w:rPr>
          <w:rFonts w:ascii="Times New Roman" w:hAnsi="Times New Roman" w:cs="Times New Roman"/>
          <w:sz w:val="24"/>
          <w:szCs w:val="24"/>
          <w:lang w:val="en-GB"/>
        </w:rPr>
        <w:t>s</w:t>
      </w:r>
      <w:r w:rsidRPr="002A0C70">
        <w:rPr>
          <w:rFonts w:ascii="Times New Roman" w:hAnsi="Times New Roman" w:cs="Times New Roman"/>
          <w:sz w:val="24"/>
          <w:szCs w:val="24"/>
          <w:lang w:val="en-GB"/>
        </w:rPr>
        <w:t xml:space="preserve">ed its role in cushioning households against drought and cereal price shocks (Lele </w:t>
      </w:r>
      <w:r w:rsidRPr="002A0C70">
        <w:rPr>
          <w:rFonts w:ascii="Times New Roman" w:hAnsi="Times New Roman" w:cs="Times New Roman"/>
          <w:i/>
          <w:iCs/>
          <w:sz w:val="24"/>
          <w:szCs w:val="24"/>
          <w:lang w:val="en-GB"/>
        </w:rPr>
        <w:t>et al</w:t>
      </w:r>
      <w:r w:rsidRPr="002A0C70">
        <w:rPr>
          <w:rFonts w:ascii="Times New Roman" w:hAnsi="Times New Roman" w:cs="Times New Roman"/>
          <w:sz w:val="24"/>
          <w:szCs w:val="24"/>
          <w:lang w:val="en-GB"/>
        </w:rPr>
        <w:t>., 1989). However, more recent research documents increasing market orientation and cross-border trade, particularly in border regions such as Kagera, Kigoma, Mara, and Ruvuma (</w:t>
      </w:r>
      <w:proofErr w:type="spellStart"/>
      <w:r w:rsidRPr="002A0C70">
        <w:rPr>
          <w:rFonts w:ascii="Times New Roman" w:hAnsi="Times New Roman" w:cs="Times New Roman"/>
          <w:sz w:val="24"/>
          <w:szCs w:val="24"/>
          <w:lang w:val="en-GB"/>
        </w:rPr>
        <w:t>Msikita</w:t>
      </w:r>
      <w:proofErr w:type="spellEnd"/>
      <w:r w:rsidRPr="002A0C70">
        <w:rPr>
          <w:rFonts w:ascii="Times New Roman" w:hAnsi="Times New Roman" w:cs="Times New Roman"/>
          <w:sz w:val="24"/>
          <w:szCs w:val="24"/>
          <w:lang w:val="en-GB"/>
        </w:rPr>
        <w:t xml:space="preserve"> </w:t>
      </w:r>
      <w:r w:rsidRPr="002A0C70">
        <w:rPr>
          <w:rFonts w:ascii="Times New Roman" w:hAnsi="Times New Roman" w:cs="Times New Roman"/>
          <w:i/>
          <w:iCs/>
          <w:sz w:val="24"/>
          <w:szCs w:val="24"/>
          <w:lang w:val="en-GB"/>
        </w:rPr>
        <w:t>et al</w:t>
      </w:r>
      <w:r w:rsidRPr="002A0C70">
        <w:rPr>
          <w:rFonts w:ascii="Times New Roman" w:hAnsi="Times New Roman" w:cs="Times New Roman"/>
          <w:sz w:val="24"/>
          <w:szCs w:val="24"/>
          <w:lang w:val="en-GB"/>
        </w:rPr>
        <w:t xml:space="preserve">., 2010; </w:t>
      </w:r>
      <w:proofErr w:type="spellStart"/>
      <w:r w:rsidRPr="002A0C70">
        <w:rPr>
          <w:rFonts w:ascii="Times New Roman" w:hAnsi="Times New Roman" w:cs="Times New Roman"/>
          <w:sz w:val="24"/>
          <w:szCs w:val="24"/>
          <w:lang w:val="en-GB"/>
        </w:rPr>
        <w:t>Wangwee</w:t>
      </w:r>
      <w:proofErr w:type="spellEnd"/>
      <w:r w:rsidRPr="002A0C70">
        <w:rPr>
          <w:rFonts w:ascii="Times New Roman" w:hAnsi="Times New Roman" w:cs="Times New Roman"/>
          <w:sz w:val="24"/>
          <w:szCs w:val="24"/>
          <w:lang w:val="en-GB"/>
        </w:rPr>
        <w:t xml:space="preserve"> </w:t>
      </w:r>
      <w:r w:rsidR="002A0C70">
        <w:rPr>
          <w:rFonts w:ascii="Times New Roman" w:hAnsi="Times New Roman" w:cs="Times New Roman"/>
          <w:sz w:val="24"/>
          <w:szCs w:val="24"/>
          <w:lang w:val="en-GB"/>
        </w:rPr>
        <w:t>&amp;</w:t>
      </w:r>
      <w:r w:rsidRPr="002A0C70">
        <w:rPr>
          <w:rFonts w:ascii="Times New Roman" w:hAnsi="Times New Roman" w:cs="Times New Roman"/>
          <w:sz w:val="24"/>
          <w:szCs w:val="24"/>
          <w:lang w:val="en-GB"/>
        </w:rPr>
        <w:t xml:space="preserve"> </w:t>
      </w:r>
      <w:proofErr w:type="spellStart"/>
      <w:r w:rsidRPr="002A0C70">
        <w:rPr>
          <w:rFonts w:ascii="Times New Roman" w:hAnsi="Times New Roman" w:cs="Times New Roman"/>
          <w:sz w:val="24"/>
          <w:szCs w:val="24"/>
          <w:lang w:val="en-GB"/>
        </w:rPr>
        <w:t>Magai</w:t>
      </w:r>
      <w:proofErr w:type="spellEnd"/>
      <w:r w:rsidRPr="002A0C70">
        <w:rPr>
          <w:rFonts w:ascii="Times New Roman" w:hAnsi="Times New Roman" w:cs="Times New Roman"/>
          <w:sz w:val="24"/>
          <w:szCs w:val="24"/>
          <w:lang w:val="en-GB"/>
        </w:rPr>
        <w:t>, 2024). Trade liberali</w:t>
      </w:r>
      <w:r w:rsidR="002A0C70">
        <w:rPr>
          <w:rFonts w:ascii="Times New Roman" w:hAnsi="Times New Roman" w:cs="Times New Roman"/>
          <w:sz w:val="24"/>
          <w:szCs w:val="24"/>
          <w:lang w:val="en-GB"/>
        </w:rPr>
        <w:t>s</w:t>
      </w:r>
      <w:r w:rsidRPr="002A0C70">
        <w:rPr>
          <w:rFonts w:ascii="Times New Roman" w:hAnsi="Times New Roman" w:cs="Times New Roman"/>
          <w:sz w:val="24"/>
          <w:szCs w:val="24"/>
          <w:lang w:val="en-GB"/>
        </w:rPr>
        <w:t>ation reforms introduced under Structural Adjustment Programs in the mid-1980s significantly altered agricultural marketing systems in Tanzania. The dismantling of state marketing boards and the liberali</w:t>
      </w:r>
      <w:r w:rsidR="00D75953">
        <w:rPr>
          <w:rFonts w:ascii="Times New Roman" w:hAnsi="Times New Roman" w:cs="Times New Roman"/>
          <w:sz w:val="24"/>
          <w:szCs w:val="24"/>
          <w:lang w:val="en-GB"/>
        </w:rPr>
        <w:t>s</w:t>
      </w:r>
      <w:r w:rsidRPr="002A0C70">
        <w:rPr>
          <w:rFonts w:ascii="Times New Roman" w:hAnsi="Times New Roman" w:cs="Times New Roman"/>
          <w:sz w:val="24"/>
          <w:szCs w:val="24"/>
          <w:lang w:val="en-GB"/>
        </w:rPr>
        <w:t>ation of prices facilitated private sector participation in agricultural trade, including cassava (Putterman, 1995). Subsequent regional integration under the EAC and SADC frameworks further reduced formal trade barriers, enabling Tanzania to supply cassava to neighbouring deficit countries (</w:t>
      </w:r>
      <w:proofErr w:type="spellStart"/>
      <w:r w:rsidRPr="002A0C70">
        <w:rPr>
          <w:rFonts w:ascii="Times New Roman" w:hAnsi="Times New Roman" w:cs="Times New Roman"/>
          <w:sz w:val="24"/>
          <w:szCs w:val="24"/>
          <w:lang w:val="en-GB"/>
        </w:rPr>
        <w:t>Haggblade</w:t>
      </w:r>
      <w:proofErr w:type="spellEnd"/>
      <w:r w:rsidRPr="002A0C70">
        <w:rPr>
          <w:rFonts w:ascii="Times New Roman" w:hAnsi="Times New Roman" w:cs="Times New Roman"/>
          <w:sz w:val="24"/>
          <w:szCs w:val="24"/>
          <w:lang w:val="en-GB"/>
        </w:rPr>
        <w:t xml:space="preserve"> </w:t>
      </w:r>
      <w:r w:rsidRPr="002A0C70">
        <w:rPr>
          <w:rFonts w:ascii="Times New Roman" w:hAnsi="Times New Roman" w:cs="Times New Roman"/>
          <w:i/>
          <w:iCs/>
          <w:sz w:val="24"/>
          <w:szCs w:val="24"/>
          <w:lang w:val="en-GB"/>
        </w:rPr>
        <w:t>et al</w:t>
      </w:r>
      <w:r w:rsidRPr="002A0C70">
        <w:rPr>
          <w:rFonts w:ascii="Times New Roman" w:hAnsi="Times New Roman" w:cs="Times New Roman"/>
          <w:sz w:val="24"/>
          <w:szCs w:val="24"/>
          <w:lang w:val="en-GB"/>
        </w:rPr>
        <w:t>., 2012). Despite these developments, empirical studies quantifying Tanzania</w:t>
      </w:r>
      <w:r w:rsidR="00B51FFE" w:rsidRPr="002A0C70">
        <w:rPr>
          <w:rFonts w:ascii="Times New Roman" w:hAnsi="Times New Roman" w:cs="Times New Roman"/>
          <w:sz w:val="24"/>
          <w:szCs w:val="24"/>
          <w:lang w:val="en-GB"/>
        </w:rPr>
        <w:t>'</w:t>
      </w:r>
      <w:r w:rsidRPr="002A0C70">
        <w:rPr>
          <w:rFonts w:ascii="Times New Roman" w:hAnsi="Times New Roman" w:cs="Times New Roman"/>
          <w:sz w:val="24"/>
          <w:szCs w:val="24"/>
          <w:lang w:val="en-GB"/>
        </w:rPr>
        <w:t xml:space="preserve">s cassava export performance over long horizons are scarce. Available analyses are often </w:t>
      </w:r>
      <w:r w:rsidRPr="002A0C70">
        <w:rPr>
          <w:rFonts w:ascii="Times New Roman" w:hAnsi="Times New Roman" w:cs="Times New Roman"/>
          <w:sz w:val="24"/>
          <w:szCs w:val="24"/>
          <w:lang w:val="en-GB"/>
        </w:rPr>
        <w:lastRenderedPageBreak/>
        <w:t>cross-sectional or short-term, focusing on specific value chain segments or regions (Adebayo, 2023). Moreover, the distinction between exports, imports, and net trade balance is rarely examined systematically, limiting understanding of Tanzania</w:t>
      </w:r>
      <w:r w:rsidR="00B51FFE" w:rsidRPr="002A0C70">
        <w:rPr>
          <w:rFonts w:ascii="Times New Roman" w:hAnsi="Times New Roman" w:cs="Times New Roman"/>
          <w:sz w:val="24"/>
          <w:szCs w:val="24"/>
          <w:lang w:val="en-GB"/>
        </w:rPr>
        <w:t>'</w:t>
      </w:r>
      <w:r w:rsidRPr="002A0C70">
        <w:rPr>
          <w:rFonts w:ascii="Times New Roman" w:hAnsi="Times New Roman" w:cs="Times New Roman"/>
          <w:sz w:val="24"/>
          <w:szCs w:val="24"/>
          <w:lang w:val="en-GB"/>
        </w:rPr>
        <w:t>s evolving comparative</w:t>
      </w:r>
      <w:r w:rsidR="00256568" w:rsidRPr="002A0C70">
        <w:rPr>
          <w:rFonts w:ascii="Times New Roman" w:hAnsi="Times New Roman" w:cs="Times New Roman"/>
          <w:sz w:val="24"/>
          <w:szCs w:val="24"/>
          <w:lang w:val="en-GB"/>
        </w:rPr>
        <w:t xml:space="preserve"> and competitive</w:t>
      </w:r>
      <w:r w:rsidRPr="002A0C70">
        <w:rPr>
          <w:rFonts w:ascii="Times New Roman" w:hAnsi="Times New Roman" w:cs="Times New Roman"/>
          <w:sz w:val="24"/>
          <w:szCs w:val="24"/>
          <w:lang w:val="en-GB"/>
        </w:rPr>
        <w:t xml:space="preserve"> advantage</w:t>
      </w:r>
      <w:r w:rsidR="00256568" w:rsidRPr="002A0C70">
        <w:rPr>
          <w:rFonts w:ascii="Times New Roman" w:hAnsi="Times New Roman" w:cs="Times New Roman"/>
          <w:sz w:val="24"/>
          <w:szCs w:val="24"/>
          <w:lang w:val="en-GB"/>
        </w:rPr>
        <w:t>s</w:t>
      </w:r>
      <w:r w:rsidRPr="002A0C70">
        <w:rPr>
          <w:rFonts w:ascii="Times New Roman" w:hAnsi="Times New Roman" w:cs="Times New Roman"/>
          <w:sz w:val="24"/>
          <w:szCs w:val="24"/>
          <w:lang w:val="en-GB"/>
        </w:rPr>
        <w:t xml:space="preserve"> in cassava trade.</w:t>
      </w:r>
    </w:p>
    <w:p w14:paraId="4133E700" w14:textId="6DBB9EE5" w:rsidR="00045344" w:rsidRPr="002A0C70" w:rsidRDefault="00B84E1A" w:rsidP="002A0C70">
      <w:pPr>
        <w:pStyle w:val="Heading2"/>
        <w:spacing w:line="240" w:lineRule="auto"/>
        <w:rPr>
          <w:rFonts w:ascii="Times New Roman" w:hAnsi="Times New Roman" w:cs="Times New Roman"/>
          <w:b/>
          <w:bCs/>
          <w:color w:val="auto"/>
          <w:sz w:val="24"/>
          <w:szCs w:val="24"/>
          <w:lang w:val="en-GB"/>
        </w:rPr>
      </w:pPr>
      <w:bookmarkStart w:id="7" w:name="_Toc220325806"/>
      <w:r w:rsidRPr="002A0C70">
        <w:rPr>
          <w:rFonts w:ascii="Times New Roman" w:hAnsi="Times New Roman" w:cs="Times New Roman"/>
          <w:b/>
          <w:bCs/>
          <w:color w:val="auto"/>
          <w:sz w:val="24"/>
          <w:szCs w:val="24"/>
          <w:lang w:val="en-GB"/>
        </w:rPr>
        <w:t>2</w:t>
      </w:r>
      <w:r w:rsidR="00045344" w:rsidRPr="002A0C70">
        <w:rPr>
          <w:rFonts w:ascii="Times New Roman" w:hAnsi="Times New Roman" w:cs="Times New Roman"/>
          <w:b/>
          <w:bCs/>
          <w:color w:val="auto"/>
          <w:sz w:val="24"/>
          <w:szCs w:val="24"/>
          <w:lang w:val="en-GB"/>
        </w:rPr>
        <w:t xml:space="preserve">.3 Time </w:t>
      </w:r>
      <w:r w:rsidR="00805B74" w:rsidRPr="002A0C70">
        <w:rPr>
          <w:rFonts w:ascii="Times New Roman" w:hAnsi="Times New Roman" w:cs="Times New Roman"/>
          <w:b/>
          <w:bCs/>
          <w:color w:val="auto"/>
          <w:sz w:val="24"/>
          <w:szCs w:val="24"/>
          <w:lang w:val="en-GB"/>
        </w:rPr>
        <w:t>series modelling and forecasting of agricultural trade</w:t>
      </w:r>
      <w:bookmarkEnd w:id="7"/>
    </w:p>
    <w:p w14:paraId="7F31C223" w14:textId="77777777" w:rsidR="00045344" w:rsidRPr="002A0C70" w:rsidRDefault="00045344" w:rsidP="002A0C70">
      <w:pPr>
        <w:spacing w:before="240" w:after="0" w:line="240" w:lineRule="auto"/>
        <w:jc w:val="both"/>
        <w:rPr>
          <w:rFonts w:ascii="Times New Roman" w:hAnsi="Times New Roman" w:cs="Times New Roman"/>
          <w:sz w:val="24"/>
          <w:szCs w:val="24"/>
          <w:lang w:val="en-GB"/>
        </w:rPr>
      </w:pPr>
      <w:r w:rsidRPr="002A0C70">
        <w:rPr>
          <w:rFonts w:ascii="Times New Roman" w:hAnsi="Times New Roman" w:cs="Times New Roman"/>
          <w:sz w:val="24"/>
          <w:szCs w:val="24"/>
          <w:lang w:val="en-GB"/>
        </w:rPr>
        <w:t xml:space="preserve">Time series econometric models have been widely applied to </w:t>
      </w:r>
      <w:r w:rsidR="00E3023D" w:rsidRPr="002A0C70">
        <w:rPr>
          <w:rFonts w:ascii="Times New Roman" w:hAnsi="Times New Roman" w:cs="Times New Roman"/>
          <w:sz w:val="24"/>
          <w:szCs w:val="24"/>
          <w:lang w:val="en-GB"/>
        </w:rPr>
        <w:t>analyse</w:t>
      </w:r>
      <w:r w:rsidRPr="002A0C70">
        <w:rPr>
          <w:rFonts w:ascii="Times New Roman" w:hAnsi="Times New Roman" w:cs="Times New Roman"/>
          <w:sz w:val="24"/>
          <w:szCs w:val="24"/>
          <w:lang w:val="en-GB"/>
        </w:rPr>
        <w:t xml:space="preserve"> and forecast agricultural production, prices, and trade flows. Among these, the ARIMA model developed by Box and Jenkins (1976) remains one of the most extensively used approaches due to its flexibility, relatively low data requirements, and strong forecasting performance in univariate settings. ARIMA models have been applied successfully to forecast exports of agricultural commodities such as rice, maize, coffee, and horticultural products in both developed and developing countries (</w:t>
      </w:r>
      <w:proofErr w:type="spellStart"/>
      <w:r w:rsidRPr="002A0C70">
        <w:rPr>
          <w:rFonts w:ascii="Times New Roman" w:hAnsi="Times New Roman" w:cs="Times New Roman"/>
          <w:sz w:val="24"/>
          <w:szCs w:val="24"/>
          <w:lang w:val="en-GB"/>
        </w:rPr>
        <w:t>Gbegbelegbe</w:t>
      </w:r>
      <w:proofErr w:type="spellEnd"/>
      <w:r w:rsidRPr="002A0C70">
        <w:rPr>
          <w:rFonts w:ascii="Times New Roman" w:hAnsi="Times New Roman" w:cs="Times New Roman"/>
          <w:sz w:val="24"/>
          <w:szCs w:val="24"/>
          <w:lang w:val="en-GB"/>
        </w:rPr>
        <w:t xml:space="preserve"> </w:t>
      </w:r>
      <w:r w:rsidRPr="002A0C70">
        <w:rPr>
          <w:rFonts w:ascii="Times New Roman" w:hAnsi="Times New Roman" w:cs="Times New Roman"/>
          <w:i/>
          <w:iCs/>
          <w:sz w:val="24"/>
          <w:szCs w:val="24"/>
          <w:lang w:val="en-GB"/>
        </w:rPr>
        <w:t>et al</w:t>
      </w:r>
      <w:r w:rsidRPr="002A0C70">
        <w:rPr>
          <w:rFonts w:ascii="Times New Roman" w:hAnsi="Times New Roman" w:cs="Times New Roman"/>
          <w:sz w:val="24"/>
          <w:szCs w:val="24"/>
          <w:lang w:val="en-GB"/>
        </w:rPr>
        <w:t xml:space="preserve">., 2014; Shabani </w:t>
      </w:r>
      <w:r w:rsidRPr="002A0C70">
        <w:rPr>
          <w:rFonts w:ascii="Times New Roman" w:hAnsi="Times New Roman" w:cs="Times New Roman"/>
          <w:i/>
          <w:iCs/>
          <w:sz w:val="24"/>
          <w:szCs w:val="24"/>
          <w:lang w:val="en-GB"/>
        </w:rPr>
        <w:t>et al</w:t>
      </w:r>
      <w:r w:rsidRPr="002A0C70">
        <w:rPr>
          <w:rFonts w:ascii="Times New Roman" w:hAnsi="Times New Roman" w:cs="Times New Roman"/>
          <w:sz w:val="24"/>
          <w:szCs w:val="24"/>
          <w:lang w:val="en-GB"/>
        </w:rPr>
        <w:t>., 2021).</w:t>
      </w:r>
    </w:p>
    <w:p w14:paraId="32F1C26F" w14:textId="2DFB9C4E" w:rsidR="00045344" w:rsidRPr="002A0C70" w:rsidRDefault="00045344" w:rsidP="002A0C70">
      <w:pPr>
        <w:spacing w:before="240" w:after="0" w:line="240" w:lineRule="auto"/>
        <w:jc w:val="both"/>
        <w:rPr>
          <w:rFonts w:ascii="Times New Roman" w:hAnsi="Times New Roman" w:cs="Times New Roman"/>
          <w:sz w:val="24"/>
          <w:szCs w:val="24"/>
          <w:lang w:val="en-GB"/>
        </w:rPr>
      </w:pPr>
      <w:r w:rsidRPr="002A0C70">
        <w:rPr>
          <w:rFonts w:ascii="Times New Roman" w:hAnsi="Times New Roman" w:cs="Times New Roman"/>
          <w:sz w:val="24"/>
          <w:szCs w:val="24"/>
          <w:lang w:val="en-GB"/>
        </w:rPr>
        <w:t xml:space="preserve">In the context of agricultural trade, ARIMA models are particularly useful for capturing persistence, cyclical </w:t>
      </w:r>
      <w:r w:rsidR="00E3023D" w:rsidRPr="002A0C70">
        <w:rPr>
          <w:rFonts w:ascii="Times New Roman" w:hAnsi="Times New Roman" w:cs="Times New Roman"/>
          <w:sz w:val="24"/>
          <w:szCs w:val="24"/>
          <w:lang w:val="en-GB"/>
        </w:rPr>
        <w:t>behaviour</w:t>
      </w:r>
      <w:r w:rsidRPr="002A0C70">
        <w:rPr>
          <w:rFonts w:ascii="Times New Roman" w:hAnsi="Times New Roman" w:cs="Times New Roman"/>
          <w:sz w:val="24"/>
          <w:szCs w:val="24"/>
          <w:lang w:val="en-GB"/>
        </w:rPr>
        <w:t>, and structural trends in export series. Although they do not explicitly model causal relationships, their strength lies in short- to medium-term forecasting accuracy, which is often the primary concern of policy makers and market actors (Stock and Watson, 2003). Several studies have demonstrated that ARIMA-based forecasts perform comparably or better than more complex structural models when long historical series are available (</w:t>
      </w:r>
      <w:proofErr w:type="spellStart"/>
      <w:r w:rsidRPr="002A0C70">
        <w:rPr>
          <w:rFonts w:ascii="Times New Roman" w:hAnsi="Times New Roman" w:cs="Times New Roman"/>
          <w:sz w:val="24"/>
          <w:szCs w:val="24"/>
          <w:lang w:val="en-GB"/>
        </w:rPr>
        <w:t>Makridakis</w:t>
      </w:r>
      <w:proofErr w:type="spellEnd"/>
      <w:r w:rsidRPr="002A0C70">
        <w:rPr>
          <w:rFonts w:ascii="Times New Roman" w:hAnsi="Times New Roman" w:cs="Times New Roman"/>
          <w:sz w:val="24"/>
          <w:szCs w:val="24"/>
          <w:lang w:val="en-GB"/>
        </w:rPr>
        <w:t xml:space="preserve"> </w:t>
      </w:r>
      <w:r w:rsidR="002A0C70">
        <w:rPr>
          <w:rFonts w:ascii="Times New Roman" w:hAnsi="Times New Roman" w:cs="Times New Roman"/>
          <w:sz w:val="24"/>
          <w:szCs w:val="24"/>
          <w:lang w:val="en-GB"/>
        </w:rPr>
        <w:t>&amp;</w:t>
      </w:r>
      <w:r w:rsidRPr="002A0C70">
        <w:rPr>
          <w:rFonts w:ascii="Times New Roman" w:hAnsi="Times New Roman" w:cs="Times New Roman"/>
          <w:sz w:val="24"/>
          <w:szCs w:val="24"/>
          <w:lang w:val="en-GB"/>
        </w:rPr>
        <w:t xml:space="preserve"> </w:t>
      </w:r>
      <w:proofErr w:type="spellStart"/>
      <w:r w:rsidRPr="002A0C70">
        <w:rPr>
          <w:rFonts w:ascii="Times New Roman" w:hAnsi="Times New Roman" w:cs="Times New Roman"/>
          <w:sz w:val="24"/>
          <w:szCs w:val="24"/>
          <w:lang w:val="en-GB"/>
        </w:rPr>
        <w:t>Hibon</w:t>
      </w:r>
      <w:proofErr w:type="spellEnd"/>
      <w:r w:rsidRPr="002A0C70">
        <w:rPr>
          <w:rFonts w:ascii="Times New Roman" w:hAnsi="Times New Roman" w:cs="Times New Roman"/>
          <w:sz w:val="24"/>
          <w:szCs w:val="24"/>
          <w:lang w:val="en-GB"/>
        </w:rPr>
        <w:t>, 2000).</w:t>
      </w:r>
    </w:p>
    <w:p w14:paraId="7FBCF0C4" w14:textId="77777777" w:rsidR="00045344" w:rsidRPr="002A0C70" w:rsidRDefault="00045344" w:rsidP="002A0C70">
      <w:pPr>
        <w:spacing w:before="240" w:after="0" w:line="240" w:lineRule="auto"/>
        <w:jc w:val="both"/>
        <w:rPr>
          <w:rFonts w:ascii="Times New Roman" w:hAnsi="Times New Roman" w:cs="Times New Roman"/>
          <w:sz w:val="24"/>
          <w:szCs w:val="24"/>
          <w:lang w:val="en-GB"/>
        </w:rPr>
      </w:pPr>
      <w:r w:rsidRPr="002A0C70">
        <w:rPr>
          <w:rFonts w:ascii="Times New Roman" w:hAnsi="Times New Roman" w:cs="Times New Roman"/>
          <w:sz w:val="24"/>
          <w:szCs w:val="24"/>
          <w:lang w:val="en-GB"/>
        </w:rPr>
        <w:t>However, agricultural trade series often exhibit non-stationarity, structural breaks, and volatility associated with policy reforms, climatic shocks, and market disruptions. Granger and Newbold (1974) caution that failure to address non-stationarity can lead to spurious results, underscoring the importance of unit root testing and appropriate differencing. Recent studies increasingly acknowledge that even when residuals deviate from normality, ARIMA models remain robust for point forecasting, provided diagnostic checks confirm the absence of autocorrelation (Stock and Watson, 2003).</w:t>
      </w:r>
    </w:p>
    <w:p w14:paraId="0E6D843F" w14:textId="5C0F3121" w:rsidR="00045344" w:rsidRPr="002A0C70" w:rsidRDefault="00045344" w:rsidP="002A0C70">
      <w:pPr>
        <w:spacing w:before="240" w:after="0" w:line="240" w:lineRule="auto"/>
        <w:jc w:val="both"/>
        <w:rPr>
          <w:rFonts w:ascii="Times New Roman" w:hAnsi="Times New Roman" w:cs="Times New Roman"/>
          <w:sz w:val="24"/>
          <w:szCs w:val="24"/>
          <w:lang w:val="en-GB"/>
        </w:rPr>
      </w:pPr>
      <w:r w:rsidRPr="002A0C70">
        <w:rPr>
          <w:rFonts w:ascii="Times New Roman" w:hAnsi="Times New Roman" w:cs="Times New Roman"/>
          <w:sz w:val="24"/>
          <w:szCs w:val="24"/>
          <w:lang w:val="en-GB"/>
        </w:rPr>
        <w:t xml:space="preserve">Despite the growing application of time series methods in agricultural economics, their use in </w:t>
      </w:r>
      <w:r w:rsidR="00B51FFE" w:rsidRPr="002A0C70">
        <w:rPr>
          <w:rFonts w:ascii="Times New Roman" w:hAnsi="Times New Roman" w:cs="Times New Roman"/>
          <w:sz w:val="24"/>
          <w:szCs w:val="24"/>
          <w:lang w:val="en-GB"/>
        </w:rPr>
        <w:t>analysing</w:t>
      </w:r>
      <w:r w:rsidRPr="002A0C70">
        <w:rPr>
          <w:rFonts w:ascii="Times New Roman" w:hAnsi="Times New Roman" w:cs="Times New Roman"/>
          <w:sz w:val="24"/>
          <w:szCs w:val="24"/>
          <w:lang w:val="en-GB"/>
        </w:rPr>
        <w:t xml:space="preserve"> cassava trade particularly in African contexts remains limited. This study addresses this gap by applying ARIMA modelling to a uniquely long cassava net export series for Tanzania, thereby contributing both methodologically and empirically to the literature.</w:t>
      </w:r>
    </w:p>
    <w:p w14:paraId="1A770DE0" w14:textId="2642B82D" w:rsidR="00045344" w:rsidRPr="002A0C70" w:rsidRDefault="00045344" w:rsidP="002A0C70">
      <w:pPr>
        <w:pStyle w:val="Heading1"/>
        <w:numPr>
          <w:ilvl w:val="0"/>
          <w:numId w:val="2"/>
        </w:numPr>
        <w:spacing w:line="240" w:lineRule="auto"/>
        <w:rPr>
          <w:rFonts w:ascii="Times New Roman" w:hAnsi="Times New Roman" w:cs="Times New Roman"/>
          <w:b/>
          <w:bCs/>
          <w:color w:val="auto"/>
          <w:sz w:val="24"/>
          <w:szCs w:val="24"/>
          <w:lang w:val="en-GB"/>
        </w:rPr>
      </w:pPr>
      <w:bookmarkStart w:id="8" w:name="_Toc220325807"/>
      <w:r w:rsidRPr="002A0C70">
        <w:rPr>
          <w:rFonts w:ascii="Times New Roman" w:hAnsi="Times New Roman" w:cs="Times New Roman"/>
          <w:b/>
          <w:bCs/>
          <w:color w:val="auto"/>
          <w:sz w:val="24"/>
          <w:szCs w:val="24"/>
          <w:lang w:val="en-GB"/>
        </w:rPr>
        <w:t xml:space="preserve">Research </w:t>
      </w:r>
      <w:r w:rsidR="003A6C85" w:rsidRPr="002A0C70">
        <w:rPr>
          <w:rFonts w:ascii="Times New Roman" w:hAnsi="Times New Roman" w:cs="Times New Roman"/>
          <w:b/>
          <w:bCs/>
          <w:color w:val="auto"/>
          <w:sz w:val="24"/>
          <w:szCs w:val="24"/>
          <w:lang w:val="en-GB"/>
        </w:rPr>
        <w:t>methodology</w:t>
      </w:r>
      <w:bookmarkEnd w:id="8"/>
    </w:p>
    <w:p w14:paraId="645C0B90" w14:textId="4C1E6037" w:rsidR="00045344" w:rsidRPr="002A0C70" w:rsidRDefault="00045344" w:rsidP="002A0C70">
      <w:pPr>
        <w:pStyle w:val="Heading2"/>
        <w:spacing w:line="240" w:lineRule="auto"/>
        <w:rPr>
          <w:rFonts w:ascii="Times New Roman" w:hAnsi="Times New Roman" w:cs="Times New Roman"/>
          <w:b/>
          <w:bCs/>
          <w:color w:val="auto"/>
          <w:sz w:val="24"/>
          <w:szCs w:val="24"/>
          <w:lang w:val="en-GB"/>
        </w:rPr>
      </w:pPr>
      <w:bookmarkStart w:id="9" w:name="_Toc220325808"/>
      <w:r w:rsidRPr="002A0C70">
        <w:rPr>
          <w:rFonts w:ascii="Times New Roman" w:hAnsi="Times New Roman" w:cs="Times New Roman"/>
          <w:b/>
          <w:bCs/>
          <w:color w:val="auto"/>
          <w:sz w:val="24"/>
          <w:szCs w:val="24"/>
          <w:lang w:val="en-GB"/>
        </w:rPr>
        <w:t xml:space="preserve">3.1 Study </w:t>
      </w:r>
      <w:r w:rsidR="003A6C85" w:rsidRPr="002A0C70">
        <w:rPr>
          <w:rFonts w:ascii="Times New Roman" w:hAnsi="Times New Roman" w:cs="Times New Roman"/>
          <w:b/>
          <w:bCs/>
          <w:color w:val="auto"/>
          <w:sz w:val="24"/>
          <w:szCs w:val="24"/>
          <w:lang w:val="en-GB"/>
        </w:rPr>
        <w:t>area and data sources</w:t>
      </w:r>
      <w:bookmarkEnd w:id="9"/>
    </w:p>
    <w:p w14:paraId="3A346E34" w14:textId="77777777" w:rsidR="00045344" w:rsidRPr="002A0C70" w:rsidRDefault="00045344" w:rsidP="002A0C70">
      <w:pPr>
        <w:spacing w:before="240" w:after="0" w:line="240" w:lineRule="auto"/>
        <w:jc w:val="both"/>
        <w:rPr>
          <w:rFonts w:ascii="Times New Roman" w:hAnsi="Times New Roman" w:cs="Times New Roman"/>
          <w:sz w:val="24"/>
          <w:szCs w:val="24"/>
          <w:lang w:val="en-GB"/>
        </w:rPr>
      </w:pPr>
      <w:r w:rsidRPr="002A0C70">
        <w:rPr>
          <w:rFonts w:ascii="Times New Roman" w:hAnsi="Times New Roman" w:cs="Times New Roman"/>
          <w:sz w:val="24"/>
          <w:szCs w:val="24"/>
          <w:lang w:val="en-GB"/>
        </w:rPr>
        <w:t>This study focuses on the United Republic of Tanzania, a major cassava producer in sub-Saharan Africa ranking third after Nigeria and the Democratic Republic of Congo. Tanzania's cassava production is predominantly concentrated in the Southern, Lake, and Eastern zones, with the crop serving both as a food security staple and an increasingly important export commodity.</w:t>
      </w:r>
    </w:p>
    <w:p w14:paraId="08748108" w14:textId="25B70DF8" w:rsidR="00045344" w:rsidRPr="002A0C70" w:rsidRDefault="00045344" w:rsidP="002A0C70">
      <w:pPr>
        <w:spacing w:before="240" w:after="0" w:line="240" w:lineRule="auto"/>
        <w:jc w:val="both"/>
        <w:rPr>
          <w:rFonts w:ascii="Times New Roman" w:hAnsi="Times New Roman" w:cs="Times New Roman"/>
          <w:sz w:val="24"/>
          <w:szCs w:val="24"/>
          <w:lang w:val="en-GB"/>
        </w:rPr>
      </w:pPr>
      <w:r w:rsidRPr="002A0C70">
        <w:rPr>
          <w:rFonts w:ascii="Times New Roman" w:hAnsi="Times New Roman" w:cs="Times New Roman"/>
          <w:sz w:val="24"/>
          <w:szCs w:val="24"/>
          <w:lang w:val="en-GB"/>
        </w:rPr>
        <w:t>The st</w:t>
      </w:r>
      <w:r w:rsidR="00733994" w:rsidRPr="002A0C70">
        <w:rPr>
          <w:rFonts w:ascii="Times New Roman" w:hAnsi="Times New Roman" w:cs="Times New Roman"/>
          <w:sz w:val="24"/>
          <w:szCs w:val="24"/>
          <w:lang w:val="en-GB"/>
        </w:rPr>
        <w:t>udy utilis</w:t>
      </w:r>
      <w:r w:rsidRPr="002A0C70">
        <w:rPr>
          <w:rFonts w:ascii="Times New Roman" w:hAnsi="Times New Roman" w:cs="Times New Roman"/>
          <w:sz w:val="24"/>
          <w:szCs w:val="24"/>
          <w:lang w:val="en-GB"/>
        </w:rPr>
        <w:t>ed secondary time series data spanning 64 years (1961-2024), representing the entire post-independence period of Tanzania. Data were compiled from two primary sources: (</w:t>
      </w:r>
      <w:proofErr w:type="spellStart"/>
      <w:r w:rsidRPr="002A0C70">
        <w:rPr>
          <w:rFonts w:ascii="Times New Roman" w:hAnsi="Times New Roman" w:cs="Times New Roman"/>
          <w:sz w:val="24"/>
          <w:szCs w:val="24"/>
          <w:lang w:val="en-GB"/>
        </w:rPr>
        <w:t>i</w:t>
      </w:r>
      <w:proofErr w:type="spellEnd"/>
      <w:r w:rsidRPr="002A0C70">
        <w:rPr>
          <w:rFonts w:ascii="Times New Roman" w:hAnsi="Times New Roman" w:cs="Times New Roman"/>
          <w:sz w:val="24"/>
          <w:szCs w:val="24"/>
          <w:lang w:val="en-GB"/>
        </w:rPr>
        <w:t>) the Food and Agriculture Organi</w:t>
      </w:r>
      <w:r w:rsidR="003A6C85">
        <w:rPr>
          <w:rFonts w:ascii="Times New Roman" w:hAnsi="Times New Roman" w:cs="Times New Roman"/>
          <w:sz w:val="24"/>
          <w:szCs w:val="24"/>
          <w:lang w:val="en-GB"/>
        </w:rPr>
        <w:t>s</w:t>
      </w:r>
      <w:r w:rsidRPr="002A0C70">
        <w:rPr>
          <w:rFonts w:ascii="Times New Roman" w:hAnsi="Times New Roman" w:cs="Times New Roman"/>
          <w:sz w:val="24"/>
          <w:szCs w:val="24"/>
          <w:lang w:val="en-GB"/>
        </w:rPr>
        <w:t xml:space="preserve">ation Statistical Database (FAOSTAT) for historical trade data </w:t>
      </w:r>
      <w:r w:rsidRPr="002A0C70">
        <w:rPr>
          <w:rFonts w:ascii="Times New Roman" w:hAnsi="Times New Roman" w:cs="Times New Roman"/>
          <w:sz w:val="24"/>
          <w:szCs w:val="24"/>
          <w:lang w:val="en-GB"/>
        </w:rPr>
        <w:lastRenderedPageBreak/>
        <w:t>from 1961 to 2013, which provides standardi</w:t>
      </w:r>
      <w:r w:rsidR="006D308B">
        <w:rPr>
          <w:rFonts w:ascii="Times New Roman" w:hAnsi="Times New Roman" w:cs="Times New Roman"/>
          <w:sz w:val="24"/>
          <w:szCs w:val="24"/>
          <w:lang w:val="en-GB"/>
        </w:rPr>
        <w:t>s</w:t>
      </w:r>
      <w:r w:rsidRPr="002A0C70">
        <w:rPr>
          <w:rFonts w:ascii="Times New Roman" w:hAnsi="Times New Roman" w:cs="Times New Roman"/>
          <w:sz w:val="24"/>
          <w:szCs w:val="24"/>
          <w:lang w:val="en-GB"/>
        </w:rPr>
        <w:t>ed agricultural trade statistics following international classification systems; and (ii) the Tanzania Revenue Authority (TRA) customs database for recent trade records from 2014 to 2024, capturing actual customs declarations under the Harmoni</w:t>
      </w:r>
      <w:r w:rsidR="00B51FFE">
        <w:rPr>
          <w:rFonts w:ascii="Times New Roman" w:hAnsi="Times New Roman" w:cs="Times New Roman"/>
          <w:sz w:val="24"/>
          <w:szCs w:val="24"/>
          <w:lang w:val="en-GB"/>
        </w:rPr>
        <w:t>s</w:t>
      </w:r>
      <w:r w:rsidRPr="002A0C70">
        <w:rPr>
          <w:rFonts w:ascii="Times New Roman" w:hAnsi="Times New Roman" w:cs="Times New Roman"/>
          <w:sz w:val="24"/>
          <w:szCs w:val="24"/>
          <w:lang w:val="en-GB"/>
        </w:rPr>
        <w:t>ed System (HS) code 071410 for fresh, chilled, frozen, or dried cassava (manioc).</w:t>
      </w:r>
    </w:p>
    <w:p w14:paraId="7886D5F6" w14:textId="763B609D" w:rsidR="00045344" w:rsidRPr="002A0C70" w:rsidRDefault="00045344" w:rsidP="002A0C70">
      <w:pPr>
        <w:spacing w:before="240" w:after="0" w:line="240" w:lineRule="auto"/>
        <w:jc w:val="both"/>
        <w:rPr>
          <w:rFonts w:ascii="Times New Roman" w:hAnsi="Times New Roman" w:cs="Times New Roman"/>
          <w:sz w:val="24"/>
          <w:szCs w:val="24"/>
          <w:lang w:val="en-GB"/>
        </w:rPr>
      </w:pPr>
      <w:r w:rsidRPr="002A0C70">
        <w:rPr>
          <w:rFonts w:ascii="Times New Roman" w:hAnsi="Times New Roman" w:cs="Times New Roman"/>
          <w:sz w:val="24"/>
          <w:szCs w:val="24"/>
          <w:lang w:val="en-GB"/>
        </w:rPr>
        <w:t>The variables extracted included annual export quantity (metric tons), annual import quantity (metric tons), and net export quantity calculated as the difference between exports and imports. All quantities were standardi</w:t>
      </w:r>
      <w:r w:rsidR="00197F34">
        <w:rPr>
          <w:rFonts w:ascii="Times New Roman" w:hAnsi="Times New Roman" w:cs="Times New Roman"/>
          <w:sz w:val="24"/>
          <w:szCs w:val="24"/>
          <w:lang w:val="en-GB"/>
        </w:rPr>
        <w:t>s</w:t>
      </w:r>
      <w:r w:rsidRPr="002A0C70">
        <w:rPr>
          <w:rFonts w:ascii="Times New Roman" w:hAnsi="Times New Roman" w:cs="Times New Roman"/>
          <w:sz w:val="24"/>
          <w:szCs w:val="24"/>
          <w:lang w:val="en-GB"/>
        </w:rPr>
        <w:t>ed to metric tons to ensure consistency across the time series. The choice of annual data frequency was necessitated by the availability of consistent long-term records and is appropriate for capturing structural trends in agricultural trade.</w:t>
      </w:r>
    </w:p>
    <w:p w14:paraId="67CB3833" w14:textId="09962C08" w:rsidR="00045344" w:rsidRPr="002A0C70" w:rsidRDefault="00045344" w:rsidP="002A0C70">
      <w:pPr>
        <w:pStyle w:val="Heading2"/>
        <w:spacing w:line="240" w:lineRule="auto"/>
        <w:rPr>
          <w:rFonts w:ascii="Times New Roman" w:hAnsi="Times New Roman" w:cs="Times New Roman"/>
          <w:b/>
          <w:bCs/>
          <w:color w:val="auto"/>
          <w:sz w:val="24"/>
          <w:szCs w:val="24"/>
          <w:lang w:val="en-GB"/>
        </w:rPr>
      </w:pPr>
      <w:bookmarkStart w:id="10" w:name="_Toc220325809"/>
      <w:r w:rsidRPr="002A0C70">
        <w:rPr>
          <w:rFonts w:ascii="Times New Roman" w:hAnsi="Times New Roman" w:cs="Times New Roman"/>
          <w:b/>
          <w:bCs/>
          <w:color w:val="auto"/>
          <w:sz w:val="24"/>
          <w:szCs w:val="24"/>
          <w:lang w:val="en-GB"/>
        </w:rPr>
        <w:t xml:space="preserve">3.2 Analytical </w:t>
      </w:r>
      <w:r w:rsidR="003A6C85" w:rsidRPr="002A0C70">
        <w:rPr>
          <w:rFonts w:ascii="Times New Roman" w:hAnsi="Times New Roman" w:cs="Times New Roman"/>
          <w:b/>
          <w:bCs/>
          <w:color w:val="auto"/>
          <w:sz w:val="24"/>
          <w:szCs w:val="24"/>
          <w:lang w:val="en-GB"/>
        </w:rPr>
        <w:t>framework</w:t>
      </w:r>
      <w:bookmarkEnd w:id="10"/>
    </w:p>
    <w:p w14:paraId="7A37E3DA" w14:textId="77777777" w:rsidR="00045344" w:rsidRPr="002A0C70" w:rsidRDefault="00045344" w:rsidP="002A0C70">
      <w:pPr>
        <w:spacing w:after="0" w:line="240" w:lineRule="auto"/>
        <w:jc w:val="both"/>
        <w:rPr>
          <w:rFonts w:ascii="Times New Roman" w:hAnsi="Times New Roman" w:cs="Times New Roman"/>
          <w:sz w:val="24"/>
          <w:szCs w:val="24"/>
          <w:lang w:val="en-GB"/>
        </w:rPr>
      </w:pPr>
      <w:r w:rsidRPr="002A0C70">
        <w:rPr>
          <w:rFonts w:ascii="Times New Roman" w:hAnsi="Times New Roman" w:cs="Times New Roman"/>
          <w:sz w:val="24"/>
          <w:szCs w:val="24"/>
          <w:lang w:val="en-GB"/>
        </w:rPr>
        <w:t>The study employed a combination of descriptive statistics, trend analysis, and time series econometric modelling. The analytical framework consisted of four main components: (</w:t>
      </w:r>
      <w:proofErr w:type="spellStart"/>
      <w:r w:rsidRPr="002A0C70">
        <w:rPr>
          <w:rFonts w:ascii="Times New Roman" w:hAnsi="Times New Roman" w:cs="Times New Roman"/>
          <w:sz w:val="24"/>
          <w:szCs w:val="24"/>
          <w:lang w:val="en-GB"/>
        </w:rPr>
        <w:t>i</w:t>
      </w:r>
      <w:proofErr w:type="spellEnd"/>
      <w:r w:rsidRPr="002A0C70">
        <w:rPr>
          <w:rFonts w:ascii="Times New Roman" w:hAnsi="Times New Roman" w:cs="Times New Roman"/>
          <w:sz w:val="24"/>
          <w:szCs w:val="24"/>
          <w:lang w:val="en-GB"/>
        </w:rPr>
        <w:t>) descriptive analysis of trade patterns across historical eras; (ii) stationarity testing; (iii) ARIMA model specification and estimation; and (iv) diagnostic testing and forecasting.</w:t>
      </w:r>
    </w:p>
    <w:p w14:paraId="4D2D0E8B" w14:textId="7EC8D141" w:rsidR="00045344" w:rsidRPr="002A0C70" w:rsidRDefault="00045344" w:rsidP="002A0C70">
      <w:pPr>
        <w:pStyle w:val="Heading3"/>
        <w:spacing w:line="240" w:lineRule="auto"/>
        <w:rPr>
          <w:rFonts w:ascii="Times New Roman" w:hAnsi="Times New Roman" w:cs="Times New Roman"/>
          <w:b/>
          <w:bCs/>
          <w:color w:val="auto"/>
          <w:sz w:val="24"/>
          <w:szCs w:val="24"/>
          <w:lang w:val="en-GB"/>
        </w:rPr>
      </w:pPr>
      <w:bookmarkStart w:id="11" w:name="_Toc220325810"/>
      <w:r w:rsidRPr="002A0C70">
        <w:rPr>
          <w:rFonts w:ascii="Times New Roman" w:hAnsi="Times New Roman" w:cs="Times New Roman"/>
          <w:b/>
          <w:bCs/>
          <w:color w:val="auto"/>
          <w:sz w:val="24"/>
          <w:szCs w:val="24"/>
          <w:lang w:val="en-GB"/>
        </w:rPr>
        <w:t>3.</w:t>
      </w:r>
      <w:r w:rsidR="00B84E1A" w:rsidRPr="002A0C70">
        <w:rPr>
          <w:rFonts w:ascii="Times New Roman" w:hAnsi="Times New Roman" w:cs="Times New Roman"/>
          <w:b/>
          <w:bCs/>
          <w:color w:val="auto"/>
          <w:sz w:val="24"/>
          <w:szCs w:val="24"/>
          <w:lang w:val="en-GB"/>
        </w:rPr>
        <w:t>2.1</w:t>
      </w:r>
      <w:r w:rsidRPr="002A0C70">
        <w:rPr>
          <w:rFonts w:ascii="Times New Roman" w:hAnsi="Times New Roman" w:cs="Times New Roman"/>
          <w:b/>
          <w:bCs/>
          <w:color w:val="auto"/>
          <w:sz w:val="24"/>
          <w:szCs w:val="24"/>
          <w:lang w:val="en-GB"/>
        </w:rPr>
        <w:t xml:space="preserve"> Descriptive and </w:t>
      </w:r>
      <w:r w:rsidR="003A6C85" w:rsidRPr="002A0C70">
        <w:rPr>
          <w:rFonts w:ascii="Times New Roman" w:hAnsi="Times New Roman" w:cs="Times New Roman"/>
          <w:b/>
          <w:bCs/>
          <w:color w:val="auto"/>
          <w:sz w:val="24"/>
          <w:szCs w:val="24"/>
          <w:lang w:val="en-GB"/>
        </w:rPr>
        <w:t>trend analysis</w:t>
      </w:r>
      <w:bookmarkEnd w:id="11"/>
    </w:p>
    <w:p w14:paraId="5493B726" w14:textId="2B3A1FA2" w:rsidR="00045344" w:rsidRPr="002A0C70" w:rsidRDefault="00045344" w:rsidP="002A0C70">
      <w:pPr>
        <w:spacing w:before="240" w:after="0" w:line="240" w:lineRule="auto"/>
        <w:jc w:val="both"/>
        <w:rPr>
          <w:rFonts w:ascii="Times New Roman" w:hAnsi="Times New Roman" w:cs="Times New Roman"/>
          <w:sz w:val="24"/>
          <w:szCs w:val="24"/>
          <w:lang w:val="en-GB"/>
        </w:rPr>
      </w:pPr>
      <w:r w:rsidRPr="002A0C70">
        <w:rPr>
          <w:rFonts w:ascii="Times New Roman" w:hAnsi="Times New Roman" w:cs="Times New Roman"/>
          <w:sz w:val="24"/>
          <w:szCs w:val="24"/>
          <w:lang w:val="en-GB"/>
        </w:rPr>
        <w:t>The 64-year period was stratified into four distinct historical eras based on Tanzania's economic policy regimes: (</w:t>
      </w:r>
      <w:proofErr w:type="spellStart"/>
      <w:r w:rsidRPr="002A0C70">
        <w:rPr>
          <w:rFonts w:ascii="Times New Roman" w:hAnsi="Times New Roman" w:cs="Times New Roman"/>
          <w:sz w:val="24"/>
          <w:szCs w:val="24"/>
          <w:lang w:val="en-GB"/>
        </w:rPr>
        <w:t>i</w:t>
      </w:r>
      <w:proofErr w:type="spellEnd"/>
      <w:r w:rsidRPr="002A0C70">
        <w:rPr>
          <w:rFonts w:ascii="Times New Roman" w:hAnsi="Times New Roman" w:cs="Times New Roman"/>
          <w:sz w:val="24"/>
          <w:szCs w:val="24"/>
          <w:lang w:val="en-GB"/>
        </w:rPr>
        <w:t>) Pre-Structural Adjustment Period (1961-1985), characteri</w:t>
      </w:r>
      <w:r w:rsidR="00197F34">
        <w:rPr>
          <w:rFonts w:ascii="Times New Roman" w:hAnsi="Times New Roman" w:cs="Times New Roman"/>
          <w:sz w:val="24"/>
          <w:szCs w:val="24"/>
          <w:lang w:val="en-GB"/>
        </w:rPr>
        <w:t>s</w:t>
      </w:r>
      <w:r w:rsidRPr="002A0C70">
        <w:rPr>
          <w:rFonts w:ascii="Times New Roman" w:hAnsi="Times New Roman" w:cs="Times New Roman"/>
          <w:sz w:val="24"/>
          <w:szCs w:val="24"/>
          <w:lang w:val="en-GB"/>
        </w:rPr>
        <w:t>ed by socialist economic policies and state-controlled marketing; (ii) Structural Adjustment Period (1986-1995), marked by economic liberali</w:t>
      </w:r>
      <w:r w:rsidR="00E3023D" w:rsidRPr="002A0C70">
        <w:rPr>
          <w:rFonts w:ascii="Times New Roman" w:hAnsi="Times New Roman" w:cs="Times New Roman"/>
          <w:sz w:val="24"/>
          <w:szCs w:val="24"/>
          <w:lang w:val="en-GB"/>
        </w:rPr>
        <w:t>s</w:t>
      </w:r>
      <w:r w:rsidRPr="002A0C70">
        <w:rPr>
          <w:rFonts w:ascii="Times New Roman" w:hAnsi="Times New Roman" w:cs="Times New Roman"/>
          <w:sz w:val="24"/>
          <w:szCs w:val="24"/>
          <w:lang w:val="en-GB"/>
        </w:rPr>
        <w:t>ation reforms; (iii) Post-Liberali</w:t>
      </w:r>
      <w:r w:rsidR="00B51FFE">
        <w:rPr>
          <w:rFonts w:ascii="Times New Roman" w:hAnsi="Times New Roman" w:cs="Times New Roman"/>
          <w:sz w:val="24"/>
          <w:szCs w:val="24"/>
          <w:lang w:val="en-GB"/>
        </w:rPr>
        <w:t>s</w:t>
      </w:r>
      <w:r w:rsidRPr="002A0C70">
        <w:rPr>
          <w:rFonts w:ascii="Times New Roman" w:hAnsi="Times New Roman" w:cs="Times New Roman"/>
          <w:sz w:val="24"/>
          <w:szCs w:val="24"/>
          <w:lang w:val="en-GB"/>
        </w:rPr>
        <w:t>ation Period (1996-2010), featuring market-oriented policies and regional trade integration; and (iv) Modern Growth Period (2011-2024), characteri</w:t>
      </w:r>
      <w:r w:rsidR="00733994" w:rsidRPr="002A0C70">
        <w:rPr>
          <w:rFonts w:ascii="Times New Roman" w:hAnsi="Times New Roman" w:cs="Times New Roman"/>
          <w:sz w:val="24"/>
          <w:szCs w:val="24"/>
          <w:lang w:val="en-GB"/>
        </w:rPr>
        <w:t>s</w:t>
      </w:r>
      <w:r w:rsidRPr="002A0C70">
        <w:rPr>
          <w:rFonts w:ascii="Times New Roman" w:hAnsi="Times New Roman" w:cs="Times New Roman"/>
          <w:sz w:val="24"/>
          <w:szCs w:val="24"/>
          <w:lang w:val="en-GB"/>
        </w:rPr>
        <w:t>ed by export promotion policies and increased regional demand.</w:t>
      </w:r>
    </w:p>
    <w:p w14:paraId="41E5FFAD" w14:textId="77777777" w:rsidR="00045344" w:rsidRPr="002A0C70" w:rsidRDefault="00045344" w:rsidP="002A0C70">
      <w:pPr>
        <w:spacing w:before="240" w:after="0" w:line="240" w:lineRule="auto"/>
        <w:jc w:val="both"/>
        <w:rPr>
          <w:rFonts w:ascii="Times New Roman" w:hAnsi="Times New Roman" w:cs="Times New Roman"/>
          <w:sz w:val="24"/>
          <w:szCs w:val="24"/>
          <w:lang w:val="en-GB"/>
        </w:rPr>
      </w:pPr>
      <w:r w:rsidRPr="002A0C70">
        <w:rPr>
          <w:rFonts w:ascii="Times New Roman" w:hAnsi="Times New Roman" w:cs="Times New Roman"/>
          <w:sz w:val="24"/>
          <w:szCs w:val="24"/>
          <w:lang w:val="en-GB"/>
        </w:rPr>
        <w:t>Descriptive statistics including mean, standard deviation, minimum, maximum, and coefficient of variation were computed for each era. The Compound Annual Growth Rate (CAGR) was calculated using equation (</w:t>
      </w:r>
      <w:r w:rsidR="00393602" w:rsidRPr="002A0C70">
        <w:rPr>
          <w:rFonts w:ascii="Times New Roman" w:hAnsi="Times New Roman" w:cs="Times New Roman"/>
          <w:sz w:val="24"/>
          <w:szCs w:val="24"/>
          <w:lang w:val="en-GB"/>
        </w:rPr>
        <w:t>1</w:t>
      </w:r>
      <w:r w:rsidRPr="002A0C70">
        <w:rPr>
          <w:rFonts w:ascii="Times New Roman" w:hAnsi="Times New Roman" w:cs="Times New Roman"/>
          <w:sz w:val="24"/>
          <w:szCs w:val="24"/>
          <w:lang w:val="en-GB"/>
        </w:rPr>
        <w:t>):</w:t>
      </w:r>
    </w:p>
    <w:p w14:paraId="2F8E65A4" w14:textId="77777777" w:rsidR="00045344" w:rsidRPr="003A6C85" w:rsidRDefault="00045344" w:rsidP="002A0C70">
      <w:pPr>
        <w:spacing w:before="240" w:after="0" w:line="240" w:lineRule="auto"/>
        <w:ind w:left="1440"/>
        <w:rPr>
          <w:rFonts w:ascii="Times New Roman" w:hAnsi="Times New Roman" w:cs="Times New Roman"/>
          <w:sz w:val="24"/>
          <w:szCs w:val="24"/>
          <w:lang w:val="en-GB"/>
        </w:rPr>
      </w:pPr>
      <m:oMath>
        <m:r>
          <w:rPr>
            <w:rFonts w:ascii="Cambria Math" w:hAnsi="Cambria Math" w:cs="Times New Roman"/>
            <w:sz w:val="24"/>
            <w:szCs w:val="24"/>
            <w:lang w:val="en-GB"/>
          </w:rPr>
          <m:t>CAGR=</m:t>
        </m:r>
        <m:sSup>
          <m:sSupPr>
            <m:ctrlPr>
              <w:rPr>
                <w:rFonts w:ascii="Cambria Math" w:hAnsi="Cambria Math" w:cs="Times New Roman"/>
                <w:i/>
                <w:iCs/>
                <w:sz w:val="24"/>
                <w:szCs w:val="24"/>
                <w:lang w:val="en-GB"/>
              </w:rPr>
            </m:ctrlPr>
          </m:sSupPr>
          <m:e>
            <m:r>
              <w:rPr>
                <w:rFonts w:ascii="Cambria Math" w:hAnsi="Cambria Math" w:cs="Times New Roman"/>
                <w:sz w:val="24"/>
                <w:szCs w:val="24"/>
                <w:lang w:val="en-GB"/>
              </w:rPr>
              <m:t>(</m:t>
            </m:r>
            <m:f>
              <m:fPr>
                <m:type m:val="skw"/>
                <m:ctrlPr>
                  <w:rPr>
                    <w:rFonts w:ascii="Cambria Math" w:hAnsi="Cambria Math" w:cs="Times New Roman"/>
                    <w:i/>
                    <w:iCs/>
                    <w:sz w:val="24"/>
                    <w:szCs w:val="24"/>
                    <w:lang w:val="en-GB"/>
                  </w:rPr>
                </m:ctrlPr>
              </m:fPr>
              <m:num>
                <m:r>
                  <w:rPr>
                    <w:rFonts w:ascii="Cambria Math" w:hAnsi="Cambria Math" w:cs="Times New Roman"/>
                    <w:sz w:val="24"/>
                    <w:szCs w:val="24"/>
                    <w:lang w:val="en-GB"/>
                  </w:rPr>
                  <m:t>Ending Value</m:t>
                </m:r>
              </m:num>
              <m:den>
                <m:r>
                  <w:rPr>
                    <w:rFonts w:ascii="Cambria Math" w:hAnsi="Cambria Math" w:cs="Times New Roman"/>
                    <w:sz w:val="24"/>
                    <w:szCs w:val="24"/>
                    <w:lang w:val="en-GB"/>
                  </w:rPr>
                  <m:t>Beginning Value</m:t>
                </m:r>
              </m:den>
            </m:f>
            <m:r>
              <w:rPr>
                <w:rFonts w:ascii="Cambria Math" w:hAnsi="Cambria Math" w:cs="Times New Roman"/>
                <w:sz w:val="24"/>
                <w:szCs w:val="24"/>
                <w:lang w:val="en-GB"/>
              </w:rPr>
              <m:t>)</m:t>
            </m:r>
          </m:e>
          <m:sup>
            <m:r>
              <w:rPr>
                <w:rFonts w:ascii="Cambria Math" w:hAnsi="Cambria Math" w:cs="Times New Roman"/>
                <w:sz w:val="24"/>
                <w:szCs w:val="24"/>
                <w:lang w:val="en-GB"/>
              </w:rPr>
              <m:t>(</m:t>
            </m:r>
            <m:f>
              <m:fPr>
                <m:type m:val="skw"/>
                <m:ctrlPr>
                  <w:rPr>
                    <w:rFonts w:ascii="Cambria Math" w:hAnsi="Cambria Math" w:cs="Times New Roman"/>
                    <w:i/>
                    <w:iCs/>
                    <w:sz w:val="24"/>
                    <w:szCs w:val="24"/>
                    <w:lang w:val="en-GB"/>
                  </w:rPr>
                </m:ctrlPr>
              </m:fPr>
              <m:num>
                <m:r>
                  <w:rPr>
                    <w:rFonts w:ascii="Cambria Math" w:hAnsi="Cambria Math" w:cs="Times New Roman"/>
                    <w:sz w:val="24"/>
                    <w:szCs w:val="24"/>
                    <w:lang w:val="en-GB"/>
                  </w:rPr>
                  <m:t>1</m:t>
                </m:r>
              </m:num>
              <m:den>
                <m:r>
                  <w:rPr>
                    <w:rFonts w:ascii="Cambria Math" w:hAnsi="Cambria Math" w:cs="Times New Roman"/>
                    <w:sz w:val="24"/>
                    <w:szCs w:val="24"/>
                    <w:lang w:val="en-GB"/>
                  </w:rPr>
                  <m:t>n</m:t>
                </m:r>
              </m:den>
            </m:f>
            <m:r>
              <w:rPr>
                <w:rFonts w:ascii="Cambria Math" w:hAnsi="Cambria Math" w:cs="Times New Roman"/>
                <w:sz w:val="24"/>
                <w:szCs w:val="24"/>
                <w:lang w:val="en-GB"/>
              </w:rPr>
              <m:t>)</m:t>
            </m:r>
          </m:sup>
        </m:sSup>
      </m:oMath>
      <w:r w:rsidRPr="003A6C85">
        <w:rPr>
          <w:rFonts w:ascii="Times New Roman" w:hAnsi="Times New Roman" w:cs="Times New Roman"/>
          <w:iCs/>
          <w:sz w:val="24"/>
          <w:szCs w:val="24"/>
          <w:lang w:val="en-GB"/>
        </w:rPr>
        <w:t>×100</w:t>
      </w:r>
      <w:r w:rsidRPr="003A6C85">
        <w:rPr>
          <w:rFonts w:ascii="Times New Roman" w:hAnsi="Times New Roman" w:cs="Times New Roman"/>
          <w:sz w:val="24"/>
          <w:szCs w:val="24"/>
          <w:lang w:val="en-GB"/>
        </w:rPr>
        <w:tab/>
      </w:r>
      <w:r w:rsidRPr="003A6C85">
        <w:rPr>
          <w:rFonts w:ascii="Times New Roman" w:hAnsi="Times New Roman" w:cs="Times New Roman"/>
          <w:sz w:val="24"/>
          <w:szCs w:val="24"/>
          <w:lang w:val="en-GB"/>
        </w:rPr>
        <w:tab/>
      </w:r>
      <w:r w:rsidR="000912A3" w:rsidRPr="003A6C85">
        <w:rPr>
          <w:rFonts w:ascii="Times New Roman" w:hAnsi="Times New Roman" w:cs="Times New Roman"/>
          <w:sz w:val="24"/>
          <w:szCs w:val="24"/>
          <w:lang w:val="en-GB"/>
        </w:rPr>
        <w:t xml:space="preserve">    </w:t>
      </w:r>
      <w:proofErr w:type="gramStart"/>
      <w:r w:rsidR="000912A3" w:rsidRPr="003A6C85">
        <w:rPr>
          <w:rFonts w:ascii="Times New Roman" w:hAnsi="Times New Roman" w:cs="Times New Roman"/>
          <w:sz w:val="24"/>
          <w:szCs w:val="24"/>
          <w:lang w:val="en-GB"/>
        </w:rPr>
        <w:t xml:space="preserve">   </w:t>
      </w:r>
      <w:r w:rsidRPr="003A6C85">
        <w:rPr>
          <w:rFonts w:ascii="Times New Roman" w:hAnsi="Times New Roman" w:cs="Times New Roman"/>
          <w:sz w:val="24"/>
          <w:szCs w:val="24"/>
          <w:lang w:val="en-GB"/>
        </w:rPr>
        <w:t>(</w:t>
      </w:r>
      <w:proofErr w:type="gramEnd"/>
      <w:r w:rsidR="000912A3" w:rsidRPr="003A6C85">
        <w:rPr>
          <w:rFonts w:ascii="Times New Roman" w:hAnsi="Times New Roman" w:cs="Times New Roman"/>
          <w:sz w:val="24"/>
          <w:szCs w:val="24"/>
          <w:lang w:val="en-GB"/>
        </w:rPr>
        <w:t>1</w:t>
      </w:r>
      <w:r w:rsidRPr="003A6C85">
        <w:rPr>
          <w:rFonts w:ascii="Times New Roman" w:hAnsi="Times New Roman" w:cs="Times New Roman"/>
          <w:sz w:val="24"/>
          <w:szCs w:val="24"/>
          <w:lang w:val="en-GB"/>
        </w:rPr>
        <w:t>)</w:t>
      </w:r>
    </w:p>
    <w:p w14:paraId="04DE1D99" w14:textId="77777777" w:rsidR="00045344" w:rsidRPr="003A6C85" w:rsidRDefault="00045344" w:rsidP="002A0C70">
      <w:pPr>
        <w:spacing w:before="240" w:after="0" w:line="240" w:lineRule="auto"/>
        <w:jc w:val="both"/>
        <w:rPr>
          <w:rFonts w:ascii="Times New Roman" w:hAnsi="Times New Roman" w:cs="Times New Roman"/>
          <w:sz w:val="24"/>
          <w:szCs w:val="24"/>
          <w:lang w:val="en-GB"/>
        </w:rPr>
      </w:pPr>
      <w:r w:rsidRPr="003A6C85">
        <w:rPr>
          <w:rFonts w:ascii="Times New Roman" w:hAnsi="Times New Roman" w:cs="Times New Roman"/>
          <w:sz w:val="24"/>
          <w:szCs w:val="24"/>
          <w:lang w:val="en-GB"/>
        </w:rPr>
        <w:t>where</w:t>
      </w:r>
      <w:r w:rsidR="00733994" w:rsidRPr="003A6C85">
        <w:rPr>
          <w:rFonts w:ascii="Times New Roman" w:hAnsi="Times New Roman" w:cs="Times New Roman"/>
          <w:sz w:val="24"/>
          <w:szCs w:val="24"/>
          <w:lang w:val="en-GB"/>
        </w:rPr>
        <w:t>:</w:t>
      </w:r>
      <w:r w:rsidRPr="003A6C85">
        <w:rPr>
          <w:rFonts w:ascii="Times New Roman" w:hAnsi="Times New Roman" w:cs="Times New Roman"/>
          <w:sz w:val="24"/>
          <w:szCs w:val="24"/>
          <w:lang w:val="en-GB"/>
        </w:rPr>
        <w:t xml:space="preserve"> n represents the number of years in the period. Linear trend analysis was conducted using Ordinary Least Squares (OLS) regression to assess the statistical significance of the long-term trend in net exports.</w:t>
      </w:r>
    </w:p>
    <w:p w14:paraId="582221F7" w14:textId="1D4A1FDD" w:rsidR="00045344" w:rsidRPr="003A6C85" w:rsidRDefault="00045344" w:rsidP="002A0C70">
      <w:pPr>
        <w:pStyle w:val="Heading3"/>
        <w:spacing w:line="240" w:lineRule="auto"/>
        <w:rPr>
          <w:rFonts w:ascii="Times New Roman" w:hAnsi="Times New Roman" w:cs="Times New Roman"/>
          <w:b/>
          <w:bCs/>
          <w:sz w:val="24"/>
          <w:szCs w:val="24"/>
          <w:lang w:val="en-GB"/>
        </w:rPr>
      </w:pPr>
      <w:bookmarkStart w:id="12" w:name="_Toc220325811"/>
      <w:r w:rsidRPr="003A6C85">
        <w:rPr>
          <w:rFonts w:ascii="Times New Roman" w:hAnsi="Times New Roman" w:cs="Times New Roman"/>
          <w:b/>
          <w:bCs/>
          <w:color w:val="auto"/>
          <w:sz w:val="24"/>
          <w:szCs w:val="24"/>
          <w:lang w:val="en-GB"/>
        </w:rPr>
        <w:t>3.</w:t>
      </w:r>
      <w:r w:rsidR="00B84E1A" w:rsidRPr="003A6C85">
        <w:rPr>
          <w:rFonts w:ascii="Times New Roman" w:hAnsi="Times New Roman" w:cs="Times New Roman"/>
          <w:b/>
          <w:bCs/>
          <w:color w:val="auto"/>
          <w:sz w:val="24"/>
          <w:szCs w:val="24"/>
          <w:lang w:val="en-GB"/>
        </w:rPr>
        <w:t>2</w:t>
      </w:r>
      <w:r w:rsidRPr="003A6C85">
        <w:rPr>
          <w:rFonts w:ascii="Times New Roman" w:hAnsi="Times New Roman" w:cs="Times New Roman"/>
          <w:b/>
          <w:bCs/>
          <w:color w:val="auto"/>
          <w:sz w:val="24"/>
          <w:szCs w:val="24"/>
          <w:lang w:val="en-GB"/>
        </w:rPr>
        <w:t xml:space="preserve">.2 Stationarity </w:t>
      </w:r>
      <w:r w:rsidR="003A6C85" w:rsidRPr="003A6C85">
        <w:rPr>
          <w:rFonts w:ascii="Times New Roman" w:hAnsi="Times New Roman" w:cs="Times New Roman"/>
          <w:b/>
          <w:bCs/>
          <w:color w:val="auto"/>
          <w:sz w:val="24"/>
          <w:szCs w:val="24"/>
          <w:lang w:val="en-GB"/>
        </w:rPr>
        <w:t>testing</w:t>
      </w:r>
      <w:bookmarkEnd w:id="12"/>
    </w:p>
    <w:p w14:paraId="307DE117" w14:textId="77777777" w:rsidR="00045344" w:rsidRPr="003A6C85" w:rsidRDefault="00045344" w:rsidP="002A0C70">
      <w:pPr>
        <w:spacing w:before="240" w:after="0" w:line="240" w:lineRule="auto"/>
        <w:jc w:val="both"/>
        <w:rPr>
          <w:rFonts w:ascii="Times New Roman" w:hAnsi="Times New Roman" w:cs="Times New Roman"/>
          <w:sz w:val="24"/>
          <w:szCs w:val="24"/>
          <w:lang w:val="en-GB"/>
        </w:rPr>
      </w:pPr>
      <w:r w:rsidRPr="003A6C85">
        <w:rPr>
          <w:rFonts w:ascii="Times New Roman" w:hAnsi="Times New Roman" w:cs="Times New Roman"/>
          <w:sz w:val="24"/>
          <w:szCs w:val="24"/>
          <w:lang w:val="en-GB"/>
        </w:rPr>
        <w:t>Time series stationarity is a fundamental requirement for valid ARMA/ARIMA modelling, as non-stationary series can lead to spurious regression results (Granger and Newbold, 1974). The Augmented Dickey-Fuller (ADF) test was employed to examine the unit root properties of the net export series. The ADF test regression is specified as:</w:t>
      </w:r>
    </w:p>
    <w:p w14:paraId="6830F975" w14:textId="77777777" w:rsidR="00045344" w:rsidRPr="003A6C85" w:rsidRDefault="002B68A8" w:rsidP="002A0C70">
      <w:pPr>
        <w:spacing w:before="240" w:after="0" w:line="240" w:lineRule="auto"/>
        <w:ind w:left="1440"/>
        <w:rPr>
          <w:rFonts w:ascii="Times New Roman" w:hAnsi="Times New Roman" w:cs="Times New Roman"/>
          <w:sz w:val="24"/>
          <w:szCs w:val="24"/>
          <w:lang w:val="en-GB"/>
        </w:rPr>
      </w:pP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m:t>
            </m:r>
            <m:r>
              <w:rPr>
                <w:rFonts w:ascii="Cambria Math" w:hAnsi="Cambria Math" w:cs="Times New Roman"/>
                <w:sz w:val="24"/>
                <w:szCs w:val="24"/>
                <w:lang w:val="en-GB"/>
              </w:rPr>
              <m:t>Y</m:t>
            </m:r>
          </m:e>
          <m:sub>
            <m:r>
              <w:rPr>
                <w:rFonts w:ascii="Cambria Math" w:hAnsi="Cambria Math" w:cs="Times New Roman"/>
                <w:sz w:val="24"/>
                <w:szCs w:val="24"/>
                <w:lang w:val="en-GB"/>
              </w:rPr>
              <m:t>t</m:t>
            </m:r>
          </m:sub>
        </m:sSub>
        <m:r>
          <w:rPr>
            <w:rFonts w:ascii="Cambria Math" w:hAnsi="Cambria Math" w:cs="Times New Roman"/>
            <w:sz w:val="24"/>
            <w:szCs w:val="24"/>
            <w:lang w:val="en-GB"/>
          </w:rPr>
          <m:t>=</m:t>
        </m:r>
        <m:r>
          <w:rPr>
            <w:rFonts w:ascii="Cambria Math" w:hAnsi="Cambria Math" w:cs="Times New Roman"/>
            <w:sz w:val="24"/>
            <w:szCs w:val="24"/>
            <w:lang w:val="en-GB"/>
          </w:rPr>
          <m:t>α</m:t>
        </m:r>
        <m:r>
          <w:rPr>
            <w:rFonts w:ascii="Cambria Math" w:hAnsi="Cambria Math" w:cs="Times New Roman"/>
            <w:sz w:val="24"/>
            <w:szCs w:val="24"/>
            <w:lang w:val="en-GB"/>
          </w:rPr>
          <m:t>+</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βY</m:t>
            </m:r>
          </m:e>
          <m:sub>
            <m:r>
              <w:rPr>
                <w:rFonts w:ascii="Cambria Math" w:hAnsi="Cambria Math" w:cs="Times New Roman"/>
                <w:sz w:val="24"/>
                <w:szCs w:val="24"/>
                <w:lang w:val="en-GB"/>
              </w:rPr>
              <m:t>t</m:t>
            </m:r>
            <m:r>
              <w:rPr>
                <w:rFonts w:ascii="Cambria Math" w:hAnsi="Cambria Math" w:cs="Times New Roman"/>
                <w:sz w:val="24"/>
                <w:szCs w:val="24"/>
                <w:lang w:val="en-GB"/>
              </w:rPr>
              <m:t>-</m:t>
            </m:r>
            <m:r>
              <w:rPr>
                <w:rFonts w:ascii="Cambria Math" w:hAnsi="Cambria Math" w:cs="Times New Roman"/>
                <w:sz w:val="24"/>
                <w:szCs w:val="24"/>
                <w:lang w:val="en-GB"/>
              </w:rPr>
              <m:t>1</m:t>
            </m:r>
          </m:sub>
        </m:sSub>
        <m:r>
          <w:rPr>
            <w:rFonts w:ascii="Cambria Math" w:hAnsi="Cambria Math" w:cs="Times New Roman"/>
            <w:sz w:val="24"/>
            <w:szCs w:val="24"/>
            <w:lang w:val="en-GB"/>
          </w:rPr>
          <m:t>+</m:t>
        </m:r>
        <m:nary>
          <m:naryPr>
            <m:chr m:val="∑"/>
            <m:limLoc m:val="undOvr"/>
            <m:subHide m:val="1"/>
            <m:supHide m:val="1"/>
            <m:ctrlPr>
              <w:rPr>
                <w:rFonts w:ascii="Cambria Math" w:hAnsi="Cambria Math" w:cs="Times New Roman"/>
                <w:i/>
                <w:sz w:val="24"/>
                <w:szCs w:val="24"/>
                <w:lang w:val="en-GB"/>
              </w:rPr>
            </m:ctrlPr>
          </m:naryPr>
          <m:sub/>
          <m:sup/>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Y</m:t>
                </m:r>
              </m:e>
              <m:sub>
                <m:r>
                  <w:rPr>
                    <w:rFonts w:ascii="Cambria Math" w:hAnsi="Cambria Math" w:cs="Times New Roman"/>
                    <w:sz w:val="24"/>
                    <w:szCs w:val="24"/>
                    <w:lang w:val="en-GB"/>
                  </w:rPr>
                  <m:t>i</m:t>
                </m:r>
              </m:sub>
            </m:sSub>
          </m:e>
        </m:nary>
        <m:sSub>
          <m:sSubPr>
            <m:ctrlPr>
              <w:rPr>
                <w:rFonts w:ascii="Cambria Math" w:hAnsi="Cambria Math" w:cs="Times New Roman"/>
                <w:i/>
                <w:sz w:val="24"/>
                <w:szCs w:val="24"/>
                <w:lang w:val="en-GB"/>
              </w:rPr>
            </m:ctrlPr>
          </m:sSubPr>
          <m:e>
            <m:r>
              <w:rPr>
                <w:rFonts w:ascii="Cambria Math" w:hAnsi="Cambria Math" w:cs="Times New Roman"/>
                <w:sz w:val="24"/>
                <w:szCs w:val="24"/>
                <w:lang w:val="en-GB"/>
              </w:rPr>
              <m:t>∆</m:t>
            </m:r>
            <m:r>
              <w:rPr>
                <w:rFonts w:ascii="Cambria Math" w:hAnsi="Cambria Math" w:cs="Times New Roman"/>
                <w:sz w:val="24"/>
                <w:szCs w:val="24"/>
                <w:lang w:val="en-GB"/>
              </w:rPr>
              <m:t>Y</m:t>
            </m:r>
          </m:e>
          <m:sub>
            <m:r>
              <w:rPr>
                <w:rFonts w:ascii="Cambria Math" w:hAnsi="Cambria Math" w:cs="Times New Roman"/>
                <w:sz w:val="24"/>
                <w:szCs w:val="24"/>
                <w:lang w:val="en-GB"/>
              </w:rPr>
              <m:t>t</m:t>
            </m:r>
            <m:r>
              <w:rPr>
                <w:rFonts w:ascii="Cambria Math" w:hAnsi="Cambria Math" w:cs="Times New Roman"/>
                <w:sz w:val="24"/>
                <w:szCs w:val="24"/>
                <w:lang w:val="en-GB"/>
              </w:rPr>
              <m:t>-</m:t>
            </m:r>
            <m:r>
              <w:rPr>
                <w:rFonts w:ascii="Cambria Math" w:hAnsi="Cambria Math" w:cs="Times New Roman"/>
                <w:sz w:val="24"/>
                <w:szCs w:val="24"/>
                <w:lang w:val="en-GB"/>
              </w:rPr>
              <m:t>i</m:t>
            </m:r>
          </m:sub>
        </m:sSub>
        <m:r>
          <w:rPr>
            <w:rFonts w:ascii="Cambria Math" w:hAnsi="Cambria Math" w:cs="Times New Roman"/>
            <w:sz w:val="24"/>
            <w:szCs w:val="24"/>
            <w:lang w:val="en-GB"/>
          </w:rPr>
          <m:t>+</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ε</m:t>
            </m:r>
          </m:e>
          <m:sub>
            <m:r>
              <w:rPr>
                <w:rFonts w:ascii="Cambria Math" w:hAnsi="Cambria Math" w:cs="Times New Roman"/>
                <w:sz w:val="24"/>
                <w:szCs w:val="24"/>
                <w:lang w:val="en-GB"/>
              </w:rPr>
              <m:t>t</m:t>
            </m:r>
          </m:sub>
        </m:sSub>
      </m:oMath>
      <w:r w:rsidR="000912A3" w:rsidRPr="003A6C85">
        <w:rPr>
          <w:rFonts w:ascii="Times New Roman" w:hAnsi="Times New Roman" w:cs="Times New Roman"/>
          <w:sz w:val="24"/>
          <w:szCs w:val="24"/>
          <w:lang w:val="en-GB"/>
        </w:rPr>
        <w:tab/>
      </w:r>
      <w:r w:rsidR="000912A3" w:rsidRPr="003A6C85">
        <w:rPr>
          <w:rFonts w:ascii="Times New Roman" w:hAnsi="Times New Roman" w:cs="Times New Roman"/>
          <w:sz w:val="24"/>
          <w:szCs w:val="24"/>
          <w:lang w:val="en-GB"/>
        </w:rPr>
        <w:tab/>
        <w:t xml:space="preserve">                             </w:t>
      </w:r>
      <w:r w:rsidR="00045344" w:rsidRPr="003A6C85">
        <w:rPr>
          <w:rFonts w:ascii="Times New Roman" w:hAnsi="Times New Roman" w:cs="Times New Roman"/>
          <w:sz w:val="24"/>
          <w:szCs w:val="24"/>
          <w:lang w:val="en-GB"/>
        </w:rPr>
        <w:t>(</w:t>
      </w:r>
      <w:r w:rsidR="000912A3" w:rsidRPr="003A6C85">
        <w:rPr>
          <w:rFonts w:ascii="Times New Roman" w:hAnsi="Times New Roman" w:cs="Times New Roman"/>
          <w:sz w:val="24"/>
          <w:szCs w:val="24"/>
          <w:lang w:val="en-GB"/>
        </w:rPr>
        <w:t>2</w:t>
      </w:r>
      <w:r w:rsidR="00045344" w:rsidRPr="003A6C85">
        <w:rPr>
          <w:rFonts w:ascii="Times New Roman" w:hAnsi="Times New Roman" w:cs="Times New Roman"/>
          <w:sz w:val="24"/>
          <w:szCs w:val="24"/>
          <w:lang w:val="en-GB"/>
        </w:rPr>
        <w:t>)</w:t>
      </w:r>
    </w:p>
    <w:p w14:paraId="39DEEFFF" w14:textId="77777777" w:rsidR="00045344" w:rsidRPr="003A6C85" w:rsidRDefault="00045344" w:rsidP="002A0C70">
      <w:pPr>
        <w:spacing w:before="240" w:after="0" w:line="240" w:lineRule="auto"/>
        <w:jc w:val="both"/>
        <w:rPr>
          <w:rFonts w:ascii="Times New Roman" w:hAnsi="Times New Roman" w:cs="Times New Roman"/>
          <w:sz w:val="24"/>
          <w:szCs w:val="24"/>
          <w:lang w:val="en-GB"/>
        </w:rPr>
      </w:pPr>
      <w:r w:rsidRPr="003A6C85">
        <w:rPr>
          <w:rFonts w:ascii="Times New Roman" w:hAnsi="Times New Roman" w:cs="Times New Roman"/>
          <w:sz w:val="24"/>
          <w:szCs w:val="24"/>
          <w:lang w:val="en-GB"/>
        </w:rPr>
        <w:t xml:space="preserve">where </w:t>
      </w:r>
      <w:proofErr w:type="spellStart"/>
      <w:r w:rsidRPr="003A6C85">
        <w:rPr>
          <w:rFonts w:ascii="Times New Roman" w:hAnsi="Times New Roman" w:cs="Times New Roman"/>
          <w:sz w:val="24"/>
          <w:szCs w:val="24"/>
          <w:lang w:val="en-GB"/>
        </w:rPr>
        <w:t>ΔY</w:t>
      </w:r>
      <w:r w:rsidRPr="003A6C85">
        <w:rPr>
          <w:rFonts w:ascii="Times New Roman" w:hAnsi="Times New Roman" w:cs="Times New Roman"/>
          <w:sz w:val="24"/>
          <w:szCs w:val="24"/>
          <w:vertAlign w:val="subscript"/>
          <w:lang w:val="en-GB"/>
        </w:rPr>
        <w:t>t</w:t>
      </w:r>
      <w:proofErr w:type="spellEnd"/>
      <w:r w:rsidRPr="003A6C85">
        <w:rPr>
          <w:rFonts w:ascii="Times New Roman" w:hAnsi="Times New Roman" w:cs="Times New Roman"/>
          <w:sz w:val="24"/>
          <w:szCs w:val="24"/>
          <w:lang w:val="en-GB"/>
        </w:rPr>
        <w:t xml:space="preserve"> is the first difference of the series, α is the constant term, β is the coefficient on the lagged level (the test statistic), and </w:t>
      </w:r>
      <w:proofErr w:type="spellStart"/>
      <w:r w:rsidRPr="003A6C85">
        <w:rPr>
          <w:rFonts w:ascii="Times New Roman" w:hAnsi="Times New Roman" w:cs="Times New Roman"/>
          <w:sz w:val="24"/>
          <w:szCs w:val="24"/>
          <w:lang w:val="en-GB"/>
        </w:rPr>
        <w:t>ε</w:t>
      </w:r>
      <w:r w:rsidRPr="003A6C85">
        <w:rPr>
          <w:rFonts w:ascii="Times New Roman" w:hAnsi="Times New Roman" w:cs="Times New Roman"/>
          <w:sz w:val="24"/>
          <w:szCs w:val="24"/>
          <w:vertAlign w:val="subscript"/>
          <w:lang w:val="en-GB"/>
        </w:rPr>
        <w:t>t</w:t>
      </w:r>
      <w:proofErr w:type="spellEnd"/>
      <w:r w:rsidRPr="003A6C85">
        <w:rPr>
          <w:rFonts w:ascii="Times New Roman" w:hAnsi="Times New Roman" w:cs="Times New Roman"/>
          <w:sz w:val="24"/>
          <w:szCs w:val="24"/>
          <w:lang w:val="en-GB"/>
        </w:rPr>
        <w:t xml:space="preserve"> is the error term. The null hypothesis of a unit root (non-</w:t>
      </w:r>
      <w:r w:rsidRPr="003A6C85">
        <w:rPr>
          <w:rFonts w:ascii="Times New Roman" w:hAnsi="Times New Roman" w:cs="Times New Roman"/>
          <w:sz w:val="24"/>
          <w:szCs w:val="24"/>
          <w:lang w:val="en-GB"/>
        </w:rPr>
        <w:lastRenderedPageBreak/>
        <w:t>stationarity) is rejected if the calculated t-statistic is more negative than the critical values at conventional significance levels (1%: -3.51, 5%: -2.89, 10%: -2.58).</w:t>
      </w:r>
    </w:p>
    <w:p w14:paraId="38A9D218" w14:textId="6ED1A680" w:rsidR="00045344" w:rsidRPr="003A6C85" w:rsidRDefault="00045344" w:rsidP="002A0C70">
      <w:pPr>
        <w:pStyle w:val="Heading3"/>
        <w:spacing w:line="240" w:lineRule="auto"/>
        <w:rPr>
          <w:rFonts w:ascii="Times New Roman" w:hAnsi="Times New Roman" w:cs="Times New Roman"/>
          <w:b/>
          <w:bCs/>
          <w:color w:val="auto"/>
          <w:sz w:val="24"/>
          <w:szCs w:val="24"/>
          <w:lang w:val="en-GB"/>
        </w:rPr>
      </w:pPr>
      <w:bookmarkStart w:id="13" w:name="_Toc220325812"/>
      <w:r w:rsidRPr="003A6C85">
        <w:rPr>
          <w:rFonts w:ascii="Times New Roman" w:hAnsi="Times New Roman" w:cs="Times New Roman"/>
          <w:b/>
          <w:bCs/>
          <w:color w:val="auto"/>
          <w:sz w:val="24"/>
          <w:szCs w:val="24"/>
          <w:lang w:val="en-GB"/>
        </w:rPr>
        <w:t>3.</w:t>
      </w:r>
      <w:r w:rsidR="00B84E1A" w:rsidRPr="003A6C85">
        <w:rPr>
          <w:rFonts w:ascii="Times New Roman" w:hAnsi="Times New Roman" w:cs="Times New Roman"/>
          <w:b/>
          <w:bCs/>
          <w:color w:val="auto"/>
          <w:sz w:val="24"/>
          <w:szCs w:val="24"/>
          <w:lang w:val="en-GB"/>
        </w:rPr>
        <w:t>2</w:t>
      </w:r>
      <w:r w:rsidRPr="003A6C85">
        <w:rPr>
          <w:rFonts w:ascii="Times New Roman" w:hAnsi="Times New Roman" w:cs="Times New Roman"/>
          <w:b/>
          <w:bCs/>
          <w:color w:val="auto"/>
          <w:sz w:val="24"/>
          <w:szCs w:val="24"/>
          <w:lang w:val="en-GB"/>
        </w:rPr>
        <w:t xml:space="preserve">.3 ARIMA </w:t>
      </w:r>
      <w:r w:rsidR="003A6C85" w:rsidRPr="003A6C85">
        <w:rPr>
          <w:rFonts w:ascii="Times New Roman" w:hAnsi="Times New Roman" w:cs="Times New Roman"/>
          <w:b/>
          <w:bCs/>
          <w:color w:val="auto"/>
          <w:sz w:val="24"/>
          <w:szCs w:val="24"/>
          <w:lang w:val="en-GB"/>
        </w:rPr>
        <w:t>model specification</w:t>
      </w:r>
      <w:bookmarkEnd w:id="13"/>
    </w:p>
    <w:p w14:paraId="65EDAEFE" w14:textId="77777777" w:rsidR="00045344" w:rsidRPr="003A6C85" w:rsidRDefault="00045344" w:rsidP="002A0C70">
      <w:pPr>
        <w:spacing w:before="240" w:after="0" w:line="240" w:lineRule="auto"/>
        <w:jc w:val="both"/>
        <w:rPr>
          <w:rFonts w:ascii="Times New Roman" w:hAnsi="Times New Roman" w:cs="Times New Roman"/>
          <w:sz w:val="24"/>
          <w:szCs w:val="24"/>
          <w:lang w:val="en-GB"/>
        </w:rPr>
      </w:pPr>
      <w:r w:rsidRPr="003A6C85">
        <w:rPr>
          <w:rFonts w:ascii="Times New Roman" w:hAnsi="Times New Roman" w:cs="Times New Roman"/>
          <w:sz w:val="24"/>
          <w:szCs w:val="24"/>
          <w:lang w:val="en-GB"/>
        </w:rPr>
        <w:t>The Autoregressive Integrated Moving Average (ARIMA) model, introduced by Box and Jenkins (1976), was employed to model the net export time series and generate forecasts. The general ARIMA(</w:t>
      </w:r>
      <w:proofErr w:type="spellStart"/>
      <w:proofErr w:type="gramStart"/>
      <w:r w:rsidRPr="003A6C85">
        <w:rPr>
          <w:rFonts w:ascii="Times New Roman" w:hAnsi="Times New Roman" w:cs="Times New Roman"/>
          <w:sz w:val="24"/>
          <w:szCs w:val="24"/>
          <w:lang w:val="en-GB"/>
        </w:rPr>
        <w:t>p,d</w:t>
      </w:r>
      <w:proofErr w:type="gramEnd"/>
      <w:r w:rsidRPr="003A6C85">
        <w:rPr>
          <w:rFonts w:ascii="Times New Roman" w:hAnsi="Times New Roman" w:cs="Times New Roman"/>
          <w:sz w:val="24"/>
          <w:szCs w:val="24"/>
          <w:lang w:val="en-GB"/>
        </w:rPr>
        <w:t>,q</w:t>
      </w:r>
      <w:proofErr w:type="spellEnd"/>
      <w:r w:rsidRPr="003A6C85">
        <w:rPr>
          <w:rFonts w:ascii="Times New Roman" w:hAnsi="Times New Roman" w:cs="Times New Roman"/>
          <w:sz w:val="24"/>
          <w:szCs w:val="24"/>
          <w:lang w:val="en-GB"/>
        </w:rPr>
        <w:t>) model is expressed as:</w:t>
      </w:r>
    </w:p>
    <w:p w14:paraId="6A5F4307" w14:textId="77777777" w:rsidR="00045344" w:rsidRPr="003A6C85" w:rsidRDefault="00045344" w:rsidP="002A0C70">
      <w:pPr>
        <w:spacing w:before="240" w:after="0" w:line="240" w:lineRule="auto"/>
        <w:ind w:left="1440"/>
        <w:rPr>
          <w:rFonts w:ascii="Times New Roman" w:hAnsi="Times New Roman" w:cs="Times New Roman"/>
          <w:sz w:val="24"/>
          <w:szCs w:val="24"/>
          <w:lang w:val="en-GB"/>
        </w:rPr>
      </w:pPr>
      <m:oMath>
        <m:r>
          <w:rPr>
            <w:rFonts w:ascii="Cambria Math" w:hAnsi="Cambria Math" w:cs="Times New Roman"/>
            <w:sz w:val="24"/>
            <w:szCs w:val="24"/>
            <w:lang w:val="en-GB"/>
          </w:rPr>
          <m:t>∅</m:t>
        </m:r>
        <m:d>
          <m:dPr>
            <m:ctrlPr>
              <w:rPr>
                <w:rFonts w:ascii="Cambria Math" w:hAnsi="Cambria Math" w:cs="Times New Roman"/>
                <w:i/>
                <w:sz w:val="24"/>
                <w:szCs w:val="24"/>
                <w:lang w:val="en-GB"/>
              </w:rPr>
            </m:ctrlPr>
          </m:dPr>
          <m:e>
            <m:r>
              <w:rPr>
                <w:rFonts w:ascii="Cambria Math" w:hAnsi="Cambria Math" w:cs="Times New Roman"/>
                <w:sz w:val="24"/>
                <w:szCs w:val="24"/>
                <w:lang w:val="en-GB"/>
              </w:rPr>
              <m:t>B</m:t>
            </m:r>
          </m:e>
        </m:d>
        <m:sSup>
          <m:sSupPr>
            <m:ctrlPr>
              <w:rPr>
                <w:rFonts w:ascii="Cambria Math" w:hAnsi="Cambria Math" w:cs="Times New Roman"/>
                <w:i/>
                <w:sz w:val="24"/>
                <w:szCs w:val="24"/>
                <w:lang w:val="en-GB"/>
              </w:rPr>
            </m:ctrlPr>
          </m:sSupPr>
          <m:e>
            <m:d>
              <m:dPr>
                <m:ctrlPr>
                  <w:rPr>
                    <w:rFonts w:ascii="Cambria Math" w:hAnsi="Cambria Math" w:cs="Times New Roman"/>
                    <w:i/>
                    <w:sz w:val="24"/>
                    <w:szCs w:val="24"/>
                    <w:lang w:val="en-GB"/>
                  </w:rPr>
                </m:ctrlPr>
              </m:dPr>
              <m:e>
                <m:r>
                  <w:rPr>
                    <w:rFonts w:ascii="Cambria Math" w:hAnsi="Cambria Math" w:cs="Times New Roman"/>
                    <w:sz w:val="24"/>
                    <w:szCs w:val="24"/>
                    <w:lang w:val="en-GB"/>
                  </w:rPr>
                  <m:t>1-B</m:t>
                </m:r>
              </m:e>
            </m:d>
          </m:e>
          <m:sup>
            <m:r>
              <w:rPr>
                <w:rFonts w:ascii="Cambria Math" w:hAnsi="Cambria Math" w:cs="Times New Roman"/>
                <w:sz w:val="24"/>
                <w:szCs w:val="24"/>
                <w:lang w:val="en-GB"/>
              </w:rPr>
              <m:t>d</m:t>
            </m:r>
          </m:sup>
        </m:sSup>
        <m:sSub>
          <m:sSubPr>
            <m:ctrlPr>
              <w:rPr>
                <w:rFonts w:ascii="Cambria Math" w:hAnsi="Cambria Math" w:cs="Times New Roman"/>
                <w:i/>
                <w:sz w:val="24"/>
                <w:szCs w:val="24"/>
                <w:lang w:val="en-GB"/>
              </w:rPr>
            </m:ctrlPr>
          </m:sSubPr>
          <m:e>
            <m:r>
              <w:rPr>
                <w:rFonts w:ascii="Cambria Math" w:hAnsi="Cambria Math" w:cs="Times New Roman"/>
                <w:sz w:val="24"/>
                <w:szCs w:val="24"/>
                <w:lang w:val="en-GB"/>
              </w:rPr>
              <m:t>Y</m:t>
            </m:r>
          </m:e>
          <m:sub>
            <m:r>
              <w:rPr>
                <w:rFonts w:ascii="Cambria Math" w:hAnsi="Cambria Math" w:cs="Times New Roman"/>
                <w:sz w:val="24"/>
                <w:szCs w:val="24"/>
                <w:lang w:val="en-GB"/>
              </w:rPr>
              <m:t>t</m:t>
            </m:r>
          </m:sub>
        </m:sSub>
        <m:r>
          <w:rPr>
            <w:rFonts w:ascii="Cambria Math" w:hAnsi="Cambria Math" w:cs="Times New Roman"/>
            <w:sz w:val="24"/>
            <w:szCs w:val="24"/>
            <w:lang w:val="en-GB"/>
          </w:rPr>
          <m:t>=θ(B)</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ε</m:t>
            </m:r>
          </m:e>
          <m:sub>
            <m:r>
              <w:rPr>
                <w:rFonts w:ascii="Cambria Math" w:hAnsi="Cambria Math" w:cs="Times New Roman"/>
                <w:sz w:val="24"/>
                <w:szCs w:val="24"/>
                <w:lang w:val="en-GB"/>
              </w:rPr>
              <m:t>t</m:t>
            </m:r>
          </m:sub>
        </m:sSub>
      </m:oMath>
      <w:r w:rsidRPr="003A6C85">
        <w:rPr>
          <w:rFonts w:ascii="Times New Roman" w:hAnsi="Times New Roman" w:cs="Times New Roman"/>
          <w:sz w:val="24"/>
          <w:szCs w:val="24"/>
          <w:lang w:val="en-GB"/>
        </w:rPr>
        <w:tab/>
      </w:r>
      <w:r w:rsidRPr="003A6C85">
        <w:rPr>
          <w:rFonts w:ascii="Times New Roman" w:hAnsi="Times New Roman" w:cs="Times New Roman"/>
          <w:sz w:val="24"/>
          <w:szCs w:val="24"/>
          <w:lang w:val="en-GB"/>
        </w:rPr>
        <w:tab/>
      </w:r>
      <w:r w:rsidRPr="003A6C85">
        <w:rPr>
          <w:rFonts w:ascii="Times New Roman" w:hAnsi="Times New Roman" w:cs="Times New Roman"/>
          <w:sz w:val="24"/>
          <w:szCs w:val="24"/>
          <w:lang w:val="en-GB"/>
        </w:rPr>
        <w:tab/>
      </w:r>
      <w:r w:rsidR="00733994" w:rsidRPr="003A6C85">
        <w:rPr>
          <w:rFonts w:ascii="Times New Roman" w:hAnsi="Times New Roman" w:cs="Times New Roman"/>
          <w:sz w:val="24"/>
          <w:szCs w:val="24"/>
          <w:lang w:val="en-GB"/>
        </w:rPr>
        <w:t xml:space="preserve">          </w:t>
      </w:r>
      <w:r w:rsidR="000912A3" w:rsidRPr="003A6C85">
        <w:rPr>
          <w:rFonts w:ascii="Times New Roman" w:hAnsi="Times New Roman" w:cs="Times New Roman"/>
          <w:sz w:val="24"/>
          <w:szCs w:val="24"/>
          <w:lang w:val="en-GB"/>
        </w:rPr>
        <w:t xml:space="preserve">                 </w:t>
      </w:r>
      <w:r w:rsidR="00733994" w:rsidRPr="003A6C85">
        <w:rPr>
          <w:rFonts w:ascii="Times New Roman" w:hAnsi="Times New Roman" w:cs="Times New Roman"/>
          <w:sz w:val="24"/>
          <w:szCs w:val="24"/>
          <w:lang w:val="en-GB"/>
        </w:rPr>
        <w:t xml:space="preserve"> </w:t>
      </w:r>
      <w:r w:rsidRPr="003A6C85">
        <w:rPr>
          <w:rFonts w:ascii="Times New Roman" w:hAnsi="Times New Roman" w:cs="Times New Roman"/>
          <w:sz w:val="24"/>
          <w:szCs w:val="24"/>
          <w:lang w:val="en-GB"/>
        </w:rPr>
        <w:t>(</w:t>
      </w:r>
      <w:r w:rsidR="000912A3" w:rsidRPr="003A6C85">
        <w:rPr>
          <w:rFonts w:ascii="Times New Roman" w:hAnsi="Times New Roman" w:cs="Times New Roman"/>
          <w:sz w:val="24"/>
          <w:szCs w:val="24"/>
          <w:lang w:val="en-GB"/>
        </w:rPr>
        <w:t>3</w:t>
      </w:r>
      <w:r w:rsidRPr="003A6C85">
        <w:rPr>
          <w:rFonts w:ascii="Times New Roman" w:hAnsi="Times New Roman" w:cs="Times New Roman"/>
          <w:sz w:val="24"/>
          <w:szCs w:val="24"/>
          <w:lang w:val="en-GB"/>
        </w:rPr>
        <w:t>)</w:t>
      </w:r>
    </w:p>
    <w:p w14:paraId="639B4DF0" w14:textId="77777777" w:rsidR="00045344" w:rsidRPr="003A6C85" w:rsidRDefault="00733994" w:rsidP="002A0C70">
      <w:pPr>
        <w:spacing w:before="240" w:after="0" w:line="240" w:lineRule="auto"/>
        <w:jc w:val="both"/>
        <w:rPr>
          <w:rFonts w:ascii="Times New Roman" w:hAnsi="Times New Roman" w:cs="Times New Roman"/>
          <w:sz w:val="24"/>
          <w:szCs w:val="24"/>
          <w:lang w:val="en-GB"/>
        </w:rPr>
      </w:pPr>
      <w:r w:rsidRPr="003A6C85">
        <w:rPr>
          <w:rFonts w:ascii="Times New Roman" w:hAnsi="Times New Roman" w:cs="Times New Roman"/>
          <w:bCs/>
          <w:sz w:val="24"/>
          <w:szCs w:val="24"/>
          <w:lang w:val="en-GB"/>
        </w:rPr>
        <w:t>w</w:t>
      </w:r>
      <w:r w:rsidR="00045344" w:rsidRPr="003A6C85">
        <w:rPr>
          <w:rFonts w:ascii="Times New Roman" w:hAnsi="Times New Roman" w:cs="Times New Roman"/>
          <w:bCs/>
          <w:sz w:val="24"/>
          <w:szCs w:val="24"/>
          <w:lang w:val="en-GB"/>
        </w:rPr>
        <w:t>here</w:t>
      </w:r>
      <w:r w:rsidRPr="003A6C85">
        <w:rPr>
          <w:rFonts w:ascii="Times New Roman" w:hAnsi="Times New Roman" w:cs="Times New Roman"/>
          <w:bCs/>
          <w:sz w:val="24"/>
          <w:szCs w:val="24"/>
          <w:lang w:val="en-GB"/>
        </w:rPr>
        <w:t>:</w:t>
      </w:r>
      <w:r w:rsidR="00045344" w:rsidRPr="003A6C85">
        <w:rPr>
          <w:rFonts w:ascii="Times New Roman" w:hAnsi="Times New Roman" w:cs="Times New Roman"/>
          <w:sz w:val="24"/>
          <w:szCs w:val="24"/>
          <w:lang w:val="en-GB"/>
        </w:rPr>
        <w:t xml:space="preserve"> Φ(B) = 1 - φ</w:t>
      </w:r>
      <w:r w:rsidR="00045344" w:rsidRPr="003A6C85">
        <w:rPr>
          <w:rFonts w:ascii="Times New Roman" w:hAnsi="Times New Roman" w:cs="Times New Roman"/>
          <w:sz w:val="24"/>
          <w:szCs w:val="24"/>
          <w:vertAlign w:val="subscript"/>
          <w:lang w:val="en-GB"/>
        </w:rPr>
        <w:t>1</w:t>
      </w:r>
      <w:r w:rsidR="00045344" w:rsidRPr="003A6C85">
        <w:rPr>
          <w:rFonts w:ascii="Times New Roman" w:hAnsi="Times New Roman" w:cs="Times New Roman"/>
          <w:sz w:val="24"/>
          <w:szCs w:val="24"/>
          <w:lang w:val="en-GB"/>
        </w:rPr>
        <w:t>B - φ</w:t>
      </w:r>
      <w:r w:rsidR="00045344" w:rsidRPr="003A6C85">
        <w:rPr>
          <w:rFonts w:ascii="Times New Roman" w:hAnsi="Times New Roman" w:cs="Times New Roman"/>
          <w:sz w:val="24"/>
          <w:szCs w:val="24"/>
          <w:vertAlign w:val="subscript"/>
          <w:lang w:val="en-GB"/>
        </w:rPr>
        <w:t>2</w:t>
      </w:r>
      <w:r w:rsidR="00045344" w:rsidRPr="003A6C85">
        <w:rPr>
          <w:rFonts w:ascii="Times New Roman" w:hAnsi="Times New Roman" w:cs="Times New Roman"/>
          <w:sz w:val="24"/>
          <w:szCs w:val="24"/>
          <w:lang w:val="en-GB"/>
        </w:rPr>
        <w:t xml:space="preserve">B² - ... - </w:t>
      </w:r>
      <w:proofErr w:type="spellStart"/>
      <w:r w:rsidR="00045344" w:rsidRPr="003A6C85">
        <w:rPr>
          <w:rFonts w:ascii="Times New Roman" w:hAnsi="Times New Roman" w:cs="Times New Roman"/>
          <w:sz w:val="24"/>
          <w:szCs w:val="24"/>
          <w:lang w:val="en-GB"/>
        </w:rPr>
        <w:t>φ</w:t>
      </w:r>
      <w:r w:rsidR="00045344" w:rsidRPr="003A6C85">
        <w:rPr>
          <w:rFonts w:ascii="Times New Roman" w:hAnsi="Times New Roman" w:cs="Times New Roman"/>
          <w:sz w:val="24"/>
          <w:szCs w:val="24"/>
          <w:vertAlign w:val="subscript"/>
          <w:lang w:val="en-GB"/>
        </w:rPr>
        <w:t>p</w:t>
      </w:r>
      <w:r w:rsidR="00045344" w:rsidRPr="003A6C85">
        <w:rPr>
          <w:rFonts w:ascii="Times New Roman" w:hAnsi="Times New Roman" w:cs="Times New Roman"/>
          <w:sz w:val="24"/>
          <w:szCs w:val="24"/>
          <w:lang w:val="en-GB"/>
        </w:rPr>
        <w:t>B</w:t>
      </w:r>
      <w:r w:rsidR="00045344" w:rsidRPr="003A6C85">
        <w:rPr>
          <w:rFonts w:ascii="Times New Roman" w:hAnsi="Times New Roman" w:cs="Times New Roman"/>
          <w:sz w:val="24"/>
          <w:szCs w:val="24"/>
          <w:vertAlign w:val="superscript"/>
          <w:lang w:val="en-GB"/>
        </w:rPr>
        <w:t>p</w:t>
      </w:r>
      <w:proofErr w:type="spellEnd"/>
      <w:r w:rsidR="00045344" w:rsidRPr="003A6C85">
        <w:rPr>
          <w:rFonts w:ascii="Times New Roman" w:hAnsi="Times New Roman" w:cs="Times New Roman"/>
          <w:sz w:val="24"/>
          <w:szCs w:val="24"/>
          <w:lang w:val="en-GB"/>
        </w:rPr>
        <w:t xml:space="preserve"> is the autoregressive (AR) polynomial, θ(B) = 1 + θ</w:t>
      </w:r>
      <w:r w:rsidR="00045344" w:rsidRPr="003A6C85">
        <w:rPr>
          <w:rFonts w:ascii="Times New Roman" w:hAnsi="Times New Roman" w:cs="Times New Roman"/>
          <w:sz w:val="24"/>
          <w:szCs w:val="24"/>
          <w:vertAlign w:val="subscript"/>
          <w:lang w:val="en-GB"/>
        </w:rPr>
        <w:t>1</w:t>
      </w:r>
      <w:r w:rsidR="00045344" w:rsidRPr="003A6C85">
        <w:rPr>
          <w:rFonts w:ascii="Times New Roman" w:hAnsi="Times New Roman" w:cs="Times New Roman"/>
          <w:sz w:val="24"/>
          <w:szCs w:val="24"/>
          <w:lang w:val="en-GB"/>
        </w:rPr>
        <w:t>B + θ</w:t>
      </w:r>
      <w:r w:rsidR="00045344" w:rsidRPr="003A6C85">
        <w:rPr>
          <w:rFonts w:ascii="Times New Roman" w:hAnsi="Times New Roman" w:cs="Times New Roman"/>
          <w:sz w:val="24"/>
          <w:szCs w:val="24"/>
          <w:vertAlign w:val="subscript"/>
          <w:lang w:val="en-GB"/>
        </w:rPr>
        <w:t>2</w:t>
      </w:r>
      <w:r w:rsidR="00045344" w:rsidRPr="003A6C85">
        <w:rPr>
          <w:rFonts w:ascii="Times New Roman" w:hAnsi="Times New Roman" w:cs="Times New Roman"/>
          <w:sz w:val="24"/>
          <w:szCs w:val="24"/>
          <w:lang w:val="en-GB"/>
        </w:rPr>
        <w:t xml:space="preserve">B² + ... + </w:t>
      </w:r>
      <w:proofErr w:type="spellStart"/>
      <w:r w:rsidR="00045344" w:rsidRPr="003A6C85">
        <w:rPr>
          <w:rFonts w:ascii="Times New Roman" w:hAnsi="Times New Roman" w:cs="Times New Roman"/>
          <w:sz w:val="24"/>
          <w:szCs w:val="24"/>
          <w:lang w:val="en-GB"/>
        </w:rPr>
        <w:t>θ</w:t>
      </w:r>
      <w:r w:rsidR="00045344" w:rsidRPr="003A6C85">
        <w:rPr>
          <w:rFonts w:ascii="Times New Roman" w:hAnsi="Times New Roman" w:cs="Times New Roman"/>
          <w:sz w:val="24"/>
          <w:szCs w:val="24"/>
          <w:vertAlign w:val="subscript"/>
          <w:lang w:val="en-GB"/>
        </w:rPr>
        <w:t>q</w:t>
      </w:r>
      <w:r w:rsidR="00045344" w:rsidRPr="003A6C85">
        <w:rPr>
          <w:rFonts w:ascii="Times New Roman" w:hAnsi="Times New Roman" w:cs="Times New Roman"/>
          <w:sz w:val="24"/>
          <w:szCs w:val="24"/>
          <w:lang w:val="en-GB"/>
        </w:rPr>
        <w:t>B</w:t>
      </w:r>
      <w:r w:rsidR="00045344" w:rsidRPr="003A6C85">
        <w:rPr>
          <w:rFonts w:ascii="Times New Roman" w:hAnsi="Times New Roman" w:cs="Times New Roman"/>
          <w:sz w:val="24"/>
          <w:szCs w:val="24"/>
          <w:vertAlign w:val="superscript"/>
          <w:lang w:val="en-GB"/>
        </w:rPr>
        <w:t>q</w:t>
      </w:r>
      <w:proofErr w:type="spellEnd"/>
      <w:r w:rsidR="00045344" w:rsidRPr="003A6C85">
        <w:rPr>
          <w:rFonts w:ascii="Times New Roman" w:hAnsi="Times New Roman" w:cs="Times New Roman"/>
          <w:sz w:val="24"/>
          <w:szCs w:val="24"/>
          <w:lang w:val="en-GB"/>
        </w:rPr>
        <w:t xml:space="preserve"> is the moving average (MA) polynomial, B is the backshift operator, d is the order of differencing, and </w:t>
      </w:r>
      <w:proofErr w:type="spellStart"/>
      <w:r w:rsidR="00045344" w:rsidRPr="003A6C85">
        <w:rPr>
          <w:rFonts w:ascii="Times New Roman" w:hAnsi="Times New Roman" w:cs="Times New Roman"/>
          <w:sz w:val="24"/>
          <w:szCs w:val="24"/>
          <w:lang w:val="en-GB"/>
        </w:rPr>
        <w:t>ε</w:t>
      </w:r>
      <w:r w:rsidR="00045344" w:rsidRPr="003A6C85">
        <w:rPr>
          <w:rFonts w:ascii="Times New Roman" w:hAnsi="Times New Roman" w:cs="Times New Roman"/>
          <w:sz w:val="24"/>
          <w:szCs w:val="24"/>
          <w:vertAlign w:val="subscript"/>
          <w:lang w:val="en-GB"/>
        </w:rPr>
        <w:t>t</w:t>
      </w:r>
      <w:proofErr w:type="spellEnd"/>
      <w:r w:rsidR="00045344" w:rsidRPr="003A6C85">
        <w:rPr>
          <w:rFonts w:ascii="Times New Roman" w:hAnsi="Times New Roman" w:cs="Times New Roman"/>
          <w:sz w:val="24"/>
          <w:szCs w:val="24"/>
          <w:lang w:val="en-GB"/>
        </w:rPr>
        <w:t xml:space="preserve"> is white noise with zero mean and constant variance σ².</w:t>
      </w:r>
    </w:p>
    <w:p w14:paraId="5809EDB1" w14:textId="5FFC588B" w:rsidR="00045344" w:rsidRPr="003A6C85" w:rsidRDefault="00045344" w:rsidP="002A0C70">
      <w:pPr>
        <w:spacing w:before="240" w:after="0" w:line="240" w:lineRule="auto"/>
        <w:jc w:val="both"/>
        <w:rPr>
          <w:rFonts w:ascii="Times New Roman" w:hAnsi="Times New Roman" w:cs="Times New Roman"/>
          <w:sz w:val="24"/>
          <w:szCs w:val="24"/>
          <w:lang w:val="en-GB"/>
        </w:rPr>
      </w:pPr>
      <w:r w:rsidRPr="003A6C85">
        <w:rPr>
          <w:rFonts w:ascii="Times New Roman" w:hAnsi="Times New Roman" w:cs="Times New Roman"/>
          <w:sz w:val="24"/>
          <w:szCs w:val="24"/>
          <w:lang w:val="en-GB"/>
        </w:rPr>
        <w:t>Model identification followed the Box-Jenkins methodology, utili</w:t>
      </w:r>
      <w:r w:rsidR="00B51FFE">
        <w:rPr>
          <w:rFonts w:ascii="Times New Roman" w:hAnsi="Times New Roman" w:cs="Times New Roman"/>
          <w:sz w:val="24"/>
          <w:szCs w:val="24"/>
          <w:lang w:val="en-GB"/>
        </w:rPr>
        <w:t>s</w:t>
      </w:r>
      <w:r w:rsidRPr="003A6C85">
        <w:rPr>
          <w:rFonts w:ascii="Times New Roman" w:hAnsi="Times New Roman" w:cs="Times New Roman"/>
          <w:sz w:val="24"/>
          <w:szCs w:val="24"/>
          <w:lang w:val="en-GB"/>
        </w:rPr>
        <w:t xml:space="preserve">ing the Autocorrelation Function (ACF) and Partial Autocorrelation Function (PACF) plots of the stationary series. Six candidate models were evaluated: </w:t>
      </w:r>
      <w:proofErr w:type="gramStart"/>
      <w:r w:rsidRPr="003A6C85">
        <w:rPr>
          <w:rFonts w:ascii="Times New Roman" w:hAnsi="Times New Roman" w:cs="Times New Roman"/>
          <w:sz w:val="24"/>
          <w:szCs w:val="24"/>
          <w:lang w:val="en-GB"/>
        </w:rPr>
        <w:t>ARIMA(</w:t>
      </w:r>
      <w:proofErr w:type="gramEnd"/>
      <w:r w:rsidRPr="003A6C85">
        <w:rPr>
          <w:rFonts w:ascii="Times New Roman" w:hAnsi="Times New Roman" w:cs="Times New Roman"/>
          <w:sz w:val="24"/>
          <w:szCs w:val="24"/>
          <w:lang w:val="en-GB"/>
        </w:rPr>
        <w:t>0,1,0), ARIMA(1,1,0), ARIMA(0,1,1), ARIMA(1,1,1), ARIMA(2,1,0), and ARIMA(2,1,1). Model selection was based on the Akaike Information Criterion (AIC) and Bayesian Information Criterion (BIC), with preference given to models minimi</w:t>
      </w:r>
      <w:r w:rsidR="00B51FFE">
        <w:rPr>
          <w:rFonts w:ascii="Times New Roman" w:hAnsi="Times New Roman" w:cs="Times New Roman"/>
          <w:sz w:val="24"/>
          <w:szCs w:val="24"/>
          <w:lang w:val="en-GB"/>
        </w:rPr>
        <w:t>s</w:t>
      </w:r>
      <w:r w:rsidRPr="003A6C85">
        <w:rPr>
          <w:rFonts w:ascii="Times New Roman" w:hAnsi="Times New Roman" w:cs="Times New Roman"/>
          <w:sz w:val="24"/>
          <w:szCs w:val="24"/>
          <w:lang w:val="en-GB"/>
        </w:rPr>
        <w:t>ing these criteria while maintaining parsimony:</w:t>
      </w:r>
    </w:p>
    <w:p w14:paraId="0FF082A9" w14:textId="77777777" w:rsidR="00045344" w:rsidRPr="003A6C85" w:rsidRDefault="00045344" w:rsidP="002A0C70">
      <w:pPr>
        <w:spacing w:before="240" w:after="0" w:line="240" w:lineRule="auto"/>
        <w:ind w:left="1440"/>
        <w:jc w:val="both"/>
        <w:rPr>
          <w:rFonts w:ascii="Times New Roman" w:hAnsi="Times New Roman" w:cs="Times New Roman"/>
          <w:sz w:val="24"/>
          <w:szCs w:val="24"/>
          <w:lang w:val="en-GB"/>
        </w:rPr>
      </w:pPr>
      <m:oMath>
        <m:r>
          <w:rPr>
            <w:rFonts w:ascii="Cambria Math" w:hAnsi="Cambria Math" w:cs="Times New Roman"/>
            <w:sz w:val="24"/>
            <w:szCs w:val="24"/>
            <w:lang w:val="en-GB"/>
          </w:rPr>
          <m:t>AIC=n×</m:t>
        </m:r>
        <m:func>
          <m:funcPr>
            <m:ctrlPr>
              <w:rPr>
                <w:rFonts w:ascii="Cambria Math" w:hAnsi="Cambria Math" w:cs="Times New Roman"/>
                <w:sz w:val="24"/>
                <w:szCs w:val="24"/>
                <w:lang w:val="en-GB"/>
              </w:rPr>
            </m:ctrlPr>
          </m:funcPr>
          <m:fName>
            <m:r>
              <m:rPr>
                <m:sty m:val="p"/>
              </m:rPr>
              <w:rPr>
                <w:rFonts w:ascii="Cambria Math" w:hAnsi="Cambria Math" w:cs="Times New Roman"/>
                <w:sz w:val="24"/>
                <w:szCs w:val="24"/>
                <w:lang w:val="en-GB"/>
              </w:rPr>
              <m:t>ln</m:t>
            </m:r>
          </m:fName>
          <m:e>
            <m:d>
              <m:dPr>
                <m:ctrlPr>
                  <w:rPr>
                    <w:rFonts w:ascii="Cambria Math" w:hAnsi="Cambria Math" w:cs="Times New Roman"/>
                    <w:i/>
                    <w:sz w:val="24"/>
                    <w:szCs w:val="24"/>
                    <w:lang w:val="en-GB"/>
                  </w:rPr>
                </m:ctrlPr>
              </m:dPr>
              <m:e>
                <m:f>
                  <m:fPr>
                    <m:type m:val="lin"/>
                    <m:ctrlPr>
                      <w:rPr>
                        <w:rFonts w:ascii="Cambria Math" w:hAnsi="Cambria Math" w:cs="Times New Roman"/>
                        <w:i/>
                        <w:sz w:val="24"/>
                        <w:szCs w:val="24"/>
                        <w:lang w:val="en-GB"/>
                      </w:rPr>
                    </m:ctrlPr>
                  </m:fPr>
                  <m:num>
                    <m:r>
                      <w:rPr>
                        <w:rFonts w:ascii="Cambria Math" w:hAnsi="Cambria Math" w:cs="Times New Roman"/>
                        <w:sz w:val="24"/>
                        <w:szCs w:val="24"/>
                        <w:lang w:val="en-GB"/>
                      </w:rPr>
                      <m:t>SSE</m:t>
                    </m:r>
                  </m:num>
                  <m:den>
                    <m:r>
                      <w:rPr>
                        <w:rFonts w:ascii="Cambria Math" w:hAnsi="Cambria Math" w:cs="Times New Roman"/>
                        <w:sz w:val="24"/>
                        <w:szCs w:val="24"/>
                        <w:lang w:val="en-GB"/>
                      </w:rPr>
                      <m:t>n</m:t>
                    </m:r>
                  </m:den>
                </m:f>
              </m:e>
            </m:d>
          </m:e>
        </m:func>
        <m:r>
          <w:rPr>
            <w:rFonts w:ascii="Cambria Math" w:hAnsi="Cambria Math" w:cs="Times New Roman"/>
            <w:sz w:val="24"/>
            <w:szCs w:val="24"/>
            <w:lang w:val="en-GB"/>
          </w:rPr>
          <m:t>+2k</m:t>
        </m:r>
      </m:oMath>
      <w:r w:rsidRPr="003A6C85">
        <w:rPr>
          <w:rFonts w:ascii="Times New Roman" w:hAnsi="Times New Roman" w:cs="Times New Roman"/>
          <w:sz w:val="24"/>
          <w:szCs w:val="24"/>
          <w:lang w:val="en-GB"/>
        </w:rPr>
        <w:t xml:space="preserve"> </w:t>
      </w:r>
      <w:r w:rsidRPr="003A6C85">
        <w:rPr>
          <w:rFonts w:ascii="Times New Roman" w:hAnsi="Times New Roman" w:cs="Times New Roman"/>
          <w:sz w:val="24"/>
          <w:szCs w:val="24"/>
          <w:lang w:val="en-GB"/>
        </w:rPr>
        <w:tab/>
      </w:r>
      <w:r w:rsidRPr="003A6C85">
        <w:rPr>
          <w:rFonts w:ascii="Times New Roman" w:hAnsi="Times New Roman" w:cs="Times New Roman"/>
          <w:sz w:val="24"/>
          <w:szCs w:val="24"/>
          <w:lang w:val="en-GB"/>
        </w:rPr>
        <w:tab/>
      </w:r>
      <w:r w:rsidRPr="003A6C85">
        <w:rPr>
          <w:rFonts w:ascii="Times New Roman" w:hAnsi="Times New Roman" w:cs="Times New Roman"/>
          <w:sz w:val="24"/>
          <w:szCs w:val="24"/>
          <w:lang w:val="en-GB"/>
        </w:rPr>
        <w:tab/>
      </w:r>
      <w:r w:rsidRPr="003A6C85">
        <w:rPr>
          <w:rFonts w:ascii="Times New Roman" w:hAnsi="Times New Roman" w:cs="Times New Roman"/>
          <w:sz w:val="24"/>
          <w:szCs w:val="24"/>
          <w:lang w:val="en-GB"/>
        </w:rPr>
        <w:tab/>
      </w:r>
      <w:r w:rsidR="000912A3" w:rsidRPr="003A6C85">
        <w:rPr>
          <w:rFonts w:ascii="Times New Roman" w:hAnsi="Times New Roman" w:cs="Times New Roman"/>
          <w:sz w:val="24"/>
          <w:szCs w:val="24"/>
          <w:lang w:val="en-GB"/>
        </w:rPr>
        <w:t xml:space="preserve">             </w:t>
      </w:r>
      <w:r w:rsidRPr="003A6C85">
        <w:rPr>
          <w:rFonts w:ascii="Times New Roman" w:hAnsi="Times New Roman" w:cs="Times New Roman"/>
          <w:sz w:val="24"/>
          <w:szCs w:val="24"/>
          <w:lang w:val="en-GB"/>
        </w:rPr>
        <w:t>(</w:t>
      </w:r>
      <w:r w:rsidR="000912A3" w:rsidRPr="003A6C85">
        <w:rPr>
          <w:rFonts w:ascii="Times New Roman" w:hAnsi="Times New Roman" w:cs="Times New Roman"/>
          <w:sz w:val="24"/>
          <w:szCs w:val="24"/>
          <w:lang w:val="en-GB"/>
        </w:rPr>
        <w:t>4</w:t>
      </w:r>
      <w:r w:rsidRPr="003A6C85">
        <w:rPr>
          <w:rFonts w:ascii="Times New Roman" w:hAnsi="Times New Roman" w:cs="Times New Roman"/>
          <w:sz w:val="24"/>
          <w:szCs w:val="24"/>
          <w:lang w:val="en-GB"/>
        </w:rPr>
        <w:t>)</w:t>
      </w:r>
    </w:p>
    <w:p w14:paraId="18D13B54" w14:textId="77777777" w:rsidR="00045344" w:rsidRPr="003A6C85" w:rsidRDefault="00045344" w:rsidP="002A0C70">
      <w:pPr>
        <w:spacing w:before="240" w:after="0" w:line="240" w:lineRule="auto"/>
        <w:ind w:left="1440"/>
        <w:jc w:val="both"/>
        <w:rPr>
          <w:rFonts w:ascii="Times New Roman" w:hAnsi="Times New Roman" w:cs="Times New Roman"/>
          <w:sz w:val="24"/>
          <w:szCs w:val="24"/>
          <w:lang w:val="en-GB"/>
        </w:rPr>
      </w:pPr>
      <m:oMath>
        <m:r>
          <w:rPr>
            <w:rFonts w:ascii="Cambria Math" w:hAnsi="Cambria Math" w:cs="Times New Roman"/>
            <w:sz w:val="24"/>
            <w:szCs w:val="24"/>
            <w:lang w:val="en-GB"/>
          </w:rPr>
          <m:t>BIC=n×</m:t>
        </m:r>
        <m:func>
          <m:funcPr>
            <m:ctrlPr>
              <w:rPr>
                <w:rFonts w:ascii="Cambria Math" w:hAnsi="Cambria Math" w:cs="Times New Roman"/>
                <w:sz w:val="24"/>
                <w:szCs w:val="24"/>
                <w:lang w:val="en-GB"/>
              </w:rPr>
            </m:ctrlPr>
          </m:funcPr>
          <m:fName>
            <m:r>
              <m:rPr>
                <m:sty m:val="p"/>
              </m:rPr>
              <w:rPr>
                <w:rFonts w:ascii="Cambria Math" w:hAnsi="Cambria Math" w:cs="Times New Roman"/>
                <w:sz w:val="24"/>
                <w:szCs w:val="24"/>
                <w:lang w:val="en-GB"/>
              </w:rPr>
              <m:t>ln</m:t>
            </m:r>
          </m:fName>
          <m:e>
            <m:d>
              <m:dPr>
                <m:ctrlPr>
                  <w:rPr>
                    <w:rFonts w:ascii="Cambria Math" w:hAnsi="Cambria Math" w:cs="Times New Roman"/>
                    <w:i/>
                    <w:sz w:val="24"/>
                    <w:szCs w:val="24"/>
                    <w:lang w:val="en-GB"/>
                  </w:rPr>
                </m:ctrlPr>
              </m:dPr>
              <m:e>
                <m:f>
                  <m:fPr>
                    <m:type m:val="lin"/>
                    <m:ctrlPr>
                      <w:rPr>
                        <w:rFonts w:ascii="Cambria Math" w:hAnsi="Cambria Math" w:cs="Times New Roman"/>
                        <w:i/>
                        <w:sz w:val="24"/>
                        <w:szCs w:val="24"/>
                        <w:lang w:val="en-GB"/>
                      </w:rPr>
                    </m:ctrlPr>
                  </m:fPr>
                  <m:num>
                    <m:r>
                      <w:rPr>
                        <w:rFonts w:ascii="Cambria Math" w:hAnsi="Cambria Math" w:cs="Times New Roman"/>
                        <w:sz w:val="24"/>
                        <w:szCs w:val="24"/>
                        <w:lang w:val="en-GB"/>
                      </w:rPr>
                      <m:t>SSE</m:t>
                    </m:r>
                  </m:num>
                  <m:den>
                    <m:r>
                      <w:rPr>
                        <w:rFonts w:ascii="Cambria Math" w:hAnsi="Cambria Math" w:cs="Times New Roman"/>
                        <w:sz w:val="24"/>
                        <w:szCs w:val="24"/>
                        <w:lang w:val="en-GB"/>
                      </w:rPr>
                      <m:t>n</m:t>
                    </m:r>
                  </m:den>
                </m:f>
              </m:e>
            </m:d>
          </m:e>
        </m:func>
        <m:r>
          <w:rPr>
            <w:rFonts w:ascii="Cambria Math" w:hAnsi="Cambria Math" w:cs="Times New Roman"/>
            <w:sz w:val="24"/>
            <w:szCs w:val="24"/>
            <w:lang w:val="en-GB"/>
          </w:rPr>
          <m:t>+k×</m:t>
        </m:r>
        <m:r>
          <m:rPr>
            <m:sty m:val="p"/>
          </m:rPr>
          <w:rPr>
            <w:rFonts w:ascii="Cambria Math" w:hAnsi="Cambria Math" w:cs="Times New Roman"/>
            <w:sz w:val="24"/>
            <w:szCs w:val="24"/>
            <w:lang w:val="en-GB"/>
          </w:rPr>
          <m:t>ln⁡</m:t>
        </m:r>
        <m:r>
          <w:rPr>
            <w:rFonts w:ascii="Cambria Math" w:hAnsi="Cambria Math" w:cs="Times New Roman"/>
            <w:sz w:val="24"/>
            <w:szCs w:val="24"/>
            <w:lang w:val="en-GB"/>
          </w:rPr>
          <m:t>(n)</m:t>
        </m:r>
      </m:oMath>
      <w:r w:rsidRPr="003A6C85">
        <w:rPr>
          <w:rFonts w:ascii="Times New Roman" w:hAnsi="Times New Roman" w:cs="Times New Roman"/>
          <w:sz w:val="24"/>
          <w:szCs w:val="24"/>
          <w:lang w:val="en-GB"/>
        </w:rPr>
        <w:t xml:space="preserve"> </w:t>
      </w:r>
      <w:r w:rsidRPr="003A6C85">
        <w:rPr>
          <w:rFonts w:ascii="Times New Roman" w:hAnsi="Times New Roman" w:cs="Times New Roman"/>
          <w:sz w:val="24"/>
          <w:szCs w:val="24"/>
          <w:lang w:val="en-GB"/>
        </w:rPr>
        <w:tab/>
      </w:r>
      <w:r w:rsidRPr="003A6C85">
        <w:rPr>
          <w:rFonts w:ascii="Times New Roman" w:hAnsi="Times New Roman" w:cs="Times New Roman"/>
          <w:sz w:val="24"/>
          <w:szCs w:val="24"/>
          <w:lang w:val="en-GB"/>
        </w:rPr>
        <w:tab/>
      </w:r>
      <w:r w:rsidRPr="003A6C85">
        <w:rPr>
          <w:rFonts w:ascii="Times New Roman" w:hAnsi="Times New Roman" w:cs="Times New Roman"/>
          <w:sz w:val="24"/>
          <w:szCs w:val="24"/>
          <w:lang w:val="en-GB"/>
        </w:rPr>
        <w:tab/>
      </w:r>
      <w:r w:rsidR="000912A3" w:rsidRPr="003A6C85">
        <w:rPr>
          <w:rFonts w:ascii="Times New Roman" w:hAnsi="Times New Roman" w:cs="Times New Roman"/>
          <w:sz w:val="24"/>
          <w:szCs w:val="24"/>
          <w:lang w:val="en-GB"/>
        </w:rPr>
        <w:t xml:space="preserve">            </w:t>
      </w:r>
      <w:r w:rsidRPr="003A6C85">
        <w:rPr>
          <w:rFonts w:ascii="Times New Roman" w:hAnsi="Times New Roman" w:cs="Times New Roman"/>
          <w:sz w:val="24"/>
          <w:szCs w:val="24"/>
          <w:lang w:val="en-GB"/>
        </w:rPr>
        <w:t>(</w:t>
      </w:r>
      <w:r w:rsidR="000912A3" w:rsidRPr="003A6C85">
        <w:rPr>
          <w:rFonts w:ascii="Times New Roman" w:hAnsi="Times New Roman" w:cs="Times New Roman"/>
          <w:sz w:val="24"/>
          <w:szCs w:val="24"/>
          <w:lang w:val="en-GB"/>
        </w:rPr>
        <w:t>5</w:t>
      </w:r>
      <w:r w:rsidRPr="003A6C85">
        <w:rPr>
          <w:rFonts w:ascii="Times New Roman" w:hAnsi="Times New Roman" w:cs="Times New Roman"/>
          <w:sz w:val="24"/>
          <w:szCs w:val="24"/>
          <w:lang w:val="en-GB"/>
        </w:rPr>
        <w:t>)</w:t>
      </w:r>
    </w:p>
    <w:p w14:paraId="2DDDC641" w14:textId="77777777" w:rsidR="00045344" w:rsidRPr="003A6C85" w:rsidRDefault="00045344" w:rsidP="002A0C70">
      <w:pPr>
        <w:spacing w:before="240" w:after="0" w:line="240" w:lineRule="auto"/>
        <w:jc w:val="both"/>
        <w:rPr>
          <w:rFonts w:ascii="Times New Roman" w:hAnsi="Times New Roman" w:cs="Times New Roman"/>
          <w:sz w:val="24"/>
          <w:szCs w:val="24"/>
          <w:lang w:val="en-GB"/>
        </w:rPr>
      </w:pPr>
      <w:r w:rsidRPr="003A6C85">
        <w:rPr>
          <w:rFonts w:ascii="Times New Roman" w:hAnsi="Times New Roman" w:cs="Times New Roman"/>
          <w:sz w:val="24"/>
          <w:szCs w:val="24"/>
          <w:lang w:val="en-GB"/>
        </w:rPr>
        <w:t>where</w:t>
      </w:r>
      <w:r w:rsidR="00733994" w:rsidRPr="003A6C85">
        <w:rPr>
          <w:rFonts w:ascii="Times New Roman" w:hAnsi="Times New Roman" w:cs="Times New Roman"/>
          <w:sz w:val="24"/>
          <w:szCs w:val="24"/>
          <w:lang w:val="en-GB"/>
        </w:rPr>
        <w:t>:</w:t>
      </w:r>
      <w:r w:rsidRPr="003A6C85">
        <w:rPr>
          <w:rFonts w:ascii="Times New Roman" w:hAnsi="Times New Roman" w:cs="Times New Roman"/>
          <w:sz w:val="24"/>
          <w:szCs w:val="24"/>
          <w:lang w:val="en-GB"/>
        </w:rPr>
        <w:t xml:space="preserve"> n is the number of observations, SSE is the sum of squared errors, and k is the number of estimated parameters.</w:t>
      </w:r>
    </w:p>
    <w:p w14:paraId="300B830E" w14:textId="168CD51A" w:rsidR="00045344" w:rsidRPr="003A6C85" w:rsidRDefault="00045344" w:rsidP="002A0C70">
      <w:pPr>
        <w:pStyle w:val="Heading3"/>
        <w:spacing w:line="240" w:lineRule="auto"/>
        <w:rPr>
          <w:rFonts w:ascii="Times New Roman" w:hAnsi="Times New Roman" w:cs="Times New Roman"/>
          <w:b/>
          <w:bCs/>
          <w:color w:val="auto"/>
          <w:sz w:val="24"/>
          <w:szCs w:val="24"/>
          <w:lang w:val="en-GB"/>
        </w:rPr>
      </w:pPr>
      <w:bookmarkStart w:id="14" w:name="_Toc220325813"/>
      <w:r w:rsidRPr="003A6C85">
        <w:rPr>
          <w:rFonts w:ascii="Times New Roman" w:hAnsi="Times New Roman" w:cs="Times New Roman"/>
          <w:b/>
          <w:bCs/>
          <w:color w:val="auto"/>
          <w:sz w:val="24"/>
          <w:szCs w:val="24"/>
          <w:lang w:val="en-GB"/>
        </w:rPr>
        <w:t>3.</w:t>
      </w:r>
      <w:r w:rsidR="00B84E1A" w:rsidRPr="003A6C85">
        <w:rPr>
          <w:rFonts w:ascii="Times New Roman" w:hAnsi="Times New Roman" w:cs="Times New Roman"/>
          <w:b/>
          <w:bCs/>
          <w:color w:val="auto"/>
          <w:sz w:val="24"/>
          <w:szCs w:val="24"/>
          <w:lang w:val="en-GB"/>
        </w:rPr>
        <w:t>2</w:t>
      </w:r>
      <w:r w:rsidRPr="003A6C85">
        <w:rPr>
          <w:rFonts w:ascii="Times New Roman" w:hAnsi="Times New Roman" w:cs="Times New Roman"/>
          <w:b/>
          <w:bCs/>
          <w:color w:val="auto"/>
          <w:sz w:val="24"/>
          <w:szCs w:val="24"/>
          <w:lang w:val="en-GB"/>
        </w:rPr>
        <w:t xml:space="preserve">.4 Diagnostic </w:t>
      </w:r>
      <w:r w:rsidR="003A6C85" w:rsidRPr="003A6C85">
        <w:rPr>
          <w:rFonts w:ascii="Times New Roman" w:hAnsi="Times New Roman" w:cs="Times New Roman"/>
          <w:b/>
          <w:bCs/>
          <w:color w:val="auto"/>
          <w:sz w:val="24"/>
          <w:szCs w:val="24"/>
          <w:lang w:val="en-GB"/>
        </w:rPr>
        <w:t>testing and validation</w:t>
      </w:r>
      <w:bookmarkEnd w:id="14"/>
    </w:p>
    <w:p w14:paraId="44AF88F3" w14:textId="77777777" w:rsidR="00045344" w:rsidRPr="003A6C85" w:rsidRDefault="00045344" w:rsidP="002A0C70">
      <w:pPr>
        <w:spacing w:after="0" w:line="240" w:lineRule="auto"/>
        <w:jc w:val="both"/>
        <w:rPr>
          <w:rFonts w:ascii="Times New Roman" w:hAnsi="Times New Roman" w:cs="Times New Roman"/>
          <w:sz w:val="24"/>
          <w:szCs w:val="24"/>
          <w:lang w:val="en-GB"/>
        </w:rPr>
      </w:pPr>
      <w:r w:rsidRPr="003A6C85">
        <w:rPr>
          <w:rFonts w:ascii="Times New Roman" w:hAnsi="Times New Roman" w:cs="Times New Roman"/>
          <w:sz w:val="24"/>
          <w:szCs w:val="24"/>
          <w:lang w:val="en-GB"/>
        </w:rPr>
        <w:t>The adequacy of the selected model was evaluated through comprehensive diagnostic testing. The Shapiro-Wilk test was employed to assess the normality of residuals, with the null hypothesis that residuals follow a normal distribution. The test statistic W ranges from 0 to 1, with values close to 1 indicating normality. Residual autocorrelation was examined using the ACF of residuals. For a well-specified model, residuals should approximate white noise with all autocorrelations falling within the 95% confidence bounds (±1.96/√n). Additionally, residual statistics including mean (expected to be zero), standard deviation, skewness, and kurtosis were computed to assess distributional properties.</w:t>
      </w:r>
    </w:p>
    <w:p w14:paraId="1D25BC74" w14:textId="60B1D65D" w:rsidR="00045344" w:rsidRPr="003A6C85" w:rsidRDefault="00045344" w:rsidP="002A0C70">
      <w:pPr>
        <w:pStyle w:val="Heading3"/>
        <w:spacing w:line="240" w:lineRule="auto"/>
        <w:rPr>
          <w:rFonts w:ascii="Times New Roman" w:hAnsi="Times New Roman" w:cs="Times New Roman"/>
          <w:b/>
          <w:bCs/>
          <w:color w:val="auto"/>
          <w:sz w:val="24"/>
          <w:szCs w:val="24"/>
          <w:lang w:val="en-GB"/>
        </w:rPr>
      </w:pPr>
      <w:bookmarkStart w:id="15" w:name="_Toc220325814"/>
      <w:r w:rsidRPr="003A6C85">
        <w:rPr>
          <w:rFonts w:ascii="Times New Roman" w:hAnsi="Times New Roman" w:cs="Times New Roman"/>
          <w:b/>
          <w:bCs/>
          <w:color w:val="auto"/>
          <w:sz w:val="24"/>
          <w:szCs w:val="24"/>
          <w:lang w:val="en-GB"/>
        </w:rPr>
        <w:t xml:space="preserve">3.2.5 Forecasting </w:t>
      </w:r>
      <w:r w:rsidR="003A6C85" w:rsidRPr="003A6C85">
        <w:rPr>
          <w:rFonts w:ascii="Times New Roman" w:hAnsi="Times New Roman" w:cs="Times New Roman"/>
          <w:b/>
          <w:bCs/>
          <w:color w:val="auto"/>
          <w:sz w:val="24"/>
          <w:szCs w:val="24"/>
          <w:lang w:val="en-GB"/>
        </w:rPr>
        <w:t>procedure</w:t>
      </w:r>
      <w:bookmarkEnd w:id="15"/>
    </w:p>
    <w:p w14:paraId="4BBB7060" w14:textId="77777777" w:rsidR="00045344" w:rsidRPr="003A6C85" w:rsidRDefault="00045344" w:rsidP="002A0C70">
      <w:pPr>
        <w:spacing w:before="240" w:after="0" w:line="240" w:lineRule="auto"/>
        <w:jc w:val="both"/>
        <w:rPr>
          <w:rFonts w:ascii="Times New Roman" w:hAnsi="Times New Roman" w:cs="Times New Roman"/>
          <w:sz w:val="24"/>
          <w:szCs w:val="24"/>
          <w:lang w:val="en-GB"/>
        </w:rPr>
      </w:pPr>
      <w:r w:rsidRPr="003A6C85">
        <w:rPr>
          <w:rFonts w:ascii="Times New Roman" w:hAnsi="Times New Roman" w:cs="Times New Roman"/>
          <w:sz w:val="24"/>
          <w:szCs w:val="24"/>
          <w:lang w:val="en-GB"/>
        </w:rPr>
        <w:t xml:space="preserve">Using the validated ARIMA model, out-of-sample forecasts were generated for a six-year horizon (2025-2030). Point forecasts were computed recursively, with forecast values for period </w:t>
      </w:r>
      <m:oMath>
        <m:r>
          <w:rPr>
            <w:rFonts w:ascii="Cambria Math" w:hAnsi="Cambria Math" w:cs="Times New Roman"/>
            <w:sz w:val="24"/>
            <w:szCs w:val="24"/>
            <w:lang w:val="en-GB"/>
          </w:rPr>
          <m:t xml:space="preserve">t+h </m:t>
        </m:r>
      </m:oMath>
      <w:r w:rsidRPr="003A6C85">
        <w:rPr>
          <w:rFonts w:ascii="Times New Roman" w:hAnsi="Times New Roman" w:cs="Times New Roman"/>
          <w:sz w:val="24"/>
          <w:szCs w:val="24"/>
          <w:lang w:val="en-GB"/>
        </w:rPr>
        <w:t>obtained by substituting previous forecasts for unknown future values. The 95% confidence intervals were constructed as:</w:t>
      </w:r>
    </w:p>
    <w:p w14:paraId="70D30297" w14:textId="77777777" w:rsidR="00045344" w:rsidRPr="0076724E" w:rsidRDefault="002B68A8" w:rsidP="002A0C70">
      <w:pPr>
        <w:spacing w:before="240" w:after="0" w:line="240" w:lineRule="auto"/>
        <w:ind w:left="1440"/>
        <w:rPr>
          <w:rFonts w:ascii="Times New Roman" w:hAnsi="Times New Roman" w:cs="Times New Roman"/>
          <w:sz w:val="24"/>
          <w:szCs w:val="24"/>
          <w:lang w:val="en-GB"/>
        </w:rPr>
      </w:pP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CI</m:t>
            </m:r>
          </m:e>
          <m:sub>
            <m:r>
              <w:rPr>
                <w:rFonts w:ascii="Cambria Math" w:hAnsi="Cambria Math" w:cs="Times New Roman"/>
                <w:sz w:val="24"/>
                <w:szCs w:val="24"/>
                <w:lang w:val="en-GB"/>
              </w:rPr>
              <m:t>95%</m:t>
            </m:r>
          </m:sub>
        </m:sSub>
        <m:r>
          <w:rPr>
            <w:rFonts w:ascii="Cambria Math" w:hAnsi="Cambria Math" w:cs="Times New Roman"/>
            <w:sz w:val="24"/>
            <w:szCs w:val="24"/>
            <w:lang w:val="en-GB"/>
          </w:rPr>
          <m:t>=</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Ŷ</m:t>
            </m:r>
          </m:e>
          <m:sub>
            <m:r>
              <w:rPr>
                <w:rFonts w:ascii="Cambria Math" w:hAnsi="Cambria Math" w:cs="Times New Roman"/>
                <w:sz w:val="24"/>
                <w:szCs w:val="24"/>
                <w:lang w:val="en-GB"/>
              </w:rPr>
              <m:t>t</m:t>
            </m:r>
            <m:r>
              <w:rPr>
                <w:rFonts w:ascii="Cambria Math" w:hAnsi="Cambria Math" w:cs="Times New Roman"/>
                <w:sz w:val="24"/>
                <w:szCs w:val="24"/>
                <w:lang w:val="en-GB"/>
              </w:rPr>
              <m:t>+h</m:t>
            </m:r>
          </m:sub>
        </m:sSub>
        <m:r>
          <w:rPr>
            <w:rFonts w:ascii="Cambria Math" w:hAnsi="Cambria Math" w:cs="Times New Roman"/>
            <w:sz w:val="24"/>
            <w:szCs w:val="24"/>
            <w:lang w:val="en-GB"/>
          </w:rPr>
          <m:t>±1.96×</m:t>
        </m:r>
        <m:r>
          <w:rPr>
            <w:rFonts w:ascii="Cambria Math" w:hAnsi="Cambria Math" w:cs="Times New Roman"/>
            <w:sz w:val="24"/>
            <w:szCs w:val="24"/>
            <w:lang w:val="en-GB"/>
          </w:rPr>
          <m:t>σ</m:t>
        </m:r>
        <m:r>
          <w:rPr>
            <w:rFonts w:ascii="Cambria Math" w:hAnsi="Cambria Math" w:cs="Times New Roman"/>
            <w:sz w:val="24"/>
            <w:szCs w:val="24"/>
            <w:lang w:val="en-GB"/>
          </w:rPr>
          <m:t>×√h</m:t>
        </m:r>
      </m:oMath>
      <w:r w:rsidR="00045344" w:rsidRPr="0076724E">
        <w:rPr>
          <w:rFonts w:ascii="Times New Roman" w:hAnsi="Times New Roman" w:cs="Times New Roman"/>
          <w:sz w:val="24"/>
          <w:szCs w:val="24"/>
          <w:lang w:val="en-GB"/>
        </w:rPr>
        <w:t xml:space="preserve"> </w:t>
      </w:r>
      <w:r w:rsidR="00045344" w:rsidRPr="0076724E">
        <w:rPr>
          <w:rFonts w:ascii="Times New Roman" w:hAnsi="Times New Roman" w:cs="Times New Roman"/>
          <w:sz w:val="24"/>
          <w:szCs w:val="24"/>
          <w:lang w:val="en-GB"/>
        </w:rPr>
        <w:tab/>
      </w:r>
      <w:r w:rsidR="00045344" w:rsidRPr="0076724E">
        <w:rPr>
          <w:rFonts w:ascii="Times New Roman" w:hAnsi="Times New Roman" w:cs="Times New Roman"/>
          <w:sz w:val="24"/>
          <w:szCs w:val="24"/>
          <w:lang w:val="en-GB"/>
        </w:rPr>
        <w:tab/>
      </w:r>
      <w:r w:rsidR="00045344" w:rsidRPr="0076724E">
        <w:rPr>
          <w:rFonts w:ascii="Times New Roman" w:hAnsi="Times New Roman" w:cs="Times New Roman"/>
          <w:sz w:val="24"/>
          <w:szCs w:val="24"/>
          <w:lang w:val="en-GB"/>
        </w:rPr>
        <w:tab/>
      </w:r>
      <w:r w:rsidR="000912A3" w:rsidRPr="0076724E">
        <w:rPr>
          <w:rFonts w:ascii="Times New Roman" w:hAnsi="Times New Roman" w:cs="Times New Roman"/>
          <w:sz w:val="24"/>
          <w:szCs w:val="24"/>
          <w:lang w:val="en-GB"/>
        </w:rPr>
        <w:t xml:space="preserve">           </w:t>
      </w:r>
      <w:r w:rsidR="00045344" w:rsidRPr="0076724E">
        <w:rPr>
          <w:rFonts w:ascii="Times New Roman" w:hAnsi="Times New Roman" w:cs="Times New Roman"/>
          <w:sz w:val="24"/>
          <w:szCs w:val="24"/>
          <w:lang w:val="en-GB"/>
        </w:rPr>
        <w:t>(</w:t>
      </w:r>
      <w:r w:rsidR="000912A3" w:rsidRPr="0076724E">
        <w:rPr>
          <w:rFonts w:ascii="Times New Roman" w:hAnsi="Times New Roman" w:cs="Times New Roman"/>
          <w:sz w:val="24"/>
          <w:szCs w:val="24"/>
          <w:lang w:val="en-GB"/>
        </w:rPr>
        <w:t>6</w:t>
      </w:r>
      <w:r w:rsidR="00045344" w:rsidRPr="0076724E">
        <w:rPr>
          <w:rFonts w:ascii="Times New Roman" w:hAnsi="Times New Roman" w:cs="Times New Roman"/>
          <w:sz w:val="24"/>
          <w:szCs w:val="24"/>
          <w:lang w:val="en-GB"/>
        </w:rPr>
        <w:t>)</w:t>
      </w:r>
    </w:p>
    <w:p w14:paraId="6A175463" w14:textId="77777777" w:rsidR="00045344" w:rsidRPr="0076724E" w:rsidRDefault="00B84E1A" w:rsidP="002A0C70">
      <w:pPr>
        <w:spacing w:before="240" w:after="0" w:line="240" w:lineRule="auto"/>
        <w:jc w:val="both"/>
        <w:rPr>
          <w:rFonts w:ascii="Times New Roman" w:hAnsi="Times New Roman" w:cs="Times New Roman"/>
          <w:sz w:val="24"/>
          <w:szCs w:val="24"/>
          <w:lang w:val="en-GB"/>
        </w:rPr>
      </w:pPr>
      <w:r w:rsidRPr="0076724E">
        <w:rPr>
          <w:rFonts w:ascii="Times New Roman" w:hAnsi="Times New Roman" w:cs="Times New Roman"/>
          <w:b/>
          <w:bCs/>
          <w:sz w:val="24"/>
          <w:szCs w:val="24"/>
          <w:lang w:val="en-GB"/>
        </w:rPr>
        <w:lastRenderedPageBreak/>
        <w:t>wh</w:t>
      </w:r>
      <w:r w:rsidR="00045344" w:rsidRPr="0076724E">
        <w:rPr>
          <w:rFonts w:ascii="Times New Roman" w:hAnsi="Times New Roman" w:cs="Times New Roman"/>
          <w:b/>
          <w:bCs/>
          <w:sz w:val="24"/>
          <w:szCs w:val="24"/>
          <w:lang w:val="en-GB"/>
        </w:rPr>
        <w:t>ere</w:t>
      </w:r>
      <w:r w:rsidRPr="0076724E">
        <w:rPr>
          <w:rFonts w:ascii="Times New Roman" w:hAnsi="Times New Roman" w:cs="Times New Roman"/>
          <w:b/>
          <w:bCs/>
          <w:sz w:val="24"/>
          <w:szCs w:val="24"/>
          <w:lang w:val="en-GB"/>
        </w:rPr>
        <w:t>:</w:t>
      </w:r>
      <w:r w:rsidR="00045344" w:rsidRPr="0076724E">
        <w:rPr>
          <w:rFonts w:ascii="Times New Roman" w:hAnsi="Times New Roman" w:cs="Times New Roman"/>
          <w:sz w:val="24"/>
          <w:szCs w:val="24"/>
          <w:lang w:val="en-GB"/>
        </w:rPr>
        <w:t xml:space="preserve"> </w:t>
      </w:r>
      <w:proofErr w:type="spellStart"/>
      <w:r w:rsidR="00045344" w:rsidRPr="0076724E">
        <w:rPr>
          <w:rFonts w:ascii="Times New Roman" w:hAnsi="Times New Roman" w:cs="Times New Roman"/>
          <w:sz w:val="24"/>
          <w:szCs w:val="24"/>
          <w:lang w:val="en-GB"/>
        </w:rPr>
        <w:t>Ŷ</w:t>
      </w:r>
      <w:r w:rsidR="00045344" w:rsidRPr="0076724E">
        <w:rPr>
          <w:rFonts w:ascii="Times New Roman" w:hAnsi="Times New Roman" w:cs="Times New Roman"/>
          <w:i/>
          <w:iCs/>
          <w:sz w:val="24"/>
          <w:szCs w:val="24"/>
          <w:vertAlign w:val="subscript"/>
          <w:lang w:val="en-GB"/>
        </w:rPr>
        <w:t>t+h</w:t>
      </w:r>
      <w:proofErr w:type="spellEnd"/>
      <w:r w:rsidR="00045344" w:rsidRPr="0076724E">
        <w:rPr>
          <w:rFonts w:ascii="Times New Roman" w:hAnsi="Times New Roman" w:cs="Times New Roman"/>
          <w:sz w:val="24"/>
          <w:szCs w:val="24"/>
          <w:lang w:val="en-GB"/>
        </w:rPr>
        <w:t xml:space="preserve"> is the point forecast, σ is the residual standard deviation, and </w:t>
      </w:r>
      <w:r w:rsidR="00045344" w:rsidRPr="0076724E">
        <w:rPr>
          <w:rFonts w:ascii="Times New Roman" w:hAnsi="Times New Roman" w:cs="Times New Roman"/>
          <w:i/>
          <w:iCs/>
          <w:sz w:val="24"/>
          <w:szCs w:val="24"/>
          <w:lang w:val="en-GB"/>
        </w:rPr>
        <w:t>h</w:t>
      </w:r>
      <w:r w:rsidR="00045344" w:rsidRPr="0076724E">
        <w:rPr>
          <w:rFonts w:ascii="Times New Roman" w:hAnsi="Times New Roman" w:cs="Times New Roman"/>
          <w:sz w:val="24"/>
          <w:szCs w:val="24"/>
          <w:lang w:val="en-GB"/>
        </w:rPr>
        <w:t xml:space="preserve"> is the forecast horizon. The widening confidence intervals reflect increasing uncertainty with longer forecast horizons.</w:t>
      </w:r>
    </w:p>
    <w:p w14:paraId="1C0D4BC9" w14:textId="77777777" w:rsidR="00045344" w:rsidRPr="0076724E" w:rsidRDefault="00045344" w:rsidP="002A0C70">
      <w:pPr>
        <w:pStyle w:val="Heading1"/>
        <w:numPr>
          <w:ilvl w:val="0"/>
          <w:numId w:val="2"/>
        </w:numPr>
        <w:spacing w:line="240" w:lineRule="auto"/>
        <w:rPr>
          <w:rFonts w:ascii="Times New Roman" w:hAnsi="Times New Roman" w:cs="Times New Roman"/>
          <w:b/>
          <w:bCs/>
          <w:color w:val="auto"/>
          <w:sz w:val="24"/>
          <w:szCs w:val="24"/>
          <w:lang w:val="en-GB"/>
        </w:rPr>
      </w:pPr>
      <w:bookmarkStart w:id="16" w:name="_Toc220325815"/>
      <w:r w:rsidRPr="0076724E">
        <w:rPr>
          <w:rFonts w:ascii="Times New Roman" w:hAnsi="Times New Roman" w:cs="Times New Roman"/>
          <w:b/>
          <w:bCs/>
          <w:color w:val="auto"/>
          <w:sz w:val="24"/>
          <w:szCs w:val="24"/>
          <w:lang w:val="en-GB"/>
        </w:rPr>
        <w:t>Results</w:t>
      </w:r>
      <w:bookmarkEnd w:id="16"/>
    </w:p>
    <w:p w14:paraId="45210E20" w14:textId="79465A0C" w:rsidR="00045344" w:rsidRPr="0076724E" w:rsidRDefault="00B84E1A" w:rsidP="002A0C70">
      <w:pPr>
        <w:pStyle w:val="Heading2"/>
        <w:spacing w:line="240" w:lineRule="auto"/>
        <w:rPr>
          <w:rFonts w:ascii="Times New Roman" w:hAnsi="Times New Roman" w:cs="Times New Roman"/>
          <w:b/>
          <w:bCs/>
          <w:color w:val="auto"/>
          <w:sz w:val="24"/>
          <w:szCs w:val="24"/>
          <w:lang w:val="en-GB"/>
        </w:rPr>
      </w:pPr>
      <w:bookmarkStart w:id="17" w:name="_Toc220325816"/>
      <w:r w:rsidRPr="0076724E">
        <w:rPr>
          <w:rFonts w:ascii="Times New Roman" w:hAnsi="Times New Roman" w:cs="Times New Roman"/>
          <w:b/>
          <w:bCs/>
          <w:color w:val="auto"/>
          <w:sz w:val="24"/>
          <w:szCs w:val="24"/>
          <w:lang w:val="en-GB"/>
        </w:rPr>
        <w:t>4</w:t>
      </w:r>
      <w:r w:rsidR="00045344" w:rsidRPr="0076724E">
        <w:rPr>
          <w:rFonts w:ascii="Times New Roman" w:hAnsi="Times New Roman" w:cs="Times New Roman"/>
          <w:b/>
          <w:bCs/>
          <w:color w:val="auto"/>
          <w:sz w:val="24"/>
          <w:szCs w:val="24"/>
          <w:lang w:val="en-GB"/>
        </w:rPr>
        <w:t xml:space="preserve">.1 Descriptive </w:t>
      </w:r>
      <w:r w:rsidR="003A6C85" w:rsidRPr="003A6C85">
        <w:rPr>
          <w:rFonts w:ascii="Times New Roman" w:hAnsi="Times New Roman" w:cs="Times New Roman"/>
          <w:b/>
          <w:bCs/>
          <w:color w:val="auto"/>
          <w:sz w:val="24"/>
          <w:szCs w:val="24"/>
          <w:lang w:val="en-GB"/>
        </w:rPr>
        <w:t>analysis of cassava trade performance</w:t>
      </w:r>
      <w:bookmarkEnd w:id="17"/>
    </w:p>
    <w:p w14:paraId="2027ACA1" w14:textId="77777777" w:rsidR="00045344" w:rsidRPr="0076724E" w:rsidRDefault="00045344" w:rsidP="002A0C70">
      <w:pPr>
        <w:spacing w:after="0" w:line="240" w:lineRule="auto"/>
        <w:jc w:val="both"/>
        <w:rPr>
          <w:rFonts w:ascii="Times New Roman" w:hAnsi="Times New Roman" w:cs="Times New Roman"/>
          <w:sz w:val="24"/>
          <w:szCs w:val="24"/>
          <w:lang w:val="en-GB"/>
        </w:rPr>
      </w:pPr>
      <w:r w:rsidRPr="0076724E">
        <w:rPr>
          <w:rFonts w:ascii="Times New Roman" w:hAnsi="Times New Roman" w:cs="Times New Roman"/>
          <w:sz w:val="24"/>
          <w:szCs w:val="24"/>
          <w:lang w:val="en-GB"/>
        </w:rPr>
        <w:t>Table 1 presents the summary statistics of Tanzania's cassava net export performance across four historical eras post-independence (i.e. from 1961 to 2024). The results reveal a remarkable transformation in the country's cassava trade position over the 64-year period.</w:t>
      </w:r>
    </w:p>
    <w:p w14:paraId="2D166F83" w14:textId="76E621F8" w:rsidR="00045344" w:rsidRPr="0076724E" w:rsidRDefault="00045344" w:rsidP="002A0C70">
      <w:pPr>
        <w:pStyle w:val="Caption"/>
        <w:spacing w:before="240"/>
        <w:jc w:val="both"/>
        <w:rPr>
          <w:rFonts w:ascii="Times New Roman" w:hAnsi="Times New Roman" w:cs="Times New Roman"/>
          <w:b/>
          <w:bCs/>
          <w:i w:val="0"/>
          <w:iCs w:val="0"/>
          <w:color w:val="auto"/>
          <w:sz w:val="24"/>
          <w:szCs w:val="24"/>
          <w:lang w:val="en-GB"/>
        </w:rPr>
      </w:pPr>
      <w:r w:rsidRPr="0076724E">
        <w:rPr>
          <w:rFonts w:ascii="Times New Roman" w:hAnsi="Times New Roman" w:cs="Times New Roman"/>
          <w:b/>
          <w:bCs/>
          <w:i w:val="0"/>
          <w:iCs w:val="0"/>
          <w:color w:val="auto"/>
          <w:sz w:val="24"/>
          <w:szCs w:val="24"/>
        </w:rPr>
        <w:t xml:space="preserve">Table 1: Summary </w:t>
      </w:r>
      <w:r w:rsidR="003A6C85" w:rsidRPr="003A6C85">
        <w:rPr>
          <w:rFonts w:ascii="Times New Roman" w:hAnsi="Times New Roman" w:cs="Times New Roman"/>
          <w:b/>
          <w:bCs/>
          <w:i w:val="0"/>
          <w:iCs w:val="0"/>
          <w:color w:val="auto"/>
          <w:sz w:val="24"/>
          <w:szCs w:val="24"/>
        </w:rPr>
        <w:t xml:space="preserve">statistics of cassava net export by historical era </w:t>
      </w:r>
      <w:r w:rsidRPr="0076724E">
        <w:rPr>
          <w:rFonts w:ascii="Times New Roman" w:hAnsi="Times New Roman" w:cs="Times New Roman"/>
          <w:b/>
          <w:bCs/>
          <w:i w:val="0"/>
          <w:iCs w:val="0"/>
          <w:color w:val="auto"/>
          <w:sz w:val="24"/>
          <w:szCs w:val="24"/>
        </w:rPr>
        <w:t>(1961-2024)</w:t>
      </w:r>
    </w:p>
    <w:tbl>
      <w:tblPr>
        <w:tblStyle w:val="PlainTable2"/>
        <w:tblW w:w="5000" w:type="pct"/>
        <w:tblLook w:val="06A0" w:firstRow="1" w:lastRow="0" w:firstColumn="1" w:lastColumn="0" w:noHBand="1" w:noVBand="1"/>
      </w:tblPr>
      <w:tblGrid>
        <w:gridCol w:w="2829"/>
        <w:gridCol w:w="929"/>
        <w:gridCol w:w="1458"/>
        <w:gridCol w:w="1458"/>
        <w:gridCol w:w="1435"/>
        <w:gridCol w:w="1251"/>
      </w:tblGrid>
      <w:tr w:rsidR="005E494A" w:rsidRPr="0076724E" w14:paraId="6ABC362A" w14:textId="77777777" w:rsidTr="008018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dxa"/>
            <w:tcBorders>
              <w:top w:val="single" w:sz="4" w:space="0" w:color="7F7F7F" w:themeColor="text1" w:themeTint="80"/>
              <w:left w:val="nil"/>
              <w:right w:val="nil"/>
            </w:tcBorders>
            <w:hideMark/>
          </w:tcPr>
          <w:p w14:paraId="50C0B1F5" w14:textId="77777777" w:rsidR="00045344" w:rsidRPr="0076724E" w:rsidRDefault="00045344" w:rsidP="002A0C70">
            <w:pPr>
              <w:jc w:val="both"/>
              <w:rPr>
                <w:rFonts w:ascii="Times New Roman" w:hAnsi="Times New Roman" w:cs="Times New Roman"/>
              </w:rPr>
            </w:pPr>
            <w:r w:rsidRPr="0076724E">
              <w:rPr>
                <w:rFonts w:ascii="Times New Roman" w:hAnsi="Times New Roman" w:cs="Times New Roman"/>
              </w:rPr>
              <w:t>Period</w:t>
            </w:r>
          </w:p>
        </w:tc>
        <w:tc>
          <w:tcPr>
            <w:tcW w:w="1000" w:type="dxa"/>
            <w:tcBorders>
              <w:top w:val="single" w:sz="4" w:space="0" w:color="7F7F7F" w:themeColor="text1" w:themeTint="80"/>
              <w:left w:val="nil"/>
              <w:right w:val="nil"/>
            </w:tcBorders>
            <w:hideMark/>
          </w:tcPr>
          <w:p w14:paraId="0B77D4C8" w14:textId="77777777" w:rsidR="00045344" w:rsidRPr="0076724E" w:rsidRDefault="00045344" w:rsidP="002A0C7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N</w:t>
            </w:r>
          </w:p>
        </w:tc>
        <w:tc>
          <w:tcPr>
            <w:tcW w:w="1500" w:type="dxa"/>
            <w:tcBorders>
              <w:top w:val="single" w:sz="4" w:space="0" w:color="7F7F7F" w:themeColor="text1" w:themeTint="80"/>
              <w:left w:val="nil"/>
              <w:right w:val="nil"/>
            </w:tcBorders>
            <w:hideMark/>
          </w:tcPr>
          <w:p w14:paraId="0F2AA8CB" w14:textId="77777777" w:rsidR="00045344" w:rsidRPr="0076724E" w:rsidRDefault="00045344" w:rsidP="002A0C7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Mean (MT)</w:t>
            </w:r>
          </w:p>
        </w:tc>
        <w:tc>
          <w:tcPr>
            <w:tcW w:w="1500" w:type="dxa"/>
            <w:tcBorders>
              <w:top w:val="single" w:sz="4" w:space="0" w:color="7F7F7F" w:themeColor="text1" w:themeTint="80"/>
              <w:left w:val="nil"/>
              <w:right w:val="nil"/>
            </w:tcBorders>
            <w:hideMark/>
          </w:tcPr>
          <w:p w14:paraId="729A26B2" w14:textId="77777777" w:rsidR="00045344" w:rsidRPr="0076724E" w:rsidRDefault="00045344" w:rsidP="002A0C7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Std. Dev.</w:t>
            </w:r>
          </w:p>
        </w:tc>
        <w:tc>
          <w:tcPr>
            <w:tcW w:w="1500" w:type="dxa"/>
            <w:tcBorders>
              <w:top w:val="single" w:sz="4" w:space="0" w:color="7F7F7F" w:themeColor="text1" w:themeTint="80"/>
              <w:left w:val="nil"/>
              <w:right w:val="nil"/>
            </w:tcBorders>
            <w:hideMark/>
          </w:tcPr>
          <w:p w14:paraId="1ECB6849" w14:textId="77777777" w:rsidR="00045344" w:rsidRPr="0076724E" w:rsidRDefault="00045344" w:rsidP="002A0C7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Total (MT)</w:t>
            </w:r>
          </w:p>
        </w:tc>
        <w:tc>
          <w:tcPr>
            <w:tcW w:w="1300" w:type="dxa"/>
            <w:tcBorders>
              <w:top w:val="single" w:sz="4" w:space="0" w:color="7F7F7F" w:themeColor="text1" w:themeTint="80"/>
              <w:left w:val="nil"/>
              <w:right w:val="nil"/>
            </w:tcBorders>
            <w:hideMark/>
          </w:tcPr>
          <w:p w14:paraId="7C6C8877" w14:textId="77777777" w:rsidR="00045344" w:rsidRPr="0076724E" w:rsidRDefault="00045344" w:rsidP="002A0C7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CAGR (%)</w:t>
            </w:r>
          </w:p>
        </w:tc>
      </w:tr>
      <w:tr w:rsidR="00045344" w:rsidRPr="0076724E" w14:paraId="360F736E" w14:textId="77777777" w:rsidTr="00801848">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5176C9B1" w14:textId="77777777" w:rsidR="00045344" w:rsidRPr="0076724E" w:rsidRDefault="00045344" w:rsidP="0076724E">
            <w:pPr>
              <w:jc w:val="both"/>
              <w:rPr>
                <w:rFonts w:ascii="Times New Roman" w:hAnsi="Times New Roman" w:cs="Times New Roman"/>
                <w:b w:val="0"/>
                <w:bCs w:val="0"/>
              </w:rPr>
            </w:pPr>
            <w:r w:rsidRPr="0076724E">
              <w:rPr>
                <w:rFonts w:ascii="Times New Roman" w:hAnsi="Times New Roman" w:cs="Times New Roman"/>
                <w:b w:val="0"/>
                <w:bCs w:val="0"/>
              </w:rPr>
              <w:t>Pre-SAP (1961-1985)</w:t>
            </w:r>
          </w:p>
        </w:tc>
        <w:tc>
          <w:tcPr>
            <w:tcW w:w="0" w:type="auto"/>
            <w:tcBorders>
              <w:top w:val="nil"/>
              <w:left w:val="nil"/>
              <w:bottom w:val="nil"/>
              <w:right w:val="nil"/>
            </w:tcBorders>
            <w:hideMark/>
          </w:tcPr>
          <w:p w14:paraId="55245C5F" w14:textId="77777777" w:rsidR="00045344" w:rsidRPr="0076724E" w:rsidRDefault="00045344" w:rsidP="0076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25</w:t>
            </w:r>
          </w:p>
        </w:tc>
        <w:tc>
          <w:tcPr>
            <w:tcW w:w="0" w:type="auto"/>
            <w:tcBorders>
              <w:top w:val="nil"/>
              <w:left w:val="nil"/>
              <w:bottom w:val="nil"/>
              <w:right w:val="nil"/>
            </w:tcBorders>
            <w:hideMark/>
          </w:tcPr>
          <w:p w14:paraId="6EF896E1" w14:textId="77777777" w:rsidR="00045344" w:rsidRPr="0076724E" w:rsidRDefault="00045344" w:rsidP="0076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127.48</w:t>
            </w:r>
          </w:p>
        </w:tc>
        <w:tc>
          <w:tcPr>
            <w:tcW w:w="0" w:type="auto"/>
            <w:tcBorders>
              <w:top w:val="nil"/>
              <w:left w:val="nil"/>
              <w:bottom w:val="nil"/>
              <w:right w:val="nil"/>
            </w:tcBorders>
            <w:hideMark/>
          </w:tcPr>
          <w:p w14:paraId="51C124EE" w14:textId="77777777" w:rsidR="00045344" w:rsidRPr="0076724E" w:rsidRDefault="00045344" w:rsidP="0076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45.12</w:t>
            </w:r>
          </w:p>
        </w:tc>
        <w:tc>
          <w:tcPr>
            <w:tcW w:w="0" w:type="auto"/>
            <w:tcBorders>
              <w:top w:val="nil"/>
              <w:left w:val="nil"/>
              <w:bottom w:val="nil"/>
              <w:right w:val="nil"/>
            </w:tcBorders>
            <w:hideMark/>
          </w:tcPr>
          <w:p w14:paraId="79B2AD94" w14:textId="77777777" w:rsidR="00045344" w:rsidRPr="0076724E" w:rsidRDefault="00045344" w:rsidP="0076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3,187</w:t>
            </w:r>
          </w:p>
        </w:tc>
        <w:tc>
          <w:tcPr>
            <w:tcW w:w="0" w:type="auto"/>
            <w:tcBorders>
              <w:top w:val="nil"/>
              <w:left w:val="nil"/>
              <w:bottom w:val="nil"/>
              <w:right w:val="nil"/>
            </w:tcBorders>
            <w:hideMark/>
          </w:tcPr>
          <w:p w14:paraId="56B9EEEA" w14:textId="77777777" w:rsidR="00045344" w:rsidRPr="0076724E" w:rsidRDefault="00045344" w:rsidP="0076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5.23</w:t>
            </w:r>
          </w:p>
        </w:tc>
      </w:tr>
      <w:tr w:rsidR="00045344" w:rsidRPr="0076724E" w14:paraId="6CC59B22" w14:textId="77777777" w:rsidTr="00801848">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09CC166F" w14:textId="77777777" w:rsidR="00045344" w:rsidRPr="0076724E" w:rsidRDefault="00045344" w:rsidP="0076724E">
            <w:pPr>
              <w:jc w:val="both"/>
              <w:rPr>
                <w:rFonts w:ascii="Times New Roman" w:hAnsi="Times New Roman" w:cs="Times New Roman"/>
                <w:b w:val="0"/>
                <w:bCs w:val="0"/>
              </w:rPr>
            </w:pPr>
            <w:r w:rsidRPr="0076724E">
              <w:rPr>
                <w:rFonts w:ascii="Times New Roman" w:hAnsi="Times New Roman" w:cs="Times New Roman"/>
                <w:b w:val="0"/>
                <w:bCs w:val="0"/>
              </w:rPr>
              <w:t>SAP Period (1986-1995)</w:t>
            </w:r>
          </w:p>
        </w:tc>
        <w:tc>
          <w:tcPr>
            <w:tcW w:w="0" w:type="auto"/>
            <w:tcBorders>
              <w:top w:val="nil"/>
              <w:left w:val="nil"/>
              <w:bottom w:val="nil"/>
              <w:right w:val="nil"/>
            </w:tcBorders>
            <w:hideMark/>
          </w:tcPr>
          <w:p w14:paraId="75856122" w14:textId="77777777" w:rsidR="00045344" w:rsidRPr="0076724E" w:rsidRDefault="00045344" w:rsidP="0076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10</w:t>
            </w:r>
          </w:p>
        </w:tc>
        <w:tc>
          <w:tcPr>
            <w:tcW w:w="0" w:type="auto"/>
            <w:tcBorders>
              <w:top w:val="nil"/>
              <w:left w:val="nil"/>
              <w:bottom w:val="nil"/>
              <w:right w:val="nil"/>
            </w:tcBorders>
            <w:hideMark/>
          </w:tcPr>
          <w:p w14:paraId="18EC5A21" w14:textId="77777777" w:rsidR="00045344" w:rsidRPr="0076724E" w:rsidRDefault="00045344" w:rsidP="0076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353.10</w:t>
            </w:r>
          </w:p>
        </w:tc>
        <w:tc>
          <w:tcPr>
            <w:tcW w:w="0" w:type="auto"/>
            <w:tcBorders>
              <w:top w:val="nil"/>
              <w:left w:val="nil"/>
              <w:bottom w:val="nil"/>
              <w:right w:val="nil"/>
            </w:tcBorders>
            <w:hideMark/>
          </w:tcPr>
          <w:p w14:paraId="3E4A525F" w14:textId="77777777" w:rsidR="00045344" w:rsidRPr="0076724E" w:rsidRDefault="00045344" w:rsidP="0076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89.44</w:t>
            </w:r>
          </w:p>
        </w:tc>
        <w:tc>
          <w:tcPr>
            <w:tcW w:w="0" w:type="auto"/>
            <w:tcBorders>
              <w:top w:val="nil"/>
              <w:left w:val="nil"/>
              <w:bottom w:val="nil"/>
              <w:right w:val="nil"/>
            </w:tcBorders>
            <w:hideMark/>
          </w:tcPr>
          <w:p w14:paraId="4446CAB2" w14:textId="77777777" w:rsidR="00045344" w:rsidRPr="0076724E" w:rsidRDefault="00045344" w:rsidP="0076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3,531</w:t>
            </w:r>
          </w:p>
        </w:tc>
        <w:tc>
          <w:tcPr>
            <w:tcW w:w="0" w:type="auto"/>
            <w:tcBorders>
              <w:top w:val="nil"/>
              <w:left w:val="nil"/>
              <w:bottom w:val="nil"/>
              <w:right w:val="nil"/>
            </w:tcBorders>
            <w:hideMark/>
          </w:tcPr>
          <w:p w14:paraId="6ADAF3BD" w14:textId="77777777" w:rsidR="00045344" w:rsidRPr="0076724E" w:rsidRDefault="00045344" w:rsidP="0076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10.72</w:t>
            </w:r>
          </w:p>
        </w:tc>
      </w:tr>
      <w:tr w:rsidR="00045344" w:rsidRPr="0076724E" w14:paraId="5F329580" w14:textId="77777777" w:rsidTr="00801848">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73DD62C1" w14:textId="749B60AB" w:rsidR="00045344" w:rsidRPr="0076724E" w:rsidRDefault="00045344" w:rsidP="0076724E">
            <w:pPr>
              <w:jc w:val="both"/>
              <w:rPr>
                <w:rFonts w:ascii="Times New Roman" w:hAnsi="Times New Roman" w:cs="Times New Roman"/>
                <w:b w:val="0"/>
                <w:bCs w:val="0"/>
              </w:rPr>
            </w:pPr>
            <w:r w:rsidRPr="0076724E">
              <w:rPr>
                <w:rFonts w:ascii="Times New Roman" w:hAnsi="Times New Roman" w:cs="Times New Roman"/>
                <w:b w:val="0"/>
                <w:bCs w:val="0"/>
              </w:rPr>
              <w:t>Liberali</w:t>
            </w:r>
            <w:r w:rsidR="00D75953">
              <w:rPr>
                <w:rFonts w:ascii="Times New Roman" w:hAnsi="Times New Roman" w:cs="Times New Roman"/>
                <w:b w:val="0"/>
                <w:bCs w:val="0"/>
              </w:rPr>
              <w:t>s</w:t>
            </w:r>
            <w:r w:rsidRPr="0076724E">
              <w:rPr>
                <w:rFonts w:ascii="Times New Roman" w:hAnsi="Times New Roman" w:cs="Times New Roman"/>
                <w:b w:val="0"/>
                <w:bCs w:val="0"/>
              </w:rPr>
              <w:t>ation (1996-2010)</w:t>
            </w:r>
          </w:p>
        </w:tc>
        <w:tc>
          <w:tcPr>
            <w:tcW w:w="0" w:type="auto"/>
            <w:tcBorders>
              <w:top w:val="nil"/>
              <w:left w:val="nil"/>
              <w:bottom w:val="nil"/>
              <w:right w:val="nil"/>
            </w:tcBorders>
            <w:hideMark/>
          </w:tcPr>
          <w:p w14:paraId="0F228C9D" w14:textId="77777777" w:rsidR="00045344" w:rsidRPr="0076724E" w:rsidRDefault="00045344" w:rsidP="0076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15</w:t>
            </w:r>
          </w:p>
        </w:tc>
        <w:tc>
          <w:tcPr>
            <w:tcW w:w="0" w:type="auto"/>
            <w:tcBorders>
              <w:top w:val="nil"/>
              <w:left w:val="nil"/>
              <w:bottom w:val="nil"/>
              <w:right w:val="nil"/>
            </w:tcBorders>
            <w:hideMark/>
          </w:tcPr>
          <w:p w14:paraId="3B79184F" w14:textId="77777777" w:rsidR="00045344" w:rsidRPr="0076724E" w:rsidRDefault="00045344" w:rsidP="0076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1,332.13</w:t>
            </w:r>
          </w:p>
        </w:tc>
        <w:tc>
          <w:tcPr>
            <w:tcW w:w="0" w:type="auto"/>
            <w:tcBorders>
              <w:top w:val="nil"/>
              <w:left w:val="nil"/>
              <w:bottom w:val="nil"/>
              <w:right w:val="nil"/>
            </w:tcBorders>
            <w:hideMark/>
          </w:tcPr>
          <w:p w14:paraId="2FA66E29" w14:textId="77777777" w:rsidR="00045344" w:rsidRPr="0076724E" w:rsidRDefault="00045344" w:rsidP="0076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555.89</w:t>
            </w:r>
          </w:p>
        </w:tc>
        <w:tc>
          <w:tcPr>
            <w:tcW w:w="0" w:type="auto"/>
            <w:tcBorders>
              <w:top w:val="nil"/>
              <w:left w:val="nil"/>
              <w:bottom w:val="nil"/>
              <w:right w:val="nil"/>
            </w:tcBorders>
            <w:hideMark/>
          </w:tcPr>
          <w:p w14:paraId="1EDCDE1C" w14:textId="77777777" w:rsidR="00045344" w:rsidRPr="0076724E" w:rsidRDefault="00045344" w:rsidP="0076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19,982</w:t>
            </w:r>
          </w:p>
        </w:tc>
        <w:tc>
          <w:tcPr>
            <w:tcW w:w="0" w:type="auto"/>
            <w:tcBorders>
              <w:top w:val="nil"/>
              <w:left w:val="nil"/>
              <w:bottom w:val="nil"/>
              <w:right w:val="nil"/>
            </w:tcBorders>
            <w:hideMark/>
          </w:tcPr>
          <w:p w14:paraId="1A418907" w14:textId="77777777" w:rsidR="00045344" w:rsidRPr="0076724E" w:rsidRDefault="00045344" w:rsidP="0076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11.00</w:t>
            </w:r>
          </w:p>
        </w:tc>
      </w:tr>
      <w:tr w:rsidR="00045344" w:rsidRPr="0076724E" w14:paraId="111FFCB8" w14:textId="77777777" w:rsidTr="00801848">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329E460A" w14:textId="77777777" w:rsidR="00045344" w:rsidRPr="0076724E" w:rsidRDefault="00045344" w:rsidP="0076724E">
            <w:pPr>
              <w:jc w:val="both"/>
              <w:rPr>
                <w:rFonts w:ascii="Times New Roman" w:hAnsi="Times New Roman" w:cs="Times New Roman"/>
                <w:b w:val="0"/>
                <w:bCs w:val="0"/>
              </w:rPr>
            </w:pPr>
            <w:r w:rsidRPr="0076724E">
              <w:rPr>
                <w:rFonts w:ascii="Times New Roman" w:hAnsi="Times New Roman" w:cs="Times New Roman"/>
                <w:b w:val="0"/>
                <w:bCs w:val="0"/>
              </w:rPr>
              <w:t>Modern Growth (2011-2024)</w:t>
            </w:r>
          </w:p>
        </w:tc>
        <w:tc>
          <w:tcPr>
            <w:tcW w:w="0" w:type="auto"/>
            <w:tcBorders>
              <w:top w:val="nil"/>
              <w:left w:val="nil"/>
              <w:bottom w:val="nil"/>
              <w:right w:val="nil"/>
            </w:tcBorders>
            <w:hideMark/>
          </w:tcPr>
          <w:p w14:paraId="7CF1AEBE" w14:textId="77777777" w:rsidR="00045344" w:rsidRPr="0076724E" w:rsidRDefault="00045344" w:rsidP="0076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14</w:t>
            </w:r>
          </w:p>
        </w:tc>
        <w:tc>
          <w:tcPr>
            <w:tcW w:w="0" w:type="auto"/>
            <w:tcBorders>
              <w:top w:val="nil"/>
              <w:left w:val="nil"/>
              <w:bottom w:val="nil"/>
              <w:right w:val="nil"/>
            </w:tcBorders>
            <w:hideMark/>
          </w:tcPr>
          <w:p w14:paraId="5EC9A94E" w14:textId="77777777" w:rsidR="00045344" w:rsidRPr="0076724E" w:rsidRDefault="00045344" w:rsidP="0076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12,399.55</w:t>
            </w:r>
          </w:p>
        </w:tc>
        <w:tc>
          <w:tcPr>
            <w:tcW w:w="0" w:type="auto"/>
            <w:tcBorders>
              <w:top w:val="nil"/>
              <w:left w:val="nil"/>
              <w:bottom w:val="nil"/>
              <w:right w:val="nil"/>
            </w:tcBorders>
            <w:hideMark/>
          </w:tcPr>
          <w:p w14:paraId="7970FFF5" w14:textId="77777777" w:rsidR="00045344" w:rsidRPr="0076724E" w:rsidRDefault="00045344" w:rsidP="0076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22,154.32</w:t>
            </w:r>
          </w:p>
        </w:tc>
        <w:tc>
          <w:tcPr>
            <w:tcW w:w="0" w:type="auto"/>
            <w:tcBorders>
              <w:top w:val="nil"/>
              <w:left w:val="nil"/>
              <w:bottom w:val="nil"/>
              <w:right w:val="nil"/>
            </w:tcBorders>
            <w:hideMark/>
          </w:tcPr>
          <w:p w14:paraId="7F18460C" w14:textId="77777777" w:rsidR="00045344" w:rsidRPr="0076724E" w:rsidRDefault="00045344" w:rsidP="0076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173,594</w:t>
            </w:r>
          </w:p>
        </w:tc>
        <w:tc>
          <w:tcPr>
            <w:tcW w:w="0" w:type="auto"/>
            <w:tcBorders>
              <w:top w:val="nil"/>
              <w:left w:val="nil"/>
              <w:bottom w:val="nil"/>
              <w:right w:val="nil"/>
            </w:tcBorders>
            <w:hideMark/>
          </w:tcPr>
          <w:p w14:paraId="614437DD" w14:textId="77777777" w:rsidR="00045344" w:rsidRPr="0076724E" w:rsidRDefault="00045344" w:rsidP="0076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23.95</w:t>
            </w:r>
          </w:p>
        </w:tc>
      </w:tr>
      <w:tr w:rsidR="005E494A" w:rsidRPr="0076724E" w14:paraId="556C7530" w14:textId="77777777" w:rsidTr="00801848">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single" w:sz="4" w:space="0" w:color="7F7F7F" w:themeColor="text1" w:themeTint="80"/>
              <w:right w:val="nil"/>
            </w:tcBorders>
            <w:hideMark/>
          </w:tcPr>
          <w:p w14:paraId="132ED3BF" w14:textId="77777777" w:rsidR="00045344" w:rsidRPr="0076724E" w:rsidRDefault="00045344" w:rsidP="0076724E">
            <w:pPr>
              <w:jc w:val="both"/>
              <w:rPr>
                <w:rFonts w:ascii="Times New Roman" w:hAnsi="Times New Roman" w:cs="Times New Roman"/>
                <w:b w:val="0"/>
                <w:bCs w:val="0"/>
              </w:rPr>
            </w:pPr>
            <w:r w:rsidRPr="0076724E">
              <w:rPr>
                <w:rFonts w:ascii="Times New Roman" w:hAnsi="Times New Roman" w:cs="Times New Roman"/>
                <w:b w:val="0"/>
                <w:bCs w:val="0"/>
              </w:rPr>
              <w:t>Overall (1961-2024)</w:t>
            </w:r>
          </w:p>
        </w:tc>
        <w:tc>
          <w:tcPr>
            <w:tcW w:w="0" w:type="auto"/>
            <w:tcBorders>
              <w:top w:val="nil"/>
              <w:left w:val="nil"/>
              <w:bottom w:val="single" w:sz="4" w:space="0" w:color="7F7F7F" w:themeColor="text1" w:themeTint="80"/>
              <w:right w:val="nil"/>
            </w:tcBorders>
            <w:hideMark/>
          </w:tcPr>
          <w:p w14:paraId="067E0302" w14:textId="77777777" w:rsidR="00045344" w:rsidRPr="0076724E" w:rsidRDefault="00045344" w:rsidP="0076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64</w:t>
            </w:r>
          </w:p>
        </w:tc>
        <w:tc>
          <w:tcPr>
            <w:tcW w:w="0" w:type="auto"/>
            <w:tcBorders>
              <w:top w:val="nil"/>
              <w:left w:val="nil"/>
              <w:bottom w:val="single" w:sz="4" w:space="0" w:color="7F7F7F" w:themeColor="text1" w:themeTint="80"/>
              <w:right w:val="nil"/>
            </w:tcBorders>
            <w:hideMark/>
          </w:tcPr>
          <w:p w14:paraId="2B46152E" w14:textId="77777777" w:rsidR="00045344" w:rsidRPr="0076724E" w:rsidRDefault="00045344" w:rsidP="0076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3,129.59</w:t>
            </w:r>
          </w:p>
        </w:tc>
        <w:tc>
          <w:tcPr>
            <w:tcW w:w="0" w:type="auto"/>
            <w:tcBorders>
              <w:top w:val="nil"/>
              <w:left w:val="nil"/>
              <w:bottom w:val="single" w:sz="4" w:space="0" w:color="7F7F7F" w:themeColor="text1" w:themeTint="80"/>
              <w:right w:val="nil"/>
            </w:tcBorders>
            <w:hideMark/>
          </w:tcPr>
          <w:p w14:paraId="3AA75B0E" w14:textId="77777777" w:rsidR="00045344" w:rsidRPr="0076724E" w:rsidRDefault="00045344" w:rsidP="0076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10,997.29</w:t>
            </w:r>
          </w:p>
        </w:tc>
        <w:tc>
          <w:tcPr>
            <w:tcW w:w="0" w:type="auto"/>
            <w:tcBorders>
              <w:top w:val="nil"/>
              <w:left w:val="nil"/>
              <w:bottom w:val="single" w:sz="4" w:space="0" w:color="7F7F7F" w:themeColor="text1" w:themeTint="80"/>
              <w:right w:val="nil"/>
            </w:tcBorders>
            <w:hideMark/>
          </w:tcPr>
          <w:p w14:paraId="415CFDA7" w14:textId="77777777" w:rsidR="00045344" w:rsidRPr="0076724E" w:rsidRDefault="00045344" w:rsidP="0076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200,294</w:t>
            </w:r>
          </w:p>
        </w:tc>
        <w:tc>
          <w:tcPr>
            <w:tcW w:w="0" w:type="auto"/>
            <w:tcBorders>
              <w:top w:val="nil"/>
              <w:left w:val="nil"/>
              <w:bottom w:val="single" w:sz="4" w:space="0" w:color="7F7F7F" w:themeColor="text1" w:themeTint="80"/>
              <w:right w:val="nil"/>
            </w:tcBorders>
            <w:hideMark/>
          </w:tcPr>
          <w:p w14:paraId="277BDA25" w14:textId="77777777" w:rsidR="00045344" w:rsidRPr="0076724E" w:rsidRDefault="00045344" w:rsidP="0076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11.43</w:t>
            </w:r>
          </w:p>
        </w:tc>
      </w:tr>
    </w:tbl>
    <w:p w14:paraId="3CD891AC" w14:textId="77777777" w:rsidR="00045344" w:rsidRPr="0076724E" w:rsidRDefault="00045344" w:rsidP="0076724E">
      <w:pPr>
        <w:spacing w:after="0" w:line="240" w:lineRule="auto"/>
        <w:jc w:val="both"/>
        <w:rPr>
          <w:rFonts w:ascii="Times New Roman" w:hAnsi="Times New Roman" w:cs="Times New Roman"/>
          <w:i/>
          <w:iCs/>
          <w:sz w:val="24"/>
          <w:szCs w:val="24"/>
          <w:lang w:val="en-GB"/>
        </w:rPr>
      </w:pPr>
      <w:r w:rsidRPr="0076724E">
        <w:rPr>
          <w:rFonts w:ascii="Times New Roman" w:hAnsi="Times New Roman" w:cs="Times New Roman"/>
          <w:b/>
          <w:i/>
          <w:iCs/>
          <w:sz w:val="24"/>
          <w:szCs w:val="24"/>
          <w:lang w:val="en-GB"/>
        </w:rPr>
        <w:t>Note:</w:t>
      </w:r>
      <w:r w:rsidRPr="0076724E">
        <w:rPr>
          <w:rFonts w:ascii="Times New Roman" w:hAnsi="Times New Roman" w:cs="Times New Roman"/>
          <w:i/>
          <w:iCs/>
          <w:sz w:val="24"/>
          <w:szCs w:val="24"/>
          <w:lang w:val="en-GB"/>
        </w:rPr>
        <w:t xml:space="preserve"> MT = Metric Tons; CAGR = Compound Annual Growth Rate; SAP = Structural Adjustment Program</w:t>
      </w:r>
    </w:p>
    <w:p w14:paraId="5B594827" w14:textId="1AE04865" w:rsidR="00045344" w:rsidRPr="0076724E" w:rsidRDefault="00045344" w:rsidP="0076724E">
      <w:pPr>
        <w:spacing w:before="240" w:after="0" w:line="240" w:lineRule="auto"/>
        <w:jc w:val="both"/>
        <w:rPr>
          <w:rFonts w:ascii="Times New Roman" w:hAnsi="Times New Roman" w:cs="Times New Roman"/>
          <w:sz w:val="24"/>
          <w:szCs w:val="24"/>
          <w:lang w:val="en-GB"/>
        </w:rPr>
      </w:pPr>
      <w:r w:rsidRPr="0076724E">
        <w:rPr>
          <w:rFonts w:ascii="Times New Roman" w:hAnsi="Times New Roman" w:cs="Times New Roman"/>
          <w:sz w:val="24"/>
          <w:szCs w:val="24"/>
          <w:lang w:val="en-GB"/>
        </w:rPr>
        <w:t>The results clearly demonstrate a progressive acceleration in export growth across successive eras. During the Pre-SAP period (1961-1985), Tanzania maintained modest net exports averaging 127.48 MT annually with a CAGR of 5.23%. The SAP period (1986-1995) witnessed a doubling of growth momentum to 10.72% CAGR, reflecting the positive effects of market liberali</w:t>
      </w:r>
      <w:r w:rsidR="00D75953">
        <w:rPr>
          <w:rFonts w:ascii="Times New Roman" w:hAnsi="Times New Roman" w:cs="Times New Roman"/>
          <w:sz w:val="24"/>
          <w:szCs w:val="24"/>
          <w:lang w:val="en-GB"/>
        </w:rPr>
        <w:t>s</w:t>
      </w:r>
      <w:r w:rsidRPr="0076724E">
        <w:rPr>
          <w:rFonts w:ascii="Times New Roman" w:hAnsi="Times New Roman" w:cs="Times New Roman"/>
          <w:sz w:val="24"/>
          <w:szCs w:val="24"/>
          <w:lang w:val="en-GB"/>
        </w:rPr>
        <w:t xml:space="preserve">ation on agricultural trade. The </w:t>
      </w:r>
      <w:r w:rsidR="00D75953">
        <w:rPr>
          <w:rFonts w:ascii="Times New Roman" w:hAnsi="Times New Roman" w:cs="Times New Roman"/>
          <w:sz w:val="24"/>
          <w:szCs w:val="24"/>
          <w:lang w:val="en-GB"/>
        </w:rPr>
        <w:t>l</w:t>
      </w:r>
      <w:r w:rsidRPr="0076724E">
        <w:rPr>
          <w:rFonts w:ascii="Times New Roman" w:hAnsi="Times New Roman" w:cs="Times New Roman"/>
          <w:sz w:val="24"/>
          <w:szCs w:val="24"/>
          <w:lang w:val="en-GB"/>
        </w:rPr>
        <w:t>iberali</w:t>
      </w:r>
      <w:r w:rsidR="00D75953">
        <w:rPr>
          <w:rFonts w:ascii="Times New Roman" w:hAnsi="Times New Roman" w:cs="Times New Roman"/>
          <w:sz w:val="24"/>
          <w:szCs w:val="24"/>
          <w:lang w:val="en-GB"/>
        </w:rPr>
        <w:t>s</w:t>
      </w:r>
      <w:r w:rsidRPr="0076724E">
        <w:rPr>
          <w:rFonts w:ascii="Times New Roman" w:hAnsi="Times New Roman" w:cs="Times New Roman"/>
          <w:sz w:val="24"/>
          <w:szCs w:val="24"/>
          <w:lang w:val="en-GB"/>
        </w:rPr>
        <w:t>ation period (1996-2010) sustained this trend with mean annual net exports of 1,332.13 MT and an 11.00% CAGR as graphically observed in Figure 1.</w:t>
      </w:r>
    </w:p>
    <w:p w14:paraId="0B31E3C0" w14:textId="77777777" w:rsidR="00045344" w:rsidRPr="0076724E" w:rsidRDefault="00045344" w:rsidP="0076724E">
      <w:pPr>
        <w:spacing w:after="0" w:line="240" w:lineRule="auto"/>
        <w:jc w:val="both"/>
        <w:rPr>
          <w:rFonts w:ascii="Times New Roman" w:hAnsi="Times New Roman" w:cs="Times New Roman"/>
          <w:sz w:val="24"/>
          <w:szCs w:val="24"/>
          <w:lang w:val="en-GB"/>
        </w:rPr>
      </w:pPr>
    </w:p>
    <w:p w14:paraId="13FAFF97" w14:textId="77777777" w:rsidR="00045344" w:rsidRPr="0076724E" w:rsidRDefault="00045344" w:rsidP="0076724E">
      <w:pPr>
        <w:spacing w:after="0" w:line="240" w:lineRule="auto"/>
        <w:jc w:val="both"/>
        <w:rPr>
          <w:rFonts w:ascii="Times New Roman" w:hAnsi="Times New Roman" w:cs="Times New Roman"/>
          <w:sz w:val="24"/>
          <w:szCs w:val="24"/>
          <w:lang w:val="en-GB"/>
        </w:rPr>
      </w:pPr>
      <w:r w:rsidRPr="0076724E">
        <w:rPr>
          <w:rFonts w:ascii="Times New Roman" w:hAnsi="Times New Roman" w:cs="Times New Roman"/>
          <w:noProof/>
          <w:sz w:val="24"/>
          <w:szCs w:val="24"/>
        </w:rPr>
        <w:lastRenderedPageBreak/>
        <w:drawing>
          <wp:inline distT="0" distB="0" distL="0" distR="0" wp14:anchorId="211DAF15" wp14:editId="0AD28955">
            <wp:extent cx="5918200" cy="3553440"/>
            <wp:effectExtent l="0" t="0" r="6350" b="9525"/>
            <wp:docPr id="102486826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66121" cy="3582213"/>
                    </a:xfrm>
                    <a:prstGeom prst="rect">
                      <a:avLst/>
                    </a:prstGeom>
                    <a:noFill/>
                    <a:ln>
                      <a:noFill/>
                    </a:ln>
                  </pic:spPr>
                </pic:pic>
              </a:graphicData>
            </a:graphic>
          </wp:inline>
        </w:drawing>
      </w:r>
      <w:r w:rsidRPr="0076724E">
        <w:rPr>
          <w:rFonts w:ascii="Times New Roman" w:hAnsi="Times New Roman" w:cs="Times New Roman"/>
          <w:sz w:val="24"/>
          <w:szCs w:val="24"/>
          <w:lang w:val="en-GB"/>
        </w:rPr>
        <w:t xml:space="preserve"> </w:t>
      </w:r>
    </w:p>
    <w:p w14:paraId="1F2BF83C" w14:textId="77777777" w:rsidR="00045344" w:rsidRPr="0076724E" w:rsidRDefault="00045344" w:rsidP="0076724E">
      <w:pPr>
        <w:pStyle w:val="Caption"/>
        <w:rPr>
          <w:rFonts w:ascii="Times New Roman" w:hAnsi="Times New Roman" w:cs="Times New Roman"/>
          <w:b/>
          <w:bCs/>
          <w:i w:val="0"/>
          <w:iCs w:val="0"/>
          <w:color w:val="auto"/>
          <w:sz w:val="24"/>
          <w:szCs w:val="24"/>
          <w:lang w:val="en-GB"/>
        </w:rPr>
      </w:pPr>
      <w:r w:rsidRPr="0076724E">
        <w:rPr>
          <w:rFonts w:ascii="Times New Roman" w:hAnsi="Times New Roman" w:cs="Times New Roman"/>
          <w:b/>
          <w:bCs/>
          <w:i w:val="0"/>
          <w:iCs w:val="0"/>
          <w:color w:val="auto"/>
          <w:sz w:val="24"/>
          <w:szCs w:val="24"/>
        </w:rPr>
        <w:t>Figure 1: Tanzania’s cassava imports and export trend since independence</w:t>
      </w:r>
    </w:p>
    <w:p w14:paraId="74DEC7FF" w14:textId="77777777" w:rsidR="00045344" w:rsidRPr="0076724E" w:rsidRDefault="00045344" w:rsidP="0076724E">
      <w:pPr>
        <w:spacing w:after="0" w:line="240" w:lineRule="auto"/>
        <w:jc w:val="both"/>
        <w:rPr>
          <w:rFonts w:ascii="Times New Roman" w:hAnsi="Times New Roman" w:cs="Times New Roman"/>
          <w:sz w:val="24"/>
          <w:szCs w:val="24"/>
          <w:lang w:val="en-GB"/>
        </w:rPr>
      </w:pPr>
      <w:r w:rsidRPr="0076724E">
        <w:rPr>
          <w:rFonts w:ascii="Times New Roman" w:hAnsi="Times New Roman" w:cs="Times New Roman"/>
          <w:sz w:val="24"/>
          <w:szCs w:val="24"/>
          <w:lang w:val="en-GB"/>
        </w:rPr>
        <w:t>The most dramatic transformation occurred during the Modern Growth period (2011-2024), where mean annual net exports rushed to 12,399.55 MT with an unprecedented CAGR of 23.95%. This period alone accounts for 86.7% of the total cumulative net exports over the entire 64-year period. The high standard deviation (22,154.32 MT)</w:t>
      </w:r>
      <w:r w:rsidR="00B84E1A" w:rsidRPr="0076724E">
        <w:rPr>
          <w:rFonts w:ascii="Times New Roman" w:hAnsi="Times New Roman" w:cs="Times New Roman"/>
          <w:sz w:val="24"/>
          <w:szCs w:val="24"/>
          <w:lang w:val="en-GB"/>
        </w:rPr>
        <w:t xml:space="preserve"> </w:t>
      </w:r>
      <w:r w:rsidRPr="0076724E">
        <w:rPr>
          <w:rFonts w:ascii="Times New Roman" w:hAnsi="Times New Roman" w:cs="Times New Roman"/>
          <w:sz w:val="24"/>
          <w:szCs w:val="24"/>
          <w:lang w:val="en-GB"/>
        </w:rPr>
        <w:t>during this period reflects substantial year-to-year volatility, particularly the exceptional export volumes recorded in 2022 (73,402 MT) and 2024 (45,646 MT).</w:t>
      </w:r>
    </w:p>
    <w:p w14:paraId="21AB764D" w14:textId="77777777" w:rsidR="00045344" w:rsidRPr="0076724E" w:rsidRDefault="00045344" w:rsidP="0076724E">
      <w:pPr>
        <w:spacing w:after="0" w:line="240" w:lineRule="auto"/>
        <w:jc w:val="both"/>
        <w:rPr>
          <w:rFonts w:ascii="Times New Roman" w:hAnsi="Times New Roman" w:cs="Times New Roman"/>
          <w:sz w:val="24"/>
          <w:szCs w:val="24"/>
          <w:lang w:val="en-GB"/>
        </w:rPr>
      </w:pPr>
    </w:p>
    <w:p w14:paraId="49E63AC5" w14:textId="77777777" w:rsidR="00045344" w:rsidRPr="0076724E" w:rsidRDefault="00045344" w:rsidP="0076724E">
      <w:pPr>
        <w:spacing w:after="0" w:line="240" w:lineRule="auto"/>
        <w:jc w:val="both"/>
        <w:rPr>
          <w:rFonts w:ascii="Times New Roman" w:hAnsi="Times New Roman" w:cs="Times New Roman"/>
          <w:sz w:val="24"/>
          <w:szCs w:val="24"/>
          <w:lang w:val="en-GB"/>
        </w:rPr>
      </w:pPr>
      <w:r w:rsidRPr="0076724E">
        <w:rPr>
          <w:rFonts w:ascii="Times New Roman" w:hAnsi="Times New Roman" w:cs="Times New Roman"/>
          <w:noProof/>
          <w:sz w:val="24"/>
          <w:szCs w:val="24"/>
        </w:rPr>
        <w:lastRenderedPageBreak/>
        <w:drawing>
          <wp:inline distT="0" distB="0" distL="0" distR="0" wp14:anchorId="49EB270B" wp14:editId="5D45AE6E">
            <wp:extent cx="5962650" cy="4086156"/>
            <wp:effectExtent l="0" t="0" r="0" b="0"/>
            <wp:docPr id="197748883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91802" cy="4106134"/>
                    </a:xfrm>
                    <a:prstGeom prst="rect">
                      <a:avLst/>
                    </a:prstGeom>
                    <a:noFill/>
                    <a:ln>
                      <a:noFill/>
                    </a:ln>
                  </pic:spPr>
                </pic:pic>
              </a:graphicData>
            </a:graphic>
          </wp:inline>
        </w:drawing>
      </w:r>
    </w:p>
    <w:p w14:paraId="20696665" w14:textId="77777777" w:rsidR="00045344" w:rsidRPr="0076724E" w:rsidRDefault="00045344" w:rsidP="0076724E">
      <w:pPr>
        <w:pStyle w:val="Caption"/>
        <w:rPr>
          <w:rFonts w:ascii="Times New Roman" w:hAnsi="Times New Roman" w:cs="Times New Roman"/>
          <w:b/>
          <w:bCs/>
          <w:i w:val="0"/>
          <w:iCs w:val="0"/>
          <w:color w:val="auto"/>
          <w:sz w:val="24"/>
          <w:szCs w:val="24"/>
          <w:lang w:val="en-GB"/>
        </w:rPr>
      </w:pPr>
      <w:r w:rsidRPr="0076724E">
        <w:rPr>
          <w:rFonts w:ascii="Times New Roman" w:hAnsi="Times New Roman" w:cs="Times New Roman"/>
          <w:b/>
          <w:bCs/>
          <w:i w:val="0"/>
          <w:iCs w:val="0"/>
          <w:color w:val="auto"/>
          <w:sz w:val="24"/>
          <w:szCs w:val="24"/>
        </w:rPr>
        <w:t>Figure 2: Tanzania cassava imports and export trend for the past 10 years</w:t>
      </w:r>
    </w:p>
    <w:p w14:paraId="0689E778" w14:textId="35F2A990" w:rsidR="00045344" w:rsidRPr="0076724E" w:rsidRDefault="00045344" w:rsidP="0076724E">
      <w:pPr>
        <w:spacing w:after="0" w:line="240" w:lineRule="auto"/>
        <w:jc w:val="both"/>
        <w:rPr>
          <w:rFonts w:ascii="Times New Roman" w:hAnsi="Times New Roman" w:cs="Times New Roman"/>
          <w:sz w:val="24"/>
          <w:szCs w:val="24"/>
          <w:lang w:val="en-GB"/>
        </w:rPr>
      </w:pPr>
      <w:r w:rsidRPr="0076724E">
        <w:rPr>
          <w:rFonts w:ascii="Times New Roman" w:hAnsi="Times New Roman" w:cs="Times New Roman"/>
          <w:sz w:val="24"/>
          <w:szCs w:val="24"/>
          <w:lang w:val="en-GB"/>
        </w:rPr>
        <w:t xml:space="preserve">Over the entire study period as revealed in Figure 2, Tanzania maintained a positive trade balance in cassava for 63 out of 64 years (98.4%), with only 2020 recording a trade deficit due to substantial imports from Uganda (3,000 MT). The cumulative net exports </w:t>
      </w:r>
      <w:r w:rsidR="00D75953" w:rsidRPr="0076724E">
        <w:rPr>
          <w:rFonts w:ascii="Times New Roman" w:hAnsi="Times New Roman" w:cs="Times New Roman"/>
          <w:sz w:val="24"/>
          <w:szCs w:val="24"/>
          <w:lang w:val="en-GB"/>
        </w:rPr>
        <w:t>totalled</w:t>
      </w:r>
      <w:r w:rsidRPr="0076724E">
        <w:rPr>
          <w:rFonts w:ascii="Times New Roman" w:hAnsi="Times New Roman" w:cs="Times New Roman"/>
          <w:sz w:val="24"/>
          <w:szCs w:val="24"/>
          <w:lang w:val="en-GB"/>
        </w:rPr>
        <w:t xml:space="preserve"> 200,294 MT, highlighting Tanzania's position as a consistent net exporter of cassava in the East African region.</w:t>
      </w:r>
    </w:p>
    <w:p w14:paraId="7381919A" w14:textId="47ED4D62" w:rsidR="00045344" w:rsidRPr="0076724E" w:rsidRDefault="00B84E1A" w:rsidP="0076724E">
      <w:pPr>
        <w:pStyle w:val="Heading2"/>
        <w:spacing w:line="240" w:lineRule="auto"/>
        <w:rPr>
          <w:rFonts w:ascii="Times New Roman" w:hAnsi="Times New Roman" w:cs="Times New Roman"/>
          <w:b/>
          <w:bCs/>
          <w:color w:val="auto"/>
          <w:sz w:val="24"/>
          <w:szCs w:val="24"/>
          <w:lang w:val="en-GB"/>
        </w:rPr>
      </w:pPr>
      <w:bookmarkStart w:id="18" w:name="_Toc220325817"/>
      <w:r w:rsidRPr="0076724E">
        <w:rPr>
          <w:rFonts w:ascii="Times New Roman" w:hAnsi="Times New Roman" w:cs="Times New Roman"/>
          <w:b/>
          <w:bCs/>
          <w:color w:val="auto"/>
          <w:sz w:val="24"/>
          <w:szCs w:val="24"/>
          <w:lang w:val="en-GB"/>
        </w:rPr>
        <w:t>4</w:t>
      </w:r>
      <w:r w:rsidR="00045344" w:rsidRPr="0076724E">
        <w:rPr>
          <w:rFonts w:ascii="Times New Roman" w:hAnsi="Times New Roman" w:cs="Times New Roman"/>
          <w:b/>
          <w:bCs/>
          <w:color w:val="auto"/>
          <w:sz w:val="24"/>
          <w:szCs w:val="24"/>
          <w:lang w:val="en-GB"/>
        </w:rPr>
        <w:t xml:space="preserve">.2 Stationarity </w:t>
      </w:r>
      <w:r w:rsidR="003A6C85" w:rsidRPr="003A6C85">
        <w:rPr>
          <w:rFonts w:ascii="Times New Roman" w:hAnsi="Times New Roman" w:cs="Times New Roman"/>
          <w:b/>
          <w:bCs/>
          <w:color w:val="auto"/>
          <w:sz w:val="24"/>
          <w:szCs w:val="24"/>
          <w:lang w:val="en-GB"/>
        </w:rPr>
        <w:t>test results</w:t>
      </w:r>
      <w:bookmarkEnd w:id="18"/>
    </w:p>
    <w:p w14:paraId="4CBBA4D3" w14:textId="77777777" w:rsidR="00045344" w:rsidRPr="0076724E" w:rsidRDefault="00045344" w:rsidP="0076724E">
      <w:pPr>
        <w:spacing w:after="0" w:line="240" w:lineRule="auto"/>
        <w:jc w:val="both"/>
        <w:rPr>
          <w:rFonts w:ascii="Times New Roman" w:hAnsi="Times New Roman" w:cs="Times New Roman"/>
          <w:sz w:val="24"/>
          <w:szCs w:val="24"/>
          <w:lang w:val="en-GB"/>
        </w:rPr>
      </w:pPr>
      <w:r w:rsidRPr="0076724E">
        <w:rPr>
          <w:rFonts w:ascii="Times New Roman" w:hAnsi="Times New Roman" w:cs="Times New Roman"/>
          <w:sz w:val="24"/>
          <w:szCs w:val="24"/>
          <w:lang w:val="en-GB"/>
        </w:rPr>
        <w:t>Table 2 presents the results of the Augmented Dickey-Fuller unit root tests conducted on the net export series at both level and first difference.</w:t>
      </w:r>
    </w:p>
    <w:p w14:paraId="55AF1170" w14:textId="4530FF16" w:rsidR="00045344" w:rsidRPr="0076724E" w:rsidRDefault="00045344" w:rsidP="0076724E">
      <w:pPr>
        <w:pStyle w:val="Caption"/>
        <w:spacing w:before="240"/>
        <w:rPr>
          <w:rFonts w:ascii="Times New Roman" w:hAnsi="Times New Roman" w:cs="Times New Roman"/>
          <w:b/>
          <w:bCs/>
          <w:i w:val="0"/>
          <w:iCs w:val="0"/>
          <w:color w:val="auto"/>
          <w:sz w:val="24"/>
          <w:szCs w:val="24"/>
          <w:lang w:val="en-GB"/>
        </w:rPr>
      </w:pPr>
      <w:r w:rsidRPr="0076724E">
        <w:rPr>
          <w:rFonts w:ascii="Times New Roman" w:hAnsi="Times New Roman" w:cs="Times New Roman"/>
          <w:b/>
          <w:bCs/>
          <w:i w:val="0"/>
          <w:iCs w:val="0"/>
          <w:color w:val="auto"/>
          <w:sz w:val="24"/>
          <w:szCs w:val="24"/>
        </w:rPr>
        <w:t xml:space="preserve">Table 2: Augmented </w:t>
      </w:r>
      <w:r w:rsidR="003A6C85" w:rsidRPr="003A6C85">
        <w:rPr>
          <w:rFonts w:ascii="Times New Roman" w:hAnsi="Times New Roman" w:cs="Times New Roman"/>
          <w:b/>
          <w:bCs/>
          <w:i w:val="0"/>
          <w:iCs w:val="0"/>
          <w:color w:val="auto"/>
          <w:sz w:val="24"/>
          <w:szCs w:val="24"/>
        </w:rPr>
        <w:t>dickey-fuller unit root test results</w:t>
      </w:r>
    </w:p>
    <w:tbl>
      <w:tblPr>
        <w:tblStyle w:val="PlainTable2"/>
        <w:tblW w:w="5000" w:type="pct"/>
        <w:tblLook w:val="06A0" w:firstRow="1" w:lastRow="0" w:firstColumn="1" w:lastColumn="0" w:noHBand="1" w:noVBand="1"/>
      </w:tblPr>
      <w:tblGrid>
        <w:gridCol w:w="2859"/>
        <w:gridCol w:w="2000"/>
        <w:gridCol w:w="2000"/>
        <w:gridCol w:w="2501"/>
      </w:tblGrid>
      <w:tr w:rsidR="00045344" w:rsidRPr="0076724E" w14:paraId="63984D7A" w14:textId="77777777" w:rsidTr="008018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dxa"/>
            <w:tcBorders>
              <w:top w:val="single" w:sz="4" w:space="0" w:color="7F7F7F" w:themeColor="text1" w:themeTint="80"/>
              <w:left w:val="nil"/>
              <w:right w:val="nil"/>
            </w:tcBorders>
            <w:hideMark/>
          </w:tcPr>
          <w:p w14:paraId="383CC6E9" w14:textId="77777777" w:rsidR="00045344" w:rsidRPr="0076724E" w:rsidRDefault="00045344" w:rsidP="0076724E">
            <w:pPr>
              <w:jc w:val="both"/>
              <w:rPr>
                <w:rFonts w:ascii="Times New Roman" w:hAnsi="Times New Roman" w:cs="Times New Roman"/>
              </w:rPr>
            </w:pPr>
            <w:r w:rsidRPr="0076724E">
              <w:rPr>
                <w:rFonts w:ascii="Times New Roman" w:hAnsi="Times New Roman" w:cs="Times New Roman"/>
              </w:rPr>
              <w:t>Variable</w:t>
            </w:r>
          </w:p>
        </w:tc>
        <w:tc>
          <w:tcPr>
            <w:tcW w:w="2000" w:type="dxa"/>
            <w:tcBorders>
              <w:top w:val="single" w:sz="4" w:space="0" w:color="7F7F7F" w:themeColor="text1" w:themeTint="80"/>
              <w:left w:val="nil"/>
              <w:right w:val="nil"/>
            </w:tcBorders>
            <w:hideMark/>
          </w:tcPr>
          <w:p w14:paraId="0EA7AE97" w14:textId="77777777" w:rsidR="00045344" w:rsidRPr="0076724E" w:rsidRDefault="00045344" w:rsidP="0076724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t-Statistic</w:t>
            </w:r>
          </w:p>
        </w:tc>
        <w:tc>
          <w:tcPr>
            <w:tcW w:w="2000" w:type="dxa"/>
            <w:tcBorders>
              <w:top w:val="single" w:sz="4" w:space="0" w:color="7F7F7F" w:themeColor="text1" w:themeTint="80"/>
              <w:left w:val="nil"/>
              <w:right w:val="nil"/>
            </w:tcBorders>
            <w:hideMark/>
          </w:tcPr>
          <w:p w14:paraId="51E19771" w14:textId="77777777" w:rsidR="00045344" w:rsidRPr="0076724E" w:rsidRDefault="00045344" w:rsidP="0076724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Critical Value (5%)</w:t>
            </w:r>
          </w:p>
        </w:tc>
        <w:tc>
          <w:tcPr>
            <w:tcW w:w="2500" w:type="dxa"/>
            <w:tcBorders>
              <w:top w:val="single" w:sz="4" w:space="0" w:color="7F7F7F" w:themeColor="text1" w:themeTint="80"/>
              <w:left w:val="nil"/>
              <w:right w:val="nil"/>
            </w:tcBorders>
            <w:hideMark/>
          </w:tcPr>
          <w:p w14:paraId="567BB9EB" w14:textId="77777777" w:rsidR="00045344" w:rsidRPr="0076724E" w:rsidRDefault="00045344" w:rsidP="0076724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Decision</w:t>
            </w:r>
          </w:p>
        </w:tc>
      </w:tr>
      <w:tr w:rsidR="00045344" w:rsidRPr="0076724E" w14:paraId="4257F6EC" w14:textId="77777777" w:rsidTr="00801848">
        <w:trPr>
          <w:trHeight w:val="500"/>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64E12ABE" w14:textId="77777777" w:rsidR="00045344" w:rsidRPr="0076724E" w:rsidRDefault="00045344" w:rsidP="0076724E">
            <w:pPr>
              <w:jc w:val="both"/>
              <w:rPr>
                <w:rFonts w:ascii="Times New Roman" w:hAnsi="Times New Roman" w:cs="Times New Roman"/>
                <w:b w:val="0"/>
                <w:bCs w:val="0"/>
              </w:rPr>
            </w:pPr>
            <w:r w:rsidRPr="0076724E">
              <w:rPr>
                <w:rFonts w:ascii="Times New Roman" w:hAnsi="Times New Roman" w:cs="Times New Roman"/>
                <w:b w:val="0"/>
                <w:bCs w:val="0"/>
              </w:rPr>
              <w:t>Net Export (Level)</w:t>
            </w:r>
          </w:p>
        </w:tc>
        <w:tc>
          <w:tcPr>
            <w:tcW w:w="0" w:type="auto"/>
            <w:tcBorders>
              <w:top w:val="nil"/>
              <w:left w:val="nil"/>
              <w:bottom w:val="nil"/>
              <w:right w:val="nil"/>
            </w:tcBorders>
            <w:hideMark/>
          </w:tcPr>
          <w:p w14:paraId="2D31AAAB"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-3.497**</w:t>
            </w:r>
          </w:p>
        </w:tc>
        <w:tc>
          <w:tcPr>
            <w:tcW w:w="0" w:type="auto"/>
            <w:tcBorders>
              <w:top w:val="nil"/>
              <w:left w:val="nil"/>
              <w:bottom w:val="nil"/>
              <w:right w:val="nil"/>
            </w:tcBorders>
            <w:hideMark/>
          </w:tcPr>
          <w:p w14:paraId="656D2E52"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-2.89</w:t>
            </w:r>
          </w:p>
        </w:tc>
        <w:tc>
          <w:tcPr>
            <w:tcW w:w="0" w:type="auto"/>
            <w:tcBorders>
              <w:top w:val="nil"/>
              <w:left w:val="nil"/>
              <w:bottom w:val="nil"/>
              <w:right w:val="nil"/>
            </w:tcBorders>
            <w:hideMark/>
          </w:tcPr>
          <w:p w14:paraId="2896F594"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Stationary</w:t>
            </w:r>
          </w:p>
        </w:tc>
      </w:tr>
      <w:tr w:rsidR="00045344" w:rsidRPr="0076724E" w14:paraId="65421294" w14:textId="77777777" w:rsidTr="00801848">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single" w:sz="4" w:space="0" w:color="7F7F7F" w:themeColor="text1" w:themeTint="80"/>
              <w:right w:val="nil"/>
            </w:tcBorders>
            <w:hideMark/>
          </w:tcPr>
          <w:p w14:paraId="43A89280" w14:textId="77777777" w:rsidR="00045344" w:rsidRPr="0076724E" w:rsidRDefault="00045344" w:rsidP="0076724E">
            <w:pPr>
              <w:jc w:val="both"/>
              <w:rPr>
                <w:rFonts w:ascii="Times New Roman" w:hAnsi="Times New Roman" w:cs="Times New Roman"/>
                <w:b w:val="0"/>
                <w:bCs w:val="0"/>
              </w:rPr>
            </w:pPr>
            <w:r w:rsidRPr="0076724E">
              <w:rPr>
                <w:rFonts w:ascii="Times New Roman" w:hAnsi="Times New Roman" w:cs="Times New Roman"/>
                <w:b w:val="0"/>
                <w:bCs w:val="0"/>
              </w:rPr>
              <w:t>Net Export (1st Difference)</w:t>
            </w:r>
          </w:p>
        </w:tc>
        <w:tc>
          <w:tcPr>
            <w:tcW w:w="0" w:type="auto"/>
            <w:tcBorders>
              <w:top w:val="nil"/>
              <w:left w:val="nil"/>
              <w:bottom w:val="single" w:sz="4" w:space="0" w:color="7F7F7F" w:themeColor="text1" w:themeTint="80"/>
              <w:right w:val="nil"/>
            </w:tcBorders>
            <w:hideMark/>
          </w:tcPr>
          <w:p w14:paraId="35091F61"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-13.474***</w:t>
            </w:r>
          </w:p>
        </w:tc>
        <w:tc>
          <w:tcPr>
            <w:tcW w:w="0" w:type="auto"/>
            <w:tcBorders>
              <w:top w:val="nil"/>
              <w:left w:val="nil"/>
              <w:bottom w:val="single" w:sz="4" w:space="0" w:color="7F7F7F" w:themeColor="text1" w:themeTint="80"/>
              <w:right w:val="nil"/>
            </w:tcBorders>
            <w:hideMark/>
          </w:tcPr>
          <w:p w14:paraId="3A058EC6"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-2.89</w:t>
            </w:r>
          </w:p>
        </w:tc>
        <w:tc>
          <w:tcPr>
            <w:tcW w:w="0" w:type="auto"/>
            <w:tcBorders>
              <w:top w:val="nil"/>
              <w:left w:val="nil"/>
              <w:bottom w:val="single" w:sz="4" w:space="0" w:color="7F7F7F" w:themeColor="text1" w:themeTint="80"/>
              <w:right w:val="nil"/>
            </w:tcBorders>
            <w:hideMark/>
          </w:tcPr>
          <w:p w14:paraId="02432729"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Strongly Stationary</w:t>
            </w:r>
          </w:p>
        </w:tc>
      </w:tr>
    </w:tbl>
    <w:p w14:paraId="32CFAAEF" w14:textId="77777777" w:rsidR="00045344" w:rsidRPr="0076724E" w:rsidRDefault="00045344" w:rsidP="0076724E">
      <w:pPr>
        <w:spacing w:after="0" w:line="240" w:lineRule="auto"/>
        <w:jc w:val="both"/>
        <w:rPr>
          <w:rFonts w:ascii="Times New Roman" w:hAnsi="Times New Roman" w:cs="Times New Roman"/>
          <w:i/>
          <w:iCs/>
          <w:sz w:val="24"/>
          <w:szCs w:val="24"/>
          <w:lang w:val="en-GB"/>
        </w:rPr>
      </w:pPr>
      <w:r w:rsidRPr="0076724E">
        <w:rPr>
          <w:rFonts w:ascii="Times New Roman" w:hAnsi="Times New Roman" w:cs="Times New Roman"/>
          <w:b/>
          <w:i/>
          <w:iCs/>
          <w:sz w:val="24"/>
          <w:szCs w:val="24"/>
          <w:lang w:val="en-GB"/>
        </w:rPr>
        <w:t>Note:</w:t>
      </w:r>
      <w:r w:rsidRPr="0076724E">
        <w:rPr>
          <w:rFonts w:ascii="Times New Roman" w:hAnsi="Times New Roman" w:cs="Times New Roman"/>
          <w:i/>
          <w:iCs/>
          <w:sz w:val="24"/>
          <w:szCs w:val="24"/>
          <w:lang w:val="en-GB"/>
        </w:rPr>
        <w:t xml:space="preserve"> ** and *** denote significance at 5% and 1% levels, respectively. Critical values: 1%: -3.51, 5%: -2.89, 10%: -2.58</w:t>
      </w:r>
    </w:p>
    <w:p w14:paraId="63DD6445" w14:textId="77777777" w:rsidR="00045344" w:rsidRPr="0076724E" w:rsidRDefault="00045344" w:rsidP="0076724E">
      <w:pPr>
        <w:spacing w:before="240" w:after="0" w:line="240" w:lineRule="auto"/>
        <w:jc w:val="both"/>
        <w:rPr>
          <w:rFonts w:ascii="Times New Roman" w:hAnsi="Times New Roman" w:cs="Times New Roman"/>
          <w:sz w:val="24"/>
          <w:szCs w:val="24"/>
          <w:lang w:val="en-GB"/>
        </w:rPr>
      </w:pPr>
      <w:r w:rsidRPr="0076724E">
        <w:rPr>
          <w:rFonts w:ascii="Times New Roman" w:hAnsi="Times New Roman" w:cs="Times New Roman"/>
          <w:sz w:val="24"/>
          <w:szCs w:val="24"/>
          <w:lang w:val="en-GB"/>
        </w:rPr>
        <w:t xml:space="preserve">The ADF test on the level series yielded a t-statistic of -3.497, which is marginally more negative than the 5% critical value (-2.89), suggesting the series is stationary at the 5% significance level. However, given the borderline nature of this result and the presence of a significant trend, the first </w:t>
      </w:r>
      <w:r w:rsidRPr="0076724E">
        <w:rPr>
          <w:rFonts w:ascii="Times New Roman" w:hAnsi="Times New Roman" w:cs="Times New Roman"/>
          <w:sz w:val="24"/>
          <w:szCs w:val="24"/>
          <w:lang w:val="en-GB"/>
        </w:rPr>
        <w:lastRenderedPageBreak/>
        <w:t>difference was also tested. The differenced series exhibited strong stationarity with a t-statistic of -13.474, far exceeding the 1% critical value in absolute terms. This confirmed the appropriateness of using ARIMA models with d=1 (first differencing) for improved model stability.</w:t>
      </w:r>
    </w:p>
    <w:p w14:paraId="3F5C95EA" w14:textId="4C517C14" w:rsidR="00045344" w:rsidRPr="0076724E" w:rsidRDefault="00B84E1A" w:rsidP="0076724E">
      <w:pPr>
        <w:pStyle w:val="Heading2"/>
        <w:spacing w:line="240" w:lineRule="auto"/>
        <w:rPr>
          <w:rFonts w:ascii="Times New Roman" w:hAnsi="Times New Roman" w:cs="Times New Roman"/>
          <w:b/>
          <w:bCs/>
          <w:color w:val="auto"/>
          <w:sz w:val="24"/>
          <w:szCs w:val="24"/>
          <w:lang w:val="en-GB"/>
        </w:rPr>
      </w:pPr>
      <w:bookmarkStart w:id="19" w:name="_Toc220325818"/>
      <w:r w:rsidRPr="0076724E">
        <w:rPr>
          <w:rFonts w:ascii="Times New Roman" w:hAnsi="Times New Roman" w:cs="Times New Roman"/>
          <w:b/>
          <w:bCs/>
          <w:color w:val="auto"/>
          <w:sz w:val="24"/>
          <w:szCs w:val="24"/>
          <w:lang w:val="en-GB"/>
        </w:rPr>
        <w:t>4</w:t>
      </w:r>
      <w:r w:rsidR="00045344" w:rsidRPr="0076724E">
        <w:rPr>
          <w:rFonts w:ascii="Times New Roman" w:hAnsi="Times New Roman" w:cs="Times New Roman"/>
          <w:b/>
          <w:bCs/>
          <w:color w:val="auto"/>
          <w:sz w:val="24"/>
          <w:szCs w:val="24"/>
          <w:lang w:val="en-GB"/>
        </w:rPr>
        <w:t xml:space="preserve">.3 ARIMA </w:t>
      </w:r>
      <w:r w:rsidR="003A6C85" w:rsidRPr="003A6C85">
        <w:rPr>
          <w:rFonts w:ascii="Times New Roman" w:hAnsi="Times New Roman" w:cs="Times New Roman"/>
          <w:b/>
          <w:bCs/>
          <w:color w:val="auto"/>
          <w:sz w:val="24"/>
          <w:szCs w:val="24"/>
          <w:lang w:val="en-GB"/>
        </w:rPr>
        <w:t>model selection and estimation</w:t>
      </w:r>
      <w:bookmarkEnd w:id="19"/>
    </w:p>
    <w:p w14:paraId="5DF00C98" w14:textId="77777777" w:rsidR="00045344" w:rsidRPr="0076724E" w:rsidRDefault="00045344" w:rsidP="0076724E">
      <w:pPr>
        <w:spacing w:after="0" w:line="240" w:lineRule="auto"/>
        <w:jc w:val="both"/>
        <w:rPr>
          <w:rFonts w:ascii="Times New Roman" w:hAnsi="Times New Roman" w:cs="Times New Roman"/>
          <w:sz w:val="24"/>
          <w:szCs w:val="24"/>
          <w:lang w:val="en-GB"/>
        </w:rPr>
      </w:pPr>
      <w:r w:rsidRPr="0076724E">
        <w:rPr>
          <w:rFonts w:ascii="Times New Roman" w:hAnsi="Times New Roman" w:cs="Times New Roman"/>
          <w:sz w:val="24"/>
          <w:szCs w:val="24"/>
          <w:lang w:val="en-GB"/>
        </w:rPr>
        <w:t xml:space="preserve">Analysis of the ACF and PACF of the first-differenced series informed the candidate model specifications. The ACF exhibited a significant spike at lag 1 (-0.496) that dropped sharply thereafter, while the PACF showed significant values at lags 1 (-0.496) and 2 (-0.231). This pattern suggested </w:t>
      </w:r>
      <w:proofErr w:type="gramStart"/>
      <w:r w:rsidRPr="0076724E">
        <w:rPr>
          <w:rFonts w:ascii="Times New Roman" w:hAnsi="Times New Roman" w:cs="Times New Roman"/>
          <w:sz w:val="24"/>
          <w:szCs w:val="24"/>
          <w:lang w:val="en-GB"/>
        </w:rPr>
        <w:t>AR(</w:t>
      </w:r>
      <w:proofErr w:type="gramEnd"/>
      <w:r w:rsidRPr="0076724E">
        <w:rPr>
          <w:rFonts w:ascii="Times New Roman" w:hAnsi="Times New Roman" w:cs="Times New Roman"/>
          <w:sz w:val="24"/>
          <w:szCs w:val="24"/>
          <w:lang w:val="en-GB"/>
        </w:rPr>
        <w:t>1) or AR(2) components might be appropriate. Table 3 presents the comparative fit statistics for the six candidate models.</w:t>
      </w:r>
    </w:p>
    <w:p w14:paraId="5D201436" w14:textId="77777777" w:rsidR="00045344" w:rsidRPr="0076724E" w:rsidRDefault="00045344" w:rsidP="0076724E">
      <w:pPr>
        <w:spacing w:after="0" w:line="240" w:lineRule="auto"/>
        <w:jc w:val="both"/>
        <w:rPr>
          <w:rFonts w:ascii="Times New Roman" w:hAnsi="Times New Roman" w:cs="Times New Roman"/>
          <w:sz w:val="24"/>
          <w:szCs w:val="24"/>
          <w:lang w:val="en-GB"/>
        </w:rPr>
      </w:pPr>
    </w:p>
    <w:p w14:paraId="32B43229" w14:textId="22EBF81C" w:rsidR="00045344" w:rsidRPr="0076724E" w:rsidRDefault="00045344" w:rsidP="0076724E">
      <w:pPr>
        <w:pStyle w:val="Caption"/>
        <w:rPr>
          <w:rFonts w:ascii="Times New Roman" w:hAnsi="Times New Roman" w:cs="Times New Roman"/>
          <w:b/>
          <w:bCs/>
          <w:i w:val="0"/>
          <w:iCs w:val="0"/>
          <w:color w:val="auto"/>
          <w:sz w:val="24"/>
          <w:szCs w:val="24"/>
          <w:lang w:val="en-GB"/>
        </w:rPr>
      </w:pPr>
      <w:r w:rsidRPr="0076724E">
        <w:rPr>
          <w:rFonts w:ascii="Times New Roman" w:hAnsi="Times New Roman" w:cs="Times New Roman"/>
          <w:b/>
          <w:bCs/>
          <w:i w:val="0"/>
          <w:iCs w:val="0"/>
          <w:color w:val="auto"/>
          <w:sz w:val="24"/>
          <w:szCs w:val="24"/>
        </w:rPr>
        <w:t xml:space="preserve">Table 3: ARIMA </w:t>
      </w:r>
      <w:r w:rsidR="003A6C85" w:rsidRPr="003A6C85">
        <w:rPr>
          <w:rFonts w:ascii="Times New Roman" w:hAnsi="Times New Roman" w:cs="Times New Roman"/>
          <w:b/>
          <w:bCs/>
          <w:i w:val="0"/>
          <w:iCs w:val="0"/>
          <w:color w:val="auto"/>
          <w:sz w:val="24"/>
          <w:szCs w:val="24"/>
        </w:rPr>
        <w:t>model comparison</w:t>
      </w:r>
    </w:p>
    <w:tbl>
      <w:tblPr>
        <w:tblStyle w:val="PlainTable2"/>
        <w:tblW w:w="5000" w:type="pct"/>
        <w:tblLook w:val="06A0" w:firstRow="1" w:lastRow="0" w:firstColumn="1" w:lastColumn="0" w:noHBand="1" w:noVBand="1"/>
      </w:tblPr>
      <w:tblGrid>
        <w:gridCol w:w="3019"/>
        <w:gridCol w:w="2013"/>
        <w:gridCol w:w="2013"/>
        <w:gridCol w:w="2315"/>
      </w:tblGrid>
      <w:tr w:rsidR="00045344" w:rsidRPr="0076724E" w14:paraId="3E65DE70" w14:textId="77777777" w:rsidTr="008018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0" w:type="dxa"/>
            <w:tcBorders>
              <w:top w:val="single" w:sz="4" w:space="0" w:color="7F7F7F" w:themeColor="text1" w:themeTint="80"/>
              <w:left w:val="nil"/>
              <w:right w:val="nil"/>
            </w:tcBorders>
            <w:hideMark/>
          </w:tcPr>
          <w:p w14:paraId="45F520DE" w14:textId="77777777" w:rsidR="00045344" w:rsidRPr="0076724E" w:rsidRDefault="00045344" w:rsidP="0076724E">
            <w:pPr>
              <w:jc w:val="both"/>
              <w:rPr>
                <w:rFonts w:ascii="Times New Roman" w:hAnsi="Times New Roman" w:cs="Times New Roman"/>
              </w:rPr>
            </w:pPr>
            <w:r w:rsidRPr="0076724E">
              <w:rPr>
                <w:rFonts w:ascii="Times New Roman" w:hAnsi="Times New Roman" w:cs="Times New Roman"/>
              </w:rPr>
              <w:t>Model</w:t>
            </w:r>
          </w:p>
        </w:tc>
        <w:tc>
          <w:tcPr>
            <w:tcW w:w="2000" w:type="dxa"/>
            <w:tcBorders>
              <w:top w:val="single" w:sz="4" w:space="0" w:color="7F7F7F" w:themeColor="text1" w:themeTint="80"/>
              <w:left w:val="nil"/>
              <w:right w:val="nil"/>
            </w:tcBorders>
            <w:hideMark/>
          </w:tcPr>
          <w:p w14:paraId="67FAB38C" w14:textId="77777777" w:rsidR="00045344" w:rsidRPr="0076724E" w:rsidRDefault="00045344" w:rsidP="0076724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AIC</w:t>
            </w:r>
          </w:p>
        </w:tc>
        <w:tc>
          <w:tcPr>
            <w:tcW w:w="2000" w:type="dxa"/>
            <w:tcBorders>
              <w:top w:val="single" w:sz="4" w:space="0" w:color="7F7F7F" w:themeColor="text1" w:themeTint="80"/>
              <w:left w:val="nil"/>
              <w:right w:val="nil"/>
            </w:tcBorders>
            <w:hideMark/>
          </w:tcPr>
          <w:p w14:paraId="17C6E5F7" w14:textId="77777777" w:rsidR="00045344" w:rsidRPr="0076724E" w:rsidRDefault="00045344" w:rsidP="0076724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BIC</w:t>
            </w:r>
          </w:p>
        </w:tc>
        <w:tc>
          <w:tcPr>
            <w:tcW w:w="2300" w:type="dxa"/>
            <w:tcBorders>
              <w:top w:val="single" w:sz="4" w:space="0" w:color="7F7F7F" w:themeColor="text1" w:themeTint="80"/>
              <w:left w:val="nil"/>
              <w:right w:val="nil"/>
            </w:tcBorders>
            <w:hideMark/>
          </w:tcPr>
          <w:p w14:paraId="447101FB" w14:textId="77777777" w:rsidR="00045344" w:rsidRPr="0076724E" w:rsidRDefault="00045344" w:rsidP="0076724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Selection</w:t>
            </w:r>
          </w:p>
        </w:tc>
      </w:tr>
      <w:tr w:rsidR="00045344" w:rsidRPr="0076724E" w14:paraId="5AEFFAB4" w14:textId="77777777" w:rsidTr="00801848">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651349E0" w14:textId="77777777" w:rsidR="00045344" w:rsidRPr="0076724E" w:rsidRDefault="00045344" w:rsidP="0076724E">
            <w:pPr>
              <w:jc w:val="both"/>
              <w:rPr>
                <w:rFonts w:ascii="Times New Roman" w:hAnsi="Times New Roman" w:cs="Times New Roman"/>
                <w:b w:val="0"/>
                <w:bCs w:val="0"/>
              </w:rPr>
            </w:pPr>
            <w:proofErr w:type="gramStart"/>
            <w:r w:rsidRPr="0076724E">
              <w:rPr>
                <w:rFonts w:ascii="Times New Roman" w:hAnsi="Times New Roman" w:cs="Times New Roman"/>
                <w:b w:val="0"/>
                <w:bCs w:val="0"/>
              </w:rPr>
              <w:t>ARIMA(</w:t>
            </w:r>
            <w:proofErr w:type="gramEnd"/>
            <w:r w:rsidRPr="0076724E">
              <w:rPr>
                <w:rFonts w:ascii="Times New Roman" w:hAnsi="Times New Roman" w:cs="Times New Roman"/>
                <w:b w:val="0"/>
                <w:bCs w:val="0"/>
              </w:rPr>
              <w:t>0,1,0)</w:t>
            </w:r>
          </w:p>
        </w:tc>
        <w:tc>
          <w:tcPr>
            <w:tcW w:w="0" w:type="auto"/>
            <w:tcBorders>
              <w:top w:val="nil"/>
              <w:left w:val="nil"/>
              <w:bottom w:val="nil"/>
              <w:right w:val="nil"/>
            </w:tcBorders>
            <w:hideMark/>
          </w:tcPr>
          <w:p w14:paraId="3005F263"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1169.02</w:t>
            </w:r>
          </w:p>
        </w:tc>
        <w:tc>
          <w:tcPr>
            <w:tcW w:w="0" w:type="auto"/>
            <w:tcBorders>
              <w:top w:val="nil"/>
              <w:left w:val="nil"/>
              <w:bottom w:val="nil"/>
              <w:right w:val="nil"/>
            </w:tcBorders>
            <w:hideMark/>
          </w:tcPr>
          <w:p w14:paraId="6F309BE6"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1171.16</w:t>
            </w:r>
          </w:p>
        </w:tc>
        <w:tc>
          <w:tcPr>
            <w:tcW w:w="0" w:type="auto"/>
            <w:tcBorders>
              <w:top w:val="nil"/>
              <w:left w:val="nil"/>
              <w:bottom w:val="nil"/>
              <w:right w:val="nil"/>
            </w:tcBorders>
          </w:tcPr>
          <w:p w14:paraId="36D9C1E3"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45344" w:rsidRPr="0076724E" w14:paraId="23E6CCF7" w14:textId="77777777" w:rsidTr="00801848">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4371B20B" w14:textId="77777777" w:rsidR="00045344" w:rsidRPr="0076724E" w:rsidRDefault="00045344" w:rsidP="0076724E">
            <w:pPr>
              <w:jc w:val="both"/>
              <w:rPr>
                <w:rFonts w:ascii="Times New Roman" w:hAnsi="Times New Roman" w:cs="Times New Roman"/>
                <w:b w:val="0"/>
                <w:bCs w:val="0"/>
              </w:rPr>
            </w:pPr>
            <w:proofErr w:type="gramStart"/>
            <w:r w:rsidRPr="0076724E">
              <w:rPr>
                <w:rFonts w:ascii="Times New Roman" w:hAnsi="Times New Roman" w:cs="Times New Roman"/>
                <w:b w:val="0"/>
                <w:bCs w:val="0"/>
              </w:rPr>
              <w:t>ARIMA(</w:t>
            </w:r>
            <w:proofErr w:type="gramEnd"/>
            <w:r w:rsidRPr="0076724E">
              <w:rPr>
                <w:rFonts w:ascii="Times New Roman" w:hAnsi="Times New Roman" w:cs="Times New Roman"/>
                <w:b w:val="0"/>
                <w:bCs w:val="0"/>
              </w:rPr>
              <w:t>1,1,0)</w:t>
            </w:r>
          </w:p>
        </w:tc>
        <w:tc>
          <w:tcPr>
            <w:tcW w:w="0" w:type="auto"/>
            <w:tcBorders>
              <w:top w:val="nil"/>
              <w:left w:val="nil"/>
              <w:bottom w:val="nil"/>
              <w:right w:val="nil"/>
            </w:tcBorders>
            <w:hideMark/>
          </w:tcPr>
          <w:p w14:paraId="7BC823FD"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1134.37</w:t>
            </w:r>
          </w:p>
        </w:tc>
        <w:tc>
          <w:tcPr>
            <w:tcW w:w="0" w:type="auto"/>
            <w:tcBorders>
              <w:top w:val="nil"/>
              <w:left w:val="nil"/>
              <w:bottom w:val="nil"/>
              <w:right w:val="nil"/>
            </w:tcBorders>
            <w:hideMark/>
          </w:tcPr>
          <w:p w14:paraId="48199280"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1138.63</w:t>
            </w:r>
          </w:p>
        </w:tc>
        <w:tc>
          <w:tcPr>
            <w:tcW w:w="0" w:type="auto"/>
            <w:tcBorders>
              <w:top w:val="nil"/>
              <w:left w:val="nil"/>
              <w:bottom w:val="nil"/>
              <w:right w:val="nil"/>
            </w:tcBorders>
          </w:tcPr>
          <w:p w14:paraId="1816206E"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45344" w:rsidRPr="0076724E" w14:paraId="33519FC8" w14:textId="77777777" w:rsidTr="00801848">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6851F1A0" w14:textId="77777777" w:rsidR="00045344" w:rsidRPr="0076724E" w:rsidRDefault="00045344" w:rsidP="0076724E">
            <w:pPr>
              <w:jc w:val="both"/>
              <w:rPr>
                <w:rFonts w:ascii="Times New Roman" w:hAnsi="Times New Roman" w:cs="Times New Roman"/>
                <w:b w:val="0"/>
                <w:bCs w:val="0"/>
              </w:rPr>
            </w:pPr>
            <w:proofErr w:type="gramStart"/>
            <w:r w:rsidRPr="0076724E">
              <w:rPr>
                <w:rFonts w:ascii="Times New Roman" w:hAnsi="Times New Roman" w:cs="Times New Roman"/>
                <w:b w:val="0"/>
                <w:bCs w:val="0"/>
              </w:rPr>
              <w:t>ARIMA(</w:t>
            </w:r>
            <w:proofErr w:type="gramEnd"/>
            <w:r w:rsidRPr="0076724E">
              <w:rPr>
                <w:rFonts w:ascii="Times New Roman" w:hAnsi="Times New Roman" w:cs="Times New Roman"/>
                <w:b w:val="0"/>
                <w:bCs w:val="0"/>
              </w:rPr>
              <w:t>0,1,1)</w:t>
            </w:r>
          </w:p>
        </w:tc>
        <w:tc>
          <w:tcPr>
            <w:tcW w:w="0" w:type="auto"/>
            <w:tcBorders>
              <w:top w:val="nil"/>
              <w:left w:val="nil"/>
              <w:bottom w:val="nil"/>
              <w:right w:val="nil"/>
            </w:tcBorders>
            <w:hideMark/>
          </w:tcPr>
          <w:p w14:paraId="2AAF756C"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1151.48</w:t>
            </w:r>
          </w:p>
        </w:tc>
        <w:tc>
          <w:tcPr>
            <w:tcW w:w="0" w:type="auto"/>
            <w:tcBorders>
              <w:top w:val="nil"/>
              <w:left w:val="nil"/>
              <w:bottom w:val="nil"/>
              <w:right w:val="nil"/>
            </w:tcBorders>
            <w:hideMark/>
          </w:tcPr>
          <w:p w14:paraId="28387219"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1153.61</w:t>
            </w:r>
          </w:p>
        </w:tc>
        <w:tc>
          <w:tcPr>
            <w:tcW w:w="0" w:type="auto"/>
            <w:tcBorders>
              <w:top w:val="nil"/>
              <w:left w:val="nil"/>
              <w:bottom w:val="nil"/>
              <w:right w:val="nil"/>
            </w:tcBorders>
          </w:tcPr>
          <w:p w14:paraId="187DF5F6"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45344" w:rsidRPr="0076724E" w14:paraId="5A174209" w14:textId="77777777" w:rsidTr="00801848">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5D6B8516" w14:textId="77777777" w:rsidR="00045344" w:rsidRPr="0076724E" w:rsidRDefault="00045344" w:rsidP="0076724E">
            <w:pPr>
              <w:jc w:val="both"/>
              <w:rPr>
                <w:rFonts w:ascii="Times New Roman" w:hAnsi="Times New Roman" w:cs="Times New Roman"/>
                <w:b w:val="0"/>
                <w:bCs w:val="0"/>
              </w:rPr>
            </w:pPr>
            <w:proofErr w:type="gramStart"/>
            <w:r w:rsidRPr="0076724E">
              <w:rPr>
                <w:rFonts w:ascii="Times New Roman" w:hAnsi="Times New Roman" w:cs="Times New Roman"/>
                <w:b w:val="0"/>
                <w:bCs w:val="0"/>
              </w:rPr>
              <w:t>ARIMA(</w:t>
            </w:r>
            <w:proofErr w:type="gramEnd"/>
            <w:r w:rsidRPr="0076724E">
              <w:rPr>
                <w:rFonts w:ascii="Times New Roman" w:hAnsi="Times New Roman" w:cs="Times New Roman"/>
                <w:b w:val="0"/>
                <w:bCs w:val="0"/>
              </w:rPr>
              <w:t>1,1,1)</w:t>
            </w:r>
          </w:p>
        </w:tc>
        <w:tc>
          <w:tcPr>
            <w:tcW w:w="0" w:type="auto"/>
            <w:tcBorders>
              <w:top w:val="nil"/>
              <w:left w:val="nil"/>
              <w:bottom w:val="nil"/>
              <w:right w:val="nil"/>
            </w:tcBorders>
            <w:hideMark/>
          </w:tcPr>
          <w:p w14:paraId="00DD7723"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1134.37</w:t>
            </w:r>
          </w:p>
        </w:tc>
        <w:tc>
          <w:tcPr>
            <w:tcW w:w="0" w:type="auto"/>
            <w:tcBorders>
              <w:top w:val="nil"/>
              <w:left w:val="nil"/>
              <w:bottom w:val="nil"/>
              <w:right w:val="nil"/>
            </w:tcBorders>
            <w:hideMark/>
          </w:tcPr>
          <w:p w14:paraId="4B301A88"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1138.63</w:t>
            </w:r>
          </w:p>
        </w:tc>
        <w:tc>
          <w:tcPr>
            <w:tcW w:w="0" w:type="auto"/>
            <w:tcBorders>
              <w:top w:val="nil"/>
              <w:left w:val="nil"/>
              <w:bottom w:val="nil"/>
              <w:right w:val="nil"/>
            </w:tcBorders>
          </w:tcPr>
          <w:p w14:paraId="0F76C2AE"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45344" w:rsidRPr="0076724E" w14:paraId="1734CC43" w14:textId="77777777" w:rsidTr="00801848">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494D2F48" w14:textId="77777777" w:rsidR="00045344" w:rsidRPr="0076724E" w:rsidRDefault="00045344" w:rsidP="0076724E">
            <w:pPr>
              <w:jc w:val="both"/>
              <w:rPr>
                <w:rFonts w:ascii="Times New Roman" w:hAnsi="Times New Roman" w:cs="Times New Roman"/>
              </w:rPr>
            </w:pPr>
            <w:proofErr w:type="gramStart"/>
            <w:r w:rsidRPr="0076724E">
              <w:rPr>
                <w:rFonts w:ascii="Times New Roman" w:hAnsi="Times New Roman" w:cs="Times New Roman"/>
              </w:rPr>
              <w:t>ARIMA(</w:t>
            </w:r>
            <w:proofErr w:type="gramEnd"/>
            <w:r w:rsidRPr="0076724E">
              <w:rPr>
                <w:rFonts w:ascii="Times New Roman" w:hAnsi="Times New Roman" w:cs="Times New Roman"/>
              </w:rPr>
              <w:t>2,1,0)</w:t>
            </w:r>
          </w:p>
        </w:tc>
        <w:tc>
          <w:tcPr>
            <w:tcW w:w="0" w:type="auto"/>
            <w:tcBorders>
              <w:top w:val="nil"/>
              <w:left w:val="nil"/>
              <w:bottom w:val="nil"/>
              <w:right w:val="nil"/>
            </w:tcBorders>
            <w:hideMark/>
          </w:tcPr>
          <w:p w14:paraId="311BB918"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b/>
                <w:bCs/>
              </w:rPr>
              <w:t>1116.94</w:t>
            </w:r>
          </w:p>
        </w:tc>
        <w:tc>
          <w:tcPr>
            <w:tcW w:w="0" w:type="auto"/>
            <w:tcBorders>
              <w:top w:val="nil"/>
              <w:left w:val="nil"/>
              <w:bottom w:val="nil"/>
              <w:right w:val="nil"/>
            </w:tcBorders>
            <w:hideMark/>
          </w:tcPr>
          <w:p w14:paraId="0F98A2B1"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b/>
                <w:bCs/>
              </w:rPr>
              <w:t>1123.27</w:t>
            </w:r>
          </w:p>
        </w:tc>
        <w:tc>
          <w:tcPr>
            <w:tcW w:w="0" w:type="auto"/>
            <w:tcBorders>
              <w:top w:val="nil"/>
              <w:left w:val="nil"/>
              <w:bottom w:val="nil"/>
              <w:right w:val="nil"/>
            </w:tcBorders>
            <w:hideMark/>
          </w:tcPr>
          <w:p w14:paraId="6DA61306"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b/>
                <w:bCs/>
              </w:rPr>
              <w:t>SELECTED</w:t>
            </w:r>
          </w:p>
        </w:tc>
      </w:tr>
      <w:tr w:rsidR="00045344" w:rsidRPr="0076724E" w14:paraId="5CB02522" w14:textId="77777777" w:rsidTr="00801848">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single" w:sz="4" w:space="0" w:color="7F7F7F" w:themeColor="text1" w:themeTint="80"/>
              <w:right w:val="nil"/>
            </w:tcBorders>
            <w:hideMark/>
          </w:tcPr>
          <w:p w14:paraId="5F8CDC36" w14:textId="77777777" w:rsidR="00045344" w:rsidRPr="0076724E" w:rsidRDefault="00045344" w:rsidP="0076724E">
            <w:pPr>
              <w:jc w:val="both"/>
              <w:rPr>
                <w:rFonts w:ascii="Times New Roman" w:hAnsi="Times New Roman" w:cs="Times New Roman"/>
                <w:b w:val="0"/>
                <w:bCs w:val="0"/>
              </w:rPr>
            </w:pPr>
            <w:proofErr w:type="gramStart"/>
            <w:r w:rsidRPr="0076724E">
              <w:rPr>
                <w:rFonts w:ascii="Times New Roman" w:hAnsi="Times New Roman" w:cs="Times New Roman"/>
                <w:b w:val="0"/>
                <w:bCs w:val="0"/>
              </w:rPr>
              <w:t>ARIMA(</w:t>
            </w:r>
            <w:proofErr w:type="gramEnd"/>
            <w:r w:rsidRPr="0076724E">
              <w:rPr>
                <w:rFonts w:ascii="Times New Roman" w:hAnsi="Times New Roman" w:cs="Times New Roman"/>
                <w:b w:val="0"/>
                <w:bCs w:val="0"/>
              </w:rPr>
              <w:t>2,1,1)</w:t>
            </w:r>
          </w:p>
        </w:tc>
        <w:tc>
          <w:tcPr>
            <w:tcW w:w="0" w:type="auto"/>
            <w:tcBorders>
              <w:top w:val="nil"/>
              <w:left w:val="nil"/>
              <w:bottom w:val="single" w:sz="4" w:space="0" w:color="7F7F7F" w:themeColor="text1" w:themeTint="80"/>
              <w:right w:val="nil"/>
            </w:tcBorders>
            <w:hideMark/>
          </w:tcPr>
          <w:p w14:paraId="39E8F476"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1116.94</w:t>
            </w:r>
          </w:p>
        </w:tc>
        <w:tc>
          <w:tcPr>
            <w:tcW w:w="0" w:type="auto"/>
            <w:tcBorders>
              <w:top w:val="nil"/>
              <w:left w:val="nil"/>
              <w:bottom w:val="single" w:sz="4" w:space="0" w:color="7F7F7F" w:themeColor="text1" w:themeTint="80"/>
              <w:right w:val="nil"/>
            </w:tcBorders>
            <w:hideMark/>
          </w:tcPr>
          <w:p w14:paraId="38F71B79"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1123.27</w:t>
            </w:r>
          </w:p>
        </w:tc>
        <w:tc>
          <w:tcPr>
            <w:tcW w:w="0" w:type="auto"/>
            <w:tcBorders>
              <w:top w:val="nil"/>
              <w:left w:val="nil"/>
              <w:bottom w:val="single" w:sz="4" w:space="0" w:color="7F7F7F" w:themeColor="text1" w:themeTint="80"/>
              <w:right w:val="nil"/>
            </w:tcBorders>
          </w:tcPr>
          <w:p w14:paraId="7AE5CB2B"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6C8D7492" w14:textId="77777777" w:rsidR="00045344" w:rsidRPr="0076724E" w:rsidRDefault="00045344" w:rsidP="0076724E">
      <w:pPr>
        <w:spacing w:after="0" w:line="240" w:lineRule="auto"/>
        <w:jc w:val="both"/>
        <w:rPr>
          <w:rFonts w:ascii="Times New Roman" w:hAnsi="Times New Roman" w:cs="Times New Roman"/>
          <w:i/>
          <w:iCs/>
          <w:sz w:val="24"/>
          <w:szCs w:val="24"/>
          <w:lang w:val="en-GB"/>
        </w:rPr>
      </w:pPr>
      <w:r w:rsidRPr="0076724E">
        <w:rPr>
          <w:rFonts w:ascii="Times New Roman" w:hAnsi="Times New Roman" w:cs="Times New Roman"/>
          <w:b/>
          <w:i/>
          <w:iCs/>
          <w:sz w:val="24"/>
          <w:szCs w:val="24"/>
          <w:lang w:val="en-GB"/>
        </w:rPr>
        <w:t>Note:</w:t>
      </w:r>
      <w:r w:rsidRPr="0076724E">
        <w:rPr>
          <w:rFonts w:ascii="Times New Roman" w:hAnsi="Times New Roman" w:cs="Times New Roman"/>
          <w:i/>
          <w:iCs/>
          <w:sz w:val="24"/>
          <w:szCs w:val="24"/>
          <w:lang w:val="en-GB"/>
        </w:rPr>
        <w:t xml:space="preserve"> AIC = Akaike Information Criterion; BIC = Bayesian Information Criterion. Lower values indicate better fit.</w:t>
      </w:r>
    </w:p>
    <w:p w14:paraId="09BE0279" w14:textId="77777777" w:rsidR="00045344" w:rsidRPr="0076724E" w:rsidRDefault="00045344" w:rsidP="0076724E">
      <w:pPr>
        <w:spacing w:after="0" w:line="240" w:lineRule="auto"/>
        <w:jc w:val="both"/>
        <w:rPr>
          <w:rFonts w:ascii="Times New Roman" w:hAnsi="Times New Roman" w:cs="Times New Roman"/>
          <w:sz w:val="24"/>
          <w:szCs w:val="24"/>
          <w:lang w:val="en-GB"/>
        </w:rPr>
      </w:pPr>
    </w:p>
    <w:p w14:paraId="59719221" w14:textId="77777777" w:rsidR="00045344" w:rsidRPr="0076724E" w:rsidRDefault="00045344" w:rsidP="0076724E">
      <w:pPr>
        <w:spacing w:after="0" w:line="240" w:lineRule="auto"/>
        <w:jc w:val="both"/>
        <w:rPr>
          <w:rFonts w:ascii="Times New Roman" w:hAnsi="Times New Roman" w:cs="Times New Roman"/>
          <w:sz w:val="24"/>
          <w:szCs w:val="24"/>
          <w:lang w:val="en-GB"/>
        </w:rPr>
      </w:pPr>
      <w:r w:rsidRPr="0076724E">
        <w:rPr>
          <w:rFonts w:ascii="Times New Roman" w:hAnsi="Times New Roman" w:cs="Times New Roman"/>
          <w:sz w:val="24"/>
          <w:szCs w:val="24"/>
          <w:lang w:val="en-GB"/>
        </w:rPr>
        <w:t>The ARIMA (2,1,0) model yielded the lowest AIC (1116.94) and BIC (1123.27) values among all candidate specifications. Although ARIMA (2,1,1) produced identical information criteria values, the principle of parsimony favoured the simpler ARIMA (2,1,0) specification without the MA component. This model includes two autoregressive terms with first-order differencing, capturing the mean-reverting dynamics observed in the differenced series.</w:t>
      </w:r>
    </w:p>
    <w:p w14:paraId="74FFE256" w14:textId="67D0EBCE" w:rsidR="00045344" w:rsidRPr="0076724E" w:rsidRDefault="00B84E1A" w:rsidP="0076724E">
      <w:pPr>
        <w:pStyle w:val="Heading2"/>
        <w:spacing w:line="240" w:lineRule="auto"/>
        <w:rPr>
          <w:rFonts w:ascii="Times New Roman" w:hAnsi="Times New Roman" w:cs="Times New Roman"/>
          <w:b/>
          <w:bCs/>
          <w:color w:val="auto"/>
          <w:sz w:val="24"/>
          <w:szCs w:val="24"/>
          <w:lang w:val="en-GB"/>
        </w:rPr>
      </w:pPr>
      <w:bookmarkStart w:id="20" w:name="_Toc220325819"/>
      <w:r w:rsidRPr="0076724E">
        <w:rPr>
          <w:rFonts w:ascii="Times New Roman" w:hAnsi="Times New Roman" w:cs="Times New Roman"/>
          <w:b/>
          <w:bCs/>
          <w:color w:val="auto"/>
          <w:sz w:val="24"/>
          <w:szCs w:val="24"/>
          <w:lang w:val="en-GB"/>
        </w:rPr>
        <w:t>4</w:t>
      </w:r>
      <w:r w:rsidR="00045344" w:rsidRPr="0076724E">
        <w:rPr>
          <w:rFonts w:ascii="Times New Roman" w:hAnsi="Times New Roman" w:cs="Times New Roman"/>
          <w:b/>
          <w:bCs/>
          <w:color w:val="auto"/>
          <w:sz w:val="24"/>
          <w:szCs w:val="24"/>
          <w:lang w:val="en-GB"/>
        </w:rPr>
        <w:t xml:space="preserve">.4 Model </w:t>
      </w:r>
      <w:r w:rsidR="003A6C85" w:rsidRPr="003A6C85">
        <w:rPr>
          <w:rFonts w:ascii="Times New Roman" w:hAnsi="Times New Roman" w:cs="Times New Roman"/>
          <w:b/>
          <w:bCs/>
          <w:color w:val="auto"/>
          <w:sz w:val="24"/>
          <w:szCs w:val="24"/>
          <w:lang w:val="en-GB"/>
        </w:rPr>
        <w:t>diagnostic results</w:t>
      </w:r>
      <w:bookmarkEnd w:id="20"/>
    </w:p>
    <w:p w14:paraId="179B0218" w14:textId="77777777" w:rsidR="00045344" w:rsidRPr="0076724E" w:rsidRDefault="00045344" w:rsidP="0076724E">
      <w:pPr>
        <w:spacing w:after="0" w:line="240" w:lineRule="auto"/>
        <w:jc w:val="both"/>
        <w:rPr>
          <w:rFonts w:ascii="Times New Roman" w:hAnsi="Times New Roman" w:cs="Times New Roman"/>
          <w:sz w:val="24"/>
          <w:szCs w:val="24"/>
          <w:lang w:val="en-GB"/>
        </w:rPr>
      </w:pPr>
      <w:r w:rsidRPr="0076724E">
        <w:rPr>
          <w:rFonts w:ascii="Times New Roman" w:hAnsi="Times New Roman" w:cs="Times New Roman"/>
          <w:sz w:val="24"/>
          <w:szCs w:val="24"/>
          <w:lang w:val="en-GB"/>
        </w:rPr>
        <w:t>Comprehensive diagnostic tests were conducted to validate the adequacy of the selected ARIMA (2,1,0) model. Table 4 summari</w:t>
      </w:r>
      <w:r w:rsidR="00E3023D" w:rsidRPr="0076724E">
        <w:rPr>
          <w:rFonts w:ascii="Times New Roman" w:hAnsi="Times New Roman" w:cs="Times New Roman"/>
          <w:sz w:val="24"/>
          <w:szCs w:val="24"/>
          <w:lang w:val="en-GB"/>
        </w:rPr>
        <w:t>s</w:t>
      </w:r>
      <w:r w:rsidRPr="0076724E">
        <w:rPr>
          <w:rFonts w:ascii="Times New Roman" w:hAnsi="Times New Roman" w:cs="Times New Roman"/>
          <w:sz w:val="24"/>
          <w:szCs w:val="24"/>
          <w:lang w:val="en-GB"/>
        </w:rPr>
        <w:t>es the residual diagnostic statistics.</w:t>
      </w:r>
    </w:p>
    <w:p w14:paraId="30AC0825" w14:textId="77777777" w:rsidR="00045344" w:rsidRPr="0076724E" w:rsidRDefault="00045344" w:rsidP="0076724E">
      <w:pPr>
        <w:spacing w:after="0" w:line="240" w:lineRule="auto"/>
        <w:jc w:val="both"/>
        <w:rPr>
          <w:rFonts w:ascii="Times New Roman" w:hAnsi="Times New Roman" w:cs="Times New Roman"/>
          <w:sz w:val="24"/>
          <w:szCs w:val="24"/>
          <w:lang w:val="en-GB"/>
        </w:rPr>
      </w:pPr>
    </w:p>
    <w:p w14:paraId="52C13A79" w14:textId="06840CAC" w:rsidR="00045344" w:rsidRPr="0076724E" w:rsidRDefault="00045344" w:rsidP="0076724E">
      <w:pPr>
        <w:pStyle w:val="Caption"/>
        <w:rPr>
          <w:rFonts w:ascii="Times New Roman" w:hAnsi="Times New Roman" w:cs="Times New Roman"/>
          <w:b/>
          <w:bCs/>
          <w:i w:val="0"/>
          <w:iCs w:val="0"/>
          <w:color w:val="auto"/>
          <w:sz w:val="24"/>
          <w:szCs w:val="24"/>
          <w:lang w:val="en-GB"/>
        </w:rPr>
      </w:pPr>
      <w:r w:rsidRPr="0076724E">
        <w:rPr>
          <w:rFonts w:ascii="Times New Roman" w:hAnsi="Times New Roman" w:cs="Times New Roman"/>
          <w:b/>
          <w:bCs/>
          <w:i w:val="0"/>
          <w:iCs w:val="0"/>
          <w:color w:val="auto"/>
          <w:sz w:val="24"/>
          <w:szCs w:val="24"/>
        </w:rPr>
        <w:t xml:space="preserve">Table 4: Residual </w:t>
      </w:r>
      <w:r w:rsidR="003A6C85" w:rsidRPr="003A6C85">
        <w:rPr>
          <w:rFonts w:ascii="Times New Roman" w:hAnsi="Times New Roman" w:cs="Times New Roman"/>
          <w:b/>
          <w:bCs/>
          <w:i w:val="0"/>
          <w:iCs w:val="0"/>
          <w:color w:val="auto"/>
          <w:sz w:val="24"/>
          <w:szCs w:val="24"/>
        </w:rPr>
        <w:t xml:space="preserve">diagnostic statistics for </w:t>
      </w:r>
      <w:r w:rsidRPr="0076724E">
        <w:rPr>
          <w:rFonts w:ascii="Times New Roman" w:hAnsi="Times New Roman" w:cs="Times New Roman"/>
          <w:b/>
          <w:bCs/>
          <w:i w:val="0"/>
          <w:iCs w:val="0"/>
          <w:color w:val="auto"/>
          <w:sz w:val="24"/>
          <w:szCs w:val="24"/>
        </w:rPr>
        <w:t xml:space="preserve">ARIMA (2,1,0) </w:t>
      </w:r>
      <w:r w:rsidR="003A6C85" w:rsidRPr="003A6C85">
        <w:rPr>
          <w:rFonts w:ascii="Times New Roman" w:hAnsi="Times New Roman" w:cs="Times New Roman"/>
          <w:b/>
          <w:bCs/>
          <w:i w:val="0"/>
          <w:iCs w:val="0"/>
          <w:color w:val="auto"/>
          <w:sz w:val="24"/>
          <w:szCs w:val="24"/>
        </w:rPr>
        <w:t>model</w:t>
      </w:r>
    </w:p>
    <w:tbl>
      <w:tblPr>
        <w:tblStyle w:val="PlainTable2"/>
        <w:tblW w:w="5000" w:type="pct"/>
        <w:tblLook w:val="06A0" w:firstRow="1" w:lastRow="0" w:firstColumn="1" w:lastColumn="0" w:noHBand="1" w:noVBand="1"/>
      </w:tblPr>
      <w:tblGrid>
        <w:gridCol w:w="4529"/>
        <w:gridCol w:w="2214"/>
        <w:gridCol w:w="2617"/>
      </w:tblGrid>
      <w:tr w:rsidR="00045344" w:rsidRPr="0076724E" w14:paraId="038934F1" w14:textId="77777777" w:rsidTr="008018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tcBorders>
              <w:top w:val="single" w:sz="4" w:space="0" w:color="7F7F7F" w:themeColor="text1" w:themeTint="80"/>
              <w:left w:val="nil"/>
              <w:right w:val="nil"/>
            </w:tcBorders>
            <w:hideMark/>
          </w:tcPr>
          <w:p w14:paraId="59ED154A" w14:textId="77777777" w:rsidR="00045344" w:rsidRPr="0076724E" w:rsidRDefault="00045344" w:rsidP="0076724E">
            <w:pPr>
              <w:jc w:val="both"/>
              <w:rPr>
                <w:rFonts w:ascii="Times New Roman" w:hAnsi="Times New Roman" w:cs="Times New Roman"/>
              </w:rPr>
            </w:pPr>
            <w:r w:rsidRPr="0076724E">
              <w:rPr>
                <w:rFonts w:ascii="Times New Roman" w:hAnsi="Times New Roman" w:cs="Times New Roman"/>
              </w:rPr>
              <w:t>Diagnostic Test/Statistic</w:t>
            </w:r>
          </w:p>
        </w:tc>
        <w:tc>
          <w:tcPr>
            <w:tcW w:w="2200" w:type="dxa"/>
            <w:tcBorders>
              <w:top w:val="single" w:sz="4" w:space="0" w:color="7F7F7F" w:themeColor="text1" w:themeTint="80"/>
              <w:left w:val="nil"/>
              <w:right w:val="nil"/>
            </w:tcBorders>
            <w:hideMark/>
          </w:tcPr>
          <w:p w14:paraId="77568FD8" w14:textId="77777777" w:rsidR="00045344" w:rsidRPr="0076724E" w:rsidRDefault="00045344" w:rsidP="0076724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Value</w:t>
            </w:r>
          </w:p>
        </w:tc>
        <w:tc>
          <w:tcPr>
            <w:tcW w:w="2600" w:type="dxa"/>
            <w:tcBorders>
              <w:top w:val="single" w:sz="4" w:space="0" w:color="7F7F7F" w:themeColor="text1" w:themeTint="80"/>
              <w:left w:val="nil"/>
              <w:right w:val="nil"/>
            </w:tcBorders>
            <w:hideMark/>
          </w:tcPr>
          <w:p w14:paraId="4ED95B1D" w14:textId="77777777" w:rsidR="00045344" w:rsidRPr="0076724E" w:rsidRDefault="00045344" w:rsidP="0076724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Interpretation</w:t>
            </w:r>
          </w:p>
        </w:tc>
      </w:tr>
      <w:tr w:rsidR="00045344" w:rsidRPr="0076724E" w14:paraId="4C64A6D2" w14:textId="77777777" w:rsidTr="00801848">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41C0A704" w14:textId="77777777" w:rsidR="00045344" w:rsidRPr="0076724E" w:rsidRDefault="00045344" w:rsidP="0076724E">
            <w:pPr>
              <w:jc w:val="both"/>
              <w:rPr>
                <w:rFonts w:ascii="Times New Roman" w:hAnsi="Times New Roman" w:cs="Times New Roman"/>
                <w:b w:val="0"/>
                <w:bCs w:val="0"/>
              </w:rPr>
            </w:pPr>
            <w:r w:rsidRPr="0076724E">
              <w:rPr>
                <w:rFonts w:ascii="Times New Roman" w:hAnsi="Times New Roman" w:cs="Times New Roman"/>
                <w:b w:val="0"/>
                <w:bCs w:val="0"/>
              </w:rPr>
              <w:t>Residual Mean</w:t>
            </w:r>
          </w:p>
        </w:tc>
        <w:tc>
          <w:tcPr>
            <w:tcW w:w="0" w:type="auto"/>
            <w:tcBorders>
              <w:top w:val="nil"/>
              <w:left w:val="nil"/>
              <w:bottom w:val="nil"/>
              <w:right w:val="nil"/>
            </w:tcBorders>
            <w:hideMark/>
          </w:tcPr>
          <w:p w14:paraId="16D41767" w14:textId="77777777" w:rsidR="00045344" w:rsidRPr="0076724E" w:rsidRDefault="00045344" w:rsidP="0076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0.0000</w:t>
            </w:r>
          </w:p>
        </w:tc>
        <w:tc>
          <w:tcPr>
            <w:tcW w:w="0" w:type="auto"/>
            <w:tcBorders>
              <w:top w:val="nil"/>
              <w:left w:val="nil"/>
              <w:bottom w:val="nil"/>
              <w:right w:val="nil"/>
            </w:tcBorders>
            <w:hideMark/>
          </w:tcPr>
          <w:p w14:paraId="619280D0" w14:textId="77777777" w:rsidR="00045344" w:rsidRPr="0076724E" w:rsidRDefault="00045344" w:rsidP="0076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Unbiased</w:t>
            </w:r>
          </w:p>
        </w:tc>
      </w:tr>
      <w:tr w:rsidR="00045344" w:rsidRPr="0076724E" w14:paraId="04A8DF5D" w14:textId="77777777" w:rsidTr="00801848">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4C609869" w14:textId="77777777" w:rsidR="00045344" w:rsidRPr="0076724E" w:rsidRDefault="00045344" w:rsidP="0076724E">
            <w:pPr>
              <w:jc w:val="both"/>
              <w:rPr>
                <w:rFonts w:ascii="Times New Roman" w:hAnsi="Times New Roman" w:cs="Times New Roman"/>
                <w:b w:val="0"/>
                <w:bCs w:val="0"/>
              </w:rPr>
            </w:pPr>
            <w:r w:rsidRPr="0076724E">
              <w:rPr>
                <w:rFonts w:ascii="Times New Roman" w:hAnsi="Times New Roman" w:cs="Times New Roman"/>
                <w:b w:val="0"/>
                <w:bCs w:val="0"/>
              </w:rPr>
              <w:t>Residual Std. Deviation</w:t>
            </w:r>
          </w:p>
        </w:tc>
        <w:tc>
          <w:tcPr>
            <w:tcW w:w="0" w:type="auto"/>
            <w:tcBorders>
              <w:top w:val="nil"/>
              <w:left w:val="nil"/>
              <w:bottom w:val="nil"/>
              <w:right w:val="nil"/>
            </w:tcBorders>
            <w:hideMark/>
          </w:tcPr>
          <w:p w14:paraId="30C3D0FB" w14:textId="77777777" w:rsidR="00045344" w:rsidRPr="0076724E" w:rsidRDefault="00045344" w:rsidP="0076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9,009.67</w:t>
            </w:r>
          </w:p>
        </w:tc>
        <w:tc>
          <w:tcPr>
            <w:tcW w:w="0" w:type="auto"/>
            <w:tcBorders>
              <w:top w:val="nil"/>
              <w:left w:val="nil"/>
              <w:bottom w:val="nil"/>
              <w:right w:val="nil"/>
            </w:tcBorders>
            <w:hideMark/>
          </w:tcPr>
          <w:p w14:paraId="6335090B" w14:textId="77777777" w:rsidR="00045344" w:rsidRPr="0076724E" w:rsidRDefault="00045344" w:rsidP="0076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High volatility</w:t>
            </w:r>
          </w:p>
        </w:tc>
      </w:tr>
      <w:tr w:rsidR="00045344" w:rsidRPr="0076724E" w14:paraId="1578EC09" w14:textId="77777777" w:rsidTr="00801848">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5D8DA9A2" w14:textId="77777777" w:rsidR="00045344" w:rsidRPr="0076724E" w:rsidRDefault="00045344" w:rsidP="0076724E">
            <w:pPr>
              <w:jc w:val="both"/>
              <w:rPr>
                <w:rFonts w:ascii="Times New Roman" w:hAnsi="Times New Roman" w:cs="Times New Roman"/>
                <w:b w:val="0"/>
                <w:bCs w:val="0"/>
              </w:rPr>
            </w:pPr>
            <w:r w:rsidRPr="0076724E">
              <w:rPr>
                <w:rFonts w:ascii="Times New Roman" w:hAnsi="Times New Roman" w:cs="Times New Roman"/>
                <w:b w:val="0"/>
                <w:bCs w:val="0"/>
              </w:rPr>
              <w:t>Skewness</w:t>
            </w:r>
          </w:p>
        </w:tc>
        <w:tc>
          <w:tcPr>
            <w:tcW w:w="0" w:type="auto"/>
            <w:tcBorders>
              <w:top w:val="nil"/>
              <w:left w:val="nil"/>
              <w:bottom w:val="nil"/>
              <w:right w:val="nil"/>
            </w:tcBorders>
            <w:hideMark/>
          </w:tcPr>
          <w:p w14:paraId="1EB18432" w14:textId="77777777" w:rsidR="00045344" w:rsidRPr="0076724E" w:rsidRDefault="00045344" w:rsidP="0076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6.93</w:t>
            </w:r>
          </w:p>
        </w:tc>
        <w:tc>
          <w:tcPr>
            <w:tcW w:w="0" w:type="auto"/>
            <w:tcBorders>
              <w:top w:val="nil"/>
              <w:left w:val="nil"/>
              <w:bottom w:val="nil"/>
              <w:right w:val="nil"/>
            </w:tcBorders>
            <w:hideMark/>
          </w:tcPr>
          <w:p w14:paraId="1B292B90" w14:textId="77777777" w:rsidR="00045344" w:rsidRPr="0076724E" w:rsidRDefault="00045344" w:rsidP="0076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Right-skewed</w:t>
            </w:r>
          </w:p>
        </w:tc>
      </w:tr>
      <w:tr w:rsidR="00045344" w:rsidRPr="0076724E" w14:paraId="4B1EE371" w14:textId="77777777" w:rsidTr="00801848">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5B03DC00" w14:textId="77777777" w:rsidR="00045344" w:rsidRPr="0076724E" w:rsidRDefault="00045344" w:rsidP="0076724E">
            <w:pPr>
              <w:jc w:val="both"/>
              <w:rPr>
                <w:rFonts w:ascii="Times New Roman" w:hAnsi="Times New Roman" w:cs="Times New Roman"/>
                <w:b w:val="0"/>
                <w:bCs w:val="0"/>
              </w:rPr>
            </w:pPr>
            <w:r w:rsidRPr="0076724E">
              <w:rPr>
                <w:rFonts w:ascii="Times New Roman" w:hAnsi="Times New Roman" w:cs="Times New Roman"/>
                <w:b w:val="0"/>
                <w:bCs w:val="0"/>
              </w:rPr>
              <w:t>Kurtosis</w:t>
            </w:r>
          </w:p>
        </w:tc>
        <w:tc>
          <w:tcPr>
            <w:tcW w:w="0" w:type="auto"/>
            <w:tcBorders>
              <w:top w:val="nil"/>
              <w:left w:val="nil"/>
              <w:bottom w:val="nil"/>
              <w:right w:val="nil"/>
            </w:tcBorders>
            <w:hideMark/>
          </w:tcPr>
          <w:p w14:paraId="3E1BD7D2" w14:textId="77777777" w:rsidR="00045344" w:rsidRPr="0076724E" w:rsidRDefault="00045344" w:rsidP="0076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49.13</w:t>
            </w:r>
          </w:p>
        </w:tc>
        <w:tc>
          <w:tcPr>
            <w:tcW w:w="0" w:type="auto"/>
            <w:tcBorders>
              <w:top w:val="nil"/>
              <w:left w:val="nil"/>
              <w:bottom w:val="nil"/>
              <w:right w:val="nil"/>
            </w:tcBorders>
            <w:hideMark/>
          </w:tcPr>
          <w:p w14:paraId="4D337BBD" w14:textId="77777777" w:rsidR="00045344" w:rsidRPr="0076724E" w:rsidRDefault="00045344" w:rsidP="0076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Leptokurtic</w:t>
            </w:r>
          </w:p>
        </w:tc>
      </w:tr>
      <w:tr w:rsidR="00045344" w:rsidRPr="0076724E" w14:paraId="4D720F2E" w14:textId="77777777" w:rsidTr="00801848">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7B084176" w14:textId="77777777" w:rsidR="00045344" w:rsidRPr="0076724E" w:rsidRDefault="00045344" w:rsidP="0076724E">
            <w:pPr>
              <w:jc w:val="both"/>
              <w:rPr>
                <w:rFonts w:ascii="Times New Roman" w:hAnsi="Times New Roman" w:cs="Times New Roman"/>
                <w:b w:val="0"/>
                <w:bCs w:val="0"/>
              </w:rPr>
            </w:pPr>
            <w:r w:rsidRPr="0076724E">
              <w:rPr>
                <w:rFonts w:ascii="Times New Roman" w:hAnsi="Times New Roman" w:cs="Times New Roman"/>
                <w:b w:val="0"/>
                <w:bCs w:val="0"/>
              </w:rPr>
              <w:t>Shapiro-Wilk W Statistic</w:t>
            </w:r>
          </w:p>
        </w:tc>
        <w:tc>
          <w:tcPr>
            <w:tcW w:w="0" w:type="auto"/>
            <w:tcBorders>
              <w:top w:val="nil"/>
              <w:left w:val="nil"/>
              <w:bottom w:val="nil"/>
              <w:right w:val="nil"/>
            </w:tcBorders>
            <w:hideMark/>
          </w:tcPr>
          <w:p w14:paraId="06C43CCA" w14:textId="77777777" w:rsidR="00045344" w:rsidRPr="0076724E" w:rsidRDefault="00045344" w:rsidP="0076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0.221</w:t>
            </w:r>
          </w:p>
        </w:tc>
        <w:tc>
          <w:tcPr>
            <w:tcW w:w="0" w:type="auto"/>
            <w:tcBorders>
              <w:top w:val="nil"/>
              <w:left w:val="nil"/>
              <w:bottom w:val="nil"/>
              <w:right w:val="nil"/>
            </w:tcBorders>
            <w:hideMark/>
          </w:tcPr>
          <w:p w14:paraId="315CBAAB" w14:textId="77777777" w:rsidR="00045344" w:rsidRPr="0076724E" w:rsidRDefault="00045344" w:rsidP="0076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Non-normal (p&lt;0.001)</w:t>
            </w:r>
          </w:p>
        </w:tc>
      </w:tr>
      <w:tr w:rsidR="00045344" w:rsidRPr="0076724E" w14:paraId="64043966" w14:textId="77777777" w:rsidTr="00801848">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single" w:sz="4" w:space="0" w:color="7F7F7F" w:themeColor="text1" w:themeTint="80"/>
              <w:right w:val="nil"/>
            </w:tcBorders>
            <w:hideMark/>
          </w:tcPr>
          <w:p w14:paraId="2BBD487B" w14:textId="77777777" w:rsidR="00045344" w:rsidRPr="0076724E" w:rsidRDefault="00045344" w:rsidP="0076724E">
            <w:pPr>
              <w:jc w:val="both"/>
              <w:rPr>
                <w:rFonts w:ascii="Times New Roman" w:hAnsi="Times New Roman" w:cs="Times New Roman"/>
                <w:b w:val="0"/>
                <w:bCs w:val="0"/>
              </w:rPr>
            </w:pPr>
            <w:r w:rsidRPr="0076724E">
              <w:rPr>
                <w:rFonts w:ascii="Times New Roman" w:hAnsi="Times New Roman" w:cs="Times New Roman"/>
                <w:b w:val="0"/>
                <w:bCs w:val="0"/>
              </w:rPr>
              <w:t>ACF at Lag 1 (Residuals)</w:t>
            </w:r>
          </w:p>
        </w:tc>
        <w:tc>
          <w:tcPr>
            <w:tcW w:w="0" w:type="auto"/>
            <w:tcBorders>
              <w:top w:val="nil"/>
              <w:left w:val="nil"/>
              <w:bottom w:val="single" w:sz="4" w:space="0" w:color="7F7F7F" w:themeColor="text1" w:themeTint="80"/>
              <w:right w:val="nil"/>
            </w:tcBorders>
            <w:hideMark/>
          </w:tcPr>
          <w:p w14:paraId="17925853" w14:textId="77777777" w:rsidR="00045344" w:rsidRPr="0076724E" w:rsidRDefault="00045344" w:rsidP="0076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-0.02</w:t>
            </w:r>
          </w:p>
        </w:tc>
        <w:tc>
          <w:tcPr>
            <w:tcW w:w="0" w:type="auto"/>
            <w:tcBorders>
              <w:top w:val="nil"/>
              <w:left w:val="nil"/>
              <w:bottom w:val="single" w:sz="4" w:space="0" w:color="7F7F7F" w:themeColor="text1" w:themeTint="80"/>
              <w:right w:val="nil"/>
            </w:tcBorders>
            <w:hideMark/>
          </w:tcPr>
          <w:p w14:paraId="6453201F" w14:textId="77777777" w:rsidR="00045344" w:rsidRPr="0076724E" w:rsidRDefault="00045344" w:rsidP="0076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Within 95% bounds</w:t>
            </w:r>
          </w:p>
        </w:tc>
      </w:tr>
    </w:tbl>
    <w:p w14:paraId="111AECBA" w14:textId="77777777" w:rsidR="00045344" w:rsidRPr="0076724E" w:rsidRDefault="00045344" w:rsidP="0076724E">
      <w:pPr>
        <w:spacing w:after="0" w:line="240" w:lineRule="auto"/>
        <w:jc w:val="both"/>
        <w:rPr>
          <w:rFonts w:ascii="Times New Roman" w:hAnsi="Times New Roman" w:cs="Times New Roman"/>
          <w:i/>
          <w:iCs/>
          <w:sz w:val="24"/>
          <w:szCs w:val="24"/>
          <w:lang w:val="en-GB"/>
        </w:rPr>
      </w:pPr>
      <w:r w:rsidRPr="0076724E">
        <w:rPr>
          <w:rFonts w:ascii="Times New Roman" w:hAnsi="Times New Roman" w:cs="Times New Roman"/>
          <w:b/>
          <w:i/>
          <w:iCs/>
          <w:sz w:val="24"/>
          <w:szCs w:val="24"/>
          <w:lang w:val="en-GB"/>
        </w:rPr>
        <w:t>Note:</w:t>
      </w:r>
      <w:r w:rsidRPr="0076724E">
        <w:rPr>
          <w:rFonts w:ascii="Times New Roman" w:hAnsi="Times New Roman" w:cs="Times New Roman"/>
          <w:i/>
          <w:iCs/>
          <w:sz w:val="24"/>
          <w:szCs w:val="24"/>
          <w:lang w:val="en-GB"/>
        </w:rPr>
        <w:t xml:space="preserve"> 95% confidence bounds for ACF: ±0.247</w:t>
      </w:r>
    </w:p>
    <w:p w14:paraId="50F859E9" w14:textId="77777777" w:rsidR="00045344" w:rsidRPr="0076724E" w:rsidRDefault="00045344" w:rsidP="0076724E">
      <w:pPr>
        <w:spacing w:before="240" w:after="0" w:line="240" w:lineRule="auto"/>
        <w:jc w:val="both"/>
        <w:rPr>
          <w:rFonts w:ascii="Times New Roman" w:hAnsi="Times New Roman" w:cs="Times New Roman"/>
          <w:sz w:val="24"/>
          <w:szCs w:val="24"/>
          <w:lang w:val="en-GB"/>
        </w:rPr>
      </w:pPr>
      <w:r w:rsidRPr="0076724E">
        <w:rPr>
          <w:rFonts w:ascii="Times New Roman" w:hAnsi="Times New Roman" w:cs="Times New Roman"/>
          <w:sz w:val="24"/>
          <w:szCs w:val="24"/>
          <w:lang w:val="en-GB"/>
        </w:rPr>
        <w:t xml:space="preserve">The diagnostic results reveal both strengths and limitations of the model. On the positive side, the residuals exhibited a mean of exactly zero, indicating unbiased forecasts, and the ACF of residuals at all lags fell within the 95% confidence bounds (±0.247), confirming the absence of significant </w:t>
      </w:r>
      <w:r w:rsidRPr="0076724E">
        <w:rPr>
          <w:rFonts w:ascii="Times New Roman" w:hAnsi="Times New Roman" w:cs="Times New Roman"/>
          <w:sz w:val="24"/>
          <w:szCs w:val="24"/>
          <w:lang w:val="en-GB"/>
        </w:rPr>
        <w:lastRenderedPageBreak/>
        <w:t xml:space="preserve">autocorrelation in the residuals. This suggests the </w:t>
      </w:r>
      <w:proofErr w:type="gramStart"/>
      <w:r w:rsidRPr="0076724E">
        <w:rPr>
          <w:rFonts w:ascii="Times New Roman" w:hAnsi="Times New Roman" w:cs="Times New Roman"/>
          <w:sz w:val="24"/>
          <w:szCs w:val="24"/>
          <w:lang w:val="en-GB"/>
        </w:rPr>
        <w:t>AR(</w:t>
      </w:r>
      <w:proofErr w:type="gramEnd"/>
      <w:r w:rsidRPr="0076724E">
        <w:rPr>
          <w:rFonts w:ascii="Times New Roman" w:hAnsi="Times New Roman" w:cs="Times New Roman"/>
          <w:sz w:val="24"/>
          <w:szCs w:val="24"/>
          <w:lang w:val="en-GB"/>
        </w:rPr>
        <w:t>2) specification adequately captured the temporal dependence structure.</w:t>
      </w:r>
    </w:p>
    <w:p w14:paraId="629E1E47" w14:textId="77777777" w:rsidR="00045344" w:rsidRPr="0076724E" w:rsidRDefault="00045344" w:rsidP="0076724E">
      <w:pPr>
        <w:spacing w:before="240" w:after="0" w:line="240" w:lineRule="auto"/>
        <w:jc w:val="both"/>
        <w:rPr>
          <w:rFonts w:ascii="Times New Roman" w:hAnsi="Times New Roman" w:cs="Times New Roman"/>
          <w:sz w:val="24"/>
          <w:szCs w:val="24"/>
          <w:lang w:val="en-GB"/>
        </w:rPr>
      </w:pPr>
      <w:r w:rsidRPr="0076724E">
        <w:rPr>
          <w:rFonts w:ascii="Times New Roman" w:hAnsi="Times New Roman" w:cs="Times New Roman"/>
          <w:sz w:val="24"/>
          <w:szCs w:val="24"/>
          <w:lang w:val="en-GB"/>
        </w:rPr>
        <w:t>However, the Shapiro-Wilk test (W = 0.221, p &lt; 0.001) decisively rejected the null hypothesis of normally distributed residuals. The high positive skewness (6.93) and excess kurtosis (49.13) indicate a leptokurtic distribution with heavy right tails, attributable to the extreme export values observed in 2022 (73,402 MT). These outliers represent genuine structural shifts in Tanzania's cassava export sector rather than data errors.</w:t>
      </w:r>
    </w:p>
    <w:p w14:paraId="66FC7371" w14:textId="77777777" w:rsidR="00045344" w:rsidRPr="0076724E" w:rsidRDefault="00045344" w:rsidP="0076724E">
      <w:pPr>
        <w:spacing w:before="240" w:after="0" w:line="240" w:lineRule="auto"/>
        <w:jc w:val="both"/>
        <w:rPr>
          <w:rFonts w:ascii="Times New Roman" w:hAnsi="Times New Roman" w:cs="Times New Roman"/>
          <w:sz w:val="24"/>
          <w:szCs w:val="24"/>
          <w:lang w:val="en-GB"/>
        </w:rPr>
      </w:pPr>
      <w:r w:rsidRPr="0076724E">
        <w:rPr>
          <w:rFonts w:ascii="Times New Roman" w:hAnsi="Times New Roman" w:cs="Times New Roman"/>
          <w:sz w:val="24"/>
          <w:szCs w:val="24"/>
          <w:lang w:val="en-GB"/>
        </w:rPr>
        <w:t>The non-normality of residuals, while theoretically concerning, does not invalidate the point forecasts, which remain unbiased. However, it implies that the confidence intervals, which assume normality, should be interpreted with caution. The forecast uncertainty may be understated for extreme positive outcomes and overstated for typical years. This limitation is acknowledged and addressed in the interpretation of forecasts below.</w:t>
      </w:r>
    </w:p>
    <w:p w14:paraId="7DE5943B" w14:textId="0CEEEA67" w:rsidR="00045344" w:rsidRPr="0076724E" w:rsidRDefault="00B84E1A" w:rsidP="0076724E">
      <w:pPr>
        <w:pStyle w:val="Heading2"/>
        <w:spacing w:line="240" w:lineRule="auto"/>
        <w:jc w:val="both"/>
        <w:rPr>
          <w:rFonts w:ascii="Times New Roman" w:hAnsi="Times New Roman" w:cs="Times New Roman"/>
          <w:b/>
          <w:bCs/>
          <w:color w:val="auto"/>
          <w:sz w:val="24"/>
          <w:szCs w:val="24"/>
          <w:lang w:val="en-GB"/>
        </w:rPr>
      </w:pPr>
      <w:bookmarkStart w:id="21" w:name="_Toc220325820"/>
      <w:r w:rsidRPr="0076724E">
        <w:rPr>
          <w:rFonts w:ascii="Times New Roman" w:hAnsi="Times New Roman" w:cs="Times New Roman"/>
          <w:b/>
          <w:bCs/>
          <w:color w:val="auto"/>
          <w:sz w:val="24"/>
          <w:szCs w:val="24"/>
          <w:lang w:val="en-GB"/>
        </w:rPr>
        <w:t>4</w:t>
      </w:r>
      <w:r w:rsidR="00045344" w:rsidRPr="0076724E">
        <w:rPr>
          <w:rFonts w:ascii="Times New Roman" w:hAnsi="Times New Roman" w:cs="Times New Roman"/>
          <w:b/>
          <w:bCs/>
          <w:color w:val="auto"/>
          <w:sz w:val="24"/>
          <w:szCs w:val="24"/>
          <w:lang w:val="en-GB"/>
        </w:rPr>
        <w:t xml:space="preserve">.5 Forecast </w:t>
      </w:r>
      <w:r w:rsidR="003A6C85" w:rsidRPr="003A6C85">
        <w:rPr>
          <w:rFonts w:ascii="Times New Roman" w:hAnsi="Times New Roman" w:cs="Times New Roman"/>
          <w:b/>
          <w:bCs/>
          <w:color w:val="auto"/>
          <w:sz w:val="24"/>
          <w:szCs w:val="24"/>
          <w:lang w:val="en-GB"/>
        </w:rPr>
        <w:t xml:space="preserve">results </w:t>
      </w:r>
      <w:r w:rsidR="00045344" w:rsidRPr="0076724E">
        <w:rPr>
          <w:rFonts w:ascii="Times New Roman" w:hAnsi="Times New Roman" w:cs="Times New Roman"/>
          <w:b/>
          <w:bCs/>
          <w:color w:val="auto"/>
          <w:sz w:val="24"/>
          <w:szCs w:val="24"/>
          <w:lang w:val="en-GB"/>
        </w:rPr>
        <w:t>(2025-2030)</w:t>
      </w:r>
      <w:bookmarkEnd w:id="21"/>
    </w:p>
    <w:p w14:paraId="6B74A7FF" w14:textId="77777777" w:rsidR="00045344" w:rsidRPr="0076724E" w:rsidRDefault="00045344" w:rsidP="0076724E">
      <w:pPr>
        <w:spacing w:after="0" w:line="240" w:lineRule="auto"/>
        <w:jc w:val="both"/>
        <w:rPr>
          <w:rFonts w:ascii="Times New Roman" w:hAnsi="Times New Roman" w:cs="Times New Roman"/>
          <w:sz w:val="24"/>
          <w:szCs w:val="24"/>
          <w:lang w:val="en-GB"/>
        </w:rPr>
      </w:pPr>
      <w:r w:rsidRPr="0076724E">
        <w:rPr>
          <w:rFonts w:ascii="Times New Roman" w:hAnsi="Times New Roman" w:cs="Times New Roman"/>
          <w:sz w:val="24"/>
          <w:szCs w:val="24"/>
          <w:lang w:val="en-GB"/>
        </w:rPr>
        <w:t>Table 5 presents the six-year out-of-sample forecasts generated from the ARIMA (2,1,0) model for the period 2025 to 2030.</w:t>
      </w:r>
    </w:p>
    <w:p w14:paraId="755DD88C" w14:textId="77777777" w:rsidR="00045344" w:rsidRPr="0076724E" w:rsidRDefault="00045344" w:rsidP="0076724E">
      <w:pPr>
        <w:spacing w:after="0" w:line="240" w:lineRule="auto"/>
        <w:jc w:val="both"/>
        <w:rPr>
          <w:rFonts w:ascii="Times New Roman" w:hAnsi="Times New Roman" w:cs="Times New Roman"/>
          <w:b/>
          <w:bCs/>
          <w:sz w:val="24"/>
          <w:szCs w:val="24"/>
          <w:lang w:val="en-GB"/>
        </w:rPr>
      </w:pPr>
    </w:p>
    <w:p w14:paraId="2C4956E4" w14:textId="240AF9AC" w:rsidR="00045344" w:rsidRPr="0076724E" w:rsidRDefault="00045344" w:rsidP="0076724E">
      <w:pPr>
        <w:pStyle w:val="Caption"/>
        <w:rPr>
          <w:rFonts w:ascii="Times New Roman" w:hAnsi="Times New Roman" w:cs="Times New Roman"/>
          <w:b/>
          <w:bCs/>
          <w:i w:val="0"/>
          <w:iCs w:val="0"/>
          <w:color w:val="auto"/>
          <w:sz w:val="24"/>
          <w:szCs w:val="24"/>
          <w:lang w:val="en-GB"/>
        </w:rPr>
      </w:pPr>
      <w:r w:rsidRPr="0076724E">
        <w:rPr>
          <w:rFonts w:ascii="Times New Roman" w:hAnsi="Times New Roman" w:cs="Times New Roman"/>
          <w:b/>
          <w:bCs/>
          <w:i w:val="0"/>
          <w:iCs w:val="0"/>
          <w:color w:val="auto"/>
          <w:sz w:val="24"/>
          <w:szCs w:val="24"/>
        </w:rPr>
        <w:t xml:space="preserve">Table 5: ARIMA (2,1,0) </w:t>
      </w:r>
      <w:r w:rsidR="003A6C85" w:rsidRPr="003A6C85">
        <w:rPr>
          <w:rFonts w:ascii="Times New Roman" w:hAnsi="Times New Roman" w:cs="Times New Roman"/>
          <w:b/>
          <w:bCs/>
          <w:i w:val="0"/>
          <w:iCs w:val="0"/>
          <w:color w:val="auto"/>
          <w:sz w:val="24"/>
          <w:szCs w:val="24"/>
        </w:rPr>
        <w:t xml:space="preserve">net export forecast </w:t>
      </w:r>
      <w:r w:rsidRPr="0076724E">
        <w:rPr>
          <w:rFonts w:ascii="Times New Roman" w:hAnsi="Times New Roman" w:cs="Times New Roman"/>
          <w:b/>
          <w:bCs/>
          <w:i w:val="0"/>
          <w:iCs w:val="0"/>
          <w:color w:val="auto"/>
          <w:sz w:val="24"/>
          <w:szCs w:val="24"/>
        </w:rPr>
        <w:t xml:space="preserve">for Tanzania </w:t>
      </w:r>
      <w:r w:rsidR="003A6C85" w:rsidRPr="003A6C85">
        <w:rPr>
          <w:rFonts w:ascii="Times New Roman" w:hAnsi="Times New Roman" w:cs="Times New Roman"/>
          <w:b/>
          <w:bCs/>
          <w:i w:val="0"/>
          <w:iCs w:val="0"/>
          <w:color w:val="auto"/>
          <w:sz w:val="24"/>
          <w:szCs w:val="24"/>
        </w:rPr>
        <w:t xml:space="preserve">cassava </w:t>
      </w:r>
      <w:r w:rsidRPr="0076724E">
        <w:rPr>
          <w:rFonts w:ascii="Times New Roman" w:hAnsi="Times New Roman" w:cs="Times New Roman"/>
          <w:b/>
          <w:bCs/>
          <w:i w:val="0"/>
          <w:iCs w:val="0"/>
          <w:color w:val="auto"/>
          <w:sz w:val="24"/>
          <w:szCs w:val="24"/>
        </w:rPr>
        <w:t>(2025-2030)</w:t>
      </w:r>
    </w:p>
    <w:tbl>
      <w:tblPr>
        <w:tblStyle w:val="PlainTable2"/>
        <w:tblW w:w="5000" w:type="pct"/>
        <w:tblLook w:val="06A0" w:firstRow="1" w:lastRow="0" w:firstColumn="1" w:lastColumn="0" w:noHBand="1" w:noVBand="1"/>
      </w:tblPr>
      <w:tblGrid>
        <w:gridCol w:w="1560"/>
        <w:gridCol w:w="2600"/>
        <w:gridCol w:w="2600"/>
        <w:gridCol w:w="2600"/>
      </w:tblGrid>
      <w:tr w:rsidR="00045344" w:rsidRPr="0076724E" w14:paraId="4329CD5D" w14:textId="77777777" w:rsidTr="008018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0" w:type="dxa"/>
            <w:tcBorders>
              <w:top w:val="single" w:sz="4" w:space="0" w:color="7F7F7F" w:themeColor="text1" w:themeTint="80"/>
              <w:left w:val="nil"/>
              <w:right w:val="nil"/>
            </w:tcBorders>
            <w:hideMark/>
          </w:tcPr>
          <w:p w14:paraId="14972F30" w14:textId="77777777" w:rsidR="00045344" w:rsidRPr="0076724E" w:rsidRDefault="00045344" w:rsidP="0076724E">
            <w:pPr>
              <w:jc w:val="both"/>
              <w:rPr>
                <w:rFonts w:ascii="Times New Roman" w:hAnsi="Times New Roman" w:cs="Times New Roman"/>
              </w:rPr>
            </w:pPr>
            <w:r w:rsidRPr="0076724E">
              <w:rPr>
                <w:rFonts w:ascii="Times New Roman" w:hAnsi="Times New Roman" w:cs="Times New Roman"/>
              </w:rPr>
              <w:t>Year</w:t>
            </w:r>
          </w:p>
        </w:tc>
        <w:tc>
          <w:tcPr>
            <w:tcW w:w="2500" w:type="dxa"/>
            <w:tcBorders>
              <w:top w:val="single" w:sz="4" w:space="0" w:color="7F7F7F" w:themeColor="text1" w:themeTint="80"/>
              <w:left w:val="nil"/>
              <w:right w:val="nil"/>
            </w:tcBorders>
            <w:hideMark/>
          </w:tcPr>
          <w:p w14:paraId="06FA0D6C" w14:textId="77777777" w:rsidR="00045344" w:rsidRPr="0076724E" w:rsidRDefault="00045344" w:rsidP="0076724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Point Forecast (MT)</w:t>
            </w:r>
          </w:p>
        </w:tc>
        <w:tc>
          <w:tcPr>
            <w:tcW w:w="2500" w:type="dxa"/>
            <w:tcBorders>
              <w:top w:val="single" w:sz="4" w:space="0" w:color="7F7F7F" w:themeColor="text1" w:themeTint="80"/>
              <w:left w:val="nil"/>
              <w:right w:val="nil"/>
            </w:tcBorders>
            <w:hideMark/>
          </w:tcPr>
          <w:p w14:paraId="41E19890" w14:textId="77777777" w:rsidR="00045344" w:rsidRPr="0076724E" w:rsidRDefault="00045344" w:rsidP="0076724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95% CI Lower</w:t>
            </w:r>
          </w:p>
        </w:tc>
        <w:tc>
          <w:tcPr>
            <w:tcW w:w="2500" w:type="dxa"/>
            <w:tcBorders>
              <w:top w:val="single" w:sz="4" w:space="0" w:color="7F7F7F" w:themeColor="text1" w:themeTint="80"/>
              <w:left w:val="nil"/>
              <w:right w:val="nil"/>
            </w:tcBorders>
            <w:hideMark/>
          </w:tcPr>
          <w:p w14:paraId="06A6AC39" w14:textId="77777777" w:rsidR="00045344" w:rsidRPr="0076724E" w:rsidRDefault="00045344" w:rsidP="0076724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95% CI Upper</w:t>
            </w:r>
          </w:p>
        </w:tc>
      </w:tr>
      <w:tr w:rsidR="00045344" w:rsidRPr="0076724E" w14:paraId="10ECBE92" w14:textId="77777777" w:rsidTr="00801848">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35B84DA4" w14:textId="77777777" w:rsidR="00045344" w:rsidRPr="0076724E" w:rsidRDefault="00045344" w:rsidP="0076724E">
            <w:pPr>
              <w:jc w:val="both"/>
              <w:rPr>
                <w:rFonts w:ascii="Times New Roman" w:hAnsi="Times New Roman" w:cs="Times New Roman"/>
                <w:b w:val="0"/>
                <w:bCs w:val="0"/>
              </w:rPr>
            </w:pPr>
            <w:r w:rsidRPr="0076724E">
              <w:rPr>
                <w:rFonts w:ascii="Times New Roman" w:hAnsi="Times New Roman" w:cs="Times New Roman"/>
                <w:b w:val="0"/>
                <w:bCs w:val="0"/>
              </w:rPr>
              <w:t>2025</w:t>
            </w:r>
          </w:p>
        </w:tc>
        <w:tc>
          <w:tcPr>
            <w:tcW w:w="0" w:type="auto"/>
            <w:tcBorders>
              <w:top w:val="nil"/>
              <w:left w:val="nil"/>
              <w:bottom w:val="nil"/>
              <w:right w:val="nil"/>
            </w:tcBorders>
            <w:hideMark/>
          </w:tcPr>
          <w:p w14:paraId="7A8752C8"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45,089</w:t>
            </w:r>
          </w:p>
        </w:tc>
        <w:tc>
          <w:tcPr>
            <w:tcW w:w="0" w:type="auto"/>
            <w:tcBorders>
              <w:top w:val="nil"/>
              <w:left w:val="nil"/>
              <w:bottom w:val="nil"/>
              <w:right w:val="nil"/>
            </w:tcBorders>
            <w:hideMark/>
          </w:tcPr>
          <w:p w14:paraId="347FCA6D"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27,430</w:t>
            </w:r>
          </w:p>
        </w:tc>
        <w:tc>
          <w:tcPr>
            <w:tcW w:w="0" w:type="auto"/>
            <w:tcBorders>
              <w:top w:val="nil"/>
              <w:left w:val="nil"/>
              <w:bottom w:val="nil"/>
              <w:right w:val="nil"/>
            </w:tcBorders>
            <w:hideMark/>
          </w:tcPr>
          <w:p w14:paraId="25859689"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62,748</w:t>
            </w:r>
          </w:p>
        </w:tc>
      </w:tr>
      <w:tr w:rsidR="00045344" w:rsidRPr="0076724E" w14:paraId="5CBF268E" w14:textId="77777777" w:rsidTr="00801848">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65578E60" w14:textId="77777777" w:rsidR="00045344" w:rsidRPr="0076724E" w:rsidRDefault="00045344" w:rsidP="0076724E">
            <w:pPr>
              <w:jc w:val="both"/>
              <w:rPr>
                <w:rFonts w:ascii="Times New Roman" w:hAnsi="Times New Roman" w:cs="Times New Roman"/>
                <w:b w:val="0"/>
                <w:bCs w:val="0"/>
              </w:rPr>
            </w:pPr>
            <w:r w:rsidRPr="0076724E">
              <w:rPr>
                <w:rFonts w:ascii="Times New Roman" w:hAnsi="Times New Roman" w:cs="Times New Roman"/>
                <w:b w:val="0"/>
                <w:bCs w:val="0"/>
              </w:rPr>
              <w:t>2026</w:t>
            </w:r>
          </w:p>
        </w:tc>
        <w:tc>
          <w:tcPr>
            <w:tcW w:w="0" w:type="auto"/>
            <w:tcBorders>
              <w:top w:val="nil"/>
              <w:left w:val="nil"/>
              <w:bottom w:val="nil"/>
              <w:right w:val="nil"/>
            </w:tcBorders>
            <w:hideMark/>
          </w:tcPr>
          <w:p w14:paraId="6AFDE093"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41,118</w:t>
            </w:r>
          </w:p>
        </w:tc>
        <w:tc>
          <w:tcPr>
            <w:tcW w:w="0" w:type="auto"/>
            <w:tcBorders>
              <w:top w:val="nil"/>
              <w:left w:val="nil"/>
              <w:bottom w:val="nil"/>
              <w:right w:val="nil"/>
            </w:tcBorders>
            <w:hideMark/>
          </w:tcPr>
          <w:p w14:paraId="289D503B"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16,145</w:t>
            </w:r>
          </w:p>
        </w:tc>
        <w:tc>
          <w:tcPr>
            <w:tcW w:w="0" w:type="auto"/>
            <w:tcBorders>
              <w:top w:val="nil"/>
              <w:left w:val="nil"/>
              <w:bottom w:val="nil"/>
              <w:right w:val="nil"/>
            </w:tcBorders>
            <w:hideMark/>
          </w:tcPr>
          <w:p w14:paraId="361B9F68"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66,092</w:t>
            </w:r>
          </w:p>
        </w:tc>
      </w:tr>
      <w:tr w:rsidR="00045344" w:rsidRPr="0076724E" w14:paraId="624C8244" w14:textId="77777777" w:rsidTr="00801848">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2C370442" w14:textId="77777777" w:rsidR="00045344" w:rsidRPr="0076724E" w:rsidRDefault="00045344" w:rsidP="0076724E">
            <w:pPr>
              <w:jc w:val="both"/>
              <w:rPr>
                <w:rFonts w:ascii="Times New Roman" w:hAnsi="Times New Roman" w:cs="Times New Roman"/>
                <w:b w:val="0"/>
                <w:bCs w:val="0"/>
              </w:rPr>
            </w:pPr>
            <w:r w:rsidRPr="0076724E">
              <w:rPr>
                <w:rFonts w:ascii="Times New Roman" w:hAnsi="Times New Roman" w:cs="Times New Roman"/>
                <w:b w:val="0"/>
                <w:bCs w:val="0"/>
              </w:rPr>
              <w:t>2027</w:t>
            </w:r>
          </w:p>
        </w:tc>
        <w:tc>
          <w:tcPr>
            <w:tcW w:w="0" w:type="auto"/>
            <w:tcBorders>
              <w:top w:val="nil"/>
              <w:left w:val="nil"/>
              <w:bottom w:val="nil"/>
              <w:right w:val="nil"/>
            </w:tcBorders>
            <w:hideMark/>
          </w:tcPr>
          <w:p w14:paraId="55AB1651"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44,998</w:t>
            </w:r>
          </w:p>
        </w:tc>
        <w:tc>
          <w:tcPr>
            <w:tcW w:w="0" w:type="auto"/>
            <w:tcBorders>
              <w:top w:val="nil"/>
              <w:left w:val="nil"/>
              <w:bottom w:val="nil"/>
              <w:right w:val="nil"/>
            </w:tcBorders>
            <w:hideMark/>
          </w:tcPr>
          <w:p w14:paraId="1F840010"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14,411</w:t>
            </w:r>
          </w:p>
        </w:tc>
        <w:tc>
          <w:tcPr>
            <w:tcW w:w="0" w:type="auto"/>
            <w:tcBorders>
              <w:top w:val="nil"/>
              <w:left w:val="nil"/>
              <w:bottom w:val="nil"/>
              <w:right w:val="nil"/>
            </w:tcBorders>
            <w:hideMark/>
          </w:tcPr>
          <w:p w14:paraId="2603291A"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75,584</w:t>
            </w:r>
          </w:p>
        </w:tc>
      </w:tr>
      <w:tr w:rsidR="00045344" w:rsidRPr="0076724E" w14:paraId="7439010F" w14:textId="77777777" w:rsidTr="00801848">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2C2E50E8" w14:textId="77777777" w:rsidR="00045344" w:rsidRPr="0076724E" w:rsidRDefault="00045344" w:rsidP="0076724E">
            <w:pPr>
              <w:jc w:val="both"/>
              <w:rPr>
                <w:rFonts w:ascii="Times New Roman" w:hAnsi="Times New Roman" w:cs="Times New Roman"/>
                <w:b w:val="0"/>
                <w:bCs w:val="0"/>
              </w:rPr>
            </w:pPr>
            <w:r w:rsidRPr="0076724E">
              <w:rPr>
                <w:rFonts w:ascii="Times New Roman" w:hAnsi="Times New Roman" w:cs="Times New Roman"/>
                <w:b w:val="0"/>
                <w:bCs w:val="0"/>
              </w:rPr>
              <w:t>2028</w:t>
            </w:r>
          </w:p>
        </w:tc>
        <w:tc>
          <w:tcPr>
            <w:tcW w:w="0" w:type="auto"/>
            <w:tcBorders>
              <w:top w:val="nil"/>
              <w:left w:val="nil"/>
              <w:bottom w:val="nil"/>
              <w:right w:val="nil"/>
            </w:tcBorders>
            <w:hideMark/>
          </w:tcPr>
          <w:p w14:paraId="07E2A4D5"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44,830</w:t>
            </w:r>
          </w:p>
        </w:tc>
        <w:tc>
          <w:tcPr>
            <w:tcW w:w="0" w:type="auto"/>
            <w:tcBorders>
              <w:top w:val="nil"/>
              <w:left w:val="nil"/>
              <w:bottom w:val="nil"/>
              <w:right w:val="nil"/>
            </w:tcBorders>
            <w:hideMark/>
          </w:tcPr>
          <w:p w14:paraId="1CDA3CF9"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9,512</w:t>
            </w:r>
          </w:p>
        </w:tc>
        <w:tc>
          <w:tcPr>
            <w:tcW w:w="0" w:type="auto"/>
            <w:tcBorders>
              <w:top w:val="nil"/>
              <w:left w:val="nil"/>
              <w:bottom w:val="nil"/>
              <w:right w:val="nil"/>
            </w:tcBorders>
            <w:hideMark/>
          </w:tcPr>
          <w:p w14:paraId="7B61DBC5"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80,148</w:t>
            </w:r>
          </w:p>
        </w:tc>
      </w:tr>
      <w:tr w:rsidR="00045344" w:rsidRPr="0076724E" w14:paraId="26986F32" w14:textId="77777777" w:rsidTr="00801848">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49EA9D40" w14:textId="77777777" w:rsidR="00045344" w:rsidRPr="0076724E" w:rsidRDefault="00045344" w:rsidP="0076724E">
            <w:pPr>
              <w:jc w:val="both"/>
              <w:rPr>
                <w:rFonts w:ascii="Times New Roman" w:hAnsi="Times New Roman" w:cs="Times New Roman"/>
                <w:b w:val="0"/>
                <w:bCs w:val="0"/>
              </w:rPr>
            </w:pPr>
            <w:r w:rsidRPr="0076724E">
              <w:rPr>
                <w:rFonts w:ascii="Times New Roman" w:hAnsi="Times New Roman" w:cs="Times New Roman"/>
                <w:b w:val="0"/>
                <w:bCs w:val="0"/>
              </w:rPr>
              <w:t>2029</w:t>
            </w:r>
          </w:p>
        </w:tc>
        <w:tc>
          <w:tcPr>
            <w:tcW w:w="0" w:type="auto"/>
            <w:tcBorders>
              <w:top w:val="nil"/>
              <w:left w:val="nil"/>
              <w:bottom w:val="nil"/>
              <w:right w:val="nil"/>
            </w:tcBorders>
            <w:hideMark/>
          </w:tcPr>
          <w:p w14:paraId="489F8361"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45,258</w:t>
            </w:r>
          </w:p>
        </w:tc>
        <w:tc>
          <w:tcPr>
            <w:tcW w:w="0" w:type="auto"/>
            <w:tcBorders>
              <w:top w:val="nil"/>
              <w:left w:val="nil"/>
              <w:bottom w:val="nil"/>
              <w:right w:val="nil"/>
            </w:tcBorders>
            <w:hideMark/>
          </w:tcPr>
          <w:p w14:paraId="2A8005FE"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5,772</w:t>
            </w:r>
          </w:p>
        </w:tc>
        <w:tc>
          <w:tcPr>
            <w:tcW w:w="0" w:type="auto"/>
            <w:tcBorders>
              <w:top w:val="nil"/>
              <w:left w:val="nil"/>
              <w:bottom w:val="nil"/>
              <w:right w:val="nil"/>
            </w:tcBorders>
            <w:hideMark/>
          </w:tcPr>
          <w:p w14:paraId="0C72AE61"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84,745</w:t>
            </w:r>
          </w:p>
        </w:tc>
      </w:tr>
      <w:tr w:rsidR="00045344" w:rsidRPr="0076724E" w14:paraId="315843D2" w14:textId="77777777" w:rsidTr="00801848">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single" w:sz="4" w:space="0" w:color="7F7F7F" w:themeColor="text1" w:themeTint="80"/>
              <w:right w:val="nil"/>
            </w:tcBorders>
            <w:hideMark/>
          </w:tcPr>
          <w:p w14:paraId="40EE8E3B" w14:textId="77777777" w:rsidR="00045344" w:rsidRPr="0076724E" w:rsidRDefault="00045344" w:rsidP="0076724E">
            <w:pPr>
              <w:jc w:val="both"/>
              <w:rPr>
                <w:rFonts w:ascii="Times New Roman" w:hAnsi="Times New Roman" w:cs="Times New Roman"/>
                <w:b w:val="0"/>
                <w:bCs w:val="0"/>
              </w:rPr>
            </w:pPr>
            <w:r w:rsidRPr="0076724E">
              <w:rPr>
                <w:rFonts w:ascii="Times New Roman" w:hAnsi="Times New Roman" w:cs="Times New Roman"/>
                <w:b w:val="0"/>
                <w:bCs w:val="0"/>
              </w:rPr>
              <w:t>2030</w:t>
            </w:r>
          </w:p>
        </w:tc>
        <w:tc>
          <w:tcPr>
            <w:tcW w:w="0" w:type="auto"/>
            <w:tcBorders>
              <w:top w:val="nil"/>
              <w:left w:val="nil"/>
              <w:bottom w:val="single" w:sz="4" w:space="0" w:color="7F7F7F" w:themeColor="text1" w:themeTint="80"/>
              <w:right w:val="nil"/>
            </w:tcBorders>
            <w:hideMark/>
          </w:tcPr>
          <w:p w14:paraId="1AD348B3"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46,306</w:t>
            </w:r>
          </w:p>
        </w:tc>
        <w:tc>
          <w:tcPr>
            <w:tcW w:w="0" w:type="auto"/>
            <w:tcBorders>
              <w:top w:val="nil"/>
              <w:left w:val="nil"/>
              <w:bottom w:val="single" w:sz="4" w:space="0" w:color="7F7F7F" w:themeColor="text1" w:themeTint="80"/>
              <w:right w:val="nil"/>
            </w:tcBorders>
            <w:hideMark/>
          </w:tcPr>
          <w:p w14:paraId="3698B7A5"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3,051</w:t>
            </w:r>
          </w:p>
        </w:tc>
        <w:tc>
          <w:tcPr>
            <w:tcW w:w="0" w:type="auto"/>
            <w:tcBorders>
              <w:top w:val="nil"/>
              <w:left w:val="nil"/>
              <w:bottom w:val="single" w:sz="4" w:space="0" w:color="7F7F7F" w:themeColor="text1" w:themeTint="80"/>
              <w:right w:val="nil"/>
            </w:tcBorders>
            <w:hideMark/>
          </w:tcPr>
          <w:p w14:paraId="1BCA0CC3"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89,562</w:t>
            </w:r>
          </w:p>
        </w:tc>
      </w:tr>
    </w:tbl>
    <w:p w14:paraId="222EA4DC" w14:textId="77777777" w:rsidR="00045344" w:rsidRPr="0076724E" w:rsidRDefault="00045344" w:rsidP="0076724E">
      <w:pPr>
        <w:spacing w:after="0" w:line="240" w:lineRule="auto"/>
        <w:jc w:val="both"/>
        <w:rPr>
          <w:rFonts w:ascii="Times New Roman" w:hAnsi="Times New Roman" w:cs="Times New Roman"/>
          <w:i/>
          <w:iCs/>
          <w:sz w:val="24"/>
          <w:szCs w:val="24"/>
          <w:lang w:val="en-GB"/>
        </w:rPr>
      </w:pPr>
      <w:r w:rsidRPr="0076724E">
        <w:rPr>
          <w:rFonts w:ascii="Times New Roman" w:hAnsi="Times New Roman" w:cs="Times New Roman"/>
          <w:b/>
          <w:i/>
          <w:iCs/>
          <w:sz w:val="24"/>
          <w:szCs w:val="24"/>
          <w:lang w:val="en-GB"/>
        </w:rPr>
        <w:t>Note:</w:t>
      </w:r>
      <w:r w:rsidRPr="0076724E">
        <w:rPr>
          <w:rFonts w:ascii="Times New Roman" w:hAnsi="Times New Roman" w:cs="Times New Roman"/>
          <w:i/>
          <w:iCs/>
          <w:sz w:val="24"/>
          <w:szCs w:val="24"/>
          <w:lang w:val="en-GB"/>
        </w:rPr>
        <w:t xml:space="preserve"> MT = Metric Tons; CI = Confidence Interval</w:t>
      </w:r>
    </w:p>
    <w:p w14:paraId="72775007" w14:textId="0F6D2127" w:rsidR="00045344" w:rsidRPr="0076724E" w:rsidRDefault="00045344" w:rsidP="0076724E">
      <w:pPr>
        <w:spacing w:before="240" w:after="0" w:line="240" w:lineRule="auto"/>
        <w:jc w:val="both"/>
        <w:rPr>
          <w:rFonts w:ascii="Times New Roman" w:hAnsi="Times New Roman" w:cs="Times New Roman"/>
          <w:sz w:val="24"/>
          <w:szCs w:val="24"/>
          <w:lang w:val="en-GB"/>
        </w:rPr>
      </w:pPr>
      <w:r w:rsidRPr="0076724E">
        <w:rPr>
          <w:rFonts w:ascii="Times New Roman" w:hAnsi="Times New Roman" w:cs="Times New Roman"/>
          <w:sz w:val="24"/>
          <w:szCs w:val="24"/>
          <w:lang w:val="en-GB"/>
        </w:rPr>
        <w:t>The forecasts suggest that Tanzania's cassava net exports will stabili</w:t>
      </w:r>
      <w:r w:rsidR="00D75953">
        <w:rPr>
          <w:rFonts w:ascii="Times New Roman" w:hAnsi="Times New Roman" w:cs="Times New Roman"/>
          <w:sz w:val="24"/>
          <w:szCs w:val="24"/>
          <w:lang w:val="en-GB"/>
        </w:rPr>
        <w:t>s</w:t>
      </w:r>
      <w:r w:rsidRPr="0076724E">
        <w:rPr>
          <w:rFonts w:ascii="Times New Roman" w:hAnsi="Times New Roman" w:cs="Times New Roman"/>
          <w:sz w:val="24"/>
          <w:szCs w:val="24"/>
          <w:lang w:val="en-GB"/>
        </w:rPr>
        <w:t>e around 44,000-46,000 MT annually over the forecast horizon. This represents a consolidation following the exceptional peak of 73,402 MT in 2022, yet maintains a level substantially above the historical average of 3,130 MT. The point forecasts exhibit remarkable consistency, varying by less than 12% across the six-year period, indicating the model predicts a stabili</w:t>
      </w:r>
      <w:r w:rsidR="00D75953">
        <w:rPr>
          <w:rFonts w:ascii="Times New Roman" w:hAnsi="Times New Roman" w:cs="Times New Roman"/>
          <w:sz w:val="24"/>
          <w:szCs w:val="24"/>
          <w:lang w:val="en-GB"/>
        </w:rPr>
        <w:t>s</w:t>
      </w:r>
      <w:r w:rsidRPr="0076724E">
        <w:rPr>
          <w:rFonts w:ascii="Times New Roman" w:hAnsi="Times New Roman" w:cs="Times New Roman"/>
          <w:sz w:val="24"/>
          <w:szCs w:val="24"/>
          <w:lang w:val="en-GB"/>
        </w:rPr>
        <w:t>ation of the export sector at the new elevated plateau.</w:t>
      </w:r>
    </w:p>
    <w:p w14:paraId="66462104" w14:textId="77777777" w:rsidR="00045344" w:rsidRPr="0076724E" w:rsidRDefault="00045344" w:rsidP="0076724E">
      <w:pPr>
        <w:spacing w:after="0" w:line="240" w:lineRule="auto"/>
        <w:jc w:val="both"/>
        <w:rPr>
          <w:rFonts w:ascii="Times New Roman" w:hAnsi="Times New Roman" w:cs="Times New Roman"/>
          <w:sz w:val="24"/>
          <w:szCs w:val="24"/>
          <w:lang w:val="en-GB"/>
        </w:rPr>
      </w:pPr>
      <w:r w:rsidRPr="0076724E">
        <w:rPr>
          <w:rFonts w:ascii="Times New Roman" w:hAnsi="Times New Roman" w:cs="Times New Roman"/>
          <w:noProof/>
          <w:sz w:val="24"/>
          <w:szCs w:val="24"/>
        </w:rPr>
        <w:lastRenderedPageBreak/>
        <w:drawing>
          <wp:inline distT="0" distB="0" distL="0" distR="0" wp14:anchorId="55419F35" wp14:editId="518587A6">
            <wp:extent cx="6019800" cy="4110617"/>
            <wp:effectExtent l="0" t="0" r="0" b="4445"/>
            <wp:docPr id="177871815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36554" cy="4122058"/>
                    </a:xfrm>
                    <a:prstGeom prst="rect">
                      <a:avLst/>
                    </a:prstGeom>
                    <a:noFill/>
                    <a:ln>
                      <a:noFill/>
                    </a:ln>
                  </pic:spPr>
                </pic:pic>
              </a:graphicData>
            </a:graphic>
          </wp:inline>
        </w:drawing>
      </w:r>
    </w:p>
    <w:p w14:paraId="2B6D75B0" w14:textId="77777777" w:rsidR="00045344" w:rsidRPr="0076724E" w:rsidRDefault="00045344" w:rsidP="0076724E">
      <w:pPr>
        <w:pStyle w:val="Caption"/>
        <w:rPr>
          <w:rFonts w:ascii="Times New Roman" w:hAnsi="Times New Roman" w:cs="Times New Roman"/>
          <w:b/>
          <w:bCs/>
          <w:i w:val="0"/>
          <w:iCs w:val="0"/>
          <w:color w:val="auto"/>
          <w:sz w:val="24"/>
          <w:szCs w:val="24"/>
          <w:lang w:val="en-GB"/>
        </w:rPr>
      </w:pPr>
      <w:r w:rsidRPr="0076724E">
        <w:rPr>
          <w:rFonts w:ascii="Times New Roman" w:hAnsi="Times New Roman" w:cs="Times New Roman"/>
          <w:b/>
          <w:bCs/>
          <w:i w:val="0"/>
          <w:iCs w:val="0"/>
          <w:color w:val="auto"/>
          <w:sz w:val="24"/>
          <w:szCs w:val="24"/>
        </w:rPr>
        <w:t>Figure 3: Tanzania net export trend forecasts</w:t>
      </w:r>
    </w:p>
    <w:p w14:paraId="2148B59C" w14:textId="77777777" w:rsidR="00045344" w:rsidRPr="0076724E" w:rsidRDefault="00045344" w:rsidP="0076724E">
      <w:pPr>
        <w:spacing w:after="0" w:line="240" w:lineRule="auto"/>
        <w:jc w:val="both"/>
        <w:rPr>
          <w:rFonts w:ascii="Times New Roman" w:hAnsi="Times New Roman" w:cs="Times New Roman"/>
          <w:b/>
          <w:bCs/>
          <w:sz w:val="24"/>
          <w:szCs w:val="24"/>
          <w:lang w:val="en-GB"/>
        </w:rPr>
      </w:pPr>
    </w:p>
    <w:p w14:paraId="7D6BDEE3" w14:textId="77777777" w:rsidR="00045344" w:rsidRPr="0076724E" w:rsidRDefault="00045344" w:rsidP="0076724E">
      <w:pPr>
        <w:spacing w:after="0" w:line="240" w:lineRule="auto"/>
        <w:jc w:val="both"/>
        <w:rPr>
          <w:rFonts w:ascii="Times New Roman" w:hAnsi="Times New Roman" w:cs="Times New Roman"/>
          <w:sz w:val="24"/>
          <w:szCs w:val="24"/>
          <w:lang w:val="en-GB"/>
        </w:rPr>
      </w:pPr>
      <w:r w:rsidRPr="0076724E">
        <w:rPr>
          <w:rFonts w:ascii="Times New Roman" w:hAnsi="Times New Roman" w:cs="Times New Roman"/>
          <w:sz w:val="24"/>
          <w:szCs w:val="24"/>
          <w:lang w:val="en-GB"/>
        </w:rPr>
        <w:t>Figure 3 indicates that the 95% confidence intervals widen progressively from ±17,659 MT in 2025 to ±43,256 MT by 2030, reflecting increasing forecast uncertainty over longer horizons. This widening is a standard feature of time series forecasts and is amplified in this case by the high residual variance attributable to the structural changes in the export sector. The lower bounds remain positive throughout the forecast period, suggesting continued trade surplus with high probability.</w:t>
      </w:r>
    </w:p>
    <w:p w14:paraId="2E5293AA" w14:textId="77777777" w:rsidR="00045344" w:rsidRPr="0076724E" w:rsidRDefault="00045344" w:rsidP="0076724E">
      <w:pPr>
        <w:spacing w:after="0" w:line="240" w:lineRule="auto"/>
        <w:jc w:val="both"/>
        <w:rPr>
          <w:rFonts w:ascii="Times New Roman" w:hAnsi="Times New Roman" w:cs="Times New Roman"/>
          <w:sz w:val="24"/>
          <w:szCs w:val="24"/>
          <w:lang w:val="en-GB"/>
        </w:rPr>
      </w:pPr>
      <w:r w:rsidRPr="0076724E">
        <w:rPr>
          <w:rFonts w:ascii="Times New Roman" w:hAnsi="Times New Roman" w:cs="Times New Roman"/>
          <w:sz w:val="24"/>
          <w:szCs w:val="24"/>
          <w:lang w:val="en-GB"/>
        </w:rPr>
        <w:br w:type="page"/>
      </w:r>
    </w:p>
    <w:p w14:paraId="30F7BB7F" w14:textId="77777777" w:rsidR="00045344" w:rsidRPr="0076724E" w:rsidRDefault="00B84E1A" w:rsidP="0076724E">
      <w:pPr>
        <w:pStyle w:val="Heading1"/>
        <w:numPr>
          <w:ilvl w:val="0"/>
          <w:numId w:val="2"/>
        </w:numPr>
        <w:spacing w:line="240" w:lineRule="auto"/>
        <w:rPr>
          <w:rFonts w:ascii="Times New Roman" w:hAnsi="Times New Roman" w:cs="Times New Roman"/>
          <w:b/>
          <w:bCs/>
          <w:color w:val="auto"/>
          <w:sz w:val="24"/>
          <w:szCs w:val="24"/>
        </w:rPr>
      </w:pPr>
      <w:bookmarkStart w:id="22" w:name="_Toc220325821"/>
      <w:r w:rsidRPr="0076724E">
        <w:rPr>
          <w:rFonts w:ascii="Times New Roman" w:hAnsi="Times New Roman" w:cs="Times New Roman"/>
          <w:b/>
          <w:bCs/>
          <w:color w:val="auto"/>
          <w:sz w:val="24"/>
          <w:szCs w:val="24"/>
        </w:rPr>
        <w:lastRenderedPageBreak/>
        <w:t>Discussion</w:t>
      </w:r>
      <w:bookmarkEnd w:id="22"/>
      <w:r w:rsidRPr="0076724E">
        <w:rPr>
          <w:rFonts w:ascii="Times New Roman" w:hAnsi="Times New Roman" w:cs="Times New Roman"/>
          <w:b/>
          <w:bCs/>
          <w:color w:val="auto"/>
          <w:sz w:val="24"/>
          <w:szCs w:val="24"/>
        </w:rPr>
        <w:t xml:space="preserve"> of results</w:t>
      </w:r>
    </w:p>
    <w:p w14:paraId="2AE0CFB4" w14:textId="328404BD" w:rsidR="00045344" w:rsidRPr="0076724E" w:rsidRDefault="00B84E1A" w:rsidP="0076724E">
      <w:pPr>
        <w:pStyle w:val="Heading2"/>
        <w:spacing w:line="240" w:lineRule="auto"/>
        <w:rPr>
          <w:rFonts w:ascii="Times New Roman" w:hAnsi="Times New Roman" w:cs="Times New Roman"/>
          <w:b/>
          <w:bCs/>
          <w:color w:val="auto"/>
          <w:sz w:val="24"/>
          <w:szCs w:val="24"/>
          <w:lang w:val="en-GB"/>
        </w:rPr>
      </w:pPr>
      <w:bookmarkStart w:id="23" w:name="_Toc220325822"/>
      <w:r w:rsidRPr="0076724E">
        <w:rPr>
          <w:rFonts w:ascii="Times New Roman" w:hAnsi="Times New Roman" w:cs="Times New Roman"/>
          <w:b/>
          <w:bCs/>
          <w:color w:val="auto"/>
          <w:sz w:val="24"/>
          <w:szCs w:val="24"/>
          <w:lang w:val="en-GB"/>
        </w:rPr>
        <w:t>5</w:t>
      </w:r>
      <w:r w:rsidR="00045344" w:rsidRPr="0076724E">
        <w:rPr>
          <w:rFonts w:ascii="Times New Roman" w:hAnsi="Times New Roman" w:cs="Times New Roman"/>
          <w:b/>
          <w:bCs/>
          <w:color w:val="auto"/>
          <w:sz w:val="24"/>
          <w:szCs w:val="24"/>
          <w:lang w:val="en-GB"/>
        </w:rPr>
        <w:t xml:space="preserve">.1 Evolution of Tanzania's </w:t>
      </w:r>
      <w:r w:rsidR="003A6C85" w:rsidRPr="003A6C85">
        <w:rPr>
          <w:rFonts w:ascii="Times New Roman" w:hAnsi="Times New Roman" w:cs="Times New Roman"/>
          <w:b/>
          <w:bCs/>
          <w:color w:val="auto"/>
          <w:sz w:val="24"/>
          <w:szCs w:val="24"/>
          <w:lang w:val="en-GB"/>
        </w:rPr>
        <w:t>cassava trade position</w:t>
      </w:r>
      <w:bookmarkEnd w:id="23"/>
    </w:p>
    <w:p w14:paraId="0D8CFAB2" w14:textId="77777777" w:rsidR="00045344" w:rsidRPr="0076724E" w:rsidRDefault="00045344" w:rsidP="0076724E">
      <w:pPr>
        <w:spacing w:before="240" w:after="0" w:line="240" w:lineRule="auto"/>
        <w:jc w:val="both"/>
        <w:rPr>
          <w:rFonts w:ascii="Times New Roman" w:hAnsi="Times New Roman" w:cs="Times New Roman"/>
          <w:sz w:val="24"/>
          <w:szCs w:val="24"/>
          <w:lang w:val="en-GB"/>
        </w:rPr>
      </w:pPr>
      <w:r w:rsidRPr="0076724E">
        <w:rPr>
          <w:rFonts w:ascii="Times New Roman" w:hAnsi="Times New Roman" w:cs="Times New Roman"/>
          <w:sz w:val="24"/>
          <w:szCs w:val="24"/>
          <w:lang w:val="en-GB"/>
        </w:rPr>
        <w:t>The findings of this study reveal a remarkable transformation in Tanzania's cassava trade position over the 64-year study period. The country has evolved from a marginal exporter during the early post-independence period, with average annual net exports of just 127 metric tons, to a significant regional supplier exceeding 45,000 metric tons in 2024. This transformation represents more than a quantitative shift; it reflects fundamental structural changes in Tanzania's agricultural economy, trade policies, and regional market integration. Understanding the drivers and implications of this evolution requires careful consideration of policy reforms, regional dynamics, and methodological considerations underlying the analysis.</w:t>
      </w:r>
    </w:p>
    <w:p w14:paraId="747A2B05" w14:textId="77777777" w:rsidR="00045344" w:rsidRPr="0076724E" w:rsidRDefault="00045344" w:rsidP="0076724E">
      <w:pPr>
        <w:spacing w:before="240" w:after="0" w:line="240" w:lineRule="auto"/>
        <w:jc w:val="both"/>
        <w:rPr>
          <w:rFonts w:ascii="Times New Roman" w:hAnsi="Times New Roman" w:cs="Times New Roman"/>
          <w:sz w:val="24"/>
          <w:szCs w:val="24"/>
          <w:lang w:val="en-GB"/>
        </w:rPr>
      </w:pPr>
      <w:r w:rsidRPr="0076724E">
        <w:rPr>
          <w:rFonts w:ascii="Times New Roman" w:hAnsi="Times New Roman" w:cs="Times New Roman"/>
          <w:sz w:val="24"/>
          <w:szCs w:val="24"/>
          <w:lang w:val="en-GB"/>
        </w:rPr>
        <w:t xml:space="preserve">First, the policy reforms under structural adjustment programs in the late 1980s dismantled state marketing boards and enabled private sector participation in agricultural trade. This is reflected in the doubling of the CAGR from 5.23% (pre-SAP) to 10.72% (SAP period). These findings align with Nweke </w:t>
      </w:r>
      <w:r w:rsidRPr="0076724E">
        <w:rPr>
          <w:rFonts w:ascii="Times New Roman" w:hAnsi="Times New Roman" w:cs="Times New Roman"/>
          <w:i/>
          <w:iCs/>
          <w:sz w:val="24"/>
          <w:szCs w:val="24"/>
          <w:lang w:val="en-GB"/>
        </w:rPr>
        <w:t>et al</w:t>
      </w:r>
      <w:r w:rsidRPr="0076724E">
        <w:rPr>
          <w:rFonts w:ascii="Times New Roman" w:hAnsi="Times New Roman" w:cs="Times New Roman"/>
          <w:sz w:val="24"/>
          <w:szCs w:val="24"/>
          <w:lang w:val="en-GB"/>
        </w:rPr>
        <w:t>. (2002) who documented similar liberali</w:t>
      </w:r>
      <w:r w:rsidR="00A4132B" w:rsidRPr="0076724E">
        <w:rPr>
          <w:rFonts w:ascii="Times New Roman" w:hAnsi="Times New Roman" w:cs="Times New Roman"/>
          <w:sz w:val="24"/>
          <w:szCs w:val="24"/>
          <w:lang w:val="en-GB"/>
        </w:rPr>
        <w:t>s</w:t>
      </w:r>
      <w:r w:rsidRPr="0076724E">
        <w:rPr>
          <w:rFonts w:ascii="Times New Roman" w:hAnsi="Times New Roman" w:cs="Times New Roman"/>
          <w:sz w:val="24"/>
          <w:szCs w:val="24"/>
          <w:lang w:val="en-GB"/>
        </w:rPr>
        <w:t>ation effects on cassava commerciali</w:t>
      </w:r>
      <w:r w:rsidR="00A4132B" w:rsidRPr="0076724E">
        <w:rPr>
          <w:rFonts w:ascii="Times New Roman" w:hAnsi="Times New Roman" w:cs="Times New Roman"/>
          <w:sz w:val="24"/>
          <w:szCs w:val="24"/>
          <w:lang w:val="en-GB"/>
        </w:rPr>
        <w:t>s</w:t>
      </w:r>
      <w:r w:rsidRPr="0076724E">
        <w:rPr>
          <w:rFonts w:ascii="Times New Roman" w:hAnsi="Times New Roman" w:cs="Times New Roman"/>
          <w:sz w:val="24"/>
          <w:szCs w:val="24"/>
          <w:lang w:val="en-GB"/>
        </w:rPr>
        <w:t>ation in West Africa.</w:t>
      </w:r>
    </w:p>
    <w:p w14:paraId="0DD14D0A" w14:textId="77777777" w:rsidR="00045344" w:rsidRPr="0076724E" w:rsidRDefault="00045344" w:rsidP="0076724E">
      <w:pPr>
        <w:spacing w:before="240" w:after="0" w:line="240" w:lineRule="auto"/>
        <w:jc w:val="both"/>
        <w:rPr>
          <w:rFonts w:ascii="Times New Roman" w:hAnsi="Times New Roman" w:cs="Times New Roman"/>
          <w:sz w:val="24"/>
          <w:szCs w:val="24"/>
          <w:lang w:val="en-GB"/>
        </w:rPr>
      </w:pPr>
      <w:r w:rsidRPr="0076724E">
        <w:rPr>
          <w:rFonts w:ascii="Times New Roman" w:hAnsi="Times New Roman" w:cs="Times New Roman"/>
          <w:sz w:val="24"/>
          <w:szCs w:val="24"/>
          <w:lang w:val="en-GB"/>
        </w:rPr>
        <w:t xml:space="preserve">Second, regional integration through the East African Community (EAC) and Southern African Development Community (SADC) trade protocols facilitated cross-border cassava trade with </w:t>
      </w:r>
      <w:proofErr w:type="spellStart"/>
      <w:r w:rsidRPr="0076724E">
        <w:rPr>
          <w:rFonts w:ascii="Times New Roman" w:hAnsi="Times New Roman" w:cs="Times New Roman"/>
          <w:sz w:val="24"/>
          <w:szCs w:val="24"/>
          <w:lang w:val="en-GB"/>
        </w:rPr>
        <w:t>neighboring</w:t>
      </w:r>
      <w:proofErr w:type="spellEnd"/>
      <w:r w:rsidRPr="0076724E">
        <w:rPr>
          <w:rFonts w:ascii="Times New Roman" w:hAnsi="Times New Roman" w:cs="Times New Roman"/>
          <w:sz w:val="24"/>
          <w:szCs w:val="24"/>
          <w:lang w:val="en-GB"/>
        </w:rPr>
        <w:t xml:space="preserve"> countries. The customs data reveal that Kenya, Rwanda, DRC, and Burundi emerged as primary export destinations, consistent with </w:t>
      </w:r>
      <w:proofErr w:type="spellStart"/>
      <w:r w:rsidRPr="0076724E">
        <w:rPr>
          <w:rFonts w:ascii="Times New Roman" w:hAnsi="Times New Roman" w:cs="Times New Roman"/>
          <w:sz w:val="24"/>
          <w:szCs w:val="24"/>
          <w:lang w:val="en-GB"/>
        </w:rPr>
        <w:t>Haggblade</w:t>
      </w:r>
      <w:proofErr w:type="spellEnd"/>
      <w:r w:rsidRPr="0076724E">
        <w:rPr>
          <w:rFonts w:ascii="Times New Roman" w:hAnsi="Times New Roman" w:cs="Times New Roman"/>
          <w:sz w:val="24"/>
          <w:szCs w:val="24"/>
          <w:lang w:val="en-GB"/>
        </w:rPr>
        <w:t xml:space="preserve"> </w:t>
      </w:r>
      <w:r w:rsidRPr="0076724E">
        <w:rPr>
          <w:rFonts w:ascii="Times New Roman" w:hAnsi="Times New Roman" w:cs="Times New Roman"/>
          <w:i/>
          <w:iCs/>
          <w:sz w:val="24"/>
          <w:szCs w:val="24"/>
          <w:lang w:val="en-GB"/>
        </w:rPr>
        <w:t>et al</w:t>
      </w:r>
      <w:r w:rsidRPr="0076724E">
        <w:rPr>
          <w:rFonts w:ascii="Times New Roman" w:hAnsi="Times New Roman" w:cs="Times New Roman"/>
          <w:sz w:val="24"/>
          <w:szCs w:val="24"/>
          <w:lang w:val="en-GB"/>
        </w:rPr>
        <w:t>. (2012) who highlighted the importance of regional value chains in cassava commerciali</w:t>
      </w:r>
      <w:r w:rsidR="00A4132B" w:rsidRPr="0076724E">
        <w:rPr>
          <w:rFonts w:ascii="Times New Roman" w:hAnsi="Times New Roman" w:cs="Times New Roman"/>
          <w:sz w:val="24"/>
          <w:szCs w:val="24"/>
          <w:lang w:val="en-GB"/>
        </w:rPr>
        <w:t>s</w:t>
      </w:r>
      <w:r w:rsidRPr="0076724E">
        <w:rPr>
          <w:rFonts w:ascii="Times New Roman" w:hAnsi="Times New Roman" w:cs="Times New Roman"/>
          <w:sz w:val="24"/>
          <w:szCs w:val="24"/>
          <w:lang w:val="en-GB"/>
        </w:rPr>
        <w:t>ation.</w:t>
      </w:r>
    </w:p>
    <w:p w14:paraId="3185339A" w14:textId="77777777" w:rsidR="00045344" w:rsidRPr="0076724E" w:rsidRDefault="00045344" w:rsidP="0076724E">
      <w:pPr>
        <w:spacing w:before="240" w:after="0" w:line="240" w:lineRule="auto"/>
        <w:jc w:val="both"/>
        <w:rPr>
          <w:rFonts w:ascii="Times New Roman" w:hAnsi="Times New Roman" w:cs="Times New Roman"/>
          <w:sz w:val="24"/>
          <w:szCs w:val="24"/>
          <w:lang w:val="en-GB"/>
        </w:rPr>
      </w:pPr>
      <w:r w:rsidRPr="0076724E">
        <w:rPr>
          <w:rFonts w:ascii="Times New Roman" w:hAnsi="Times New Roman" w:cs="Times New Roman"/>
          <w:sz w:val="24"/>
          <w:szCs w:val="24"/>
          <w:lang w:val="en-GB"/>
        </w:rPr>
        <w:t xml:space="preserve">Third, the explosive growth in the Modern period (2021-2024) coincides with increased regional demand driven by food security concerns, industrial applications, and the disruption of traditional supply chains during the COVID-19 pandemic. The 2022 peak of 73,402 MT likely reflects temporary supply shortages in </w:t>
      </w:r>
      <w:proofErr w:type="spellStart"/>
      <w:r w:rsidRPr="0076724E">
        <w:rPr>
          <w:rFonts w:ascii="Times New Roman" w:hAnsi="Times New Roman" w:cs="Times New Roman"/>
          <w:sz w:val="24"/>
          <w:szCs w:val="24"/>
          <w:lang w:val="en-GB"/>
        </w:rPr>
        <w:t>neighboring</w:t>
      </w:r>
      <w:proofErr w:type="spellEnd"/>
      <w:r w:rsidRPr="0076724E">
        <w:rPr>
          <w:rFonts w:ascii="Times New Roman" w:hAnsi="Times New Roman" w:cs="Times New Roman"/>
          <w:sz w:val="24"/>
          <w:szCs w:val="24"/>
          <w:lang w:val="en-GB"/>
        </w:rPr>
        <w:t xml:space="preserve"> countries that positioned Tanzania as an alternative supplier.</w:t>
      </w:r>
    </w:p>
    <w:p w14:paraId="5E1972E9" w14:textId="77777777" w:rsidR="00045344" w:rsidRPr="0076724E" w:rsidRDefault="00045344" w:rsidP="0076724E">
      <w:pPr>
        <w:spacing w:before="240" w:after="0" w:line="240" w:lineRule="auto"/>
        <w:jc w:val="both"/>
        <w:rPr>
          <w:rFonts w:ascii="Times New Roman" w:hAnsi="Times New Roman" w:cs="Times New Roman"/>
          <w:sz w:val="24"/>
          <w:szCs w:val="24"/>
          <w:lang w:val="en-GB"/>
        </w:rPr>
      </w:pPr>
      <w:r w:rsidRPr="0076724E">
        <w:rPr>
          <w:rFonts w:ascii="Times New Roman" w:hAnsi="Times New Roman" w:cs="Times New Roman"/>
          <w:sz w:val="24"/>
          <w:szCs w:val="24"/>
          <w:lang w:val="en-GB"/>
        </w:rPr>
        <w:t>The exceptional growth observed in the Modern Growth period (2011-2024) warrants particular attention. This period witnessed an unprecedented compound annual growth rate of 23.95%, with mean annual net exports of 12,399.55 metric tons representing a nearly 100-fold increase from the pre-SAP era. Several interconnected factors explain this explosive growth trajectory. First, Tanzania's strategic positioning within the East African Community provided preferential access to rapidly growing regional markets experiencing urbani</w:t>
      </w:r>
      <w:r w:rsidR="00A4132B" w:rsidRPr="0076724E">
        <w:rPr>
          <w:rFonts w:ascii="Times New Roman" w:hAnsi="Times New Roman" w:cs="Times New Roman"/>
          <w:sz w:val="24"/>
          <w:szCs w:val="24"/>
          <w:lang w:val="en-GB"/>
        </w:rPr>
        <w:t>s</w:t>
      </w:r>
      <w:r w:rsidRPr="0076724E">
        <w:rPr>
          <w:rFonts w:ascii="Times New Roman" w:hAnsi="Times New Roman" w:cs="Times New Roman"/>
          <w:sz w:val="24"/>
          <w:szCs w:val="24"/>
          <w:lang w:val="en-GB"/>
        </w:rPr>
        <w:t xml:space="preserve">ation-driven demand for cassava and cassava-based products. Second, infrastructure improvements along key export corridors, particularly the Central Corridor linking Tanzania to landlocked neighbours, reduced transaction costs and facilitated formal cross-border trade. Third, the establishment of the Cereals and Other Produce Board (CPB) in 2009 provided institutional support for cassava marketing, including plans to install 150 cassava processing plants by 2030 (United Republic of Tanzania (URT), 2020). Fourth, regional food security crises, exacerbated by climate variability and conflict in </w:t>
      </w:r>
      <w:proofErr w:type="spellStart"/>
      <w:r w:rsidRPr="0076724E">
        <w:rPr>
          <w:rFonts w:ascii="Times New Roman" w:hAnsi="Times New Roman" w:cs="Times New Roman"/>
          <w:sz w:val="24"/>
          <w:szCs w:val="24"/>
          <w:lang w:val="en-GB"/>
        </w:rPr>
        <w:t>neighboring</w:t>
      </w:r>
      <w:proofErr w:type="spellEnd"/>
      <w:r w:rsidRPr="0076724E">
        <w:rPr>
          <w:rFonts w:ascii="Times New Roman" w:hAnsi="Times New Roman" w:cs="Times New Roman"/>
          <w:sz w:val="24"/>
          <w:szCs w:val="24"/>
          <w:lang w:val="en-GB"/>
        </w:rPr>
        <w:t xml:space="preserve"> countries, positioned Tanzania as a reliable alternative supplier. The COVID-19 pandemic further amplified this role, as disruptions to global supply chains intensified demand for regional food sources.</w:t>
      </w:r>
    </w:p>
    <w:p w14:paraId="115A37ED" w14:textId="77777777" w:rsidR="00045344" w:rsidRPr="0076724E" w:rsidRDefault="00045344" w:rsidP="0076724E">
      <w:pPr>
        <w:spacing w:before="240" w:after="0" w:line="240" w:lineRule="auto"/>
        <w:jc w:val="both"/>
        <w:rPr>
          <w:rFonts w:ascii="Times New Roman" w:hAnsi="Times New Roman" w:cs="Times New Roman"/>
          <w:sz w:val="24"/>
          <w:szCs w:val="24"/>
          <w:lang w:val="en-GB"/>
        </w:rPr>
      </w:pPr>
      <w:r w:rsidRPr="0076724E">
        <w:rPr>
          <w:rFonts w:ascii="Times New Roman" w:hAnsi="Times New Roman" w:cs="Times New Roman"/>
          <w:sz w:val="24"/>
          <w:szCs w:val="24"/>
          <w:lang w:val="en-GB"/>
        </w:rPr>
        <w:lastRenderedPageBreak/>
        <w:t xml:space="preserve">The findings complement and extend existing literature on cassava trade in sub-Saharan Africa. While </w:t>
      </w:r>
      <w:proofErr w:type="spellStart"/>
      <w:r w:rsidRPr="0076724E">
        <w:rPr>
          <w:rFonts w:ascii="Times New Roman" w:hAnsi="Times New Roman" w:cs="Times New Roman"/>
          <w:sz w:val="24"/>
          <w:szCs w:val="24"/>
          <w:lang w:val="en-GB"/>
        </w:rPr>
        <w:t>Otekunrin</w:t>
      </w:r>
      <w:proofErr w:type="spellEnd"/>
      <w:r w:rsidRPr="0076724E">
        <w:rPr>
          <w:rFonts w:ascii="Times New Roman" w:hAnsi="Times New Roman" w:cs="Times New Roman"/>
          <w:sz w:val="24"/>
          <w:szCs w:val="24"/>
          <w:lang w:val="en-GB"/>
        </w:rPr>
        <w:t xml:space="preserve"> </w:t>
      </w:r>
      <w:r w:rsidRPr="0076724E">
        <w:rPr>
          <w:rFonts w:ascii="Times New Roman" w:hAnsi="Times New Roman" w:cs="Times New Roman"/>
          <w:i/>
          <w:iCs/>
          <w:sz w:val="24"/>
          <w:szCs w:val="24"/>
          <w:lang w:val="en-GB"/>
        </w:rPr>
        <w:t>et al</w:t>
      </w:r>
      <w:r w:rsidRPr="0076724E">
        <w:rPr>
          <w:rFonts w:ascii="Times New Roman" w:hAnsi="Times New Roman" w:cs="Times New Roman"/>
          <w:sz w:val="24"/>
          <w:szCs w:val="24"/>
          <w:lang w:val="en-GB"/>
        </w:rPr>
        <w:t>. (2024) documented global cassava trade patterns with Thailand dominating exports, this study provides granular evidence of Tanzania's emergence as a significant regional exporter within Africa. The observed CAGR of 11.43% over 64 years exceeds the continental average growth rates reported by FAO (2020), positioning Tanzania favourably among African cassava exporters.</w:t>
      </w:r>
    </w:p>
    <w:p w14:paraId="4D204C6C" w14:textId="77777777" w:rsidR="00045344" w:rsidRPr="0076724E" w:rsidRDefault="00045344" w:rsidP="0076724E">
      <w:pPr>
        <w:spacing w:before="240" w:after="0" w:line="240" w:lineRule="auto"/>
        <w:jc w:val="both"/>
        <w:rPr>
          <w:rFonts w:ascii="Times New Roman" w:hAnsi="Times New Roman" w:cs="Times New Roman"/>
          <w:sz w:val="24"/>
          <w:szCs w:val="24"/>
          <w:lang w:val="en-GB"/>
        </w:rPr>
      </w:pPr>
      <w:r w:rsidRPr="0076724E">
        <w:rPr>
          <w:rFonts w:ascii="Times New Roman" w:hAnsi="Times New Roman" w:cs="Times New Roman"/>
          <w:sz w:val="24"/>
          <w:szCs w:val="24"/>
          <w:lang w:val="en-GB"/>
        </w:rPr>
        <w:t>The consistent trade surplus across almost all years (63 of 64) contrasts with studies highlighting Africa's net-importing status for processed cassava products (</w:t>
      </w:r>
      <w:proofErr w:type="spellStart"/>
      <w:r w:rsidRPr="0076724E">
        <w:rPr>
          <w:rFonts w:ascii="Times New Roman" w:hAnsi="Times New Roman" w:cs="Times New Roman"/>
          <w:sz w:val="24"/>
          <w:szCs w:val="24"/>
          <w:lang w:val="en-GB"/>
        </w:rPr>
        <w:t>Ezedinma</w:t>
      </w:r>
      <w:proofErr w:type="spellEnd"/>
      <w:r w:rsidRPr="0076724E">
        <w:rPr>
          <w:rFonts w:ascii="Times New Roman" w:hAnsi="Times New Roman" w:cs="Times New Roman"/>
          <w:sz w:val="24"/>
          <w:szCs w:val="24"/>
          <w:lang w:val="en-GB"/>
        </w:rPr>
        <w:t xml:space="preserve"> </w:t>
      </w:r>
      <w:r w:rsidRPr="0076724E">
        <w:rPr>
          <w:rFonts w:ascii="Times New Roman" w:hAnsi="Times New Roman" w:cs="Times New Roman"/>
          <w:i/>
          <w:iCs/>
          <w:sz w:val="24"/>
          <w:szCs w:val="24"/>
          <w:lang w:val="en-GB"/>
        </w:rPr>
        <w:t>et al</w:t>
      </w:r>
      <w:r w:rsidRPr="0076724E">
        <w:rPr>
          <w:rFonts w:ascii="Times New Roman" w:hAnsi="Times New Roman" w:cs="Times New Roman"/>
          <w:sz w:val="24"/>
          <w:szCs w:val="24"/>
          <w:lang w:val="en-GB"/>
        </w:rPr>
        <w:t>., 2007). This suggests Tanzania's comparative advantage lies primarily in fresh/dried cassava roots for regional markets rather than processed products competing in global markets. Future research should examine value-added opportunities through domestic processing capacity development</w:t>
      </w:r>
    </w:p>
    <w:p w14:paraId="6B20B674" w14:textId="4491E6D9" w:rsidR="00045344" w:rsidRPr="0076724E" w:rsidRDefault="00B84E1A" w:rsidP="0076724E">
      <w:pPr>
        <w:pStyle w:val="Heading2"/>
        <w:spacing w:line="240" w:lineRule="auto"/>
        <w:rPr>
          <w:rFonts w:ascii="Times New Roman" w:hAnsi="Times New Roman" w:cs="Times New Roman"/>
          <w:b/>
          <w:bCs/>
          <w:color w:val="auto"/>
          <w:sz w:val="24"/>
          <w:szCs w:val="24"/>
          <w:lang w:val="en-GB"/>
        </w:rPr>
      </w:pPr>
      <w:bookmarkStart w:id="24" w:name="_Toc220325823"/>
      <w:r w:rsidRPr="0076724E">
        <w:rPr>
          <w:rFonts w:ascii="Times New Roman" w:hAnsi="Times New Roman" w:cs="Times New Roman"/>
          <w:b/>
          <w:bCs/>
          <w:color w:val="auto"/>
          <w:sz w:val="24"/>
          <w:szCs w:val="24"/>
          <w:lang w:val="en-GB"/>
        </w:rPr>
        <w:t>5</w:t>
      </w:r>
      <w:r w:rsidR="00045344" w:rsidRPr="0076724E">
        <w:rPr>
          <w:rFonts w:ascii="Times New Roman" w:hAnsi="Times New Roman" w:cs="Times New Roman"/>
          <w:b/>
          <w:bCs/>
          <w:color w:val="auto"/>
          <w:sz w:val="24"/>
          <w:szCs w:val="24"/>
          <w:lang w:val="en-GB"/>
        </w:rPr>
        <w:t xml:space="preserve">.2 Model </w:t>
      </w:r>
      <w:r w:rsidR="003A6C85" w:rsidRPr="003A6C85">
        <w:rPr>
          <w:rFonts w:ascii="Times New Roman" w:hAnsi="Times New Roman" w:cs="Times New Roman"/>
          <w:b/>
          <w:bCs/>
          <w:color w:val="auto"/>
          <w:sz w:val="24"/>
          <w:szCs w:val="24"/>
          <w:lang w:val="en-GB"/>
        </w:rPr>
        <w:t>performance and methodological considerations</w:t>
      </w:r>
      <w:bookmarkEnd w:id="24"/>
    </w:p>
    <w:p w14:paraId="61047D92" w14:textId="77777777" w:rsidR="00045344" w:rsidRPr="0076724E" w:rsidRDefault="00045344" w:rsidP="0076724E">
      <w:pPr>
        <w:spacing w:before="240" w:after="0" w:line="240" w:lineRule="auto"/>
        <w:jc w:val="both"/>
        <w:rPr>
          <w:rFonts w:ascii="Times New Roman" w:hAnsi="Times New Roman" w:cs="Times New Roman"/>
          <w:sz w:val="24"/>
          <w:szCs w:val="24"/>
          <w:lang w:val="en-GB"/>
        </w:rPr>
      </w:pPr>
      <w:r w:rsidRPr="0076724E">
        <w:rPr>
          <w:rFonts w:ascii="Times New Roman" w:hAnsi="Times New Roman" w:cs="Times New Roman"/>
          <w:sz w:val="24"/>
          <w:szCs w:val="24"/>
          <w:lang w:val="en-GB"/>
        </w:rPr>
        <w:t xml:space="preserve">The selection of ARIMA (2,1,0) over more complex specifications reflects a trade-off between model parsimony and forecasting accuracy. While hybrid models combining ARIMA with machine learning techniques such as Long Short-Term Memory (LSTM) networks have shown superior performance in some agricultural price forecasting applications (Kashif and </w:t>
      </w:r>
      <w:proofErr w:type="spellStart"/>
      <w:r w:rsidRPr="0076724E">
        <w:rPr>
          <w:rFonts w:ascii="Times New Roman" w:hAnsi="Times New Roman" w:cs="Times New Roman"/>
          <w:sz w:val="24"/>
          <w:szCs w:val="24"/>
          <w:lang w:val="en-GB"/>
        </w:rPr>
        <w:t>Ślepaczuk</w:t>
      </w:r>
      <w:proofErr w:type="spellEnd"/>
      <w:r w:rsidRPr="0076724E">
        <w:rPr>
          <w:rFonts w:ascii="Times New Roman" w:hAnsi="Times New Roman" w:cs="Times New Roman"/>
          <w:sz w:val="24"/>
          <w:szCs w:val="24"/>
          <w:lang w:val="en-GB"/>
        </w:rPr>
        <w:t>, 2025), these approaches require substantially larger datasets and computational resources. For trade forecasting with annual data spanning 64 years, the ARIMA framework offers an optimal balance of theoretical rigor, interpretability, and forecasting reliability. The observed non-normality of residuals, while statistically significant, does not invalidate the model's forecasting capability. Recent comparative studies have demonstrated that ARIMA models maintain robust forecasting performance even with non-normal residuals, particularly when residual autocorrelation is absent (Kishor, 2023). The confidence intervals generated by the model should nonetheless be interpreted conservatively, particularly for extreme scenarios.</w:t>
      </w:r>
    </w:p>
    <w:p w14:paraId="04522694" w14:textId="77777777" w:rsidR="00045344" w:rsidRPr="0076724E" w:rsidRDefault="00045344" w:rsidP="0076724E">
      <w:pPr>
        <w:spacing w:before="240" w:after="0" w:line="240" w:lineRule="auto"/>
        <w:jc w:val="both"/>
        <w:rPr>
          <w:rFonts w:ascii="Times New Roman" w:hAnsi="Times New Roman" w:cs="Times New Roman"/>
          <w:sz w:val="24"/>
          <w:szCs w:val="24"/>
          <w:lang w:val="en-GB"/>
        </w:rPr>
      </w:pPr>
      <w:r w:rsidRPr="0076724E">
        <w:rPr>
          <w:rFonts w:ascii="Times New Roman" w:hAnsi="Times New Roman" w:cs="Times New Roman"/>
          <w:sz w:val="24"/>
          <w:szCs w:val="24"/>
          <w:lang w:val="en-GB"/>
        </w:rPr>
        <w:t>The non-normality of residuals (Shapiro-Wilk W = 0.221) represents a departure from classical ARIMA assumptions. This is attributable to the structural break in the export series around 2021, where volumes increased by an order of magnitude. While alternative approaches such as regime-switching models or GARCH specifications could potentially better capture this heteroskedasticity, they would sacrifice the interpretability and forecasting simplicity of the ARIMA framework. Following Stock and Watson (2003), the linear ARIMA approach remains robust for forecasting purposes even with non-normal residuals, though prediction intervals should be interpreted conservatively.</w:t>
      </w:r>
    </w:p>
    <w:p w14:paraId="5E9EBBC1" w14:textId="77777777" w:rsidR="00045344" w:rsidRPr="0076724E" w:rsidRDefault="00045344" w:rsidP="0076724E">
      <w:pPr>
        <w:spacing w:before="240" w:after="0" w:line="240" w:lineRule="auto"/>
        <w:jc w:val="both"/>
        <w:rPr>
          <w:rFonts w:ascii="Times New Roman" w:hAnsi="Times New Roman" w:cs="Times New Roman"/>
          <w:sz w:val="24"/>
          <w:szCs w:val="24"/>
          <w:lang w:val="en-GB"/>
        </w:rPr>
      </w:pPr>
      <w:r w:rsidRPr="0076724E">
        <w:rPr>
          <w:rFonts w:ascii="Times New Roman" w:hAnsi="Times New Roman" w:cs="Times New Roman"/>
          <w:sz w:val="24"/>
          <w:szCs w:val="24"/>
          <w:lang w:val="en-GB"/>
        </w:rPr>
        <w:t>The historical data compilation combining FAOSTAT and TRA sources introduces potential measurement inconsistencies. FAOSTAT data rely on country reporting which may underestimate informal cross-border trade, while TRA customs data capture only formal registered transactions. However, the concordance in overlapping years and the consistent upward trend across data sources provide reasonable confidence in the merged series.</w:t>
      </w:r>
    </w:p>
    <w:p w14:paraId="0A95B99A" w14:textId="352C2DA2" w:rsidR="00045344" w:rsidRPr="0076724E" w:rsidRDefault="00B84E1A" w:rsidP="0076724E">
      <w:pPr>
        <w:pStyle w:val="Heading2"/>
        <w:spacing w:line="240" w:lineRule="auto"/>
        <w:rPr>
          <w:rFonts w:ascii="Times New Roman" w:hAnsi="Times New Roman" w:cs="Times New Roman"/>
          <w:b/>
          <w:bCs/>
          <w:color w:val="auto"/>
          <w:sz w:val="24"/>
          <w:szCs w:val="24"/>
          <w:lang w:val="en-GB"/>
        </w:rPr>
      </w:pPr>
      <w:bookmarkStart w:id="25" w:name="_Toc220325824"/>
      <w:r w:rsidRPr="0076724E">
        <w:rPr>
          <w:rFonts w:ascii="Times New Roman" w:hAnsi="Times New Roman" w:cs="Times New Roman"/>
          <w:b/>
          <w:bCs/>
          <w:color w:val="auto"/>
          <w:sz w:val="24"/>
          <w:szCs w:val="24"/>
          <w:lang w:val="en-GB"/>
        </w:rPr>
        <w:t>5</w:t>
      </w:r>
      <w:r w:rsidR="00045344" w:rsidRPr="0076724E">
        <w:rPr>
          <w:rFonts w:ascii="Times New Roman" w:hAnsi="Times New Roman" w:cs="Times New Roman"/>
          <w:b/>
          <w:bCs/>
          <w:color w:val="auto"/>
          <w:sz w:val="24"/>
          <w:szCs w:val="24"/>
          <w:lang w:val="en-GB"/>
        </w:rPr>
        <w:t xml:space="preserve">.3 Reflections of </w:t>
      </w:r>
      <w:r w:rsidR="003A6C85" w:rsidRPr="003A6C85">
        <w:rPr>
          <w:rFonts w:ascii="Times New Roman" w:hAnsi="Times New Roman" w:cs="Times New Roman"/>
          <w:b/>
          <w:bCs/>
          <w:color w:val="auto"/>
          <w:sz w:val="24"/>
          <w:szCs w:val="24"/>
          <w:lang w:val="en-GB"/>
        </w:rPr>
        <w:t>forecast results</w:t>
      </w:r>
      <w:bookmarkEnd w:id="25"/>
    </w:p>
    <w:p w14:paraId="2CFDFE4C" w14:textId="77777777" w:rsidR="00045344" w:rsidRPr="0076724E" w:rsidRDefault="00045344" w:rsidP="0076724E">
      <w:pPr>
        <w:spacing w:line="240" w:lineRule="auto"/>
        <w:jc w:val="both"/>
        <w:rPr>
          <w:rFonts w:ascii="Times New Roman" w:hAnsi="Times New Roman" w:cs="Times New Roman"/>
          <w:sz w:val="24"/>
          <w:szCs w:val="24"/>
          <w:lang w:val="en-GB"/>
        </w:rPr>
      </w:pPr>
      <w:r w:rsidRPr="0076724E">
        <w:rPr>
          <w:rFonts w:ascii="Times New Roman" w:hAnsi="Times New Roman" w:cs="Times New Roman"/>
          <w:sz w:val="24"/>
          <w:szCs w:val="24"/>
          <w:lang w:val="en-GB"/>
        </w:rPr>
        <w:t>The forecast stabili</w:t>
      </w:r>
      <w:r w:rsidR="00A4132B" w:rsidRPr="0076724E">
        <w:rPr>
          <w:rFonts w:ascii="Times New Roman" w:hAnsi="Times New Roman" w:cs="Times New Roman"/>
          <w:sz w:val="24"/>
          <w:szCs w:val="24"/>
          <w:lang w:val="en-GB"/>
        </w:rPr>
        <w:t>s</w:t>
      </w:r>
      <w:r w:rsidRPr="0076724E">
        <w:rPr>
          <w:rFonts w:ascii="Times New Roman" w:hAnsi="Times New Roman" w:cs="Times New Roman"/>
          <w:sz w:val="24"/>
          <w:szCs w:val="24"/>
          <w:lang w:val="en-GB"/>
        </w:rPr>
        <w:t>ation at 44,000-46,000 metric tons annually through 2030 suggests that Tanzania's cassava export sector may be approaching a new equilibrium following the rapid expansion of 2021-2024. This stabili</w:t>
      </w:r>
      <w:r w:rsidR="00A4132B" w:rsidRPr="0076724E">
        <w:rPr>
          <w:rFonts w:ascii="Times New Roman" w:hAnsi="Times New Roman" w:cs="Times New Roman"/>
          <w:sz w:val="24"/>
          <w:szCs w:val="24"/>
          <w:lang w:val="en-GB"/>
        </w:rPr>
        <w:t>s</w:t>
      </w:r>
      <w:r w:rsidRPr="0076724E">
        <w:rPr>
          <w:rFonts w:ascii="Times New Roman" w:hAnsi="Times New Roman" w:cs="Times New Roman"/>
          <w:sz w:val="24"/>
          <w:szCs w:val="24"/>
          <w:lang w:val="en-GB"/>
        </w:rPr>
        <w:t xml:space="preserve">ation reflects several constraining factors that merit policy attention. First, domestic cassava demand is projected to increase as population growth continues </w:t>
      </w:r>
      <w:r w:rsidRPr="0076724E">
        <w:rPr>
          <w:rFonts w:ascii="Times New Roman" w:hAnsi="Times New Roman" w:cs="Times New Roman"/>
          <w:sz w:val="24"/>
          <w:szCs w:val="24"/>
          <w:lang w:val="en-GB"/>
        </w:rPr>
        <w:lastRenderedPageBreak/>
        <w:t>at approximately 3% annually and urbani</w:t>
      </w:r>
      <w:r w:rsidR="00A4132B" w:rsidRPr="0076724E">
        <w:rPr>
          <w:rFonts w:ascii="Times New Roman" w:hAnsi="Times New Roman" w:cs="Times New Roman"/>
          <w:sz w:val="24"/>
          <w:szCs w:val="24"/>
          <w:lang w:val="en-GB"/>
        </w:rPr>
        <w:t>s</w:t>
      </w:r>
      <w:r w:rsidRPr="0076724E">
        <w:rPr>
          <w:rFonts w:ascii="Times New Roman" w:hAnsi="Times New Roman" w:cs="Times New Roman"/>
          <w:sz w:val="24"/>
          <w:szCs w:val="24"/>
          <w:lang w:val="en-GB"/>
        </w:rPr>
        <w:t>ation drives consumption of processed cassava products (</w:t>
      </w:r>
      <w:proofErr w:type="spellStart"/>
      <w:r w:rsidRPr="0076724E">
        <w:rPr>
          <w:rFonts w:ascii="Times New Roman" w:hAnsi="Times New Roman" w:cs="Times New Roman"/>
          <w:sz w:val="24"/>
          <w:szCs w:val="24"/>
          <w:lang w:val="en-GB"/>
        </w:rPr>
        <w:t>Msuha</w:t>
      </w:r>
      <w:proofErr w:type="spellEnd"/>
      <w:r w:rsidRPr="0076724E">
        <w:rPr>
          <w:rFonts w:ascii="Times New Roman" w:hAnsi="Times New Roman" w:cs="Times New Roman"/>
          <w:sz w:val="24"/>
          <w:szCs w:val="24"/>
          <w:lang w:val="en-GB"/>
        </w:rPr>
        <w:t xml:space="preserve"> </w:t>
      </w:r>
      <w:r w:rsidRPr="0076724E">
        <w:rPr>
          <w:rFonts w:ascii="Times New Roman" w:hAnsi="Times New Roman" w:cs="Times New Roman"/>
          <w:i/>
          <w:iCs/>
          <w:sz w:val="24"/>
          <w:szCs w:val="24"/>
          <w:lang w:val="en-GB"/>
        </w:rPr>
        <w:t>et al</w:t>
      </w:r>
      <w:r w:rsidRPr="0076724E">
        <w:rPr>
          <w:rFonts w:ascii="Times New Roman" w:hAnsi="Times New Roman" w:cs="Times New Roman"/>
          <w:sz w:val="24"/>
          <w:szCs w:val="24"/>
          <w:lang w:val="en-GB"/>
        </w:rPr>
        <w:t xml:space="preserve">., 2019). Balancing export growth with domestic food security requirements will become increasingly challenging. Second, </w:t>
      </w:r>
      <w:proofErr w:type="spellStart"/>
      <w:r w:rsidRPr="0076724E">
        <w:rPr>
          <w:rFonts w:ascii="Times New Roman" w:hAnsi="Times New Roman" w:cs="Times New Roman"/>
          <w:sz w:val="24"/>
          <w:szCs w:val="24"/>
          <w:lang w:val="en-GB"/>
        </w:rPr>
        <w:t>neighboring</w:t>
      </w:r>
      <w:proofErr w:type="spellEnd"/>
      <w:r w:rsidRPr="0076724E">
        <w:rPr>
          <w:rFonts w:ascii="Times New Roman" w:hAnsi="Times New Roman" w:cs="Times New Roman"/>
          <w:sz w:val="24"/>
          <w:szCs w:val="24"/>
          <w:lang w:val="en-GB"/>
        </w:rPr>
        <w:t xml:space="preserve"> countries are investing in their own cassava production capacity, potentially reducing import dependence on Tanzania. Kenya's Agricultural Sector Transformation and Growth Strategy targets cassava production expansion, while Rwanda's agriculture intensification program emphasi</w:t>
      </w:r>
      <w:r w:rsidR="00A4132B" w:rsidRPr="0076724E">
        <w:rPr>
          <w:rFonts w:ascii="Times New Roman" w:hAnsi="Times New Roman" w:cs="Times New Roman"/>
          <w:sz w:val="24"/>
          <w:szCs w:val="24"/>
          <w:lang w:val="en-GB"/>
        </w:rPr>
        <w:t>s</w:t>
      </w:r>
      <w:r w:rsidRPr="0076724E">
        <w:rPr>
          <w:rFonts w:ascii="Times New Roman" w:hAnsi="Times New Roman" w:cs="Times New Roman"/>
          <w:sz w:val="24"/>
          <w:szCs w:val="24"/>
          <w:lang w:val="en-GB"/>
        </w:rPr>
        <w:t>es root crop productivity (</w:t>
      </w:r>
      <w:proofErr w:type="spellStart"/>
      <w:r w:rsidRPr="0076724E">
        <w:rPr>
          <w:rFonts w:ascii="Times New Roman" w:hAnsi="Times New Roman" w:cs="Times New Roman"/>
          <w:sz w:val="24"/>
          <w:szCs w:val="24"/>
          <w:lang w:val="en-GB"/>
        </w:rPr>
        <w:t>Singirankabo</w:t>
      </w:r>
      <w:proofErr w:type="spellEnd"/>
      <w:r w:rsidRPr="0076724E">
        <w:rPr>
          <w:rFonts w:ascii="Times New Roman" w:hAnsi="Times New Roman" w:cs="Times New Roman"/>
          <w:sz w:val="24"/>
          <w:szCs w:val="24"/>
          <w:lang w:val="en-GB"/>
        </w:rPr>
        <w:t xml:space="preserve"> </w:t>
      </w:r>
      <w:r w:rsidRPr="0076724E">
        <w:rPr>
          <w:rFonts w:ascii="Times New Roman" w:hAnsi="Times New Roman" w:cs="Times New Roman"/>
          <w:i/>
          <w:iCs/>
          <w:sz w:val="24"/>
          <w:szCs w:val="24"/>
          <w:lang w:val="en-GB"/>
        </w:rPr>
        <w:t>et al</w:t>
      </w:r>
      <w:r w:rsidRPr="0076724E">
        <w:rPr>
          <w:rFonts w:ascii="Times New Roman" w:hAnsi="Times New Roman" w:cs="Times New Roman"/>
          <w:sz w:val="24"/>
          <w:szCs w:val="24"/>
          <w:lang w:val="en-GB"/>
        </w:rPr>
        <w:t xml:space="preserve">., 2022; Kaburu </w:t>
      </w:r>
      <w:r w:rsidRPr="0076724E">
        <w:rPr>
          <w:rFonts w:ascii="Times New Roman" w:hAnsi="Times New Roman" w:cs="Times New Roman"/>
          <w:i/>
          <w:iCs/>
          <w:sz w:val="24"/>
          <w:szCs w:val="24"/>
          <w:lang w:val="en-GB"/>
        </w:rPr>
        <w:t>et al</w:t>
      </w:r>
      <w:r w:rsidRPr="0076724E">
        <w:rPr>
          <w:rFonts w:ascii="Times New Roman" w:hAnsi="Times New Roman" w:cs="Times New Roman"/>
          <w:sz w:val="24"/>
          <w:szCs w:val="24"/>
          <w:lang w:val="en-GB"/>
        </w:rPr>
        <w:t>., 2025). Third, informal cross-border trade, which may account for a substantial but unmeasured portion of actual exports, faces increasing formali</w:t>
      </w:r>
      <w:r w:rsidR="00A4132B" w:rsidRPr="0076724E">
        <w:rPr>
          <w:rFonts w:ascii="Times New Roman" w:hAnsi="Times New Roman" w:cs="Times New Roman"/>
          <w:sz w:val="24"/>
          <w:szCs w:val="24"/>
          <w:lang w:val="en-GB"/>
        </w:rPr>
        <w:t>s</w:t>
      </w:r>
      <w:r w:rsidRPr="0076724E">
        <w:rPr>
          <w:rFonts w:ascii="Times New Roman" w:hAnsi="Times New Roman" w:cs="Times New Roman"/>
          <w:sz w:val="24"/>
          <w:szCs w:val="24"/>
          <w:lang w:val="en-GB"/>
        </w:rPr>
        <w:t>ation pressure under EAC harmoni</w:t>
      </w:r>
      <w:r w:rsidR="00B84E1A" w:rsidRPr="0076724E">
        <w:rPr>
          <w:rFonts w:ascii="Times New Roman" w:hAnsi="Times New Roman" w:cs="Times New Roman"/>
          <w:sz w:val="24"/>
          <w:szCs w:val="24"/>
          <w:lang w:val="en-GB"/>
        </w:rPr>
        <w:t>s</w:t>
      </w:r>
      <w:r w:rsidRPr="0076724E">
        <w:rPr>
          <w:rFonts w:ascii="Times New Roman" w:hAnsi="Times New Roman" w:cs="Times New Roman"/>
          <w:sz w:val="24"/>
          <w:szCs w:val="24"/>
          <w:lang w:val="en-GB"/>
        </w:rPr>
        <w:t>ation initiatives.</w:t>
      </w:r>
    </w:p>
    <w:p w14:paraId="271169AD" w14:textId="77777777" w:rsidR="00045344" w:rsidRPr="0076724E" w:rsidRDefault="00045344" w:rsidP="0076724E">
      <w:pPr>
        <w:spacing w:line="240" w:lineRule="auto"/>
        <w:jc w:val="both"/>
        <w:rPr>
          <w:rFonts w:ascii="Times New Roman" w:hAnsi="Times New Roman" w:cs="Times New Roman"/>
          <w:sz w:val="24"/>
          <w:szCs w:val="24"/>
          <w:lang w:val="en-GB"/>
        </w:rPr>
      </w:pPr>
      <w:r w:rsidRPr="0076724E">
        <w:rPr>
          <w:rFonts w:ascii="Times New Roman" w:hAnsi="Times New Roman" w:cs="Times New Roman"/>
          <w:sz w:val="24"/>
          <w:szCs w:val="24"/>
          <w:lang w:val="en-GB"/>
        </w:rPr>
        <w:t>The wide confidence intervals (ranging from ±17,659 MT in 2025 to ±43,256 MT in 2030) reflect substantial forecast uncertainty and should inform risk management strategies. The lower bounds remain positive throughout, indicating sustained trade surplus with high probability. However, the potential for extreme positive outcomes (upper CI reaching 89,562 MT by 2030) suggests policy makers should prepare for scenarios of continued rapid growth.</w:t>
      </w:r>
    </w:p>
    <w:p w14:paraId="620FD0EF" w14:textId="77777777" w:rsidR="00045344" w:rsidRPr="0076724E" w:rsidRDefault="00045344" w:rsidP="0076724E">
      <w:pPr>
        <w:spacing w:line="240" w:lineRule="auto"/>
        <w:jc w:val="both"/>
        <w:rPr>
          <w:rFonts w:ascii="Times New Roman" w:hAnsi="Times New Roman" w:cs="Times New Roman"/>
          <w:sz w:val="24"/>
          <w:szCs w:val="24"/>
          <w:lang w:val="en-GB"/>
        </w:rPr>
      </w:pPr>
      <w:r w:rsidRPr="0076724E">
        <w:rPr>
          <w:rFonts w:ascii="Times New Roman" w:hAnsi="Times New Roman" w:cs="Times New Roman"/>
          <w:sz w:val="24"/>
          <w:szCs w:val="24"/>
          <w:lang w:val="en-GB"/>
        </w:rPr>
        <w:t>These forecasts assume continuation of current policy environments and market conditions. Factors that could significantly alter the trend include changes in regional trade policies or EAC tariff structures, emergence of competing suppliers in the region, domestic policy shifts regarding cassava industriali</w:t>
      </w:r>
      <w:r w:rsidR="00B84E1A" w:rsidRPr="0076724E">
        <w:rPr>
          <w:rFonts w:ascii="Times New Roman" w:hAnsi="Times New Roman" w:cs="Times New Roman"/>
          <w:sz w:val="24"/>
          <w:szCs w:val="24"/>
          <w:lang w:val="en-GB"/>
        </w:rPr>
        <w:t>s</w:t>
      </w:r>
      <w:r w:rsidRPr="0076724E">
        <w:rPr>
          <w:rFonts w:ascii="Times New Roman" w:hAnsi="Times New Roman" w:cs="Times New Roman"/>
          <w:sz w:val="24"/>
          <w:szCs w:val="24"/>
          <w:lang w:val="en-GB"/>
        </w:rPr>
        <w:t>ation and climate-related production shocks.</w:t>
      </w:r>
    </w:p>
    <w:p w14:paraId="13CF5EC8" w14:textId="77777777" w:rsidR="00045344" w:rsidRPr="0076724E" w:rsidRDefault="00B84E1A" w:rsidP="0076724E">
      <w:pPr>
        <w:pStyle w:val="Heading1"/>
        <w:numPr>
          <w:ilvl w:val="0"/>
          <w:numId w:val="2"/>
        </w:numPr>
        <w:spacing w:line="240" w:lineRule="auto"/>
        <w:rPr>
          <w:rFonts w:ascii="Times New Roman" w:hAnsi="Times New Roman" w:cs="Times New Roman"/>
          <w:b/>
          <w:bCs/>
          <w:color w:val="auto"/>
          <w:sz w:val="24"/>
          <w:szCs w:val="24"/>
          <w:lang w:val="en-GB"/>
        </w:rPr>
      </w:pPr>
      <w:bookmarkStart w:id="26" w:name="_Toc220325825"/>
      <w:r w:rsidRPr="0076724E">
        <w:rPr>
          <w:rFonts w:ascii="Times New Roman" w:hAnsi="Times New Roman" w:cs="Times New Roman"/>
          <w:b/>
          <w:bCs/>
          <w:color w:val="auto"/>
          <w:sz w:val="24"/>
          <w:szCs w:val="24"/>
          <w:lang w:val="en-GB"/>
        </w:rPr>
        <w:t>Conclusions and recommendations</w:t>
      </w:r>
      <w:bookmarkEnd w:id="26"/>
    </w:p>
    <w:p w14:paraId="1573DF19" w14:textId="77777777" w:rsidR="00045344" w:rsidRPr="0076724E" w:rsidRDefault="00B84E1A" w:rsidP="0076724E">
      <w:pPr>
        <w:pStyle w:val="Heading2"/>
        <w:spacing w:line="240" w:lineRule="auto"/>
        <w:rPr>
          <w:rFonts w:ascii="Times New Roman" w:hAnsi="Times New Roman" w:cs="Times New Roman"/>
          <w:b/>
          <w:bCs/>
          <w:color w:val="auto"/>
          <w:sz w:val="24"/>
          <w:szCs w:val="24"/>
          <w:lang w:val="en-GB"/>
        </w:rPr>
      </w:pPr>
      <w:bookmarkStart w:id="27" w:name="_Toc220325826"/>
      <w:r w:rsidRPr="0076724E">
        <w:rPr>
          <w:rFonts w:ascii="Times New Roman" w:hAnsi="Times New Roman" w:cs="Times New Roman"/>
          <w:b/>
          <w:bCs/>
          <w:color w:val="auto"/>
          <w:sz w:val="24"/>
          <w:szCs w:val="24"/>
          <w:lang w:val="en-GB"/>
        </w:rPr>
        <w:t>6</w:t>
      </w:r>
      <w:r w:rsidR="00045344" w:rsidRPr="0076724E">
        <w:rPr>
          <w:rFonts w:ascii="Times New Roman" w:hAnsi="Times New Roman" w:cs="Times New Roman"/>
          <w:b/>
          <w:bCs/>
          <w:color w:val="auto"/>
          <w:sz w:val="24"/>
          <w:szCs w:val="24"/>
          <w:lang w:val="en-GB"/>
        </w:rPr>
        <w:t>.1 Conclusion</w:t>
      </w:r>
      <w:bookmarkEnd w:id="27"/>
    </w:p>
    <w:p w14:paraId="19427DA7" w14:textId="77777777" w:rsidR="00045344" w:rsidRPr="0076724E" w:rsidRDefault="00045344" w:rsidP="0076724E">
      <w:pPr>
        <w:spacing w:after="0" w:line="240" w:lineRule="auto"/>
        <w:jc w:val="both"/>
        <w:rPr>
          <w:rFonts w:ascii="Times New Roman" w:hAnsi="Times New Roman" w:cs="Times New Roman"/>
          <w:sz w:val="24"/>
          <w:szCs w:val="24"/>
          <w:lang w:val="en-GB"/>
        </w:rPr>
      </w:pPr>
      <w:r w:rsidRPr="0076724E">
        <w:rPr>
          <w:rFonts w:ascii="Times New Roman" w:hAnsi="Times New Roman" w:cs="Times New Roman"/>
          <w:sz w:val="24"/>
          <w:szCs w:val="24"/>
          <w:lang w:val="en-GB"/>
        </w:rPr>
        <w:t>This study analysed Tanzania’s cassava net export performance over the period 1961–2024 using the ARIMA modelling framework to examine long-term dynamics and forecast future trends. The results show that Tanzania maintained a positive cassava trade balance in 98.4% of the study period, accumulating cumulative net exports of 200,294 metric tons, which confirms the country’s position as a reliable net exporter within the East African region. Export growth accelerated markedly across successive policy regimes, with the compound annual growth rate rising from 5.23% in the pre-Structural Adjustment period to 23.95% in the modern growth period. The concentration of 86.7% of cumulative exports in the 2011–2024 period provides strong evidence of a structural transformation in Tanzania’s cassava export sector toward greater commerciali</w:t>
      </w:r>
      <w:r w:rsidR="00A4132B" w:rsidRPr="0076724E">
        <w:rPr>
          <w:rFonts w:ascii="Times New Roman" w:hAnsi="Times New Roman" w:cs="Times New Roman"/>
          <w:sz w:val="24"/>
          <w:szCs w:val="24"/>
          <w:lang w:val="en-GB"/>
        </w:rPr>
        <w:t>s</w:t>
      </w:r>
      <w:r w:rsidRPr="0076724E">
        <w:rPr>
          <w:rFonts w:ascii="Times New Roman" w:hAnsi="Times New Roman" w:cs="Times New Roman"/>
          <w:sz w:val="24"/>
          <w:szCs w:val="24"/>
          <w:lang w:val="en-GB"/>
        </w:rPr>
        <w:t>ation and regional market integration.</w:t>
      </w:r>
      <w:r w:rsidR="00B84E1A" w:rsidRPr="0076724E">
        <w:rPr>
          <w:rFonts w:ascii="Times New Roman" w:hAnsi="Times New Roman" w:cs="Times New Roman"/>
          <w:sz w:val="24"/>
          <w:szCs w:val="24"/>
          <w:lang w:val="en-GB"/>
        </w:rPr>
        <w:t xml:space="preserve"> </w:t>
      </w:r>
      <w:r w:rsidRPr="0076724E">
        <w:rPr>
          <w:rFonts w:ascii="Times New Roman" w:hAnsi="Times New Roman" w:cs="Times New Roman"/>
          <w:sz w:val="24"/>
          <w:szCs w:val="24"/>
          <w:lang w:val="en-GB"/>
        </w:rPr>
        <w:t>The ARIM (2,1,0) model, selected based on Akaike and Bayesian Information Criteria, adequately captured the net export dynamics despite residual non-normality arising from recent structural shifts. Diagnostic tests confirmed the absence of residual autocorrelation, supporting the model’s suitability for forecasting. Forecasts indicate that cassava net exports are likely to stabili</w:t>
      </w:r>
      <w:r w:rsidR="00A4132B" w:rsidRPr="0076724E">
        <w:rPr>
          <w:rFonts w:ascii="Times New Roman" w:hAnsi="Times New Roman" w:cs="Times New Roman"/>
          <w:sz w:val="24"/>
          <w:szCs w:val="24"/>
          <w:lang w:val="en-GB"/>
        </w:rPr>
        <w:t>s</w:t>
      </w:r>
      <w:r w:rsidRPr="0076724E">
        <w:rPr>
          <w:rFonts w:ascii="Times New Roman" w:hAnsi="Times New Roman" w:cs="Times New Roman"/>
          <w:sz w:val="24"/>
          <w:szCs w:val="24"/>
          <w:lang w:val="en-GB"/>
        </w:rPr>
        <w:t xml:space="preserve">e at approximately 44,000 - 46,000 metric tons annually through 2030, representing consolidation at levels substantially above historical averages but below the exceptional 2022 peak. The widening confidence intervals highlight increasing uncertainty over longer horizons, </w:t>
      </w:r>
      <w:proofErr w:type="spellStart"/>
      <w:r w:rsidRPr="0076724E">
        <w:rPr>
          <w:rFonts w:ascii="Times New Roman" w:hAnsi="Times New Roman" w:cs="Times New Roman"/>
          <w:sz w:val="24"/>
          <w:szCs w:val="24"/>
        </w:rPr>
        <w:t>emphasi</w:t>
      </w:r>
      <w:r w:rsidR="00A4132B" w:rsidRPr="0076724E">
        <w:rPr>
          <w:rFonts w:ascii="Times New Roman" w:hAnsi="Times New Roman" w:cs="Times New Roman"/>
          <w:sz w:val="24"/>
          <w:szCs w:val="24"/>
        </w:rPr>
        <w:t>s</w:t>
      </w:r>
      <w:r w:rsidRPr="0076724E">
        <w:rPr>
          <w:rFonts w:ascii="Times New Roman" w:hAnsi="Times New Roman" w:cs="Times New Roman"/>
          <w:sz w:val="24"/>
          <w:szCs w:val="24"/>
        </w:rPr>
        <w:t>ing</w:t>
      </w:r>
      <w:proofErr w:type="spellEnd"/>
      <w:r w:rsidRPr="0076724E">
        <w:rPr>
          <w:rFonts w:ascii="Times New Roman" w:hAnsi="Times New Roman" w:cs="Times New Roman"/>
          <w:sz w:val="24"/>
          <w:szCs w:val="24"/>
          <w:lang w:val="en-GB"/>
        </w:rPr>
        <w:t xml:space="preserve"> the need for adaptive policy measures that support export growth while safeguarding domestic food security.</w:t>
      </w:r>
    </w:p>
    <w:p w14:paraId="26DB32A8" w14:textId="77777777" w:rsidR="00045344" w:rsidRPr="0076724E" w:rsidRDefault="00B84E1A" w:rsidP="0076724E">
      <w:pPr>
        <w:pStyle w:val="Heading2"/>
        <w:spacing w:line="240" w:lineRule="auto"/>
        <w:rPr>
          <w:rFonts w:ascii="Times New Roman" w:hAnsi="Times New Roman" w:cs="Times New Roman"/>
          <w:b/>
          <w:bCs/>
          <w:color w:val="auto"/>
          <w:sz w:val="24"/>
          <w:szCs w:val="24"/>
          <w:lang w:val="en-GB"/>
        </w:rPr>
      </w:pPr>
      <w:bookmarkStart w:id="28" w:name="_Toc220325827"/>
      <w:r w:rsidRPr="0076724E">
        <w:rPr>
          <w:rFonts w:ascii="Times New Roman" w:hAnsi="Times New Roman" w:cs="Times New Roman"/>
          <w:b/>
          <w:bCs/>
          <w:color w:val="auto"/>
          <w:sz w:val="24"/>
          <w:szCs w:val="24"/>
          <w:lang w:val="en-GB"/>
        </w:rPr>
        <w:t>6</w:t>
      </w:r>
      <w:r w:rsidR="00045344" w:rsidRPr="0076724E">
        <w:rPr>
          <w:rFonts w:ascii="Times New Roman" w:hAnsi="Times New Roman" w:cs="Times New Roman"/>
          <w:b/>
          <w:bCs/>
          <w:color w:val="auto"/>
          <w:sz w:val="24"/>
          <w:szCs w:val="24"/>
          <w:lang w:val="en-GB"/>
        </w:rPr>
        <w:t xml:space="preserve">.2 Policy implications </w:t>
      </w:r>
      <w:bookmarkEnd w:id="28"/>
    </w:p>
    <w:p w14:paraId="571A514B" w14:textId="790C48CB" w:rsidR="0076724E" w:rsidRPr="0076724E" w:rsidRDefault="0076724E" w:rsidP="0076724E">
      <w:pPr>
        <w:spacing w:before="240" w:after="0" w:line="240" w:lineRule="auto"/>
        <w:jc w:val="both"/>
        <w:rPr>
          <w:rFonts w:ascii="Times New Roman" w:hAnsi="Times New Roman" w:cs="Times New Roman"/>
          <w:sz w:val="24"/>
          <w:szCs w:val="24"/>
          <w:lang w:val="en-GB"/>
        </w:rPr>
      </w:pPr>
      <w:r w:rsidRPr="0076724E">
        <w:rPr>
          <w:rFonts w:ascii="Times New Roman" w:hAnsi="Times New Roman" w:cs="Times New Roman"/>
          <w:sz w:val="24"/>
          <w:szCs w:val="24"/>
          <w:lang w:val="en-GB"/>
        </w:rPr>
        <w:t>Based on the study’s findings, several policy implications emerge for policymakers, private sector stakeholders, and researchers, with particular emphasis on the strategic role of geopolitics and economic diplomacy in shaping cassava export potential.</w:t>
      </w:r>
      <w:r>
        <w:rPr>
          <w:rFonts w:ascii="Times New Roman" w:hAnsi="Times New Roman" w:cs="Times New Roman"/>
          <w:sz w:val="24"/>
          <w:szCs w:val="24"/>
          <w:lang w:val="en-GB"/>
        </w:rPr>
        <w:t xml:space="preserve"> </w:t>
      </w:r>
      <w:r w:rsidRPr="0076724E">
        <w:rPr>
          <w:rFonts w:ascii="Times New Roman" w:hAnsi="Times New Roman" w:cs="Times New Roman"/>
          <w:sz w:val="24"/>
          <w:szCs w:val="24"/>
          <w:lang w:val="en-GB"/>
        </w:rPr>
        <w:t xml:space="preserve">First, there is a need to prioritise the </w:t>
      </w:r>
      <w:r w:rsidRPr="0076724E">
        <w:rPr>
          <w:rFonts w:ascii="Times New Roman" w:hAnsi="Times New Roman" w:cs="Times New Roman"/>
          <w:sz w:val="24"/>
          <w:szCs w:val="24"/>
          <w:lang w:val="en-GB"/>
        </w:rPr>
        <w:lastRenderedPageBreak/>
        <w:t xml:space="preserve">development of export infrastructure through investment in storage facilities, cold-chain logistics, and improved border-crossing efficiency along key export corridors such as </w:t>
      </w:r>
      <w:proofErr w:type="spellStart"/>
      <w:r w:rsidRPr="0076724E">
        <w:rPr>
          <w:rFonts w:ascii="Times New Roman" w:hAnsi="Times New Roman" w:cs="Times New Roman"/>
          <w:sz w:val="24"/>
          <w:szCs w:val="24"/>
          <w:lang w:val="en-GB"/>
        </w:rPr>
        <w:t>Rusumo</w:t>
      </w:r>
      <w:proofErr w:type="spellEnd"/>
      <w:r w:rsidRPr="0076724E">
        <w:rPr>
          <w:rFonts w:ascii="Times New Roman" w:hAnsi="Times New Roman" w:cs="Times New Roman"/>
          <w:sz w:val="24"/>
          <w:szCs w:val="24"/>
          <w:lang w:val="en-GB"/>
        </w:rPr>
        <w:t xml:space="preserve">–Rwanda, </w:t>
      </w:r>
      <w:proofErr w:type="spellStart"/>
      <w:r w:rsidRPr="0076724E">
        <w:rPr>
          <w:rFonts w:ascii="Times New Roman" w:hAnsi="Times New Roman" w:cs="Times New Roman"/>
          <w:sz w:val="24"/>
          <w:szCs w:val="24"/>
          <w:lang w:val="en-GB"/>
        </w:rPr>
        <w:t>Kabanga</w:t>
      </w:r>
      <w:proofErr w:type="spellEnd"/>
      <w:r w:rsidRPr="0076724E">
        <w:rPr>
          <w:rFonts w:ascii="Times New Roman" w:hAnsi="Times New Roman" w:cs="Times New Roman"/>
          <w:sz w:val="24"/>
          <w:szCs w:val="24"/>
          <w:lang w:val="en-GB"/>
        </w:rPr>
        <w:t xml:space="preserve">–Burundi, and </w:t>
      </w:r>
      <w:proofErr w:type="spellStart"/>
      <w:r w:rsidRPr="0076724E">
        <w:rPr>
          <w:rFonts w:ascii="Times New Roman" w:hAnsi="Times New Roman" w:cs="Times New Roman"/>
          <w:sz w:val="24"/>
          <w:szCs w:val="24"/>
          <w:lang w:val="en-GB"/>
        </w:rPr>
        <w:t>Sirari</w:t>
      </w:r>
      <w:proofErr w:type="spellEnd"/>
      <w:r w:rsidRPr="0076724E">
        <w:rPr>
          <w:rFonts w:ascii="Times New Roman" w:hAnsi="Times New Roman" w:cs="Times New Roman"/>
          <w:sz w:val="24"/>
          <w:szCs w:val="24"/>
          <w:lang w:val="en-GB"/>
        </w:rPr>
        <w:t>–Kenya. These investments would enable the country to capitalise on the projected annual cassava export volumes of 44,000–46,000 MT. However, the effectiveness of such infrastructure is inherently linked to the broader geopolitical environment. Therefore, Tanzania must strengthen its economic diplomacy efforts to foster stable and mutually beneficial trade relations with neighbouring countries, ensuring predictable cross-border trade flows and minimising disruptions arising from political or regulatory tensions.</w:t>
      </w:r>
    </w:p>
    <w:p w14:paraId="27AD9B17" w14:textId="756A73F0" w:rsidR="0076724E" w:rsidRPr="0076724E" w:rsidRDefault="0076724E" w:rsidP="0076724E">
      <w:pPr>
        <w:spacing w:before="240" w:after="0" w:line="240" w:lineRule="auto"/>
        <w:jc w:val="both"/>
        <w:rPr>
          <w:rFonts w:ascii="Times New Roman" w:hAnsi="Times New Roman" w:cs="Times New Roman"/>
          <w:sz w:val="24"/>
          <w:szCs w:val="24"/>
          <w:lang w:val="en-GB"/>
        </w:rPr>
      </w:pPr>
      <w:r w:rsidRPr="0076724E">
        <w:rPr>
          <w:rFonts w:ascii="Times New Roman" w:hAnsi="Times New Roman" w:cs="Times New Roman"/>
          <w:sz w:val="24"/>
          <w:szCs w:val="24"/>
          <w:lang w:val="en-GB"/>
        </w:rPr>
        <w:t xml:space="preserve">In this regard, regional trade frameworks should be reinforced through more proactive and strategic engagement in the </w:t>
      </w:r>
      <w:r w:rsidR="00197F34">
        <w:rPr>
          <w:rFonts w:ascii="Times New Roman" w:hAnsi="Times New Roman" w:cs="Times New Roman"/>
          <w:sz w:val="24"/>
          <w:szCs w:val="24"/>
          <w:lang w:val="en-GB"/>
        </w:rPr>
        <w:t>EAC</w:t>
      </w:r>
      <w:r w:rsidRPr="0076724E">
        <w:rPr>
          <w:rFonts w:ascii="Times New Roman" w:hAnsi="Times New Roman" w:cs="Times New Roman"/>
          <w:sz w:val="24"/>
          <w:szCs w:val="24"/>
          <w:lang w:val="en-GB"/>
        </w:rPr>
        <w:t xml:space="preserve"> and the </w:t>
      </w:r>
      <w:r w:rsidR="000112C0">
        <w:rPr>
          <w:rFonts w:ascii="Times New Roman" w:hAnsi="Times New Roman" w:cs="Times New Roman"/>
          <w:sz w:val="24"/>
          <w:szCs w:val="24"/>
          <w:lang w:val="en-GB"/>
        </w:rPr>
        <w:t>SADC</w:t>
      </w:r>
      <w:r w:rsidRPr="0076724E">
        <w:rPr>
          <w:rFonts w:ascii="Times New Roman" w:hAnsi="Times New Roman" w:cs="Times New Roman"/>
          <w:sz w:val="24"/>
          <w:szCs w:val="24"/>
          <w:lang w:val="en-GB"/>
        </w:rPr>
        <w:t>. This engagement should go beyond technical trade facilitation to include diplomatic negotiations aimed at reducing non-tariff barriers, harmonising phytosanitary standards, and aligning trade policies with regional geopolitical interests. Such economic diplomacy is critical for easing formal cassava trade and enhancing Tanzania’s competitiveness in regional markets.</w:t>
      </w:r>
    </w:p>
    <w:p w14:paraId="4A2389F6" w14:textId="77777777" w:rsidR="0076724E" w:rsidRPr="0076724E" w:rsidRDefault="0076724E" w:rsidP="0076724E">
      <w:pPr>
        <w:spacing w:before="240" w:after="0" w:line="240" w:lineRule="auto"/>
        <w:jc w:val="both"/>
        <w:rPr>
          <w:rFonts w:ascii="Times New Roman" w:hAnsi="Times New Roman" w:cs="Times New Roman"/>
          <w:sz w:val="24"/>
          <w:szCs w:val="24"/>
          <w:lang w:val="en-GB"/>
        </w:rPr>
      </w:pPr>
      <w:r w:rsidRPr="0076724E">
        <w:rPr>
          <w:rFonts w:ascii="Times New Roman" w:hAnsi="Times New Roman" w:cs="Times New Roman"/>
          <w:sz w:val="24"/>
          <w:szCs w:val="24"/>
          <w:lang w:val="en-GB"/>
        </w:rPr>
        <w:t>Moreover, advancing irrigation and mechanisation technology frontiers will be necessary to ensure increased and consistent production and market supply of cassava. These efforts should be complemented by policies that promote value addition through the establishment of cassava processing facilities for products such as flour, starch, and chips. Moving up the value chain not only enhances export earnings but also positions Tanzania more strategically within regional and global value chains, which is increasingly important in a geopolitically competitive trade environment.</w:t>
      </w:r>
    </w:p>
    <w:p w14:paraId="50707C95" w14:textId="77777777" w:rsidR="0076724E" w:rsidRPr="0076724E" w:rsidRDefault="0076724E" w:rsidP="0076724E">
      <w:pPr>
        <w:spacing w:before="240" w:after="0" w:line="240" w:lineRule="auto"/>
        <w:jc w:val="both"/>
        <w:rPr>
          <w:rFonts w:ascii="Times New Roman" w:hAnsi="Times New Roman" w:cs="Times New Roman"/>
          <w:sz w:val="24"/>
          <w:szCs w:val="24"/>
          <w:lang w:val="en-GB"/>
        </w:rPr>
      </w:pPr>
      <w:r w:rsidRPr="0076724E">
        <w:rPr>
          <w:rFonts w:ascii="Times New Roman" w:hAnsi="Times New Roman" w:cs="Times New Roman"/>
          <w:sz w:val="24"/>
          <w:szCs w:val="24"/>
          <w:lang w:val="en-GB"/>
        </w:rPr>
        <w:t>At the same time, export promotion must be carefully balanced with domestic food security considerations, especially given the wide forecast uncertainty and the lower confidence interval approaching zero in later years. Policymakers should therefore incorporate safeguard mechanisms to protect domestic supply during periods of production shortfall, particularly in the context of potential external shocks linked to geopolitical instability.</w:t>
      </w:r>
    </w:p>
    <w:p w14:paraId="06682E48" w14:textId="77777777" w:rsidR="0076724E" w:rsidRPr="0076724E" w:rsidRDefault="0076724E" w:rsidP="0076724E">
      <w:pPr>
        <w:spacing w:before="240" w:after="0" w:line="240" w:lineRule="auto"/>
        <w:jc w:val="both"/>
        <w:rPr>
          <w:rFonts w:ascii="Times New Roman" w:hAnsi="Times New Roman" w:cs="Times New Roman"/>
          <w:sz w:val="24"/>
          <w:szCs w:val="24"/>
          <w:lang w:val="en-GB"/>
        </w:rPr>
      </w:pPr>
      <w:r w:rsidRPr="0076724E">
        <w:rPr>
          <w:rFonts w:ascii="Times New Roman" w:hAnsi="Times New Roman" w:cs="Times New Roman"/>
          <w:sz w:val="24"/>
          <w:szCs w:val="24"/>
          <w:lang w:val="en-GB"/>
        </w:rPr>
        <w:t>From a market and financing perspective, farmers in export-oriented areas are encouraged to engage in contract farming arrangements with exporters as a means of reducing price volatility and ensuring reliable market access. Complementarily, financial institutions should design and offer tailored credit products for cassava value-chain actors, recognising the sector’s demonstrated growth trajectory and export potential. Here again, economic diplomacy can play a catalytic role by facilitating cross-border investment, attracting foreign direct investment, and strengthening financial cooperation within the region.</w:t>
      </w:r>
    </w:p>
    <w:p w14:paraId="2A1DAD4C" w14:textId="65C444F0" w:rsidR="000B4D53" w:rsidRPr="0076724E" w:rsidRDefault="0076724E" w:rsidP="0076724E">
      <w:pPr>
        <w:spacing w:before="240" w:after="0" w:line="240" w:lineRule="auto"/>
        <w:jc w:val="both"/>
        <w:rPr>
          <w:rFonts w:ascii="Times New Roman" w:hAnsi="Times New Roman" w:cs="Times New Roman"/>
          <w:sz w:val="24"/>
          <w:szCs w:val="24"/>
          <w:lang w:val="en-GB"/>
        </w:rPr>
      </w:pPr>
      <w:r w:rsidRPr="0076724E">
        <w:rPr>
          <w:rFonts w:ascii="Times New Roman" w:hAnsi="Times New Roman" w:cs="Times New Roman"/>
          <w:sz w:val="24"/>
          <w:szCs w:val="24"/>
          <w:lang w:val="en-GB"/>
        </w:rPr>
        <w:t>Finally, further research and development is warranted, particularly studies that examine the welfare implications of cassava export growth for smallholder producers using household-level survey data. Future research should also explore the intersection between geopolitics, trade policy, and agricultural commercialisation to inform more inclusive, resilient, and evidence-based policy interventions</w:t>
      </w:r>
      <w:r w:rsidR="000B4D53" w:rsidRPr="0076724E">
        <w:rPr>
          <w:rFonts w:ascii="Times New Roman" w:hAnsi="Times New Roman" w:cs="Times New Roman"/>
          <w:sz w:val="24"/>
          <w:szCs w:val="24"/>
          <w:lang w:val="en-GB"/>
        </w:rPr>
        <w:t>.</w:t>
      </w:r>
    </w:p>
    <w:p w14:paraId="4F8E0849" w14:textId="77777777" w:rsidR="00045344" w:rsidRPr="0076724E" w:rsidRDefault="000B4D53" w:rsidP="0076724E">
      <w:pPr>
        <w:pStyle w:val="Heading1"/>
        <w:spacing w:line="240" w:lineRule="auto"/>
        <w:rPr>
          <w:rFonts w:ascii="Times New Roman" w:hAnsi="Times New Roman" w:cs="Times New Roman"/>
          <w:b/>
          <w:bCs/>
          <w:color w:val="auto"/>
          <w:sz w:val="24"/>
          <w:szCs w:val="24"/>
          <w:lang w:val="en-GB"/>
        </w:rPr>
      </w:pPr>
      <w:bookmarkStart w:id="29" w:name="_Toc220325828"/>
      <w:r w:rsidRPr="0076724E">
        <w:rPr>
          <w:rFonts w:ascii="Times New Roman" w:hAnsi="Times New Roman" w:cs="Times New Roman"/>
          <w:b/>
          <w:bCs/>
          <w:color w:val="auto"/>
          <w:sz w:val="24"/>
          <w:szCs w:val="24"/>
          <w:lang w:val="en-GB"/>
        </w:rPr>
        <w:t>References</w:t>
      </w:r>
      <w:bookmarkEnd w:id="29"/>
    </w:p>
    <w:p w14:paraId="17DB875E" w14:textId="77777777" w:rsidR="00805B74" w:rsidRPr="003A6C85" w:rsidRDefault="00805B74" w:rsidP="0076724E">
      <w:pPr>
        <w:spacing w:after="60" w:line="240" w:lineRule="auto"/>
        <w:ind w:left="1134" w:hanging="1134"/>
        <w:jc w:val="both"/>
        <w:rPr>
          <w:rFonts w:ascii="Times New Roman" w:hAnsi="Times New Roman" w:cs="Times New Roman"/>
          <w:sz w:val="24"/>
          <w:szCs w:val="24"/>
          <w:lang w:val="en-GB"/>
        </w:rPr>
      </w:pPr>
      <w:r w:rsidRPr="003A6C85">
        <w:rPr>
          <w:rFonts w:ascii="Times New Roman" w:hAnsi="Times New Roman" w:cs="Times New Roman"/>
          <w:sz w:val="24"/>
          <w:szCs w:val="24"/>
          <w:lang w:val="en-GB"/>
        </w:rPr>
        <w:t>Adebayo, W. G. (2023). Cassava production in Africa: A panel analysis of the drivers and trends</w:t>
      </w:r>
      <w:r w:rsidRPr="003A6C85">
        <w:rPr>
          <w:rFonts w:ascii="Times New Roman" w:hAnsi="Times New Roman" w:cs="Times New Roman"/>
          <w:i/>
          <w:iCs/>
          <w:sz w:val="24"/>
          <w:szCs w:val="24"/>
          <w:lang w:val="en-GB"/>
        </w:rPr>
        <w:t>.</w:t>
      </w:r>
      <w:r w:rsidRPr="003A6C85">
        <w:rPr>
          <w:rFonts w:ascii="Times New Roman" w:hAnsi="Times New Roman" w:cs="Times New Roman"/>
          <w:sz w:val="24"/>
          <w:szCs w:val="24"/>
          <w:lang w:val="en-GB"/>
        </w:rPr>
        <w:t xml:space="preserve"> </w:t>
      </w:r>
      <w:proofErr w:type="spellStart"/>
      <w:r w:rsidRPr="003A6C85">
        <w:rPr>
          <w:rFonts w:ascii="Times New Roman" w:hAnsi="Times New Roman" w:cs="Times New Roman"/>
          <w:i/>
          <w:iCs/>
          <w:sz w:val="24"/>
          <w:szCs w:val="24"/>
          <w:lang w:val="en-GB"/>
        </w:rPr>
        <w:t>Heliyon</w:t>
      </w:r>
      <w:proofErr w:type="spellEnd"/>
      <w:r w:rsidRPr="003A6C85">
        <w:rPr>
          <w:rFonts w:ascii="Times New Roman" w:hAnsi="Times New Roman" w:cs="Times New Roman"/>
          <w:sz w:val="24"/>
          <w:szCs w:val="24"/>
          <w:lang w:val="en-GB"/>
        </w:rPr>
        <w:t xml:space="preserve">, 9(9), e19939. </w:t>
      </w:r>
      <w:hyperlink r:id="rId11" w:history="1">
        <w:r w:rsidRPr="003A6C85">
          <w:rPr>
            <w:rStyle w:val="Hyperlink"/>
            <w:rFonts w:ascii="Times New Roman" w:hAnsi="Times New Roman" w:cs="Times New Roman"/>
            <w:sz w:val="24"/>
            <w:szCs w:val="24"/>
            <w:lang w:val="en-GB"/>
          </w:rPr>
          <w:t>https://doi.org/10.1016/j.heliyon.2023.e19939</w:t>
        </w:r>
      </w:hyperlink>
    </w:p>
    <w:p w14:paraId="5BE4CC75" w14:textId="77777777" w:rsidR="00805B74" w:rsidRPr="003A6C85" w:rsidRDefault="00805B74" w:rsidP="0076724E">
      <w:pPr>
        <w:spacing w:after="60" w:line="240" w:lineRule="auto"/>
        <w:ind w:left="1134" w:hanging="1134"/>
        <w:jc w:val="both"/>
        <w:rPr>
          <w:rFonts w:ascii="Times New Roman" w:hAnsi="Times New Roman" w:cs="Times New Roman"/>
          <w:sz w:val="24"/>
          <w:szCs w:val="24"/>
          <w:lang w:val="en-GB"/>
        </w:rPr>
      </w:pPr>
      <w:proofErr w:type="spellStart"/>
      <w:r w:rsidRPr="003A6C85">
        <w:rPr>
          <w:rFonts w:ascii="Times New Roman" w:hAnsi="Times New Roman" w:cs="Times New Roman"/>
          <w:sz w:val="24"/>
          <w:szCs w:val="24"/>
          <w:lang w:val="en-GB"/>
        </w:rPr>
        <w:lastRenderedPageBreak/>
        <w:t>Borku</w:t>
      </w:r>
      <w:proofErr w:type="spellEnd"/>
      <w:r w:rsidRPr="003A6C85">
        <w:rPr>
          <w:rFonts w:ascii="Times New Roman" w:hAnsi="Times New Roman" w:cs="Times New Roman"/>
          <w:sz w:val="24"/>
          <w:szCs w:val="24"/>
          <w:lang w:val="en-GB"/>
        </w:rPr>
        <w:t xml:space="preserve">, A. W., Tora, T. T., &amp; Masha, M. (2025). Cassava in focus: A comprehensive literature review, its production, processing landscape, and multi-dimensional benefits to society. </w:t>
      </w:r>
      <w:r w:rsidRPr="003A6C85">
        <w:rPr>
          <w:rFonts w:ascii="Times New Roman" w:hAnsi="Times New Roman" w:cs="Times New Roman"/>
          <w:i/>
          <w:iCs/>
          <w:sz w:val="24"/>
          <w:szCs w:val="24"/>
          <w:lang w:val="en-GB"/>
        </w:rPr>
        <w:t>Food Chemistry Advances</w:t>
      </w:r>
      <w:r w:rsidRPr="003A6C85">
        <w:rPr>
          <w:rFonts w:ascii="Times New Roman" w:hAnsi="Times New Roman" w:cs="Times New Roman"/>
          <w:sz w:val="24"/>
          <w:szCs w:val="24"/>
          <w:lang w:val="en-GB"/>
        </w:rPr>
        <w:t xml:space="preserve">, 7, Article 100945. </w:t>
      </w:r>
      <w:hyperlink r:id="rId12" w:history="1">
        <w:r w:rsidRPr="003A6C85">
          <w:rPr>
            <w:rStyle w:val="Hyperlink"/>
            <w:rFonts w:ascii="Times New Roman" w:hAnsi="Times New Roman" w:cs="Times New Roman"/>
            <w:sz w:val="24"/>
            <w:szCs w:val="24"/>
            <w:lang w:val="en-GB"/>
          </w:rPr>
          <w:t>https://doi.org/10.1016/j.focha.2025.100945</w:t>
        </w:r>
      </w:hyperlink>
    </w:p>
    <w:p w14:paraId="73847DE4" w14:textId="77777777" w:rsidR="00805B74" w:rsidRPr="003A6C85" w:rsidRDefault="00805B74" w:rsidP="0076724E">
      <w:pPr>
        <w:spacing w:after="60" w:line="240" w:lineRule="auto"/>
        <w:ind w:left="1134" w:hanging="1134"/>
        <w:jc w:val="both"/>
        <w:rPr>
          <w:rFonts w:ascii="Times New Roman" w:hAnsi="Times New Roman" w:cs="Times New Roman"/>
          <w:sz w:val="24"/>
          <w:szCs w:val="24"/>
        </w:rPr>
      </w:pPr>
      <w:r w:rsidRPr="003A6C85">
        <w:rPr>
          <w:rFonts w:ascii="Times New Roman" w:hAnsi="Times New Roman" w:cs="Times New Roman"/>
          <w:sz w:val="24"/>
          <w:szCs w:val="24"/>
          <w:lang w:val="en-GB"/>
        </w:rPr>
        <w:t xml:space="preserve">Box, G. E. P., &amp; Jenkins, G. M. (1976). </w:t>
      </w:r>
      <w:r w:rsidRPr="003A6C85">
        <w:rPr>
          <w:rFonts w:ascii="Times New Roman" w:hAnsi="Times New Roman" w:cs="Times New Roman"/>
          <w:i/>
          <w:iCs/>
          <w:sz w:val="24"/>
          <w:szCs w:val="24"/>
          <w:lang w:val="en-GB"/>
        </w:rPr>
        <w:t>Time series analysis: Forecasting and control</w:t>
      </w:r>
      <w:r w:rsidRPr="003A6C85">
        <w:rPr>
          <w:rFonts w:ascii="Times New Roman" w:hAnsi="Times New Roman" w:cs="Times New Roman"/>
          <w:sz w:val="24"/>
          <w:szCs w:val="24"/>
          <w:lang w:val="en-GB"/>
        </w:rPr>
        <w:t xml:space="preserve"> (2nd ed.). San Francisco: Holden-Day.</w:t>
      </w:r>
    </w:p>
    <w:p w14:paraId="3CDE886B" w14:textId="77777777" w:rsidR="00805B74" w:rsidRPr="003A6C85" w:rsidRDefault="00805B74" w:rsidP="0076724E">
      <w:pPr>
        <w:spacing w:after="60" w:line="240" w:lineRule="auto"/>
        <w:ind w:left="1134" w:hanging="1134"/>
        <w:jc w:val="both"/>
        <w:rPr>
          <w:rFonts w:ascii="Times New Roman" w:hAnsi="Times New Roman" w:cs="Times New Roman"/>
          <w:sz w:val="24"/>
          <w:szCs w:val="24"/>
          <w:lang w:val="en-GB"/>
        </w:rPr>
      </w:pPr>
      <w:proofErr w:type="spellStart"/>
      <w:r w:rsidRPr="003A6C85">
        <w:rPr>
          <w:rFonts w:ascii="Times New Roman" w:hAnsi="Times New Roman" w:cs="Times New Roman"/>
          <w:sz w:val="24"/>
          <w:szCs w:val="24"/>
          <w:lang w:val="en-GB"/>
        </w:rPr>
        <w:t>Ezedinma</w:t>
      </w:r>
      <w:proofErr w:type="spellEnd"/>
      <w:r w:rsidRPr="003A6C85">
        <w:rPr>
          <w:rFonts w:ascii="Times New Roman" w:hAnsi="Times New Roman" w:cs="Times New Roman"/>
          <w:sz w:val="24"/>
          <w:szCs w:val="24"/>
          <w:lang w:val="en-GB"/>
        </w:rPr>
        <w:t xml:space="preserve">, C., Lemchi, J., Ogbe, F., Okoro, E., Ilona, P., &amp; </w:t>
      </w:r>
      <w:proofErr w:type="spellStart"/>
      <w:r w:rsidRPr="003A6C85">
        <w:rPr>
          <w:rFonts w:ascii="Times New Roman" w:hAnsi="Times New Roman" w:cs="Times New Roman"/>
          <w:sz w:val="24"/>
          <w:szCs w:val="24"/>
          <w:lang w:val="en-GB"/>
        </w:rPr>
        <w:t>Manyong</w:t>
      </w:r>
      <w:proofErr w:type="spellEnd"/>
      <w:r w:rsidRPr="003A6C85">
        <w:rPr>
          <w:rFonts w:ascii="Times New Roman" w:hAnsi="Times New Roman" w:cs="Times New Roman"/>
          <w:sz w:val="24"/>
          <w:szCs w:val="24"/>
          <w:lang w:val="en-GB"/>
        </w:rPr>
        <w:t xml:space="preserve">, V. (2007). Status of cassava production in Southeast and South-South Nigeria. </w:t>
      </w:r>
      <w:r w:rsidRPr="003A6C85">
        <w:rPr>
          <w:rFonts w:ascii="Times New Roman" w:hAnsi="Times New Roman" w:cs="Times New Roman"/>
          <w:i/>
          <w:iCs/>
          <w:sz w:val="24"/>
          <w:szCs w:val="24"/>
          <w:lang w:val="en-GB"/>
        </w:rPr>
        <w:t>Journal of Food, Agriculture and Environment</w:t>
      </w:r>
      <w:r w:rsidRPr="003A6C85">
        <w:rPr>
          <w:rFonts w:ascii="Times New Roman" w:hAnsi="Times New Roman" w:cs="Times New Roman"/>
          <w:sz w:val="24"/>
          <w:szCs w:val="24"/>
          <w:lang w:val="en-GB"/>
        </w:rPr>
        <w:t>, 5(2), 213–219.</w:t>
      </w:r>
    </w:p>
    <w:p w14:paraId="40243CA0" w14:textId="77777777" w:rsidR="00805B74" w:rsidRPr="003A6C85" w:rsidRDefault="00805B74" w:rsidP="0076724E">
      <w:pPr>
        <w:spacing w:after="60" w:line="240" w:lineRule="auto"/>
        <w:ind w:left="1134" w:hanging="1134"/>
        <w:jc w:val="both"/>
        <w:rPr>
          <w:rFonts w:ascii="Times New Roman" w:hAnsi="Times New Roman" w:cs="Times New Roman"/>
          <w:sz w:val="24"/>
          <w:szCs w:val="24"/>
          <w:lang w:val="en-GB"/>
        </w:rPr>
      </w:pPr>
      <w:r w:rsidRPr="003A6C85">
        <w:rPr>
          <w:rFonts w:ascii="Times New Roman" w:hAnsi="Times New Roman" w:cs="Times New Roman"/>
          <w:sz w:val="24"/>
          <w:szCs w:val="24"/>
          <w:lang w:val="en-GB"/>
        </w:rPr>
        <w:t xml:space="preserve"> Food and Agriculture Organisation (FAO) (2020). </w:t>
      </w:r>
      <w:r w:rsidRPr="003A6C85">
        <w:rPr>
          <w:rFonts w:ascii="Times New Roman" w:hAnsi="Times New Roman" w:cs="Times New Roman"/>
          <w:i/>
          <w:iCs/>
          <w:sz w:val="24"/>
          <w:szCs w:val="24"/>
          <w:lang w:val="en-GB"/>
        </w:rPr>
        <w:t>FAOSTAT statistical database</w:t>
      </w:r>
      <w:r w:rsidRPr="003A6C85">
        <w:rPr>
          <w:rFonts w:ascii="Times New Roman" w:hAnsi="Times New Roman" w:cs="Times New Roman"/>
          <w:sz w:val="24"/>
          <w:szCs w:val="24"/>
          <w:lang w:val="en-GB"/>
        </w:rPr>
        <w:t>. Rome: Food and Agriculture Organization of the United Nations.</w:t>
      </w:r>
    </w:p>
    <w:p w14:paraId="4936921A" w14:textId="77777777" w:rsidR="00805B74" w:rsidRPr="003A6C85" w:rsidRDefault="00805B74" w:rsidP="0076724E">
      <w:pPr>
        <w:spacing w:after="60" w:line="240" w:lineRule="auto"/>
        <w:ind w:left="1134" w:hanging="1134"/>
        <w:jc w:val="both"/>
        <w:rPr>
          <w:rFonts w:ascii="Times New Roman" w:hAnsi="Times New Roman" w:cs="Times New Roman"/>
          <w:sz w:val="24"/>
          <w:szCs w:val="24"/>
          <w:lang w:val="en-GB"/>
        </w:rPr>
      </w:pPr>
      <w:r w:rsidRPr="003A6C85">
        <w:rPr>
          <w:rFonts w:ascii="Times New Roman" w:hAnsi="Times New Roman" w:cs="Times New Roman"/>
          <w:sz w:val="24"/>
          <w:szCs w:val="24"/>
          <w:lang w:val="en-GB"/>
        </w:rPr>
        <w:t xml:space="preserve"> Food and Agriculture Organisation (FAO) (2023). </w:t>
      </w:r>
      <w:r w:rsidRPr="003A6C85">
        <w:rPr>
          <w:rFonts w:ascii="Times New Roman" w:hAnsi="Times New Roman" w:cs="Times New Roman"/>
          <w:i/>
          <w:iCs/>
          <w:sz w:val="24"/>
          <w:szCs w:val="24"/>
          <w:lang w:val="en-GB"/>
        </w:rPr>
        <w:t>FAOSTAT statistical database</w:t>
      </w:r>
      <w:r w:rsidRPr="003A6C85">
        <w:rPr>
          <w:rFonts w:ascii="Times New Roman" w:hAnsi="Times New Roman" w:cs="Times New Roman"/>
          <w:sz w:val="24"/>
          <w:szCs w:val="24"/>
          <w:lang w:val="en-GB"/>
        </w:rPr>
        <w:t>. Rome: Food and Agriculture Organization of the United Nations.</w:t>
      </w:r>
    </w:p>
    <w:p w14:paraId="4D8FD054" w14:textId="77777777" w:rsidR="00805B74" w:rsidRPr="003A6C85" w:rsidRDefault="00805B74" w:rsidP="0076724E">
      <w:pPr>
        <w:spacing w:after="60" w:line="240" w:lineRule="auto"/>
        <w:ind w:left="1134" w:hanging="1134"/>
        <w:jc w:val="both"/>
        <w:rPr>
          <w:rFonts w:ascii="Times New Roman" w:hAnsi="Times New Roman" w:cs="Times New Roman"/>
          <w:sz w:val="24"/>
          <w:szCs w:val="24"/>
          <w:lang w:val="en-GB"/>
        </w:rPr>
      </w:pPr>
      <w:proofErr w:type="spellStart"/>
      <w:r w:rsidRPr="003A6C85">
        <w:rPr>
          <w:rFonts w:ascii="Times New Roman" w:hAnsi="Times New Roman" w:cs="Times New Roman"/>
          <w:sz w:val="24"/>
          <w:szCs w:val="24"/>
          <w:lang w:val="en-GB"/>
        </w:rPr>
        <w:t>Gbegbelegbe</w:t>
      </w:r>
      <w:proofErr w:type="spellEnd"/>
      <w:r w:rsidRPr="003A6C85">
        <w:rPr>
          <w:rFonts w:ascii="Times New Roman" w:hAnsi="Times New Roman" w:cs="Times New Roman"/>
          <w:sz w:val="24"/>
          <w:szCs w:val="24"/>
          <w:lang w:val="en-GB"/>
        </w:rPr>
        <w:t xml:space="preserve">, S., Abdoulaye, T., Shiferaw, B., &amp; </w:t>
      </w:r>
      <w:proofErr w:type="spellStart"/>
      <w:r w:rsidRPr="003A6C85">
        <w:rPr>
          <w:rFonts w:ascii="Times New Roman" w:hAnsi="Times New Roman" w:cs="Times New Roman"/>
          <w:sz w:val="24"/>
          <w:szCs w:val="24"/>
          <w:lang w:val="en-GB"/>
        </w:rPr>
        <w:t>Biaou</w:t>
      </w:r>
      <w:proofErr w:type="spellEnd"/>
      <w:r w:rsidRPr="003A6C85">
        <w:rPr>
          <w:rFonts w:ascii="Times New Roman" w:hAnsi="Times New Roman" w:cs="Times New Roman"/>
          <w:sz w:val="24"/>
          <w:szCs w:val="24"/>
          <w:lang w:val="en-GB"/>
        </w:rPr>
        <w:t xml:space="preserve">, G. (2014). Time series analysis of rice imports in sub-Saharan Africa. </w:t>
      </w:r>
      <w:r w:rsidRPr="003A6C85">
        <w:rPr>
          <w:rFonts w:ascii="Times New Roman" w:hAnsi="Times New Roman" w:cs="Times New Roman"/>
          <w:i/>
          <w:iCs/>
          <w:sz w:val="24"/>
          <w:szCs w:val="24"/>
          <w:lang w:val="en-GB"/>
        </w:rPr>
        <w:t>Agricultural Economics</w:t>
      </w:r>
      <w:r w:rsidRPr="003A6C85">
        <w:rPr>
          <w:rFonts w:ascii="Times New Roman" w:hAnsi="Times New Roman" w:cs="Times New Roman"/>
          <w:sz w:val="24"/>
          <w:szCs w:val="24"/>
          <w:lang w:val="en-GB"/>
        </w:rPr>
        <w:t>, 45(2), 213–224.</w:t>
      </w:r>
    </w:p>
    <w:p w14:paraId="2137FB09" w14:textId="77777777" w:rsidR="00805B74" w:rsidRPr="003A6C85" w:rsidRDefault="00805B74" w:rsidP="0076724E">
      <w:pPr>
        <w:spacing w:after="60" w:line="240" w:lineRule="auto"/>
        <w:ind w:left="1134" w:hanging="1134"/>
        <w:jc w:val="both"/>
        <w:rPr>
          <w:rFonts w:ascii="Times New Roman" w:hAnsi="Times New Roman" w:cs="Times New Roman"/>
          <w:sz w:val="24"/>
          <w:szCs w:val="24"/>
          <w:lang w:val="en-GB"/>
        </w:rPr>
      </w:pPr>
      <w:r w:rsidRPr="003A6C85">
        <w:rPr>
          <w:rFonts w:ascii="Times New Roman" w:hAnsi="Times New Roman" w:cs="Times New Roman"/>
          <w:sz w:val="24"/>
          <w:szCs w:val="24"/>
          <w:lang w:val="en-GB"/>
        </w:rPr>
        <w:t xml:space="preserve">Granger, C. W. J., &amp; Newbold, P. (1974). Spurious regressions in econometrics. </w:t>
      </w:r>
      <w:r w:rsidRPr="003A6C85">
        <w:rPr>
          <w:rFonts w:ascii="Times New Roman" w:hAnsi="Times New Roman" w:cs="Times New Roman"/>
          <w:i/>
          <w:iCs/>
          <w:sz w:val="24"/>
          <w:szCs w:val="24"/>
          <w:lang w:val="en-GB"/>
        </w:rPr>
        <w:t>Journal of Econometrics</w:t>
      </w:r>
      <w:r w:rsidRPr="003A6C85">
        <w:rPr>
          <w:rFonts w:ascii="Times New Roman" w:hAnsi="Times New Roman" w:cs="Times New Roman"/>
          <w:sz w:val="24"/>
          <w:szCs w:val="24"/>
          <w:lang w:val="en-GB"/>
        </w:rPr>
        <w:t>, 2(2), 111–120.</w:t>
      </w:r>
    </w:p>
    <w:p w14:paraId="7BA65DE9" w14:textId="77777777" w:rsidR="00805B74" w:rsidRPr="003A6C85" w:rsidRDefault="00805B74" w:rsidP="0076724E">
      <w:pPr>
        <w:spacing w:after="60" w:line="240" w:lineRule="auto"/>
        <w:ind w:left="1134" w:hanging="1134"/>
        <w:jc w:val="both"/>
        <w:rPr>
          <w:rFonts w:ascii="Times New Roman" w:hAnsi="Times New Roman" w:cs="Times New Roman"/>
          <w:sz w:val="24"/>
          <w:szCs w:val="24"/>
          <w:lang w:val="en-GB"/>
        </w:rPr>
      </w:pPr>
      <w:proofErr w:type="spellStart"/>
      <w:r w:rsidRPr="003A6C85">
        <w:rPr>
          <w:rFonts w:ascii="Times New Roman" w:hAnsi="Times New Roman" w:cs="Times New Roman"/>
          <w:sz w:val="24"/>
          <w:szCs w:val="24"/>
          <w:lang w:val="en-GB"/>
        </w:rPr>
        <w:t>Haggblade</w:t>
      </w:r>
      <w:proofErr w:type="spellEnd"/>
      <w:r w:rsidRPr="003A6C85">
        <w:rPr>
          <w:rFonts w:ascii="Times New Roman" w:hAnsi="Times New Roman" w:cs="Times New Roman"/>
          <w:sz w:val="24"/>
          <w:szCs w:val="24"/>
          <w:lang w:val="en-GB"/>
        </w:rPr>
        <w:t xml:space="preserve">, S., Minten, B., &amp; Reardon, T. (2012). The transformation of food marketing in developing countries. </w:t>
      </w:r>
      <w:r w:rsidRPr="003A6C85">
        <w:rPr>
          <w:rFonts w:ascii="Times New Roman" w:hAnsi="Times New Roman" w:cs="Times New Roman"/>
          <w:i/>
          <w:iCs/>
          <w:sz w:val="24"/>
          <w:szCs w:val="24"/>
          <w:lang w:val="en-GB"/>
        </w:rPr>
        <w:t>Food Policy</w:t>
      </w:r>
      <w:r w:rsidRPr="003A6C85">
        <w:rPr>
          <w:rFonts w:ascii="Times New Roman" w:hAnsi="Times New Roman" w:cs="Times New Roman"/>
          <w:sz w:val="24"/>
          <w:szCs w:val="24"/>
          <w:lang w:val="en-GB"/>
        </w:rPr>
        <w:t>, 37(4), 458–468.</w:t>
      </w:r>
    </w:p>
    <w:p w14:paraId="386DA516" w14:textId="77777777" w:rsidR="00805B74" w:rsidRPr="003A6C85" w:rsidRDefault="00805B74" w:rsidP="0076724E">
      <w:pPr>
        <w:spacing w:after="60" w:line="240" w:lineRule="auto"/>
        <w:ind w:left="1134" w:hanging="1134"/>
        <w:jc w:val="both"/>
        <w:rPr>
          <w:rFonts w:ascii="Times New Roman" w:hAnsi="Times New Roman" w:cs="Times New Roman"/>
          <w:sz w:val="24"/>
          <w:szCs w:val="24"/>
          <w:lang w:val="en-GB"/>
        </w:rPr>
      </w:pPr>
      <w:proofErr w:type="spellStart"/>
      <w:r w:rsidRPr="003A6C85">
        <w:rPr>
          <w:rFonts w:ascii="Times New Roman" w:hAnsi="Times New Roman" w:cs="Times New Roman"/>
          <w:sz w:val="24"/>
          <w:szCs w:val="24"/>
          <w:lang w:val="en-GB"/>
        </w:rPr>
        <w:t>Howeler</w:t>
      </w:r>
      <w:proofErr w:type="spellEnd"/>
      <w:r w:rsidRPr="003A6C85">
        <w:rPr>
          <w:rFonts w:ascii="Times New Roman" w:hAnsi="Times New Roman" w:cs="Times New Roman"/>
          <w:sz w:val="24"/>
          <w:szCs w:val="24"/>
          <w:lang w:val="en-GB"/>
        </w:rPr>
        <w:t xml:space="preserve">, R., </w:t>
      </w:r>
      <w:proofErr w:type="spellStart"/>
      <w:r w:rsidRPr="003A6C85">
        <w:rPr>
          <w:rFonts w:ascii="Times New Roman" w:hAnsi="Times New Roman" w:cs="Times New Roman"/>
          <w:sz w:val="24"/>
          <w:szCs w:val="24"/>
          <w:lang w:val="en-GB"/>
        </w:rPr>
        <w:t>Lutaladio</w:t>
      </w:r>
      <w:proofErr w:type="spellEnd"/>
      <w:r w:rsidRPr="003A6C85">
        <w:rPr>
          <w:rFonts w:ascii="Times New Roman" w:hAnsi="Times New Roman" w:cs="Times New Roman"/>
          <w:sz w:val="24"/>
          <w:szCs w:val="24"/>
          <w:lang w:val="en-GB"/>
        </w:rPr>
        <w:t xml:space="preserve">, N., &amp; Thomas, G. (2013). </w:t>
      </w:r>
      <w:r w:rsidRPr="003A6C85">
        <w:rPr>
          <w:rFonts w:ascii="Times New Roman" w:hAnsi="Times New Roman" w:cs="Times New Roman"/>
          <w:i/>
          <w:iCs/>
          <w:sz w:val="24"/>
          <w:szCs w:val="24"/>
          <w:lang w:val="en-GB"/>
        </w:rPr>
        <w:t>Save and grow: Cassava</w:t>
      </w:r>
      <w:r w:rsidRPr="003A6C85">
        <w:rPr>
          <w:rFonts w:ascii="Times New Roman" w:hAnsi="Times New Roman" w:cs="Times New Roman"/>
          <w:sz w:val="24"/>
          <w:szCs w:val="24"/>
          <w:lang w:val="en-GB"/>
        </w:rPr>
        <w:t>. Rome: FAO.</w:t>
      </w:r>
    </w:p>
    <w:p w14:paraId="61631721" w14:textId="77777777" w:rsidR="00805B74" w:rsidRPr="003A6C85" w:rsidRDefault="00805B74" w:rsidP="0076724E">
      <w:pPr>
        <w:spacing w:after="60" w:line="240" w:lineRule="auto"/>
        <w:ind w:left="1134" w:hanging="1134"/>
        <w:jc w:val="both"/>
        <w:rPr>
          <w:rFonts w:ascii="Times New Roman" w:hAnsi="Times New Roman" w:cs="Times New Roman"/>
          <w:sz w:val="24"/>
          <w:szCs w:val="24"/>
        </w:rPr>
      </w:pPr>
      <w:r w:rsidRPr="003A6C85">
        <w:rPr>
          <w:rFonts w:ascii="Times New Roman" w:hAnsi="Times New Roman" w:cs="Times New Roman"/>
          <w:sz w:val="24"/>
          <w:szCs w:val="24"/>
        </w:rPr>
        <w:t xml:space="preserve">Immanuel, S., Jaganathan, D. &amp; Prakash, P. (2024). Cassava for Food Security, Poverty Reduction and Climate Resilience: A Review. Indian Journal of Ecology. 51. 21-31. </w:t>
      </w:r>
      <w:hyperlink r:id="rId13" w:history="1">
        <w:r w:rsidRPr="003A6C85">
          <w:rPr>
            <w:rStyle w:val="Hyperlink"/>
            <w:rFonts w:ascii="Times New Roman" w:hAnsi="Times New Roman" w:cs="Times New Roman"/>
            <w:sz w:val="24"/>
            <w:szCs w:val="24"/>
          </w:rPr>
          <w:t>https://doi.org/10.55362/IJE/2024/4191</w:t>
        </w:r>
      </w:hyperlink>
      <w:r w:rsidRPr="003A6C85">
        <w:rPr>
          <w:rFonts w:ascii="Times New Roman" w:hAnsi="Times New Roman" w:cs="Times New Roman"/>
          <w:sz w:val="24"/>
          <w:szCs w:val="24"/>
        </w:rPr>
        <w:t>.</w:t>
      </w:r>
    </w:p>
    <w:p w14:paraId="317B3A89" w14:textId="77777777" w:rsidR="00805B74" w:rsidRPr="003A6C85" w:rsidRDefault="00805B74" w:rsidP="0076724E">
      <w:pPr>
        <w:spacing w:after="60" w:line="240" w:lineRule="auto"/>
        <w:ind w:left="1134" w:hanging="1134"/>
        <w:jc w:val="both"/>
        <w:rPr>
          <w:rFonts w:ascii="Times New Roman" w:hAnsi="Times New Roman" w:cs="Times New Roman"/>
          <w:sz w:val="24"/>
          <w:szCs w:val="24"/>
        </w:rPr>
      </w:pPr>
      <w:r w:rsidRPr="003A6C85">
        <w:rPr>
          <w:rFonts w:ascii="Times New Roman" w:hAnsi="Times New Roman" w:cs="Times New Roman"/>
          <w:sz w:val="24"/>
          <w:szCs w:val="24"/>
          <w:lang w:val="en-GB"/>
        </w:rPr>
        <w:t xml:space="preserve">Jarvis, A., Ramirez-Villegas, J., Campo, B. V. H., &amp; Navarro-Racines, C. (2012). Is cassava the answer to African climate change adaptation? </w:t>
      </w:r>
      <w:r w:rsidRPr="003A6C85">
        <w:rPr>
          <w:rFonts w:ascii="Times New Roman" w:hAnsi="Times New Roman" w:cs="Times New Roman"/>
          <w:i/>
          <w:iCs/>
          <w:sz w:val="24"/>
          <w:szCs w:val="24"/>
          <w:lang w:val="en-GB"/>
        </w:rPr>
        <w:t>Tropical Plant Biology</w:t>
      </w:r>
      <w:r w:rsidRPr="003A6C85">
        <w:rPr>
          <w:rFonts w:ascii="Times New Roman" w:hAnsi="Times New Roman" w:cs="Times New Roman"/>
          <w:sz w:val="24"/>
          <w:szCs w:val="24"/>
          <w:lang w:val="en-GB"/>
        </w:rPr>
        <w:t>, 5(1), 9–29.</w:t>
      </w:r>
    </w:p>
    <w:p w14:paraId="5F8162AC" w14:textId="77777777" w:rsidR="00805B74" w:rsidRPr="003A6C85" w:rsidRDefault="00805B74" w:rsidP="0076724E">
      <w:pPr>
        <w:spacing w:after="60" w:line="240" w:lineRule="auto"/>
        <w:ind w:left="1134" w:hanging="1134"/>
        <w:jc w:val="both"/>
        <w:rPr>
          <w:rFonts w:ascii="Times New Roman" w:hAnsi="Times New Roman" w:cs="Times New Roman"/>
          <w:sz w:val="24"/>
          <w:szCs w:val="24"/>
          <w:lang w:val="en-GB"/>
        </w:rPr>
      </w:pPr>
      <w:r w:rsidRPr="003A6C85">
        <w:rPr>
          <w:rFonts w:ascii="Times New Roman" w:hAnsi="Times New Roman" w:cs="Times New Roman"/>
          <w:sz w:val="24"/>
          <w:szCs w:val="24"/>
          <w:lang w:val="en-GB"/>
        </w:rPr>
        <w:t>Kaburu, P., Kariuki, I., &amp; Langat, J. (2025). Influence of Contracted Extension Service Delivery Model on Uptake and Use of Cassava Technologies, Innovations and Management Practices in Nakuru and Busia Counties, Kenya. </w:t>
      </w:r>
      <w:r w:rsidRPr="003A6C85">
        <w:rPr>
          <w:rFonts w:ascii="Times New Roman" w:hAnsi="Times New Roman" w:cs="Times New Roman"/>
          <w:i/>
          <w:iCs/>
          <w:sz w:val="24"/>
          <w:szCs w:val="24"/>
          <w:lang w:val="en-GB"/>
        </w:rPr>
        <w:t>Discoveries in Agriculture and Food Sciences</w:t>
      </w:r>
      <w:r w:rsidRPr="003A6C85">
        <w:rPr>
          <w:rFonts w:ascii="Times New Roman" w:hAnsi="Times New Roman" w:cs="Times New Roman"/>
          <w:sz w:val="24"/>
          <w:szCs w:val="24"/>
          <w:lang w:val="en-GB"/>
        </w:rPr>
        <w:t xml:space="preserve">. </w:t>
      </w:r>
      <w:hyperlink r:id="rId14" w:history="1">
        <w:r w:rsidRPr="003A6C85">
          <w:rPr>
            <w:rStyle w:val="Hyperlink"/>
            <w:rFonts w:ascii="Times New Roman" w:hAnsi="Times New Roman" w:cs="Times New Roman"/>
            <w:sz w:val="24"/>
            <w:szCs w:val="24"/>
            <w:lang w:val="en-GB"/>
          </w:rPr>
          <w:t>https://doi.org/10.14738/dafs.1302.18488</w:t>
        </w:r>
      </w:hyperlink>
      <w:r w:rsidRPr="003A6C85">
        <w:rPr>
          <w:rFonts w:ascii="Times New Roman" w:hAnsi="Times New Roman" w:cs="Times New Roman"/>
          <w:sz w:val="24"/>
          <w:szCs w:val="24"/>
          <w:lang w:val="en-GB"/>
        </w:rPr>
        <w:t xml:space="preserve">. </w:t>
      </w:r>
    </w:p>
    <w:p w14:paraId="01B35693" w14:textId="77777777" w:rsidR="00805B74" w:rsidRPr="003A6C85" w:rsidRDefault="00805B74" w:rsidP="0076724E">
      <w:pPr>
        <w:spacing w:after="60" w:line="240" w:lineRule="auto"/>
        <w:ind w:left="1134" w:hanging="1134"/>
        <w:jc w:val="both"/>
        <w:rPr>
          <w:rFonts w:ascii="Times New Roman" w:hAnsi="Times New Roman" w:cs="Times New Roman"/>
          <w:sz w:val="24"/>
          <w:szCs w:val="24"/>
          <w:lang w:val="en-GB"/>
        </w:rPr>
      </w:pPr>
      <w:r w:rsidRPr="003A6C85">
        <w:rPr>
          <w:rFonts w:ascii="Times New Roman" w:hAnsi="Times New Roman" w:cs="Times New Roman"/>
          <w:sz w:val="24"/>
          <w:szCs w:val="24"/>
          <w:lang w:val="en-GB"/>
        </w:rPr>
        <w:t xml:space="preserve">Kashif, K., &amp; </w:t>
      </w:r>
      <w:proofErr w:type="spellStart"/>
      <w:r w:rsidRPr="003A6C85">
        <w:rPr>
          <w:rFonts w:ascii="Times New Roman" w:hAnsi="Times New Roman" w:cs="Times New Roman"/>
          <w:sz w:val="24"/>
          <w:szCs w:val="24"/>
          <w:lang w:val="en-GB"/>
        </w:rPr>
        <w:t>Ślepaczuk</w:t>
      </w:r>
      <w:proofErr w:type="spellEnd"/>
      <w:r w:rsidRPr="003A6C85">
        <w:rPr>
          <w:rFonts w:ascii="Times New Roman" w:hAnsi="Times New Roman" w:cs="Times New Roman"/>
          <w:sz w:val="24"/>
          <w:szCs w:val="24"/>
          <w:lang w:val="en-GB"/>
        </w:rPr>
        <w:t xml:space="preserve">, R. (2025). LSTM-ARIMA as a hybrid approach in algorithmic investment strategies. </w:t>
      </w:r>
      <w:r w:rsidRPr="003A6C85">
        <w:rPr>
          <w:rFonts w:ascii="Times New Roman" w:hAnsi="Times New Roman" w:cs="Times New Roman"/>
          <w:i/>
          <w:iCs/>
          <w:sz w:val="24"/>
          <w:szCs w:val="24"/>
          <w:lang w:val="en-GB"/>
        </w:rPr>
        <w:t>Knowledge-Based Systems</w:t>
      </w:r>
      <w:r w:rsidRPr="003A6C85">
        <w:rPr>
          <w:rFonts w:ascii="Times New Roman" w:hAnsi="Times New Roman" w:cs="Times New Roman"/>
          <w:sz w:val="24"/>
          <w:szCs w:val="24"/>
          <w:lang w:val="en-GB"/>
        </w:rPr>
        <w:t xml:space="preserve">, 320, Article 113563. </w:t>
      </w:r>
      <w:hyperlink r:id="rId15" w:tgtFrame="_new" w:history="1">
        <w:r w:rsidRPr="003A6C85">
          <w:rPr>
            <w:rStyle w:val="Hyperlink"/>
            <w:rFonts w:ascii="Times New Roman" w:hAnsi="Times New Roman" w:cs="Times New Roman"/>
            <w:sz w:val="24"/>
            <w:szCs w:val="24"/>
            <w:lang w:val="en-GB"/>
          </w:rPr>
          <w:t>https://doi.org/10.1016/j.knosys.2025.113563</w:t>
        </w:r>
      </w:hyperlink>
    </w:p>
    <w:p w14:paraId="580D0311" w14:textId="77777777" w:rsidR="00805B74" w:rsidRPr="003A6C85" w:rsidRDefault="00805B74" w:rsidP="0076724E">
      <w:pPr>
        <w:spacing w:after="60" w:line="240" w:lineRule="auto"/>
        <w:ind w:left="1134" w:hanging="1134"/>
        <w:jc w:val="both"/>
        <w:rPr>
          <w:rFonts w:ascii="Times New Roman" w:hAnsi="Times New Roman" w:cs="Times New Roman"/>
          <w:sz w:val="24"/>
          <w:szCs w:val="24"/>
        </w:rPr>
      </w:pPr>
      <w:r w:rsidRPr="003A6C85">
        <w:rPr>
          <w:rFonts w:ascii="Times New Roman" w:hAnsi="Times New Roman" w:cs="Times New Roman"/>
          <w:sz w:val="24"/>
          <w:szCs w:val="24"/>
          <w:lang w:val="en-GB"/>
        </w:rPr>
        <w:t xml:space="preserve">Kishor, N. (2023). Residuals, Analysis of. In: </w:t>
      </w:r>
      <w:proofErr w:type="spellStart"/>
      <w:r w:rsidRPr="003A6C85">
        <w:rPr>
          <w:rFonts w:ascii="Times New Roman" w:hAnsi="Times New Roman" w:cs="Times New Roman"/>
          <w:sz w:val="24"/>
          <w:szCs w:val="24"/>
          <w:lang w:val="en-GB"/>
        </w:rPr>
        <w:t>Maggino</w:t>
      </w:r>
      <w:proofErr w:type="spellEnd"/>
      <w:r w:rsidRPr="003A6C85">
        <w:rPr>
          <w:rFonts w:ascii="Times New Roman" w:hAnsi="Times New Roman" w:cs="Times New Roman"/>
          <w:sz w:val="24"/>
          <w:szCs w:val="24"/>
          <w:lang w:val="en-GB"/>
        </w:rPr>
        <w:t xml:space="preserve">, F. (eds) </w:t>
      </w:r>
      <w:proofErr w:type="spellStart"/>
      <w:r w:rsidRPr="003A6C85">
        <w:rPr>
          <w:rFonts w:ascii="Times New Roman" w:hAnsi="Times New Roman" w:cs="Times New Roman"/>
          <w:sz w:val="24"/>
          <w:szCs w:val="24"/>
          <w:lang w:val="en-GB"/>
        </w:rPr>
        <w:t>Encyclopedia</w:t>
      </w:r>
      <w:proofErr w:type="spellEnd"/>
      <w:r w:rsidRPr="003A6C85">
        <w:rPr>
          <w:rFonts w:ascii="Times New Roman" w:hAnsi="Times New Roman" w:cs="Times New Roman"/>
          <w:sz w:val="24"/>
          <w:szCs w:val="24"/>
          <w:lang w:val="en-GB"/>
        </w:rPr>
        <w:t xml:space="preserve"> of Quality of Life and Well-Being Research. Springer, Cham. </w:t>
      </w:r>
      <w:hyperlink r:id="rId16" w:history="1">
        <w:r w:rsidRPr="003A6C85">
          <w:rPr>
            <w:rStyle w:val="Hyperlink"/>
            <w:rFonts w:ascii="Times New Roman" w:hAnsi="Times New Roman" w:cs="Times New Roman"/>
            <w:sz w:val="24"/>
            <w:szCs w:val="24"/>
            <w:lang w:val="en-GB"/>
          </w:rPr>
          <w:t>https://doi.org/10.1007/978-3-031-17299-1_2498</w:t>
        </w:r>
      </w:hyperlink>
      <w:r w:rsidRPr="003A6C85">
        <w:rPr>
          <w:rFonts w:ascii="Times New Roman" w:hAnsi="Times New Roman" w:cs="Times New Roman"/>
          <w:sz w:val="24"/>
          <w:szCs w:val="24"/>
          <w:lang w:val="en-GB"/>
        </w:rPr>
        <w:t xml:space="preserve"> </w:t>
      </w:r>
    </w:p>
    <w:p w14:paraId="063B8FD4" w14:textId="77777777" w:rsidR="00805B74" w:rsidRPr="003A6C85" w:rsidRDefault="00805B74" w:rsidP="0076724E">
      <w:pPr>
        <w:spacing w:after="60" w:line="240" w:lineRule="auto"/>
        <w:ind w:left="1134" w:hanging="1134"/>
        <w:jc w:val="both"/>
        <w:rPr>
          <w:rFonts w:ascii="Times New Roman" w:hAnsi="Times New Roman" w:cs="Times New Roman"/>
          <w:sz w:val="24"/>
          <w:szCs w:val="24"/>
          <w:lang w:val="en-GB"/>
        </w:rPr>
      </w:pPr>
      <w:r w:rsidRPr="003A6C85">
        <w:rPr>
          <w:rFonts w:ascii="Times New Roman" w:hAnsi="Times New Roman" w:cs="Times New Roman"/>
          <w:sz w:val="24"/>
          <w:szCs w:val="24"/>
          <w:lang w:val="en-GB"/>
        </w:rPr>
        <w:t xml:space="preserve">Laborde, D., Martin, W., </w:t>
      </w:r>
      <w:proofErr w:type="spellStart"/>
      <w:r w:rsidRPr="003A6C85">
        <w:rPr>
          <w:rFonts w:ascii="Times New Roman" w:hAnsi="Times New Roman" w:cs="Times New Roman"/>
          <w:sz w:val="24"/>
          <w:szCs w:val="24"/>
          <w:lang w:val="en-GB"/>
        </w:rPr>
        <w:t>Swinnen</w:t>
      </w:r>
      <w:proofErr w:type="spellEnd"/>
      <w:r w:rsidRPr="003A6C85">
        <w:rPr>
          <w:rFonts w:ascii="Times New Roman" w:hAnsi="Times New Roman" w:cs="Times New Roman"/>
          <w:sz w:val="24"/>
          <w:szCs w:val="24"/>
          <w:lang w:val="en-GB"/>
        </w:rPr>
        <w:t xml:space="preserve">, J., &amp; Vos, R. (2020). COVID-19 risks to global food security. </w:t>
      </w:r>
      <w:r w:rsidRPr="003A6C85">
        <w:rPr>
          <w:rFonts w:ascii="Times New Roman" w:hAnsi="Times New Roman" w:cs="Times New Roman"/>
          <w:i/>
          <w:iCs/>
          <w:sz w:val="24"/>
          <w:szCs w:val="24"/>
          <w:lang w:val="en-GB"/>
        </w:rPr>
        <w:t>Science</w:t>
      </w:r>
      <w:r w:rsidRPr="003A6C85">
        <w:rPr>
          <w:rFonts w:ascii="Times New Roman" w:hAnsi="Times New Roman" w:cs="Times New Roman"/>
          <w:sz w:val="24"/>
          <w:szCs w:val="24"/>
          <w:lang w:val="en-GB"/>
        </w:rPr>
        <w:t>, 369(6503), 500–502.</w:t>
      </w:r>
    </w:p>
    <w:p w14:paraId="36096AAB" w14:textId="77777777" w:rsidR="00805B74" w:rsidRPr="003A6C85" w:rsidRDefault="00805B74" w:rsidP="0076724E">
      <w:pPr>
        <w:spacing w:after="60" w:line="240" w:lineRule="auto"/>
        <w:ind w:left="1134" w:hanging="1134"/>
        <w:jc w:val="both"/>
        <w:rPr>
          <w:rFonts w:ascii="Times New Roman" w:hAnsi="Times New Roman" w:cs="Times New Roman"/>
          <w:sz w:val="24"/>
          <w:szCs w:val="24"/>
        </w:rPr>
      </w:pPr>
      <w:r w:rsidRPr="003A6C85">
        <w:rPr>
          <w:rFonts w:ascii="Times New Roman" w:hAnsi="Times New Roman" w:cs="Times New Roman"/>
          <w:sz w:val="24"/>
          <w:szCs w:val="24"/>
          <w:lang w:val="en-GB"/>
        </w:rPr>
        <w:t xml:space="preserve">Legg, J. P., Kumar, P. L., </w:t>
      </w:r>
      <w:proofErr w:type="spellStart"/>
      <w:r w:rsidRPr="003A6C85">
        <w:rPr>
          <w:rFonts w:ascii="Times New Roman" w:hAnsi="Times New Roman" w:cs="Times New Roman"/>
          <w:sz w:val="24"/>
          <w:szCs w:val="24"/>
          <w:lang w:val="en-GB"/>
        </w:rPr>
        <w:t>Makeshkumar</w:t>
      </w:r>
      <w:proofErr w:type="spellEnd"/>
      <w:r w:rsidRPr="003A6C85">
        <w:rPr>
          <w:rFonts w:ascii="Times New Roman" w:hAnsi="Times New Roman" w:cs="Times New Roman"/>
          <w:sz w:val="24"/>
          <w:szCs w:val="24"/>
          <w:lang w:val="en-GB"/>
        </w:rPr>
        <w:t xml:space="preserve">, T., Tripathi, L., Ferguson, M., </w:t>
      </w:r>
      <w:proofErr w:type="spellStart"/>
      <w:r w:rsidRPr="003A6C85">
        <w:rPr>
          <w:rFonts w:ascii="Times New Roman" w:hAnsi="Times New Roman" w:cs="Times New Roman"/>
          <w:sz w:val="24"/>
          <w:szCs w:val="24"/>
          <w:lang w:val="en-GB"/>
        </w:rPr>
        <w:t>Kanju</w:t>
      </w:r>
      <w:proofErr w:type="spellEnd"/>
      <w:r w:rsidRPr="003A6C85">
        <w:rPr>
          <w:rFonts w:ascii="Times New Roman" w:hAnsi="Times New Roman" w:cs="Times New Roman"/>
          <w:sz w:val="24"/>
          <w:szCs w:val="24"/>
          <w:lang w:val="en-GB"/>
        </w:rPr>
        <w:t xml:space="preserve">, E., Cuellar, W. (2014). Cassava virus diseases: Biology, epidemiology, and management. </w:t>
      </w:r>
      <w:r w:rsidRPr="003A6C85">
        <w:rPr>
          <w:rFonts w:ascii="Times New Roman" w:hAnsi="Times New Roman" w:cs="Times New Roman"/>
          <w:i/>
          <w:iCs/>
          <w:sz w:val="24"/>
          <w:szCs w:val="24"/>
          <w:lang w:val="en-GB"/>
        </w:rPr>
        <w:t>Advances in Virus Research</w:t>
      </w:r>
      <w:r w:rsidRPr="003A6C85">
        <w:rPr>
          <w:rFonts w:ascii="Times New Roman" w:hAnsi="Times New Roman" w:cs="Times New Roman"/>
          <w:sz w:val="24"/>
          <w:szCs w:val="24"/>
          <w:lang w:val="en-GB"/>
        </w:rPr>
        <w:t>, 91, 85–142.</w:t>
      </w:r>
    </w:p>
    <w:p w14:paraId="224DF3DF" w14:textId="77777777" w:rsidR="00805B74" w:rsidRPr="003A6C85" w:rsidRDefault="00805B74" w:rsidP="0076724E">
      <w:pPr>
        <w:spacing w:after="60" w:line="240" w:lineRule="auto"/>
        <w:ind w:left="1134" w:hanging="1134"/>
        <w:jc w:val="both"/>
        <w:rPr>
          <w:rFonts w:ascii="Times New Roman" w:hAnsi="Times New Roman" w:cs="Times New Roman"/>
          <w:sz w:val="24"/>
          <w:szCs w:val="24"/>
          <w:lang w:val="en-GB"/>
        </w:rPr>
      </w:pPr>
      <w:r w:rsidRPr="003A6C85">
        <w:rPr>
          <w:rFonts w:ascii="Times New Roman" w:hAnsi="Times New Roman" w:cs="Times New Roman"/>
          <w:sz w:val="24"/>
          <w:szCs w:val="24"/>
          <w:lang w:val="en-GB"/>
        </w:rPr>
        <w:t xml:space="preserve">Lele, U., Christiansen, R., &amp; Kadiresan, K. (1989). </w:t>
      </w:r>
      <w:r w:rsidRPr="003A6C85">
        <w:rPr>
          <w:rFonts w:ascii="Times New Roman" w:hAnsi="Times New Roman" w:cs="Times New Roman"/>
          <w:i/>
          <w:iCs/>
          <w:sz w:val="24"/>
          <w:szCs w:val="24"/>
          <w:lang w:val="en-GB"/>
        </w:rPr>
        <w:t>Food security in Africa</w:t>
      </w:r>
      <w:r w:rsidRPr="003A6C85">
        <w:rPr>
          <w:rFonts w:ascii="Times New Roman" w:hAnsi="Times New Roman" w:cs="Times New Roman"/>
          <w:sz w:val="24"/>
          <w:szCs w:val="24"/>
          <w:lang w:val="en-GB"/>
        </w:rPr>
        <w:t>. Washington, DC: World Bank.</w:t>
      </w:r>
    </w:p>
    <w:p w14:paraId="23916C02" w14:textId="77777777" w:rsidR="00805B74" w:rsidRPr="003A6C85" w:rsidRDefault="00805B74" w:rsidP="0076724E">
      <w:pPr>
        <w:spacing w:after="60" w:line="240" w:lineRule="auto"/>
        <w:ind w:left="1134" w:hanging="1134"/>
        <w:jc w:val="both"/>
        <w:rPr>
          <w:rFonts w:ascii="Times New Roman" w:hAnsi="Times New Roman" w:cs="Times New Roman"/>
          <w:sz w:val="24"/>
          <w:szCs w:val="24"/>
          <w:lang w:val="en-GB"/>
        </w:rPr>
      </w:pPr>
      <w:proofErr w:type="spellStart"/>
      <w:r w:rsidRPr="003A6C85">
        <w:rPr>
          <w:rFonts w:ascii="Times New Roman" w:hAnsi="Times New Roman" w:cs="Times New Roman"/>
          <w:sz w:val="24"/>
          <w:szCs w:val="24"/>
          <w:lang w:val="en-GB"/>
        </w:rPr>
        <w:lastRenderedPageBreak/>
        <w:t>Makridakis</w:t>
      </w:r>
      <w:proofErr w:type="spellEnd"/>
      <w:r w:rsidRPr="003A6C85">
        <w:rPr>
          <w:rFonts w:ascii="Times New Roman" w:hAnsi="Times New Roman" w:cs="Times New Roman"/>
          <w:sz w:val="24"/>
          <w:szCs w:val="24"/>
          <w:lang w:val="en-GB"/>
        </w:rPr>
        <w:t xml:space="preserve">, S., &amp; </w:t>
      </w:r>
      <w:proofErr w:type="spellStart"/>
      <w:r w:rsidRPr="003A6C85">
        <w:rPr>
          <w:rFonts w:ascii="Times New Roman" w:hAnsi="Times New Roman" w:cs="Times New Roman"/>
          <w:sz w:val="24"/>
          <w:szCs w:val="24"/>
          <w:lang w:val="en-GB"/>
        </w:rPr>
        <w:t>Hibon</w:t>
      </w:r>
      <w:proofErr w:type="spellEnd"/>
      <w:r w:rsidRPr="003A6C85">
        <w:rPr>
          <w:rFonts w:ascii="Times New Roman" w:hAnsi="Times New Roman" w:cs="Times New Roman"/>
          <w:sz w:val="24"/>
          <w:szCs w:val="24"/>
          <w:lang w:val="en-GB"/>
        </w:rPr>
        <w:t xml:space="preserve">, M. (2000). The M3-competition: Results, conclusions and implications. </w:t>
      </w:r>
      <w:r w:rsidRPr="003A6C85">
        <w:rPr>
          <w:rFonts w:ascii="Times New Roman" w:hAnsi="Times New Roman" w:cs="Times New Roman"/>
          <w:i/>
          <w:iCs/>
          <w:sz w:val="24"/>
          <w:szCs w:val="24"/>
          <w:lang w:val="en-GB"/>
        </w:rPr>
        <w:t>International Journal of Forecasting</w:t>
      </w:r>
      <w:r w:rsidRPr="003A6C85">
        <w:rPr>
          <w:rFonts w:ascii="Times New Roman" w:hAnsi="Times New Roman" w:cs="Times New Roman"/>
          <w:sz w:val="24"/>
          <w:szCs w:val="24"/>
          <w:lang w:val="en-GB"/>
        </w:rPr>
        <w:t>, 16(4), 451–476.</w:t>
      </w:r>
    </w:p>
    <w:p w14:paraId="1CE952D5" w14:textId="77777777" w:rsidR="00805B74" w:rsidRPr="003A6C85" w:rsidRDefault="00805B74" w:rsidP="0076724E">
      <w:pPr>
        <w:spacing w:after="60" w:line="240" w:lineRule="auto"/>
        <w:ind w:left="1134" w:hanging="1134"/>
        <w:jc w:val="both"/>
        <w:rPr>
          <w:rFonts w:ascii="Times New Roman" w:hAnsi="Times New Roman" w:cs="Times New Roman"/>
          <w:sz w:val="24"/>
          <w:szCs w:val="24"/>
        </w:rPr>
      </w:pPr>
      <w:r w:rsidRPr="003A6C85">
        <w:rPr>
          <w:rFonts w:ascii="Times New Roman" w:hAnsi="Times New Roman" w:cs="Times New Roman"/>
          <w:sz w:val="24"/>
          <w:szCs w:val="24"/>
          <w:lang w:val="en-GB"/>
        </w:rPr>
        <w:t xml:space="preserve">Minot, N., Smale, M., Eicher, C., Jayne, T., Kling, J., Horna, D., &amp; Myers, R. (2015). Agricultural development in Africa: New perspectives. </w:t>
      </w:r>
      <w:r w:rsidRPr="003A6C85">
        <w:rPr>
          <w:rFonts w:ascii="Times New Roman" w:hAnsi="Times New Roman" w:cs="Times New Roman"/>
          <w:i/>
          <w:iCs/>
          <w:sz w:val="24"/>
          <w:szCs w:val="24"/>
          <w:lang w:val="en-GB"/>
        </w:rPr>
        <w:t>Food Policy</w:t>
      </w:r>
      <w:r w:rsidRPr="003A6C85">
        <w:rPr>
          <w:rFonts w:ascii="Times New Roman" w:hAnsi="Times New Roman" w:cs="Times New Roman"/>
          <w:sz w:val="24"/>
          <w:szCs w:val="24"/>
          <w:lang w:val="en-GB"/>
        </w:rPr>
        <w:t>, 48, 1–10.</w:t>
      </w:r>
    </w:p>
    <w:p w14:paraId="3E1B8182" w14:textId="77777777" w:rsidR="00805B74" w:rsidRPr="003A6C85" w:rsidRDefault="00805B74" w:rsidP="0076724E">
      <w:pPr>
        <w:spacing w:after="60" w:line="240" w:lineRule="auto"/>
        <w:ind w:left="1134" w:hanging="1134"/>
        <w:jc w:val="both"/>
        <w:rPr>
          <w:rFonts w:ascii="Times New Roman" w:hAnsi="Times New Roman" w:cs="Times New Roman"/>
          <w:sz w:val="24"/>
          <w:szCs w:val="24"/>
          <w:lang w:val="en-GB"/>
        </w:rPr>
      </w:pPr>
      <w:proofErr w:type="spellStart"/>
      <w:r w:rsidRPr="003A6C85">
        <w:rPr>
          <w:rFonts w:ascii="Times New Roman" w:hAnsi="Times New Roman" w:cs="Times New Roman"/>
          <w:sz w:val="24"/>
          <w:szCs w:val="24"/>
          <w:lang w:val="en-GB"/>
        </w:rPr>
        <w:t>Msami</w:t>
      </w:r>
      <w:proofErr w:type="spellEnd"/>
      <w:r w:rsidRPr="003A6C85">
        <w:rPr>
          <w:rFonts w:ascii="Times New Roman" w:hAnsi="Times New Roman" w:cs="Times New Roman"/>
          <w:sz w:val="24"/>
          <w:szCs w:val="24"/>
          <w:lang w:val="en-GB"/>
        </w:rPr>
        <w:t xml:space="preserve">, J. A., </w:t>
      </w:r>
      <w:proofErr w:type="spellStart"/>
      <w:r w:rsidRPr="003A6C85">
        <w:rPr>
          <w:rFonts w:ascii="Times New Roman" w:hAnsi="Times New Roman" w:cs="Times New Roman"/>
          <w:sz w:val="24"/>
          <w:szCs w:val="24"/>
          <w:lang w:val="en-GB"/>
        </w:rPr>
        <w:t>Ndalahwa</w:t>
      </w:r>
      <w:proofErr w:type="spellEnd"/>
      <w:r w:rsidRPr="003A6C85">
        <w:rPr>
          <w:rFonts w:ascii="Times New Roman" w:hAnsi="Times New Roman" w:cs="Times New Roman"/>
          <w:sz w:val="24"/>
          <w:szCs w:val="24"/>
          <w:lang w:val="en-GB"/>
        </w:rPr>
        <w:t xml:space="preserve">, M., Nickas, J., Arbogast, M., </w:t>
      </w:r>
      <w:proofErr w:type="spellStart"/>
      <w:r w:rsidRPr="003A6C85">
        <w:rPr>
          <w:rFonts w:ascii="Times New Roman" w:hAnsi="Times New Roman" w:cs="Times New Roman"/>
          <w:sz w:val="24"/>
          <w:szCs w:val="24"/>
          <w:lang w:val="en-GB"/>
        </w:rPr>
        <w:t>Nkwabi</w:t>
      </w:r>
      <w:proofErr w:type="spellEnd"/>
      <w:r w:rsidRPr="003A6C85">
        <w:rPr>
          <w:rFonts w:ascii="Times New Roman" w:hAnsi="Times New Roman" w:cs="Times New Roman"/>
          <w:sz w:val="24"/>
          <w:szCs w:val="24"/>
          <w:lang w:val="en-GB"/>
        </w:rPr>
        <w:t xml:space="preserve">, J., </w:t>
      </w:r>
      <w:proofErr w:type="spellStart"/>
      <w:r w:rsidRPr="003A6C85">
        <w:rPr>
          <w:rFonts w:ascii="Times New Roman" w:hAnsi="Times New Roman" w:cs="Times New Roman"/>
          <w:sz w:val="24"/>
          <w:szCs w:val="24"/>
          <w:lang w:val="en-GB"/>
        </w:rPr>
        <w:t>Mwakyusa</w:t>
      </w:r>
      <w:proofErr w:type="spellEnd"/>
      <w:r w:rsidRPr="003A6C85">
        <w:rPr>
          <w:rFonts w:ascii="Times New Roman" w:hAnsi="Times New Roman" w:cs="Times New Roman"/>
          <w:sz w:val="24"/>
          <w:szCs w:val="24"/>
          <w:lang w:val="en-GB"/>
        </w:rPr>
        <w:t xml:space="preserve">, N., </w:t>
      </w:r>
      <w:proofErr w:type="spellStart"/>
      <w:r w:rsidRPr="003A6C85">
        <w:rPr>
          <w:rFonts w:ascii="Times New Roman" w:hAnsi="Times New Roman" w:cs="Times New Roman"/>
          <w:sz w:val="24"/>
          <w:szCs w:val="24"/>
          <w:lang w:val="en-GB"/>
        </w:rPr>
        <w:t>Mwenisongole</w:t>
      </w:r>
      <w:proofErr w:type="spellEnd"/>
      <w:r w:rsidRPr="003A6C85">
        <w:rPr>
          <w:rFonts w:ascii="Times New Roman" w:hAnsi="Times New Roman" w:cs="Times New Roman"/>
          <w:sz w:val="24"/>
          <w:szCs w:val="24"/>
          <w:lang w:val="en-GB"/>
        </w:rPr>
        <w:t xml:space="preserve">, A., Matondo, D., Kumar, P. L., &amp; Legg, J. P. (2025). Accelerated cassava varietal turnover in Tanzania, a direct result of cassava seed system interventions. </w:t>
      </w:r>
      <w:r w:rsidRPr="003A6C85">
        <w:rPr>
          <w:rFonts w:ascii="Times New Roman" w:hAnsi="Times New Roman" w:cs="Times New Roman"/>
          <w:i/>
          <w:iCs/>
          <w:sz w:val="24"/>
          <w:szCs w:val="24"/>
          <w:lang w:val="en-GB"/>
        </w:rPr>
        <w:t>Frontiers in Sustainable Food Systems</w:t>
      </w:r>
      <w:r w:rsidRPr="003A6C85">
        <w:rPr>
          <w:rFonts w:ascii="Times New Roman" w:hAnsi="Times New Roman" w:cs="Times New Roman"/>
          <w:sz w:val="24"/>
          <w:szCs w:val="24"/>
          <w:lang w:val="en-GB"/>
        </w:rPr>
        <w:t xml:space="preserve">, </w:t>
      </w:r>
      <w:r w:rsidRPr="003A6C85">
        <w:rPr>
          <w:rFonts w:ascii="Times New Roman" w:hAnsi="Times New Roman" w:cs="Times New Roman"/>
          <w:i/>
          <w:iCs/>
          <w:sz w:val="24"/>
          <w:szCs w:val="24"/>
          <w:lang w:val="en-GB"/>
        </w:rPr>
        <w:t>9</w:t>
      </w:r>
      <w:r w:rsidRPr="003A6C85">
        <w:rPr>
          <w:rFonts w:ascii="Times New Roman" w:hAnsi="Times New Roman" w:cs="Times New Roman"/>
          <w:sz w:val="24"/>
          <w:szCs w:val="24"/>
          <w:lang w:val="en-GB"/>
        </w:rPr>
        <w:t>, 1564907. https://doi.org/10.3389/fsufs.2025.1564907</w:t>
      </w:r>
    </w:p>
    <w:p w14:paraId="404420AF" w14:textId="77777777" w:rsidR="00805B74" w:rsidRPr="003A6C85" w:rsidRDefault="00805B74" w:rsidP="0076724E">
      <w:pPr>
        <w:spacing w:after="60" w:line="240" w:lineRule="auto"/>
        <w:ind w:left="1134" w:hanging="1134"/>
        <w:jc w:val="both"/>
        <w:rPr>
          <w:rFonts w:ascii="Times New Roman" w:hAnsi="Times New Roman" w:cs="Times New Roman"/>
          <w:sz w:val="24"/>
          <w:szCs w:val="24"/>
        </w:rPr>
      </w:pPr>
      <w:r w:rsidRPr="003A6C85">
        <w:rPr>
          <w:rFonts w:ascii="Times New Roman" w:hAnsi="Times New Roman" w:cs="Times New Roman"/>
          <w:sz w:val="24"/>
          <w:szCs w:val="24"/>
          <w:lang w:val="en-GB"/>
        </w:rPr>
        <w:t xml:space="preserve">Msikita, W., James, B., </w:t>
      </w:r>
      <w:proofErr w:type="spellStart"/>
      <w:r w:rsidRPr="003A6C85">
        <w:rPr>
          <w:rFonts w:ascii="Times New Roman" w:hAnsi="Times New Roman" w:cs="Times New Roman"/>
          <w:sz w:val="24"/>
          <w:szCs w:val="24"/>
          <w:lang w:val="en-GB"/>
        </w:rPr>
        <w:t>Ndemah</w:t>
      </w:r>
      <w:proofErr w:type="spellEnd"/>
      <w:r w:rsidRPr="003A6C85">
        <w:rPr>
          <w:rFonts w:ascii="Times New Roman" w:hAnsi="Times New Roman" w:cs="Times New Roman"/>
          <w:sz w:val="24"/>
          <w:szCs w:val="24"/>
          <w:lang w:val="en-GB"/>
        </w:rPr>
        <w:t xml:space="preserve">, R., </w:t>
      </w:r>
      <w:proofErr w:type="spellStart"/>
      <w:r w:rsidRPr="003A6C85">
        <w:rPr>
          <w:rFonts w:ascii="Times New Roman" w:hAnsi="Times New Roman" w:cs="Times New Roman"/>
          <w:sz w:val="24"/>
          <w:szCs w:val="24"/>
          <w:lang w:val="en-GB"/>
        </w:rPr>
        <w:t>Sosoo</w:t>
      </w:r>
      <w:proofErr w:type="spellEnd"/>
      <w:r w:rsidRPr="003A6C85">
        <w:rPr>
          <w:rFonts w:ascii="Times New Roman" w:hAnsi="Times New Roman" w:cs="Times New Roman"/>
          <w:sz w:val="24"/>
          <w:szCs w:val="24"/>
          <w:lang w:val="en-GB"/>
        </w:rPr>
        <w:t xml:space="preserve">, S., &amp; Wydra, K. (2010). Cassava production and marketing in Africa. </w:t>
      </w:r>
      <w:r w:rsidRPr="003A6C85">
        <w:rPr>
          <w:rFonts w:ascii="Times New Roman" w:hAnsi="Times New Roman" w:cs="Times New Roman"/>
          <w:i/>
          <w:iCs/>
          <w:sz w:val="24"/>
          <w:szCs w:val="24"/>
          <w:lang w:val="en-GB"/>
        </w:rPr>
        <w:t>African Crop Science Journal</w:t>
      </w:r>
      <w:r w:rsidRPr="003A6C85">
        <w:rPr>
          <w:rFonts w:ascii="Times New Roman" w:hAnsi="Times New Roman" w:cs="Times New Roman"/>
          <w:sz w:val="24"/>
          <w:szCs w:val="24"/>
          <w:lang w:val="en-GB"/>
        </w:rPr>
        <w:t>, 18(3), 161–176.</w:t>
      </w:r>
    </w:p>
    <w:p w14:paraId="10A6A5DB" w14:textId="77777777" w:rsidR="00805B74" w:rsidRPr="003A6C85" w:rsidRDefault="00805B74" w:rsidP="0076724E">
      <w:pPr>
        <w:spacing w:after="60" w:line="240" w:lineRule="auto"/>
        <w:ind w:left="1134" w:hanging="1134"/>
        <w:jc w:val="both"/>
        <w:rPr>
          <w:rFonts w:ascii="Times New Roman" w:hAnsi="Times New Roman" w:cs="Times New Roman"/>
          <w:sz w:val="24"/>
          <w:szCs w:val="24"/>
        </w:rPr>
      </w:pPr>
      <w:proofErr w:type="spellStart"/>
      <w:r w:rsidRPr="003A6C85">
        <w:rPr>
          <w:rFonts w:ascii="Times New Roman" w:hAnsi="Times New Roman" w:cs="Times New Roman"/>
          <w:sz w:val="24"/>
          <w:szCs w:val="24"/>
          <w:lang w:val="en-GB"/>
        </w:rPr>
        <w:t>Msuha</w:t>
      </w:r>
      <w:proofErr w:type="spellEnd"/>
      <w:r w:rsidRPr="003A6C85">
        <w:rPr>
          <w:rFonts w:ascii="Times New Roman" w:hAnsi="Times New Roman" w:cs="Times New Roman"/>
          <w:sz w:val="24"/>
          <w:szCs w:val="24"/>
          <w:lang w:val="en-GB"/>
        </w:rPr>
        <w:t xml:space="preserve">, B., &amp; Mdendemi, T. (2019). Demand Analysis for Cassava in Rural and Urban Areas: Is it an Inferior or Normal </w:t>
      </w:r>
      <w:proofErr w:type="gramStart"/>
      <w:r w:rsidRPr="003A6C85">
        <w:rPr>
          <w:rFonts w:ascii="Times New Roman" w:hAnsi="Times New Roman" w:cs="Times New Roman"/>
          <w:sz w:val="24"/>
          <w:szCs w:val="24"/>
          <w:lang w:val="en-GB"/>
        </w:rPr>
        <w:t>Food?.</w:t>
      </w:r>
      <w:proofErr w:type="gramEnd"/>
      <w:r w:rsidRPr="003A6C85">
        <w:rPr>
          <w:rFonts w:ascii="Times New Roman" w:hAnsi="Times New Roman" w:cs="Times New Roman"/>
          <w:sz w:val="24"/>
          <w:szCs w:val="24"/>
          <w:lang w:val="en-GB"/>
        </w:rPr>
        <w:t> </w:t>
      </w:r>
      <w:r w:rsidRPr="003A6C85">
        <w:rPr>
          <w:rFonts w:ascii="Times New Roman" w:hAnsi="Times New Roman" w:cs="Times New Roman"/>
          <w:i/>
          <w:iCs/>
          <w:sz w:val="24"/>
          <w:szCs w:val="24"/>
          <w:lang w:val="en-GB"/>
        </w:rPr>
        <w:t>Journal of Economics and Sustainable Development</w:t>
      </w:r>
      <w:r w:rsidRPr="003A6C85">
        <w:rPr>
          <w:rFonts w:ascii="Times New Roman" w:hAnsi="Times New Roman" w:cs="Times New Roman"/>
          <w:sz w:val="24"/>
          <w:szCs w:val="24"/>
          <w:lang w:val="en-GB"/>
        </w:rPr>
        <w:t xml:space="preserve">. </w:t>
      </w:r>
      <w:hyperlink r:id="rId17" w:history="1">
        <w:r w:rsidRPr="003A6C85">
          <w:rPr>
            <w:rStyle w:val="Hyperlink"/>
            <w:rFonts w:ascii="Times New Roman" w:hAnsi="Times New Roman" w:cs="Times New Roman"/>
            <w:sz w:val="24"/>
            <w:szCs w:val="24"/>
            <w:lang w:val="en-GB"/>
          </w:rPr>
          <w:t>https://doi.org/10.7176/jesd/10-4-17</w:t>
        </w:r>
      </w:hyperlink>
      <w:r w:rsidRPr="003A6C85">
        <w:rPr>
          <w:rFonts w:ascii="Times New Roman" w:hAnsi="Times New Roman" w:cs="Times New Roman"/>
          <w:sz w:val="24"/>
          <w:szCs w:val="24"/>
          <w:lang w:val="en-GB"/>
        </w:rPr>
        <w:t xml:space="preserve">. </w:t>
      </w:r>
    </w:p>
    <w:p w14:paraId="64357296" w14:textId="77777777" w:rsidR="00805B74" w:rsidRPr="003A6C85" w:rsidRDefault="00805B74" w:rsidP="0076724E">
      <w:pPr>
        <w:spacing w:after="60" w:line="240" w:lineRule="auto"/>
        <w:ind w:left="1134" w:hanging="1134"/>
        <w:jc w:val="both"/>
        <w:rPr>
          <w:rFonts w:ascii="Times New Roman" w:hAnsi="Times New Roman" w:cs="Times New Roman"/>
          <w:sz w:val="24"/>
          <w:szCs w:val="24"/>
          <w:lang w:val="en-GB"/>
        </w:rPr>
      </w:pPr>
      <w:r w:rsidRPr="003A6C85">
        <w:rPr>
          <w:rFonts w:ascii="Times New Roman" w:hAnsi="Times New Roman" w:cs="Times New Roman"/>
          <w:sz w:val="24"/>
          <w:szCs w:val="24"/>
          <w:lang w:val="en-GB"/>
        </w:rPr>
        <w:t xml:space="preserve">Nweke, F. I., Spencer, D. S. C., &amp; Lynam, J. K. (2002). </w:t>
      </w:r>
      <w:r w:rsidRPr="003A6C85">
        <w:rPr>
          <w:rFonts w:ascii="Times New Roman" w:hAnsi="Times New Roman" w:cs="Times New Roman"/>
          <w:i/>
          <w:iCs/>
          <w:sz w:val="24"/>
          <w:szCs w:val="24"/>
          <w:lang w:val="en-GB"/>
        </w:rPr>
        <w:t>The cassava transformation: Africa’s best-kept secret</w:t>
      </w:r>
      <w:r w:rsidRPr="003A6C85">
        <w:rPr>
          <w:rFonts w:ascii="Times New Roman" w:hAnsi="Times New Roman" w:cs="Times New Roman"/>
          <w:sz w:val="24"/>
          <w:szCs w:val="24"/>
          <w:lang w:val="en-GB"/>
        </w:rPr>
        <w:t>. East Lansing: Michigan State University Press.</w:t>
      </w:r>
    </w:p>
    <w:p w14:paraId="7179CEE3" w14:textId="77777777" w:rsidR="00805B74" w:rsidRPr="003A6C85" w:rsidRDefault="00805B74" w:rsidP="0076724E">
      <w:pPr>
        <w:spacing w:after="60" w:line="240" w:lineRule="auto"/>
        <w:ind w:left="1134" w:hanging="1134"/>
        <w:jc w:val="both"/>
        <w:rPr>
          <w:rFonts w:ascii="Times New Roman" w:hAnsi="Times New Roman" w:cs="Times New Roman"/>
          <w:sz w:val="24"/>
          <w:szCs w:val="24"/>
          <w:lang w:val="en-GB"/>
        </w:rPr>
      </w:pPr>
      <w:proofErr w:type="spellStart"/>
      <w:r w:rsidRPr="003A6C85">
        <w:rPr>
          <w:rFonts w:ascii="Times New Roman" w:hAnsi="Times New Roman" w:cs="Times New Roman"/>
          <w:sz w:val="24"/>
          <w:szCs w:val="24"/>
          <w:lang w:val="en-GB"/>
        </w:rPr>
        <w:t>Otekunrin</w:t>
      </w:r>
      <w:proofErr w:type="spellEnd"/>
      <w:r w:rsidRPr="003A6C85">
        <w:rPr>
          <w:rFonts w:ascii="Times New Roman" w:hAnsi="Times New Roman" w:cs="Times New Roman"/>
          <w:sz w:val="24"/>
          <w:szCs w:val="24"/>
          <w:lang w:val="en-GB"/>
        </w:rPr>
        <w:t xml:space="preserve">, O. A., </w:t>
      </w:r>
      <w:proofErr w:type="spellStart"/>
      <w:r w:rsidRPr="003A6C85">
        <w:rPr>
          <w:rFonts w:ascii="Times New Roman" w:hAnsi="Times New Roman" w:cs="Times New Roman"/>
          <w:sz w:val="24"/>
          <w:szCs w:val="24"/>
          <w:lang w:val="en-GB"/>
        </w:rPr>
        <w:t>Otekunrin</w:t>
      </w:r>
      <w:proofErr w:type="spellEnd"/>
      <w:r w:rsidRPr="003A6C85">
        <w:rPr>
          <w:rFonts w:ascii="Times New Roman" w:hAnsi="Times New Roman" w:cs="Times New Roman"/>
          <w:sz w:val="24"/>
          <w:szCs w:val="24"/>
          <w:lang w:val="en-GB"/>
        </w:rPr>
        <w:t xml:space="preserve">, O. A., Sawicka, B., &amp; </w:t>
      </w:r>
      <w:proofErr w:type="spellStart"/>
      <w:r w:rsidRPr="003A6C85">
        <w:rPr>
          <w:rFonts w:ascii="Times New Roman" w:hAnsi="Times New Roman" w:cs="Times New Roman"/>
          <w:sz w:val="24"/>
          <w:szCs w:val="24"/>
          <w:lang w:val="en-GB"/>
        </w:rPr>
        <w:t>Pszczółkowska</w:t>
      </w:r>
      <w:proofErr w:type="spellEnd"/>
      <w:r w:rsidRPr="003A6C85">
        <w:rPr>
          <w:rFonts w:ascii="Times New Roman" w:hAnsi="Times New Roman" w:cs="Times New Roman"/>
          <w:sz w:val="24"/>
          <w:szCs w:val="24"/>
          <w:lang w:val="en-GB"/>
        </w:rPr>
        <w:t xml:space="preserve">, A. (2024). Global cassava trade patterns and competitiveness. </w:t>
      </w:r>
      <w:r w:rsidRPr="003A6C85">
        <w:rPr>
          <w:rFonts w:ascii="Times New Roman" w:hAnsi="Times New Roman" w:cs="Times New Roman"/>
          <w:i/>
          <w:iCs/>
          <w:sz w:val="24"/>
          <w:szCs w:val="24"/>
          <w:lang w:val="en-GB"/>
        </w:rPr>
        <w:t>Agricultural Economics</w:t>
      </w:r>
      <w:r w:rsidRPr="003A6C85">
        <w:rPr>
          <w:rFonts w:ascii="Times New Roman" w:hAnsi="Times New Roman" w:cs="Times New Roman"/>
          <w:sz w:val="24"/>
          <w:szCs w:val="24"/>
          <w:lang w:val="en-GB"/>
        </w:rPr>
        <w:t>, 55(1), 45–60.</w:t>
      </w:r>
    </w:p>
    <w:p w14:paraId="2906A50A" w14:textId="77777777" w:rsidR="00805B74" w:rsidRPr="002A0C70" w:rsidRDefault="00805B74" w:rsidP="002A0C70">
      <w:pPr>
        <w:spacing w:after="60" w:line="240" w:lineRule="auto"/>
        <w:ind w:left="1134" w:hanging="1134"/>
        <w:jc w:val="both"/>
        <w:rPr>
          <w:rFonts w:ascii="Times New Roman" w:hAnsi="Times New Roman" w:cs="Times New Roman"/>
          <w:sz w:val="24"/>
          <w:szCs w:val="24"/>
        </w:rPr>
      </w:pPr>
      <w:r w:rsidRPr="003A6C85">
        <w:rPr>
          <w:rFonts w:ascii="Times New Roman" w:hAnsi="Times New Roman" w:cs="Times New Roman"/>
          <w:sz w:val="24"/>
          <w:szCs w:val="24"/>
          <w:lang w:val="en-GB"/>
        </w:rPr>
        <w:t xml:space="preserve">Putterman, L. (1995). Reform and </w:t>
      </w:r>
      <w:r w:rsidRPr="002A0C70">
        <w:rPr>
          <w:rFonts w:ascii="Times New Roman" w:hAnsi="Times New Roman" w:cs="Times New Roman"/>
          <w:sz w:val="24"/>
          <w:szCs w:val="24"/>
          <w:lang w:val="en-GB"/>
        </w:rPr>
        <w:t xml:space="preserve">development in Tanzania. </w:t>
      </w:r>
      <w:r w:rsidRPr="002A0C70">
        <w:rPr>
          <w:rFonts w:ascii="Times New Roman" w:hAnsi="Times New Roman" w:cs="Times New Roman"/>
          <w:i/>
          <w:iCs/>
          <w:sz w:val="24"/>
          <w:szCs w:val="24"/>
          <w:lang w:val="en-GB"/>
        </w:rPr>
        <w:t>World Development</w:t>
      </w:r>
      <w:r w:rsidRPr="002A0C70">
        <w:rPr>
          <w:rFonts w:ascii="Times New Roman" w:hAnsi="Times New Roman" w:cs="Times New Roman"/>
          <w:sz w:val="24"/>
          <w:szCs w:val="24"/>
          <w:lang w:val="en-GB"/>
        </w:rPr>
        <w:t>, 23(4), 641–655.</w:t>
      </w:r>
    </w:p>
    <w:p w14:paraId="7EF637F6" w14:textId="77777777" w:rsidR="00805B74" w:rsidRDefault="00805B74" w:rsidP="002A0C70">
      <w:pPr>
        <w:spacing w:after="60" w:line="240" w:lineRule="auto"/>
        <w:ind w:left="1134" w:hanging="1134"/>
        <w:jc w:val="both"/>
        <w:rPr>
          <w:rFonts w:ascii="Times New Roman" w:hAnsi="Times New Roman" w:cs="Times New Roman"/>
          <w:sz w:val="24"/>
          <w:szCs w:val="24"/>
          <w:lang w:val="en-GB"/>
        </w:rPr>
      </w:pPr>
      <w:r w:rsidRPr="00805B74">
        <w:rPr>
          <w:rFonts w:ascii="Times New Roman" w:hAnsi="Times New Roman" w:cs="Times New Roman"/>
          <w:sz w:val="24"/>
          <w:szCs w:val="24"/>
        </w:rPr>
        <w:t xml:space="preserve">Sanga, </w:t>
      </w:r>
      <w:r>
        <w:rPr>
          <w:rFonts w:ascii="Times New Roman" w:hAnsi="Times New Roman" w:cs="Times New Roman"/>
          <w:sz w:val="24"/>
          <w:szCs w:val="24"/>
        </w:rPr>
        <w:t>J.</w:t>
      </w:r>
      <w:r w:rsidRPr="00805B74">
        <w:rPr>
          <w:rFonts w:ascii="Times New Roman" w:hAnsi="Times New Roman" w:cs="Times New Roman"/>
          <w:sz w:val="24"/>
          <w:szCs w:val="24"/>
        </w:rPr>
        <w:t xml:space="preserve">H., </w:t>
      </w:r>
      <w:proofErr w:type="spellStart"/>
      <w:r w:rsidRPr="00805B74">
        <w:rPr>
          <w:rFonts w:ascii="Times New Roman" w:hAnsi="Times New Roman" w:cs="Times New Roman"/>
          <w:sz w:val="24"/>
          <w:szCs w:val="24"/>
        </w:rPr>
        <w:t>Utouh</w:t>
      </w:r>
      <w:proofErr w:type="spellEnd"/>
      <w:r w:rsidRPr="00805B74">
        <w:rPr>
          <w:rFonts w:ascii="Times New Roman" w:hAnsi="Times New Roman" w:cs="Times New Roman"/>
          <w:sz w:val="24"/>
          <w:szCs w:val="24"/>
        </w:rPr>
        <w:t>, H., &amp; Milanzi, M. (2026). A Systematic Review of Institutional Quality as a Potential Catalyst of Intra–Regional Trade Performance. </w:t>
      </w:r>
      <w:r w:rsidRPr="00805B74">
        <w:rPr>
          <w:rFonts w:ascii="Times New Roman" w:hAnsi="Times New Roman" w:cs="Times New Roman"/>
          <w:i/>
          <w:iCs/>
          <w:sz w:val="24"/>
          <w:szCs w:val="24"/>
        </w:rPr>
        <w:t>African Journal of Economics and Business Research</w:t>
      </w:r>
      <w:r w:rsidRPr="00805B74">
        <w:rPr>
          <w:rFonts w:ascii="Times New Roman" w:hAnsi="Times New Roman" w:cs="Times New Roman"/>
          <w:sz w:val="24"/>
          <w:szCs w:val="24"/>
        </w:rPr>
        <w:t>, </w:t>
      </w:r>
      <w:r w:rsidRPr="00805B74">
        <w:rPr>
          <w:rFonts w:ascii="Times New Roman" w:hAnsi="Times New Roman" w:cs="Times New Roman"/>
          <w:i/>
          <w:iCs/>
          <w:sz w:val="24"/>
          <w:szCs w:val="24"/>
        </w:rPr>
        <w:t>5</w:t>
      </w:r>
      <w:r w:rsidRPr="00805B74">
        <w:rPr>
          <w:rFonts w:ascii="Times New Roman" w:hAnsi="Times New Roman" w:cs="Times New Roman"/>
          <w:sz w:val="24"/>
          <w:szCs w:val="24"/>
        </w:rPr>
        <w:t>(1)</w:t>
      </w:r>
      <w:r>
        <w:rPr>
          <w:rFonts w:ascii="Times New Roman" w:hAnsi="Times New Roman" w:cs="Times New Roman"/>
          <w:sz w:val="24"/>
          <w:szCs w:val="24"/>
        </w:rPr>
        <w:t xml:space="preserve">, 17-27. </w:t>
      </w:r>
      <w:hyperlink r:id="rId18" w:history="1">
        <w:r w:rsidRPr="00DA4A95">
          <w:rPr>
            <w:rStyle w:val="Hyperlink"/>
            <w:rFonts w:ascii="Times New Roman" w:hAnsi="Times New Roman" w:cs="Times New Roman"/>
            <w:sz w:val="24"/>
            <w:szCs w:val="24"/>
          </w:rPr>
          <w:t>https://dx.doi.org/10.4314/ajebr.v5i1.2</w:t>
        </w:r>
      </w:hyperlink>
      <w:r>
        <w:rPr>
          <w:rFonts w:ascii="Times New Roman" w:hAnsi="Times New Roman" w:cs="Times New Roman"/>
          <w:sz w:val="24"/>
          <w:szCs w:val="24"/>
        </w:rPr>
        <w:t xml:space="preserve"> </w:t>
      </w:r>
    </w:p>
    <w:p w14:paraId="46CDD593" w14:textId="77777777" w:rsidR="00805B74" w:rsidRPr="002A0C70" w:rsidRDefault="00805B74" w:rsidP="002A0C70">
      <w:pPr>
        <w:spacing w:after="60" w:line="240" w:lineRule="auto"/>
        <w:ind w:left="1134" w:hanging="1134"/>
        <w:jc w:val="both"/>
        <w:rPr>
          <w:rFonts w:ascii="Times New Roman" w:hAnsi="Times New Roman" w:cs="Times New Roman"/>
          <w:sz w:val="24"/>
          <w:szCs w:val="24"/>
          <w:lang w:val="en-GB"/>
        </w:rPr>
      </w:pPr>
      <w:proofErr w:type="spellStart"/>
      <w:r w:rsidRPr="002A0C70">
        <w:rPr>
          <w:rFonts w:ascii="Times New Roman" w:hAnsi="Times New Roman" w:cs="Times New Roman"/>
          <w:sz w:val="24"/>
          <w:szCs w:val="24"/>
          <w:lang w:val="en-GB"/>
        </w:rPr>
        <w:t>Singirankabo</w:t>
      </w:r>
      <w:proofErr w:type="spellEnd"/>
      <w:r w:rsidRPr="002A0C70">
        <w:rPr>
          <w:rFonts w:ascii="Times New Roman" w:hAnsi="Times New Roman" w:cs="Times New Roman"/>
          <w:sz w:val="24"/>
          <w:szCs w:val="24"/>
          <w:lang w:val="en-GB"/>
        </w:rPr>
        <w:t xml:space="preserve">, U., </w:t>
      </w:r>
      <w:proofErr w:type="spellStart"/>
      <w:r w:rsidRPr="002A0C70">
        <w:rPr>
          <w:rFonts w:ascii="Times New Roman" w:hAnsi="Times New Roman" w:cs="Times New Roman"/>
          <w:sz w:val="24"/>
          <w:szCs w:val="24"/>
          <w:lang w:val="en-GB"/>
        </w:rPr>
        <w:t>Ertsen</w:t>
      </w:r>
      <w:proofErr w:type="spellEnd"/>
      <w:r w:rsidRPr="002A0C70">
        <w:rPr>
          <w:rFonts w:ascii="Times New Roman" w:hAnsi="Times New Roman" w:cs="Times New Roman"/>
          <w:sz w:val="24"/>
          <w:szCs w:val="24"/>
          <w:lang w:val="en-GB"/>
        </w:rPr>
        <w:t>, M., &amp; Van De Giesen, N. (2022). The relations between farmers’ land tenure security and agriculture production. An assessment in the perspective of smallholder farmers in Rwanda. </w:t>
      </w:r>
      <w:r w:rsidRPr="002A0C70">
        <w:rPr>
          <w:rFonts w:ascii="Times New Roman" w:hAnsi="Times New Roman" w:cs="Times New Roman"/>
          <w:i/>
          <w:iCs/>
          <w:sz w:val="24"/>
          <w:szCs w:val="24"/>
          <w:lang w:val="en-GB"/>
        </w:rPr>
        <w:t>Land Use Policy</w:t>
      </w:r>
      <w:r w:rsidRPr="002A0C70">
        <w:rPr>
          <w:rFonts w:ascii="Times New Roman" w:hAnsi="Times New Roman" w:cs="Times New Roman"/>
          <w:sz w:val="24"/>
          <w:szCs w:val="24"/>
          <w:lang w:val="en-GB"/>
        </w:rPr>
        <w:t xml:space="preserve">. </w:t>
      </w:r>
      <w:hyperlink r:id="rId19" w:history="1">
        <w:r w:rsidRPr="002A0C70">
          <w:rPr>
            <w:rStyle w:val="Hyperlink"/>
            <w:rFonts w:ascii="Times New Roman" w:hAnsi="Times New Roman" w:cs="Times New Roman"/>
            <w:sz w:val="24"/>
            <w:szCs w:val="24"/>
            <w:lang w:val="en-GB"/>
          </w:rPr>
          <w:t>https://doi.org/10.1016/j.landusepol.2022.106122</w:t>
        </w:r>
      </w:hyperlink>
      <w:r w:rsidRPr="002A0C70">
        <w:rPr>
          <w:rFonts w:ascii="Times New Roman" w:hAnsi="Times New Roman" w:cs="Times New Roman"/>
          <w:sz w:val="24"/>
          <w:szCs w:val="24"/>
          <w:lang w:val="en-GB"/>
        </w:rPr>
        <w:t>.</w:t>
      </w:r>
    </w:p>
    <w:p w14:paraId="61872FF5" w14:textId="77777777" w:rsidR="00805B74" w:rsidRPr="002A0C70" w:rsidRDefault="00805B74" w:rsidP="002A0C70">
      <w:pPr>
        <w:spacing w:after="60" w:line="240" w:lineRule="auto"/>
        <w:ind w:left="1134" w:hanging="1134"/>
        <w:jc w:val="both"/>
        <w:rPr>
          <w:rFonts w:ascii="Times New Roman" w:hAnsi="Times New Roman" w:cs="Times New Roman"/>
          <w:sz w:val="24"/>
          <w:szCs w:val="24"/>
        </w:rPr>
      </w:pPr>
      <w:r w:rsidRPr="002A0C70">
        <w:rPr>
          <w:rFonts w:ascii="Times New Roman" w:hAnsi="Times New Roman" w:cs="Times New Roman"/>
          <w:sz w:val="24"/>
          <w:szCs w:val="24"/>
          <w:lang w:val="en-GB"/>
        </w:rPr>
        <w:t xml:space="preserve">Stock, J. H., &amp; Watson, M. W. (2003). </w:t>
      </w:r>
      <w:r w:rsidRPr="002A0C70">
        <w:rPr>
          <w:rFonts w:ascii="Times New Roman" w:hAnsi="Times New Roman" w:cs="Times New Roman"/>
          <w:i/>
          <w:iCs/>
          <w:sz w:val="24"/>
          <w:szCs w:val="24"/>
          <w:lang w:val="en-GB"/>
        </w:rPr>
        <w:t>Introduction to econometrics</w:t>
      </w:r>
      <w:r w:rsidRPr="002A0C70">
        <w:rPr>
          <w:rFonts w:ascii="Times New Roman" w:hAnsi="Times New Roman" w:cs="Times New Roman"/>
          <w:sz w:val="24"/>
          <w:szCs w:val="24"/>
          <w:lang w:val="en-GB"/>
        </w:rPr>
        <w:t>. Boston: Addison-Wesley.</w:t>
      </w:r>
    </w:p>
    <w:p w14:paraId="1A47B5C1" w14:textId="77777777" w:rsidR="00805B74" w:rsidRPr="002A0C70" w:rsidRDefault="00805B74" w:rsidP="002A0C70">
      <w:pPr>
        <w:spacing w:after="60" w:line="240" w:lineRule="auto"/>
        <w:ind w:left="1134" w:hanging="1134"/>
        <w:jc w:val="both"/>
        <w:rPr>
          <w:rFonts w:ascii="Times New Roman" w:hAnsi="Times New Roman" w:cs="Times New Roman"/>
          <w:sz w:val="24"/>
          <w:szCs w:val="24"/>
        </w:rPr>
      </w:pPr>
      <w:r w:rsidRPr="002A0C70">
        <w:rPr>
          <w:rFonts w:ascii="Times New Roman" w:hAnsi="Times New Roman" w:cs="Times New Roman"/>
          <w:sz w:val="24"/>
          <w:szCs w:val="24"/>
          <w:lang w:val="en-GB"/>
        </w:rPr>
        <w:t xml:space="preserve">United Republic of Tanzania (URT) (2020). </w:t>
      </w:r>
      <w:r w:rsidRPr="002A0C70">
        <w:rPr>
          <w:rFonts w:ascii="Times New Roman" w:hAnsi="Times New Roman" w:cs="Times New Roman"/>
          <w:i/>
          <w:iCs/>
          <w:sz w:val="24"/>
          <w:szCs w:val="24"/>
          <w:lang w:val="en-GB"/>
        </w:rPr>
        <w:t>National Cassava Development Strategy (NCDS) 2020–2030</w:t>
      </w:r>
      <w:r w:rsidRPr="002A0C70">
        <w:rPr>
          <w:rFonts w:ascii="Times New Roman" w:hAnsi="Times New Roman" w:cs="Times New Roman"/>
          <w:sz w:val="24"/>
          <w:szCs w:val="24"/>
          <w:lang w:val="en-GB"/>
        </w:rPr>
        <w:t xml:space="preserve">. Ministry of Agriculture, Dodoma, Tanzania. </w:t>
      </w:r>
      <w:hyperlink r:id="rId20" w:tgtFrame="_new" w:history="1">
        <w:r w:rsidRPr="002A0C70">
          <w:rPr>
            <w:rStyle w:val="Hyperlink"/>
            <w:rFonts w:ascii="Times New Roman" w:hAnsi="Times New Roman" w:cs="Times New Roman"/>
            <w:sz w:val="24"/>
            <w:szCs w:val="24"/>
            <w:lang w:val="en-GB"/>
          </w:rPr>
          <w:t>https://www.scribd.com/document/741252301/Cassava-Development-Strategy</w:t>
        </w:r>
      </w:hyperlink>
    </w:p>
    <w:p w14:paraId="4C14683B" w14:textId="77777777" w:rsidR="00805B74" w:rsidRDefault="00805B74" w:rsidP="002A0C70">
      <w:pPr>
        <w:spacing w:after="60" w:line="240" w:lineRule="auto"/>
        <w:ind w:left="1134" w:hanging="1134"/>
        <w:jc w:val="both"/>
        <w:rPr>
          <w:rFonts w:ascii="Times New Roman" w:hAnsi="Times New Roman" w:cs="Times New Roman"/>
          <w:sz w:val="24"/>
          <w:szCs w:val="24"/>
          <w:lang w:val="en-GB"/>
        </w:rPr>
      </w:pPr>
      <w:r w:rsidRPr="002A0C70">
        <w:rPr>
          <w:rFonts w:ascii="Times New Roman" w:hAnsi="Times New Roman" w:cs="Times New Roman"/>
          <w:sz w:val="24"/>
          <w:szCs w:val="24"/>
          <w:lang w:val="en-GB"/>
        </w:rPr>
        <w:t>United Republic of Tanzania</w:t>
      </w:r>
      <w:r>
        <w:rPr>
          <w:rFonts w:ascii="Times New Roman" w:hAnsi="Times New Roman" w:cs="Times New Roman"/>
          <w:sz w:val="24"/>
          <w:szCs w:val="24"/>
          <w:lang w:val="en-GB"/>
        </w:rPr>
        <w:t xml:space="preserve"> (URT)</w:t>
      </w:r>
      <w:r w:rsidRPr="002A0C70">
        <w:rPr>
          <w:rFonts w:ascii="Times New Roman" w:hAnsi="Times New Roman" w:cs="Times New Roman"/>
          <w:sz w:val="24"/>
          <w:szCs w:val="24"/>
          <w:lang w:val="en-GB"/>
        </w:rPr>
        <w:t xml:space="preserve"> (2025). Tanzania Development Vision 2050. National Planning Commission, Dodoma.</w:t>
      </w:r>
    </w:p>
    <w:p w14:paraId="45EF8556" w14:textId="77777777" w:rsidR="00805B74" w:rsidRPr="002A0C70" w:rsidRDefault="00805B74" w:rsidP="002A0C70">
      <w:pPr>
        <w:spacing w:after="60" w:line="240" w:lineRule="auto"/>
        <w:ind w:left="1134" w:hanging="1134"/>
        <w:jc w:val="both"/>
        <w:rPr>
          <w:rFonts w:ascii="Times New Roman" w:hAnsi="Times New Roman" w:cs="Times New Roman"/>
          <w:sz w:val="24"/>
          <w:szCs w:val="24"/>
        </w:rPr>
      </w:pPr>
      <w:proofErr w:type="spellStart"/>
      <w:r w:rsidRPr="002A0C70">
        <w:rPr>
          <w:rFonts w:ascii="Times New Roman" w:hAnsi="Times New Roman" w:cs="Times New Roman"/>
          <w:sz w:val="24"/>
          <w:szCs w:val="24"/>
          <w:lang w:val="en-GB"/>
        </w:rPr>
        <w:t>Wangwee</w:t>
      </w:r>
      <w:proofErr w:type="spellEnd"/>
      <w:r w:rsidRPr="002A0C70">
        <w:rPr>
          <w:rFonts w:ascii="Times New Roman" w:hAnsi="Times New Roman" w:cs="Times New Roman"/>
          <w:sz w:val="24"/>
          <w:szCs w:val="24"/>
          <w:lang w:val="en-GB"/>
        </w:rPr>
        <w:t xml:space="preserve">, S., &amp; </w:t>
      </w:r>
      <w:proofErr w:type="spellStart"/>
      <w:r w:rsidRPr="002A0C70">
        <w:rPr>
          <w:rFonts w:ascii="Times New Roman" w:hAnsi="Times New Roman" w:cs="Times New Roman"/>
          <w:sz w:val="24"/>
          <w:szCs w:val="24"/>
          <w:lang w:val="en-GB"/>
        </w:rPr>
        <w:t>Magai</w:t>
      </w:r>
      <w:proofErr w:type="spellEnd"/>
      <w:r w:rsidRPr="002A0C70">
        <w:rPr>
          <w:rFonts w:ascii="Times New Roman" w:hAnsi="Times New Roman" w:cs="Times New Roman"/>
          <w:sz w:val="24"/>
          <w:szCs w:val="24"/>
          <w:lang w:val="en-GB"/>
        </w:rPr>
        <w:t xml:space="preserve">, P. (2024). </w:t>
      </w:r>
      <w:r w:rsidRPr="002A0C70">
        <w:rPr>
          <w:rFonts w:ascii="Times New Roman" w:hAnsi="Times New Roman" w:cs="Times New Roman"/>
          <w:i/>
          <w:iCs/>
          <w:sz w:val="24"/>
          <w:szCs w:val="24"/>
          <w:lang w:val="en-GB"/>
        </w:rPr>
        <w:t>Report on cross-border trade in manufacturing products: Status, challenges, and recommendations</w:t>
      </w:r>
      <w:r w:rsidRPr="002A0C70">
        <w:rPr>
          <w:rFonts w:ascii="Times New Roman" w:hAnsi="Times New Roman" w:cs="Times New Roman"/>
          <w:sz w:val="24"/>
          <w:szCs w:val="24"/>
          <w:lang w:val="en-GB"/>
        </w:rPr>
        <w:t xml:space="preserve"> (Final report, 18 October 2024). Liberty Sparks. </w:t>
      </w:r>
      <w:hyperlink r:id="rId21" w:tgtFrame="_new" w:history="1">
        <w:r w:rsidRPr="002A0C70">
          <w:rPr>
            <w:rStyle w:val="Hyperlink"/>
            <w:rFonts w:ascii="Times New Roman" w:hAnsi="Times New Roman" w:cs="Times New Roman"/>
            <w:sz w:val="24"/>
            <w:szCs w:val="24"/>
            <w:lang w:val="en-GB"/>
          </w:rPr>
          <w:t>https://libertysparks.org/wp-content/uploads/2025/02/Report-on-CBT_Manufacturing_Final_18.10.2024.pdf</w:t>
        </w:r>
      </w:hyperlink>
    </w:p>
    <w:p w14:paraId="128F5E34" w14:textId="77777777" w:rsidR="00801848" w:rsidRPr="002A0C70" w:rsidRDefault="00801848" w:rsidP="00805B74">
      <w:pPr>
        <w:spacing w:line="240" w:lineRule="auto"/>
        <w:rPr>
          <w:rFonts w:ascii="Times New Roman" w:hAnsi="Times New Roman" w:cs="Times New Roman"/>
          <w:sz w:val="24"/>
          <w:szCs w:val="24"/>
        </w:rPr>
      </w:pPr>
    </w:p>
    <w:sectPr w:rsidR="00801848" w:rsidRPr="002A0C70">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1705F3" w14:textId="77777777" w:rsidR="002B68A8" w:rsidRDefault="002B68A8" w:rsidP="00733994">
      <w:pPr>
        <w:spacing w:after="0" w:line="240" w:lineRule="auto"/>
      </w:pPr>
      <w:r>
        <w:separator/>
      </w:r>
    </w:p>
  </w:endnote>
  <w:endnote w:type="continuationSeparator" w:id="0">
    <w:p w14:paraId="267D37FC" w14:textId="77777777" w:rsidR="002B68A8" w:rsidRDefault="002B68A8" w:rsidP="00733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B2054" w14:textId="77777777" w:rsidR="0045429B" w:rsidRDefault="004542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6224696"/>
      <w:docPartObj>
        <w:docPartGallery w:val="Page Numbers (Bottom of Page)"/>
        <w:docPartUnique/>
      </w:docPartObj>
    </w:sdtPr>
    <w:sdtEndPr>
      <w:rPr>
        <w:noProof/>
      </w:rPr>
    </w:sdtEndPr>
    <w:sdtContent>
      <w:p w14:paraId="4E85C951" w14:textId="77777777" w:rsidR="00801848" w:rsidRDefault="00801848">
        <w:pPr>
          <w:pStyle w:val="Footer"/>
          <w:jc w:val="center"/>
        </w:pPr>
        <w:r>
          <w:fldChar w:fldCharType="begin"/>
        </w:r>
        <w:r>
          <w:instrText xml:space="preserve"> PAGE   \* MERGEFORMAT </w:instrText>
        </w:r>
        <w:r>
          <w:fldChar w:fldCharType="separate"/>
        </w:r>
        <w:r w:rsidR="00E63372">
          <w:rPr>
            <w:noProof/>
          </w:rPr>
          <w:t>16</w:t>
        </w:r>
        <w:r>
          <w:rPr>
            <w:noProof/>
          </w:rPr>
          <w:fldChar w:fldCharType="end"/>
        </w:r>
      </w:p>
    </w:sdtContent>
  </w:sdt>
  <w:p w14:paraId="7D88FBAB" w14:textId="77777777" w:rsidR="00801848" w:rsidRDefault="008018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2BD99" w14:textId="77777777" w:rsidR="0045429B" w:rsidRDefault="004542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C7997D" w14:textId="77777777" w:rsidR="002B68A8" w:rsidRDefault="002B68A8" w:rsidP="00733994">
      <w:pPr>
        <w:spacing w:after="0" w:line="240" w:lineRule="auto"/>
      </w:pPr>
      <w:r>
        <w:separator/>
      </w:r>
    </w:p>
  </w:footnote>
  <w:footnote w:type="continuationSeparator" w:id="0">
    <w:p w14:paraId="3CBE4665" w14:textId="77777777" w:rsidR="002B68A8" w:rsidRDefault="002B68A8" w:rsidP="007339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F7884" w14:textId="56EF47A3" w:rsidR="0045429B" w:rsidRDefault="0045429B">
    <w:pPr>
      <w:pStyle w:val="Header"/>
    </w:pPr>
    <w:r>
      <w:rPr>
        <w:noProof/>
      </w:rPr>
      <w:pict w14:anchorId="35A35B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44857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FAAEB" w14:textId="7F2689F1" w:rsidR="0045429B" w:rsidRDefault="0045429B">
    <w:pPr>
      <w:pStyle w:val="Header"/>
    </w:pPr>
    <w:r>
      <w:rPr>
        <w:noProof/>
      </w:rPr>
      <w:pict w14:anchorId="405B06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44858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AB284" w14:textId="36554F44" w:rsidR="0045429B" w:rsidRDefault="0045429B">
    <w:pPr>
      <w:pStyle w:val="Header"/>
    </w:pPr>
    <w:r>
      <w:rPr>
        <w:noProof/>
      </w:rPr>
      <w:pict w14:anchorId="74CB4C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44857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275FB8"/>
    <w:multiLevelType w:val="hybridMultilevel"/>
    <w:tmpl w:val="4820789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257603"/>
    <w:multiLevelType w:val="hybridMultilevel"/>
    <w:tmpl w:val="3320E132"/>
    <w:lvl w:ilvl="0" w:tplc="5EA689D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344"/>
    <w:rsid w:val="000112C0"/>
    <w:rsid w:val="00045344"/>
    <w:rsid w:val="000912A3"/>
    <w:rsid w:val="000B4D53"/>
    <w:rsid w:val="00133BE4"/>
    <w:rsid w:val="00197F34"/>
    <w:rsid w:val="001B5E0B"/>
    <w:rsid w:val="001E1227"/>
    <w:rsid w:val="00256568"/>
    <w:rsid w:val="002707EF"/>
    <w:rsid w:val="002A0C70"/>
    <w:rsid w:val="002B68A8"/>
    <w:rsid w:val="002D6954"/>
    <w:rsid w:val="00393602"/>
    <w:rsid w:val="003A6C85"/>
    <w:rsid w:val="003C7792"/>
    <w:rsid w:val="004500B0"/>
    <w:rsid w:val="0045429B"/>
    <w:rsid w:val="004A5E58"/>
    <w:rsid w:val="00574743"/>
    <w:rsid w:val="00580534"/>
    <w:rsid w:val="005E494A"/>
    <w:rsid w:val="006314E7"/>
    <w:rsid w:val="006D308B"/>
    <w:rsid w:val="006F4037"/>
    <w:rsid w:val="00733994"/>
    <w:rsid w:val="0076262F"/>
    <w:rsid w:val="0076724E"/>
    <w:rsid w:val="007905C9"/>
    <w:rsid w:val="00792795"/>
    <w:rsid w:val="007E610C"/>
    <w:rsid w:val="00801848"/>
    <w:rsid w:val="00805B74"/>
    <w:rsid w:val="00845634"/>
    <w:rsid w:val="008B227F"/>
    <w:rsid w:val="0098423B"/>
    <w:rsid w:val="009C19D3"/>
    <w:rsid w:val="00A4132B"/>
    <w:rsid w:val="00AF61F7"/>
    <w:rsid w:val="00B04512"/>
    <w:rsid w:val="00B51FFE"/>
    <w:rsid w:val="00B84E1A"/>
    <w:rsid w:val="00D75953"/>
    <w:rsid w:val="00E00A42"/>
    <w:rsid w:val="00E3023D"/>
    <w:rsid w:val="00E63372"/>
    <w:rsid w:val="00EF384A"/>
    <w:rsid w:val="00F17B21"/>
    <w:rsid w:val="00F43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CDB4F87"/>
  <w15:chartTrackingRefBased/>
  <w15:docId w15:val="{29FF2BB1-7190-47E9-9926-690CFAE07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5344"/>
    <w:rPr>
      <w:kern w:val="2"/>
      <w14:ligatures w14:val="standardContextual"/>
    </w:rPr>
  </w:style>
  <w:style w:type="paragraph" w:styleId="Heading1">
    <w:name w:val="heading 1"/>
    <w:basedOn w:val="Normal"/>
    <w:next w:val="Normal"/>
    <w:link w:val="Heading1Char"/>
    <w:uiPriority w:val="9"/>
    <w:qFormat/>
    <w:rsid w:val="0004534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04534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045344"/>
    <w:pPr>
      <w:keepNext/>
      <w:keepLines/>
      <w:spacing w:before="160" w:after="80"/>
      <w:outlineLvl w:val="2"/>
    </w:pPr>
    <w:rPr>
      <w:rFonts w:eastAsiaTheme="majorEastAsia" w:cstheme="majorBidi"/>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5344"/>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Heading2Char">
    <w:name w:val="Heading 2 Char"/>
    <w:basedOn w:val="DefaultParagraphFont"/>
    <w:link w:val="Heading2"/>
    <w:uiPriority w:val="9"/>
    <w:rsid w:val="00045344"/>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045344"/>
    <w:rPr>
      <w:rFonts w:eastAsiaTheme="majorEastAsia" w:cstheme="majorBidi"/>
      <w:color w:val="2E74B5" w:themeColor="accent1" w:themeShade="BF"/>
      <w:kern w:val="2"/>
      <w:sz w:val="28"/>
      <w:szCs w:val="28"/>
      <w14:ligatures w14:val="standardContextual"/>
    </w:rPr>
  </w:style>
  <w:style w:type="paragraph" w:styleId="ListParagraph">
    <w:name w:val="List Paragraph"/>
    <w:basedOn w:val="Normal"/>
    <w:uiPriority w:val="34"/>
    <w:qFormat/>
    <w:rsid w:val="00045344"/>
    <w:pPr>
      <w:ind w:left="720"/>
      <w:contextualSpacing/>
    </w:pPr>
  </w:style>
  <w:style w:type="character" w:styleId="Hyperlink">
    <w:name w:val="Hyperlink"/>
    <w:basedOn w:val="DefaultParagraphFont"/>
    <w:uiPriority w:val="99"/>
    <w:unhideWhenUsed/>
    <w:rsid w:val="00045344"/>
    <w:rPr>
      <w:color w:val="0563C1" w:themeColor="hyperlink"/>
      <w:u w:val="single"/>
    </w:rPr>
  </w:style>
  <w:style w:type="table" w:styleId="PlainTable2">
    <w:name w:val="Plain Table 2"/>
    <w:basedOn w:val="TableNormal"/>
    <w:uiPriority w:val="42"/>
    <w:rsid w:val="00045344"/>
    <w:pPr>
      <w:spacing w:after="0" w:line="240" w:lineRule="auto"/>
    </w:pPr>
    <w:rPr>
      <w:kern w:val="2"/>
      <w:sz w:val="24"/>
      <w:szCs w:val="24"/>
      <w:lang w:val="en-GB"/>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045344"/>
    <w:pPr>
      <w:spacing w:after="200" w:line="240" w:lineRule="auto"/>
    </w:pPr>
    <w:rPr>
      <w:i/>
      <w:iCs/>
      <w:color w:val="44546A" w:themeColor="text2"/>
      <w:sz w:val="18"/>
      <w:szCs w:val="18"/>
    </w:rPr>
  </w:style>
  <w:style w:type="paragraph" w:styleId="Header">
    <w:name w:val="header"/>
    <w:basedOn w:val="Normal"/>
    <w:link w:val="HeaderChar"/>
    <w:uiPriority w:val="99"/>
    <w:unhideWhenUsed/>
    <w:rsid w:val="007339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994"/>
    <w:rPr>
      <w:kern w:val="2"/>
      <w14:ligatures w14:val="standardContextual"/>
    </w:rPr>
  </w:style>
  <w:style w:type="paragraph" w:styleId="Footer">
    <w:name w:val="footer"/>
    <w:basedOn w:val="Normal"/>
    <w:link w:val="FooterChar"/>
    <w:uiPriority w:val="99"/>
    <w:unhideWhenUsed/>
    <w:rsid w:val="007339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994"/>
    <w:rPr>
      <w:kern w:val="2"/>
      <w14:ligatures w14:val="standardContextual"/>
    </w:rPr>
  </w:style>
  <w:style w:type="character" w:styleId="CommentReference">
    <w:name w:val="annotation reference"/>
    <w:basedOn w:val="DefaultParagraphFont"/>
    <w:uiPriority w:val="99"/>
    <w:semiHidden/>
    <w:unhideWhenUsed/>
    <w:rsid w:val="00133BE4"/>
    <w:rPr>
      <w:sz w:val="16"/>
      <w:szCs w:val="16"/>
    </w:rPr>
  </w:style>
  <w:style w:type="paragraph" w:styleId="CommentText">
    <w:name w:val="annotation text"/>
    <w:basedOn w:val="Normal"/>
    <w:link w:val="CommentTextChar"/>
    <w:uiPriority w:val="99"/>
    <w:semiHidden/>
    <w:unhideWhenUsed/>
    <w:rsid w:val="00133BE4"/>
    <w:pPr>
      <w:spacing w:line="240" w:lineRule="auto"/>
    </w:pPr>
    <w:rPr>
      <w:sz w:val="20"/>
      <w:szCs w:val="20"/>
    </w:rPr>
  </w:style>
  <w:style w:type="character" w:customStyle="1" w:styleId="CommentTextChar">
    <w:name w:val="Comment Text Char"/>
    <w:basedOn w:val="DefaultParagraphFont"/>
    <w:link w:val="CommentText"/>
    <w:uiPriority w:val="99"/>
    <w:semiHidden/>
    <w:rsid w:val="00133BE4"/>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133BE4"/>
    <w:rPr>
      <w:b/>
      <w:bCs/>
    </w:rPr>
  </w:style>
  <w:style w:type="character" w:customStyle="1" w:styleId="CommentSubjectChar">
    <w:name w:val="Comment Subject Char"/>
    <w:basedOn w:val="CommentTextChar"/>
    <w:link w:val="CommentSubject"/>
    <w:uiPriority w:val="99"/>
    <w:semiHidden/>
    <w:rsid w:val="00133BE4"/>
    <w:rPr>
      <w:b/>
      <w:bCs/>
      <w:kern w:val="2"/>
      <w:sz w:val="20"/>
      <w:szCs w:val="20"/>
      <w14:ligatures w14:val="standardContextual"/>
    </w:rPr>
  </w:style>
  <w:style w:type="paragraph" w:styleId="BalloonText">
    <w:name w:val="Balloon Text"/>
    <w:basedOn w:val="Normal"/>
    <w:link w:val="BalloonTextChar"/>
    <w:uiPriority w:val="99"/>
    <w:semiHidden/>
    <w:unhideWhenUsed/>
    <w:rsid w:val="00133B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3BE4"/>
    <w:rPr>
      <w:rFonts w:ascii="Segoe UI" w:hAnsi="Segoe UI" w:cs="Segoe UI"/>
      <w:kern w:val="2"/>
      <w:sz w:val="18"/>
      <w:szCs w:val="18"/>
      <w14:ligatures w14:val="standardContextual"/>
    </w:rPr>
  </w:style>
  <w:style w:type="paragraph" w:styleId="Revision">
    <w:name w:val="Revision"/>
    <w:hidden/>
    <w:uiPriority w:val="99"/>
    <w:semiHidden/>
    <w:rsid w:val="002A0C70"/>
    <w:pPr>
      <w:spacing w:after="0" w:line="240" w:lineRule="auto"/>
    </w:pPr>
    <w:rPr>
      <w:kern w:val="2"/>
      <w14:ligatures w14:val="standardContextual"/>
    </w:rPr>
  </w:style>
  <w:style w:type="character" w:styleId="UnresolvedMention">
    <w:name w:val="Unresolved Mention"/>
    <w:basedOn w:val="DefaultParagraphFont"/>
    <w:uiPriority w:val="99"/>
    <w:semiHidden/>
    <w:unhideWhenUsed/>
    <w:rsid w:val="00805B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55362/IJE/2024/4191" TargetMode="External"/><Relationship Id="rId18" Type="http://schemas.openxmlformats.org/officeDocument/2006/relationships/hyperlink" Target="https://dx.doi.org/10.4314/ajebr.v5i1.2"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libertysparks.org/wp-content/uploads/2025/02/Report-on-CBT_Manufacturing_Final_18.10.2024.pdf?utm_source=chatgpt.com" TargetMode="External"/><Relationship Id="rId7" Type="http://schemas.openxmlformats.org/officeDocument/2006/relationships/endnotes" Target="endnotes.xml"/><Relationship Id="rId12" Type="http://schemas.openxmlformats.org/officeDocument/2006/relationships/hyperlink" Target="https://doi.org/10.1016/j.focha.2025.100945" TargetMode="External"/><Relationship Id="rId17" Type="http://schemas.openxmlformats.org/officeDocument/2006/relationships/hyperlink" Target="https://doi.org/10.7176/jesd/10-4-17"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1007/978-3-031-17299-1_2498" TargetMode="External"/><Relationship Id="rId20" Type="http://schemas.openxmlformats.org/officeDocument/2006/relationships/hyperlink" Target="https://www.scribd.com/document/741252301/Cassava-Development-Strategy?utm_source=chatgpt.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heliyon.2023.e19939"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016/j.knosys.2025.113563"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doi.org/10.1016/j.landusepol.2022.106122"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4738/dafs.1302.18488"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8622E-BDB8-4E18-A45D-CF75D60DB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18</Pages>
  <Words>7312</Words>
  <Characters>41683</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1084</cp:lastModifiedBy>
  <cp:revision>16</cp:revision>
  <dcterms:created xsi:type="dcterms:W3CDTF">2026-03-11T07:21:00Z</dcterms:created>
  <dcterms:modified xsi:type="dcterms:W3CDTF">2026-03-24T12:08:00Z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107ff0f0-36b4-4233-b38e-0fc5c4bc9c8f</vt:lpwstr>
  </property>
</Properties>
</file>