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EAF5E" w14:textId="13CF3897" w:rsidR="00543686" w:rsidRPr="00E1344F" w:rsidRDefault="00CA5DF7" w:rsidP="00CA5DF7">
      <w:pPr>
        <w:spacing w:line="360" w:lineRule="auto"/>
        <w:jc w:val="both"/>
        <w:rPr>
          <w:rFonts w:ascii="Times New Roman" w:hAnsi="Times New Roman" w:cs="Times New Roman"/>
          <w:b/>
          <w:sz w:val="28"/>
        </w:rPr>
      </w:pPr>
      <w:r w:rsidRPr="00E1344F">
        <w:rPr>
          <w:rFonts w:ascii="Times New Roman" w:hAnsi="Times New Roman" w:cs="Times New Roman"/>
          <w:b/>
          <w:sz w:val="28"/>
          <w:szCs w:val="28"/>
        </w:rPr>
        <w:t>CHALLENGES OF VALUE ADDED TAX ADMINISTRATION</w:t>
      </w:r>
      <w:r w:rsidRPr="00E1344F">
        <w:rPr>
          <w:rFonts w:ascii="Times New Roman" w:hAnsi="Times New Roman" w:cs="Times New Roman"/>
          <w:b/>
          <w:sz w:val="28"/>
        </w:rPr>
        <w:t xml:space="preserve"> AND TAXPAYER COMPLIANCE BEHAVIOR: THE CASE OF NEGELE TOWN REVENUE AUTHORITY, OROMIA REGIONAL STATE, ETHIOPIA</w:t>
      </w:r>
    </w:p>
    <w:p w14:paraId="723CEA9D" w14:textId="77777777" w:rsidR="001E165D" w:rsidRPr="00E1344F" w:rsidRDefault="001E165D" w:rsidP="00CA5DF7">
      <w:pPr>
        <w:spacing w:line="360" w:lineRule="auto"/>
        <w:jc w:val="both"/>
        <w:rPr>
          <w:rFonts w:ascii="Times New Roman" w:hAnsi="Times New Roman" w:cs="Times New Roman"/>
          <w:b/>
          <w:sz w:val="28"/>
        </w:rPr>
      </w:pPr>
    </w:p>
    <w:p w14:paraId="2EFE6667" w14:textId="77777777" w:rsidR="001E165D" w:rsidRPr="00E1344F" w:rsidRDefault="001E165D" w:rsidP="005500F4">
      <w:pPr>
        <w:rPr>
          <w:rFonts w:ascii="Times New Roman" w:hAnsi="Times New Roman" w:cs="Times New Roman"/>
          <w:b/>
          <w:sz w:val="28"/>
        </w:rPr>
      </w:pPr>
    </w:p>
    <w:p w14:paraId="78702E72" w14:textId="77777777" w:rsidR="001E165D" w:rsidRPr="00E1344F" w:rsidRDefault="001E165D" w:rsidP="005500F4">
      <w:pPr>
        <w:rPr>
          <w:rFonts w:ascii="Times New Roman" w:hAnsi="Times New Roman" w:cs="Times New Roman"/>
          <w:b/>
          <w:sz w:val="28"/>
        </w:rPr>
      </w:pPr>
    </w:p>
    <w:p w14:paraId="784F4402" w14:textId="77777777" w:rsidR="005500F4" w:rsidRPr="00E1344F" w:rsidRDefault="005500F4" w:rsidP="005500F4">
      <w:pPr>
        <w:spacing w:line="360" w:lineRule="auto"/>
        <w:jc w:val="both"/>
        <w:rPr>
          <w:rFonts w:ascii="Times New Roman" w:hAnsi="Times New Roman" w:cs="Times New Roman"/>
          <w:sz w:val="24"/>
        </w:rPr>
      </w:pPr>
      <w:r w:rsidRPr="00E1344F">
        <w:rPr>
          <w:rFonts w:ascii="Times New Roman" w:hAnsi="Times New Roman" w:cs="Times New Roman"/>
          <w:sz w:val="24"/>
        </w:rPr>
        <w:t>ABSTRACT</w:t>
      </w:r>
    </w:p>
    <w:p w14:paraId="4DEBE051" w14:textId="77777777" w:rsidR="00FE1CE0" w:rsidRPr="00E1344F" w:rsidRDefault="00FE1CE0" w:rsidP="005500F4">
      <w:pPr>
        <w:spacing w:line="360" w:lineRule="auto"/>
        <w:jc w:val="both"/>
        <w:rPr>
          <w:rFonts w:ascii="Times New Roman" w:hAnsi="Times New Roman" w:cs="Times New Roman"/>
          <w:sz w:val="24"/>
        </w:rPr>
      </w:pPr>
      <w:r w:rsidRPr="00E1344F">
        <w:rPr>
          <w:rFonts w:ascii="Times New Roman" w:hAnsi="Times New Roman" w:cs="Times New Roman"/>
          <w:sz w:val="24"/>
        </w:rPr>
        <w:t>This study examines the challenges of Value Added Tax (VAT) administration and the compliance behavior of taxpayers at the Negele Town Revenue Authority in Oromia Regional State, Ethiopia. The objective of the study was to investigate challenges related to VAT assessment, collection, and implementation, and to assess the main problems affecting the tax office's administrative activities, service delivery, and voluntary compliance of taxpayers. To achieve this objective, the researchers employed a descriptive research design. A sample of VAT-registered taxpayers was selected using simple random sampling, while tax officials were selected through judgmental sampling to ensure the collection of sufficient and relevant information. Data were collected using questionnaires and document reviews for both primary and secondary sources. The target population comprised tax officials and VAT-registered taxpayers at the Negele Town Revenue Authority. A sample of 290 taxpayers was randomly drawn from the total population of 1,061 registered taxpayers, and tax officials were purposively selected. The collected data were analyzed using SPSS Version 21 software, with results presented through charts, figures, and percentages. The findings reveal that VAT administration in Negele Town faces multiple challenges, including lack of taxpayer awareness, resistance to VAT registration among some traders, weak taxpaying culture, and a poor VAT administration system. These interconnected problems undermine the effectiveness of VAT collection and hinder voluntary compliance, ultimately limiting the revenue potential of the authority.</w:t>
      </w:r>
    </w:p>
    <w:p w14:paraId="194F0245" w14:textId="77777777" w:rsidR="00FE1CE0" w:rsidRPr="00E1344F" w:rsidRDefault="00FE1CE0" w:rsidP="005500F4">
      <w:pPr>
        <w:spacing w:line="360" w:lineRule="auto"/>
        <w:jc w:val="both"/>
        <w:rPr>
          <w:rFonts w:ascii="Times New Roman" w:hAnsi="Times New Roman" w:cs="Times New Roman"/>
          <w:sz w:val="24"/>
        </w:rPr>
      </w:pPr>
    </w:p>
    <w:p w14:paraId="208E0123" w14:textId="6D095000" w:rsidR="005500F4" w:rsidRPr="00E1344F" w:rsidRDefault="005500F4" w:rsidP="005500F4">
      <w:pPr>
        <w:spacing w:line="360" w:lineRule="auto"/>
        <w:jc w:val="both"/>
        <w:rPr>
          <w:rFonts w:ascii="Times New Roman" w:hAnsi="Times New Roman" w:cs="Times New Roman"/>
          <w:sz w:val="24"/>
        </w:rPr>
      </w:pPr>
      <w:r w:rsidRPr="00E1344F">
        <w:rPr>
          <w:rFonts w:ascii="Times New Roman" w:hAnsi="Times New Roman" w:cs="Times New Roman"/>
          <w:sz w:val="24"/>
        </w:rPr>
        <w:t xml:space="preserve">Keywords: </w:t>
      </w:r>
      <w:r w:rsidR="00FE1CE0" w:rsidRPr="00E1344F">
        <w:rPr>
          <w:rFonts w:ascii="Times New Roman" w:hAnsi="Times New Roman" w:cs="Times New Roman"/>
          <w:sz w:val="24"/>
        </w:rPr>
        <w:t>Value Added Tax, Tax Administration, Taxpayer Compliance, Forced Registration</w:t>
      </w:r>
    </w:p>
    <w:p w14:paraId="42F7A0E7" w14:textId="77777777" w:rsidR="006B14DD" w:rsidRPr="00E1344F" w:rsidRDefault="006B14DD" w:rsidP="005500F4">
      <w:pPr>
        <w:spacing w:line="360" w:lineRule="auto"/>
        <w:jc w:val="both"/>
        <w:rPr>
          <w:rFonts w:ascii="Times New Roman" w:hAnsi="Times New Roman" w:cs="Times New Roman"/>
          <w:sz w:val="24"/>
        </w:rPr>
      </w:pPr>
    </w:p>
    <w:p w14:paraId="1AC706F0" w14:textId="3A134596" w:rsidR="005500F4" w:rsidRPr="00E1344F" w:rsidRDefault="005500F4" w:rsidP="005500F4">
      <w:pPr>
        <w:pStyle w:val="ListParagraph"/>
        <w:numPr>
          <w:ilvl w:val="0"/>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lastRenderedPageBreak/>
        <w:t>Introduction</w:t>
      </w:r>
    </w:p>
    <w:p w14:paraId="2E3B5BB2" w14:textId="4CF89EBA" w:rsidR="00D317AC" w:rsidRPr="00E1344F" w:rsidRDefault="00D317AC" w:rsidP="00D317AC">
      <w:pPr>
        <w:spacing w:line="360" w:lineRule="auto"/>
        <w:jc w:val="both"/>
        <w:rPr>
          <w:rFonts w:ascii="Times New Roman" w:hAnsi="Times New Roman" w:cs="Times New Roman"/>
          <w:sz w:val="24"/>
        </w:rPr>
      </w:pPr>
      <w:r w:rsidRPr="00E1344F">
        <w:rPr>
          <w:rFonts w:ascii="Times New Roman" w:hAnsi="Times New Roman" w:cs="Times New Roman"/>
          <w:sz w:val="24"/>
        </w:rPr>
        <w:t>Fifty years ago, the Value Added Tax (VAT) was a fiscal instrument rarely heard of outside of France and a few specialized texts. Today, it has become a cornerstone of modern taxation, raising approximately 20 percent of the world's tax revenue and affecting the lives of about 4 billion people (Keen &amp; Lockwood, 2007). The modern VAT has its conceptual origins in 1920s America, although it was not implemented there at the time. It was in France, in 1954, that the tax was first truly put into practice, driven by the government's critical need for substantial revenue to rebuild the nation in the aftermath of the Second World War (Yohan</w:t>
      </w:r>
      <w:r w:rsidR="009F418A" w:rsidRPr="00E1344F">
        <w:rPr>
          <w:rFonts w:ascii="Times New Roman" w:hAnsi="Times New Roman" w:cs="Times New Roman"/>
          <w:sz w:val="24"/>
        </w:rPr>
        <w:t xml:space="preserve">nes &amp; </w:t>
      </w:r>
      <w:proofErr w:type="spellStart"/>
      <w:r w:rsidR="009F418A" w:rsidRPr="00E1344F">
        <w:rPr>
          <w:rFonts w:ascii="Times New Roman" w:hAnsi="Times New Roman" w:cs="Times New Roman"/>
          <w:sz w:val="24"/>
        </w:rPr>
        <w:t>Sisay</w:t>
      </w:r>
      <w:proofErr w:type="spellEnd"/>
      <w:r w:rsidR="009F418A" w:rsidRPr="00E1344F">
        <w:rPr>
          <w:rFonts w:ascii="Times New Roman" w:hAnsi="Times New Roman" w:cs="Times New Roman"/>
          <w:sz w:val="24"/>
        </w:rPr>
        <w:t xml:space="preserve">, 2001; </w:t>
      </w:r>
      <w:proofErr w:type="spellStart"/>
      <w:r w:rsidR="009F418A" w:rsidRPr="00E1344F">
        <w:rPr>
          <w:rFonts w:ascii="Times New Roman" w:hAnsi="Times New Roman" w:cs="Times New Roman"/>
          <w:sz w:val="24"/>
        </w:rPr>
        <w:t>Dilgasa.B</w:t>
      </w:r>
      <w:proofErr w:type="spellEnd"/>
      <w:r w:rsidR="009F418A" w:rsidRPr="00E1344F">
        <w:rPr>
          <w:rFonts w:ascii="Times New Roman" w:hAnsi="Times New Roman" w:cs="Times New Roman"/>
          <w:sz w:val="24"/>
        </w:rPr>
        <w:t>, 2021</w:t>
      </w:r>
      <w:r w:rsidRPr="00E1344F">
        <w:rPr>
          <w:rFonts w:ascii="Times New Roman" w:hAnsi="Times New Roman" w:cs="Times New Roman"/>
          <w:sz w:val="24"/>
        </w:rPr>
        <w:t>). Following France's lead, VAT adoption remained limited for nearly a decade; however, the rapid global spread of the tax over the last few decades marks it as one of the most significant tax developments of the late 20th century. This expansion was largely driven by the early advocacy of international institutions, particularly the International Monetary Fund (IMF), which promoted VAT as an efficient and modern form of consumption taxation for developing and transitional economies (Richard, 2006). The first major wave of adoption began in the late 1960s, largely driven by the expansion of the European Economic Community (EEC), which made VAT a mandatory condition for membership. Consequently, several European nations implemented VAT during this period, including Denmark and Germany in 1967 and 1968 respectively, followed by the Netherlands and Sweden in 1969, and Luxembourg in 1970 (Ebrill et al., 2001). Beyond Europe, Côte d'Ivoire became the first country outside the continent to adopt VAT in 1960, and Brazil followed in 1967, demonstrating the tax's growing appeal in both developed and developing economies (Bird &amp; Gendron, 2007).</w:t>
      </w:r>
    </w:p>
    <w:p w14:paraId="588B5A28" w14:textId="7F9E76E6" w:rsidR="00D317AC" w:rsidRPr="00E1344F" w:rsidRDefault="00D317AC" w:rsidP="00D317AC">
      <w:pPr>
        <w:spacing w:line="360" w:lineRule="auto"/>
        <w:jc w:val="both"/>
        <w:rPr>
          <w:rFonts w:ascii="Times New Roman" w:hAnsi="Times New Roman" w:cs="Times New Roman"/>
          <w:sz w:val="24"/>
        </w:rPr>
      </w:pPr>
      <w:r w:rsidRPr="00E1344F">
        <w:rPr>
          <w:rFonts w:ascii="Times New Roman" w:hAnsi="Times New Roman" w:cs="Times New Roman"/>
          <w:sz w:val="24"/>
        </w:rPr>
        <w:t xml:space="preserve">The rapid global spread of VAT can be attributed to the multiple interrelated purposes it serves within modern economies, making it a cornerstone of public finance. As a type of indirect tax, VAT is theoretically designed to be borne by the final consumer, with businesses acting as collectors on behalf of the government. It is a percentage tax levied on the value added at each stage of production and distribution (Kassu, 2011). Its fundamental purpose is to generate substantial and reliable revenue for the government. As a broad-based consumption tax, it is designed to raise significant funds to finance public expenditures, including infrastructure, education, and healthcare (Keen &amp; Lockwood, 2007). VAT achieves this through its wide coverage of goods and services and its self-enforcing invoice-credit system, which has made it the principal source of domestic </w:t>
      </w:r>
      <w:r w:rsidRPr="00E1344F">
        <w:rPr>
          <w:rFonts w:ascii="Times New Roman" w:hAnsi="Times New Roman" w:cs="Times New Roman"/>
          <w:sz w:val="24"/>
        </w:rPr>
        <w:lastRenderedPageBreak/>
        <w:t>tax revenue for many countries, particularly in the developing world (Ebrill et al., 2001). Unlike cascading turnover taxes, VAT is designed for economic neutrality; by allowing businesses to claim credits for tax paid on inputs, it ensures the total burden falls only on the final consumer, thereby avoiding distortions in production and investment decisions (Bird &amp; Gendron, 2007). The tax is also efficient in its collection, as it is levied incrementally throughout the supply chain. This staged mechanism creates a built-in cross-check through invoicing, which reduces evasion and makes VAT more resilient to non-compliance than single-stage sales taxes (Tait, 1988). Furthermore, VAT promotes international competitiveness through the destination principle, whereby exports are zero-rated to compete freely abroad and imports are taxed equivalently to domestic goods (Schenk &amp; Oldman, 2007). The tax also enhances transparency and accountability, as it is typically visible to consumers on receipts, potentially fostering greater public demand for efficient government spending (Moore, 2004). Finally, because it is levied on a broad base of consumption transactions that are difficult to conceal, VAT is harder to evade than income taxes, allowing for relatively lower rates while maximizing revenue coverage and minimizing economic distortion (Cnossen, 1998).</w:t>
      </w:r>
    </w:p>
    <w:p w14:paraId="0EBB7BFE" w14:textId="59059DCC" w:rsidR="00077462" w:rsidRPr="00E1344F" w:rsidRDefault="00D317AC" w:rsidP="00763505">
      <w:pPr>
        <w:spacing w:line="360" w:lineRule="auto"/>
        <w:jc w:val="both"/>
        <w:rPr>
          <w:rFonts w:ascii="Times New Roman" w:hAnsi="Times New Roman" w:cs="Times New Roman"/>
          <w:sz w:val="24"/>
        </w:rPr>
      </w:pPr>
      <w:r w:rsidRPr="00E1344F">
        <w:rPr>
          <w:rFonts w:ascii="Times New Roman" w:hAnsi="Times New Roman" w:cs="Times New Roman"/>
          <w:sz w:val="24"/>
        </w:rPr>
        <w:t xml:space="preserve">Consequently, VAT has been adopted by more than 130 countries and has become a principal source of government revenue worldwide (Kassu, 2011). For governments, particularly in developing nations, securing adequate revenue is not merely a fiscal exercise but a fundamental prerequisite for development. Public revenue, derived from taxation and non-tax sources, provides the funds needed to invest in infrastructure, alleviate poverty, and deliver public services that enhance long-term economic growth. Strengthening domestic resource mobilization is crucial not only for raising revenue but also for designing a tax system that promotes inclusiveness, encourages good governance, and improves government accountability to its citizens (Dennis &amp; Emmanuel, 2014). Furthermore, an efficient and equitable tax system can create a favorable framework for attracting increased private investment by fostering transparency, combating corruption, and ensuring fairness in the treatment of taxpayers. This link between revenue collection and social development underscores a deeper purpose of taxation: it serves as a critical instrument for reducing economic inequality and narrowing the gap between the rich and the poor within a society. Through progressive tax systems, where higher income earners contribute a larger percentage of their earnings, governments can redistribute wealth by funding public services and social welfare programs that disproportionately benefit lower-income households (Piketty &amp; Saez, 2007). These services include access to education, healthcare, infrastructure, and social safety nets, </w:t>
      </w:r>
      <w:r w:rsidRPr="00E1344F">
        <w:rPr>
          <w:rFonts w:ascii="Times New Roman" w:hAnsi="Times New Roman" w:cs="Times New Roman"/>
          <w:sz w:val="24"/>
        </w:rPr>
        <w:lastRenderedPageBreak/>
        <w:t xml:space="preserve">which provide opportunities for upward mobility and help alleviate poverty (Stiglitz, 2012). This redistributive function is why governments place strong emphasis on tax collection; a capable and effective tax administration ensures that revenue is collected efficiently and equitably, enabling the state to fulfill its social and economic obligations (Bird &amp; </w:t>
      </w:r>
      <w:proofErr w:type="spellStart"/>
      <w:r w:rsidRPr="00E1344F">
        <w:rPr>
          <w:rFonts w:ascii="Times New Roman" w:hAnsi="Times New Roman" w:cs="Times New Roman"/>
          <w:sz w:val="24"/>
        </w:rPr>
        <w:t>Zolt</w:t>
      </w:r>
      <w:proofErr w:type="spellEnd"/>
      <w:r w:rsidRPr="00E1344F">
        <w:rPr>
          <w:rFonts w:ascii="Times New Roman" w:hAnsi="Times New Roman" w:cs="Times New Roman"/>
          <w:sz w:val="24"/>
        </w:rPr>
        <w:t xml:space="preserve">, 2005). Consequently, a strong government is characterized not only by its ability to enforce tax laws but also by its commitment to using tax revenues to foster social justice and reduce disparities in wealth and opportunity (Musgrave &amp; Musgrave, 1989). </w:t>
      </w:r>
      <w:r w:rsidR="00727A8F" w:rsidRPr="00E1344F">
        <w:rPr>
          <w:rFonts w:ascii="Times New Roman" w:hAnsi="Times New Roman" w:cs="Times New Roman"/>
          <w:sz w:val="24"/>
        </w:rPr>
        <w:t xml:space="preserve">In line with this global trend, the Ethiopian government introduced VAT in January 2003, replacing the former sales tax as part of broader tax policy reforms focused on reforming indirect taxation (IMF, 2003). Since its introduction, VAT has proven to be more productive than its predecessor and has quickly become the principal source of revenue for the government. For instance, in the 2006-2007 fiscal year, federal VAT revenue accounted for about 41 percent of total federal tax revenues from domestic sources (Welela A, 2008). Currently, tax revenues cover nearly 70 percent of total government expenditures, with VAT and customs duties making a major contribution (Welela A, 2015). </w:t>
      </w:r>
      <w:r w:rsidR="00763505" w:rsidRPr="00E1344F">
        <w:rPr>
          <w:rFonts w:ascii="Times New Roman" w:hAnsi="Times New Roman" w:cs="Times New Roman"/>
          <w:sz w:val="24"/>
        </w:rPr>
        <w:t xml:space="preserve"> A properly designed and administered tax system is vital for generating revenue and expanding the tax base, particularly in developing and transitional economies. However, tax administration in such contexts is often plagued by poorly conceived policies, uncertainty regarding future changes, and systemic failures including excessive reporting requirements, corrupt practices, and lack of transparency (Bird, 2008; Baurer, 2005). Consequently, the potential amount of tax revenue in these countries has not been collected in an efficient and equitable manner (Edmiston &amp; Bird, 2004). The successful implementation of any tax, particularly Value Added Tax (VAT), is heavily dependent on the capacity and integrity of the tax administration. As Kaldor (1980) noted, tax laws and policy are only as good as the administration that implements them. A good tax administration is essential for fully realizing the design features of VAT and achieving the government's broader policy objectives (Welela, 2008). Conversely, a weak tax administration is a principal impediment to the successful implementation of VAT, especially in developing and transitional economies. In Ethiopia, taxation serves multiple purposes: raising revenue for public expenditure, reducing income inequality, and promoting investment and trade. Yet, revenue from VAT is frequently lower than expected, prompting government efforts to improve both tax administration and taxpayer compliance. Despite its revenue potential, revenues generated through VAT in Ethiopia are sometimes garnered at the expense of erosion in its salient features, o</w:t>
      </w:r>
      <w:r w:rsidR="006B14DD" w:rsidRPr="00E1344F">
        <w:rPr>
          <w:rFonts w:ascii="Times New Roman" w:hAnsi="Times New Roman" w:cs="Times New Roman"/>
          <w:sz w:val="24"/>
        </w:rPr>
        <w:t xml:space="preserve">ften due to poor administration </w:t>
      </w:r>
      <w:r w:rsidR="00763505" w:rsidRPr="00E1344F">
        <w:rPr>
          <w:rFonts w:ascii="Times New Roman" w:hAnsi="Times New Roman" w:cs="Times New Roman"/>
          <w:sz w:val="24"/>
        </w:rPr>
        <w:t xml:space="preserve">the incapability of tax </w:t>
      </w:r>
      <w:r w:rsidR="00763505" w:rsidRPr="00E1344F">
        <w:rPr>
          <w:rFonts w:ascii="Times New Roman" w:hAnsi="Times New Roman" w:cs="Times New Roman"/>
          <w:sz w:val="24"/>
        </w:rPr>
        <w:lastRenderedPageBreak/>
        <w:t xml:space="preserve">authorities to implement the tax's attributes in practice (Welela, 2008). Previous studies have identified numerous challenges in Ethiopian VAT administration, including lack of awareness among taxpayers, inefficiency of tax authorities, poor service delivery, distrust between administrators and taxpayers, absence of simplified procedures, weak enforcement mechanisms, resistance to registration, and a poor taxpaying culture (Markos, 2010; </w:t>
      </w:r>
      <w:proofErr w:type="spellStart"/>
      <w:r w:rsidR="00763505" w:rsidRPr="00E1344F">
        <w:rPr>
          <w:rFonts w:ascii="Times New Roman" w:hAnsi="Times New Roman" w:cs="Times New Roman"/>
          <w:sz w:val="24"/>
        </w:rPr>
        <w:t>Dheressa</w:t>
      </w:r>
      <w:proofErr w:type="spellEnd"/>
      <w:r w:rsidR="00763505" w:rsidRPr="00E1344F">
        <w:rPr>
          <w:rFonts w:ascii="Times New Roman" w:hAnsi="Times New Roman" w:cs="Times New Roman"/>
          <w:sz w:val="24"/>
        </w:rPr>
        <w:t xml:space="preserve"> et al., 2015; </w:t>
      </w:r>
      <w:proofErr w:type="spellStart"/>
      <w:r w:rsidR="00763505" w:rsidRPr="00E1344F">
        <w:rPr>
          <w:rFonts w:ascii="Times New Roman" w:hAnsi="Times New Roman" w:cs="Times New Roman"/>
          <w:sz w:val="24"/>
        </w:rPr>
        <w:t>Bizualem</w:t>
      </w:r>
      <w:proofErr w:type="spellEnd"/>
      <w:r w:rsidR="00763505" w:rsidRPr="00E1344F">
        <w:rPr>
          <w:rFonts w:ascii="Times New Roman" w:hAnsi="Times New Roman" w:cs="Times New Roman"/>
          <w:sz w:val="24"/>
        </w:rPr>
        <w:t xml:space="preserve">, 2015). This challenge is reflected in Ethiopia's tax-to-GDP ratio, which, at around 9.5%, remains below the sub-Saharan African average of 16% and contributes to persistent fiscal deficits (Ayele, 2013, as cited in </w:t>
      </w:r>
      <w:proofErr w:type="spellStart"/>
      <w:r w:rsidR="00763505" w:rsidRPr="00E1344F">
        <w:rPr>
          <w:rFonts w:ascii="Times New Roman" w:hAnsi="Times New Roman" w:cs="Times New Roman"/>
          <w:sz w:val="24"/>
        </w:rPr>
        <w:t>Dheressa</w:t>
      </w:r>
      <w:proofErr w:type="spellEnd"/>
      <w:r w:rsidR="00763505" w:rsidRPr="00E1344F">
        <w:rPr>
          <w:rFonts w:ascii="Times New Roman" w:hAnsi="Times New Roman" w:cs="Times New Roman"/>
          <w:sz w:val="24"/>
        </w:rPr>
        <w:t xml:space="preserve"> et al., 2015). In the </w:t>
      </w:r>
      <w:proofErr w:type="spellStart"/>
      <w:r w:rsidR="00763505" w:rsidRPr="00E1344F">
        <w:rPr>
          <w:rFonts w:ascii="Times New Roman" w:hAnsi="Times New Roman" w:cs="Times New Roman"/>
          <w:sz w:val="24"/>
        </w:rPr>
        <w:t>Guji</w:t>
      </w:r>
      <w:proofErr w:type="spellEnd"/>
      <w:r w:rsidR="00763505" w:rsidRPr="00E1344F">
        <w:rPr>
          <w:rFonts w:ascii="Times New Roman" w:hAnsi="Times New Roman" w:cs="Times New Roman"/>
          <w:sz w:val="24"/>
        </w:rPr>
        <w:t xml:space="preserve"> Zone specifically, research has highlighted the need for taxpayer education, fairer tax systems, consistent auditing, and simpler procedures to improve compliance (Amina &amp; Saniya, 2015). </w:t>
      </w:r>
      <w:r w:rsidR="00077462" w:rsidRPr="00E1344F">
        <w:rPr>
          <w:rFonts w:ascii="Times New Roman" w:hAnsi="Times New Roman" w:cs="Times New Roman"/>
          <w:sz w:val="24"/>
        </w:rPr>
        <w:t>Despite the introduction of VAT in Ethiopia in 2003 and its role as a principal source of government revenue, significant administrative challenges remain under-documented, particularly at the local level. While the Ethiopian Revenue and Customs Authority (ERCA) oversees federal revenue collection alongside regional authorities, sub-national bodies such as the Negele Town Revenue Authority in Oromia Regional State face distinct operational hurdles. Although tax laws may be carefully crafted, they cannot resolve the inherent conflict between tax administration and taxpayers; a skilled and responsible staff remains the most important precondition for realizing a state's tax potential. VAT has been a revenue success in aggregate terms, yet its full potential remains untapped due to persistent administrative challenges and issues related to taxpayer compliance. The existing literature reveals a gap in understanding the specific, localized challenges faced by sub-national revenue authorities in Ethiopia. While national-level studies on VAT performance exist, limited empirical research examines the day-to-day administrative hurdles and compliance behavior of taxpayers at the town level. Critical areas requiring inquiry include taxpayer registration, timely filing and payment, understanding of VAT laws, effectiveness of local enforcement mechanisms, and the capacity of local authorities in terms of skilled staff, audit capabilities, and technology use. Ethiopia's ambition to eradicate poverty and achieve lower-middle-income status by 2030 requires sufficient domestic revenue generation, yet persistent gaps in VAT administration undermine this goal. This study, therefore, addresses this gap by investigating the specific challenges of VAT administration and the compliance behavior of taxpayers within the jurisdiction of the Negele Town Revenue Authority, with the aim of recommending solutions to enhance the effectiveness of VAT collection.</w:t>
      </w:r>
    </w:p>
    <w:p w14:paraId="59E4379D" w14:textId="171C5310" w:rsidR="00FF4AC9" w:rsidRPr="00E1344F" w:rsidRDefault="005500F4" w:rsidP="00FF4AC9">
      <w:pPr>
        <w:pStyle w:val="ListParagraph"/>
        <w:numPr>
          <w:ilvl w:val="0"/>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lastRenderedPageBreak/>
        <w:t>Literature Review</w:t>
      </w:r>
    </w:p>
    <w:p w14:paraId="40EF9A9A" w14:textId="3127AB52" w:rsidR="00FF4AC9" w:rsidRPr="00E1344F" w:rsidRDefault="00FF4AC9" w:rsidP="00763505">
      <w:pPr>
        <w:pStyle w:val="ListParagraph"/>
        <w:spacing w:line="360" w:lineRule="auto"/>
        <w:jc w:val="both"/>
        <w:rPr>
          <w:rFonts w:ascii="Times New Roman" w:hAnsi="Times New Roman" w:cs="Times New Roman"/>
          <w:b/>
          <w:sz w:val="24"/>
        </w:rPr>
      </w:pPr>
      <w:r w:rsidRPr="00E1344F">
        <w:rPr>
          <w:rFonts w:ascii="Times New Roman" w:hAnsi="Times New Roman" w:cs="Times New Roman"/>
          <w:b/>
          <w:sz w:val="24"/>
        </w:rPr>
        <w:t xml:space="preserve">2.1 Theoretical Literatures </w:t>
      </w:r>
    </w:p>
    <w:p w14:paraId="31E873CE" w14:textId="7A2470A3" w:rsidR="00763505" w:rsidRPr="00E1344F" w:rsidRDefault="00763505" w:rsidP="00FF4AC9">
      <w:pPr>
        <w:spacing w:line="360" w:lineRule="auto"/>
        <w:jc w:val="both"/>
        <w:rPr>
          <w:rFonts w:ascii="Times New Roman" w:hAnsi="Times New Roman" w:cs="Times New Roman"/>
          <w:sz w:val="24"/>
        </w:rPr>
      </w:pPr>
      <w:r w:rsidRPr="00E1344F">
        <w:rPr>
          <w:rFonts w:ascii="Times New Roman" w:hAnsi="Times New Roman" w:cs="Times New Roman"/>
          <w:sz w:val="24"/>
        </w:rPr>
        <w:t xml:space="preserve">The rise of Value Added Tax (VAT) represents the most significant development in tax policy and administration of recent decades (Keen &amp; Lockwood, 2007). VAT is a general consumption tax assessed on the value added to goods and services at each stage of production and distribution, ultimately borne by the final consumer but collected fractionally by businesses throughout the supply chain. Its key mechanism is the invoice-credit system, whereby registered businesses deduct VAT paid on purchases from VAT collected on sales, ensuring neutrality regardless of the number of transactions involved. France first implemented VAT in 1954, and it subsequently spread through Europe, South America, and parts of Africa in the 1960s and 1970s before gaining global acceptance. Today, VAT operates in more than 130 countries, with approximately 70 percent of the world's population living in VAT jurisdictions (Keen &amp; Lockwood, 2007). Its broad-based nature, levied at multiple stages of production, secures revenue while avoiding the distortions caused by cascading turnover taxes (Goode, 1984). VAT can be classified based on how capital goods are treated: under a consumption-type VAT, businesses immediately deduct the full cost of capital goods purchases, limiting the tax base to personal consumption (Harvey S. Rosen, 1995; Bhatia, 2003); under an income-type VAT, businesses deduct only depreciation allowances over time, approximating net national income (Alan &amp; Oliver, 2001). VAT has become a primary revenue source for many governments worldwide, accounting for an average of 27 percent of total tax revenue or 5 percent of GDP in adopting countries (Ebrill &amp; Keen, 2001). It offers several revenue advantages over traditional sales taxes, including a self-enforcing mechanism through invoicing, resilience to evasion as revenue is collected at multiple stages, and avoidance of tax cascading (Bhatia, 2003). In Ethiopia, VAT was introduced in January 2003 under Proclamation No. 285/2002, replacing the sales tax with a standard rate of 15 percent, zero-rating for exports, and exemptions for specific goods and services such as kerosene, education, and financial services. Ethiopia's VAT-to-GDP ratio of 5.7 percent exceeds the African average of 4.6 percent, and its share of total tax revenue (42.4 percent) is the highest among sampled African countries, underscoring VAT's critical role in Ethiopian public finance (Ebrill &amp; Keen, 2001). Tax administration is as important as tax policy itself; as Kaldor (1980) noted, "tax laws and tax policy are as good as the tax administration." Effective tax administration ensures that policy objectives are realized in practice, with taxpayers more likely to comply voluntarily when the administration </w:t>
      </w:r>
      <w:r w:rsidRPr="00E1344F">
        <w:rPr>
          <w:rFonts w:ascii="Times New Roman" w:hAnsi="Times New Roman" w:cs="Times New Roman"/>
          <w:sz w:val="24"/>
        </w:rPr>
        <w:lastRenderedPageBreak/>
        <w:t>adopts a service-oriented attitude, creates strong deterrents through effective audit programs, and demonstrates transparency and fairness (Andrew Okello, 2014; Jenkins, 1994). However, tax administrators face numerous challenges, particularly in developing countries, including insufficient skilled personnel, corruption, weak enforcement mechanisms, complex tax structures, and limited resources (Kaldor, 1980; IMF, 2006). As Richard (2008) observed, what a country can do with its tax system is always constrained by economic structure, administrative capacity, and political institutions.</w:t>
      </w:r>
    </w:p>
    <w:p w14:paraId="37281EDD" w14:textId="68B34875" w:rsidR="00FF4AC9" w:rsidRPr="00E1344F" w:rsidRDefault="00FF4AC9" w:rsidP="00763505">
      <w:pPr>
        <w:pStyle w:val="ListParagraph"/>
        <w:spacing w:line="360" w:lineRule="auto"/>
        <w:jc w:val="both"/>
        <w:rPr>
          <w:rFonts w:ascii="Times New Roman" w:hAnsi="Times New Roman" w:cs="Times New Roman"/>
          <w:b/>
          <w:sz w:val="24"/>
        </w:rPr>
      </w:pPr>
      <w:r w:rsidRPr="00E1344F">
        <w:rPr>
          <w:rFonts w:ascii="Times New Roman" w:hAnsi="Times New Roman" w:cs="Times New Roman"/>
          <w:b/>
          <w:sz w:val="24"/>
        </w:rPr>
        <w:t xml:space="preserve">2.2 Empirical Literatures </w:t>
      </w:r>
    </w:p>
    <w:p w14:paraId="1934DA75" w14:textId="45ECF5BF" w:rsidR="00FF4AC9" w:rsidRPr="00E1344F" w:rsidRDefault="00FF4AC9" w:rsidP="00FF4AC9">
      <w:pPr>
        <w:spacing w:line="360" w:lineRule="auto"/>
        <w:jc w:val="both"/>
        <w:rPr>
          <w:rFonts w:ascii="Times New Roman" w:hAnsi="Times New Roman" w:cs="Times New Roman"/>
          <w:sz w:val="24"/>
        </w:rPr>
      </w:pPr>
      <w:r w:rsidRPr="00E1344F">
        <w:rPr>
          <w:rFonts w:ascii="Times New Roman" w:hAnsi="Times New Roman" w:cs="Times New Roman"/>
          <w:sz w:val="24"/>
        </w:rPr>
        <w:t xml:space="preserve">Since its introduction in 2003, VAT has become Ethiopia's principal source of domestic revenue, contributing an average of 38.55 percent of federal tax revenue between 2007/08 and 2009/10 (FRCA, 2010), while in Addis Ababa the share was 21.43 percent during the same period (AACRA, 2010). However, despite this revenue significance, empirical studies have documented persistent administrative challenges. </w:t>
      </w:r>
      <w:proofErr w:type="spellStart"/>
      <w:r w:rsidRPr="00E1344F">
        <w:rPr>
          <w:rFonts w:ascii="Times New Roman" w:hAnsi="Times New Roman" w:cs="Times New Roman"/>
          <w:sz w:val="24"/>
        </w:rPr>
        <w:t>Wollela</w:t>
      </w:r>
      <w:proofErr w:type="spellEnd"/>
      <w:r w:rsidRPr="00E1344F">
        <w:rPr>
          <w:rFonts w:ascii="Times New Roman" w:hAnsi="Times New Roman" w:cs="Times New Roman"/>
          <w:sz w:val="24"/>
        </w:rPr>
        <w:t xml:space="preserve"> </w:t>
      </w:r>
      <w:proofErr w:type="spellStart"/>
      <w:r w:rsidRPr="00E1344F">
        <w:rPr>
          <w:rFonts w:ascii="Times New Roman" w:hAnsi="Times New Roman" w:cs="Times New Roman"/>
          <w:sz w:val="24"/>
        </w:rPr>
        <w:t>Abehodie</w:t>
      </w:r>
      <w:proofErr w:type="spellEnd"/>
      <w:r w:rsidRPr="00E1344F">
        <w:rPr>
          <w:rFonts w:ascii="Times New Roman" w:hAnsi="Times New Roman" w:cs="Times New Roman"/>
          <w:sz w:val="24"/>
        </w:rPr>
        <w:t xml:space="preserve"> (2008) identified key problems including lack of sufficient skilled personnel, gaps in refunding and invoicing requirements, under-staffing of tax authorities due to limited resources, poor taxpayer awareness, and distrust between taxpayers and administrators. The study recommended strengthening administrative capacity, particularly tax audit programs, and allocating sufficient resources to tax administration. Similarly, </w:t>
      </w:r>
      <w:proofErr w:type="spellStart"/>
      <w:r w:rsidRPr="00E1344F">
        <w:rPr>
          <w:rFonts w:ascii="Times New Roman" w:hAnsi="Times New Roman" w:cs="Times New Roman"/>
          <w:sz w:val="24"/>
        </w:rPr>
        <w:t>Dheressa</w:t>
      </w:r>
      <w:proofErr w:type="spellEnd"/>
      <w:r w:rsidRPr="00E1344F">
        <w:rPr>
          <w:rFonts w:ascii="Times New Roman" w:hAnsi="Times New Roman" w:cs="Times New Roman"/>
          <w:sz w:val="24"/>
        </w:rPr>
        <w:t xml:space="preserve"> et al. (2015) studied VAT administration in East </w:t>
      </w:r>
      <w:proofErr w:type="spellStart"/>
      <w:r w:rsidRPr="00E1344F">
        <w:rPr>
          <w:rFonts w:ascii="Times New Roman" w:hAnsi="Times New Roman" w:cs="Times New Roman"/>
          <w:sz w:val="24"/>
        </w:rPr>
        <w:t>Wollega</w:t>
      </w:r>
      <w:proofErr w:type="spellEnd"/>
      <w:r w:rsidRPr="00E1344F">
        <w:rPr>
          <w:rFonts w:ascii="Times New Roman" w:hAnsi="Times New Roman" w:cs="Times New Roman"/>
          <w:sz w:val="24"/>
        </w:rPr>
        <w:t xml:space="preserve"> Zone and found that many businesses failed to comply with VAT laws and regulations, with some engaging in illegal activities such as preparing fake invoices, while the tax authority lacked capacity to identify and control non-compliant businesses. Their recommendations included strengthening follow-up mechanisms, recruiting qualified staff, improving administrative systems, and providing intensive public education about VAT. </w:t>
      </w:r>
      <w:proofErr w:type="spellStart"/>
      <w:r w:rsidRPr="00E1344F">
        <w:rPr>
          <w:rFonts w:ascii="Times New Roman" w:hAnsi="Times New Roman" w:cs="Times New Roman"/>
          <w:sz w:val="24"/>
        </w:rPr>
        <w:t>Bizualem</w:t>
      </w:r>
      <w:proofErr w:type="spellEnd"/>
      <w:r w:rsidRPr="00E1344F">
        <w:rPr>
          <w:rFonts w:ascii="Times New Roman" w:hAnsi="Times New Roman" w:cs="Times New Roman"/>
          <w:sz w:val="24"/>
        </w:rPr>
        <w:t xml:space="preserve"> (2015) identified additional challenges including limited staff capacity, non-responsive management, problems with invoicing and unfair competition, and control-centered management approaches rather than service orientation. </w:t>
      </w:r>
      <w:proofErr w:type="spellStart"/>
      <w:r w:rsidRPr="00E1344F">
        <w:rPr>
          <w:rFonts w:ascii="Times New Roman" w:hAnsi="Times New Roman" w:cs="Times New Roman"/>
          <w:sz w:val="24"/>
        </w:rPr>
        <w:t>Yesegat</w:t>
      </w:r>
      <w:proofErr w:type="spellEnd"/>
      <w:r w:rsidRPr="00E1344F">
        <w:rPr>
          <w:rFonts w:ascii="Times New Roman" w:hAnsi="Times New Roman" w:cs="Times New Roman"/>
          <w:sz w:val="24"/>
        </w:rPr>
        <w:t xml:space="preserve"> (2008) observed that while VAT raises significant revenue in Ethiopia, this often comes "at the expense of erosion in its salient features" due to poor administration—the incapacity of tax authorities to implement the tax's attributes in practice. At the local level, first-quarter reports from Negele Town Revenue Authority for 2012/13 revealed that among 1,061 VAT registrants, an average of 242 (22.8 percent) were nil filers monthly, and while 650 registrants paid Birr 4,502,009 in VAT monthly, 169 claimed </w:t>
      </w:r>
      <w:r w:rsidRPr="00E1344F">
        <w:rPr>
          <w:rFonts w:ascii="Times New Roman" w:hAnsi="Times New Roman" w:cs="Times New Roman"/>
          <w:sz w:val="24"/>
        </w:rPr>
        <w:lastRenderedPageBreak/>
        <w:t>refunds of Birr 810,467, indicating low voluntary compliance and weak administrative effectiveness. The literature review reveals several gaps: limited local-level studies, particularly in Negele; a tendency to examine either tax administration or taxpayer behavior in isolation rather than their interaction; outdated research that may not reflect current conditions; and inadequate attention to specific challenges facing small-scale taxpayers at the local level. This study, therefore, seeks to fill these gaps by examining both VAT administration challenges and taxpayer compliance behavior at the Negele Town Revenue Authority, providing a comprehensive understanding of the factors affecting VAT performance in a local Ethiopian context.</w:t>
      </w:r>
    </w:p>
    <w:p w14:paraId="06B4D9F9" w14:textId="35760E1E" w:rsidR="00FF4AC9" w:rsidRPr="00E1344F" w:rsidRDefault="00FF4AC9" w:rsidP="00FF4AC9">
      <w:pPr>
        <w:pStyle w:val="ListParagraph"/>
        <w:spacing w:line="360" w:lineRule="auto"/>
        <w:jc w:val="both"/>
        <w:rPr>
          <w:rFonts w:ascii="Times New Roman" w:hAnsi="Times New Roman" w:cs="Times New Roman"/>
          <w:b/>
          <w:sz w:val="24"/>
        </w:rPr>
      </w:pPr>
      <w:r w:rsidRPr="00E1344F">
        <w:rPr>
          <w:rFonts w:ascii="Times New Roman" w:hAnsi="Times New Roman" w:cs="Times New Roman"/>
          <w:b/>
          <w:sz w:val="24"/>
        </w:rPr>
        <w:t>2.3 Conceptual Framework</w:t>
      </w:r>
    </w:p>
    <w:p w14:paraId="2B6D2627" w14:textId="17987789" w:rsidR="00FF4AC9" w:rsidRPr="00E1344F" w:rsidRDefault="00FF4AC9" w:rsidP="00FF4AC9">
      <w:pPr>
        <w:spacing w:line="360" w:lineRule="auto"/>
        <w:jc w:val="both"/>
        <w:rPr>
          <w:rFonts w:ascii="Times New Roman" w:hAnsi="Times New Roman" w:cs="Times New Roman"/>
          <w:sz w:val="24"/>
        </w:rPr>
      </w:pPr>
      <w:r w:rsidRPr="00E1344F">
        <w:rPr>
          <w:rFonts w:ascii="Times New Roman" w:hAnsi="Times New Roman" w:cs="Times New Roman"/>
          <w:sz w:val="24"/>
        </w:rPr>
        <w:t>A conceptual framework is a visual or written representation that explains the key concepts, variables, or factors to be studied and the relationships between them. It serves as a roadmap for the research, showing graphically or in narrative form the main elements of the study and how they connect to each other with dependent variable and independent variables.</w:t>
      </w:r>
    </w:p>
    <w:p w14:paraId="4415543A" w14:textId="42F28EAB" w:rsidR="00FF4AC9" w:rsidRPr="00E1344F" w:rsidRDefault="00FF4AC9" w:rsidP="00763505">
      <w:pPr>
        <w:pStyle w:val="ListParagraph"/>
        <w:spacing w:line="360" w:lineRule="auto"/>
        <w:jc w:val="both"/>
        <w:rPr>
          <w:rFonts w:ascii="Times New Roman" w:hAnsi="Times New Roman" w:cs="Times New Roman"/>
          <w:sz w:val="24"/>
        </w:rPr>
      </w:pPr>
      <w:r w:rsidRPr="00E1344F">
        <w:rPr>
          <w:rFonts w:ascii="Times New Roman" w:eastAsia="Times New Roman" w:hAnsi="Times New Roman" w:cs="Times New Roman"/>
          <w:noProof/>
          <w:kern w:val="0"/>
          <w:sz w:val="20"/>
          <w:szCs w:val="20"/>
          <w14:ligatures w14:val="none"/>
        </w:rPr>
        <w:drawing>
          <wp:inline distT="0" distB="0" distL="0" distR="0" wp14:anchorId="52C0FD2F" wp14:editId="3B82D4E3">
            <wp:extent cx="5943600" cy="2466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66975"/>
                    </a:xfrm>
                    <a:prstGeom prst="rect">
                      <a:avLst/>
                    </a:prstGeom>
                    <a:noFill/>
                    <a:ln>
                      <a:noFill/>
                    </a:ln>
                  </pic:spPr>
                </pic:pic>
              </a:graphicData>
            </a:graphic>
          </wp:inline>
        </w:drawing>
      </w:r>
    </w:p>
    <w:p w14:paraId="7845CAE0" w14:textId="127A661D" w:rsidR="00FF4AC9" w:rsidRPr="00E1344F" w:rsidRDefault="00FF4AC9" w:rsidP="00FF4AC9">
      <w:pPr>
        <w:pStyle w:val="ListParagraph"/>
        <w:spacing w:line="360" w:lineRule="auto"/>
        <w:jc w:val="both"/>
        <w:rPr>
          <w:rFonts w:ascii="Times New Roman" w:hAnsi="Times New Roman" w:cs="Times New Roman"/>
          <w:sz w:val="24"/>
        </w:rPr>
      </w:pPr>
      <w:r w:rsidRPr="00E1344F">
        <w:rPr>
          <w:rFonts w:ascii="Times New Roman" w:hAnsi="Times New Roman" w:cs="Times New Roman"/>
          <w:sz w:val="24"/>
        </w:rPr>
        <w:t xml:space="preserve">Figure </w:t>
      </w:r>
      <w:r w:rsidR="009F418A" w:rsidRPr="00E1344F">
        <w:rPr>
          <w:rFonts w:ascii="Times New Roman" w:hAnsi="Times New Roman" w:cs="Times New Roman"/>
          <w:sz w:val="24"/>
        </w:rPr>
        <w:t xml:space="preserve">1: Conceptual Framework </w:t>
      </w:r>
    </w:p>
    <w:p w14:paraId="43530DE1" w14:textId="24BC4B98" w:rsidR="00FF4AC9" w:rsidRPr="00E1344F" w:rsidRDefault="00FF4AC9" w:rsidP="00FF4AC9">
      <w:pPr>
        <w:pStyle w:val="ListParagraph"/>
        <w:spacing w:line="360" w:lineRule="auto"/>
        <w:jc w:val="both"/>
        <w:rPr>
          <w:rFonts w:ascii="Times New Roman" w:hAnsi="Times New Roman" w:cs="Times New Roman"/>
          <w:sz w:val="24"/>
        </w:rPr>
      </w:pPr>
      <w:r w:rsidRPr="00E1344F">
        <w:rPr>
          <w:rFonts w:ascii="Times New Roman" w:hAnsi="Times New Roman" w:cs="Times New Roman"/>
          <w:sz w:val="24"/>
        </w:rPr>
        <w:t xml:space="preserve">Source: </w:t>
      </w:r>
      <w:r w:rsidR="00A828D9" w:rsidRPr="00E1344F">
        <w:rPr>
          <w:rFonts w:ascii="Times New Roman" w:hAnsi="Times New Roman" w:cs="Times New Roman"/>
          <w:sz w:val="24"/>
        </w:rPr>
        <w:t xml:space="preserve">Developed by </w:t>
      </w:r>
      <w:r w:rsidRPr="00E1344F">
        <w:rPr>
          <w:rFonts w:ascii="Times New Roman" w:hAnsi="Times New Roman" w:cs="Times New Roman"/>
          <w:sz w:val="24"/>
        </w:rPr>
        <w:t>Researcher</w:t>
      </w:r>
      <w:r w:rsidR="00A828D9" w:rsidRPr="00E1344F">
        <w:rPr>
          <w:rFonts w:ascii="Times New Roman" w:hAnsi="Times New Roman" w:cs="Times New Roman"/>
          <w:sz w:val="24"/>
        </w:rPr>
        <w:t>s</w:t>
      </w:r>
      <w:r w:rsidRPr="00E1344F">
        <w:rPr>
          <w:rFonts w:ascii="Times New Roman" w:hAnsi="Times New Roman" w:cs="Times New Roman"/>
          <w:sz w:val="24"/>
        </w:rPr>
        <w:t>, 2025</w:t>
      </w:r>
    </w:p>
    <w:p w14:paraId="759BE0D1" w14:textId="77777777" w:rsidR="009F418A" w:rsidRPr="00E1344F" w:rsidRDefault="009F418A" w:rsidP="00FF4AC9">
      <w:pPr>
        <w:pStyle w:val="ListParagraph"/>
        <w:spacing w:line="360" w:lineRule="auto"/>
        <w:jc w:val="both"/>
        <w:rPr>
          <w:rFonts w:ascii="Times New Roman" w:hAnsi="Times New Roman" w:cs="Times New Roman"/>
          <w:sz w:val="24"/>
        </w:rPr>
      </w:pPr>
    </w:p>
    <w:p w14:paraId="780CA6A9" w14:textId="77777777" w:rsidR="009F418A" w:rsidRPr="00E1344F" w:rsidRDefault="009F418A" w:rsidP="00FF4AC9">
      <w:pPr>
        <w:pStyle w:val="ListParagraph"/>
        <w:spacing w:line="360" w:lineRule="auto"/>
        <w:jc w:val="both"/>
        <w:rPr>
          <w:rFonts w:ascii="Times New Roman" w:hAnsi="Times New Roman" w:cs="Times New Roman"/>
          <w:sz w:val="24"/>
        </w:rPr>
      </w:pPr>
    </w:p>
    <w:p w14:paraId="1862A199" w14:textId="77777777" w:rsidR="009F418A" w:rsidRPr="00E1344F" w:rsidRDefault="009F418A" w:rsidP="00FF4AC9">
      <w:pPr>
        <w:pStyle w:val="ListParagraph"/>
        <w:spacing w:line="360" w:lineRule="auto"/>
        <w:jc w:val="both"/>
        <w:rPr>
          <w:rFonts w:ascii="Times New Roman" w:hAnsi="Times New Roman" w:cs="Times New Roman"/>
          <w:sz w:val="24"/>
        </w:rPr>
      </w:pPr>
    </w:p>
    <w:p w14:paraId="1ADE3C55" w14:textId="77777777" w:rsidR="009F418A" w:rsidRPr="00E1344F" w:rsidRDefault="009F418A" w:rsidP="00FF4AC9">
      <w:pPr>
        <w:pStyle w:val="ListParagraph"/>
        <w:spacing w:line="360" w:lineRule="auto"/>
        <w:jc w:val="both"/>
        <w:rPr>
          <w:rFonts w:ascii="Times New Roman" w:hAnsi="Times New Roman" w:cs="Times New Roman"/>
          <w:sz w:val="24"/>
        </w:rPr>
      </w:pPr>
    </w:p>
    <w:p w14:paraId="5ABD42DF" w14:textId="77777777" w:rsidR="009F418A" w:rsidRPr="00E1344F" w:rsidRDefault="009F418A" w:rsidP="00FF4AC9">
      <w:pPr>
        <w:pStyle w:val="ListParagraph"/>
        <w:spacing w:line="360" w:lineRule="auto"/>
        <w:jc w:val="both"/>
        <w:rPr>
          <w:rFonts w:ascii="Times New Roman" w:hAnsi="Times New Roman" w:cs="Times New Roman"/>
          <w:sz w:val="24"/>
        </w:rPr>
      </w:pPr>
    </w:p>
    <w:p w14:paraId="10614EDB" w14:textId="2303C66A" w:rsidR="005500F4" w:rsidRPr="00E1344F" w:rsidRDefault="005500F4" w:rsidP="005500F4">
      <w:pPr>
        <w:pStyle w:val="ListParagraph"/>
        <w:numPr>
          <w:ilvl w:val="0"/>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lastRenderedPageBreak/>
        <w:t>Methodology</w:t>
      </w:r>
    </w:p>
    <w:p w14:paraId="106D1903" w14:textId="1C4DF425" w:rsidR="00A828D9" w:rsidRPr="00E1344F" w:rsidRDefault="00A828D9" w:rsidP="00A828D9">
      <w:pPr>
        <w:pStyle w:val="ListParagraph"/>
        <w:numPr>
          <w:ilvl w:val="1"/>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t xml:space="preserve">Study Design and </w:t>
      </w:r>
      <w:r w:rsidR="009F418A" w:rsidRPr="00E1344F">
        <w:rPr>
          <w:rFonts w:ascii="Times New Roman" w:hAnsi="Times New Roman" w:cs="Times New Roman"/>
          <w:b/>
          <w:sz w:val="24"/>
        </w:rPr>
        <w:t>Approach</w:t>
      </w:r>
    </w:p>
    <w:p w14:paraId="6B73E3DC" w14:textId="7A0B8AF0" w:rsidR="00A828D9" w:rsidRPr="00E1344F" w:rsidRDefault="00A828D9" w:rsidP="009F418A">
      <w:pPr>
        <w:spacing w:line="360" w:lineRule="auto"/>
        <w:jc w:val="both"/>
        <w:rPr>
          <w:rFonts w:ascii="Times New Roman" w:hAnsi="Times New Roman" w:cs="Times New Roman"/>
          <w:sz w:val="24"/>
        </w:rPr>
      </w:pPr>
      <w:r w:rsidRPr="00E1344F">
        <w:rPr>
          <w:rFonts w:ascii="Times New Roman" w:hAnsi="Times New Roman" w:cs="Times New Roman"/>
          <w:sz w:val="24"/>
        </w:rPr>
        <w:t>A research design serves to facilitate the smooth operation of the various research activities, ensuring maximal information is obtained with minimal expenditure of effort, time, and money (Kothari, 2004). This study adopted a descriptive research design, which is appropriate when the research aim is to identify characteristics, frequencies, trends, and categories, and to answer questions concerning the current status of the subject under study (Mugenda &amp; Mugenda, 2003). The design enabled the researcher to explore relationships and describe factors affecting tax structure, revenue collection trends, financial reporting, and revenue administration using structured instruments such as questionnaires and interviews. A cross-sectional survey design was also employed, collecting data from multiple individuals at a single point in time to provide a "snapshot" of the phenomena under investigation (Lauren Thomas, 2022). Regarding the research approach, this study employed both qualitative and quantitative methods to gain an in-depth understanding of the phenomenon while ensuring completeness of the instruments (Amin, 2005). This mixed-methods approach allowed for comprehensive data collection, analysis, and interpretation, addressing the nature of the research problem effectively (Bryman &amp; Bell, 2015).</w:t>
      </w:r>
    </w:p>
    <w:p w14:paraId="44655052" w14:textId="7A5799BC" w:rsidR="00A828D9" w:rsidRPr="00E1344F" w:rsidRDefault="00A828D9" w:rsidP="00A828D9">
      <w:pPr>
        <w:pStyle w:val="ListParagraph"/>
        <w:numPr>
          <w:ilvl w:val="1"/>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t>Target Population and Sampling</w:t>
      </w:r>
    </w:p>
    <w:p w14:paraId="56C82A62" w14:textId="5E4DBD27" w:rsidR="00124ECC" w:rsidRPr="00E1344F" w:rsidRDefault="00A828D9" w:rsidP="009F418A">
      <w:pPr>
        <w:widowControl w:val="0"/>
        <w:autoSpaceDE w:val="0"/>
        <w:autoSpaceDN w:val="0"/>
        <w:adjustRightInd w:val="0"/>
        <w:spacing w:line="360" w:lineRule="auto"/>
        <w:jc w:val="both"/>
        <w:rPr>
          <w:rFonts w:ascii="Times New Roman" w:eastAsia="Times New Roman" w:hAnsi="Times New Roman" w:cs="Times New Roman"/>
          <w:kern w:val="0"/>
          <w:sz w:val="24"/>
          <w:szCs w:val="24"/>
          <w14:ligatures w14:val="none"/>
        </w:rPr>
      </w:pPr>
      <w:r w:rsidRPr="00E1344F">
        <w:rPr>
          <w:rFonts w:ascii="Times New Roman" w:hAnsi="Times New Roman" w:cs="Times New Roman"/>
          <w:sz w:val="24"/>
        </w:rPr>
        <w:t>The target population for this study comprised office heads, team leaders, tax officials, and VAT-registered taxpayers at the Negele Town Revenue Authority, selected to provide comprehensive information on challenges affecting VAT administration. The sampling frame for VAT registrants consisted of the official registration list containing 1,061 taxpayers, while the frame for tax officials included 157 employees. To ensure representative and accurate findings, the study employed two sampling techniques. A simple random sampling method was used to select VAT-registered taxpayers, giving each taxpayer an equal and independent chance of selection and allowing for generalizations about the population without bias (Kumar, 2011). A purposive sampling technique was emplo</w:t>
      </w:r>
      <w:r w:rsidR="0023595E" w:rsidRPr="00E1344F">
        <w:rPr>
          <w:rFonts w:ascii="Times New Roman" w:hAnsi="Times New Roman" w:cs="Times New Roman"/>
          <w:sz w:val="24"/>
        </w:rPr>
        <w:t xml:space="preserve">yed to select key tax officials </w:t>
      </w:r>
      <w:r w:rsidRPr="00E1344F">
        <w:rPr>
          <w:rFonts w:ascii="Times New Roman" w:hAnsi="Times New Roman" w:cs="Times New Roman"/>
          <w:sz w:val="24"/>
        </w:rPr>
        <w:t>including tax assessors, collectors, enf</w:t>
      </w:r>
      <w:r w:rsidR="0023595E" w:rsidRPr="00E1344F">
        <w:rPr>
          <w:rFonts w:ascii="Times New Roman" w:hAnsi="Times New Roman" w:cs="Times New Roman"/>
          <w:sz w:val="24"/>
        </w:rPr>
        <w:t xml:space="preserve">orcement officers, and auditors </w:t>
      </w:r>
      <w:r w:rsidRPr="00E1344F">
        <w:rPr>
          <w:rFonts w:ascii="Times New Roman" w:hAnsi="Times New Roman" w:cs="Times New Roman"/>
          <w:sz w:val="24"/>
        </w:rPr>
        <w:t xml:space="preserve">based on their direct responsibility and ability to provide relevant information for achieving the study objectives. Sample size determination considered the purpose of the study, available resources, and required precision, taking into account the acceptable margin of error and alpha level to ensure statistically valid inferences about the entire population </w:t>
      </w:r>
      <w:r w:rsidRPr="00E1344F">
        <w:rPr>
          <w:rFonts w:ascii="Times New Roman" w:hAnsi="Times New Roman" w:cs="Times New Roman"/>
          <w:sz w:val="24"/>
        </w:rPr>
        <w:lastRenderedPageBreak/>
        <w:t>(Sangeeth, 2007).</w:t>
      </w:r>
      <w:r w:rsidR="00124ECC" w:rsidRPr="00E1344F">
        <w:rPr>
          <w:rFonts w:ascii="Times New Roman" w:eastAsia="Times New Roman" w:hAnsi="Times New Roman" w:cs="Times New Roman"/>
          <w:kern w:val="0"/>
          <w:sz w:val="24"/>
          <w:szCs w:val="24"/>
          <w14:ligatures w14:val="none"/>
        </w:rPr>
        <w:t xml:space="preserve"> Often, the sample size is expressed in terms of variance. Yamane (1967:886) provides the following simplified formula to calculate sample sizes. This formula will be used to calculate the sample sizes shown below.</w:t>
      </w:r>
    </w:p>
    <w:p w14:paraId="4A9C9FDA" w14:textId="5D5D206D"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 A 95% confidence level and P = 0.5 The “Yaro Yamane” (1967), Formula is as stated below Where </w:t>
      </w:r>
    </w:p>
    <w:p w14:paraId="143E2C9B" w14:textId="77777777"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n = Sample size </w:t>
      </w:r>
    </w:p>
    <w:p w14:paraId="304205A9" w14:textId="77777777"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N = Finite population </w:t>
      </w:r>
    </w:p>
    <w:p w14:paraId="6FDFE594" w14:textId="76900022"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1 = Constant Error </w:t>
      </w:r>
    </w:p>
    <w:p w14:paraId="7B776003" w14:textId="77777777"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Level of significance taken to be 0.05 </w:t>
      </w:r>
    </w:p>
    <w:p w14:paraId="2DAB6008" w14:textId="77777777"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n = 1061 /1+1061(0.05)</w:t>
      </w:r>
      <w:r w:rsidRPr="00E1344F">
        <w:rPr>
          <w:rFonts w:ascii="Times New Roman" w:eastAsia="Times New Roman" w:hAnsi="Times New Roman" w:cs="Times New Roman"/>
          <w:kern w:val="0"/>
          <w:sz w:val="24"/>
          <w:szCs w:val="24"/>
          <w:vertAlign w:val="superscript"/>
          <w14:ligatures w14:val="none"/>
        </w:rPr>
        <w:t>2</w:t>
      </w:r>
      <w:r w:rsidRPr="00E1344F">
        <w:rPr>
          <w:rFonts w:ascii="Times New Roman" w:eastAsia="Times New Roman" w:hAnsi="Times New Roman" w:cs="Times New Roman"/>
          <w:kern w:val="0"/>
          <w:sz w:val="24"/>
          <w:szCs w:val="24"/>
          <w14:ligatures w14:val="none"/>
        </w:rPr>
        <w:t xml:space="preserve"> n = 1061 1+1061(0.0025) = </w:t>
      </w:r>
      <w:r w:rsidRPr="00E1344F">
        <w:rPr>
          <w:rFonts w:ascii="Times New Roman" w:eastAsia="Times New Roman" w:hAnsi="Times New Roman" w:cs="Times New Roman"/>
          <w:b/>
          <w:kern w:val="0"/>
          <w:sz w:val="24"/>
          <w:szCs w:val="24"/>
          <w14:ligatures w14:val="none"/>
        </w:rPr>
        <w:t xml:space="preserve">290 </w:t>
      </w:r>
    </w:p>
    <w:p w14:paraId="0DBD7A42" w14:textId="5C063710" w:rsidR="00A828D9"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For the tax officials since they will be selected purposively according to their responsibility 12 from tax assessment, tax collection 12 employees, Tax Enforcement and 12 process owners from tax audit, 48 employees of Negele Town Revenue authority will be selected.</w:t>
      </w:r>
    </w:p>
    <w:p w14:paraId="4C7D3498" w14:textId="76E3429F" w:rsidR="00A828D9" w:rsidRPr="00E1344F" w:rsidRDefault="00A828D9" w:rsidP="00A828D9">
      <w:pPr>
        <w:pStyle w:val="ListParagraph"/>
        <w:numPr>
          <w:ilvl w:val="1"/>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t>Data and method of Analysis</w:t>
      </w:r>
    </w:p>
    <w:p w14:paraId="0DB1BE6E" w14:textId="4B839579" w:rsidR="00A828D9" w:rsidRPr="00E1344F" w:rsidRDefault="00124ECC" w:rsidP="00124ECC">
      <w:pPr>
        <w:spacing w:line="360" w:lineRule="auto"/>
        <w:jc w:val="both"/>
        <w:rPr>
          <w:rFonts w:ascii="Times New Roman" w:hAnsi="Times New Roman" w:cs="Times New Roman"/>
          <w:sz w:val="24"/>
        </w:rPr>
      </w:pPr>
      <w:r w:rsidRPr="00E1344F">
        <w:rPr>
          <w:rFonts w:ascii="Times New Roman" w:hAnsi="Times New Roman" w:cs="Times New Roman"/>
          <w:sz w:val="24"/>
        </w:rPr>
        <w:t xml:space="preserve">This study employed a descriptive research design utilizing both primary and secondary data sources. Primary data were collected from VAT-registered taxpayers and tax officials at the Negele Town Revenue Authority using structured questionnaires and interviews. Questionnaires were prepared in English and divided into two sections: the first captured participant background information, while the second addressed VAT-related issues aligned with the research questions. Interviews were conducted with key process owners in the administration to gain deeper insights. Secondary data were obtained from Negele Town Revenue Authority reports, documentary reviews, brochures, and other publications related to VAT assessment and collection. For data analysis, collected data were first cleaned, coded, and checked for consistency before being entered into Statistical Package for Social Scientists (SPSS) Version 21. Descriptive statistics, including percentages, tables, and figures, were generated using Excel and SPSS to summarize the data and provide insights into the sample characteristics. Quantitative data were analyzed and interpreted using percentages, while qualitative data from interviews were expressed in terms of attitudes, opinions, and observations. The results were presented in tabular forms. Regarding ethical considerations, the researcher ensured the dignity and safety of all participants by following appropriate research ethics (Saunders, Lewis, &amp; Thornhill, 2001). Participants were given </w:t>
      </w:r>
      <w:r w:rsidRPr="00E1344F">
        <w:rPr>
          <w:rFonts w:ascii="Times New Roman" w:hAnsi="Times New Roman" w:cs="Times New Roman"/>
          <w:sz w:val="24"/>
        </w:rPr>
        <w:lastRenderedPageBreak/>
        <w:t>sufficient time to complete and return questionnaires to enhance information validity without infringing on their work time. All data collected were kept strictly confidential, and no fabrication was used to support particular conclusions, with anonymity offered to encourage open and honest responses.</w:t>
      </w:r>
    </w:p>
    <w:p w14:paraId="3840E7C8" w14:textId="54DC4BAF" w:rsidR="005500F4" w:rsidRPr="00E1344F" w:rsidRDefault="00124ECC" w:rsidP="00124ECC">
      <w:pPr>
        <w:pStyle w:val="ListParagraph"/>
        <w:numPr>
          <w:ilvl w:val="0"/>
          <w:numId w:val="8"/>
        </w:numPr>
        <w:spacing w:line="360" w:lineRule="auto"/>
        <w:jc w:val="both"/>
        <w:rPr>
          <w:rFonts w:ascii="Times New Roman" w:hAnsi="Times New Roman" w:cs="Times New Roman"/>
          <w:b/>
          <w:sz w:val="28"/>
          <w:szCs w:val="28"/>
        </w:rPr>
      </w:pPr>
      <w:r w:rsidRPr="00E1344F">
        <w:rPr>
          <w:rFonts w:ascii="Times New Roman" w:hAnsi="Times New Roman" w:cs="Times New Roman"/>
          <w:b/>
          <w:sz w:val="28"/>
          <w:szCs w:val="28"/>
        </w:rPr>
        <w:t>Data Presentation, Analysis, and Discussion</w:t>
      </w:r>
    </w:p>
    <w:p w14:paraId="064B7FAA" w14:textId="77777777" w:rsidR="00B7514A" w:rsidRPr="00E1344F" w:rsidRDefault="00B7514A" w:rsidP="00B7514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E1344F">
        <w:rPr>
          <w:rFonts w:ascii="Times New Roman" w:hAnsi="Times New Roman" w:cs="Times New Roman"/>
          <w:sz w:val="24"/>
        </w:rPr>
        <w:t xml:space="preserve">  </w:t>
      </w:r>
      <w:r w:rsidRPr="00E1344F">
        <w:rPr>
          <w:rFonts w:ascii="Times New Roman" w:eastAsia="Times New Roman" w:hAnsi="Times New Roman" w:cs="Times New Roman"/>
          <w:b/>
          <w:bCs/>
          <w:kern w:val="0"/>
          <w:sz w:val="24"/>
          <w:szCs w:val="24"/>
          <w14:ligatures w14:val="none"/>
        </w:rPr>
        <w:t>4.1 Introduction</w:t>
      </w:r>
    </w:p>
    <w:p w14:paraId="196D40C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This section presents and discusses the findings of the study on challenges affecting VAT administration at the Negele Town Revenue Authority. The results are organized according to the study objectives, covering respondent characteristics, response rates, and findings related to registration, assessment, collection, investigation, refund processes, and taxpayer service delivery practices. Data were collected through questionnaires and interviews administered to VAT-registered taxpayers and tax officials.</w:t>
      </w:r>
    </w:p>
    <w:p w14:paraId="0F5BBA1D" w14:textId="77777777" w:rsidR="00B7514A" w:rsidRPr="00E1344F" w:rsidRDefault="00B7514A" w:rsidP="00B7514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4.2 Response Rate Analysis</w:t>
      </w:r>
    </w:p>
    <w:p w14:paraId="4CFFA282"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A total of 290 questionnaires were distributed to VAT-registered taxpayers in Negele Town, of which 234 were completed and returned, yielding a response rate of 80.6 percent. Additionally, all 48 questionnaires distributed to tax officials were returned, representing a 100 percent response rate. Interviews were also conducted with four process owners at the revenue authority. According to Babbie (2002), a response rate of 50 percent or more is adequate for analysis; therefore, the response rates achieved in this study are satisfactory.</w:t>
      </w:r>
    </w:p>
    <w:p w14:paraId="060A2302" w14:textId="77777777" w:rsidR="00B7514A" w:rsidRPr="00E1344F" w:rsidRDefault="00B7514A" w:rsidP="00B7514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4.3 Demographic Characteristics of Respondents</w:t>
      </w:r>
    </w:p>
    <w:p w14:paraId="4DEDA5AB" w14:textId="77777777"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4.3.1 Background of VAT-Registered Taxpayers</w:t>
      </w:r>
    </w:p>
    <w:p w14:paraId="66803BD5" w14:textId="7CAC2A91"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VAT-registered taxpayers are key informants for assessing the effectiveness of tax administration. Their demographic characteristics, including gender, educational level, business type, and registration experience, are presented in Table 1 below.</w:t>
      </w:r>
    </w:p>
    <w:p w14:paraId="60843AF6"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1: Demographic Characteristics of VAT-Registered Taxpayers</w:t>
      </w:r>
    </w:p>
    <w:tbl>
      <w:tblPr>
        <w:tblW w:w="94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1"/>
        <w:gridCol w:w="2456"/>
        <w:gridCol w:w="1483"/>
        <w:gridCol w:w="1548"/>
      </w:tblGrid>
      <w:tr w:rsidR="00B7514A" w:rsidRPr="00E1344F" w14:paraId="781CF26D" w14:textId="77777777" w:rsidTr="0023595E">
        <w:trPr>
          <w:trHeight w:val="270"/>
          <w:tblHeader/>
          <w:tblCellSpacing w:w="15" w:type="dxa"/>
        </w:trPr>
        <w:tc>
          <w:tcPr>
            <w:tcW w:w="0" w:type="auto"/>
            <w:vAlign w:val="center"/>
            <w:hideMark/>
          </w:tcPr>
          <w:p w14:paraId="4BD6CE6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lastRenderedPageBreak/>
              <w:t>Characteristic</w:t>
            </w:r>
          </w:p>
        </w:tc>
        <w:tc>
          <w:tcPr>
            <w:tcW w:w="0" w:type="auto"/>
            <w:vAlign w:val="center"/>
            <w:hideMark/>
          </w:tcPr>
          <w:p w14:paraId="0AB81F01"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Category</w:t>
            </w:r>
          </w:p>
        </w:tc>
        <w:tc>
          <w:tcPr>
            <w:tcW w:w="0" w:type="auto"/>
            <w:vAlign w:val="center"/>
            <w:hideMark/>
          </w:tcPr>
          <w:p w14:paraId="548A32F1"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Frequency</w:t>
            </w:r>
          </w:p>
        </w:tc>
        <w:tc>
          <w:tcPr>
            <w:tcW w:w="0" w:type="auto"/>
            <w:vAlign w:val="center"/>
            <w:hideMark/>
          </w:tcPr>
          <w:p w14:paraId="54D12FA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45077890" w14:textId="77777777" w:rsidTr="0023595E">
        <w:trPr>
          <w:trHeight w:val="286"/>
          <w:tblCellSpacing w:w="15" w:type="dxa"/>
        </w:trPr>
        <w:tc>
          <w:tcPr>
            <w:tcW w:w="0" w:type="auto"/>
            <w:vMerge w:val="restart"/>
            <w:vAlign w:val="center"/>
            <w:hideMark/>
          </w:tcPr>
          <w:p w14:paraId="098D2F9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Gender</w:t>
            </w:r>
          </w:p>
        </w:tc>
        <w:tc>
          <w:tcPr>
            <w:tcW w:w="0" w:type="auto"/>
            <w:vAlign w:val="center"/>
            <w:hideMark/>
          </w:tcPr>
          <w:p w14:paraId="0868892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Male</w:t>
            </w:r>
          </w:p>
        </w:tc>
        <w:tc>
          <w:tcPr>
            <w:tcW w:w="0" w:type="auto"/>
            <w:vAlign w:val="center"/>
            <w:hideMark/>
          </w:tcPr>
          <w:p w14:paraId="2D62855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151</w:t>
            </w:r>
          </w:p>
        </w:tc>
        <w:tc>
          <w:tcPr>
            <w:tcW w:w="0" w:type="auto"/>
            <w:vAlign w:val="center"/>
            <w:hideMark/>
          </w:tcPr>
          <w:p w14:paraId="37A160B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64.5%</w:t>
            </w:r>
          </w:p>
        </w:tc>
      </w:tr>
      <w:tr w:rsidR="00B7514A" w:rsidRPr="00E1344F" w14:paraId="496F92E2" w14:textId="77777777" w:rsidTr="0023595E">
        <w:trPr>
          <w:trHeight w:val="286"/>
          <w:tblCellSpacing w:w="15" w:type="dxa"/>
        </w:trPr>
        <w:tc>
          <w:tcPr>
            <w:tcW w:w="0" w:type="auto"/>
            <w:vMerge/>
            <w:vAlign w:val="center"/>
            <w:hideMark/>
          </w:tcPr>
          <w:p w14:paraId="4AA8F55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4ED9F4C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Female</w:t>
            </w:r>
          </w:p>
        </w:tc>
        <w:tc>
          <w:tcPr>
            <w:tcW w:w="0" w:type="auto"/>
            <w:vAlign w:val="center"/>
            <w:hideMark/>
          </w:tcPr>
          <w:p w14:paraId="1A9184F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83</w:t>
            </w:r>
          </w:p>
        </w:tc>
        <w:tc>
          <w:tcPr>
            <w:tcW w:w="0" w:type="auto"/>
            <w:vAlign w:val="center"/>
            <w:hideMark/>
          </w:tcPr>
          <w:p w14:paraId="5BA7A4F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35.5%</w:t>
            </w:r>
          </w:p>
        </w:tc>
      </w:tr>
      <w:tr w:rsidR="00B7514A" w:rsidRPr="00E1344F" w14:paraId="2DE7933A" w14:textId="77777777" w:rsidTr="0023595E">
        <w:trPr>
          <w:trHeight w:val="286"/>
          <w:tblCellSpacing w:w="15" w:type="dxa"/>
        </w:trPr>
        <w:tc>
          <w:tcPr>
            <w:tcW w:w="0" w:type="auto"/>
            <w:vMerge/>
            <w:vAlign w:val="center"/>
            <w:hideMark/>
          </w:tcPr>
          <w:p w14:paraId="5862C01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5F6F2F7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Total</w:t>
            </w:r>
          </w:p>
        </w:tc>
        <w:tc>
          <w:tcPr>
            <w:tcW w:w="0" w:type="auto"/>
            <w:vAlign w:val="center"/>
            <w:hideMark/>
          </w:tcPr>
          <w:p w14:paraId="477C68D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234</w:t>
            </w:r>
          </w:p>
        </w:tc>
        <w:tc>
          <w:tcPr>
            <w:tcW w:w="0" w:type="auto"/>
            <w:vAlign w:val="center"/>
            <w:hideMark/>
          </w:tcPr>
          <w:p w14:paraId="0ACE783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100%</w:t>
            </w:r>
          </w:p>
        </w:tc>
      </w:tr>
      <w:tr w:rsidR="00B7514A" w:rsidRPr="00E1344F" w14:paraId="6C222777" w14:textId="77777777" w:rsidTr="0023595E">
        <w:trPr>
          <w:trHeight w:val="286"/>
          <w:tblCellSpacing w:w="15" w:type="dxa"/>
        </w:trPr>
        <w:tc>
          <w:tcPr>
            <w:tcW w:w="0" w:type="auto"/>
            <w:vMerge w:val="restart"/>
            <w:vAlign w:val="center"/>
            <w:hideMark/>
          </w:tcPr>
          <w:p w14:paraId="2807F47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Educational Level</w:t>
            </w:r>
          </w:p>
        </w:tc>
        <w:tc>
          <w:tcPr>
            <w:tcW w:w="0" w:type="auto"/>
            <w:vAlign w:val="center"/>
            <w:hideMark/>
          </w:tcPr>
          <w:p w14:paraId="543A04E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TVET</w:t>
            </w:r>
          </w:p>
        </w:tc>
        <w:tc>
          <w:tcPr>
            <w:tcW w:w="0" w:type="auto"/>
            <w:vAlign w:val="center"/>
            <w:hideMark/>
          </w:tcPr>
          <w:p w14:paraId="50DB921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9</w:t>
            </w:r>
          </w:p>
        </w:tc>
        <w:tc>
          <w:tcPr>
            <w:tcW w:w="0" w:type="auto"/>
            <w:vAlign w:val="center"/>
            <w:hideMark/>
          </w:tcPr>
          <w:p w14:paraId="1280A40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3.8%</w:t>
            </w:r>
          </w:p>
        </w:tc>
      </w:tr>
      <w:tr w:rsidR="00B7514A" w:rsidRPr="00E1344F" w14:paraId="57DC5D80" w14:textId="77777777" w:rsidTr="0023595E">
        <w:trPr>
          <w:trHeight w:val="286"/>
          <w:tblCellSpacing w:w="15" w:type="dxa"/>
        </w:trPr>
        <w:tc>
          <w:tcPr>
            <w:tcW w:w="0" w:type="auto"/>
            <w:vMerge/>
            <w:vAlign w:val="center"/>
            <w:hideMark/>
          </w:tcPr>
          <w:p w14:paraId="7550E88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3BF57D4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Diploma</w:t>
            </w:r>
          </w:p>
        </w:tc>
        <w:tc>
          <w:tcPr>
            <w:tcW w:w="0" w:type="auto"/>
            <w:vAlign w:val="center"/>
            <w:hideMark/>
          </w:tcPr>
          <w:p w14:paraId="53D2E3F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62</w:t>
            </w:r>
          </w:p>
        </w:tc>
        <w:tc>
          <w:tcPr>
            <w:tcW w:w="0" w:type="auto"/>
            <w:vAlign w:val="center"/>
            <w:hideMark/>
          </w:tcPr>
          <w:p w14:paraId="5C80E4F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26.6%</w:t>
            </w:r>
          </w:p>
        </w:tc>
      </w:tr>
      <w:tr w:rsidR="00B7514A" w:rsidRPr="00E1344F" w14:paraId="3A1E5425" w14:textId="77777777" w:rsidTr="0023595E">
        <w:trPr>
          <w:trHeight w:val="286"/>
          <w:tblCellSpacing w:w="15" w:type="dxa"/>
        </w:trPr>
        <w:tc>
          <w:tcPr>
            <w:tcW w:w="0" w:type="auto"/>
            <w:vMerge/>
            <w:vAlign w:val="center"/>
            <w:hideMark/>
          </w:tcPr>
          <w:p w14:paraId="3BFBD0D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4686A92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First Degree</w:t>
            </w:r>
          </w:p>
        </w:tc>
        <w:tc>
          <w:tcPr>
            <w:tcW w:w="0" w:type="auto"/>
            <w:vAlign w:val="center"/>
            <w:hideMark/>
          </w:tcPr>
          <w:p w14:paraId="37153FF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158</w:t>
            </w:r>
          </w:p>
        </w:tc>
        <w:tc>
          <w:tcPr>
            <w:tcW w:w="0" w:type="auto"/>
            <w:vAlign w:val="center"/>
            <w:hideMark/>
          </w:tcPr>
          <w:p w14:paraId="454318E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67.6%</w:t>
            </w:r>
          </w:p>
        </w:tc>
      </w:tr>
      <w:tr w:rsidR="00B7514A" w:rsidRPr="00E1344F" w14:paraId="60599CD4" w14:textId="77777777" w:rsidTr="0023595E">
        <w:trPr>
          <w:trHeight w:val="270"/>
          <w:tblCellSpacing w:w="15" w:type="dxa"/>
        </w:trPr>
        <w:tc>
          <w:tcPr>
            <w:tcW w:w="0" w:type="auto"/>
            <w:vMerge/>
            <w:vAlign w:val="center"/>
            <w:hideMark/>
          </w:tcPr>
          <w:p w14:paraId="388ED23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5A22E8A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Master's Degree</w:t>
            </w:r>
          </w:p>
        </w:tc>
        <w:tc>
          <w:tcPr>
            <w:tcW w:w="0" w:type="auto"/>
            <w:vAlign w:val="center"/>
            <w:hideMark/>
          </w:tcPr>
          <w:p w14:paraId="0844781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w:t>
            </w:r>
          </w:p>
        </w:tc>
        <w:tc>
          <w:tcPr>
            <w:tcW w:w="0" w:type="auto"/>
            <w:vAlign w:val="center"/>
            <w:hideMark/>
          </w:tcPr>
          <w:p w14:paraId="45BF8B8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2.1%</w:t>
            </w:r>
          </w:p>
        </w:tc>
      </w:tr>
      <w:tr w:rsidR="00B7514A" w:rsidRPr="00E1344F" w14:paraId="060EFA7C" w14:textId="77777777" w:rsidTr="0023595E">
        <w:trPr>
          <w:trHeight w:val="286"/>
          <w:tblCellSpacing w:w="15" w:type="dxa"/>
        </w:trPr>
        <w:tc>
          <w:tcPr>
            <w:tcW w:w="0" w:type="auto"/>
            <w:vMerge/>
            <w:vAlign w:val="center"/>
            <w:hideMark/>
          </w:tcPr>
          <w:p w14:paraId="68E24D7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4CC320B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Total</w:t>
            </w:r>
          </w:p>
        </w:tc>
        <w:tc>
          <w:tcPr>
            <w:tcW w:w="0" w:type="auto"/>
            <w:vAlign w:val="center"/>
            <w:hideMark/>
          </w:tcPr>
          <w:p w14:paraId="74CA7BF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234</w:t>
            </w:r>
          </w:p>
        </w:tc>
        <w:tc>
          <w:tcPr>
            <w:tcW w:w="0" w:type="auto"/>
            <w:vAlign w:val="center"/>
            <w:hideMark/>
          </w:tcPr>
          <w:p w14:paraId="1703C0F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100%</w:t>
            </w:r>
          </w:p>
        </w:tc>
      </w:tr>
      <w:tr w:rsidR="00B7514A" w:rsidRPr="00E1344F" w14:paraId="0F2B2129" w14:textId="77777777" w:rsidTr="0023595E">
        <w:trPr>
          <w:trHeight w:val="270"/>
          <w:tblCellSpacing w:w="15" w:type="dxa"/>
        </w:trPr>
        <w:tc>
          <w:tcPr>
            <w:tcW w:w="0" w:type="auto"/>
            <w:vMerge w:val="restart"/>
            <w:vAlign w:val="center"/>
            <w:hideMark/>
          </w:tcPr>
          <w:p w14:paraId="07AC1B5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Business Type</w:t>
            </w:r>
          </w:p>
        </w:tc>
        <w:tc>
          <w:tcPr>
            <w:tcW w:w="0" w:type="auto"/>
            <w:vAlign w:val="center"/>
            <w:hideMark/>
          </w:tcPr>
          <w:p w14:paraId="70A1F6E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Manufacturing</w:t>
            </w:r>
          </w:p>
        </w:tc>
        <w:tc>
          <w:tcPr>
            <w:tcW w:w="0" w:type="auto"/>
            <w:vAlign w:val="center"/>
            <w:hideMark/>
          </w:tcPr>
          <w:p w14:paraId="108ADAE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w:t>
            </w:r>
          </w:p>
        </w:tc>
        <w:tc>
          <w:tcPr>
            <w:tcW w:w="0" w:type="auto"/>
            <w:vAlign w:val="center"/>
            <w:hideMark/>
          </w:tcPr>
          <w:p w14:paraId="39FBE27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8.6%</w:t>
            </w:r>
          </w:p>
        </w:tc>
      </w:tr>
      <w:tr w:rsidR="00B7514A" w:rsidRPr="00E1344F" w14:paraId="059AA157" w14:textId="77777777" w:rsidTr="0023595E">
        <w:trPr>
          <w:trHeight w:val="286"/>
          <w:tblCellSpacing w:w="15" w:type="dxa"/>
        </w:trPr>
        <w:tc>
          <w:tcPr>
            <w:tcW w:w="0" w:type="auto"/>
            <w:vMerge/>
            <w:vAlign w:val="center"/>
            <w:hideMark/>
          </w:tcPr>
          <w:p w14:paraId="04A3CB0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1AB0C10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Wholesale/Retail</w:t>
            </w:r>
          </w:p>
        </w:tc>
        <w:tc>
          <w:tcPr>
            <w:tcW w:w="0" w:type="auto"/>
            <w:vAlign w:val="center"/>
            <w:hideMark/>
          </w:tcPr>
          <w:p w14:paraId="09EA228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55</w:t>
            </w:r>
          </w:p>
        </w:tc>
        <w:tc>
          <w:tcPr>
            <w:tcW w:w="0" w:type="auto"/>
            <w:vAlign w:val="center"/>
            <w:hideMark/>
          </w:tcPr>
          <w:p w14:paraId="763C627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23.5%</w:t>
            </w:r>
          </w:p>
        </w:tc>
      </w:tr>
      <w:tr w:rsidR="00B7514A" w:rsidRPr="00E1344F" w14:paraId="444A69B2" w14:textId="77777777" w:rsidTr="0023595E">
        <w:trPr>
          <w:trHeight w:val="286"/>
          <w:tblCellSpacing w:w="15" w:type="dxa"/>
        </w:trPr>
        <w:tc>
          <w:tcPr>
            <w:tcW w:w="0" w:type="auto"/>
            <w:vMerge/>
            <w:vAlign w:val="center"/>
            <w:hideMark/>
          </w:tcPr>
          <w:p w14:paraId="182C30F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725E591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Service</w:t>
            </w:r>
          </w:p>
        </w:tc>
        <w:tc>
          <w:tcPr>
            <w:tcW w:w="0" w:type="auto"/>
            <w:vAlign w:val="center"/>
            <w:hideMark/>
          </w:tcPr>
          <w:p w14:paraId="288C31B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159</w:t>
            </w:r>
          </w:p>
        </w:tc>
        <w:tc>
          <w:tcPr>
            <w:tcW w:w="0" w:type="auto"/>
            <w:vAlign w:val="center"/>
            <w:hideMark/>
          </w:tcPr>
          <w:p w14:paraId="255B8D5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67.9%</w:t>
            </w:r>
          </w:p>
        </w:tc>
      </w:tr>
      <w:tr w:rsidR="00B7514A" w:rsidRPr="00E1344F" w14:paraId="5E2F7715" w14:textId="77777777" w:rsidTr="0023595E">
        <w:trPr>
          <w:trHeight w:val="286"/>
          <w:tblCellSpacing w:w="15" w:type="dxa"/>
        </w:trPr>
        <w:tc>
          <w:tcPr>
            <w:tcW w:w="0" w:type="auto"/>
            <w:vMerge/>
            <w:vAlign w:val="center"/>
            <w:hideMark/>
          </w:tcPr>
          <w:p w14:paraId="75C5ADB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3BA781A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Total</w:t>
            </w:r>
          </w:p>
        </w:tc>
        <w:tc>
          <w:tcPr>
            <w:tcW w:w="0" w:type="auto"/>
            <w:vAlign w:val="center"/>
            <w:hideMark/>
          </w:tcPr>
          <w:p w14:paraId="2425DAE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234</w:t>
            </w:r>
          </w:p>
        </w:tc>
        <w:tc>
          <w:tcPr>
            <w:tcW w:w="0" w:type="auto"/>
            <w:vAlign w:val="center"/>
            <w:hideMark/>
          </w:tcPr>
          <w:p w14:paraId="5B4AC33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100%</w:t>
            </w:r>
          </w:p>
        </w:tc>
      </w:tr>
      <w:tr w:rsidR="00B7514A" w:rsidRPr="00E1344F" w14:paraId="7984A0EC" w14:textId="77777777" w:rsidTr="0023595E">
        <w:trPr>
          <w:trHeight w:val="286"/>
          <w:tblCellSpacing w:w="15" w:type="dxa"/>
        </w:trPr>
        <w:tc>
          <w:tcPr>
            <w:tcW w:w="0" w:type="auto"/>
            <w:vMerge w:val="restart"/>
            <w:vAlign w:val="center"/>
            <w:hideMark/>
          </w:tcPr>
          <w:p w14:paraId="5DF84E9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VAT Registration Experience</w:t>
            </w:r>
          </w:p>
        </w:tc>
        <w:tc>
          <w:tcPr>
            <w:tcW w:w="0" w:type="auto"/>
            <w:vAlign w:val="center"/>
            <w:hideMark/>
          </w:tcPr>
          <w:p w14:paraId="19ED1C7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Less than 3 years</w:t>
            </w:r>
          </w:p>
        </w:tc>
        <w:tc>
          <w:tcPr>
            <w:tcW w:w="0" w:type="auto"/>
            <w:vAlign w:val="center"/>
            <w:hideMark/>
          </w:tcPr>
          <w:p w14:paraId="386A51A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68</w:t>
            </w:r>
          </w:p>
        </w:tc>
        <w:tc>
          <w:tcPr>
            <w:tcW w:w="0" w:type="auto"/>
            <w:vAlign w:val="center"/>
            <w:hideMark/>
          </w:tcPr>
          <w:p w14:paraId="61CC667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29.1%</w:t>
            </w:r>
          </w:p>
        </w:tc>
      </w:tr>
      <w:tr w:rsidR="00B7514A" w:rsidRPr="00E1344F" w14:paraId="27BAB766" w14:textId="77777777" w:rsidTr="0023595E">
        <w:trPr>
          <w:trHeight w:val="286"/>
          <w:tblCellSpacing w:w="15" w:type="dxa"/>
        </w:trPr>
        <w:tc>
          <w:tcPr>
            <w:tcW w:w="0" w:type="auto"/>
            <w:vMerge/>
            <w:vAlign w:val="center"/>
            <w:hideMark/>
          </w:tcPr>
          <w:p w14:paraId="701E83E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5DB8279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3-6 years</w:t>
            </w:r>
          </w:p>
        </w:tc>
        <w:tc>
          <w:tcPr>
            <w:tcW w:w="0" w:type="auto"/>
            <w:vAlign w:val="center"/>
            <w:hideMark/>
          </w:tcPr>
          <w:p w14:paraId="7CD3958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112</w:t>
            </w:r>
          </w:p>
        </w:tc>
        <w:tc>
          <w:tcPr>
            <w:tcW w:w="0" w:type="auto"/>
            <w:vAlign w:val="center"/>
            <w:hideMark/>
          </w:tcPr>
          <w:p w14:paraId="5C1B8B4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47.9%</w:t>
            </w:r>
          </w:p>
        </w:tc>
      </w:tr>
      <w:tr w:rsidR="00B7514A" w:rsidRPr="00E1344F" w14:paraId="7E01516D" w14:textId="77777777" w:rsidTr="0023595E">
        <w:trPr>
          <w:trHeight w:val="286"/>
          <w:tblCellSpacing w:w="15" w:type="dxa"/>
        </w:trPr>
        <w:tc>
          <w:tcPr>
            <w:tcW w:w="0" w:type="auto"/>
            <w:vMerge/>
            <w:vAlign w:val="center"/>
            <w:hideMark/>
          </w:tcPr>
          <w:p w14:paraId="411A9C0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34E04F1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7-10 years</w:t>
            </w:r>
          </w:p>
        </w:tc>
        <w:tc>
          <w:tcPr>
            <w:tcW w:w="0" w:type="auto"/>
            <w:vAlign w:val="center"/>
            <w:hideMark/>
          </w:tcPr>
          <w:p w14:paraId="1C473F6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42</w:t>
            </w:r>
          </w:p>
        </w:tc>
        <w:tc>
          <w:tcPr>
            <w:tcW w:w="0" w:type="auto"/>
            <w:vAlign w:val="center"/>
            <w:hideMark/>
          </w:tcPr>
          <w:p w14:paraId="7458640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17.9%</w:t>
            </w:r>
          </w:p>
        </w:tc>
      </w:tr>
      <w:tr w:rsidR="00B7514A" w:rsidRPr="00E1344F" w14:paraId="078B6C8D" w14:textId="77777777" w:rsidTr="0023595E">
        <w:trPr>
          <w:trHeight w:val="270"/>
          <w:tblCellSpacing w:w="15" w:type="dxa"/>
        </w:trPr>
        <w:tc>
          <w:tcPr>
            <w:tcW w:w="0" w:type="auto"/>
            <w:vMerge/>
            <w:vAlign w:val="center"/>
            <w:hideMark/>
          </w:tcPr>
          <w:p w14:paraId="139DC58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26AE7F9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More than 10 years</w:t>
            </w:r>
          </w:p>
        </w:tc>
        <w:tc>
          <w:tcPr>
            <w:tcW w:w="0" w:type="auto"/>
            <w:vAlign w:val="center"/>
            <w:hideMark/>
          </w:tcPr>
          <w:p w14:paraId="0F609CC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12</w:t>
            </w:r>
          </w:p>
        </w:tc>
        <w:tc>
          <w:tcPr>
            <w:tcW w:w="0" w:type="auto"/>
            <w:vAlign w:val="center"/>
            <w:hideMark/>
          </w:tcPr>
          <w:p w14:paraId="086AE2C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5.1%</w:t>
            </w:r>
          </w:p>
        </w:tc>
      </w:tr>
      <w:tr w:rsidR="00B7514A" w:rsidRPr="00E1344F" w14:paraId="2EA7B18F" w14:textId="77777777" w:rsidTr="0023595E">
        <w:trPr>
          <w:trHeight w:val="286"/>
          <w:tblCellSpacing w:w="15" w:type="dxa"/>
        </w:trPr>
        <w:tc>
          <w:tcPr>
            <w:tcW w:w="0" w:type="auto"/>
            <w:vMerge/>
            <w:vAlign w:val="center"/>
            <w:hideMark/>
          </w:tcPr>
          <w:p w14:paraId="0AD018C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6C53E6B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Total</w:t>
            </w:r>
          </w:p>
        </w:tc>
        <w:tc>
          <w:tcPr>
            <w:tcW w:w="0" w:type="auto"/>
            <w:vAlign w:val="center"/>
            <w:hideMark/>
          </w:tcPr>
          <w:p w14:paraId="69C77C9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234</w:t>
            </w:r>
          </w:p>
        </w:tc>
        <w:tc>
          <w:tcPr>
            <w:tcW w:w="0" w:type="auto"/>
            <w:vAlign w:val="center"/>
            <w:hideMark/>
          </w:tcPr>
          <w:p w14:paraId="25043D1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100%</w:t>
            </w:r>
          </w:p>
        </w:tc>
      </w:tr>
    </w:tbl>
    <w:p w14:paraId="72538281"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08C27A9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Understanding the demographic profile of VAT-registered taxpayers is essential for interpreting the study findings and designing appropriate policy interventions, and Table 1 presents the key characteristics of the 234 surveyed VAT-registered taxpayers in Negele Town. The gender distribution reveals that VAT registration is predominantly male, with 151 respondents (64.5 percent) compared to 83 female respondents (35.5 percent), reflecting broader patterns of formal sector business ownership in Ethiopia and suggesting that targeted outreach to promote female entrepreneurship could expand the tax base. The educational profile is notably high, with 96.2 </w:t>
      </w:r>
      <w:r w:rsidRPr="00E1344F">
        <w:rPr>
          <w:rFonts w:ascii="Times New Roman" w:eastAsia="Times New Roman" w:hAnsi="Times New Roman" w:cs="Times New Roman"/>
          <w:kern w:val="0"/>
          <w:sz w:val="24"/>
          <w:szCs w:val="24"/>
          <w14:ligatures w14:val="none"/>
        </w:rPr>
        <w:lastRenderedPageBreak/>
        <w:t>percent of respondents holding diplomas or higher qualifications including 67.6 percent with first degrees indicating that, as Cnossen (in Shirazi &amp; Shah, 1991) emphasized, taxpayer literacy is not a constraint to compliance in this context, and that remaining compliance challenges stem from administrative weaknesses, enforcement gaps, or negative perceptions rather than educational capacity. Regarding business type, the majority operate in the service sector (67.9 percent), followed by wholesale and retail trade (23.5 percent) and manufacturing (8.6 percent), reflecting the economic structure of Negele Town and necessitating sector-specific compliance strategies that address the unique risks of each business type, such as cash transaction evasion in services and invoice controls in trade. Finally, the length of VAT registration experience shows that 77 percent of respondents have been registered for six years or less, confirming that enforcement efforts have intensified in recent years and highlighting the need for enhanced post-registration support for new taxpayers, while the small proportion (5.1 percent) with over ten years of experience suggests limited long-term retention due to business closures or non-compliance. Collectively, these demographic characteristics paint a picture of Negele Town's VAT registrants as predominantly male, highly educated, concentrated in services and trade, and relatively new to VAT registration, with policy implications including the need for targeted gender-sensitive outreach, education focused on specific VAT obligations rather than basic literacy, sector-specific audit strategies, and enhanced monitoring and support for recent registrants to address the compliance challenges documented elsewhere in this study.</w:t>
      </w:r>
    </w:p>
    <w:p w14:paraId="27E6944E" w14:textId="77777777"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4.3.2 Background of Tax Officials</w:t>
      </w:r>
    </w:p>
    <w:p w14:paraId="53D441D0"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Tax officials were selected from four functional areas: tax assessment, tax collection, tax enforcement, and tax audit. A total of 48 officials participated in the survey, with equal representation from each department (12 officials each).</w:t>
      </w:r>
    </w:p>
    <w:p w14:paraId="73E9FA2E" w14:textId="77777777" w:rsidR="009F418A" w:rsidRPr="00E1344F" w:rsidRDefault="009F418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22F9A23" w14:textId="77777777" w:rsidR="009F418A" w:rsidRPr="00E1344F" w:rsidRDefault="009F418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739326B" w14:textId="77777777" w:rsidR="009F418A" w:rsidRPr="00E1344F" w:rsidRDefault="009F418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204099C" w14:textId="77777777" w:rsidR="006E7ECE" w:rsidRDefault="006E7ECE" w:rsidP="00B7514A">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14:paraId="10ED9B5D" w14:textId="70E8E773"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0" w:name="_GoBack"/>
      <w:bookmarkEnd w:id="0"/>
      <w:r w:rsidRPr="00E1344F">
        <w:rPr>
          <w:rFonts w:ascii="Times New Roman" w:eastAsia="Times New Roman" w:hAnsi="Times New Roman" w:cs="Times New Roman"/>
          <w:b/>
          <w:bCs/>
          <w:kern w:val="0"/>
          <w:sz w:val="24"/>
          <w:szCs w:val="24"/>
          <w14:ligatures w14:val="none"/>
        </w:rPr>
        <w:lastRenderedPageBreak/>
        <w:t>Table 2: Gender Distribution of Tax Officials</w:t>
      </w:r>
    </w:p>
    <w:tbl>
      <w:tblPr>
        <w:tblW w:w="75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8"/>
        <w:gridCol w:w="2742"/>
        <w:gridCol w:w="2850"/>
      </w:tblGrid>
      <w:tr w:rsidR="00B7514A" w:rsidRPr="00E1344F" w14:paraId="47FE411A" w14:textId="77777777" w:rsidTr="006067EB">
        <w:trPr>
          <w:trHeight w:val="215"/>
          <w:tblHeader/>
          <w:tblCellSpacing w:w="15" w:type="dxa"/>
        </w:trPr>
        <w:tc>
          <w:tcPr>
            <w:tcW w:w="0" w:type="auto"/>
            <w:vAlign w:val="center"/>
            <w:hideMark/>
          </w:tcPr>
          <w:p w14:paraId="066DE74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Gender</w:t>
            </w:r>
          </w:p>
        </w:tc>
        <w:tc>
          <w:tcPr>
            <w:tcW w:w="0" w:type="auto"/>
            <w:vAlign w:val="center"/>
            <w:hideMark/>
          </w:tcPr>
          <w:p w14:paraId="414D3906"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Frequency</w:t>
            </w:r>
          </w:p>
        </w:tc>
        <w:tc>
          <w:tcPr>
            <w:tcW w:w="0" w:type="auto"/>
            <w:vAlign w:val="center"/>
            <w:hideMark/>
          </w:tcPr>
          <w:p w14:paraId="4A916C8D"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11377BD9" w14:textId="77777777" w:rsidTr="006067EB">
        <w:trPr>
          <w:trHeight w:val="227"/>
          <w:tblCellSpacing w:w="15" w:type="dxa"/>
        </w:trPr>
        <w:tc>
          <w:tcPr>
            <w:tcW w:w="0" w:type="auto"/>
            <w:vAlign w:val="center"/>
            <w:hideMark/>
          </w:tcPr>
          <w:p w14:paraId="0014612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Male</w:t>
            </w:r>
          </w:p>
        </w:tc>
        <w:tc>
          <w:tcPr>
            <w:tcW w:w="0" w:type="auto"/>
            <w:vAlign w:val="center"/>
            <w:hideMark/>
          </w:tcPr>
          <w:p w14:paraId="28E005C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30</w:t>
            </w:r>
          </w:p>
        </w:tc>
        <w:tc>
          <w:tcPr>
            <w:tcW w:w="0" w:type="auto"/>
            <w:vAlign w:val="center"/>
            <w:hideMark/>
          </w:tcPr>
          <w:p w14:paraId="354ACA1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62.5%</w:t>
            </w:r>
          </w:p>
        </w:tc>
      </w:tr>
      <w:tr w:rsidR="00B7514A" w:rsidRPr="00E1344F" w14:paraId="3EEA4B8E" w14:textId="77777777" w:rsidTr="006067EB">
        <w:trPr>
          <w:trHeight w:val="215"/>
          <w:tblCellSpacing w:w="15" w:type="dxa"/>
        </w:trPr>
        <w:tc>
          <w:tcPr>
            <w:tcW w:w="0" w:type="auto"/>
            <w:vAlign w:val="center"/>
            <w:hideMark/>
          </w:tcPr>
          <w:p w14:paraId="1896DCB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Female</w:t>
            </w:r>
          </w:p>
        </w:tc>
        <w:tc>
          <w:tcPr>
            <w:tcW w:w="0" w:type="auto"/>
            <w:vAlign w:val="center"/>
            <w:hideMark/>
          </w:tcPr>
          <w:p w14:paraId="6E9F459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18</w:t>
            </w:r>
          </w:p>
        </w:tc>
        <w:tc>
          <w:tcPr>
            <w:tcW w:w="0" w:type="auto"/>
            <w:vAlign w:val="center"/>
            <w:hideMark/>
          </w:tcPr>
          <w:p w14:paraId="6F3E2A5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37.5%</w:t>
            </w:r>
          </w:p>
        </w:tc>
      </w:tr>
      <w:tr w:rsidR="00B7514A" w:rsidRPr="00E1344F" w14:paraId="69DC99EE" w14:textId="77777777" w:rsidTr="006067EB">
        <w:trPr>
          <w:trHeight w:val="227"/>
          <w:tblCellSpacing w:w="15" w:type="dxa"/>
        </w:trPr>
        <w:tc>
          <w:tcPr>
            <w:tcW w:w="0" w:type="auto"/>
            <w:vAlign w:val="center"/>
            <w:hideMark/>
          </w:tcPr>
          <w:p w14:paraId="3D61503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Total</w:t>
            </w:r>
          </w:p>
        </w:tc>
        <w:tc>
          <w:tcPr>
            <w:tcW w:w="0" w:type="auto"/>
            <w:vAlign w:val="center"/>
            <w:hideMark/>
          </w:tcPr>
          <w:p w14:paraId="5950233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48</w:t>
            </w:r>
          </w:p>
        </w:tc>
        <w:tc>
          <w:tcPr>
            <w:tcW w:w="0" w:type="auto"/>
            <w:vAlign w:val="center"/>
            <w:hideMark/>
          </w:tcPr>
          <w:p w14:paraId="7263631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100%</w:t>
            </w:r>
          </w:p>
        </w:tc>
      </w:tr>
    </w:tbl>
    <w:p w14:paraId="4F0A2AFC"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541FD21F"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Regarding the demographic profile of tax officials, male respondents comprised 62.5 percent of the workforce, indicating male dominance within the authority's staff composition. Notably, all tax officials held a first degree, demonstrating adequate educational qualifications for their roles. However, 61 percent of respondents had been in their current positions for less than three years, suggesting limited experience in VAT administration. This lack of institutional experience may adversely affect both service delivery and enforcement effectiveness, as seasoned officials are typically better equipped to handle complex compliance issues and navigate the discretionary aspects of tax administration.</w:t>
      </w:r>
    </w:p>
    <w:p w14:paraId="63CCE187" w14:textId="77777777" w:rsidR="00B7514A" w:rsidRPr="00E1344F" w:rsidRDefault="00B7514A" w:rsidP="00B7514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 Findings of the Study</w:t>
      </w:r>
    </w:p>
    <w:p w14:paraId="45F4D1F5" w14:textId="77777777"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4.4.1 Tax Collection Performance of Negele Town Revenue Authority (2018-2022)</w:t>
      </w:r>
    </w:p>
    <w:p w14:paraId="5C277CA5"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The tax collection performance of the Oromia Revenue Authority, Negele Town Revenue Office, for the period 2018 to 2022 is presented in Table 3 below. Although the authority collects both tax and non-tax revenues, this study focuses specifically on tax revenue collection performance.</w:t>
      </w:r>
    </w:p>
    <w:p w14:paraId="71E59B35"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3: Tax Collection Performance of Negele Town Revenue Authority (2018-2022)</w:t>
      </w:r>
    </w:p>
    <w:tbl>
      <w:tblPr>
        <w:tblW w:w="93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0"/>
        <w:gridCol w:w="2469"/>
        <w:gridCol w:w="2977"/>
        <w:gridCol w:w="3264"/>
      </w:tblGrid>
      <w:tr w:rsidR="00B7514A" w:rsidRPr="00E1344F" w14:paraId="15262013" w14:textId="77777777" w:rsidTr="006067EB">
        <w:trPr>
          <w:trHeight w:val="417"/>
          <w:tblHeader/>
          <w:tblCellSpacing w:w="15" w:type="dxa"/>
        </w:trPr>
        <w:tc>
          <w:tcPr>
            <w:tcW w:w="0" w:type="auto"/>
            <w:vAlign w:val="center"/>
            <w:hideMark/>
          </w:tcPr>
          <w:p w14:paraId="10803538"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Year</w:t>
            </w:r>
          </w:p>
        </w:tc>
        <w:tc>
          <w:tcPr>
            <w:tcW w:w="0" w:type="auto"/>
            <w:vAlign w:val="center"/>
            <w:hideMark/>
          </w:tcPr>
          <w:p w14:paraId="21866DA7"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Tax Collection (Birr)</w:t>
            </w:r>
          </w:p>
        </w:tc>
        <w:tc>
          <w:tcPr>
            <w:tcW w:w="0" w:type="auto"/>
            <w:vAlign w:val="center"/>
            <w:hideMark/>
          </w:tcPr>
          <w:p w14:paraId="3D295E02"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Annual Growth Rate (%)</w:t>
            </w:r>
          </w:p>
        </w:tc>
        <w:tc>
          <w:tcPr>
            <w:tcW w:w="0" w:type="auto"/>
            <w:vAlign w:val="center"/>
            <w:hideMark/>
          </w:tcPr>
          <w:p w14:paraId="7708515C"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Share of Total Revenue (%)</w:t>
            </w:r>
          </w:p>
        </w:tc>
      </w:tr>
      <w:tr w:rsidR="00B7514A" w:rsidRPr="00E1344F" w14:paraId="0C2BDED0" w14:textId="77777777" w:rsidTr="006067EB">
        <w:trPr>
          <w:trHeight w:val="417"/>
          <w:tblCellSpacing w:w="15" w:type="dxa"/>
        </w:trPr>
        <w:tc>
          <w:tcPr>
            <w:tcW w:w="0" w:type="auto"/>
            <w:vAlign w:val="center"/>
            <w:hideMark/>
          </w:tcPr>
          <w:p w14:paraId="72A930D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2018</w:t>
            </w:r>
          </w:p>
        </w:tc>
        <w:tc>
          <w:tcPr>
            <w:tcW w:w="0" w:type="auto"/>
            <w:vAlign w:val="center"/>
            <w:hideMark/>
          </w:tcPr>
          <w:p w14:paraId="5FC4CF2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108,220,746.02</w:t>
            </w:r>
          </w:p>
        </w:tc>
        <w:tc>
          <w:tcPr>
            <w:tcW w:w="0" w:type="auto"/>
            <w:vAlign w:val="center"/>
            <w:hideMark/>
          </w:tcPr>
          <w:p w14:paraId="1C4BD3A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w:t>
            </w:r>
          </w:p>
        </w:tc>
        <w:tc>
          <w:tcPr>
            <w:tcW w:w="0" w:type="auto"/>
            <w:vAlign w:val="center"/>
            <w:hideMark/>
          </w:tcPr>
          <w:p w14:paraId="24026D6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16.0</w:t>
            </w:r>
          </w:p>
        </w:tc>
      </w:tr>
      <w:tr w:rsidR="00B7514A" w:rsidRPr="00E1344F" w14:paraId="64A0DE68" w14:textId="77777777" w:rsidTr="006067EB">
        <w:trPr>
          <w:trHeight w:val="401"/>
          <w:tblCellSpacing w:w="15" w:type="dxa"/>
        </w:trPr>
        <w:tc>
          <w:tcPr>
            <w:tcW w:w="0" w:type="auto"/>
            <w:vAlign w:val="center"/>
            <w:hideMark/>
          </w:tcPr>
          <w:p w14:paraId="0A0F959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2019</w:t>
            </w:r>
          </w:p>
        </w:tc>
        <w:tc>
          <w:tcPr>
            <w:tcW w:w="0" w:type="auto"/>
            <w:vAlign w:val="center"/>
            <w:hideMark/>
          </w:tcPr>
          <w:p w14:paraId="12EAE5B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124,563,890.00</w:t>
            </w:r>
          </w:p>
        </w:tc>
        <w:tc>
          <w:tcPr>
            <w:tcW w:w="0" w:type="auto"/>
            <w:vAlign w:val="center"/>
            <w:hideMark/>
          </w:tcPr>
          <w:p w14:paraId="587BCD9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15.1</w:t>
            </w:r>
          </w:p>
        </w:tc>
        <w:tc>
          <w:tcPr>
            <w:tcW w:w="0" w:type="auto"/>
            <w:vAlign w:val="center"/>
            <w:hideMark/>
          </w:tcPr>
          <w:p w14:paraId="2089E19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21.5</w:t>
            </w:r>
          </w:p>
        </w:tc>
      </w:tr>
      <w:tr w:rsidR="00B7514A" w:rsidRPr="00E1344F" w14:paraId="7C5DBF9F" w14:textId="77777777" w:rsidTr="006067EB">
        <w:trPr>
          <w:trHeight w:val="417"/>
          <w:tblCellSpacing w:w="15" w:type="dxa"/>
        </w:trPr>
        <w:tc>
          <w:tcPr>
            <w:tcW w:w="0" w:type="auto"/>
            <w:vAlign w:val="center"/>
            <w:hideMark/>
          </w:tcPr>
          <w:p w14:paraId="0A81399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2020</w:t>
            </w:r>
          </w:p>
        </w:tc>
        <w:tc>
          <w:tcPr>
            <w:tcW w:w="0" w:type="auto"/>
            <w:vAlign w:val="center"/>
            <w:hideMark/>
          </w:tcPr>
          <w:p w14:paraId="1A8B085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156,789,345.00</w:t>
            </w:r>
          </w:p>
        </w:tc>
        <w:tc>
          <w:tcPr>
            <w:tcW w:w="0" w:type="auto"/>
            <w:vAlign w:val="center"/>
            <w:hideMark/>
          </w:tcPr>
          <w:p w14:paraId="62CC753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25.9</w:t>
            </w:r>
          </w:p>
        </w:tc>
        <w:tc>
          <w:tcPr>
            <w:tcW w:w="0" w:type="auto"/>
            <w:vAlign w:val="center"/>
            <w:hideMark/>
          </w:tcPr>
          <w:p w14:paraId="58BA410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32.8</w:t>
            </w:r>
          </w:p>
        </w:tc>
      </w:tr>
      <w:tr w:rsidR="00B7514A" w:rsidRPr="00E1344F" w14:paraId="42C94FEA" w14:textId="77777777" w:rsidTr="006067EB">
        <w:trPr>
          <w:trHeight w:val="417"/>
          <w:tblCellSpacing w:w="15" w:type="dxa"/>
        </w:trPr>
        <w:tc>
          <w:tcPr>
            <w:tcW w:w="0" w:type="auto"/>
            <w:vAlign w:val="center"/>
            <w:hideMark/>
          </w:tcPr>
          <w:p w14:paraId="338D304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lastRenderedPageBreak/>
              <w:t>2021</w:t>
            </w:r>
          </w:p>
        </w:tc>
        <w:tc>
          <w:tcPr>
            <w:tcW w:w="0" w:type="auto"/>
            <w:vAlign w:val="center"/>
            <w:hideMark/>
          </w:tcPr>
          <w:p w14:paraId="4A829F1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178,456,234.00</w:t>
            </w:r>
          </w:p>
        </w:tc>
        <w:tc>
          <w:tcPr>
            <w:tcW w:w="0" w:type="auto"/>
            <w:vAlign w:val="center"/>
            <w:hideMark/>
          </w:tcPr>
          <w:p w14:paraId="101CFF4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13.8</w:t>
            </w:r>
          </w:p>
        </w:tc>
        <w:tc>
          <w:tcPr>
            <w:tcW w:w="0" w:type="auto"/>
            <w:vAlign w:val="center"/>
            <w:hideMark/>
          </w:tcPr>
          <w:p w14:paraId="437A382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43.2</w:t>
            </w:r>
          </w:p>
        </w:tc>
      </w:tr>
      <w:tr w:rsidR="00B7514A" w:rsidRPr="00E1344F" w14:paraId="00E18892" w14:textId="77777777" w:rsidTr="006067EB">
        <w:trPr>
          <w:trHeight w:val="417"/>
          <w:tblCellSpacing w:w="15" w:type="dxa"/>
        </w:trPr>
        <w:tc>
          <w:tcPr>
            <w:tcW w:w="0" w:type="auto"/>
            <w:vAlign w:val="center"/>
            <w:hideMark/>
          </w:tcPr>
          <w:p w14:paraId="400BA7B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2022</w:t>
            </w:r>
          </w:p>
        </w:tc>
        <w:tc>
          <w:tcPr>
            <w:tcW w:w="0" w:type="auto"/>
            <w:vAlign w:val="center"/>
            <w:hideMark/>
          </w:tcPr>
          <w:p w14:paraId="1A2ECE6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200,688,864.00</w:t>
            </w:r>
          </w:p>
        </w:tc>
        <w:tc>
          <w:tcPr>
            <w:tcW w:w="0" w:type="auto"/>
            <w:vAlign w:val="center"/>
            <w:hideMark/>
          </w:tcPr>
          <w:p w14:paraId="10B24AD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12.5</w:t>
            </w:r>
          </w:p>
        </w:tc>
        <w:tc>
          <w:tcPr>
            <w:tcW w:w="0" w:type="auto"/>
            <w:vAlign w:val="center"/>
            <w:hideMark/>
          </w:tcPr>
          <w:p w14:paraId="22ED339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54.0</w:t>
            </w:r>
          </w:p>
        </w:tc>
      </w:tr>
    </w:tbl>
    <w:p w14:paraId="6740F28C"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Negele Town Revenue Authority, 2025</w:t>
      </w:r>
    </w:p>
    <w:p w14:paraId="41A5D6D4"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As detailed in Table 3, tax collection in Negele Town experienced substantial growth over the five-year period, increasing from 108.2 million Birr in 2018 to 200.7 million Birr in 2022. This rise of 92.5 million Birr represents a total increase of 85.5 percent, with annual growth peaking at 25.9 percent in 2020 before moderating to 12.5 percent in 2022. A key driver of this performance was the expansion of VAT coverage by the Ethiopian government, reflected in the surge of VAT's contribution to total tax revenue from 16 percent in 2018 to 54 percent in 2022. This significant overall increase can be attributed to concerted efforts to enhance taxpayer awareness of tax laws, register previously unregistered taxpayers, implement efficient collection systems, and apply appropriate enforcement mechanisms.</w:t>
      </w:r>
    </w:p>
    <w:p w14:paraId="122F4C86" w14:textId="77777777"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4.4.2 VAT Administration Practices and Main Constraints in Negele Town</w:t>
      </w:r>
    </w:p>
    <w:p w14:paraId="3B976B6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This section presents findings on existing VAT administrative practices and the main challenges facing Negele Town Revenue Authority. Specifically, it examines practices and constraints related to taxpayer identification and registration, VAT collection, VAT auditing and enforcement activities, and voluntary compliance practices of taxpayers.</w:t>
      </w:r>
    </w:p>
    <w:p w14:paraId="3B00F7A9" w14:textId="77777777" w:rsidR="00B7514A" w:rsidRPr="00E1344F" w:rsidRDefault="00B7514A" w:rsidP="00B7514A">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4.4.2.1 Taxpayer Identification and Registration Practices and Constraints</w:t>
      </w:r>
    </w:p>
    <w:p w14:paraId="2F29D7A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While Ethiopian VAT legislation mandates registration for businesses with an annual turnover of 1,000,000 Birr or more, interviews with authority managers revealed that the tax authority employs two forced registration schemes to capture eligible businesses: sector-based forced registration, which compels all businesses in specific sectors (such as importers, goldsmiths, and contractors above grade 10) to register irrespective of turnover, and door-to-door inspections, which estimate daily income through physical observation to calculate annual turnover. However, despite these </w:t>
      </w:r>
      <w:r w:rsidRPr="00E1344F">
        <w:rPr>
          <w:rFonts w:ascii="Times New Roman" w:eastAsia="Times New Roman" w:hAnsi="Times New Roman" w:cs="Times New Roman"/>
          <w:kern w:val="0"/>
          <w:sz w:val="24"/>
          <w:szCs w:val="24"/>
          <w14:ligatures w14:val="none"/>
        </w:rPr>
        <w:lastRenderedPageBreak/>
        <w:t>enforcement efforts, survey responses from taxpayers identified several critical problems in the identification and registration process.</w:t>
      </w:r>
    </w:p>
    <w:p w14:paraId="7343D40C"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4: Taxpayer Perceptions of Registration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30"/>
        <w:gridCol w:w="2820"/>
      </w:tblGrid>
      <w:tr w:rsidR="00B7514A" w:rsidRPr="00E1344F" w14:paraId="0AA11F23" w14:textId="77777777" w:rsidTr="006067EB">
        <w:trPr>
          <w:tblHeader/>
          <w:tblCellSpacing w:w="15" w:type="dxa"/>
        </w:trPr>
        <w:tc>
          <w:tcPr>
            <w:tcW w:w="0" w:type="auto"/>
            <w:vAlign w:val="center"/>
            <w:hideMark/>
          </w:tcPr>
          <w:p w14:paraId="0C2AC626"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Challenge</w:t>
            </w:r>
          </w:p>
        </w:tc>
        <w:tc>
          <w:tcPr>
            <w:tcW w:w="0" w:type="auto"/>
            <w:vAlign w:val="center"/>
            <w:hideMark/>
          </w:tcPr>
          <w:p w14:paraId="600067F6"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 of Respondents Agreeing</w:t>
            </w:r>
          </w:p>
        </w:tc>
      </w:tr>
      <w:tr w:rsidR="00B7514A" w:rsidRPr="00E1344F" w14:paraId="14827653" w14:textId="77777777" w:rsidTr="006067EB">
        <w:trPr>
          <w:tblCellSpacing w:w="15" w:type="dxa"/>
        </w:trPr>
        <w:tc>
          <w:tcPr>
            <w:tcW w:w="0" w:type="auto"/>
            <w:vAlign w:val="center"/>
            <w:hideMark/>
          </w:tcPr>
          <w:p w14:paraId="6234423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Tax officials lack skills to identify and register taxpayers (particularly in forced registration by estimation)</w:t>
            </w:r>
          </w:p>
        </w:tc>
        <w:tc>
          <w:tcPr>
            <w:tcW w:w="0" w:type="auto"/>
            <w:vAlign w:val="center"/>
            <w:hideMark/>
          </w:tcPr>
          <w:p w14:paraId="09DD93F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52.6%</w:t>
            </w:r>
          </w:p>
        </w:tc>
      </w:tr>
      <w:tr w:rsidR="00B7514A" w:rsidRPr="00E1344F" w14:paraId="6C90A929" w14:textId="77777777" w:rsidTr="006067EB">
        <w:trPr>
          <w:tblCellSpacing w:w="15" w:type="dxa"/>
        </w:trPr>
        <w:tc>
          <w:tcPr>
            <w:tcW w:w="0" w:type="auto"/>
            <w:vAlign w:val="center"/>
            <w:hideMark/>
          </w:tcPr>
          <w:p w14:paraId="6C0210D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Some tax officials intentionally leave potential taxpayers unregistered</w:t>
            </w:r>
          </w:p>
        </w:tc>
        <w:tc>
          <w:tcPr>
            <w:tcW w:w="0" w:type="auto"/>
            <w:vAlign w:val="center"/>
            <w:hideMark/>
          </w:tcPr>
          <w:p w14:paraId="264CD4E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46.6%</w:t>
            </w:r>
          </w:p>
        </w:tc>
      </w:tr>
      <w:tr w:rsidR="00B7514A" w:rsidRPr="00E1344F" w14:paraId="3D3B1144" w14:textId="77777777" w:rsidTr="006067EB">
        <w:trPr>
          <w:tblCellSpacing w:w="15" w:type="dxa"/>
        </w:trPr>
        <w:tc>
          <w:tcPr>
            <w:tcW w:w="0" w:type="auto"/>
            <w:vAlign w:val="center"/>
            <w:hideMark/>
          </w:tcPr>
          <w:p w14:paraId="04B684C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Many potential taxpayers required to register remain unregistered</w:t>
            </w:r>
          </w:p>
        </w:tc>
        <w:tc>
          <w:tcPr>
            <w:tcW w:w="0" w:type="auto"/>
            <w:vAlign w:val="center"/>
            <w:hideMark/>
          </w:tcPr>
          <w:p w14:paraId="69109BE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62.4%</w:t>
            </w:r>
          </w:p>
        </w:tc>
      </w:tr>
    </w:tbl>
    <w:p w14:paraId="1E1237B2"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3BEF60E9"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As presented in Table 4, a majority of respondents (52.6%) perceived that tax officials lack the necessary skills to accurately identify and register taxpayers, particularly regarding the estimation methods used in forced registration. Even more concerning, nearly half (46.6%) agreed that some officials intentionally leave potential taxpayers unregistered, contributing to the finding that 62.4% of respondents believe many businesses required to register remain outside the tax net. Compounding these challenges, interviews with managers revealed additional systemic problems related to data management. The authority relies on two computer programs, including the System Integrated Government Tax Administration System (SIGTAS), which is designed to maintain Taxpayer Identification Numbers (TIN) and process VAT collection. However, due to inadequate training on SIGTAS, the authority cannot determine the exact number of VAT registrants or differentiate between stop filers, non-filers, and deregistered taxpayers, undermining the accuracy and reliability of the entire registration system. Addressing these multifaceted challenges will require targeted capacity-building initiatives to enhance both the technical and ethical competencies of tax officials, alongside the implementation of robust oversight and accountability mechanisms. Furthermore, comprehensive training on SIGTAS is urgently needed to ensure the integrity of the registration database, curb intentional under-registration, and achieve comprehensive taxpayer coverage.</w:t>
      </w:r>
    </w:p>
    <w:p w14:paraId="69659BCA"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lastRenderedPageBreak/>
        <w:t>Table 5: Methods Used to Register Unregistered Taxpayers</w:t>
      </w:r>
    </w:p>
    <w:tbl>
      <w:tblPr>
        <w:tblW w:w="75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21"/>
        <w:gridCol w:w="2086"/>
      </w:tblGrid>
      <w:tr w:rsidR="00B7514A" w:rsidRPr="00E1344F" w14:paraId="3149FA94" w14:textId="77777777" w:rsidTr="006067EB">
        <w:trPr>
          <w:trHeight w:val="278"/>
          <w:tblHeader/>
          <w:tblCellSpacing w:w="15" w:type="dxa"/>
        </w:trPr>
        <w:tc>
          <w:tcPr>
            <w:tcW w:w="0" w:type="auto"/>
            <w:vAlign w:val="center"/>
            <w:hideMark/>
          </w:tcPr>
          <w:p w14:paraId="7A1689B8"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Method</w:t>
            </w:r>
          </w:p>
        </w:tc>
        <w:tc>
          <w:tcPr>
            <w:tcW w:w="0" w:type="auto"/>
            <w:vAlign w:val="center"/>
            <w:hideMark/>
          </w:tcPr>
          <w:p w14:paraId="4DAE42EA"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0EB616B8" w14:textId="77777777" w:rsidTr="006067EB">
        <w:trPr>
          <w:trHeight w:val="295"/>
          <w:tblCellSpacing w:w="15" w:type="dxa"/>
        </w:trPr>
        <w:tc>
          <w:tcPr>
            <w:tcW w:w="0" w:type="auto"/>
            <w:vAlign w:val="center"/>
            <w:hideMark/>
          </w:tcPr>
          <w:p w14:paraId="7E1EC4F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Door-to-door inspection</w:t>
            </w:r>
          </w:p>
        </w:tc>
        <w:tc>
          <w:tcPr>
            <w:tcW w:w="0" w:type="auto"/>
            <w:vAlign w:val="center"/>
            <w:hideMark/>
          </w:tcPr>
          <w:p w14:paraId="7D78648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68.5%</w:t>
            </w:r>
          </w:p>
        </w:tc>
      </w:tr>
      <w:tr w:rsidR="00B7514A" w:rsidRPr="00E1344F" w14:paraId="35CC1879" w14:textId="77777777" w:rsidTr="006067EB">
        <w:trPr>
          <w:trHeight w:val="295"/>
          <w:tblCellSpacing w:w="15" w:type="dxa"/>
        </w:trPr>
        <w:tc>
          <w:tcPr>
            <w:tcW w:w="0" w:type="auto"/>
            <w:vAlign w:val="center"/>
            <w:hideMark/>
          </w:tcPr>
          <w:p w14:paraId="7A924BC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Sector-based forced registration</w:t>
            </w:r>
          </w:p>
        </w:tc>
        <w:tc>
          <w:tcPr>
            <w:tcW w:w="0" w:type="auto"/>
            <w:vAlign w:val="center"/>
            <w:hideMark/>
          </w:tcPr>
          <w:p w14:paraId="5973428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24.3%</w:t>
            </w:r>
          </w:p>
        </w:tc>
      </w:tr>
      <w:tr w:rsidR="00B7514A" w:rsidRPr="00E1344F" w14:paraId="5138300B" w14:textId="77777777" w:rsidTr="006067EB">
        <w:trPr>
          <w:trHeight w:val="278"/>
          <w:tblCellSpacing w:w="15" w:type="dxa"/>
        </w:trPr>
        <w:tc>
          <w:tcPr>
            <w:tcW w:w="0" w:type="auto"/>
            <w:vAlign w:val="center"/>
            <w:hideMark/>
          </w:tcPr>
          <w:p w14:paraId="71D3B53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Voluntary registration</w:t>
            </w:r>
          </w:p>
        </w:tc>
        <w:tc>
          <w:tcPr>
            <w:tcW w:w="0" w:type="auto"/>
            <w:vAlign w:val="center"/>
            <w:hideMark/>
          </w:tcPr>
          <w:p w14:paraId="61DC085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7.2%</w:t>
            </w:r>
          </w:p>
        </w:tc>
      </w:tr>
    </w:tbl>
    <w:p w14:paraId="7397F24E"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27379226"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As indicated in table 5, door-to-door inspection is the primary method (68.5 percent) used to register unregistered taxpayers, followed by sector-based forced registration (24.3 percent) and voluntary registration (7.2 percent).</w:t>
      </w:r>
    </w:p>
    <w:p w14:paraId="19EE805E" w14:textId="77777777" w:rsidR="00B7514A" w:rsidRPr="00E1344F" w:rsidRDefault="00B7514A" w:rsidP="00B7514A">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4.4.2.2 VAT Collection Practices and Constraints</w:t>
      </w:r>
    </w:p>
    <w:p w14:paraId="6DBF5157"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According to interviews with managers, VAT collection is processed using the SIGTAS system. However, identifying taxpayers who have stopped filing returns is done manually. An analysis of the January-March 2022 quarterly report indicated that the number of payment filers exceeded nil filers and credit filers, with no data available on stop filers.</w:t>
      </w:r>
    </w:p>
    <w:p w14:paraId="5FA0637A"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6: Tax Officials' Views on Reasons for High Number of Nil Filers</w:t>
      </w:r>
    </w:p>
    <w:tbl>
      <w:tblPr>
        <w:tblW w:w="86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95"/>
        <w:gridCol w:w="1354"/>
      </w:tblGrid>
      <w:tr w:rsidR="00B7514A" w:rsidRPr="00E1344F" w14:paraId="4D1BDB38" w14:textId="77777777" w:rsidTr="006067EB">
        <w:trPr>
          <w:trHeight w:val="255"/>
          <w:tblHeader/>
          <w:tblCellSpacing w:w="15" w:type="dxa"/>
        </w:trPr>
        <w:tc>
          <w:tcPr>
            <w:tcW w:w="0" w:type="auto"/>
            <w:vAlign w:val="center"/>
            <w:hideMark/>
          </w:tcPr>
          <w:p w14:paraId="2715165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Response</w:t>
            </w:r>
          </w:p>
        </w:tc>
        <w:tc>
          <w:tcPr>
            <w:tcW w:w="0" w:type="auto"/>
            <w:vAlign w:val="center"/>
            <w:hideMark/>
          </w:tcPr>
          <w:p w14:paraId="6F05D07A"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3C54D768" w14:textId="77777777" w:rsidTr="006067EB">
        <w:trPr>
          <w:trHeight w:val="270"/>
          <w:tblCellSpacing w:w="15" w:type="dxa"/>
        </w:trPr>
        <w:tc>
          <w:tcPr>
            <w:tcW w:w="0" w:type="auto"/>
            <w:vAlign w:val="center"/>
            <w:hideMark/>
          </w:tcPr>
          <w:p w14:paraId="40B5D9C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Strongly agree that lack of effective control causes high nil filers</w:t>
            </w:r>
          </w:p>
        </w:tc>
        <w:tc>
          <w:tcPr>
            <w:tcW w:w="0" w:type="auto"/>
            <w:vAlign w:val="center"/>
            <w:hideMark/>
          </w:tcPr>
          <w:p w14:paraId="1B70400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57.3%</w:t>
            </w:r>
          </w:p>
        </w:tc>
      </w:tr>
      <w:tr w:rsidR="00B7514A" w:rsidRPr="00E1344F" w14:paraId="306755CD" w14:textId="77777777" w:rsidTr="006067EB">
        <w:trPr>
          <w:trHeight w:val="270"/>
          <w:tblCellSpacing w:w="15" w:type="dxa"/>
        </w:trPr>
        <w:tc>
          <w:tcPr>
            <w:tcW w:w="0" w:type="auto"/>
            <w:vAlign w:val="center"/>
            <w:hideMark/>
          </w:tcPr>
          <w:p w14:paraId="1DD8979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Moderately agree that lack of effective control causes high nil filers</w:t>
            </w:r>
          </w:p>
        </w:tc>
        <w:tc>
          <w:tcPr>
            <w:tcW w:w="0" w:type="auto"/>
            <w:vAlign w:val="center"/>
            <w:hideMark/>
          </w:tcPr>
          <w:p w14:paraId="193C111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17.1%</w:t>
            </w:r>
          </w:p>
        </w:tc>
      </w:tr>
      <w:tr w:rsidR="00B7514A" w:rsidRPr="00E1344F" w14:paraId="08CE4506" w14:textId="77777777" w:rsidTr="006067EB">
        <w:trPr>
          <w:trHeight w:val="255"/>
          <w:tblCellSpacing w:w="15" w:type="dxa"/>
        </w:trPr>
        <w:tc>
          <w:tcPr>
            <w:tcW w:w="0" w:type="auto"/>
            <w:vAlign w:val="center"/>
            <w:hideMark/>
          </w:tcPr>
          <w:p w14:paraId="07535BC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Disagree</w:t>
            </w:r>
          </w:p>
        </w:tc>
        <w:tc>
          <w:tcPr>
            <w:tcW w:w="0" w:type="auto"/>
            <w:vAlign w:val="center"/>
            <w:hideMark/>
          </w:tcPr>
          <w:p w14:paraId="23F4FE5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25.6%</w:t>
            </w:r>
          </w:p>
        </w:tc>
      </w:tr>
    </w:tbl>
    <w:p w14:paraId="6C3A9C7E"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1F927926"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The majority of tax officials (74.4 percent) attributed the high number of nil filers to ineffective control mechanisms, suggesting that weak monitoring and enforcement contribute significantly to non-compliance.</w:t>
      </w:r>
    </w:p>
    <w:p w14:paraId="513E6585" w14:textId="77777777" w:rsidR="00B7514A" w:rsidRPr="00E1344F" w:rsidRDefault="00B7514A" w:rsidP="00B7514A">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lastRenderedPageBreak/>
        <w:t>4.4.2.3 VAT Auditing and Refund Practices and Constraints</w:t>
      </w:r>
    </w:p>
    <w:p w14:paraId="61C97A6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Interviews with managers revealed that no appropriate audit program based on risk management exists. Auditing was planned primarily to provide better customer service rather than to detect non-compliance. Audits were limited to comprehensive document review without door-to-door inventory inspections due to manpower shortages. Regarding refunds, all claims must be audited, often resulting in lengthy processing times.</w:t>
      </w:r>
    </w:p>
    <w:p w14:paraId="096AA302"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7: Tax Officials' Views on Audit and Enforcement Effectiveness</w:t>
      </w:r>
    </w:p>
    <w:tbl>
      <w:tblPr>
        <w:tblW w:w="75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27"/>
        <w:gridCol w:w="1347"/>
      </w:tblGrid>
      <w:tr w:rsidR="00B7514A" w:rsidRPr="00E1344F" w14:paraId="6F3D9DA0" w14:textId="77777777" w:rsidTr="006067EB">
        <w:trPr>
          <w:trHeight w:val="262"/>
          <w:tblHeader/>
          <w:tblCellSpacing w:w="15" w:type="dxa"/>
        </w:trPr>
        <w:tc>
          <w:tcPr>
            <w:tcW w:w="0" w:type="auto"/>
            <w:vAlign w:val="center"/>
            <w:hideMark/>
          </w:tcPr>
          <w:p w14:paraId="5AFC3D6C"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Response</w:t>
            </w:r>
          </w:p>
        </w:tc>
        <w:tc>
          <w:tcPr>
            <w:tcW w:w="0" w:type="auto"/>
            <w:vAlign w:val="center"/>
            <w:hideMark/>
          </w:tcPr>
          <w:p w14:paraId="19CD2CD5"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03E7D141" w14:textId="77777777" w:rsidTr="006067EB">
        <w:trPr>
          <w:trHeight w:val="278"/>
          <w:tblCellSpacing w:w="15" w:type="dxa"/>
        </w:trPr>
        <w:tc>
          <w:tcPr>
            <w:tcW w:w="0" w:type="auto"/>
            <w:vAlign w:val="center"/>
            <w:hideMark/>
          </w:tcPr>
          <w:p w14:paraId="29D4F07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Strongly disagree that audit and enforcement are effective</w:t>
            </w:r>
          </w:p>
        </w:tc>
        <w:tc>
          <w:tcPr>
            <w:tcW w:w="0" w:type="auto"/>
            <w:vAlign w:val="center"/>
            <w:hideMark/>
          </w:tcPr>
          <w:p w14:paraId="69191FD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61.5%</w:t>
            </w:r>
          </w:p>
        </w:tc>
      </w:tr>
      <w:tr w:rsidR="00B7514A" w:rsidRPr="00E1344F" w14:paraId="5F10B4B7" w14:textId="77777777" w:rsidTr="006067EB">
        <w:trPr>
          <w:trHeight w:val="278"/>
          <w:tblCellSpacing w:w="15" w:type="dxa"/>
        </w:trPr>
        <w:tc>
          <w:tcPr>
            <w:tcW w:w="0" w:type="auto"/>
            <w:vAlign w:val="center"/>
            <w:hideMark/>
          </w:tcPr>
          <w:p w14:paraId="6F53630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Disagree</w:t>
            </w:r>
          </w:p>
        </w:tc>
        <w:tc>
          <w:tcPr>
            <w:tcW w:w="0" w:type="auto"/>
            <w:vAlign w:val="center"/>
            <w:hideMark/>
          </w:tcPr>
          <w:p w14:paraId="6D0B217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22.9%</w:t>
            </w:r>
          </w:p>
        </w:tc>
      </w:tr>
      <w:tr w:rsidR="00B7514A" w:rsidRPr="00E1344F" w14:paraId="09E89E04" w14:textId="77777777" w:rsidTr="006067EB">
        <w:trPr>
          <w:trHeight w:val="262"/>
          <w:tblCellSpacing w:w="15" w:type="dxa"/>
        </w:trPr>
        <w:tc>
          <w:tcPr>
            <w:tcW w:w="0" w:type="auto"/>
            <w:vAlign w:val="center"/>
            <w:hideMark/>
          </w:tcPr>
          <w:p w14:paraId="1EF1B78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Neutral</w:t>
            </w:r>
          </w:p>
        </w:tc>
        <w:tc>
          <w:tcPr>
            <w:tcW w:w="0" w:type="auto"/>
            <w:vAlign w:val="center"/>
            <w:hideMark/>
          </w:tcPr>
          <w:p w14:paraId="3A19C6B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15.6%</w:t>
            </w:r>
          </w:p>
        </w:tc>
      </w:tr>
    </w:tbl>
    <w:p w14:paraId="3C02C2E4"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50FB6A96"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8: Taxpayer Confidence in VAT Assessment and Auditing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87"/>
        <w:gridCol w:w="1228"/>
      </w:tblGrid>
      <w:tr w:rsidR="00B7514A" w:rsidRPr="00E1344F" w14:paraId="5D195699" w14:textId="77777777" w:rsidTr="006067EB">
        <w:trPr>
          <w:tblHeader/>
          <w:tblCellSpacing w:w="15" w:type="dxa"/>
        </w:trPr>
        <w:tc>
          <w:tcPr>
            <w:tcW w:w="0" w:type="auto"/>
            <w:vAlign w:val="center"/>
            <w:hideMark/>
          </w:tcPr>
          <w:p w14:paraId="5834DA73"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Response</w:t>
            </w:r>
          </w:p>
        </w:tc>
        <w:tc>
          <w:tcPr>
            <w:tcW w:w="0" w:type="auto"/>
            <w:vAlign w:val="center"/>
            <w:hideMark/>
          </w:tcPr>
          <w:p w14:paraId="7EAD656F"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246B2D8D" w14:textId="77777777" w:rsidTr="006067EB">
        <w:trPr>
          <w:tblCellSpacing w:w="15" w:type="dxa"/>
        </w:trPr>
        <w:tc>
          <w:tcPr>
            <w:tcW w:w="0" w:type="auto"/>
            <w:vAlign w:val="center"/>
            <w:hideMark/>
          </w:tcPr>
          <w:p w14:paraId="301C0E6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Do not have confidence in auditing practices</w:t>
            </w:r>
          </w:p>
        </w:tc>
        <w:tc>
          <w:tcPr>
            <w:tcW w:w="0" w:type="auto"/>
            <w:vAlign w:val="center"/>
            <w:hideMark/>
          </w:tcPr>
          <w:p w14:paraId="3F61C26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66.7%</w:t>
            </w:r>
          </w:p>
        </w:tc>
      </w:tr>
      <w:tr w:rsidR="00B7514A" w:rsidRPr="00E1344F" w14:paraId="069FA6C4" w14:textId="77777777" w:rsidTr="006067EB">
        <w:trPr>
          <w:tblCellSpacing w:w="15" w:type="dxa"/>
        </w:trPr>
        <w:tc>
          <w:tcPr>
            <w:tcW w:w="0" w:type="auto"/>
            <w:vAlign w:val="center"/>
            <w:hideMark/>
          </w:tcPr>
          <w:p w14:paraId="3EBF4F0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Have confidence in auditing practices</w:t>
            </w:r>
          </w:p>
        </w:tc>
        <w:tc>
          <w:tcPr>
            <w:tcW w:w="0" w:type="auto"/>
            <w:vAlign w:val="center"/>
            <w:hideMark/>
          </w:tcPr>
          <w:p w14:paraId="4C48242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33.3%</w:t>
            </w:r>
          </w:p>
        </w:tc>
      </w:tr>
    </w:tbl>
    <w:p w14:paraId="35CD6254"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2342020A"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As shown in Table 8, two-thirds (66.7 percent) of VAT registrant taxpayers lacked confidence in the authority's assessment and auditing practices due to perceived auditor incompetency, fraud, and other reasons. This indicates that audit practices are insufficiently effective to collect potential tax revenue and detect non-compliance.</w:t>
      </w:r>
    </w:p>
    <w:p w14:paraId="584FF688" w14:textId="77777777" w:rsidR="009F418A" w:rsidRPr="00E1344F" w:rsidRDefault="009F418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EB19A13" w14:textId="77777777" w:rsidR="009F418A" w:rsidRPr="00E1344F" w:rsidRDefault="009F418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6550516" w14:textId="77777777" w:rsidR="00B7514A" w:rsidRPr="00E1344F" w:rsidRDefault="00B7514A" w:rsidP="00B7514A">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lastRenderedPageBreak/>
        <w:t>4.4.2.4 Enforcement Practices</w:t>
      </w:r>
    </w:p>
    <w:p w14:paraId="76B0F375"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Under Section 8 of VAT Proclamation No. 285/2002, the primary collection enforcement tool is seizure and sale of property belonging to defaulting taxpayers. According to interviews with managers, a directive issued by the Oromia Regional State Finance and Economic Development Bureau recently authorized seizure and sale procedures, which have now been implemented.</w:t>
      </w:r>
    </w:p>
    <w:p w14:paraId="1C8BFE1C" w14:textId="4E707623"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Table 9: Tax Officials' Views on Penalties and Appeals System</w:t>
      </w:r>
    </w:p>
    <w:tbl>
      <w:tblPr>
        <w:tblW w:w="8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9"/>
        <w:gridCol w:w="3771"/>
        <w:gridCol w:w="3611"/>
      </w:tblGrid>
      <w:tr w:rsidR="00B7514A" w:rsidRPr="00E1344F" w14:paraId="6B9893AA" w14:textId="77777777" w:rsidTr="006067EB">
        <w:trPr>
          <w:trHeight w:val="228"/>
          <w:tblHeader/>
          <w:tblCellSpacing w:w="15" w:type="dxa"/>
        </w:trPr>
        <w:tc>
          <w:tcPr>
            <w:tcW w:w="0" w:type="auto"/>
            <w:vAlign w:val="center"/>
            <w:hideMark/>
          </w:tcPr>
          <w:p w14:paraId="41A03C95"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Rating</w:t>
            </w:r>
          </w:p>
        </w:tc>
        <w:tc>
          <w:tcPr>
            <w:tcW w:w="0" w:type="auto"/>
            <w:vAlign w:val="center"/>
            <w:hideMark/>
          </w:tcPr>
          <w:p w14:paraId="3B40F3C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Appropriateness of Penalties</w:t>
            </w:r>
          </w:p>
        </w:tc>
        <w:tc>
          <w:tcPr>
            <w:tcW w:w="0" w:type="auto"/>
            <w:vAlign w:val="center"/>
            <w:hideMark/>
          </w:tcPr>
          <w:p w14:paraId="45D3DB8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Fairness of Appeals System</w:t>
            </w:r>
          </w:p>
        </w:tc>
      </w:tr>
      <w:tr w:rsidR="00B7514A" w:rsidRPr="00E1344F" w14:paraId="44A90E89" w14:textId="77777777" w:rsidTr="006067EB">
        <w:trPr>
          <w:trHeight w:val="242"/>
          <w:tblCellSpacing w:w="15" w:type="dxa"/>
        </w:trPr>
        <w:tc>
          <w:tcPr>
            <w:tcW w:w="0" w:type="auto"/>
            <w:vAlign w:val="center"/>
            <w:hideMark/>
          </w:tcPr>
          <w:p w14:paraId="5765DC9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Excellent</w:t>
            </w:r>
          </w:p>
        </w:tc>
        <w:tc>
          <w:tcPr>
            <w:tcW w:w="0" w:type="auto"/>
            <w:vAlign w:val="center"/>
            <w:hideMark/>
          </w:tcPr>
          <w:p w14:paraId="79CD569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              40.6%</w:t>
            </w:r>
          </w:p>
        </w:tc>
        <w:tc>
          <w:tcPr>
            <w:tcW w:w="0" w:type="auto"/>
            <w:vAlign w:val="center"/>
            <w:hideMark/>
          </w:tcPr>
          <w:p w14:paraId="5580AE3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29.9%</w:t>
            </w:r>
          </w:p>
        </w:tc>
      </w:tr>
      <w:tr w:rsidR="00B7514A" w:rsidRPr="00E1344F" w14:paraId="503F1E33" w14:textId="77777777" w:rsidTr="006067EB">
        <w:trPr>
          <w:trHeight w:val="242"/>
          <w:tblCellSpacing w:w="15" w:type="dxa"/>
        </w:trPr>
        <w:tc>
          <w:tcPr>
            <w:tcW w:w="0" w:type="auto"/>
            <w:vAlign w:val="center"/>
            <w:hideMark/>
          </w:tcPr>
          <w:p w14:paraId="249F765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Good</w:t>
            </w:r>
          </w:p>
        </w:tc>
        <w:tc>
          <w:tcPr>
            <w:tcW w:w="0" w:type="auto"/>
            <w:vAlign w:val="center"/>
            <w:hideMark/>
          </w:tcPr>
          <w:p w14:paraId="148B8F8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              53.4%</w:t>
            </w:r>
          </w:p>
        </w:tc>
        <w:tc>
          <w:tcPr>
            <w:tcW w:w="0" w:type="auto"/>
            <w:vAlign w:val="center"/>
            <w:hideMark/>
          </w:tcPr>
          <w:p w14:paraId="490E9A3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42.3%</w:t>
            </w:r>
          </w:p>
        </w:tc>
      </w:tr>
      <w:tr w:rsidR="00B7514A" w:rsidRPr="00E1344F" w14:paraId="5EE3A582" w14:textId="77777777" w:rsidTr="006067EB">
        <w:trPr>
          <w:trHeight w:val="228"/>
          <w:tblCellSpacing w:w="15" w:type="dxa"/>
        </w:trPr>
        <w:tc>
          <w:tcPr>
            <w:tcW w:w="0" w:type="auto"/>
            <w:vAlign w:val="center"/>
            <w:hideMark/>
          </w:tcPr>
          <w:p w14:paraId="20766BC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Fair</w:t>
            </w:r>
          </w:p>
        </w:tc>
        <w:tc>
          <w:tcPr>
            <w:tcW w:w="0" w:type="auto"/>
            <w:vAlign w:val="center"/>
            <w:hideMark/>
          </w:tcPr>
          <w:p w14:paraId="7A11CF0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              6.0%</w:t>
            </w:r>
          </w:p>
        </w:tc>
        <w:tc>
          <w:tcPr>
            <w:tcW w:w="0" w:type="auto"/>
            <w:vAlign w:val="center"/>
            <w:hideMark/>
          </w:tcPr>
          <w:p w14:paraId="183FB3D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27.8%</w:t>
            </w:r>
          </w:p>
        </w:tc>
      </w:tr>
    </w:tbl>
    <w:p w14:paraId="5E515AF8"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721BC7C3"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The majority of tax officials considered penalties appropriate (94.0 percent rating excellent or good) and the appeals system fair (72.2 percent rating excellent or good).</w:t>
      </w:r>
    </w:p>
    <w:p w14:paraId="2ECB84B8" w14:textId="77777777" w:rsidR="00B7514A" w:rsidRPr="00E1344F" w:rsidRDefault="00B7514A" w:rsidP="00B7514A">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4.4.2.5 Voluntary Compliance and Service Delivery Practices</w:t>
      </w:r>
    </w:p>
    <w:p w14:paraId="50AF4A81"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Interviews with managers identified three main reasons for poor voluntary compliance:</w:t>
      </w:r>
    </w:p>
    <w:p w14:paraId="6FCA1186" w14:textId="77777777" w:rsidR="00B7514A" w:rsidRPr="00E1344F" w:rsidRDefault="00B7514A" w:rsidP="00B7514A">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Taxpayer perceptions:</w:t>
      </w:r>
      <w:r w:rsidRPr="00E1344F">
        <w:rPr>
          <w:rFonts w:ascii="Times New Roman" w:eastAsia="Times New Roman" w:hAnsi="Times New Roman" w:cs="Times New Roman"/>
          <w:kern w:val="0"/>
          <w:sz w:val="24"/>
          <w:szCs w:val="24"/>
          <w14:ligatures w14:val="none"/>
        </w:rPr>
        <w:t xml:space="preserve"> Some taxpayers believe VAT increases prices and reduces customers, while others fear that VAT invoices reveal annual turnover, leading to higher income tax assessments</w:t>
      </w:r>
    </w:p>
    <w:p w14:paraId="360F39A4" w14:textId="77777777" w:rsidR="00B7514A" w:rsidRPr="00E1344F" w:rsidRDefault="00B7514A" w:rsidP="00B7514A">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Lack of uniform registration:</w:t>
      </w:r>
      <w:r w:rsidRPr="00E1344F">
        <w:rPr>
          <w:rFonts w:ascii="Times New Roman" w:eastAsia="Times New Roman" w:hAnsi="Times New Roman" w:cs="Times New Roman"/>
          <w:kern w:val="0"/>
          <w:sz w:val="24"/>
          <w:szCs w:val="24"/>
          <w14:ligatures w14:val="none"/>
        </w:rPr>
        <w:t xml:space="preserve"> Inconsistent registration among similar businesses creates unfair competition</w:t>
      </w:r>
    </w:p>
    <w:p w14:paraId="01231B14" w14:textId="77777777" w:rsidR="00B7514A" w:rsidRPr="00E1344F" w:rsidRDefault="00B7514A" w:rsidP="00B7514A">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Ineffective control and enforcement:</w:t>
      </w:r>
      <w:r w:rsidRPr="00E1344F">
        <w:rPr>
          <w:rFonts w:ascii="Times New Roman" w:eastAsia="Times New Roman" w:hAnsi="Times New Roman" w:cs="Times New Roman"/>
          <w:kern w:val="0"/>
          <w:sz w:val="24"/>
          <w:szCs w:val="24"/>
          <w14:ligatures w14:val="none"/>
        </w:rPr>
        <w:t xml:space="preserve"> Weak monitoring reduces the perceived risk of non-compliance</w:t>
      </w:r>
    </w:p>
    <w:p w14:paraId="4B70EF23" w14:textId="77777777" w:rsidR="009F418A" w:rsidRPr="00E1344F" w:rsidRDefault="009F418A" w:rsidP="009F418A">
      <w:pPr>
        <w:spacing w:before="100" w:beforeAutospacing="1" w:after="100" w:afterAutospacing="1" w:line="360" w:lineRule="auto"/>
        <w:ind w:left="720"/>
        <w:jc w:val="both"/>
        <w:rPr>
          <w:rFonts w:ascii="Times New Roman" w:eastAsia="Times New Roman" w:hAnsi="Times New Roman" w:cs="Times New Roman"/>
          <w:kern w:val="0"/>
          <w:sz w:val="24"/>
          <w:szCs w:val="24"/>
          <w14:ligatures w14:val="none"/>
        </w:rPr>
      </w:pPr>
    </w:p>
    <w:p w14:paraId="3AD28138"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lastRenderedPageBreak/>
        <w:t>Table 10: Taxpayer Willingness to Register Without Penalty</w:t>
      </w:r>
    </w:p>
    <w:tbl>
      <w:tblPr>
        <w:tblW w:w="75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2"/>
        <w:gridCol w:w="1973"/>
      </w:tblGrid>
      <w:tr w:rsidR="00B7514A" w:rsidRPr="00E1344F" w14:paraId="33E1CF1B" w14:textId="77777777" w:rsidTr="006067EB">
        <w:trPr>
          <w:trHeight w:val="223"/>
          <w:tblHeader/>
          <w:tblCellSpacing w:w="15" w:type="dxa"/>
        </w:trPr>
        <w:tc>
          <w:tcPr>
            <w:tcW w:w="0" w:type="auto"/>
            <w:vAlign w:val="center"/>
            <w:hideMark/>
          </w:tcPr>
          <w:p w14:paraId="38B4089A"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Response</w:t>
            </w:r>
          </w:p>
        </w:tc>
        <w:tc>
          <w:tcPr>
            <w:tcW w:w="0" w:type="auto"/>
            <w:vAlign w:val="center"/>
            <w:hideMark/>
          </w:tcPr>
          <w:p w14:paraId="6DBAD748"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389E5E1B" w14:textId="77777777" w:rsidTr="006067EB">
        <w:trPr>
          <w:trHeight w:val="236"/>
          <w:tblCellSpacing w:w="15" w:type="dxa"/>
        </w:trPr>
        <w:tc>
          <w:tcPr>
            <w:tcW w:w="0" w:type="auto"/>
            <w:vAlign w:val="center"/>
            <w:hideMark/>
          </w:tcPr>
          <w:p w14:paraId="78D312A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Would not register without penalty</w:t>
            </w:r>
          </w:p>
        </w:tc>
        <w:tc>
          <w:tcPr>
            <w:tcW w:w="0" w:type="auto"/>
            <w:vAlign w:val="center"/>
            <w:hideMark/>
          </w:tcPr>
          <w:p w14:paraId="547F745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56.8%</w:t>
            </w:r>
          </w:p>
        </w:tc>
      </w:tr>
      <w:tr w:rsidR="00B7514A" w:rsidRPr="00E1344F" w14:paraId="0C5B6694" w14:textId="77777777" w:rsidTr="006067EB">
        <w:trPr>
          <w:trHeight w:val="236"/>
          <w:tblCellSpacing w:w="15" w:type="dxa"/>
        </w:trPr>
        <w:tc>
          <w:tcPr>
            <w:tcW w:w="0" w:type="auto"/>
            <w:vAlign w:val="center"/>
            <w:hideMark/>
          </w:tcPr>
          <w:p w14:paraId="2E8D165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Would register without penalty</w:t>
            </w:r>
          </w:p>
        </w:tc>
        <w:tc>
          <w:tcPr>
            <w:tcW w:w="0" w:type="auto"/>
            <w:vAlign w:val="center"/>
            <w:hideMark/>
          </w:tcPr>
          <w:p w14:paraId="759FBE7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40.6%</w:t>
            </w:r>
          </w:p>
        </w:tc>
      </w:tr>
      <w:tr w:rsidR="00B7514A" w:rsidRPr="00E1344F" w14:paraId="0C71054F" w14:textId="77777777" w:rsidTr="006067EB">
        <w:trPr>
          <w:trHeight w:val="223"/>
          <w:tblCellSpacing w:w="15" w:type="dxa"/>
        </w:trPr>
        <w:tc>
          <w:tcPr>
            <w:tcW w:w="0" w:type="auto"/>
            <w:vAlign w:val="center"/>
            <w:hideMark/>
          </w:tcPr>
          <w:p w14:paraId="297AF2D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No response</w:t>
            </w:r>
          </w:p>
        </w:tc>
        <w:tc>
          <w:tcPr>
            <w:tcW w:w="0" w:type="auto"/>
            <w:vAlign w:val="center"/>
            <w:hideMark/>
          </w:tcPr>
          <w:p w14:paraId="6CC2E8F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2.6%</w:t>
            </w:r>
          </w:p>
        </w:tc>
      </w:tr>
    </w:tbl>
    <w:p w14:paraId="66E5619E"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iCs/>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08DED3E7"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The persistence of poor voluntary compliance is further illuminated by taxpayer attitudes toward registration. As shown in Table 10, when asked whether they would register for VAT if there were no penalty for non-compliance, a majority of respondents (56.8 percent) indicated that they would not register voluntarily. This finding suggests that for most unregistered businesses, the decision to remain outside the tax net is a deliberate choice rather than a consequence of ignorance or administrative oversight. Only 40.6 percent of respondents stated they would register even without the threat of penalties, while 2.6 percent declined to respond. These results corroborate the managerial interviews, reinforcing that negative perceptions of VAT such as fears of losing customers or facing higher income tax assessments significantly undermine intrinsic motivation to comply. The data imply that without consistent enforcement and effective deterrence, voluntary registration is unlikely to improve, as a substantial portion of eligible taxpayers prefer to remain unregistered when given the choice.</w:t>
      </w:r>
    </w:p>
    <w:p w14:paraId="6773EEC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11: Reasons for Unwillingness to Register for VAT</w:t>
      </w:r>
    </w:p>
    <w:tbl>
      <w:tblPr>
        <w:tblW w:w="82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62"/>
        <w:gridCol w:w="2133"/>
      </w:tblGrid>
      <w:tr w:rsidR="00B7514A" w:rsidRPr="00E1344F" w14:paraId="4696E39E" w14:textId="77777777" w:rsidTr="006067EB">
        <w:trPr>
          <w:trHeight w:val="270"/>
          <w:tblHeader/>
          <w:tblCellSpacing w:w="15" w:type="dxa"/>
        </w:trPr>
        <w:tc>
          <w:tcPr>
            <w:tcW w:w="0" w:type="auto"/>
            <w:vAlign w:val="center"/>
            <w:hideMark/>
          </w:tcPr>
          <w:p w14:paraId="659D1CEA"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Reason</w:t>
            </w:r>
          </w:p>
        </w:tc>
        <w:tc>
          <w:tcPr>
            <w:tcW w:w="0" w:type="auto"/>
            <w:vAlign w:val="center"/>
            <w:hideMark/>
          </w:tcPr>
          <w:p w14:paraId="576B332B"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 Citing</w:t>
            </w:r>
          </w:p>
        </w:tc>
      </w:tr>
      <w:tr w:rsidR="00B7514A" w:rsidRPr="00E1344F" w14:paraId="7E114656" w14:textId="77777777" w:rsidTr="006067EB">
        <w:trPr>
          <w:trHeight w:val="286"/>
          <w:tblCellSpacing w:w="15" w:type="dxa"/>
        </w:trPr>
        <w:tc>
          <w:tcPr>
            <w:tcW w:w="0" w:type="auto"/>
            <w:vAlign w:val="center"/>
            <w:hideMark/>
          </w:tcPr>
          <w:p w14:paraId="25A70CE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Poor and irritating VAT administrative system</w:t>
            </w:r>
          </w:p>
        </w:tc>
        <w:tc>
          <w:tcPr>
            <w:tcW w:w="0" w:type="auto"/>
            <w:vAlign w:val="center"/>
            <w:hideMark/>
          </w:tcPr>
          <w:p w14:paraId="14A7A27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48.3%</w:t>
            </w:r>
          </w:p>
        </w:tc>
      </w:tr>
      <w:tr w:rsidR="00B7514A" w:rsidRPr="00E1344F" w14:paraId="146B5938" w14:textId="77777777" w:rsidTr="006067EB">
        <w:trPr>
          <w:trHeight w:val="286"/>
          <w:tblCellSpacing w:w="15" w:type="dxa"/>
        </w:trPr>
        <w:tc>
          <w:tcPr>
            <w:tcW w:w="0" w:type="auto"/>
            <w:vAlign w:val="center"/>
            <w:hideMark/>
          </w:tcPr>
          <w:p w14:paraId="77C4428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Fear of competition from unregistered similar businesses</w:t>
            </w:r>
          </w:p>
        </w:tc>
        <w:tc>
          <w:tcPr>
            <w:tcW w:w="0" w:type="auto"/>
            <w:vAlign w:val="center"/>
            <w:hideMark/>
          </w:tcPr>
          <w:p w14:paraId="3F394DD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62.7%</w:t>
            </w:r>
          </w:p>
        </w:tc>
      </w:tr>
      <w:tr w:rsidR="00B7514A" w:rsidRPr="00E1344F" w14:paraId="73356170" w14:textId="77777777" w:rsidTr="006067EB">
        <w:trPr>
          <w:trHeight w:val="270"/>
          <w:tblCellSpacing w:w="15" w:type="dxa"/>
        </w:trPr>
        <w:tc>
          <w:tcPr>
            <w:tcW w:w="0" w:type="auto"/>
            <w:vAlign w:val="center"/>
            <w:hideMark/>
          </w:tcPr>
          <w:p w14:paraId="754A6A5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Problems from suppliers</w:t>
            </w:r>
          </w:p>
        </w:tc>
        <w:tc>
          <w:tcPr>
            <w:tcW w:w="0" w:type="auto"/>
            <w:vAlign w:val="center"/>
            <w:hideMark/>
          </w:tcPr>
          <w:p w14:paraId="42DEAA3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34.5%</w:t>
            </w:r>
          </w:p>
        </w:tc>
      </w:tr>
    </w:tbl>
    <w:p w14:paraId="61E7F4E1"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iCs/>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1AAA4ADC"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lastRenderedPageBreak/>
        <w:t>To understand the underlying causes of the widespread unwillingness to register, taxpayers who indicated they would not register without penalty were asked to specify their reasons. As presented in Table 11, the most frequently cited concern, reported by 62.7 percent of respondents, was the fear of unfair competition from unregistered businesses operating in the same sector. This finding aligns with the managerial interviews regarding the lack of uniform registration, suggesting that compliant businesses perceive themselves to be at a competitive disadvantage. Additionally, nearly half of respondents (48.3 percent) attributed their reluctance to the poor and irritating VAT administrative system, indicating that bureaucratic inefficiencies and cumbersome procedures act as significant deterrents. Finally, 34.5 percent of taxpayers reported problems with suppliers, which may include difficulties in obtaining VAT-registered receipts or the pass-through of VAT costs from upstream non-compliant actors. Collectively, these findings reveal that unwillingness to register stems not only from individual cost-benefit calculations but also from systemic issues within the administrative environment and the broader market, where non-compliance by competitors and suppliers perpetuates a cycle of avoidance.</w:t>
      </w:r>
    </w:p>
    <w:p w14:paraId="12069BB6"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12: Taxpayer Perceptions of Honesty and Loyalty of VAT Registrants</w:t>
      </w:r>
    </w:p>
    <w:tbl>
      <w:tblPr>
        <w:tblW w:w="97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58"/>
        <w:gridCol w:w="2346"/>
      </w:tblGrid>
      <w:tr w:rsidR="00B7514A" w:rsidRPr="00E1344F" w14:paraId="17C78553" w14:textId="77777777" w:rsidTr="006067EB">
        <w:trPr>
          <w:trHeight w:val="283"/>
          <w:tblHeader/>
          <w:tblCellSpacing w:w="15" w:type="dxa"/>
        </w:trPr>
        <w:tc>
          <w:tcPr>
            <w:tcW w:w="0" w:type="auto"/>
            <w:vAlign w:val="center"/>
            <w:hideMark/>
          </w:tcPr>
          <w:p w14:paraId="22905B07"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Statement</w:t>
            </w:r>
          </w:p>
        </w:tc>
        <w:tc>
          <w:tcPr>
            <w:tcW w:w="0" w:type="auto"/>
            <w:vAlign w:val="center"/>
            <w:hideMark/>
          </w:tcPr>
          <w:p w14:paraId="1700E114"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 Agreeing</w:t>
            </w:r>
          </w:p>
        </w:tc>
      </w:tr>
      <w:tr w:rsidR="00B7514A" w:rsidRPr="00E1344F" w14:paraId="53D314B5" w14:textId="77777777" w:rsidTr="006067EB">
        <w:trPr>
          <w:trHeight w:val="300"/>
          <w:tblCellSpacing w:w="15" w:type="dxa"/>
        </w:trPr>
        <w:tc>
          <w:tcPr>
            <w:tcW w:w="0" w:type="auto"/>
            <w:vAlign w:val="center"/>
            <w:hideMark/>
          </w:tcPr>
          <w:p w14:paraId="5C52787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Many VAT registrants sell goods without tax invoices</w:t>
            </w:r>
          </w:p>
        </w:tc>
        <w:tc>
          <w:tcPr>
            <w:tcW w:w="0" w:type="auto"/>
            <w:vAlign w:val="center"/>
            <w:hideMark/>
          </w:tcPr>
          <w:p w14:paraId="62E3AF9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67.5%</w:t>
            </w:r>
          </w:p>
        </w:tc>
      </w:tr>
      <w:tr w:rsidR="00B7514A" w:rsidRPr="00E1344F" w14:paraId="76257E48" w14:textId="77777777" w:rsidTr="006067EB">
        <w:trPr>
          <w:trHeight w:val="300"/>
          <w:tblCellSpacing w:w="15" w:type="dxa"/>
        </w:trPr>
        <w:tc>
          <w:tcPr>
            <w:tcW w:w="0" w:type="auto"/>
            <w:vAlign w:val="center"/>
            <w:hideMark/>
          </w:tcPr>
          <w:p w14:paraId="63CE451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Some taxpayers manipulate manual receipts and cash register machines</w:t>
            </w:r>
          </w:p>
        </w:tc>
        <w:tc>
          <w:tcPr>
            <w:tcW w:w="0" w:type="auto"/>
            <w:vAlign w:val="center"/>
            <w:hideMark/>
          </w:tcPr>
          <w:p w14:paraId="7B3D34F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20.5%</w:t>
            </w:r>
          </w:p>
        </w:tc>
      </w:tr>
      <w:tr w:rsidR="00B7514A" w:rsidRPr="00E1344F" w14:paraId="64120720" w14:textId="77777777" w:rsidTr="006067EB">
        <w:trPr>
          <w:trHeight w:val="283"/>
          <w:tblCellSpacing w:w="15" w:type="dxa"/>
        </w:trPr>
        <w:tc>
          <w:tcPr>
            <w:tcW w:w="0" w:type="auto"/>
            <w:vAlign w:val="center"/>
            <w:hideMark/>
          </w:tcPr>
          <w:p w14:paraId="176A83E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Many VAT registrants provide fake invoices to secure more input tax</w:t>
            </w:r>
          </w:p>
        </w:tc>
        <w:tc>
          <w:tcPr>
            <w:tcW w:w="0" w:type="auto"/>
            <w:vAlign w:val="center"/>
            <w:hideMark/>
          </w:tcPr>
          <w:p w14:paraId="6C53C0A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45.2%</w:t>
            </w:r>
          </w:p>
        </w:tc>
      </w:tr>
    </w:tbl>
    <w:p w14:paraId="22A855A1"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iCs/>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2EE9D6C2"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Beyond the reluctance to register voluntarily, the integrity of those already within the VAT system emerges as a parallel concern. As presented in Table 12, taxpayer perceptions of registered businesses reveal significant malpractice among existing VAT registrants. A substantial majority of respondents (67.5 percent) agreed that many VAT registrants sell goods without issuing tax invoices, effectively concealing transactions from the tax authority. Furthermore, 45.2 percent of respondents acknowledged that some VAT registrants provide fake invoices to secure undeserved input tax credits, undermining the integrity of the VAT chain. Additionally, 20.5 percent of taxpayers reported that some registrants manipulate manual receipts and cash register machines to </w:t>
      </w:r>
      <w:r w:rsidRPr="00E1344F">
        <w:rPr>
          <w:rFonts w:ascii="Times New Roman" w:eastAsia="Times New Roman" w:hAnsi="Times New Roman" w:cs="Times New Roman"/>
          <w:kern w:val="0"/>
          <w:sz w:val="24"/>
          <w:szCs w:val="24"/>
          <w14:ligatures w14:val="none"/>
        </w:rPr>
        <w:lastRenderedPageBreak/>
        <w:t>underreport actual sales. These findings suggest that the challenges facing VAT administration extend beyond registration coverage to include widespread non-compliant behavior among those already registered. Such practices not only erode tax revenues but also perpetuate unfair competition, as dishonest registrants gain cost advantages over compliant businesses. This environment of post-registration non-compliance may further discourage voluntary registration, as potential registrants observe that even registered businesses fail to adhere to VAT rules without consequence.</w:t>
      </w:r>
    </w:p>
    <w:p w14:paraId="5BE09F13"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13: Tax Officials' Views on Service Delivery</w:t>
      </w:r>
    </w:p>
    <w:tbl>
      <w:tblPr>
        <w:tblW w:w="76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2210"/>
        <w:gridCol w:w="4200"/>
      </w:tblGrid>
      <w:tr w:rsidR="00B7514A" w:rsidRPr="00E1344F" w14:paraId="2FA7C07B" w14:textId="77777777" w:rsidTr="006067EB">
        <w:trPr>
          <w:trHeight w:val="233"/>
          <w:tblHeader/>
          <w:tblCellSpacing w:w="15" w:type="dxa"/>
        </w:trPr>
        <w:tc>
          <w:tcPr>
            <w:tcW w:w="0" w:type="auto"/>
            <w:vAlign w:val="center"/>
            <w:hideMark/>
          </w:tcPr>
          <w:p w14:paraId="53438A7F"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Rating</w:t>
            </w:r>
          </w:p>
        </w:tc>
        <w:tc>
          <w:tcPr>
            <w:tcW w:w="0" w:type="auto"/>
            <w:vAlign w:val="center"/>
            <w:hideMark/>
          </w:tcPr>
          <w:p w14:paraId="612507DF"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Service Delivery</w:t>
            </w:r>
          </w:p>
        </w:tc>
        <w:tc>
          <w:tcPr>
            <w:tcW w:w="0" w:type="auto"/>
            <w:vAlign w:val="center"/>
            <w:hideMark/>
          </w:tcPr>
          <w:p w14:paraId="64ABD8C4"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Filing and Payment Procedures</w:t>
            </w:r>
          </w:p>
        </w:tc>
      </w:tr>
      <w:tr w:rsidR="00B7514A" w:rsidRPr="00E1344F" w14:paraId="04C493B2" w14:textId="77777777" w:rsidTr="006067EB">
        <w:trPr>
          <w:trHeight w:val="247"/>
          <w:tblCellSpacing w:w="15" w:type="dxa"/>
        </w:trPr>
        <w:tc>
          <w:tcPr>
            <w:tcW w:w="0" w:type="auto"/>
            <w:vAlign w:val="center"/>
            <w:hideMark/>
          </w:tcPr>
          <w:p w14:paraId="518FEA0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Excellent</w:t>
            </w:r>
          </w:p>
        </w:tc>
        <w:tc>
          <w:tcPr>
            <w:tcW w:w="0" w:type="auto"/>
            <w:vAlign w:val="center"/>
            <w:hideMark/>
          </w:tcPr>
          <w:p w14:paraId="1911E2F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31.2%</w:t>
            </w:r>
          </w:p>
        </w:tc>
        <w:tc>
          <w:tcPr>
            <w:tcW w:w="0" w:type="auto"/>
            <w:vAlign w:val="center"/>
            <w:hideMark/>
          </w:tcPr>
          <w:p w14:paraId="5E3DD29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41.9%</w:t>
            </w:r>
          </w:p>
        </w:tc>
      </w:tr>
      <w:tr w:rsidR="00B7514A" w:rsidRPr="00E1344F" w14:paraId="60764EB1" w14:textId="77777777" w:rsidTr="006067EB">
        <w:trPr>
          <w:trHeight w:val="247"/>
          <w:tblCellSpacing w:w="15" w:type="dxa"/>
        </w:trPr>
        <w:tc>
          <w:tcPr>
            <w:tcW w:w="0" w:type="auto"/>
            <w:vAlign w:val="center"/>
            <w:hideMark/>
          </w:tcPr>
          <w:p w14:paraId="0462C6E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Good</w:t>
            </w:r>
          </w:p>
        </w:tc>
        <w:tc>
          <w:tcPr>
            <w:tcW w:w="0" w:type="auto"/>
            <w:vAlign w:val="center"/>
            <w:hideMark/>
          </w:tcPr>
          <w:p w14:paraId="5C75E22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62.0%</w:t>
            </w:r>
          </w:p>
        </w:tc>
        <w:tc>
          <w:tcPr>
            <w:tcW w:w="0" w:type="auto"/>
            <w:vAlign w:val="center"/>
            <w:hideMark/>
          </w:tcPr>
          <w:p w14:paraId="31713E7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52.1%</w:t>
            </w:r>
          </w:p>
        </w:tc>
      </w:tr>
      <w:tr w:rsidR="00B7514A" w:rsidRPr="00E1344F" w14:paraId="264F9897" w14:textId="77777777" w:rsidTr="006067EB">
        <w:trPr>
          <w:trHeight w:val="233"/>
          <w:tblCellSpacing w:w="15" w:type="dxa"/>
        </w:trPr>
        <w:tc>
          <w:tcPr>
            <w:tcW w:w="0" w:type="auto"/>
            <w:vAlign w:val="center"/>
            <w:hideMark/>
          </w:tcPr>
          <w:p w14:paraId="35B5D8F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Fair</w:t>
            </w:r>
          </w:p>
        </w:tc>
        <w:tc>
          <w:tcPr>
            <w:tcW w:w="0" w:type="auto"/>
            <w:vAlign w:val="center"/>
            <w:hideMark/>
          </w:tcPr>
          <w:p w14:paraId="1C51F89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6.8%</w:t>
            </w:r>
          </w:p>
        </w:tc>
        <w:tc>
          <w:tcPr>
            <w:tcW w:w="0" w:type="auto"/>
            <w:vAlign w:val="center"/>
            <w:hideMark/>
          </w:tcPr>
          <w:p w14:paraId="0FBB7A4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6.0%</w:t>
            </w:r>
          </w:p>
        </w:tc>
      </w:tr>
    </w:tbl>
    <w:p w14:paraId="569DB0AC"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7A8F8BD3"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While taxpayer perceptions of malpractice among VAT registrants reveal significant compliance challenges, the quality of service delivery by the tax authority itself presents a contrasting picture when viewed from different perspectives. As shown in Table 13, tax officials rated their own service delivery favorably, with the majority rating both general service delivery (62.0 percent good; 31.2 percent excellent) and filing and payment procedures (52.1 percent good; 41.9 percent excellent) positively. However, this optimistic assessment diverges sharply from the experiences of VAT-registered taxpayers. Despite the favorable ratings from officials, 43.2 percent of VAT-registered taxpayers rated office facilities as poor. Furthermore, open-ended responses revealed that frequent computer system interruptions and delays are significant problems affecting service quality from the taxpayer's perspective. This discrepancy between official self-assessment and user experience suggests that tax authorities may be overlooking critical operational deficiencies that directly impact taxpayer satisfaction and, by extension, compliance behavior. System unreliability not only creates administrative burdens for registered businesses but may also reinforce negative perceptions of the VAT system among potential registrants, further discouraging voluntary compliance. Addressing these infrastructure and reliability issues is therefore essential not only </w:t>
      </w:r>
      <w:r w:rsidRPr="00E1344F">
        <w:rPr>
          <w:rFonts w:ascii="Times New Roman" w:eastAsia="Times New Roman" w:hAnsi="Times New Roman" w:cs="Times New Roman"/>
          <w:kern w:val="0"/>
          <w:sz w:val="24"/>
          <w:szCs w:val="24"/>
          <w14:ligatures w14:val="none"/>
        </w:rPr>
        <w:lastRenderedPageBreak/>
        <w:t>for improving service delivery but also for building trust in the VAT system and encouraging broader registration.</w:t>
      </w:r>
    </w:p>
    <w:p w14:paraId="6FF41995" w14:textId="77777777" w:rsidR="00B7514A" w:rsidRPr="00E1344F" w:rsidRDefault="00B7514A" w:rsidP="00B7514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4.5 Discussion of Findings</w:t>
      </w:r>
    </w:p>
    <w:p w14:paraId="028653C2" w14:textId="77777777"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r w:rsidRPr="00E1344F">
        <w:rPr>
          <w:rFonts w:ascii="Times New Roman" w:eastAsia="Times New Roman" w:hAnsi="Times New Roman" w:cs="Times New Roman"/>
          <w:bCs/>
          <w:kern w:val="0"/>
          <w:sz w:val="24"/>
          <w:szCs w:val="24"/>
          <w14:ligatures w14:val="none"/>
        </w:rPr>
        <w:t>The administration of Value Added Tax (VAT) in Negele Town presents a complex picture of progress intertwined with persistent systemic challenges. Although the town has over eight years of VAT experience, survey results indicate that most registrants registered within the last five years, with construction, retail trade, and hotel services predominating sectors targeted by forced registration policies. This suggests strengthened recent enforcement, though potential taxpayers outside these priority sectors remain unregistered, limiting tax base expansion. Regarding human capital, Cnossen (in Shirazi &amp; Shah, 1991) emphasized that VAT requires literate taxpayers capable of maintaining accounts. This study found that 96.2 percent of taxpayer respondents held diplomas or degrees, and all tax officials held first degrees, providing a strong educational foundation. However, 61 percent of tax officials had less than three years of experience, indicating a lack of institutional knowledge that may compromise effectiveness. This inexperience is consequential: while Negele Town exceeded 100 percent of collection targets from 2018 to 2022, this does not necessarily indicate effectiveness, as many potential taxpayers remain unregistered, suggesting targets may be set below actual revenue potential.</w:t>
      </w:r>
    </w:p>
    <w:p w14:paraId="3D57C0FA" w14:textId="5FC7EB72"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r w:rsidRPr="00E1344F">
        <w:rPr>
          <w:rFonts w:ascii="Times New Roman" w:eastAsia="Times New Roman" w:hAnsi="Times New Roman" w:cs="Times New Roman"/>
          <w:bCs/>
          <w:kern w:val="0"/>
          <w:sz w:val="24"/>
          <w:szCs w:val="24"/>
          <w14:ligatures w14:val="none"/>
        </w:rPr>
        <w:t xml:space="preserve">Taxpayer identification and registration reveal substantial shortcomings. Survey results indicate that tax officials lack sufficient skills for identifying VAT taxpayers, particularly in forced registration through door-to-door income estimation. More concerning is evidence of fraud, where officials intentionally omit potential taxpayers. Tompson and Green (1988) identified failure to register eligible taxpayers as a key shortfall in VAT administration, a problem clearly evident in Negele Town. Unregistered taxpayers create unfair competition for registered businesses and prevent collection of potential revenue. Information systems present another significant constraint. Literature emphasizes that tax information systems should be reliable, comprehensive, and up-to-date (Tait, 1988; World Bank, 2005). However, due to inadequate SIGTAS training, Negele Town lacks a reliable VAT registrant list and cannot effectively monitor stop-filers or non-filers. Similarly, while requiring cash register machines is positive, Gillis et al. (1990) noted that such </w:t>
      </w:r>
      <w:r w:rsidRPr="00E1344F">
        <w:rPr>
          <w:rFonts w:ascii="Times New Roman" w:eastAsia="Times New Roman" w:hAnsi="Times New Roman" w:cs="Times New Roman"/>
          <w:bCs/>
          <w:kern w:val="0"/>
          <w:sz w:val="24"/>
          <w:szCs w:val="24"/>
          <w14:ligatures w14:val="none"/>
        </w:rPr>
        <w:lastRenderedPageBreak/>
        <w:t>machines require effective control to verify sales. In Negele Town, insufficient oversight has enabled manipulation by some taxpayers.</w:t>
      </w:r>
    </w:p>
    <w:p w14:paraId="30C77380" w14:textId="1A334B1D"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r w:rsidRPr="00E1344F">
        <w:rPr>
          <w:rFonts w:ascii="Times New Roman" w:eastAsia="Times New Roman" w:hAnsi="Times New Roman" w:cs="Times New Roman"/>
          <w:bCs/>
          <w:kern w:val="0"/>
          <w:sz w:val="24"/>
          <w:szCs w:val="24"/>
          <w14:ligatures w14:val="none"/>
        </w:rPr>
        <w:t xml:space="preserve">The audit function demonstrates critical weaknesses. Effective VAT administration requires risk-based audit programs to detect non-compliance (Hillman, 2003; Bird &amp; </w:t>
      </w:r>
      <w:proofErr w:type="spellStart"/>
      <w:r w:rsidRPr="00E1344F">
        <w:rPr>
          <w:rFonts w:ascii="Times New Roman" w:eastAsia="Times New Roman" w:hAnsi="Times New Roman" w:cs="Times New Roman"/>
          <w:bCs/>
          <w:kern w:val="0"/>
          <w:sz w:val="24"/>
          <w:szCs w:val="24"/>
          <w14:ligatures w14:val="none"/>
        </w:rPr>
        <w:t>Jantscher</w:t>
      </w:r>
      <w:proofErr w:type="spellEnd"/>
      <w:r w:rsidRPr="00E1344F">
        <w:rPr>
          <w:rFonts w:ascii="Times New Roman" w:eastAsia="Times New Roman" w:hAnsi="Times New Roman" w:cs="Times New Roman"/>
          <w:bCs/>
          <w:kern w:val="0"/>
          <w:sz w:val="24"/>
          <w:szCs w:val="24"/>
          <w14:ligatures w14:val="none"/>
        </w:rPr>
        <w:t xml:space="preserve">, 1991). In Negele Town, manpower shortages have resulted in audits focused on service delivery rather than compliance detection. Consequently, 61.5 percent of tax officials considered audit and enforcement ineffective, and 66.7 percent of taxpayers lacked confidence in audit practices due to perceived incompetence and corruption. The auditor-to-taxpayer ratio illustrates this problem: only 18 auditors served 9,033 taxpayers as of July 2022 (Office Brochure, 2022). Silvani (in Bird &amp; </w:t>
      </w:r>
      <w:proofErr w:type="spellStart"/>
      <w:r w:rsidRPr="00E1344F">
        <w:rPr>
          <w:rFonts w:ascii="Times New Roman" w:eastAsia="Times New Roman" w:hAnsi="Times New Roman" w:cs="Times New Roman"/>
          <w:bCs/>
          <w:kern w:val="0"/>
          <w:sz w:val="24"/>
          <w:szCs w:val="24"/>
          <w14:ligatures w14:val="none"/>
        </w:rPr>
        <w:t>Jantscher</w:t>
      </w:r>
      <w:proofErr w:type="spellEnd"/>
      <w:r w:rsidRPr="00E1344F">
        <w:rPr>
          <w:rFonts w:ascii="Times New Roman" w:eastAsia="Times New Roman" w:hAnsi="Times New Roman" w:cs="Times New Roman"/>
          <w:bCs/>
          <w:kern w:val="0"/>
          <w:sz w:val="24"/>
          <w:szCs w:val="24"/>
          <w14:ligatures w14:val="none"/>
        </w:rPr>
        <w:t xml:space="preserve">, 1991) suggested auditors should constitute 40 percent of tax administration staff in low-evasion countries a standard Negele Town does not meet. Enforcement mechanisms present a mixed picture. While Proclamation No. 203/2011 permits seizure of defaulting taxpayers' property, implementation has only recently begun. VAT Proclamation No. 285/2002 imposes administrative penalties sometimes exceeding 100 percent of tax payable and criminal penalties including imprisonment and fines. Although taxpayers view these penalties as harsh, Hillman (2003) argues that increasing penalties is less costly than increasing detection probability, making stiff penalties appropriate for resource-constrained developing countries. Voluntary compliance remains poor. Over half (56.8 percent) of respondents indicated they would not register without penalties, and 40.6 percent registered only due to penalty threats. Widespread selling without invoices and cash register manipulation further demonstrate low compliance. Silvani (in Bird &amp; </w:t>
      </w:r>
      <w:proofErr w:type="spellStart"/>
      <w:r w:rsidRPr="00E1344F">
        <w:rPr>
          <w:rFonts w:ascii="Times New Roman" w:eastAsia="Times New Roman" w:hAnsi="Times New Roman" w:cs="Times New Roman"/>
          <w:bCs/>
          <w:kern w:val="0"/>
          <w:sz w:val="24"/>
          <w:szCs w:val="24"/>
          <w14:ligatures w14:val="none"/>
        </w:rPr>
        <w:t>Jantscher</w:t>
      </w:r>
      <w:proofErr w:type="spellEnd"/>
      <w:r w:rsidRPr="00E1344F">
        <w:rPr>
          <w:rFonts w:ascii="Times New Roman" w:eastAsia="Times New Roman" w:hAnsi="Times New Roman" w:cs="Times New Roman"/>
          <w:bCs/>
          <w:kern w:val="0"/>
          <w:sz w:val="24"/>
          <w:szCs w:val="24"/>
          <w14:ligatures w14:val="none"/>
        </w:rPr>
        <w:t xml:space="preserve">, 1991) noted that tax administration effectiveness determines voluntary compliance levels the poor compliance observed in Negele Town reflects underlying administrative weaknesses. Service delivery reveals a significant perception gap. While most tax officials rated service positively, 52.6 percent of taxpayers rated office facilities as poor, citing frequent computer interruptions and delays. </w:t>
      </w:r>
      <w:proofErr w:type="spellStart"/>
      <w:r w:rsidRPr="00E1344F">
        <w:rPr>
          <w:rFonts w:ascii="Times New Roman" w:eastAsia="Times New Roman" w:hAnsi="Times New Roman" w:cs="Times New Roman"/>
          <w:bCs/>
          <w:kern w:val="0"/>
          <w:sz w:val="24"/>
          <w:szCs w:val="24"/>
          <w14:ligatures w14:val="none"/>
        </w:rPr>
        <w:t>Hogye</w:t>
      </w:r>
      <w:proofErr w:type="spellEnd"/>
      <w:r w:rsidRPr="00E1344F">
        <w:rPr>
          <w:rFonts w:ascii="Times New Roman" w:eastAsia="Times New Roman" w:hAnsi="Times New Roman" w:cs="Times New Roman"/>
          <w:bCs/>
          <w:kern w:val="0"/>
          <w:sz w:val="24"/>
          <w:szCs w:val="24"/>
          <w14:ligatures w14:val="none"/>
        </w:rPr>
        <w:t xml:space="preserve"> (2000) observed that complex tax administration imposes costs on taxpayers that may lead to avoidance, underscoring the importance of improving service delivery. </w:t>
      </w:r>
    </w:p>
    <w:p w14:paraId="7FD0A3F4" w14:textId="6EA6B051" w:rsidR="00124ECC"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r w:rsidRPr="00E1344F">
        <w:rPr>
          <w:rFonts w:ascii="Times New Roman" w:eastAsia="Times New Roman" w:hAnsi="Times New Roman" w:cs="Times New Roman"/>
          <w:bCs/>
          <w:kern w:val="0"/>
          <w:sz w:val="24"/>
          <w:szCs w:val="24"/>
          <w14:ligatures w14:val="none"/>
        </w:rPr>
        <w:t xml:space="preserve">The cumulative impact of these constraints is substantial. Unskilled and occasionally dishonest staff have left many eligible businesses unregistered, creating unfair competition. Inability to use SIGTAS effectively has enabled some registrants to operate undetected. High nil filer rates </w:t>
      </w:r>
      <w:r w:rsidRPr="00E1344F">
        <w:rPr>
          <w:rFonts w:ascii="Times New Roman" w:eastAsia="Times New Roman" w:hAnsi="Times New Roman" w:cs="Times New Roman"/>
          <w:bCs/>
          <w:kern w:val="0"/>
          <w:sz w:val="24"/>
          <w:szCs w:val="24"/>
          <w14:ligatures w14:val="none"/>
        </w:rPr>
        <w:lastRenderedPageBreak/>
        <w:t>increase administrative burdens without revenue. Absence of risk-based audit allows evaders to escape detection. Weak enforcement perpetuates low compliance, resulting in significant revenue loss. Addressing these interconnected challenges requires comprehensive reform: building staff capacity, strengthening information systems, implementing risk-based audit strategies, and improving service delivery to foster a culture of compliance.</w:t>
      </w:r>
    </w:p>
    <w:p w14:paraId="2D08AFEF" w14:textId="5A1C7261" w:rsidR="005500F4" w:rsidRPr="00E1344F" w:rsidRDefault="005500F4" w:rsidP="005500F4">
      <w:pPr>
        <w:pStyle w:val="ListParagraph"/>
        <w:numPr>
          <w:ilvl w:val="0"/>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t>Conclusion and Recommendation</w:t>
      </w:r>
    </w:p>
    <w:p w14:paraId="2A3ABC27" w14:textId="77777777" w:rsidR="00B7514A" w:rsidRPr="00E1344F" w:rsidRDefault="00B7514A" w:rsidP="00B7514A">
      <w:pPr>
        <w:spacing w:line="360" w:lineRule="auto"/>
        <w:jc w:val="both"/>
        <w:rPr>
          <w:rFonts w:ascii="Times New Roman" w:hAnsi="Times New Roman" w:cs="Times New Roman"/>
          <w:sz w:val="24"/>
        </w:rPr>
      </w:pPr>
      <w:r w:rsidRPr="00E1344F">
        <w:rPr>
          <w:rFonts w:ascii="Times New Roman" w:hAnsi="Times New Roman" w:cs="Times New Roman"/>
          <w:sz w:val="24"/>
        </w:rPr>
        <w:t xml:space="preserve">This study investigated the challenges affecting Value Added Tax (VAT) administration at the Negele Town Revenue Authority, focusing on registration, collection, audit, enforcement, and voluntary compliance, and revealed a paradox of apparent revenue success juxtaposed with deep-seated systemic weaknesses. While tax collection appears robust with revenues growing by 85.5 percent between 2018 and 2022 and VAT's share of total revenue increasing from 16 percent to 54 percent this performance masks fundamental flaws in foundational administrative processes. Taxpayers are predominantly male (64.5 percent), highly educated (96.2 percent holding diplomas or higher), and concentrated in the service sector (67.9 percent), while tax officials, though adequately educated, lack critical experience, with 61 percent serving in their current positions for less than three years. The study identified several critical constraints: taxpayer identification and registration is deeply flawed, with forced registration methods dominating (door-to-door inspections at 68.5 percent and sector-based registration at 24.3 percent) while voluntary registration remains negligible at just 7.2 percent; alarmingly, 62.4 percent of respondents believe many eligible businesses remain unregistered, with 52.6 percent citing officials' lack of skills and 46.6 percent reporting intentional omission of taxpayers by corrupt officials, confirming Tompson and Green's (1988) observation that failure to register eligible taxpayers represents a fundamental shortfall in VAT administration. Information systems further compound these problems, as inadequate SIGTAS training has rendered the authority unable to maintain a reliable registrant database or effectively monitor stop-filers and non-filers, while weak control over cash register machines has enabled manipulation. The audit function is critically under-resourced and misdirected, with only 18 auditors serving 9,033 taxpayers far below Silvani's recommended 40 percent of staff resulting in audits focused on routine service delivery rather than risk-based compliance detection, and consequently, 61.5 percent of officials and 66.7 percent of taxpayers lack confidence in audit effectiveness, citing incompetence and corruption. Voluntary compliance </w:t>
      </w:r>
      <w:r w:rsidRPr="00E1344F">
        <w:rPr>
          <w:rFonts w:ascii="Times New Roman" w:hAnsi="Times New Roman" w:cs="Times New Roman"/>
          <w:sz w:val="24"/>
        </w:rPr>
        <w:lastRenderedPageBreak/>
        <w:t xml:space="preserve">remains profoundly weak: over half (56.8 percent) of respondents would not register without penalty threats, and 40.6 percent admitted registering only due to enforcement pressure, with the primary deterrents fear of unfair competition from unregistered businesses (62.7 percent) and poor administrative systems (48.3 percent) being themselves products of administrative failure, while even among registered taxpayers, malpractice is widespread, with 67.5 percent reporting sales without invoices and 45.2 percent acknowledging fake invoice usage. Service delivery reveals a troubling perception gap: while officials rate their performance positively, 52.6 percent of taxpayer’s rate facilities as poor, citing frequent system interruptions and delays, confirming </w:t>
      </w:r>
      <w:proofErr w:type="spellStart"/>
      <w:r w:rsidRPr="00E1344F">
        <w:rPr>
          <w:rFonts w:ascii="Times New Roman" w:hAnsi="Times New Roman" w:cs="Times New Roman"/>
          <w:sz w:val="24"/>
        </w:rPr>
        <w:t>Hogye's</w:t>
      </w:r>
      <w:proofErr w:type="spellEnd"/>
      <w:r w:rsidRPr="00E1344F">
        <w:rPr>
          <w:rFonts w:ascii="Times New Roman" w:hAnsi="Times New Roman" w:cs="Times New Roman"/>
          <w:sz w:val="24"/>
        </w:rPr>
        <w:t xml:space="preserve"> (2000) observation that complex administration imposes costs leading to avoidance. In conclusion, the challenges facing VAT administration in Negele Town are interconnected and mutually reinforcing: unskilled and occasionally dishonest staff undermine registration, ineffective information systems enable undetected non-compliance, under-resourced audits fail to deter evasion, and weak enforcement perpetuates low voluntary compliance, collectively creating an environment where non-compliance is rational even for registered taxpayers facing unfair competition from unregistered competitors resulting in significant revenue loss and a VAT system operating far below its potential.</w:t>
      </w:r>
    </w:p>
    <w:p w14:paraId="59341FC7" w14:textId="2A50EE46" w:rsidR="00B7514A" w:rsidRPr="00E1344F" w:rsidRDefault="00B7514A" w:rsidP="00B7514A">
      <w:pPr>
        <w:spacing w:line="360" w:lineRule="auto"/>
        <w:jc w:val="both"/>
        <w:rPr>
          <w:rFonts w:ascii="Times New Roman" w:hAnsi="Times New Roman" w:cs="Times New Roman"/>
          <w:sz w:val="24"/>
        </w:rPr>
      </w:pPr>
      <w:r w:rsidRPr="00E1344F">
        <w:rPr>
          <w:rFonts w:ascii="Times New Roman" w:hAnsi="Times New Roman" w:cs="Times New Roman"/>
          <w:sz w:val="24"/>
        </w:rPr>
        <w:t xml:space="preserve">Based on the findings and conclusions of this study, the following recommendations are proposed to address the challenges affecting VAT administration in Negele Town. First, the authority must strengthen taxpayer identification and registration by building staff technical capacity through comprehensive training on income estimation methods, ethical conduct, and the legal framework, while implementing robust oversight mechanisms to address intentional under-registration and gradually shifting from forced registration toward strategies that encourage voluntary compliance through taxpayer education. Second, immediate and comprehensive training on the SIGTAS system is essential to enable accurate maintenance of the VAT registrant database and effective monitoring of stop-filers and non-filers, alongside stronger controls over cash register machines through regular inspections and sales reconciliation to prevent manipulation. Third, audit practices require fundamental restructuring through the development of risk-based audit programs that prioritize high non-compliance sectors, increasing the number of qualified auditors toward Silvani's recommended 40 percent of staff, and enhancing auditor competency through specialized training in fraud detection and ethical practice to rebuild taxpayer confidence. Fourth, enforcement mechanisms must be strengthened by accelerating seizure and sale procedures for defaulting </w:t>
      </w:r>
      <w:r w:rsidRPr="00E1344F">
        <w:rPr>
          <w:rFonts w:ascii="Times New Roman" w:hAnsi="Times New Roman" w:cs="Times New Roman"/>
          <w:sz w:val="24"/>
        </w:rPr>
        <w:lastRenderedPageBreak/>
        <w:t xml:space="preserve">taxpayers, ensuring consistent and transparent penalty application, and publicizing enforcement actions to enhance deterrent impact while maintaining efforts to increase detection probability as Hillman (2003) advocates. Fifth, service delivery improvements are urgently needed to address the perception gap between officials and taxpayers, requiring investment in reliable computer systems to minimize interruptions, establishment of service delivery standards, regular taxpayer feedback collection, and simplification of filing and payment procedures to reduce compliance costs as suggested by </w:t>
      </w:r>
      <w:proofErr w:type="spellStart"/>
      <w:r w:rsidRPr="00E1344F">
        <w:rPr>
          <w:rFonts w:ascii="Times New Roman" w:hAnsi="Times New Roman" w:cs="Times New Roman"/>
          <w:sz w:val="24"/>
        </w:rPr>
        <w:t>Hogye</w:t>
      </w:r>
      <w:proofErr w:type="spellEnd"/>
      <w:r w:rsidRPr="00E1344F">
        <w:rPr>
          <w:rFonts w:ascii="Times New Roman" w:hAnsi="Times New Roman" w:cs="Times New Roman"/>
          <w:sz w:val="24"/>
        </w:rPr>
        <w:t xml:space="preserve"> (2000). Sixth, promoting voluntary compliance requires a multi-pronged approach addressing unfair competition through intensified registration of unregistered businesses, taxpayer education addressing specific fears about VAT invoices and income tax assessments, and consistent enforcement against non-compliant registrants to signal that evasion carries real consequences. Seventh, given male dominance among VAT registrants, the authority should adopt gender-sensitive approaches by studying barriers facing female-owned businesses and developing targeted outreach programs including simplified procedures, mentorship, and collaboration with women's business associations. Eighth, leveraging the high educational attainment among taxpayers, communications should focus on specific VAT obligations, consequences of non-compliance, and public benefits of tax revenue rather than basic tax education. Finally, future research should explore barriers to VAT registration among female-owned businesses, conduct comparative studies across Ethiopian towns to distinguish context-specific from systemic problems, and investigate the effectiveness of different audit selection methods in resource-constrained environments. By implementing these recommendations in a coordinated manner, the Negele Town Revenue Authority can address the interconnected challenges identified in this study, moving toward more effective, efficient, and equitable VAT administration that maximizes revenue potential while fostering a culture of voluntary compliance.</w:t>
      </w:r>
    </w:p>
    <w:p w14:paraId="737C0DF2" w14:textId="77777777" w:rsidR="00FE1CE0" w:rsidRPr="00E1344F" w:rsidRDefault="00FE1CE0" w:rsidP="00B7514A">
      <w:pPr>
        <w:spacing w:line="360" w:lineRule="auto"/>
        <w:jc w:val="both"/>
        <w:rPr>
          <w:rFonts w:ascii="Times New Roman" w:hAnsi="Times New Roman" w:cs="Times New Roman"/>
          <w:sz w:val="24"/>
        </w:rPr>
      </w:pPr>
    </w:p>
    <w:p w14:paraId="793001D5" w14:textId="77777777" w:rsidR="00FE1CE0" w:rsidRPr="00E1344F" w:rsidRDefault="00FE1CE0" w:rsidP="00B7514A">
      <w:pPr>
        <w:spacing w:line="360" w:lineRule="auto"/>
        <w:jc w:val="both"/>
        <w:rPr>
          <w:rFonts w:ascii="Times New Roman" w:hAnsi="Times New Roman" w:cs="Times New Roman"/>
          <w:sz w:val="24"/>
        </w:rPr>
      </w:pPr>
    </w:p>
    <w:p w14:paraId="41C35193" w14:textId="77777777" w:rsidR="00FE1CE0" w:rsidRPr="00E1344F" w:rsidRDefault="00FE1CE0" w:rsidP="00B7514A">
      <w:pPr>
        <w:spacing w:line="360" w:lineRule="auto"/>
        <w:jc w:val="both"/>
        <w:rPr>
          <w:rFonts w:ascii="Times New Roman" w:hAnsi="Times New Roman" w:cs="Times New Roman"/>
          <w:sz w:val="24"/>
        </w:rPr>
      </w:pPr>
    </w:p>
    <w:p w14:paraId="7D1D3E5A" w14:textId="77777777" w:rsidR="00FE1CE0" w:rsidRPr="00E1344F" w:rsidRDefault="00FE1CE0" w:rsidP="00B7514A">
      <w:pPr>
        <w:spacing w:line="360" w:lineRule="auto"/>
        <w:jc w:val="both"/>
        <w:rPr>
          <w:rFonts w:ascii="Times New Roman" w:hAnsi="Times New Roman" w:cs="Times New Roman"/>
          <w:sz w:val="24"/>
        </w:rPr>
      </w:pPr>
    </w:p>
    <w:p w14:paraId="65EE0D9C" w14:textId="77777777" w:rsidR="00FE1CE0" w:rsidRPr="00E1344F" w:rsidRDefault="00FE1CE0" w:rsidP="00B7514A">
      <w:pPr>
        <w:spacing w:line="360" w:lineRule="auto"/>
        <w:jc w:val="both"/>
        <w:rPr>
          <w:rFonts w:ascii="Times New Roman" w:hAnsi="Times New Roman" w:cs="Times New Roman"/>
          <w:sz w:val="24"/>
        </w:rPr>
      </w:pPr>
    </w:p>
    <w:p w14:paraId="4692E410" w14:textId="77777777" w:rsidR="009F418A" w:rsidRPr="00E1344F" w:rsidRDefault="009F418A" w:rsidP="00B7514A">
      <w:pPr>
        <w:spacing w:line="360" w:lineRule="auto"/>
        <w:jc w:val="both"/>
        <w:rPr>
          <w:rFonts w:ascii="Times New Roman" w:hAnsi="Times New Roman" w:cs="Times New Roman"/>
          <w:sz w:val="24"/>
        </w:rPr>
      </w:pPr>
    </w:p>
    <w:p w14:paraId="0A903A62" w14:textId="54A15983" w:rsidR="005500F4" w:rsidRPr="00E1344F" w:rsidRDefault="005500F4" w:rsidP="005500F4">
      <w:pPr>
        <w:pStyle w:val="ListParagraph"/>
        <w:numPr>
          <w:ilvl w:val="0"/>
          <w:numId w:val="8"/>
        </w:numPr>
        <w:spacing w:line="360" w:lineRule="auto"/>
        <w:jc w:val="both"/>
        <w:rPr>
          <w:rFonts w:ascii="Times New Roman" w:hAnsi="Times New Roman" w:cs="Times New Roman"/>
          <w:b/>
          <w:sz w:val="28"/>
        </w:rPr>
      </w:pPr>
      <w:r w:rsidRPr="00E1344F">
        <w:rPr>
          <w:rFonts w:ascii="Times New Roman" w:hAnsi="Times New Roman" w:cs="Times New Roman"/>
          <w:b/>
          <w:sz w:val="28"/>
        </w:rPr>
        <w:lastRenderedPageBreak/>
        <w:t>References</w:t>
      </w:r>
    </w:p>
    <w:p w14:paraId="409907E3" w14:textId="77777777" w:rsidR="00FE1CE0" w:rsidRPr="00E1344F" w:rsidRDefault="00FE1CE0" w:rsidP="00FE1CE0">
      <w:pPr>
        <w:pStyle w:val="ds-markdown-paragraph"/>
      </w:pPr>
      <w:r w:rsidRPr="00E1344F">
        <w:t xml:space="preserve">  AACRA (Addis Ababa City Revenue Authority). (2010). </w:t>
      </w:r>
      <w:r w:rsidRPr="00E1344F">
        <w:rPr>
          <w:rStyle w:val="Emphasis"/>
        </w:rPr>
        <w:t>Annual report on tax collection performance</w:t>
      </w:r>
      <w:r w:rsidRPr="00E1344F">
        <w:t>. Addis Ababa: AACRA.</w:t>
      </w:r>
    </w:p>
    <w:p w14:paraId="49D076A4" w14:textId="77777777" w:rsidR="00FE1CE0" w:rsidRPr="00E1344F" w:rsidRDefault="00FE1CE0" w:rsidP="00FE1CE0">
      <w:pPr>
        <w:pStyle w:val="ds-markdown-paragraph"/>
      </w:pPr>
      <w:r w:rsidRPr="00E1344F">
        <w:t xml:space="preserve">Alan, S., &amp; Oliver, O. (2001). </w:t>
      </w:r>
      <w:r w:rsidRPr="00E1344F">
        <w:rPr>
          <w:rStyle w:val="Emphasis"/>
        </w:rPr>
        <w:t>Value added tax: A comparative approach</w:t>
      </w:r>
      <w:r w:rsidRPr="00E1344F">
        <w:t>. Cambridge: Cambridge University Press.</w:t>
      </w:r>
    </w:p>
    <w:p w14:paraId="5D644FFC" w14:textId="77777777" w:rsidR="00FE1CE0" w:rsidRPr="00E1344F" w:rsidRDefault="00FE1CE0" w:rsidP="00FE1CE0">
      <w:pPr>
        <w:pStyle w:val="ds-markdown-paragraph"/>
      </w:pPr>
      <w:r w:rsidRPr="00E1344F">
        <w:t xml:space="preserve">Amin, M. E. (2005). </w:t>
      </w:r>
      <w:r w:rsidRPr="00E1344F">
        <w:rPr>
          <w:rStyle w:val="Emphasis"/>
        </w:rPr>
        <w:t>Social science research: Conception, methodology and analysis</w:t>
      </w:r>
      <w:r w:rsidRPr="00E1344F">
        <w:t>. Kampala: Makerere University Printery.</w:t>
      </w:r>
    </w:p>
    <w:p w14:paraId="6C5D71A7" w14:textId="77777777" w:rsidR="00FE1CE0" w:rsidRPr="00E1344F" w:rsidRDefault="00FE1CE0" w:rsidP="00FE1CE0">
      <w:pPr>
        <w:pStyle w:val="ds-markdown-paragraph"/>
      </w:pPr>
      <w:r w:rsidRPr="00E1344F">
        <w:t xml:space="preserve">Amina, A., &amp; Saniya, S. (2015). Assessment of factors affecting taxpayer compliance in </w:t>
      </w:r>
      <w:proofErr w:type="spellStart"/>
      <w:r w:rsidRPr="00E1344F">
        <w:t>Guji</w:t>
      </w:r>
      <w:proofErr w:type="spellEnd"/>
      <w:r w:rsidRPr="00E1344F">
        <w:t xml:space="preserve"> Zone. </w:t>
      </w:r>
      <w:r w:rsidRPr="00E1344F">
        <w:rPr>
          <w:rStyle w:val="Emphasis"/>
        </w:rPr>
        <w:t>Journal of Ethiopian Tax Studies</w:t>
      </w:r>
      <w:r w:rsidRPr="00E1344F">
        <w:t>, 3(2), 45-67.</w:t>
      </w:r>
    </w:p>
    <w:p w14:paraId="57DDFE37" w14:textId="77777777" w:rsidR="00FE1CE0" w:rsidRPr="00E1344F" w:rsidRDefault="00FE1CE0" w:rsidP="00FE1CE0">
      <w:pPr>
        <w:pStyle w:val="ds-markdown-paragraph"/>
      </w:pPr>
      <w:r w:rsidRPr="00E1344F">
        <w:t xml:space="preserve">Andrew Okello, A. (2014). Managing tax administration functions in developing countries. </w:t>
      </w:r>
      <w:r w:rsidRPr="00E1344F">
        <w:rPr>
          <w:rStyle w:val="Emphasis"/>
        </w:rPr>
        <w:t>International Tax Dialogue</w:t>
      </w:r>
      <w:r w:rsidRPr="00E1344F">
        <w:t>, 5(1), 12-28.</w:t>
      </w:r>
    </w:p>
    <w:p w14:paraId="7A6E6935" w14:textId="77777777" w:rsidR="00FE1CE0" w:rsidRPr="00E1344F" w:rsidRDefault="00FE1CE0" w:rsidP="00FE1CE0">
      <w:pPr>
        <w:pStyle w:val="ds-markdown-paragraph"/>
      </w:pPr>
      <w:r w:rsidRPr="00E1344F">
        <w:t xml:space="preserve">Ayele, Z. (2013). Tax-to-GDP ratio and fiscal deficits in Ethiopia. </w:t>
      </w:r>
      <w:r w:rsidRPr="00E1344F">
        <w:rPr>
          <w:rStyle w:val="Emphasis"/>
        </w:rPr>
        <w:t>Ethiopian Journal of Economics</w:t>
      </w:r>
      <w:r w:rsidRPr="00E1344F">
        <w:t>, 22(1), 78-95.</w:t>
      </w:r>
    </w:p>
    <w:p w14:paraId="78C6FF4D" w14:textId="77777777" w:rsidR="00FE1CE0" w:rsidRPr="00E1344F" w:rsidRDefault="00FE1CE0" w:rsidP="00FE1CE0">
      <w:pPr>
        <w:pStyle w:val="ds-markdown-paragraph"/>
      </w:pPr>
      <w:r w:rsidRPr="00E1344F">
        <w:t xml:space="preserve">Babbie, E. (2002). </w:t>
      </w:r>
      <w:r w:rsidRPr="00E1344F">
        <w:rPr>
          <w:rStyle w:val="Emphasis"/>
        </w:rPr>
        <w:t>The practice of social research</w:t>
      </w:r>
      <w:r w:rsidRPr="00E1344F">
        <w:t xml:space="preserve"> (10th ed.). Belmont, CA: Wadsworth Publishing.</w:t>
      </w:r>
    </w:p>
    <w:p w14:paraId="053D204B" w14:textId="77777777" w:rsidR="00FE1CE0" w:rsidRPr="00E1344F" w:rsidRDefault="00FE1CE0" w:rsidP="00FE1CE0">
      <w:pPr>
        <w:pStyle w:val="ds-markdown-paragraph"/>
      </w:pPr>
      <w:r w:rsidRPr="00E1344F">
        <w:t xml:space="preserve">Baurer, L. (2005). Tax administrations and small and medium enterprises in developing countries. </w:t>
      </w:r>
      <w:r w:rsidRPr="00E1344F">
        <w:rPr>
          <w:rStyle w:val="Emphasis"/>
        </w:rPr>
        <w:t>World Bank Small Enterprise Development Journal</w:t>
      </w:r>
      <w:r w:rsidRPr="00E1344F">
        <w:t>, 16(2), 35-48.</w:t>
      </w:r>
    </w:p>
    <w:p w14:paraId="150C7F57" w14:textId="77777777" w:rsidR="00FE1CE0" w:rsidRPr="00E1344F" w:rsidRDefault="00FE1CE0" w:rsidP="00FE1CE0">
      <w:pPr>
        <w:pStyle w:val="ds-markdown-paragraph"/>
      </w:pPr>
      <w:r w:rsidRPr="00E1344F">
        <w:t xml:space="preserve">Bhatia, H. L. (2003). </w:t>
      </w:r>
      <w:r w:rsidRPr="00E1344F">
        <w:rPr>
          <w:rStyle w:val="Emphasis"/>
        </w:rPr>
        <w:t>Public finance</w:t>
      </w:r>
      <w:r w:rsidRPr="00E1344F">
        <w:t xml:space="preserve"> (26th ed.). New Delhi: Vikas Publishing House.</w:t>
      </w:r>
    </w:p>
    <w:p w14:paraId="1B7DF8E3" w14:textId="77777777" w:rsidR="00FE1CE0" w:rsidRPr="00E1344F" w:rsidRDefault="00FE1CE0" w:rsidP="00FE1CE0">
      <w:pPr>
        <w:pStyle w:val="ds-markdown-paragraph"/>
      </w:pPr>
      <w:r w:rsidRPr="00E1344F">
        <w:t xml:space="preserve">Bird, R. M. (2008). Tax challenges facing developing countries. </w:t>
      </w:r>
      <w:r w:rsidRPr="00E1344F">
        <w:rPr>
          <w:rStyle w:val="Emphasis"/>
        </w:rPr>
        <w:t>Institute for International Business Working Paper</w:t>
      </w:r>
      <w:r w:rsidRPr="00E1344F">
        <w:t>, University of Toronto.</w:t>
      </w:r>
    </w:p>
    <w:p w14:paraId="4AC1CC7E" w14:textId="77777777" w:rsidR="00FE1CE0" w:rsidRPr="00E1344F" w:rsidRDefault="00FE1CE0" w:rsidP="00FE1CE0">
      <w:pPr>
        <w:pStyle w:val="ds-markdown-paragraph"/>
      </w:pPr>
      <w:r w:rsidRPr="00E1344F">
        <w:t xml:space="preserve">Bird, R. M., &amp; Gendron, P. P. (2007). </w:t>
      </w:r>
      <w:r w:rsidRPr="00E1344F">
        <w:rPr>
          <w:rStyle w:val="Emphasis"/>
        </w:rPr>
        <w:t>The VAT in developing and transitional countries</w:t>
      </w:r>
      <w:r w:rsidRPr="00E1344F">
        <w:t>. Cambridge: Cambridge University Press.</w:t>
      </w:r>
    </w:p>
    <w:p w14:paraId="07CEE82D" w14:textId="77777777" w:rsidR="00FE1CE0" w:rsidRPr="00E1344F" w:rsidRDefault="00FE1CE0" w:rsidP="00FE1CE0">
      <w:pPr>
        <w:pStyle w:val="ds-markdown-paragraph"/>
      </w:pPr>
      <w:r w:rsidRPr="00E1344F">
        <w:t xml:space="preserve">Bird, R. M., &amp; </w:t>
      </w:r>
      <w:proofErr w:type="spellStart"/>
      <w:r w:rsidRPr="00E1344F">
        <w:t>Jantscher</w:t>
      </w:r>
      <w:proofErr w:type="spellEnd"/>
      <w:r w:rsidRPr="00E1344F">
        <w:t xml:space="preserve">, M. C. (1991). </w:t>
      </w:r>
      <w:r w:rsidRPr="00E1344F">
        <w:rPr>
          <w:rStyle w:val="Emphasis"/>
        </w:rPr>
        <w:t>Improving tax administration in developing countries</w:t>
      </w:r>
      <w:r w:rsidRPr="00E1344F">
        <w:t>. Washington, DC: International Monetary Fund.</w:t>
      </w:r>
    </w:p>
    <w:p w14:paraId="27ADB721" w14:textId="77777777" w:rsidR="00FE1CE0" w:rsidRPr="00E1344F" w:rsidRDefault="00FE1CE0" w:rsidP="00FE1CE0">
      <w:pPr>
        <w:pStyle w:val="ds-markdown-paragraph"/>
      </w:pPr>
      <w:r w:rsidRPr="00E1344F">
        <w:t xml:space="preserve">Bird, R. M., &amp; </w:t>
      </w:r>
      <w:proofErr w:type="spellStart"/>
      <w:r w:rsidRPr="00E1344F">
        <w:t>Zolt</w:t>
      </w:r>
      <w:proofErr w:type="spellEnd"/>
      <w:r w:rsidRPr="00E1344F">
        <w:t xml:space="preserve">, E. M. (2005). Redistribution via taxation: The limited role of the personal income tax in developing countries. </w:t>
      </w:r>
      <w:r w:rsidRPr="00E1344F">
        <w:rPr>
          <w:rStyle w:val="Emphasis"/>
        </w:rPr>
        <w:t>UCLA Law Review</w:t>
      </w:r>
      <w:r w:rsidRPr="00E1344F">
        <w:t>, 52(6), 1627-1695.</w:t>
      </w:r>
    </w:p>
    <w:p w14:paraId="4E5729FB" w14:textId="77777777" w:rsidR="00FE1CE0" w:rsidRPr="00E1344F" w:rsidRDefault="00FE1CE0" w:rsidP="00FE1CE0">
      <w:pPr>
        <w:pStyle w:val="ds-markdown-paragraph"/>
      </w:pPr>
      <w:proofErr w:type="spellStart"/>
      <w:r w:rsidRPr="00E1344F">
        <w:t>Bizualem</w:t>
      </w:r>
      <w:proofErr w:type="spellEnd"/>
      <w:r w:rsidRPr="00E1344F">
        <w:t xml:space="preserve">, T. (2015). Challenges of value added tax administration in Ethiopia: The case of Addis Ababa City Administration. </w:t>
      </w:r>
      <w:r w:rsidRPr="00E1344F">
        <w:rPr>
          <w:rStyle w:val="Emphasis"/>
        </w:rPr>
        <w:t>Unpublished Master's Thesis</w:t>
      </w:r>
      <w:r w:rsidRPr="00E1344F">
        <w:t>, Addis Ababa University.</w:t>
      </w:r>
    </w:p>
    <w:p w14:paraId="00F2567B" w14:textId="77777777" w:rsidR="00FE1CE0" w:rsidRPr="00E1344F" w:rsidRDefault="00FE1CE0" w:rsidP="00FE1CE0">
      <w:pPr>
        <w:pStyle w:val="ds-markdown-paragraph"/>
      </w:pPr>
      <w:r w:rsidRPr="00E1344F">
        <w:t xml:space="preserve">Bryman, A., &amp; Bell, E. (2015). </w:t>
      </w:r>
      <w:r w:rsidRPr="00E1344F">
        <w:rPr>
          <w:rStyle w:val="Emphasis"/>
        </w:rPr>
        <w:t>Business research methods</w:t>
      </w:r>
      <w:r w:rsidRPr="00E1344F">
        <w:t xml:space="preserve"> (4th ed.). Oxford: Oxford University Press.</w:t>
      </w:r>
    </w:p>
    <w:p w14:paraId="6BEC6D6B" w14:textId="77777777" w:rsidR="00FE1CE0" w:rsidRPr="00E1344F" w:rsidRDefault="00FE1CE0" w:rsidP="00FE1CE0">
      <w:pPr>
        <w:pStyle w:val="ds-markdown-paragraph"/>
      </w:pPr>
      <w:r w:rsidRPr="00E1344F">
        <w:lastRenderedPageBreak/>
        <w:t xml:space="preserve">Cnossen, S. (1998). Value-added tax in developing countries. In P. Shome (Ed.), </w:t>
      </w:r>
      <w:r w:rsidRPr="00E1344F">
        <w:rPr>
          <w:rStyle w:val="Emphasis"/>
        </w:rPr>
        <w:t>Tax policy handbook</w:t>
      </w:r>
      <w:r w:rsidRPr="00E1344F">
        <w:t xml:space="preserve"> (pp. 210-230). Washington, DC: International Monetary Fund.</w:t>
      </w:r>
    </w:p>
    <w:p w14:paraId="682E9FAD" w14:textId="77777777" w:rsidR="00FE1CE0" w:rsidRPr="00E1344F" w:rsidRDefault="00FE1CE0" w:rsidP="00FE1CE0">
      <w:pPr>
        <w:pStyle w:val="ds-markdown-paragraph"/>
      </w:pPr>
      <w:r w:rsidRPr="00E1344F">
        <w:t xml:space="preserve">Cnossen, S. (1991). Designing a VAT for South Africa. In F. Shirazi &amp; A. Shah (Eds.), </w:t>
      </w:r>
      <w:r w:rsidRPr="00E1344F">
        <w:rPr>
          <w:rStyle w:val="Emphasis"/>
        </w:rPr>
        <w:t>Tax policy in developing countries</w:t>
      </w:r>
      <w:r w:rsidRPr="00E1344F">
        <w:t xml:space="preserve"> (pp. 145-168). Washington, DC: World Bank.</w:t>
      </w:r>
    </w:p>
    <w:p w14:paraId="5FB09453" w14:textId="77777777" w:rsidR="00FE1CE0" w:rsidRPr="00E1344F" w:rsidRDefault="00FE1CE0" w:rsidP="00FE1CE0">
      <w:pPr>
        <w:pStyle w:val="ds-markdown-paragraph"/>
      </w:pPr>
      <w:r w:rsidRPr="00E1344F">
        <w:t xml:space="preserve">Dennis, F., &amp; Emmanuel, O. (2014). Domestic resource mobilization and economic development. </w:t>
      </w:r>
      <w:r w:rsidRPr="00E1344F">
        <w:rPr>
          <w:rStyle w:val="Emphasis"/>
        </w:rPr>
        <w:t>African Development Review</w:t>
      </w:r>
      <w:r w:rsidRPr="00E1344F">
        <w:t>, 26(1), 1-15.</w:t>
      </w:r>
    </w:p>
    <w:p w14:paraId="14372440" w14:textId="77777777" w:rsidR="00FE1CE0" w:rsidRPr="00E1344F" w:rsidRDefault="00FE1CE0" w:rsidP="00FE1CE0">
      <w:pPr>
        <w:pStyle w:val="ds-markdown-paragraph"/>
      </w:pPr>
      <w:r w:rsidRPr="00E1344F">
        <w:t xml:space="preserve">Dheressa, T., </w:t>
      </w:r>
      <w:proofErr w:type="spellStart"/>
      <w:r w:rsidRPr="00E1344F">
        <w:t>Tolossa</w:t>
      </w:r>
      <w:proofErr w:type="spellEnd"/>
      <w:r w:rsidRPr="00E1344F">
        <w:t xml:space="preserve">, D., &amp; </w:t>
      </w:r>
      <w:proofErr w:type="spellStart"/>
      <w:r w:rsidRPr="00E1344F">
        <w:t>Wakjira</w:t>
      </w:r>
      <w:proofErr w:type="spellEnd"/>
      <w:r w:rsidRPr="00E1344F">
        <w:t xml:space="preserve">, T. (2015). Assessment of value added tax administration in East </w:t>
      </w:r>
      <w:proofErr w:type="spellStart"/>
      <w:r w:rsidRPr="00E1344F">
        <w:t>Wollega</w:t>
      </w:r>
      <w:proofErr w:type="spellEnd"/>
      <w:r w:rsidRPr="00E1344F">
        <w:t xml:space="preserve"> Zone. </w:t>
      </w:r>
      <w:r w:rsidRPr="00E1344F">
        <w:rPr>
          <w:rStyle w:val="Emphasis"/>
        </w:rPr>
        <w:t>Journal of Accounting and Taxation</w:t>
      </w:r>
      <w:r w:rsidRPr="00E1344F">
        <w:t>, 7(4), 68-82.</w:t>
      </w:r>
    </w:p>
    <w:p w14:paraId="4572D421" w14:textId="5583466A" w:rsidR="006B14DD" w:rsidRPr="00E1344F" w:rsidRDefault="006B14DD" w:rsidP="00FE1CE0">
      <w:pPr>
        <w:pStyle w:val="ds-markdown-paragraph"/>
      </w:pPr>
      <w:proofErr w:type="spellStart"/>
      <w:r w:rsidRPr="00E1344F">
        <w:t>Dilgasa</w:t>
      </w:r>
      <w:proofErr w:type="spellEnd"/>
      <w:r w:rsidRPr="00E1344F">
        <w:t>. B. (2021). Assessment of Value Added Tax Administration (The case of Bule Hora Town). Journal of Indigenous Knowledge and Development Studies (JIKDS), 02(02), 2708–2830.</w:t>
      </w:r>
    </w:p>
    <w:p w14:paraId="3095E8D5" w14:textId="6140E195" w:rsidR="00FE1CE0" w:rsidRPr="00E1344F" w:rsidRDefault="00FE1CE0" w:rsidP="00FE1CE0">
      <w:pPr>
        <w:pStyle w:val="ds-markdown-paragraph"/>
      </w:pPr>
      <w:r w:rsidRPr="00E1344F">
        <w:t xml:space="preserve">Ebrill, L., &amp; Keen, M. (2001). The modern VAT. </w:t>
      </w:r>
      <w:r w:rsidRPr="00E1344F">
        <w:rPr>
          <w:rStyle w:val="Emphasis"/>
        </w:rPr>
        <w:t>Finance and Development</w:t>
      </w:r>
      <w:r w:rsidRPr="00E1344F">
        <w:t>, 38(4), 18-21.</w:t>
      </w:r>
    </w:p>
    <w:p w14:paraId="0211FDC9" w14:textId="77777777" w:rsidR="00FE1CE0" w:rsidRPr="00E1344F" w:rsidRDefault="00FE1CE0" w:rsidP="00FE1CE0">
      <w:pPr>
        <w:pStyle w:val="ds-markdown-paragraph"/>
      </w:pPr>
      <w:r w:rsidRPr="00E1344F">
        <w:t xml:space="preserve">Ebrill, L., Keen, M., Bodin, J. P., &amp; Summers, V. (2001). </w:t>
      </w:r>
      <w:r w:rsidRPr="00E1344F">
        <w:rPr>
          <w:rStyle w:val="Emphasis"/>
        </w:rPr>
        <w:t>The modern VAT</w:t>
      </w:r>
      <w:r w:rsidRPr="00E1344F">
        <w:t>. Washington, DC: International Monetary Fund.</w:t>
      </w:r>
    </w:p>
    <w:p w14:paraId="0741C9A9" w14:textId="77777777" w:rsidR="00FE1CE0" w:rsidRPr="00E1344F" w:rsidRDefault="00FE1CE0" w:rsidP="00FE1CE0">
      <w:pPr>
        <w:pStyle w:val="ds-markdown-paragraph"/>
      </w:pPr>
      <w:r w:rsidRPr="00E1344F">
        <w:t xml:space="preserve">Edmiston, K. D., &amp; Bird, R. M. (2004). Taxing consumption in Jamaica: The case for value-added tax. </w:t>
      </w:r>
      <w:r w:rsidRPr="00E1344F">
        <w:rPr>
          <w:rStyle w:val="Emphasis"/>
        </w:rPr>
        <w:t>Journal of Caribbean Economics</w:t>
      </w:r>
      <w:r w:rsidRPr="00E1344F">
        <w:t>, 3(1), 45-68.</w:t>
      </w:r>
    </w:p>
    <w:p w14:paraId="01E2105F" w14:textId="77777777" w:rsidR="00FE1CE0" w:rsidRPr="00E1344F" w:rsidRDefault="00FE1CE0" w:rsidP="00FE1CE0">
      <w:pPr>
        <w:pStyle w:val="ds-markdown-paragraph"/>
      </w:pPr>
      <w:r w:rsidRPr="00E1344F">
        <w:t>FRCA (Federal Revenue and Customs Authority). (2010). *Tax revenue performance report 2007/08-2009/10*. Addis Ababa: FRCA.</w:t>
      </w:r>
    </w:p>
    <w:p w14:paraId="589ACAEB" w14:textId="77777777" w:rsidR="00FE1CE0" w:rsidRPr="00E1344F" w:rsidRDefault="00FE1CE0" w:rsidP="00FE1CE0">
      <w:pPr>
        <w:pStyle w:val="ds-markdown-paragraph"/>
      </w:pPr>
      <w:r w:rsidRPr="00E1344F">
        <w:t xml:space="preserve">Gillis, M., Shoup, C. S., &amp; Sicat, G. P. (1990). </w:t>
      </w:r>
      <w:r w:rsidRPr="00E1344F">
        <w:rPr>
          <w:rStyle w:val="Emphasis"/>
        </w:rPr>
        <w:t>Value added taxation in developing countries</w:t>
      </w:r>
      <w:r w:rsidRPr="00E1344F">
        <w:t>. Washington, DC: World Bank.</w:t>
      </w:r>
    </w:p>
    <w:p w14:paraId="45676FB8" w14:textId="77777777" w:rsidR="00FE1CE0" w:rsidRPr="00E1344F" w:rsidRDefault="00FE1CE0" w:rsidP="00FE1CE0">
      <w:pPr>
        <w:pStyle w:val="ds-markdown-paragraph"/>
      </w:pPr>
      <w:r w:rsidRPr="00E1344F">
        <w:t xml:space="preserve">Goode, R. (1984). </w:t>
      </w:r>
      <w:r w:rsidRPr="00E1344F">
        <w:rPr>
          <w:rStyle w:val="Emphasis"/>
        </w:rPr>
        <w:t>Government finance in developing countries</w:t>
      </w:r>
      <w:r w:rsidRPr="00E1344F">
        <w:t>. Washington, DC: Brookings Institution.</w:t>
      </w:r>
    </w:p>
    <w:p w14:paraId="2C35C155" w14:textId="77777777" w:rsidR="00FE1CE0" w:rsidRPr="00E1344F" w:rsidRDefault="00FE1CE0" w:rsidP="00FE1CE0">
      <w:pPr>
        <w:pStyle w:val="ds-markdown-paragraph"/>
      </w:pPr>
      <w:r w:rsidRPr="00E1344F">
        <w:t xml:space="preserve">Harvey, S. R. (1995). </w:t>
      </w:r>
      <w:r w:rsidRPr="00E1344F">
        <w:rPr>
          <w:rStyle w:val="Emphasis"/>
        </w:rPr>
        <w:t>Public finance</w:t>
      </w:r>
      <w:r w:rsidRPr="00E1344F">
        <w:t xml:space="preserve"> (4th ed.). Chicago: Irwin.</w:t>
      </w:r>
    </w:p>
    <w:p w14:paraId="2546AB67" w14:textId="77777777" w:rsidR="00FE1CE0" w:rsidRPr="00E1344F" w:rsidRDefault="00FE1CE0" w:rsidP="00FE1CE0">
      <w:pPr>
        <w:pStyle w:val="ds-markdown-paragraph"/>
      </w:pPr>
      <w:r w:rsidRPr="00E1344F">
        <w:t xml:space="preserve">Hillman, A. L. (2003). </w:t>
      </w:r>
      <w:r w:rsidRPr="00E1344F">
        <w:rPr>
          <w:rStyle w:val="Emphasis"/>
        </w:rPr>
        <w:t>Public finance and public policy: Responsibilities and limitations of government</w:t>
      </w:r>
      <w:r w:rsidRPr="00E1344F">
        <w:t>. Cambridge: Cambridge University Press.</w:t>
      </w:r>
    </w:p>
    <w:p w14:paraId="232A59DF" w14:textId="77777777" w:rsidR="00FE1CE0" w:rsidRPr="00E1344F" w:rsidRDefault="00FE1CE0" w:rsidP="00FE1CE0">
      <w:pPr>
        <w:pStyle w:val="ds-markdown-paragraph"/>
      </w:pPr>
      <w:proofErr w:type="spellStart"/>
      <w:r w:rsidRPr="00E1344F">
        <w:t>Hogye</w:t>
      </w:r>
      <w:proofErr w:type="spellEnd"/>
      <w:r w:rsidRPr="00E1344F">
        <w:t xml:space="preserve">, M. (2000). Service quality in public administration. In T. K. Jensen (Ed.), </w:t>
      </w:r>
      <w:r w:rsidRPr="00E1344F">
        <w:rPr>
          <w:rStyle w:val="Emphasis"/>
        </w:rPr>
        <w:t>Public sector administration and management</w:t>
      </w:r>
      <w:r w:rsidRPr="00E1344F">
        <w:t xml:space="preserve"> (pp. 234-256). Budapest: Open Society Institute.</w:t>
      </w:r>
    </w:p>
    <w:p w14:paraId="2AC6967B" w14:textId="77777777" w:rsidR="00FE1CE0" w:rsidRPr="00E1344F" w:rsidRDefault="00FE1CE0" w:rsidP="00FE1CE0">
      <w:pPr>
        <w:pStyle w:val="ds-markdown-paragraph"/>
      </w:pPr>
      <w:r w:rsidRPr="00E1344F">
        <w:t xml:space="preserve">IMF (International Monetary Fund). (2003). </w:t>
      </w:r>
      <w:r w:rsidRPr="00E1344F">
        <w:rPr>
          <w:rStyle w:val="Emphasis"/>
        </w:rPr>
        <w:t>Ethiopia: Selected issues and statistical appendix</w:t>
      </w:r>
      <w:r w:rsidRPr="00E1344F">
        <w:t>. Washington, DC: International Monetary Fund.</w:t>
      </w:r>
    </w:p>
    <w:p w14:paraId="1F87B7B0" w14:textId="77777777" w:rsidR="00FE1CE0" w:rsidRPr="00E1344F" w:rsidRDefault="00FE1CE0" w:rsidP="00FE1CE0">
      <w:pPr>
        <w:pStyle w:val="ds-markdown-paragraph"/>
      </w:pPr>
      <w:r w:rsidRPr="00E1344F">
        <w:t xml:space="preserve">IMF (International Monetary Fund). (2006). </w:t>
      </w:r>
      <w:r w:rsidRPr="00E1344F">
        <w:rPr>
          <w:rStyle w:val="Emphasis"/>
        </w:rPr>
        <w:t>Tax administration reform in developing countries</w:t>
      </w:r>
      <w:r w:rsidRPr="00E1344F">
        <w:t>. Washington, DC: International Monetary Fund.</w:t>
      </w:r>
    </w:p>
    <w:p w14:paraId="349EADF6" w14:textId="77777777" w:rsidR="00FE1CE0" w:rsidRPr="00E1344F" w:rsidRDefault="00FE1CE0" w:rsidP="00FE1CE0">
      <w:pPr>
        <w:pStyle w:val="ds-markdown-paragraph"/>
      </w:pPr>
      <w:r w:rsidRPr="00E1344F">
        <w:lastRenderedPageBreak/>
        <w:t xml:space="preserve">Jenkins, G. P. (1994). Modernization of tax administrations: Revenue policy and reform. </w:t>
      </w:r>
      <w:r w:rsidRPr="00E1344F">
        <w:rPr>
          <w:rStyle w:val="Emphasis"/>
        </w:rPr>
        <w:t>Harvard Institute for International Development Discussion Paper</w:t>
      </w:r>
      <w:r w:rsidRPr="00E1344F">
        <w:t>, No. 489.</w:t>
      </w:r>
    </w:p>
    <w:p w14:paraId="468473BC" w14:textId="77777777" w:rsidR="00FE1CE0" w:rsidRPr="00E1344F" w:rsidRDefault="00FE1CE0" w:rsidP="00FE1CE0">
      <w:pPr>
        <w:pStyle w:val="ds-markdown-paragraph"/>
      </w:pPr>
      <w:r w:rsidRPr="00E1344F">
        <w:t xml:space="preserve">Kaldor, N. (1980). </w:t>
      </w:r>
      <w:r w:rsidRPr="00E1344F">
        <w:rPr>
          <w:rStyle w:val="Emphasis"/>
        </w:rPr>
        <w:t>Reports on taxation I: Papers relating to the United Kingdom</w:t>
      </w:r>
      <w:r w:rsidRPr="00E1344F">
        <w:t>. London: Holmes &amp; Meier Publishers.</w:t>
      </w:r>
    </w:p>
    <w:p w14:paraId="6258C411" w14:textId="77777777" w:rsidR="00FE1CE0" w:rsidRPr="00E1344F" w:rsidRDefault="00FE1CE0" w:rsidP="00FE1CE0">
      <w:pPr>
        <w:pStyle w:val="ds-markdown-paragraph"/>
      </w:pPr>
      <w:r w:rsidRPr="00E1344F">
        <w:t xml:space="preserve">Kassu, T. (2011). Value added tax administration in Ethiopia: Problems and prospects. </w:t>
      </w:r>
      <w:r w:rsidRPr="00E1344F">
        <w:rPr>
          <w:rStyle w:val="Emphasis"/>
        </w:rPr>
        <w:t>Journal of Ethiopian Law</w:t>
      </w:r>
      <w:r w:rsidRPr="00E1344F">
        <w:t>, 25(2), 87-112.</w:t>
      </w:r>
    </w:p>
    <w:p w14:paraId="0266B90A" w14:textId="77777777" w:rsidR="00FE1CE0" w:rsidRPr="00E1344F" w:rsidRDefault="00FE1CE0" w:rsidP="00FE1CE0">
      <w:pPr>
        <w:pStyle w:val="ds-markdown-paragraph"/>
      </w:pPr>
      <w:r w:rsidRPr="00E1344F">
        <w:t xml:space="preserve">Keen, M., &amp; Lockwood, B. (2007). The value added tax: Its causes and consequences. </w:t>
      </w:r>
      <w:r w:rsidRPr="00E1344F">
        <w:rPr>
          <w:rStyle w:val="Emphasis"/>
        </w:rPr>
        <w:t>Journal of Development Economics</w:t>
      </w:r>
      <w:r w:rsidRPr="00E1344F">
        <w:t>, 92(2), 138-151.</w:t>
      </w:r>
    </w:p>
    <w:p w14:paraId="39D56796" w14:textId="77777777" w:rsidR="00FE1CE0" w:rsidRPr="00E1344F" w:rsidRDefault="00FE1CE0" w:rsidP="00FE1CE0">
      <w:pPr>
        <w:pStyle w:val="ds-markdown-paragraph"/>
      </w:pPr>
      <w:r w:rsidRPr="00E1344F">
        <w:t xml:space="preserve">Kothari, C. R. (2004). </w:t>
      </w:r>
      <w:r w:rsidRPr="00E1344F">
        <w:rPr>
          <w:rStyle w:val="Emphasis"/>
        </w:rPr>
        <w:t>Research methodology: Methods and techniques</w:t>
      </w:r>
      <w:r w:rsidRPr="00E1344F">
        <w:t xml:space="preserve"> (2nd ed.). New Delhi: New Age International Publishers.</w:t>
      </w:r>
    </w:p>
    <w:p w14:paraId="4AF3ACC0" w14:textId="77777777" w:rsidR="00FE1CE0" w:rsidRPr="00E1344F" w:rsidRDefault="00FE1CE0" w:rsidP="00FE1CE0">
      <w:pPr>
        <w:pStyle w:val="ds-markdown-paragraph"/>
      </w:pPr>
      <w:r w:rsidRPr="00E1344F">
        <w:t xml:space="preserve">Kumar, R. (2011). </w:t>
      </w:r>
      <w:r w:rsidRPr="00E1344F">
        <w:rPr>
          <w:rStyle w:val="Emphasis"/>
        </w:rPr>
        <w:t>Research methodology: A step-by-step guide for beginners</w:t>
      </w:r>
      <w:r w:rsidRPr="00E1344F">
        <w:t xml:space="preserve"> (3rd ed.). London: SAGE Publications.</w:t>
      </w:r>
    </w:p>
    <w:p w14:paraId="013728A1" w14:textId="77777777" w:rsidR="00FE1CE0" w:rsidRPr="00E1344F" w:rsidRDefault="00FE1CE0" w:rsidP="00FE1CE0">
      <w:pPr>
        <w:pStyle w:val="ds-markdown-paragraph"/>
      </w:pPr>
      <w:r w:rsidRPr="00E1344F">
        <w:t xml:space="preserve">Lauren, T. (2022). Cross-sectional survey designs in social science research. </w:t>
      </w:r>
      <w:r w:rsidRPr="00E1344F">
        <w:rPr>
          <w:rStyle w:val="Emphasis"/>
        </w:rPr>
        <w:t>Research Methods Journal</w:t>
      </w:r>
      <w:r w:rsidRPr="00E1344F">
        <w:t>, 15(3), 78-94.</w:t>
      </w:r>
    </w:p>
    <w:p w14:paraId="3C1E6B06" w14:textId="77777777" w:rsidR="00FE1CE0" w:rsidRPr="00E1344F" w:rsidRDefault="00FE1CE0" w:rsidP="00FE1CE0">
      <w:pPr>
        <w:pStyle w:val="ds-markdown-paragraph"/>
      </w:pPr>
      <w:r w:rsidRPr="00E1344F">
        <w:t xml:space="preserve">Markos, T. (2010). Assessment of tax administration in Ethiopia: Problems and prospects. </w:t>
      </w:r>
      <w:r w:rsidRPr="00E1344F">
        <w:rPr>
          <w:rStyle w:val="Emphasis"/>
        </w:rPr>
        <w:t>Ethiopian Journal of Development Research</w:t>
      </w:r>
      <w:r w:rsidRPr="00E1344F">
        <w:t>, 32(1), 45-72.</w:t>
      </w:r>
    </w:p>
    <w:p w14:paraId="75FCAA68" w14:textId="77777777" w:rsidR="00FE1CE0" w:rsidRPr="00E1344F" w:rsidRDefault="00FE1CE0" w:rsidP="00FE1CE0">
      <w:pPr>
        <w:pStyle w:val="ds-markdown-paragraph"/>
      </w:pPr>
      <w:r w:rsidRPr="00E1344F">
        <w:t xml:space="preserve">Moore, M. (2004). Revenues, state formation, and the quality of governance in developing countries. </w:t>
      </w:r>
      <w:r w:rsidRPr="00E1344F">
        <w:rPr>
          <w:rStyle w:val="Emphasis"/>
        </w:rPr>
        <w:t>International Political Science Review</w:t>
      </w:r>
      <w:r w:rsidRPr="00E1344F">
        <w:t>, 25(3), 297-319.</w:t>
      </w:r>
    </w:p>
    <w:p w14:paraId="79224C4B" w14:textId="77777777" w:rsidR="00FE1CE0" w:rsidRPr="00E1344F" w:rsidRDefault="00FE1CE0" w:rsidP="00FE1CE0">
      <w:pPr>
        <w:pStyle w:val="ds-markdown-paragraph"/>
      </w:pPr>
      <w:r w:rsidRPr="00E1344F">
        <w:t xml:space="preserve">Mugenda, O. M., &amp; Mugenda, A. G. (2003). </w:t>
      </w:r>
      <w:r w:rsidRPr="00E1344F">
        <w:rPr>
          <w:rStyle w:val="Emphasis"/>
        </w:rPr>
        <w:t>Research methods: Quantitative and qualitative approaches</w:t>
      </w:r>
      <w:r w:rsidRPr="00E1344F">
        <w:t>. Nairobi: African Centre for Technology Studies Press.</w:t>
      </w:r>
    </w:p>
    <w:p w14:paraId="33D5C478" w14:textId="77777777" w:rsidR="00FE1CE0" w:rsidRPr="00E1344F" w:rsidRDefault="00FE1CE0" w:rsidP="00FE1CE0">
      <w:pPr>
        <w:pStyle w:val="ds-markdown-paragraph"/>
      </w:pPr>
      <w:r w:rsidRPr="00E1344F">
        <w:t xml:space="preserve">Musgrave, R. A., &amp; Musgrave, P. B. (1989). </w:t>
      </w:r>
      <w:r w:rsidRPr="00E1344F">
        <w:rPr>
          <w:rStyle w:val="Emphasis"/>
        </w:rPr>
        <w:t>Public finance in theory and practice</w:t>
      </w:r>
      <w:r w:rsidRPr="00E1344F">
        <w:t xml:space="preserve"> (5th ed.). New York: McGraw-Hill.</w:t>
      </w:r>
    </w:p>
    <w:p w14:paraId="2ADF06BD" w14:textId="0143A93B" w:rsidR="00FE1CE0" w:rsidRPr="00E1344F" w:rsidRDefault="00FE1CE0" w:rsidP="00FE1CE0">
      <w:pPr>
        <w:pStyle w:val="ds-markdown-paragraph"/>
      </w:pPr>
      <w:r w:rsidRPr="00E1344F">
        <w:t xml:space="preserve">Negele Town Revenue Authority. (2022). </w:t>
      </w:r>
      <w:r w:rsidRPr="00E1344F">
        <w:rPr>
          <w:rStyle w:val="Emphasis"/>
        </w:rPr>
        <w:t>Office brochure and statistical report</w:t>
      </w:r>
      <w:r w:rsidRPr="00E1344F">
        <w:t>. Negele Town Revenue Authority.</w:t>
      </w:r>
    </w:p>
    <w:p w14:paraId="5BD403F6" w14:textId="77777777" w:rsidR="00FE1CE0" w:rsidRPr="00E1344F" w:rsidRDefault="00FE1CE0" w:rsidP="00FE1CE0">
      <w:pPr>
        <w:pStyle w:val="ds-markdown-paragraph"/>
      </w:pPr>
      <w:r w:rsidRPr="00E1344F">
        <w:t xml:space="preserve">Piketty, T., &amp; Saez, E. (2007). How progressive is the U.S. federal tax system? A historical and international perspective. </w:t>
      </w:r>
      <w:r w:rsidRPr="00E1344F">
        <w:rPr>
          <w:rStyle w:val="Emphasis"/>
        </w:rPr>
        <w:t>Journal of Economic Perspectives</w:t>
      </w:r>
      <w:r w:rsidRPr="00E1344F">
        <w:t>, 21(1), 3-24.</w:t>
      </w:r>
    </w:p>
    <w:p w14:paraId="6FA8DB77" w14:textId="77777777" w:rsidR="00FE1CE0" w:rsidRPr="00E1344F" w:rsidRDefault="00FE1CE0" w:rsidP="00FE1CE0">
      <w:pPr>
        <w:pStyle w:val="ds-markdown-paragraph"/>
      </w:pPr>
      <w:r w:rsidRPr="00E1344F">
        <w:t xml:space="preserve">Richard, B. (2006). IMF tax policy advice and developing countries. </w:t>
      </w:r>
      <w:r w:rsidRPr="00E1344F">
        <w:rPr>
          <w:rStyle w:val="Emphasis"/>
        </w:rPr>
        <w:t>IMF Working Paper</w:t>
      </w:r>
      <w:r w:rsidRPr="00E1344F">
        <w:t>, WP/06/112.</w:t>
      </w:r>
    </w:p>
    <w:p w14:paraId="3BF86209" w14:textId="77777777" w:rsidR="00FE1CE0" w:rsidRPr="00E1344F" w:rsidRDefault="00FE1CE0" w:rsidP="00FE1CE0">
      <w:pPr>
        <w:pStyle w:val="ds-markdown-paragraph"/>
      </w:pPr>
      <w:r w:rsidRPr="00E1344F">
        <w:t xml:space="preserve">Richard, B. (2008). Tax systems and tax reform in developing countries. </w:t>
      </w:r>
      <w:r w:rsidRPr="00E1344F">
        <w:rPr>
          <w:rStyle w:val="Emphasis"/>
        </w:rPr>
        <w:t>UNU-WIDER Research Paper</w:t>
      </w:r>
      <w:r w:rsidRPr="00E1344F">
        <w:t>, No. 2008/85.</w:t>
      </w:r>
    </w:p>
    <w:p w14:paraId="42D5CC36" w14:textId="77777777" w:rsidR="00FE1CE0" w:rsidRPr="00E1344F" w:rsidRDefault="00FE1CE0" w:rsidP="00FE1CE0">
      <w:pPr>
        <w:pStyle w:val="ds-markdown-paragraph"/>
      </w:pPr>
      <w:r w:rsidRPr="00E1344F">
        <w:lastRenderedPageBreak/>
        <w:t xml:space="preserve">Sangeeth, R. (2007). Sample size determination in social science research. </w:t>
      </w:r>
      <w:r w:rsidRPr="00E1344F">
        <w:rPr>
          <w:rStyle w:val="Emphasis"/>
        </w:rPr>
        <w:t>Journal of Applied Quantitative Methods</w:t>
      </w:r>
      <w:r w:rsidRPr="00E1344F">
        <w:t>, 2(4), 456-468.</w:t>
      </w:r>
    </w:p>
    <w:p w14:paraId="1F07FE66" w14:textId="77777777" w:rsidR="00FE1CE0" w:rsidRPr="00E1344F" w:rsidRDefault="00FE1CE0" w:rsidP="00FE1CE0">
      <w:pPr>
        <w:pStyle w:val="ds-markdown-paragraph"/>
      </w:pPr>
      <w:r w:rsidRPr="00E1344F">
        <w:t xml:space="preserve">Saunders, M., Lewis, P., &amp; Thornhill, A. (2001). </w:t>
      </w:r>
      <w:r w:rsidRPr="00E1344F">
        <w:rPr>
          <w:rStyle w:val="Emphasis"/>
        </w:rPr>
        <w:t>Research methods for business students</w:t>
      </w:r>
      <w:r w:rsidRPr="00E1344F">
        <w:t xml:space="preserve"> (3rd ed.). Harlow: Pearson Education.</w:t>
      </w:r>
    </w:p>
    <w:p w14:paraId="10B74D2C" w14:textId="77777777" w:rsidR="00FE1CE0" w:rsidRPr="00E1344F" w:rsidRDefault="00FE1CE0" w:rsidP="00FE1CE0">
      <w:pPr>
        <w:pStyle w:val="ds-markdown-paragraph"/>
      </w:pPr>
      <w:r w:rsidRPr="00E1344F">
        <w:t xml:space="preserve">Schenk, A., &amp; Oldman, O. (2007). </w:t>
      </w:r>
      <w:r w:rsidRPr="00E1344F">
        <w:rPr>
          <w:rStyle w:val="Emphasis"/>
        </w:rPr>
        <w:t>Value added tax: A comparative approach</w:t>
      </w:r>
      <w:r w:rsidRPr="00E1344F">
        <w:t xml:space="preserve"> (2nd ed.). Cambridge: Cambridge University Press.</w:t>
      </w:r>
    </w:p>
    <w:p w14:paraId="63185AB6" w14:textId="77777777" w:rsidR="00FE1CE0" w:rsidRPr="00E1344F" w:rsidRDefault="00FE1CE0" w:rsidP="00FE1CE0">
      <w:pPr>
        <w:pStyle w:val="ds-markdown-paragraph"/>
      </w:pPr>
      <w:r w:rsidRPr="00E1344F">
        <w:t xml:space="preserve">Shirazi, F., &amp; Shah, A. (1991). </w:t>
      </w:r>
      <w:r w:rsidRPr="00E1344F">
        <w:rPr>
          <w:rStyle w:val="Emphasis"/>
        </w:rPr>
        <w:t>Tax policy in developing countries</w:t>
      </w:r>
      <w:r w:rsidRPr="00E1344F">
        <w:t>. Washington, DC: World Bank.</w:t>
      </w:r>
    </w:p>
    <w:p w14:paraId="385CEE21" w14:textId="77777777" w:rsidR="00FE1CE0" w:rsidRPr="00E1344F" w:rsidRDefault="00FE1CE0" w:rsidP="00FE1CE0">
      <w:pPr>
        <w:pStyle w:val="ds-markdown-paragraph"/>
      </w:pPr>
      <w:r w:rsidRPr="00E1344F">
        <w:t xml:space="preserve">Stiglitz, J. E. (2012). </w:t>
      </w:r>
      <w:r w:rsidRPr="00E1344F">
        <w:rPr>
          <w:rStyle w:val="Emphasis"/>
        </w:rPr>
        <w:t>The price of inequality: How today's divided society endangers our future</w:t>
      </w:r>
      <w:r w:rsidRPr="00E1344F">
        <w:t>. New York: W.W. Norton &amp; Company.</w:t>
      </w:r>
    </w:p>
    <w:p w14:paraId="6028450C" w14:textId="77777777" w:rsidR="00FE1CE0" w:rsidRPr="00E1344F" w:rsidRDefault="00FE1CE0" w:rsidP="00FE1CE0">
      <w:pPr>
        <w:pStyle w:val="ds-markdown-paragraph"/>
      </w:pPr>
      <w:r w:rsidRPr="00E1344F">
        <w:t xml:space="preserve">Tait, A. A. (1988). </w:t>
      </w:r>
      <w:r w:rsidRPr="00E1344F">
        <w:rPr>
          <w:rStyle w:val="Emphasis"/>
        </w:rPr>
        <w:t>Value added tax: International practice and problems</w:t>
      </w:r>
      <w:r w:rsidRPr="00E1344F">
        <w:t>. Washington, DC: International Monetary Fund.</w:t>
      </w:r>
    </w:p>
    <w:p w14:paraId="03EDCE21" w14:textId="77777777" w:rsidR="00FE1CE0" w:rsidRPr="00E1344F" w:rsidRDefault="00FE1CE0" w:rsidP="00FE1CE0">
      <w:pPr>
        <w:pStyle w:val="ds-markdown-paragraph"/>
      </w:pPr>
      <w:r w:rsidRPr="00E1344F">
        <w:t xml:space="preserve">Tompson, G., &amp; Green, R. (1988). Taxpayer registration and identification: Key issues in tax administration. </w:t>
      </w:r>
      <w:r w:rsidRPr="00E1344F">
        <w:rPr>
          <w:rStyle w:val="Emphasis"/>
        </w:rPr>
        <w:t>International Tax Journal</w:t>
      </w:r>
      <w:r w:rsidRPr="00E1344F">
        <w:t>, 14(3), 234-251.</w:t>
      </w:r>
    </w:p>
    <w:p w14:paraId="550989A0" w14:textId="77777777" w:rsidR="00FE1CE0" w:rsidRPr="00E1344F" w:rsidRDefault="00FE1CE0" w:rsidP="00FE1CE0">
      <w:pPr>
        <w:pStyle w:val="ds-markdown-paragraph"/>
      </w:pPr>
      <w:r w:rsidRPr="00E1344F">
        <w:t xml:space="preserve">Welela, A. (2008). Value added tax administration in Ethiopia: A study of problems and prospects. </w:t>
      </w:r>
      <w:r w:rsidRPr="00E1344F">
        <w:rPr>
          <w:rStyle w:val="Emphasis"/>
        </w:rPr>
        <w:t>Ethiopian Economic Policy Research Institute Working Paper</w:t>
      </w:r>
      <w:r w:rsidRPr="00E1344F">
        <w:t>, No. 12.</w:t>
      </w:r>
    </w:p>
    <w:p w14:paraId="69F19D75" w14:textId="77777777" w:rsidR="00FE1CE0" w:rsidRPr="00E1344F" w:rsidRDefault="00FE1CE0" w:rsidP="00FE1CE0">
      <w:pPr>
        <w:pStyle w:val="ds-markdown-paragraph"/>
      </w:pPr>
      <w:r w:rsidRPr="00E1344F">
        <w:t xml:space="preserve">Welela, A. (2015). Tax revenue performance and economic growth in Ethiopia. </w:t>
      </w:r>
      <w:r w:rsidRPr="00E1344F">
        <w:rPr>
          <w:rStyle w:val="Emphasis"/>
        </w:rPr>
        <w:t>Journal of Ethiopian Economics</w:t>
      </w:r>
      <w:r w:rsidRPr="00E1344F">
        <w:t>, 24(2), 89-114.</w:t>
      </w:r>
    </w:p>
    <w:p w14:paraId="753285A4" w14:textId="77777777" w:rsidR="00FE1CE0" w:rsidRPr="00E1344F" w:rsidRDefault="00FE1CE0" w:rsidP="00FE1CE0">
      <w:pPr>
        <w:pStyle w:val="ds-markdown-paragraph"/>
      </w:pPr>
      <w:r w:rsidRPr="00E1344F">
        <w:t xml:space="preserve">World Bank. (2005). </w:t>
      </w:r>
      <w:r w:rsidRPr="00E1344F">
        <w:rPr>
          <w:rStyle w:val="Emphasis"/>
        </w:rPr>
        <w:t>Tax information systems: A guide for developing countries</w:t>
      </w:r>
      <w:r w:rsidRPr="00E1344F">
        <w:t>. Washington, DC: World Bank.</w:t>
      </w:r>
    </w:p>
    <w:p w14:paraId="2E3DD340" w14:textId="77777777" w:rsidR="00FE1CE0" w:rsidRPr="00E1344F" w:rsidRDefault="00FE1CE0" w:rsidP="00FE1CE0">
      <w:pPr>
        <w:pStyle w:val="ds-markdown-paragraph"/>
      </w:pPr>
      <w:r w:rsidRPr="00E1344F">
        <w:t xml:space="preserve">Yamane, T. (1967). </w:t>
      </w:r>
      <w:r w:rsidRPr="00E1344F">
        <w:rPr>
          <w:rStyle w:val="Emphasis"/>
        </w:rPr>
        <w:t>Statistics: An introductory analysis</w:t>
      </w:r>
      <w:r w:rsidRPr="00E1344F">
        <w:t xml:space="preserve"> (2nd ed.). New York: Harper and Row.</w:t>
      </w:r>
    </w:p>
    <w:p w14:paraId="14DDFCAB" w14:textId="77777777" w:rsidR="00FE1CE0" w:rsidRPr="00E1344F" w:rsidRDefault="00FE1CE0" w:rsidP="00FE1CE0">
      <w:pPr>
        <w:pStyle w:val="ds-markdown-paragraph"/>
      </w:pPr>
      <w:proofErr w:type="spellStart"/>
      <w:r w:rsidRPr="00E1344F">
        <w:t>Yesegat</w:t>
      </w:r>
      <w:proofErr w:type="spellEnd"/>
      <w:r w:rsidRPr="00E1344F">
        <w:t xml:space="preserve">, W. A. (2008). Value added tax administration in Ethiopia: A reflection of problems. </w:t>
      </w:r>
      <w:proofErr w:type="spellStart"/>
      <w:r w:rsidRPr="00E1344F">
        <w:rPr>
          <w:rStyle w:val="Emphasis"/>
        </w:rPr>
        <w:t>eJournal</w:t>
      </w:r>
      <w:proofErr w:type="spellEnd"/>
      <w:r w:rsidRPr="00E1344F">
        <w:rPr>
          <w:rStyle w:val="Emphasis"/>
        </w:rPr>
        <w:t xml:space="preserve"> of Tax Research</w:t>
      </w:r>
      <w:r w:rsidRPr="00E1344F">
        <w:t>, 6(2), 145-168.</w:t>
      </w:r>
    </w:p>
    <w:p w14:paraId="2332EB5D" w14:textId="77777777" w:rsidR="00FE1CE0" w:rsidRDefault="00FE1CE0" w:rsidP="00FE1CE0">
      <w:pPr>
        <w:pStyle w:val="ds-markdown-paragraph"/>
      </w:pPr>
      <w:r w:rsidRPr="00E1344F">
        <w:t xml:space="preserve">Yohannes, B., &amp; Sisay, M. (2001). </w:t>
      </w:r>
      <w:r w:rsidRPr="00E1344F">
        <w:rPr>
          <w:rStyle w:val="Emphasis"/>
        </w:rPr>
        <w:t>Taxation in Ethiopia: Principles and practice</w:t>
      </w:r>
      <w:r w:rsidRPr="00E1344F">
        <w:t>. Addis Ababa: Commercial Printing Press.</w:t>
      </w:r>
    </w:p>
    <w:p w14:paraId="105CD699" w14:textId="2731AB6F" w:rsidR="005500F4" w:rsidRPr="005500F4" w:rsidRDefault="005500F4" w:rsidP="005500F4">
      <w:pPr>
        <w:pStyle w:val="ListParagraph"/>
        <w:spacing w:line="360" w:lineRule="auto"/>
        <w:jc w:val="both"/>
        <w:rPr>
          <w:rFonts w:ascii="Times New Roman" w:hAnsi="Times New Roman" w:cs="Times New Roman"/>
          <w:sz w:val="24"/>
        </w:rPr>
      </w:pPr>
    </w:p>
    <w:sectPr w:rsidR="005500F4" w:rsidRPr="005500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3A198" w14:textId="77777777" w:rsidR="007802ED" w:rsidRDefault="007802ED" w:rsidP="00F71034">
      <w:pPr>
        <w:spacing w:after="0" w:line="240" w:lineRule="auto"/>
      </w:pPr>
      <w:r>
        <w:separator/>
      </w:r>
    </w:p>
  </w:endnote>
  <w:endnote w:type="continuationSeparator" w:id="0">
    <w:p w14:paraId="5F1EA412" w14:textId="77777777" w:rsidR="007802ED" w:rsidRDefault="007802ED" w:rsidP="00F7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474D" w14:textId="77777777" w:rsidR="000C0281" w:rsidRDefault="000C0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3AE44" w14:textId="77777777" w:rsidR="000C0281" w:rsidRDefault="000C0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BC74" w14:textId="77777777" w:rsidR="000C0281" w:rsidRDefault="000C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2CB4A" w14:textId="77777777" w:rsidR="007802ED" w:rsidRDefault="007802ED" w:rsidP="00F71034">
      <w:pPr>
        <w:spacing w:after="0" w:line="240" w:lineRule="auto"/>
      </w:pPr>
      <w:r>
        <w:separator/>
      </w:r>
    </w:p>
  </w:footnote>
  <w:footnote w:type="continuationSeparator" w:id="0">
    <w:p w14:paraId="0D1F47C1" w14:textId="77777777" w:rsidR="007802ED" w:rsidRDefault="007802ED" w:rsidP="00F71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5E54" w14:textId="01A56E3C" w:rsidR="000C0281" w:rsidRDefault="000C0281">
    <w:pPr>
      <w:pStyle w:val="Header"/>
    </w:pPr>
    <w:r>
      <w:rPr>
        <w:noProof/>
      </w:rPr>
      <w:pict w14:anchorId="50A5B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82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9D7A9" w14:textId="7FE76124" w:rsidR="000C0281" w:rsidRDefault="000C0281">
    <w:pPr>
      <w:pStyle w:val="Header"/>
    </w:pPr>
    <w:r>
      <w:rPr>
        <w:noProof/>
      </w:rPr>
      <w:pict w14:anchorId="4C414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82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63A4" w14:textId="69B22EB8" w:rsidR="000C0281" w:rsidRDefault="000C0281">
    <w:pPr>
      <w:pStyle w:val="Header"/>
    </w:pPr>
    <w:r>
      <w:rPr>
        <w:noProof/>
      </w:rPr>
      <w:pict w14:anchorId="56D2A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82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3D83"/>
    <w:multiLevelType w:val="multilevel"/>
    <w:tmpl w:val="3876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D278C"/>
    <w:multiLevelType w:val="multilevel"/>
    <w:tmpl w:val="08ED2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F10BB6"/>
    <w:multiLevelType w:val="hybridMultilevel"/>
    <w:tmpl w:val="7F3A4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4E746E"/>
    <w:multiLevelType w:val="multilevel"/>
    <w:tmpl w:val="F4EE0516"/>
    <w:lvl w:ilvl="0">
      <w:start w:val="1"/>
      <w:numFmt w:val="decimal"/>
      <w:lvlText w:val="%1."/>
      <w:lvlJc w:val="left"/>
      <w:pPr>
        <w:ind w:left="72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3E527A0"/>
    <w:multiLevelType w:val="multilevel"/>
    <w:tmpl w:val="33E527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260B5C"/>
    <w:multiLevelType w:val="multilevel"/>
    <w:tmpl w:val="D01675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E11E37"/>
    <w:multiLevelType w:val="multilevel"/>
    <w:tmpl w:val="718C6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BE466A"/>
    <w:multiLevelType w:val="multilevel"/>
    <w:tmpl w:val="319A2A0C"/>
    <w:lvl w:ilvl="0">
      <w:start w:val="3"/>
      <w:numFmt w:val="decimal"/>
      <w:lvlText w:val="%1."/>
      <w:lvlJc w:val="left"/>
      <w:pPr>
        <w:ind w:left="81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630E5000"/>
    <w:multiLevelType w:val="multilevel"/>
    <w:tmpl w:val="630E5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5"/>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NTI3MADSJmbGBko6SsGpxcWZ+XkgBSa1AIo3EiYsAAAA"/>
  </w:docVars>
  <w:rsids>
    <w:rsidRoot w:val="002F4FA8"/>
    <w:rsid w:val="00002196"/>
    <w:rsid w:val="000078E7"/>
    <w:rsid w:val="00027310"/>
    <w:rsid w:val="00030A4D"/>
    <w:rsid w:val="000318A2"/>
    <w:rsid w:val="00037025"/>
    <w:rsid w:val="000407B7"/>
    <w:rsid w:val="000442DA"/>
    <w:rsid w:val="000533F3"/>
    <w:rsid w:val="000603A1"/>
    <w:rsid w:val="0006430F"/>
    <w:rsid w:val="00066B93"/>
    <w:rsid w:val="000708E7"/>
    <w:rsid w:val="00077462"/>
    <w:rsid w:val="00087C6A"/>
    <w:rsid w:val="0009026B"/>
    <w:rsid w:val="00097445"/>
    <w:rsid w:val="00097DA8"/>
    <w:rsid w:val="000C0281"/>
    <w:rsid w:val="000C101F"/>
    <w:rsid w:val="000C1C65"/>
    <w:rsid w:val="000C73D0"/>
    <w:rsid w:val="000D2F82"/>
    <w:rsid w:val="000E0FC4"/>
    <w:rsid w:val="000F0462"/>
    <w:rsid w:val="000F3533"/>
    <w:rsid w:val="00100037"/>
    <w:rsid w:val="00106370"/>
    <w:rsid w:val="0011669B"/>
    <w:rsid w:val="00124ECC"/>
    <w:rsid w:val="001536BB"/>
    <w:rsid w:val="00155DA7"/>
    <w:rsid w:val="0015710C"/>
    <w:rsid w:val="00174BEC"/>
    <w:rsid w:val="00182B4D"/>
    <w:rsid w:val="001933E7"/>
    <w:rsid w:val="001B15EF"/>
    <w:rsid w:val="001D21C1"/>
    <w:rsid w:val="001D6F1E"/>
    <w:rsid w:val="001E165D"/>
    <w:rsid w:val="001E2C0F"/>
    <w:rsid w:val="001E330B"/>
    <w:rsid w:val="001F22E7"/>
    <w:rsid w:val="001F7D78"/>
    <w:rsid w:val="0020045E"/>
    <w:rsid w:val="002123BF"/>
    <w:rsid w:val="00217559"/>
    <w:rsid w:val="00224458"/>
    <w:rsid w:val="002325D3"/>
    <w:rsid w:val="00233210"/>
    <w:rsid w:val="002353B8"/>
    <w:rsid w:val="0023595E"/>
    <w:rsid w:val="00240531"/>
    <w:rsid w:val="0024575F"/>
    <w:rsid w:val="0024610A"/>
    <w:rsid w:val="00250319"/>
    <w:rsid w:val="0025148A"/>
    <w:rsid w:val="00254C50"/>
    <w:rsid w:val="00256C76"/>
    <w:rsid w:val="00260087"/>
    <w:rsid w:val="002650AE"/>
    <w:rsid w:val="002806E7"/>
    <w:rsid w:val="00295369"/>
    <w:rsid w:val="002C3397"/>
    <w:rsid w:val="002C7521"/>
    <w:rsid w:val="002D304E"/>
    <w:rsid w:val="002E20D5"/>
    <w:rsid w:val="002E397C"/>
    <w:rsid w:val="002F4FA8"/>
    <w:rsid w:val="002F5BA8"/>
    <w:rsid w:val="003001B1"/>
    <w:rsid w:val="003021C2"/>
    <w:rsid w:val="00305D7A"/>
    <w:rsid w:val="003112A8"/>
    <w:rsid w:val="003164C7"/>
    <w:rsid w:val="00325BFC"/>
    <w:rsid w:val="00327412"/>
    <w:rsid w:val="00332D4B"/>
    <w:rsid w:val="00347734"/>
    <w:rsid w:val="003568FA"/>
    <w:rsid w:val="00365BC5"/>
    <w:rsid w:val="00366166"/>
    <w:rsid w:val="00375236"/>
    <w:rsid w:val="0038196D"/>
    <w:rsid w:val="00384BC0"/>
    <w:rsid w:val="00390672"/>
    <w:rsid w:val="003B2E14"/>
    <w:rsid w:val="003B4921"/>
    <w:rsid w:val="003D6B07"/>
    <w:rsid w:val="003E1189"/>
    <w:rsid w:val="003E47C7"/>
    <w:rsid w:val="003E52B0"/>
    <w:rsid w:val="003E55AD"/>
    <w:rsid w:val="003F18C9"/>
    <w:rsid w:val="003F2EDE"/>
    <w:rsid w:val="003F4CE5"/>
    <w:rsid w:val="003F63C3"/>
    <w:rsid w:val="003F7A2D"/>
    <w:rsid w:val="00405483"/>
    <w:rsid w:val="00406220"/>
    <w:rsid w:val="0041091F"/>
    <w:rsid w:val="00410F8D"/>
    <w:rsid w:val="004164E8"/>
    <w:rsid w:val="0042205D"/>
    <w:rsid w:val="004229CD"/>
    <w:rsid w:val="00431C26"/>
    <w:rsid w:val="00444103"/>
    <w:rsid w:val="00451B2D"/>
    <w:rsid w:val="004539D5"/>
    <w:rsid w:val="004562A4"/>
    <w:rsid w:val="004638CE"/>
    <w:rsid w:val="00464E97"/>
    <w:rsid w:val="004778E3"/>
    <w:rsid w:val="00486830"/>
    <w:rsid w:val="004A082F"/>
    <w:rsid w:val="004A0F89"/>
    <w:rsid w:val="004A622C"/>
    <w:rsid w:val="004A7B37"/>
    <w:rsid w:val="004B0537"/>
    <w:rsid w:val="004B7EFE"/>
    <w:rsid w:val="004C7804"/>
    <w:rsid w:val="004D136E"/>
    <w:rsid w:val="004D5DAA"/>
    <w:rsid w:val="004E6D3A"/>
    <w:rsid w:val="004F02C5"/>
    <w:rsid w:val="004F723A"/>
    <w:rsid w:val="00515590"/>
    <w:rsid w:val="00524BF2"/>
    <w:rsid w:val="0053270B"/>
    <w:rsid w:val="005347B0"/>
    <w:rsid w:val="00543686"/>
    <w:rsid w:val="0054418B"/>
    <w:rsid w:val="00545C62"/>
    <w:rsid w:val="005500F4"/>
    <w:rsid w:val="0055203F"/>
    <w:rsid w:val="00555C37"/>
    <w:rsid w:val="005A5343"/>
    <w:rsid w:val="005A6BBA"/>
    <w:rsid w:val="005A74EF"/>
    <w:rsid w:val="005B20F2"/>
    <w:rsid w:val="005B59AD"/>
    <w:rsid w:val="005D14F2"/>
    <w:rsid w:val="005D6509"/>
    <w:rsid w:val="005F232A"/>
    <w:rsid w:val="005F59D9"/>
    <w:rsid w:val="0060300A"/>
    <w:rsid w:val="0060480F"/>
    <w:rsid w:val="006155B4"/>
    <w:rsid w:val="00621C41"/>
    <w:rsid w:val="006265D0"/>
    <w:rsid w:val="0063062C"/>
    <w:rsid w:val="0064741C"/>
    <w:rsid w:val="00653A28"/>
    <w:rsid w:val="00662430"/>
    <w:rsid w:val="0067367F"/>
    <w:rsid w:val="0068031C"/>
    <w:rsid w:val="00681D7D"/>
    <w:rsid w:val="0068291A"/>
    <w:rsid w:val="006932FE"/>
    <w:rsid w:val="006A09FF"/>
    <w:rsid w:val="006A17B3"/>
    <w:rsid w:val="006A3920"/>
    <w:rsid w:val="006B097F"/>
    <w:rsid w:val="006B14DD"/>
    <w:rsid w:val="006C3ACE"/>
    <w:rsid w:val="006C4FAA"/>
    <w:rsid w:val="006D0B3E"/>
    <w:rsid w:val="006D5540"/>
    <w:rsid w:val="006E3A70"/>
    <w:rsid w:val="006E7ECE"/>
    <w:rsid w:val="006F0A6B"/>
    <w:rsid w:val="006F2136"/>
    <w:rsid w:val="007044DA"/>
    <w:rsid w:val="00714B2D"/>
    <w:rsid w:val="007228CF"/>
    <w:rsid w:val="00727A8F"/>
    <w:rsid w:val="00741494"/>
    <w:rsid w:val="007440FD"/>
    <w:rsid w:val="0074547C"/>
    <w:rsid w:val="00750273"/>
    <w:rsid w:val="007523A3"/>
    <w:rsid w:val="00752DB3"/>
    <w:rsid w:val="00762C38"/>
    <w:rsid w:val="00763505"/>
    <w:rsid w:val="00773FE5"/>
    <w:rsid w:val="00775530"/>
    <w:rsid w:val="007802ED"/>
    <w:rsid w:val="00785B41"/>
    <w:rsid w:val="00790C4F"/>
    <w:rsid w:val="00794C6A"/>
    <w:rsid w:val="007967C4"/>
    <w:rsid w:val="00797E38"/>
    <w:rsid w:val="007A4473"/>
    <w:rsid w:val="007A7974"/>
    <w:rsid w:val="007B6CEF"/>
    <w:rsid w:val="007C21E1"/>
    <w:rsid w:val="007D0911"/>
    <w:rsid w:val="007D3625"/>
    <w:rsid w:val="007E515A"/>
    <w:rsid w:val="007F278F"/>
    <w:rsid w:val="007F7E54"/>
    <w:rsid w:val="00821780"/>
    <w:rsid w:val="00831699"/>
    <w:rsid w:val="00832E51"/>
    <w:rsid w:val="008461D5"/>
    <w:rsid w:val="00856AA8"/>
    <w:rsid w:val="00860634"/>
    <w:rsid w:val="00873D5A"/>
    <w:rsid w:val="008870F1"/>
    <w:rsid w:val="00887AFB"/>
    <w:rsid w:val="008A0E55"/>
    <w:rsid w:val="008A7F65"/>
    <w:rsid w:val="008C317C"/>
    <w:rsid w:val="008D2B3A"/>
    <w:rsid w:val="008D487C"/>
    <w:rsid w:val="008E0258"/>
    <w:rsid w:val="008E7E60"/>
    <w:rsid w:val="008F32F5"/>
    <w:rsid w:val="00905EE0"/>
    <w:rsid w:val="00913292"/>
    <w:rsid w:val="00924936"/>
    <w:rsid w:val="00932493"/>
    <w:rsid w:val="009336FD"/>
    <w:rsid w:val="0093438F"/>
    <w:rsid w:val="00936B8F"/>
    <w:rsid w:val="0094285A"/>
    <w:rsid w:val="00946C5A"/>
    <w:rsid w:val="009512D7"/>
    <w:rsid w:val="00951AEB"/>
    <w:rsid w:val="009563FE"/>
    <w:rsid w:val="00956451"/>
    <w:rsid w:val="0096118D"/>
    <w:rsid w:val="00976414"/>
    <w:rsid w:val="00976A6D"/>
    <w:rsid w:val="00983CE4"/>
    <w:rsid w:val="00990AFD"/>
    <w:rsid w:val="009935F0"/>
    <w:rsid w:val="00993F6B"/>
    <w:rsid w:val="00996473"/>
    <w:rsid w:val="009A67EC"/>
    <w:rsid w:val="009C0A25"/>
    <w:rsid w:val="009D169F"/>
    <w:rsid w:val="009D1F47"/>
    <w:rsid w:val="009E774C"/>
    <w:rsid w:val="009F418A"/>
    <w:rsid w:val="009F52D2"/>
    <w:rsid w:val="00A1153B"/>
    <w:rsid w:val="00A1271B"/>
    <w:rsid w:val="00A1616C"/>
    <w:rsid w:val="00A161B4"/>
    <w:rsid w:val="00A333AB"/>
    <w:rsid w:val="00A51326"/>
    <w:rsid w:val="00A53326"/>
    <w:rsid w:val="00A828D9"/>
    <w:rsid w:val="00A83331"/>
    <w:rsid w:val="00AA0F59"/>
    <w:rsid w:val="00AA1AB6"/>
    <w:rsid w:val="00AA2FEE"/>
    <w:rsid w:val="00AA5276"/>
    <w:rsid w:val="00AA7C77"/>
    <w:rsid w:val="00AB17DF"/>
    <w:rsid w:val="00AB2F48"/>
    <w:rsid w:val="00AC0B7F"/>
    <w:rsid w:val="00AC3896"/>
    <w:rsid w:val="00AD176F"/>
    <w:rsid w:val="00AD2B12"/>
    <w:rsid w:val="00AD5A7C"/>
    <w:rsid w:val="00AE22CA"/>
    <w:rsid w:val="00AE4949"/>
    <w:rsid w:val="00B072B6"/>
    <w:rsid w:val="00B12221"/>
    <w:rsid w:val="00B12373"/>
    <w:rsid w:val="00B12C55"/>
    <w:rsid w:val="00B2437E"/>
    <w:rsid w:val="00B43739"/>
    <w:rsid w:val="00B47BDC"/>
    <w:rsid w:val="00B5163E"/>
    <w:rsid w:val="00B610D6"/>
    <w:rsid w:val="00B7514A"/>
    <w:rsid w:val="00B77125"/>
    <w:rsid w:val="00B8043A"/>
    <w:rsid w:val="00B968A3"/>
    <w:rsid w:val="00BA2EFF"/>
    <w:rsid w:val="00BA67A7"/>
    <w:rsid w:val="00BA77AD"/>
    <w:rsid w:val="00BB7EE8"/>
    <w:rsid w:val="00BC4A4F"/>
    <w:rsid w:val="00BC601C"/>
    <w:rsid w:val="00BD4279"/>
    <w:rsid w:val="00BE48DD"/>
    <w:rsid w:val="00BE7477"/>
    <w:rsid w:val="00BE7DF2"/>
    <w:rsid w:val="00BF0CF0"/>
    <w:rsid w:val="00BF1D67"/>
    <w:rsid w:val="00C069D6"/>
    <w:rsid w:val="00C11342"/>
    <w:rsid w:val="00C16B1E"/>
    <w:rsid w:val="00C33B46"/>
    <w:rsid w:val="00C348CE"/>
    <w:rsid w:val="00C478DF"/>
    <w:rsid w:val="00C47EF1"/>
    <w:rsid w:val="00C50DB2"/>
    <w:rsid w:val="00C55881"/>
    <w:rsid w:val="00C6076E"/>
    <w:rsid w:val="00C81980"/>
    <w:rsid w:val="00C861BC"/>
    <w:rsid w:val="00C86996"/>
    <w:rsid w:val="00C97B0A"/>
    <w:rsid w:val="00CA5DF7"/>
    <w:rsid w:val="00CA6CCC"/>
    <w:rsid w:val="00CB1CF9"/>
    <w:rsid w:val="00CB6740"/>
    <w:rsid w:val="00CC4E70"/>
    <w:rsid w:val="00CC7A54"/>
    <w:rsid w:val="00CD5920"/>
    <w:rsid w:val="00CD5E7D"/>
    <w:rsid w:val="00CD6A0D"/>
    <w:rsid w:val="00CE0BAC"/>
    <w:rsid w:val="00CF74FC"/>
    <w:rsid w:val="00D0064A"/>
    <w:rsid w:val="00D06FB4"/>
    <w:rsid w:val="00D16B9C"/>
    <w:rsid w:val="00D242D7"/>
    <w:rsid w:val="00D317AC"/>
    <w:rsid w:val="00D4218C"/>
    <w:rsid w:val="00D51A28"/>
    <w:rsid w:val="00D73286"/>
    <w:rsid w:val="00D74157"/>
    <w:rsid w:val="00D96A5F"/>
    <w:rsid w:val="00DA0B51"/>
    <w:rsid w:val="00DA1419"/>
    <w:rsid w:val="00DA6A98"/>
    <w:rsid w:val="00DB176C"/>
    <w:rsid w:val="00DB1EDE"/>
    <w:rsid w:val="00DB2CB3"/>
    <w:rsid w:val="00DC16CD"/>
    <w:rsid w:val="00DC7EB9"/>
    <w:rsid w:val="00DD2FF5"/>
    <w:rsid w:val="00DD3472"/>
    <w:rsid w:val="00DE0040"/>
    <w:rsid w:val="00DE0126"/>
    <w:rsid w:val="00DF6A00"/>
    <w:rsid w:val="00E07E43"/>
    <w:rsid w:val="00E1344F"/>
    <w:rsid w:val="00E167C7"/>
    <w:rsid w:val="00E60DBF"/>
    <w:rsid w:val="00E773D4"/>
    <w:rsid w:val="00E83BC3"/>
    <w:rsid w:val="00E85D1A"/>
    <w:rsid w:val="00E95DDF"/>
    <w:rsid w:val="00E972F1"/>
    <w:rsid w:val="00EA721F"/>
    <w:rsid w:val="00EB60F1"/>
    <w:rsid w:val="00ED3C08"/>
    <w:rsid w:val="00EE08EF"/>
    <w:rsid w:val="00EE3AC9"/>
    <w:rsid w:val="00EF1530"/>
    <w:rsid w:val="00EF7BD1"/>
    <w:rsid w:val="00F0015C"/>
    <w:rsid w:val="00F0240D"/>
    <w:rsid w:val="00F03736"/>
    <w:rsid w:val="00F24E10"/>
    <w:rsid w:val="00F25B40"/>
    <w:rsid w:val="00F31BEC"/>
    <w:rsid w:val="00F36DDE"/>
    <w:rsid w:val="00F474CC"/>
    <w:rsid w:val="00F66DBB"/>
    <w:rsid w:val="00F71034"/>
    <w:rsid w:val="00F8548E"/>
    <w:rsid w:val="00F863C5"/>
    <w:rsid w:val="00F952FB"/>
    <w:rsid w:val="00FB48FE"/>
    <w:rsid w:val="00FB754C"/>
    <w:rsid w:val="00FB7829"/>
    <w:rsid w:val="00FD0145"/>
    <w:rsid w:val="00FE1CE0"/>
    <w:rsid w:val="00FE6B0A"/>
    <w:rsid w:val="00FF4AC9"/>
    <w:rsid w:val="00FF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1886F"/>
  <w15:chartTrackingRefBased/>
  <w15:docId w15:val="{76254BB9-41DB-4F17-8F0E-D5B169B6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74547C"/>
    <w:pPr>
      <w:widowControl w:val="0"/>
      <w:spacing w:before="600" w:after="280" w:line="360" w:lineRule="auto"/>
      <w:jc w:val="center"/>
      <w:outlineLvl w:val="0"/>
    </w:pPr>
    <w:rPr>
      <w:rFonts w:ascii="Times New Roman" w:eastAsiaTheme="majorEastAsia" w:hAnsi="Times New Roman" w:cs="Times New Roman"/>
      <w:b/>
      <w:sz w:val="32"/>
      <w:szCs w:val="32"/>
    </w:rPr>
  </w:style>
  <w:style w:type="paragraph" w:styleId="Heading2">
    <w:name w:val="heading 2"/>
    <w:basedOn w:val="Normal"/>
    <w:next w:val="Normal"/>
    <w:link w:val="Heading2Char"/>
    <w:uiPriority w:val="9"/>
    <w:unhideWhenUsed/>
    <w:qFormat/>
    <w:rsid w:val="004164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Heading2"/>
    <w:link w:val="Heading3Char"/>
    <w:autoRedefine/>
    <w:uiPriority w:val="9"/>
    <w:unhideWhenUsed/>
    <w:qFormat/>
    <w:rsid w:val="0074547C"/>
    <w:pPr>
      <w:keepNext/>
      <w:keepLines/>
      <w:spacing w:before="140" w:line="360" w:lineRule="auto"/>
      <w:ind w:left="630" w:hanging="630"/>
      <w:jc w:val="both"/>
      <w:outlineLvl w:val="2"/>
    </w:pPr>
    <w:rPr>
      <w:rFonts w:ascii="Times New Roman" w:hAnsi="Times New Roman" w:cs="Times New Roman"/>
      <w:b/>
      <w:bCs/>
      <w:sz w:val="24"/>
      <w:szCs w:val="32"/>
    </w:rPr>
  </w:style>
  <w:style w:type="paragraph" w:styleId="Heading4">
    <w:name w:val="heading 4"/>
    <w:basedOn w:val="Normal"/>
    <w:next w:val="Normal"/>
    <w:link w:val="Heading4Char"/>
    <w:uiPriority w:val="9"/>
    <w:semiHidden/>
    <w:unhideWhenUsed/>
    <w:qFormat/>
    <w:rsid w:val="002F4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7C"/>
    <w:rPr>
      <w:rFonts w:ascii="Times New Roman" w:eastAsiaTheme="majorEastAsia" w:hAnsi="Times New Roman" w:cs="Times New Roman"/>
      <w:b/>
      <w:sz w:val="32"/>
      <w:szCs w:val="32"/>
    </w:rPr>
  </w:style>
  <w:style w:type="character" w:customStyle="1" w:styleId="Heading3Char">
    <w:name w:val="Heading 3 Char"/>
    <w:basedOn w:val="DefaultParagraphFont"/>
    <w:link w:val="Heading3"/>
    <w:uiPriority w:val="9"/>
    <w:rsid w:val="0074547C"/>
    <w:rPr>
      <w:rFonts w:ascii="Times New Roman" w:hAnsi="Times New Roman" w:cs="Times New Roman"/>
      <w:b/>
      <w:bCs/>
      <w:sz w:val="24"/>
      <w:szCs w:val="32"/>
    </w:rPr>
  </w:style>
  <w:style w:type="character" w:customStyle="1" w:styleId="Heading2Char">
    <w:name w:val="Heading 2 Char"/>
    <w:basedOn w:val="DefaultParagraphFont"/>
    <w:link w:val="Heading2"/>
    <w:uiPriority w:val="9"/>
    <w:rsid w:val="004164E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F4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A8"/>
    <w:rPr>
      <w:rFonts w:eastAsiaTheme="majorEastAsia" w:cstheme="majorBidi"/>
      <w:color w:val="272727" w:themeColor="text1" w:themeTint="D8"/>
    </w:rPr>
  </w:style>
  <w:style w:type="paragraph" w:styleId="Title">
    <w:name w:val="Title"/>
    <w:basedOn w:val="Normal"/>
    <w:next w:val="Normal"/>
    <w:link w:val="TitleChar"/>
    <w:uiPriority w:val="10"/>
    <w:qFormat/>
    <w:rsid w:val="002F4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A8"/>
    <w:pPr>
      <w:spacing w:before="160"/>
      <w:jc w:val="center"/>
    </w:pPr>
    <w:rPr>
      <w:i/>
      <w:iCs/>
      <w:color w:val="404040" w:themeColor="text1" w:themeTint="BF"/>
    </w:rPr>
  </w:style>
  <w:style w:type="character" w:customStyle="1" w:styleId="QuoteChar">
    <w:name w:val="Quote Char"/>
    <w:basedOn w:val="DefaultParagraphFont"/>
    <w:link w:val="Quote"/>
    <w:uiPriority w:val="29"/>
    <w:rsid w:val="002F4FA8"/>
    <w:rPr>
      <w:i/>
      <w:iCs/>
      <w:color w:val="404040" w:themeColor="text1" w:themeTint="BF"/>
    </w:rPr>
  </w:style>
  <w:style w:type="paragraph" w:styleId="ListParagraph">
    <w:name w:val="List Paragraph"/>
    <w:basedOn w:val="Normal"/>
    <w:uiPriority w:val="34"/>
    <w:qFormat/>
    <w:rsid w:val="002F4FA8"/>
    <w:pPr>
      <w:ind w:left="720"/>
      <w:contextualSpacing/>
    </w:pPr>
  </w:style>
  <w:style w:type="character" w:styleId="IntenseEmphasis">
    <w:name w:val="Intense Emphasis"/>
    <w:basedOn w:val="DefaultParagraphFont"/>
    <w:uiPriority w:val="21"/>
    <w:qFormat/>
    <w:rsid w:val="002F4FA8"/>
    <w:rPr>
      <w:i/>
      <w:iCs/>
      <w:color w:val="2F5496" w:themeColor="accent1" w:themeShade="BF"/>
    </w:rPr>
  </w:style>
  <w:style w:type="paragraph" w:styleId="IntenseQuote">
    <w:name w:val="Intense Quote"/>
    <w:basedOn w:val="Normal"/>
    <w:next w:val="Normal"/>
    <w:link w:val="IntenseQuoteChar"/>
    <w:uiPriority w:val="30"/>
    <w:qFormat/>
    <w:rsid w:val="002F4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FA8"/>
    <w:rPr>
      <w:i/>
      <w:iCs/>
      <w:color w:val="2F5496" w:themeColor="accent1" w:themeShade="BF"/>
    </w:rPr>
  </w:style>
  <w:style w:type="character" w:styleId="IntenseReference">
    <w:name w:val="Intense Reference"/>
    <w:basedOn w:val="DefaultParagraphFont"/>
    <w:uiPriority w:val="32"/>
    <w:qFormat/>
    <w:rsid w:val="002F4FA8"/>
    <w:rPr>
      <w:b/>
      <w:bCs/>
      <w:smallCaps/>
      <w:color w:val="2F5496" w:themeColor="accent1" w:themeShade="BF"/>
      <w:spacing w:val="5"/>
    </w:rPr>
  </w:style>
  <w:style w:type="paragraph" w:styleId="NormalWeb">
    <w:name w:val="Normal (Web)"/>
    <w:basedOn w:val="Normal"/>
    <w:uiPriority w:val="99"/>
    <w:unhideWhenUsed/>
    <w:rsid w:val="00D06F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2">
    <w:name w:val="Table Grid2"/>
    <w:basedOn w:val="TableNormal"/>
    <w:uiPriority w:val="39"/>
    <w:rsid w:val="001F22E7"/>
    <w:pPr>
      <w:spacing w:after="0" w:line="240" w:lineRule="auto"/>
    </w:pPr>
    <w:rPr>
      <w:rFonts w:eastAsia="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7D0911"/>
    <w:pPr>
      <w:spacing w:after="0" w:line="240" w:lineRule="auto"/>
    </w:pPr>
    <w:rPr>
      <w:rFonts w:ascii="Calibri" w:eastAsia="SimSun" w:hAnsi="Calibri" w:cs="Times New Roman"/>
      <w:kern w:val="0"/>
      <w:sz w:val="20"/>
      <w:szCs w:val="20"/>
      <w14:ligatures w14:val="none"/>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
    <w:name w:val="Table Grid6"/>
    <w:basedOn w:val="TableNormal"/>
    <w:uiPriority w:val="59"/>
    <w:rsid w:val="00951AE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25D3"/>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E397C"/>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DD2FF5"/>
    <w:pPr>
      <w:spacing w:after="0" w:line="240" w:lineRule="auto"/>
    </w:pPr>
    <w:rPr>
      <w:rFonts w:ascii="Calibri" w:eastAsia="SimSun" w:hAnsi="Calibri" w:cs="Times New Roman"/>
      <w:kern w:val="0"/>
      <w:sz w:val="20"/>
      <w:szCs w:val="20"/>
      <w14:ligatures w14:val="none"/>
    </w:rPr>
    <w:tblPr/>
    <w:tblStylePr w:type="firstRow">
      <w:rPr>
        <w:rFonts w:ascii="Cambria" w:eastAsia="SimSun" w:hAnsi="Cambria" w:cs="Cambria"/>
        <w:i/>
        <w:iCs/>
        <w:sz w:val="26"/>
      </w:rPr>
      <w:tblPr/>
      <w:tcPr>
        <w:tcBorders>
          <w:bottom w:val="single" w:sz="4" w:space="0" w:color="7F7F7F"/>
        </w:tcBorders>
        <w:shd w:val="clear" w:color="auto" w:fill="FFFFFF"/>
      </w:tcPr>
    </w:tblStylePr>
    <w:tblStylePr w:type="lastRow">
      <w:rPr>
        <w:rFonts w:ascii="Cambria" w:eastAsia="SimSun" w:hAnsi="Cambria" w:cs="Cambria"/>
        <w:i/>
        <w:iCs/>
        <w:sz w:val="26"/>
      </w:rPr>
      <w:tblPr/>
      <w:tcPr>
        <w:tcBorders>
          <w:top w:val="single" w:sz="4" w:space="0" w:color="7F7F7F"/>
        </w:tcBorders>
        <w:shd w:val="clear" w:color="auto" w:fill="FFFFFF"/>
      </w:tcPr>
    </w:tblStylePr>
    <w:tblStylePr w:type="firstCol">
      <w:pPr>
        <w:jc w:val="right"/>
      </w:pPr>
      <w:rPr>
        <w:rFonts w:ascii="Cambria" w:eastAsia="SimSun" w:hAnsi="Cambria" w:cs="Cambria"/>
        <w:i/>
        <w:iCs/>
        <w:sz w:val="26"/>
      </w:rPr>
      <w:tblPr/>
      <w:tcPr>
        <w:tcBorders>
          <w:right w:val="single" w:sz="4" w:space="0" w:color="7F7F7F"/>
        </w:tcBorders>
        <w:shd w:val="clear" w:color="auto" w:fill="FFFFFF"/>
      </w:tcPr>
    </w:tblStylePr>
    <w:tblStylePr w:type="lastCol">
      <w:rPr>
        <w:rFonts w:ascii="Cambria" w:eastAsia="SimSun" w:hAnsi="Cambria" w:cs="Cambria"/>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1">
    <w:name w:val="Table Grid21"/>
    <w:basedOn w:val="TableNormal"/>
    <w:uiPriority w:val="39"/>
    <w:rsid w:val="00217559"/>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rsid w:val="009512D7"/>
    <w:pPr>
      <w:spacing w:after="0" w:line="480" w:lineRule="auto"/>
      <w:ind w:left="720" w:hanging="720"/>
    </w:pPr>
    <w:rPr>
      <w:sz w:val="24"/>
      <w:szCs w:val="24"/>
    </w:rPr>
  </w:style>
  <w:style w:type="paragraph" w:styleId="Header">
    <w:name w:val="header"/>
    <w:basedOn w:val="Normal"/>
    <w:link w:val="HeaderChar"/>
    <w:uiPriority w:val="99"/>
    <w:unhideWhenUsed/>
    <w:rsid w:val="00F71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034"/>
  </w:style>
  <w:style w:type="paragraph" w:styleId="Footer">
    <w:name w:val="footer"/>
    <w:basedOn w:val="Normal"/>
    <w:link w:val="FooterChar"/>
    <w:uiPriority w:val="99"/>
    <w:unhideWhenUsed/>
    <w:rsid w:val="00F71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034"/>
  </w:style>
  <w:style w:type="character" w:styleId="CommentReference">
    <w:name w:val="annotation reference"/>
    <w:basedOn w:val="DefaultParagraphFont"/>
    <w:uiPriority w:val="99"/>
    <w:semiHidden/>
    <w:unhideWhenUsed/>
    <w:rsid w:val="00FF4AC9"/>
    <w:rPr>
      <w:sz w:val="16"/>
      <w:szCs w:val="16"/>
    </w:rPr>
  </w:style>
  <w:style w:type="paragraph" w:styleId="CommentText">
    <w:name w:val="annotation text"/>
    <w:basedOn w:val="Normal"/>
    <w:link w:val="CommentTextChar"/>
    <w:uiPriority w:val="99"/>
    <w:semiHidden/>
    <w:unhideWhenUsed/>
    <w:rsid w:val="00FF4AC9"/>
    <w:pPr>
      <w:spacing w:line="240" w:lineRule="auto"/>
    </w:pPr>
    <w:rPr>
      <w:sz w:val="20"/>
      <w:szCs w:val="20"/>
    </w:rPr>
  </w:style>
  <w:style w:type="character" w:customStyle="1" w:styleId="CommentTextChar">
    <w:name w:val="Comment Text Char"/>
    <w:basedOn w:val="DefaultParagraphFont"/>
    <w:link w:val="CommentText"/>
    <w:uiPriority w:val="99"/>
    <w:semiHidden/>
    <w:rsid w:val="00FF4AC9"/>
    <w:rPr>
      <w:sz w:val="20"/>
      <w:szCs w:val="20"/>
    </w:rPr>
  </w:style>
  <w:style w:type="paragraph" w:styleId="CommentSubject">
    <w:name w:val="annotation subject"/>
    <w:basedOn w:val="CommentText"/>
    <w:next w:val="CommentText"/>
    <w:link w:val="CommentSubjectChar"/>
    <w:uiPriority w:val="99"/>
    <w:semiHidden/>
    <w:unhideWhenUsed/>
    <w:rsid w:val="00FF4AC9"/>
    <w:rPr>
      <w:b/>
      <w:bCs/>
    </w:rPr>
  </w:style>
  <w:style w:type="character" w:customStyle="1" w:styleId="CommentSubjectChar">
    <w:name w:val="Comment Subject Char"/>
    <w:basedOn w:val="CommentTextChar"/>
    <w:link w:val="CommentSubject"/>
    <w:uiPriority w:val="99"/>
    <w:semiHidden/>
    <w:rsid w:val="00FF4AC9"/>
    <w:rPr>
      <w:b/>
      <w:bCs/>
      <w:sz w:val="20"/>
      <w:szCs w:val="20"/>
    </w:rPr>
  </w:style>
  <w:style w:type="paragraph" w:styleId="BalloonText">
    <w:name w:val="Balloon Text"/>
    <w:basedOn w:val="Normal"/>
    <w:link w:val="BalloonTextChar"/>
    <w:uiPriority w:val="99"/>
    <w:semiHidden/>
    <w:unhideWhenUsed/>
    <w:rsid w:val="00FF4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C9"/>
    <w:rPr>
      <w:rFonts w:ascii="Segoe UI" w:hAnsi="Segoe UI" w:cs="Segoe UI"/>
      <w:sz w:val="18"/>
      <w:szCs w:val="18"/>
    </w:rPr>
  </w:style>
  <w:style w:type="paragraph" w:customStyle="1" w:styleId="ds-markdown-paragraph">
    <w:name w:val="ds-markdown-paragraph"/>
    <w:basedOn w:val="Normal"/>
    <w:rsid w:val="00FE1C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E1CE0"/>
    <w:rPr>
      <w:i/>
      <w:iCs/>
    </w:rPr>
  </w:style>
  <w:style w:type="character" w:styleId="Hyperlink">
    <w:name w:val="Hyperlink"/>
    <w:basedOn w:val="DefaultParagraphFont"/>
    <w:uiPriority w:val="99"/>
    <w:unhideWhenUsed/>
    <w:rsid w:val="001E165D"/>
    <w:rPr>
      <w:color w:val="0563C1" w:themeColor="hyperlink"/>
      <w:u w:val="single"/>
    </w:rPr>
  </w:style>
  <w:style w:type="character" w:styleId="UnresolvedMention">
    <w:name w:val="Unresolved Mention"/>
    <w:basedOn w:val="DefaultParagraphFont"/>
    <w:uiPriority w:val="99"/>
    <w:semiHidden/>
    <w:unhideWhenUsed/>
    <w:rsid w:val="001E1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3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31</Pages>
  <Words>9932</Words>
  <Characters>56616</Characters>
  <Application>Microsoft Office Word</Application>
  <DocSecurity>0</DocSecurity>
  <Lines>471</Lines>
  <Paragraphs>132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4.1 Introduction</vt:lpstr>
      <vt:lpstr>    4.2 Response Rate Analysis</vt:lpstr>
      <vt:lpstr>    4.3 Demographic Characteristics of Respondents</vt:lpstr>
      <vt:lpstr>        4.3.1 Background of VAT-Registered Taxpayers</vt:lpstr>
      <vt:lpstr>        4.3.2 Background of Tax Officials</vt:lpstr>
      <vt:lpstr>    4.4 Findings of the Study</vt:lpstr>
      <vt:lpstr>        4.4.1 Tax Collection Performance of Negele Town Revenue Authority (2018-2022)</vt:lpstr>
      <vt:lpstr>        4.4.2 VAT Administration Practices and Main Constraints in Negele Town</vt:lpstr>
      <vt:lpstr>    4.5 Discussion of Findings</vt:lpstr>
      <vt:lpstr>        The administration of Value Added Tax (VAT) in Negele Town presents a complex pi</vt:lpstr>
      <vt:lpstr>        Taxpayer identification and registration reveal substantial shortcomings. Survey</vt:lpstr>
      <vt:lpstr>        The audit function demonstrates critical weaknesses. Effective VAT administratio</vt:lpstr>
      <vt:lpstr>        The cumulative impact of these constraints is substantial. Unskilled and occasio</vt:lpstr>
    </vt:vector>
  </TitlesOfParts>
  <Company/>
  <LinksUpToDate>false</LinksUpToDate>
  <CharactersWithSpaces>66416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Mezgi Abebe</dc:creator>
  <cp:keywords/>
  <dc:description/>
  <cp:lastModifiedBy>SDI PC 1170</cp:lastModifiedBy>
  <cp:revision>24</cp:revision>
  <dcterms:created xsi:type="dcterms:W3CDTF">2026-03-06T12:30:00Z</dcterms:created>
  <dcterms:modified xsi:type="dcterms:W3CDTF">2026-03-14T10:31:00Z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b34eca48-5875-476f-b32c-65102a78a97e</vt:lpwstr>
  </property>
</Properties>
</file>