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35598" w14:textId="77777777" w:rsidR="00EA33EB" w:rsidRPr="00EA33EB" w:rsidRDefault="00EA33EB" w:rsidP="00EA33EB">
      <w:pPr>
        <w:spacing w:after="240"/>
        <w:jc w:val="center"/>
        <w:rPr>
          <w:b/>
          <w:bCs/>
          <w:i/>
          <w:iCs/>
          <w:sz w:val="32"/>
          <w:szCs w:val="32"/>
          <w:u w:val="single"/>
        </w:rPr>
      </w:pPr>
      <w:bookmarkStart w:id="0" w:name="_GoBack"/>
      <w:bookmarkEnd w:id="0"/>
      <w:r w:rsidRPr="00EA33EB">
        <w:rPr>
          <w:b/>
          <w:bCs/>
          <w:i/>
          <w:iCs/>
          <w:sz w:val="32"/>
          <w:szCs w:val="32"/>
          <w:u w:val="single"/>
        </w:rPr>
        <w:t>Review Article</w:t>
      </w:r>
    </w:p>
    <w:p w14:paraId="7418FB46" w14:textId="77777777" w:rsidR="000041D7" w:rsidRDefault="00F2273A">
      <w:pPr>
        <w:spacing w:after="240"/>
        <w:jc w:val="center"/>
        <w:rPr>
          <w:b/>
          <w:bCs/>
          <w:sz w:val="32"/>
          <w:szCs w:val="32"/>
        </w:rPr>
      </w:pPr>
      <w:r>
        <w:rPr>
          <w:b/>
          <w:bCs/>
          <w:sz w:val="32"/>
          <w:szCs w:val="32"/>
        </w:rPr>
        <w:t>From Monolayer to Biomimetic Mastery: The Multilayer Injection Concept</w:t>
      </w:r>
    </w:p>
    <w:p w14:paraId="14C44ACB" w14:textId="77777777" w:rsidR="00EA33EB" w:rsidRDefault="00EA33EB">
      <w:pPr>
        <w:spacing w:after="240"/>
        <w:jc w:val="center"/>
      </w:pPr>
    </w:p>
    <w:p w14:paraId="7D6C92A1" w14:textId="77777777" w:rsidR="000041D7" w:rsidRDefault="000041D7"/>
    <w:p w14:paraId="49422166" w14:textId="77777777" w:rsidR="000041D7" w:rsidRDefault="00F2273A">
      <w:pPr>
        <w:pStyle w:val="Heading1"/>
      </w:pPr>
      <w:r>
        <w:t>Abstract</w:t>
      </w:r>
    </w:p>
    <w:p w14:paraId="09082A16" w14:textId="77777777" w:rsidR="000041D7" w:rsidRDefault="00F2273A">
      <w:pPr>
        <w:spacing w:after="160" w:line="360" w:lineRule="auto"/>
        <w:jc w:val="both"/>
      </w:pPr>
      <w:r>
        <w:t xml:space="preserve">The evolution from conventional monolayer cell culture to sophisticated biomimetic multilayer constructs represents one of the most consequential </w:t>
      </w:r>
      <w:proofErr w:type="gramStart"/>
      <w:r>
        <w:t>paradigm</w:t>
      </w:r>
      <w:proofErr w:type="gramEnd"/>
      <w:r>
        <w:t xml:space="preserve"> shifts in contemporary biomedical engineering and regenerative medicine. Monolayer systems, whilst foundational to cell biology research, are increasingly </w:t>
      </w:r>
      <w:proofErr w:type="spellStart"/>
      <w:r>
        <w:t>recognised</w:t>
      </w:r>
      <w:proofErr w:type="spellEnd"/>
      <w:r>
        <w:t xml:space="preserve"> as inadequate surrogates for native tissue architecture, owing to their inability to recapitulate the three-dimensional, compositionally graded, and mechanically heterogeneous environments that govern cellular </w:t>
      </w:r>
      <w:proofErr w:type="spellStart"/>
      <w:r>
        <w:t>behaviour</w:t>
      </w:r>
      <w:proofErr w:type="spellEnd"/>
      <w:r>
        <w:t xml:space="preserve"> in vivo. The multilayer injection concept emerges as a transformative strategy that addresses these limitations by enabling the sequential or simultaneous deposition of compositionally distinct, bioactive material layers via injection-based platforms, thereby recreating the stratified complexity inherent to biological tissues. This review examines the conceptual progression from monolayer paradigms to biomimetic multilayer injectable architectures, exploring the biological rationale, material platforms, crosslinking strategies, and gradient engineering principles that underpin this approach. Applications spanning osteochondral tissue engineering, vascular repair, neural regeneration, and dermal reconstruction are critically evaluated, alongside an assessment of prevailing challenges related to </w:t>
      </w:r>
      <w:proofErr w:type="spellStart"/>
      <w:r>
        <w:t>vascularisation</w:t>
      </w:r>
      <w:proofErr w:type="spellEnd"/>
      <w:r>
        <w:t xml:space="preserve">, mechanical integration, scalability, and clinical translation. The multilayer injection concept is </w:t>
      </w:r>
      <w:proofErr w:type="spellStart"/>
      <w:r>
        <w:t>contextualised</w:t>
      </w:r>
      <w:proofErr w:type="spellEnd"/>
      <w:r>
        <w:t xml:space="preserve"> within the broader trajectory of </w:t>
      </w:r>
      <w:proofErr w:type="spellStart"/>
      <w:r>
        <w:t>biofabrication</w:t>
      </w:r>
      <w:proofErr w:type="spellEnd"/>
      <w:r>
        <w:t>, and future research priorities are identified to guide the field towards clinically viable biomimetic constructs capable of recapitulating not merely the gross composition but the full spatial and functional complexity of native tissues.</w:t>
      </w:r>
    </w:p>
    <w:p w14:paraId="19435447" w14:textId="77777777" w:rsidR="000041D7" w:rsidRDefault="000041D7"/>
    <w:p w14:paraId="4704E9CE" w14:textId="77777777" w:rsidR="000041D7" w:rsidRDefault="00F2273A">
      <w:pPr>
        <w:spacing w:after="160" w:line="360" w:lineRule="auto"/>
        <w:jc w:val="both"/>
      </w:pPr>
      <w:r>
        <w:rPr>
          <w:b/>
          <w:bCs/>
        </w:rPr>
        <w:t xml:space="preserve">Keywords: </w:t>
      </w:r>
      <w:r>
        <w:t>multilayer injection; biomimetic scaffolds; injectable hydrogels; tissue engineering; layer-by-layer assembly; gradient scaffolds; regenerative medicine; extracellular matrix mimicry</w:t>
      </w:r>
    </w:p>
    <w:p w14:paraId="228A5EA7" w14:textId="77777777" w:rsidR="000041D7" w:rsidRDefault="000041D7"/>
    <w:p w14:paraId="315DE5D7" w14:textId="77777777" w:rsidR="000041D7" w:rsidRDefault="00F2273A">
      <w:pPr>
        <w:pStyle w:val="Heading1"/>
      </w:pPr>
      <w:r>
        <w:lastRenderedPageBreak/>
        <w:t>1. Introduction</w:t>
      </w:r>
    </w:p>
    <w:p w14:paraId="7A473348" w14:textId="77777777" w:rsidR="000041D7" w:rsidRDefault="00F2273A">
      <w:pPr>
        <w:spacing w:after="160" w:line="360" w:lineRule="auto"/>
        <w:jc w:val="both"/>
      </w:pPr>
      <w:r>
        <w:t xml:space="preserve">The capacity of living tissue to perform its physiological functions with extraordinary precision is attributable not merely to the constituent cell types it </w:t>
      </w:r>
      <w:proofErr w:type="spellStart"/>
      <w:r>
        <w:t>harbours</w:t>
      </w:r>
      <w:proofErr w:type="spellEnd"/>
      <w:r>
        <w:t xml:space="preserve">, but to the exquisitely </w:t>
      </w:r>
      <w:proofErr w:type="spellStart"/>
      <w:r>
        <w:t>organised</w:t>
      </w:r>
      <w:proofErr w:type="spellEnd"/>
      <w:r>
        <w:t xml:space="preserve"> microenvironmental architecture within which those cells reside. Natural tissues are </w:t>
      </w:r>
      <w:proofErr w:type="spellStart"/>
      <w:r>
        <w:t>characterised</w:t>
      </w:r>
      <w:proofErr w:type="spellEnd"/>
      <w:r>
        <w:t xml:space="preserve"> by hierarchical, multilayered structures in which gradients of biochemical composition, mechanical stiffness, and cellular density are precisely maintained across spatial scales ranging from </w:t>
      </w:r>
      <w:proofErr w:type="spellStart"/>
      <w:r>
        <w:t>nanometres</w:t>
      </w:r>
      <w:proofErr w:type="spellEnd"/>
      <w:r>
        <w:t xml:space="preserve"> to </w:t>
      </w:r>
      <w:proofErr w:type="spellStart"/>
      <w:r>
        <w:t>centimetres</w:t>
      </w:r>
      <w:proofErr w:type="spellEnd"/>
      <w:r>
        <w:t xml:space="preserve">. This architectural complexity is not incidental; rather, it is the principal determinant of tissue-specific gene expression, lineage specification, and organ-level function (Engler et al., 2006; </w:t>
      </w:r>
      <w:proofErr w:type="spellStart"/>
      <w:r>
        <w:t>Guilak</w:t>
      </w:r>
      <w:proofErr w:type="spellEnd"/>
      <w:r>
        <w:t xml:space="preserve"> et al., 2009). The relationship between structure and function in biological tissues is so intimate that even subtle disruptions to the native architectural order—whether through injury, disease, or iatrogenic intervention—can produce catastrophic functional consequences that underscore the inadequacy of any restorative strategy that fails to replicate this complexity.</w:t>
      </w:r>
    </w:p>
    <w:p w14:paraId="18874A9E" w14:textId="77777777" w:rsidR="000041D7" w:rsidRDefault="00F2273A">
      <w:pPr>
        <w:spacing w:after="160" w:line="360" w:lineRule="auto"/>
        <w:jc w:val="both"/>
      </w:pPr>
      <w:r>
        <w:t xml:space="preserve">For decades, the dominant paradigm in cell biology and tissue engineering relied upon two-dimensional (2D) monolayer culture systems. The monolayer approach, first </w:t>
      </w:r>
      <w:proofErr w:type="spellStart"/>
      <w:r>
        <w:t>standardised</w:t>
      </w:r>
      <w:proofErr w:type="spellEnd"/>
      <w:r>
        <w:t xml:space="preserve"> in the mid-twentieth century, enabled unprecedented advances in the understanding of cellular physiology, pharmacological responses, and pathological mechanisms. However, mounting evidence from the early 2000s onwards demonstrated that cells cultured on flat, rigid substrates exhibit fundamentally altered morphology, </w:t>
      </w:r>
      <w:proofErr w:type="spellStart"/>
      <w:r>
        <w:t>signalling</w:t>
      </w:r>
      <w:proofErr w:type="spellEnd"/>
      <w:r>
        <w:t xml:space="preserve">, and phenotypic </w:t>
      </w:r>
      <w:proofErr w:type="spellStart"/>
      <w:r>
        <w:t>behaviour</w:t>
      </w:r>
      <w:proofErr w:type="spellEnd"/>
      <w:r>
        <w:t xml:space="preserve"> compared with their in vivo counterparts (Griffith &amp; Swartz, 2006). The failure of numerous drug candidates validated in 2D models to demonstrate equivalent efficacy or safety in clinical trials further underscored the translational inadequacy of conventional monolayer systems (Place et al., 2009). These failures were not incidental but symptomatic of a fundamental mismatch between the culture environment and the native tissue context from which diseased cells are derived.</w:t>
      </w:r>
    </w:p>
    <w:p w14:paraId="194653D0" w14:textId="77777777" w:rsidR="000041D7" w:rsidRDefault="00F2273A">
      <w:pPr>
        <w:spacing w:after="160" w:line="360" w:lineRule="auto"/>
        <w:jc w:val="both"/>
      </w:pPr>
      <w:r>
        <w:t xml:space="preserve">These limitations </w:t>
      </w:r>
      <w:proofErr w:type="spellStart"/>
      <w:r>
        <w:t>catalysed</w:t>
      </w:r>
      <w:proofErr w:type="spellEnd"/>
      <w:r>
        <w:t xml:space="preserve"> a fundamental reorientation of the biomedical engineering community towards three-dimensional (3D) culture platforms and tissue-engineered constructs that more faithfully replicate the in vivo milieu. Early 3D scaffolds, composed of single-material matrices, represented a meaningful advance but remained insufficient to capture the compositional and architectural gradients of native tissues such as articular cartilage, cortical bone, blood vessels, or stratified skin (Hollister, 2005; Langer &amp; Vacanti, 1993). The recognition </w:t>
      </w:r>
      <w:r>
        <w:lastRenderedPageBreak/>
        <w:t xml:space="preserve">that biological tissues are inherently stratified—comprising discrete layers with distinct mechanical properties, cellular compositions, and extracellular matrix constituents—provided the impetus for the development of multilayer strategies that could replicate not only the bulk properties but also the spatial </w:t>
      </w:r>
      <w:proofErr w:type="spellStart"/>
      <w:r>
        <w:t>organisation</w:t>
      </w:r>
      <w:proofErr w:type="spellEnd"/>
      <w:r>
        <w:t xml:space="preserve"> of target tissues.</w:t>
      </w:r>
    </w:p>
    <w:p w14:paraId="3A09FFD2" w14:textId="77777777" w:rsidR="000041D7" w:rsidRDefault="00F2273A">
      <w:pPr>
        <w:spacing w:after="160" w:line="360" w:lineRule="auto"/>
        <w:jc w:val="both"/>
      </w:pPr>
      <w:r>
        <w:t xml:space="preserve">The multilayer injection concept, as reviewed in this article, refers to a class of fabrication approaches in which multiple bioactive material layers are sequentially or simultaneously introduced into a target site or </w:t>
      </w:r>
      <w:proofErr w:type="spellStart"/>
      <w:r>
        <w:t>mould</w:t>
      </w:r>
      <w:proofErr w:type="spellEnd"/>
      <w:r>
        <w:t xml:space="preserve"> through injection-based delivery, creating spatially </w:t>
      </w:r>
      <w:proofErr w:type="spellStart"/>
      <w:r>
        <w:t>organised</w:t>
      </w:r>
      <w:proofErr w:type="spellEnd"/>
      <w:r>
        <w:t>, gradient-bearing constructs that approximate the stratified complexity of natural tissues. Injection-based delivery confers several advantages over conventional open fabrication techniques, including minimal invasiveness, capacity for in situ gelation, compatibility with patient-specific anatomical geometries, and the ability to incorporate living cells and bioactive molecules within each distinct layer (</w:t>
      </w:r>
      <w:proofErr w:type="spellStart"/>
      <w:r>
        <w:t>Annabi</w:t>
      </w:r>
      <w:proofErr w:type="spellEnd"/>
      <w:r>
        <w:t xml:space="preserve"> et al., 2014; Zhang &amp; </w:t>
      </w:r>
      <w:proofErr w:type="spellStart"/>
      <w:r>
        <w:t>Khademhosseini</w:t>
      </w:r>
      <w:proofErr w:type="spellEnd"/>
      <w:r>
        <w:t xml:space="preserve">, 2017). The concept integrates principles from materials science, cell biology, </w:t>
      </w:r>
      <w:proofErr w:type="spellStart"/>
      <w:r>
        <w:t>biofabrication</w:t>
      </w:r>
      <w:proofErr w:type="spellEnd"/>
      <w:r>
        <w:t>, and clinical medicine, and has demonstrated considerable promise across a range of regenerative medicine applications. Foundational contributions to the design of porous scaffolds for tissue engineering, including the articulation of porosity, interconnectivity, and degradation kinetics as primary design parameters, provided the architectural design vocabulary that multilayer injectable strategies have subsequently refined and extended (</w:t>
      </w:r>
      <w:proofErr w:type="spellStart"/>
      <w:r>
        <w:t>Hutmacher</w:t>
      </w:r>
      <w:proofErr w:type="spellEnd"/>
      <w:r>
        <w:t>, 2000).</w:t>
      </w:r>
    </w:p>
    <w:p w14:paraId="2CA7EA0A" w14:textId="77777777" w:rsidR="000041D7" w:rsidRDefault="00F2273A">
      <w:pPr>
        <w:spacing w:after="160" w:line="360" w:lineRule="auto"/>
        <w:jc w:val="both"/>
      </w:pPr>
      <w:r>
        <w:t xml:space="preserve">This review charts the conceptual and technological trajectory from the monolayer paradigm through increasingly sophisticated multilayer injectable systems, </w:t>
      </w:r>
      <w:proofErr w:type="spellStart"/>
      <w:r>
        <w:t>synthesising</w:t>
      </w:r>
      <w:proofErr w:type="spellEnd"/>
      <w:r>
        <w:t xml:space="preserve"> the current state of knowledge and identifying critical frontiers for future investigation. By integrating perspectives from materials science, mechanobiology, developmental biology, and translational medicine, it aims to provide a coherent framework for understanding the multilayer injection concept and its position within the broader evolution of tissue engineering as a discipline.</w:t>
      </w:r>
    </w:p>
    <w:p w14:paraId="40CA57CD" w14:textId="77777777" w:rsidR="000041D7" w:rsidRDefault="000041D7"/>
    <w:p w14:paraId="2D9728F8" w14:textId="77777777" w:rsidR="000041D7" w:rsidRDefault="00F2273A">
      <w:pPr>
        <w:pStyle w:val="Heading2"/>
      </w:pPr>
      <w:r>
        <w:t>1.1 Scope and Objectives</w:t>
      </w:r>
    </w:p>
    <w:p w14:paraId="1B0B6F3D" w14:textId="77777777" w:rsidR="000041D7" w:rsidRDefault="00F2273A">
      <w:pPr>
        <w:spacing w:after="160" w:line="360" w:lineRule="auto"/>
        <w:jc w:val="both"/>
      </w:pPr>
      <w:r>
        <w:t xml:space="preserve">This review aims to provide a comprehensive narrative synthesis of the scientific principles, material platforms, fabrication strategies, and applications associated with the multilayer injection concept in biomimetic tissue engineering. The specific objectives are as follows: to critically evaluate the limitations of monolayer and single-layer three-dimensional systems that </w:t>
      </w:r>
      <w:r>
        <w:lastRenderedPageBreak/>
        <w:t>necessitated the development of multilayer approaches; to delineate the biological rationale for multilayered tissue architecture and its implications for scaffold design; to examine the materials, crosslinking mechanisms, and gradient engineering strategies employed in multilayer injectable constructs; to survey current applications across key tissue types; and to identify persistent challenges and future research priorities. The review does not aim to provide a protocol-level technical guide to any specific fabrication system, nor does it address non-injectable multilayer fabrication strategies such as electrospinning or solid freeform fabrication in isolation. The scope is confined to peer-reviewed literature describing injectable or in situ-forming multilayer systems with biomimetic design intent, with particular emphasis on systems that have demonstrated functional validation in cell-based or in vivo models.</w:t>
      </w:r>
    </w:p>
    <w:p w14:paraId="20B73308" w14:textId="77777777" w:rsidR="000041D7" w:rsidRDefault="000041D7"/>
    <w:p w14:paraId="2F2D7267" w14:textId="77777777" w:rsidR="000041D7" w:rsidRDefault="00F2273A">
      <w:pPr>
        <w:pStyle w:val="Heading1"/>
      </w:pPr>
      <w:r>
        <w:t>2. Methods for Literature Selection</w:t>
      </w:r>
    </w:p>
    <w:p w14:paraId="7D8AB19B" w14:textId="77777777" w:rsidR="000041D7" w:rsidRDefault="00F2273A">
      <w:pPr>
        <w:spacing w:after="160" w:line="360" w:lineRule="auto"/>
        <w:jc w:val="both"/>
      </w:pPr>
      <w:r>
        <w:t xml:space="preserve">This article is structured as a narrative review rather than a systematic review. This methodological choice was made deliberately, reflecting the interdisciplinary and evolving nature of the multilayer injection concept, which spans materials science, cell biology, developmental biology, and clinical regenerative medicine. A systematic review, with its requirement for exhaustive retrieval, </w:t>
      </w:r>
      <w:proofErr w:type="spellStart"/>
      <w:r>
        <w:t>standardised</w:t>
      </w:r>
      <w:proofErr w:type="spellEnd"/>
      <w:r>
        <w:t xml:space="preserve"> quality appraisal tools, and meta-analytic synthesis, would be poorly suited to a topic whose foundational concepts are drawn from multiple fields with heterogeneous outcome measures and study designs (Baumeister &amp; Leary, 1997). The narrative format affords the flexibility required to integrate mechanistic insights, conceptual frameworks, and application-specific findings in a coherent, </w:t>
      </w:r>
      <w:proofErr w:type="spellStart"/>
      <w:r>
        <w:t>contextualised</w:t>
      </w:r>
      <w:proofErr w:type="spellEnd"/>
      <w:r>
        <w:t xml:space="preserve"> synthesis. Moreover, the absence of a universally agreed definition of the "multilayer injection concept" in the existing literature—a concept that cuts across multiple terminological conventions in different subfields—renders exhaustive systematic retrieval methodologically impractical without imposing artificial conceptual boundaries.</w:t>
      </w:r>
    </w:p>
    <w:p w14:paraId="4CCC7F7E" w14:textId="77777777" w:rsidR="000041D7" w:rsidRDefault="00F2273A">
      <w:pPr>
        <w:spacing w:after="160" w:line="360" w:lineRule="auto"/>
        <w:jc w:val="both"/>
      </w:pPr>
      <w:r>
        <w:t xml:space="preserve">Literature retrieval was conducted using the academic databases Web of Science, Scopus, PubMed, and Google Scholar. The primary search strings employed included combinations of the following terms: "multilayer injection," "injectable hydrogel scaffold," "biomimetic multilayer," "layer-by-layer tissue engineering," "stratified scaffold," "gradient biomaterial," "injectable biomimetic scaffold," "in situ forming multilayer," "osteochondral multilayer </w:t>
      </w:r>
      <w:r>
        <w:lastRenderedPageBreak/>
        <w:t xml:space="preserve">scaffold," and "biomimetic injectable construct." Searches were conducted with a primary date range of 2000 to 2026 to capture recent advances, although highly influential earlier publications from reputed academic journals were included without date restriction where their conceptual or methodological contributions remained pivotal to the field. Boolean operators (AND, OR) were used systematically to combine search terms and </w:t>
      </w:r>
      <w:proofErr w:type="spellStart"/>
      <w:r>
        <w:t>maximise</w:t>
      </w:r>
      <w:proofErr w:type="spellEnd"/>
      <w:r>
        <w:t xml:space="preserve"> relevant retrieval.</w:t>
      </w:r>
    </w:p>
    <w:p w14:paraId="5C43EC19" w14:textId="77777777" w:rsidR="000041D7" w:rsidRDefault="00F2273A">
      <w:pPr>
        <w:spacing w:after="160" w:line="360" w:lineRule="auto"/>
        <w:jc w:val="both"/>
      </w:pPr>
      <w:r>
        <w:t xml:space="preserve">Inclusion criteria required that studies be published in peer-reviewed academic journals, report original research or substantive review findings pertaining to multilayer, gradient, or biomimetic injectable systems, and be available in English. Exclusion criteria encompassed conference proceedings, theses, book chapters, technical reports from commercial entities, and grey literature. Studies employing purely non-injectable multilayer fabrication without biomimetic design rationale were also excluded. Duplicate records identified across databases were removed manually prior to screening. Title and abstract screening </w:t>
      </w:r>
      <w:proofErr w:type="gramStart"/>
      <w:r>
        <w:t>was</w:t>
      </w:r>
      <w:proofErr w:type="gramEnd"/>
      <w:r>
        <w:t xml:space="preserve"> performed to exclude clearly irrelevant records, followed by full-text review of retained articles. Influential studies were identified on the basis of citation frequency, methodological novelty, and the degree to which their findings contributed to the conceptual development of the multilayer injection framework. No formal quality scoring tool was applied, consistent with narrative review practice. Linguistic restriction to English was applied at the full-text review stage.</w:t>
      </w:r>
    </w:p>
    <w:p w14:paraId="34C5676E" w14:textId="77777777" w:rsidR="000041D7" w:rsidRDefault="000041D7"/>
    <w:p w14:paraId="141DB377" w14:textId="77777777" w:rsidR="000041D7" w:rsidRDefault="00F2273A">
      <w:pPr>
        <w:pStyle w:val="Heading1"/>
      </w:pPr>
      <w:r>
        <w:t>3. The Monolayer Paradigm: Foundations and Limitations</w:t>
      </w:r>
    </w:p>
    <w:p w14:paraId="527AA12A" w14:textId="77777777" w:rsidR="000041D7" w:rsidRDefault="00F2273A">
      <w:pPr>
        <w:pStyle w:val="Heading2"/>
      </w:pPr>
      <w:r>
        <w:t>3.1 Historical Context of Monolayer Systems</w:t>
      </w:r>
    </w:p>
    <w:p w14:paraId="4585A64B" w14:textId="77777777" w:rsidR="000041D7" w:rsidRDefault="00F2273A">
      <w:pPr>
        <w:spacing w:after="160" w:line="360" w:lineRule="auto"/>
        <w:jc w:val="both"/>
      </w:pPr>
      <w:r>
        <w:t xml:space="preserve">The cultivation of mammalian cells on planar, artificially coated substrates constitutes one of the most enduring methodological pillars of modern biomedicine. From the pioneering work of Harrison and Carrel in the early twentieth century, through the development of </w:t>
      </w:r>
      <w:proofErr w:type="spellStart"/>
      <w:r>
        <w:t>standardised</w:t>
      </w:r>
      <w:proofErr w:type="spellEnd"/>
      <w:r>
        <w:t xml:space="preserve"> tissue culture plasticware in the 1950s and 1960s, monolayer culture became the default platform for investigations into cell physiology, oncology, pharmacology, and developmental biology. The technical simplicity, reproducibility, and scalability of 2D culture systems rendered them extraordinarily productive tools for generating mechanistic insights into cellular </w:t>
      </w:r>
      <w:proofErr w:type="spellStart"/>
      <w:r>
        <w:t>behaviour</w:t>
      </w:r>
      <w:proofErr w:type="spellEnd"/>
      <w:r>
        <w:t xml:space="preserve"> under controlled experimental conditions. The vast majority of foundational discoveries in molecular biology—including the elucidation of signal transduction cascades, apoptotic pathways, and </w:t>
      </w:r>
      <w:r>
        <w:lastRenderedPageBreak/>
        <w:t>growth factor receptor dynamics—were initially made using monolayer systems, and the contribution of this experimental paradigm to modern medicine cannot be overstated.</w:t>
      </w:r>
    </w:p>
    <w:p w14:paraId="33496383" w14:textId="77777777" w:rsidR="000041D7" w:rsidRDefault="00F2273A">
      <w:pPr>
        <w:spacing w:after="160" w:line="360" w:lineRule="auto"/>
        <w:jc w:val="both"/>
      </w:pPr>
      <w:r>
        <w:t>Nevertheless, the monolayer model embodies an inherent tension. Its power as a reductionist tool arises precisely from its departure from the complexity of living tissue; yet it is this same departure that limits its predictive validity as a surrogate for in vivo biology. Cells in a conventional monolayer experience an artificially rigid substrate—typically polystyrene or glass, with an elastic modulus many orders of magnitude higher than that of most soft biological tissues—whereas native soft tissues typically display stiffness values in the range of tens to thousands of pascals depending upon tissue type and developmental stage (</w:t>
      </w:r>
      <w:proofErr w:type="spellStart"/>
      <w:r>
        <w:t>Discher</w:t>
      </w:r>
      <w:proofErr w:type="spellEnd"/>
      <w:r>
        <w:t xml:space="preserve"> et al., 2005). This gross mechanical mismatch fundamentally alters cytoskeletal </w:t>
      </w:r>
      <w:proofErr w:type="spellStart"/>
      <w:r>
        <w:t>organisation</w:t>
      </w:r>
      <w:proofErr w:type="spellEnd"/>
      <w:r>
        <w:t xml:space="preserve">, focal adhesion dynamics, nuclear </w:t>
      </w:r>
      <w:proofErr w:type="spellStart"/>
      <w:r>
        <w:t>mechanosensing</w:t>
      </w:r>
      <w:proofErr w:type="spellEnd"/>
      <w:r>
        <w:t xml:space="preserve">, and, consequently, gene expression </w:t>
      </w:r>
      <w:proofErr w:type="spellStart"/>
      <w:r>
        <w:t>programmes</w:t>
      </w:r>
      <w:proofErr w:type="spellEnd"/>
      <w:r>
        <w:t>, producing a cell phenotype that is representative of cells cultivated on a rigid artificial surface rather than of cells residing within their native three-dimensional matrix.</w:t>
      </w:r>
    </w:p>
    <w:p w14:paraId="217B7162" w14:textId="77777777" w:rsidR="000041D7" w:rsidRDefault="00F2273A">
      <w:pPr>
        <w:spacing w:after="160" w:line="360" w:lineRule="auto"/>
        <w:jc w:val="both"/>
      </w:pPr>
      <w:r>
        <w:t xml:space="preserve">The consequences of this mechanical mismatch extend beyond simple phenotypic alteration. The rigid, two-dimensional substrate imposes an unphysiological presentation of adhesion ligands to the basal cell surface, suppresses the formation of apical-basolateral asymmetry in </w:t>
      </w:r>
      <w:proofErr w:type="spellStart"/>
      <w:r>
        <w:t>polarised</w:t>
      </w:r>
      <w:proofErr w:type="spellEnd"/>
      <w:r>
        <w:t xml:space="preserve"> cell types, and eliminates the three-dimensional intercellular and cell-matrix interactions that govern tissue homeostasis and morphogenesis. In systems where cell </w:t>
      </w:r>
      <w:proofErr w:type="spellStart"/>
      <w:r>
        <w:t>behaviour</w:t>
      </w:r>
      <w:proofErr w:type="spellEnd"/>
      <w:r>
        <w:t xml:space="preserve"> is critically dependent upon the spatial </w:t>
      </w:r>
      <w:proofErr w:type="spellStart"/>
      <w:r>
        <w:t>organisation</w:t>
      </w:r>
      <w:proofErr w:type="spellEnd"/>
      <w:r>
        <w:t xml:space="preserve"> of biochemical and mechanical cues—as is the case for stem cell differentiation, tissue morphogenesis, and cancer cell invasion—the monolayer system provides a fundamentally misleading experimental context. Engler et al. (2006) demonstrated in a landmark study that substrate stiffness alone, independently of soluble factor supplementation, is sufficient to commit mesenchymal stem cells to neurogenic, myogenic, or osteogenic lineages, providing compelling evidence that the mechanical environment of culture is not a passive background variable but an active determinant of cell fate. This finding had profound implications for the design of culture systems and tissue-engineered constructs, establishing substrate mechanics as a primary design parameter in biomimetic scaffold engineering.</w:t>
      </w:r>
    </w:p>
    <w:p w14:paraId="17B97972" w14:textId="77777777" w:rsidR="000041D7" w:rsidRDefault="00F2273A">
      <w:pPr>
        <w:pStyle w:val="Heading2"/>
      </w:pPr>
      <w:r>
        <w:t>3.2 Limitations of Two-Dimensional Culture Systems</w:t>
      </w:r>
    </w:p>
    <w:p w14:paraId="4174D0C6" w14:textId="77777777" w:rsidR="000041D7" w:rsidRDefault="00F2273A">
      <w:pPr>
        <w:spacing w:after="160" w:line="360" w:lineRule="auto"/>
        <w:jc w:val="both"/>
      </w:pPr>
      <w:r>
        <w:t xml:space="preserve">The translational consequences of monolayer culture inadequacy are substantial and have become increasingly apparent as the gap between in vitro findings and clinical outcomes has </w:t>
      </w:r>
      <w:r>
        <w:lastRenderedPageBreak/>
        <w:t xml:space="preserve">attracted scrutiny. Historically, a very high proportion of drug candidates that demonstrate promising efficacy and acceptable toxicity profiles in 2D cell-based assays have failed in Phase II or Phase III clinical trials, a failure rate widely attributed in part to the inability of monolayer models to recapitulate in vivo pharmacokinetics, drug distribution, and tissue-level responses (Place et al., 2009). Similarly, the inability of monolayer-expanded cells to maintain their native phenotype in culture—exemplified by the rapid dedifferentiation of articular chondrocytes upon 2D expansion, with loss of collagen type II and aggrecan expression and aberrant upregulation of collagen type I—imposes significant constraints on the clinical utility of cell therapy approaches predicated upon conventional culture systems (Tibbitt &amp; </w:t>
      </w:r>
      <w:proofErr w:type="spellStart"/>
      <w:r>
        <w:t>Anseth</w:t>
      </w:r>
      <w:proofErr w:type="spellEnd"/>
      <w:r>
        <w:t>, 2009).</w:t>
      </w:r>
    </w:p>
    <w:p w14:paraId="397A04E9" w14:textId="77777777" w:rsidR="000041D7" w:rsidRDefault="00F2273A">
      <w:pPr>
        <w:spacing w:after="160" w:line="360" w:lineRule="auto"/>
        <w:jc w:val="both"/>
      </w:pPr>
      <w:r>
        <w:t xml:space="preserve">The monolayer model is further limited by its inability to replicate the paracrine and autocrine </w:t>
      </w:r>
      <w:proofErr w:type="spellStart"/>
      <w:r>
        <w:t>signalling</w:t>
      </w:r>
      <w:proofErr w:type="spellEnd"/>
      <w:r>
        <w:t xml:space="preserve"> environments that prevail in three-dimensional tissue compartments. In native tissue, soluble morphogens and growth factors are subject to diffusion gradients, receptor-mediated </w:t>
      </w:r>
      <w:proofErr w:type="spellStart"/>
      <w:r>
        <w:t>internalisation</w:t>
      </w:r>
      <w:proofErr w:type="spellEnd"/>
      <w:r>
        <w:t xml:space="preserve">, matrix-binding sequestration, and proteolytic modulation that collectively generate concentration profiles fundamentally different from those achievable in a well-mixed monolayer medium. The absence of interstitial flow, mechanical loading, and cyclic deformation—all of which modulate cell </w:t>
      </w:r>
      <w:proofErr w:type="spellStart"/>
      <w:r>
        <w:t>behaviour</w:t>
      </w:r>
      <w:proofErr w:type="spellEnd"/>
      <w:r>
        <w:t xml:space="preserve"> in vivo through </w:t>
      </w:r>
      <w:proofErr w:type="spellStart"/>
      <w:r>
        <w:t>mechanotransduction</w:t>
      </w:r>
      <w:proofErr w:type="spellEnd"/>
      <w:r>
        <w:t xml:space="preserve"> and convective transport—further attenuates the biological fidelity of the monolayer system. Griffith &amp; Swartz (2006) provided a compelling synthesis of the inadequacies of 2D systems across multiple organ contexts, arguing that the failure to capture 3D tissue physiology in vitro represents a systemic barrier to the predictive accuracy of cell-based models and to the efficient development of effective regenerative therapies. These limitations collectively provided the motivational impetus for the development of three-dimensional culture platforms and, ultimately, for the sophisticated multilayer biomimetic constructs that form the central subject of this review.</w:t>
      </w:r>
    </w:p>
    <w:p w14:paraId="191B3557" w14:textId="77777777" w:rsidR="000041D7" w:rsidRDefault="000041D7"/>
    <w:p w14:paraId="43DA0427" w14:textId="77777777" w:rsidR="000041D7" w:rsidRDefault="00F2273A">
      <w:pPr>
        <w:pStyle w:val="Heading1"/>
      </w:pPr>
      <w:r>
        <w:t>4. Conceptual Evolution Towards Multilayer Architecture</w:t>
      </w:r>
    </w:p>
    <w:p w14:paraId="1DDE12D4" w14:textId="77777777" w:rsidR="000041D7" w:rsidRDefault="00F2273A">
      <w:pPr>
        <w:pStyle w:val="Heading2"/>
      </w:pPr>
      <w:r>
        <w:t>4.1 Biological Rationale for Multilayered Tissue Architecture</w:t>
      </w:r>
    </w:p>
    <w:p w14:paraId="6B850D81" w14:textId="77777777" w:rsidR="000041D7" w:rsidRDefault="00F2273A">
      <w:pPr>
        <w:spacing w:after="160" w:line="360" w:lineRule="auto"/>
        <w:jc w:val="both"/>
      </w:pPr>
      <w:r>
        <w:t xml:space="preserve">An appreciation of why multilayer architectures </w:t>
      </w:r>
      <w:proofErr w:type="gramStart"/>
      <w:r>
        <w:t>are</w:t>
      </w:r>
      <w:proofErr w:type="gramEnd"/>
      <w:r>
        <w:t xml:space="preserve"> required in biomimetic tissue engineering demands an understanding of the structural </w:t>
      </w:r>
      <w:proofErr w:type="spellStart"/>
      <w:r>
        <w:t>organisation</w:t>
      </w:r>
      <w:proofErr w:type="spellEnd"/>
      <w:r>
        <w:t xml:space="preserve"> of natural tissues. With very few exceptions, mammalian tissues are not homogeneous masses of a single cell type embedded in a </w:t>
      </w:r>
      <w:r>
        <w:lastRenderedPageBreak/>
        <w:t>uniform matrix. Rather, they are stratified, zonal, or otherwise heterogeneous structures in which compositional, cellular, and mechanical properties vary systematically across space. This architectural heterogeneity is not merely a descriptive feature of mature tissues; it is a functional prerequisite for their physiological performance. Accordingly, the pursuit of biomimetic fidelity in tissue-engineered constructs requires not only the replication of tissue-specific cell types and matrix components, but the faithful reconstitution of the spatial relationships between these elements (</w:t>
      </w:r>
      <w:proofErr w:type="spellStart"/>
      <w:r>
        <w:t>Khademhosseini</w:t>
      </w:r>
      <w:proofErr w:type="spellEnd"/>
      <w:r>
        <w:t xml:space="preserve"> &amp; Langer, 2016; Moroni et al., 2018).</w:t>
      </w:r>
    </w:p>
    <w:p w14:paraId="6A63FA6F" w14:textId="77777777" w:rsidR="000041D7" w:rsidRDefault="00F2273A">
      <w:pPr>
        <w:spacing w:after="160" w:line="360" w:lineRule="auto"/>
        <w:jc w:val="both"/>
      </w:pPr>
      <w:r>
        <w:t xml:space="preserve">Articular cartilage provides perhaps the most extensively studied example of this principle. Spanning a thickness of approximately two to four </w:t>
      </w:r>
      <w:proofErr w:type="spellStart"/>
      <w:r>
        <w:t>millimetres</w:t>
      </w:r>
      <w:proofErr w:type="spellEnd"/>
      <w:r>
        <w:t xml:space="preserve"> in adult humans, articular cartilage is </w:t>
      </w:r>
      <w:proofErr w:type="spellStart"/>
      <w:r>
        <w:t>organised</w:t>
      </w:r>
      <w:proofErr w:type="spellEnd"/>
      <w:r>
        <w:t xml:space="preserve"> into four morphologically and biochemically distinct zones: the superficial zone, </w:t>
      </w:r>
      <w:proofErr w:type="spellStart"/>
      <w:r>
        <w:t>characterised</w:t>
      </w:r>
      <w:proofErr w:type="spellEnd"/>
      <w:r>
        <w:t xml:space="preserve"> by flattened chondrocytes aligned parallel to the articular surface and a high ratio of collagen type II to aggrecan; the middle (transitional) zone, with rounded chondrocytes and a more isotropic collagen network; the deep zone, featuring columnar chondrocytes perpendicular to the underlying bone and the highest proteoglycan content; and the calcified cartilage zone, which provides the mechanically graded transition to subchondral bone (Daly et al., 2017). Each zone possesses distinct mechanical properties that collectively enable the tissue to distribute compressive loads, resist shear forces, and maintain lubrication across millions of loading cycles over a lifetime. No single-composition scaffold can simultaneously replicate the mechanical and biochemical environment of all four zones; a multilayer strategy is therefore not merely preferable but logically necessary for osteochondral tissue engineering.</w:t>
      </w:r>
    </w:p>
    <w:p w14:paraId="188B55CF" w14:textId="77777777" w:rsidR="000041D7" w:rsidRDefault="00F2273A">
      <w:pPr>
        <w:spacing w:after="160" w:line="360" w:lineRule="auto"/>
        <w:jc w:val="both"/>
      </w:pPr>
      <w:r>
        <w:t xml:space="preserve">Similar architectural complexity is observed across a wide range of tissue types. The stratified squamous epithelium of the skin transitions through basal, spinous, granular, and cornified layers, each with distinct differentiation states, mechanical properties, and barrier functions. The lamellar </w:t>
      </w:r>
      <w:proofErr w:type="spellStart"/>
      <w:r>
        <w:t>organisation</w:t>
      </w:r>
      <w:proofErr w:type="spellEnd"/>
      <w:r>
        <w:t xml:space="preserve"> of cortical bone, with its concentric osteons and interstitial lamellae, provides the anisotropic mechanical properties that enable bone to resist multiaxial loading. The tunica intima-media-adventitia architecture of blood vessels enables the integration of endothelial permeability, smooth muscle contractility, and connective tissue compliance within a single tubular structure. In each case, the zonal or layered arrangement underpins a division of functional </w:t>
      </w:r>
      <w:proofErr w:type="spellStart"/>
      <w:r>
        <w:t>labour</w:t>
      </w:r>
      <w:proofErr w:type="spellEnd"/>
      <w:r>
        <w:t xml:space="preserve"> that would be impossible to achieve within a structurally homogeneous construct, and the disruption of this </w:t>
      </w:r>
      <w:proofErr w:type="spellStart"/>
      <w:r>
        <w:t>organisation</w:t>
      </w:r>
      <w:proofErr w:type="spellEnd"/>
      <w:r>
        <w:t xml:space="preserve"> through disease or injury invariably </w:t>
      </w:r>
      <w:r>
        <w:lastRenderedPageBreak/>
        <w:t>compromises tissue function (</w:t>
      </w:r>
      <w:proofErr w:type="spellStart"/>
      <w:r>
        <w:t>Guilak</w:t>
      </w:r>
      <w:proofErr w:type="spellEnd"/>
      <w:r>
        <w:t xml:space="preserve"> et al., 2009). These biological realities compel tissue engineers to move beyond single-composition scaffolds and towards multilayer constructs that recapitulate the zonal </w:t>
      </w:r>
      <w:proofErr w:type="spellStart"/>
      <w:r>
        <w:t>organisation</w:t>
      </w:r>
      <w:proofErr w:type="spellEnd"/>
      <w:r>
        <w:t xml:space="preserve"> of target tissues.</w:t>
      </w:r>
    </w:p>
    <w:p w14:paraId="3467A5BD" w14:textId="77777777" w:rsidR="000041D7" w:rsidRDefault="00F2273A">
      <w:pPr>
        <w:pStyle w:val="Heading2"/>
      </w:pPr>
      <w:r>
        <w:t>4.2 Extracellular Matrix as the Biomimetic Blueprint</w:t>
      </w:r>
    </w:p>
    <w:p w14:paraId="074E1EB4" w14:textId="77777777" w:rsidR="000041D7" w:rsidRDefault="00F2273A">
      <w:pPr>
        <w:spacing w:after="160" w:line="360" w:lineRule="auto"/>
        <w:jc w:val="both"/>
      </w:pPr>
      <w:r>
        <w:t xml:space="preserve">The extracellular matrix (ECM) occupies a central position in the design philosophy underlying biomimetic multilayer constructs. Far from serving merely as a passive structural support, the ECM is a dynamic, information-rich environment that regulates cell adhesion, migration, proliferation, differentiation, and apoptosis through a complex interplay of mechanical signals, adhesive ligands, growth factor sequestration and presentation, and proteolytic </w:t>
      </w:r>
      <w:proofErr w:type="spellStart"/>
      <w:r>
        <w:t>remodelling</w:t>
      </w:r>
      <w:proofErr w:type="spellEnd"/>
      <w:r>
        <w:t xml:space="preserve"> (</w:t>
      </w:r>
      <w:proofErr w:type="spellStart"/>
      <w:r>
        <w:t>Lutolf</w:t>
      </w:r>
      <w:proofErr w:type="spellEnd"/>
      <w:r>
        <w:t xml:space="preserve"> &amp; Hubbell, 2005). The ECM is compositionally diverse, with its constituents—fibrous proteins such as collagen, elastin, and fibronectin; glycosaminoglycans including hyaluronic acid and heparan sulphate; proteoglycans and matricellular proteins—varying in identity, concentration, and three-dimensional </w:t>
      </w:r>
      <w:proofErr w:type="spellStart"/>
      <w:r>
        <w:t>organisation</w:t>
      </w:r>
      <w:proofErr w:type="spellEnd"/>
      <w:r>
        <w:t xml:space="preserve"> across tissues and across zones within a single tissue. This compositional diversity is not static but evolves dynamically in response to developmental cues, mechanical loading, inflammatory signals, and cellular metabolic activity.</w:t>
      </w:r>
    </w:p>
    <w:p w14:paraId="5AFC871A" w14:textId="77777777" w:rsidR="000041D7" w:rsidRDefault="00F2273A">
      <w:pPr>
        <w:spacing w:after="160" w:line="360" w:lineRule="auto"/>
        <w:jc w:val="both"/>
      </w:pPr>
      <w:r>
        <w:t xml:space="preserve">The recognition that cell </w:t>
      </w:r>
      <w:proofErr w:type="spellStart"/>
      <w:r>
        <w:t>behaviour</w:t>
      </w:r>
      <w:proofErr w:type="spellEnd"/>
      <w:r>
        <w:t xml:space="preserve"> is exquisitely sensitive to the mechanical properties of the ECM, established in the seminal work of </w:t>
      </w:r>
      <w:proofErr w:type="spellStart"/>
      <w:r>
        <w:t>Discher</w:t>
      </w:r>
      <w:proofErr w:type="spellEnd"/>
      <w:r>
        <w:t xml:space="preserve"> et al. (2005) and elaborated by Engler et al. (2006), established substrate mechanics as a fundamental design parameter in biomimetic scaffold engineering. These findings implied that a single-stiffness scaffold could not simultaneously provide appropriate mechanical cues for cell populations residing in different zones of a layered tissue construct. The engineering of mechanical gradients—matching the stiffness profile of target tissues across their depth, from the softest superficial zone of articular cartilage through to the rigid subchondral bone—thus emerged as a critical requirement for biomimetic multilayer design. Subsequent research demonstrated that not only static stiffness but also the viscoelastic dynamics of stress relaxation—the rate at which a material dissipates stored mechanical energy—influence cell </w:t>
      </w:r>
      <w:proofErr w:type="spellStart"/>
      <w:r>
        <w:t>behaviour</w:t>
      </w:r>
      <w:proofErr w:type="spellEnd"/>
      <w:r>
        <w:t xml:space="preserve"> in ways that monolayer systems are wholly unable to capture.</w:t>
      </w:r>
    </w:p>
    <w:p w14:paraId="24D7D4A0" w14:textId="77777777" w:rsidR="000041D7" w:rsidRDefault="00F2273A">
      <w:pPr>
        <w:spacing w:after="160" w:line="360" w:lineRule="auto"/>
        <w:jc w:val="both"/>
      </w:pPr>
      <w:r>
        <w:t>Growth factor gradients, presented in a spatially controlled manner through tethering to the ECM or through controlled release from degradable matrix domains, similarly emerged as essential features of biomimetic constructs. The morphogenetic gradients that pattern developing tissues—</w:t>
      </w:r>
      <w:r>
        <w:lastRenderedPageBreak/>
        <w:t xml:space="preserve">governing processes as fundamental as digit formation, neural tube patterning, and skeletal segmentation—provide compelling evidence that spatial control of biochemical </w:t>
      </w:r>
      <w:proofErr w:type="spellStart"/>
      <w:r>
        <w:t>signalling</w:t>
      </w:r>
      <w:proofErr w:type="spellEnd"/>
      <w:r>
        <w:t xml:space="preserve"> is indispensable for the recapitulation of tissue </w:t>
      </w:r>
      <w:proofErr w:type="spellStart"/>
      <w:r>
        <w:t>organisation</w:t>
      </w:r>
      <w:proofErr w:type="spellEnd"/>
      <w:r>
        <w:t xml:space="preserve"> (</w:t>
      </w:r>
      <w:proofErr w:type="spellStart"/>
      <w:r>
        <w:t>Hartgerink</w:t>
      </w:r>
      <w:proofErr w:type="spellEnd"/>
      <w:r>
        <w:t xml:space="preserve"> et al., 2001; Webber et al., 2016). Biomimetic constructs aspiring to replicate this functionality must therefore incorporate analogous release mechanisms, rather than simply homogeneously distributing soluble factors within the gel matrix, and must do so across multiple compositional layers to achieve the zone-specific </w:t>
      </w:r>
      <w:proofErr w:type="spellStart"/>
      <w:r>
        <w:t>signalling</w:t>
      </w:r>
      <w:proofErr w:type="spellEnd"/>
      <w:r>
        <w:t xml:space="preserve"> landscape of native tissues.</w:t>
      </w:r>
    </w:p>
    <w:p w14:paraId="0704D259" w14:textId="77777777" w:rsidR="000041D7" w:rsidRDefault="000041D7"/>
    <w:p w14:paraId="5F065A1A" w14:textId="77777777" w:rsidR="000041D7" w:rsidRDefault="00F2273A">
      <w:pPr>
        <w:pStyle w:val="Heading1"/>
      </w:pPr>
      <w:r>
        <w:t>5. The Multilayer Injection Concept: Principles and Design Framework</w:t>
      </w:r>
    </w:p>
    <w:p w14:paraId="11BB7303" w14:textId="77777777" w:rsidR="000041D7" w:rsidRDefault="00F2273A">
      <w:pPr>
        <w:pStyle w:val="Heading2"/>
      </w:pPr>
      <w:r>
        <w:t>5.1 Defining the Multilayer Injection Concept</w:t>
      </w:r>
    </w:p>
    <w:p w14:paraId="5F37EC37" w14:textId="77777777" w:rsidR="000041D7" w:rsidRDefault="00F2273A">
      <w:pPr>
        <w:spacing w:after="160" w:line="360" w:lineRule="auto"/>
        <w:jc w:val="both"/>
      </w:pPr>
      <w:r>
        <w:t xml:space="preserve">The multilayer injection concept encompasses a family of fabrication strategies united by two defining characteristics: the use of injectable, typically hydrogel-based, material platforms that undergo in situ gelation following delivery; and the intentional creation of at least two compositionally or mechanically distinct layers within a single construct, arranged so as to recapitulate the stratified </w:t>
      </w:r>
      <w:proofErr w:type="spellStart"/>
      <w:r>
        <w:t>organisation</w:t>
      </w:r>
      <w:proofErr w:type="spellEnd"/>
      <w:r>
        <w:t xml:space="preserve"> of a target tissue. Injection-based delivery distinguishes this approach from open fabrication methods such as electrospinning, solvent casting, or conventional </w:t>
      </w:r>
      <w:proofErr w:type="spellStart"/>
      <w:r>
        <w:t>moulding</w:t>
      </w:r>
      <w:proofErr w:type="spellEnd"/>
      <w:r>
        <w:t xml:space="preserve"> by enabling minimally invasive delivery to complex anatomical sites, compatibility with irregular defect geometries, and the possibility of integrating live cells and sensitive biological cargoes within each layer without the harsh processing conditions associated with many additive manufacturing techniques (</w:t>
      </w:r>
      <w:proofErr w:type="spellStart"/>
      <w:r>
        <w:t>Annabi</w:t>
      </w:r>
      <w:proofErr w:type="spellEnd"/>
      <w:r>
        <w:t xml:space="preserve"> et al., 2014). This combination of injectability with multilayer spatial </w:t>
      </w:r>
      <w:proofErr w:type="spellStart"/>
      <w:r>
        <w:t>organisation</w:t>
      </w:r>
      <w:proofErr w:type="spellEnd"/>
      <w:r>
        <w:t xml:space="preserve"> defines the conceptual space within which the approach operates and distinguishes it from both simple injectable single-material systems and non-injectable multilayer constructs.</w:t>
      </w:r>
    </w:p>
    <w:p w14:paraId="7F6DE7AC" w14:textId="77777777" w:rsidR="000041D7" w:rsidRDefault="00F2273A">
      <w:pPr>
        <w:spacing w:after="160" w:line="360" w:lineRule="auto"/>
        <w:jc w:val="both"/>
      </w:pPr>
      <w:r>
        <w:t xml:space="preserve">The concept may be implemented through several distinct technical approaches. Sequential layer injection involves the controlled deposition of successive material layers, each of which is allowed to partially or fully gel prior to the addition of the subsequent layer, thereby creating a discrete compositional interface between zones. Continuous gradient injection employs </w:t>
      </w:r>
      <w:proofErr w:type="spellStart"/>
      <w:r>
        <w:t>specialised</w:t>
      </w:r>
      <w:proofErr w:type="spellEnd"/>
      <w:r>
        <w:t xml:space="preserve"> delivery devices—including microfluidic mixing heads, coaxial nozzles, or digitally controlled multi-syringe pumps—to generate continuously graded transitions between compositional or mechanical states along the construct's depth axis. Co-injection strategies use </w:t>
      </w:r>
      <w:r>
        <w:lastRenderedPageBreak/>
        <w:t xml:space="preserve">core-shell or side-by-side flow configurations to deposit multiple material streams simultaneously, exploiting laminar flow dynamics to maintain spatial separation between layers within the delivery device and the receiving site (Zhang &amp; </w:t>
      </w:r>
      <w:proofErr w:type="spellStart"/>
      <w:r>
        <w:t>Khademhosseini</w:t>
      </w:r>
      <w:proofErr w:type="spellEnd"/>
      <w:r>
        <w:t>, 2017). Each of these implementation strategies carries distinct advantages and limitations with respect to interfacial stability, layer definition, cell viability during processing, and practical scalability in a clinical setting. The optimal strategy is determined by the specific architectural requirements of the target tissue and by the properties of the constituent materials in each layer.</w:t>
      </w:r>
    </w:p>
    <w:p w14:paraId="365DAEB1" w14:textId="77777777" w:rsidR="000041D7" w:rsidRDefault="00F2273A">
      <w:pPr>
        <w:spacing w:after="160" w:line="360" w:lineRule="auto"/>
        <w:jc w:val="both"/>
      </w:pPr>
      <w:r>
        <w:t>The concept also encompasses intraoperative injection scenarios, in which layers are deposited sequentially into a tissue defect site during a surgical procedure, with each layer undergoing in situ gelation before the application of the next. This in situ multilayer fabrication approach is particularly attractive for complex defects in weight-bearing joints, intervertebral discs, or craniofacial structures, where the irregular and patient-specific geometry of the defect precludes the use of prefabricated constructs of standard dimensions. The intraoperative injection paradigm demands gelation kinetics that are rapid enough to prevent layer mixing but slow enough to permit adequate delivery and conformation to the defect geometry before solidification—a balance that represents one of the central materials engineering challenges of the approach and has motivated the development of dual-component injection systems in which gelation is triggered only upon mixing of two separately injected precursor streams.</w:t>
      </w:r>
    </w:p>
    <w:p w14:paraId="430383DC" w14:textId="77777777" w:rsidR="000041D7" w:rsidRDefault="00F2273A">
      <w:pPr>
        <w:pStyle w:val="Heading2"/>
      </w:pPr>
      <w:r>
        <w:t>5.2 Material Platforms for Multilayer Injectable Systems</w:t>
      </w:r>
    </w:p>
    <w:p w14:paraId="78E6544D" w14:textId="77777777" w:rsidR="000041D7" w:rsidRDefault="00F2273A">
      <w:pPr>
        <w:spacing w:after="160" w:line="360" w:lineRule="auto"/>
        <w:jc w:val="both"/>
      </w:pPr>
      <w:r>
        <w:t xml:space="preserve">The material palette available for multilayer injectable constructs has expanded considerably over the past two decades, encompassing both naturally derived and synthetic hydrogel precursors with diverse physical, chemical, and biological properties. Naturally derived materials, including gelatin, collagen, hyaluronic acid, alginate, chitosan, fibrin, </w:t>
      </w:r>
      <w:proofErr w:type="spellStart"/>
      <w:r>
        <w:t>matrigel</w:t>
      </w:r>
      <w:proofErr w:type="spellEnd"/>
      <w:r>
        <w:t xml:space="preserve">, and </w:t>
      </w:r>
      <w:proofErr w:type="spellStart"/>
      <w:r>
        <w:t>decellularised</w:t>
      </w:r>
      <w:proofErr w:type="spellEnd"/>
      <w:r>
        <w:t xml:space="preserve"> ECM derivatives, offer inherent biocompatibility and the presentation of native cell-recognition motifs, growth factor binding domains, and proteolytic </w:t>
      </w:r>
      <w:proofErr w:type="spellStart"/>
      <w:r>
        <w:t>remodelling</w:t>
      </w:r>
      <w:proofErr w:type="spellEnd"/>
      <w:r>
        <w:t xml:space="preserve"> sites (Slaughter et al., 2009). These attributes make naturally derived materials particularly attractive for the fabrication of layers intended to support cell infiltration, differentiation, and matrix deposition. However, their mechanical properties are often insufficient for load-bearing applications, and their batch-to-batch variability—particularly for animal-derived materials such as collagen and </w:t>
      </w:r>
      <w:proofErr w:type="spellStart"/>
      <w:r>
        <w:t>matrigel</w:t>
      </w:r>
      <w:proofErr w:type="spellEnd"/>
      <w:r>
        <w:t>—can complicate regulatory compliance and clinical reproducibility.</w:t>
      </w:r>
    </w:p>
    <w:p w14:paraId="373D15D2" w14:textId="77777777" w:rsidR="000041D7" w:rsidRDefault="00F2273A">
      <w:pPr>
        <w:spacing w:after="160" w:line="360" w:lineRule="auto"/>
        <w:jc w:val="both"/>
      </w:pPr>
      <w:r>
        <w:lastRenderedPageBreak/>
        <w:t xml:space="preserve">Synthetic hydrogel precursors, including </w:t>
      </w:r>
      <w:proofErr w:type="gramStart"/>
      <w:r>
        <w:t>poly(</w:t>
      </w:r>
      <w:proofErr w:type="gramEnd"/>
      <w:r>
        <w:t xml:space="preserve">ethylene glycol) (PEG), poly(vinyl alcohol), polyacrylamide, and self-assembling peptide systems, offer the complementary advantages of </w:t>
      </w:r>
      <w:proofErr w:type="spellStart"/>
      <w:r>
        <w:t>tuneable</w:t>
      </w:r>
      <w:proofErr w:type="spellEnd"/>
      <w:r>
        <w:t xml:space="preserve"> chemistry, defined molecular architecture, and reproducible mechanical </w:t>
      </w:r>
      <w:proofErr w:type="spellStart"/>
      <w:r>
        <w:t>behaviour</w:t>
      </w:r>
      <w:proofErr w:type="spellEnd"/>
      <w:r>
        <w:t xml:space="preserve"> (Tibbitt &amp; </w:t>
      </w:r>
      <w:proofErr w:type="spellStart"/>
      <w:r>
        <w:t>Anseth</w:t>
      </w:r>
      <w:proofErr w:type="spellEnd"/>
      <w:r>
        <w:t>, 2009). The incorporation of cell-adhesive peptides such as RGD (</w:t>
      </w:r>
      <w:proofErr w:type="spellStart"/>
      <w:r>
        <w:t>Arg</w:t>
      </w:r>
      <w:proofErr w:type="spellEnd"/>
      <w:r>
        <w:t>-</w:t>
      </w:r>
      <w:proofErr w:type="spellStart"/>
      <w:r>
        <w:t>Gly</w:t>
      </w:r>
      <w:proofErr w:type="spellEnd"/>
      <w:r>
        <w:t>-Asp) and IKVAV, protease-sensitive crosslinks, and growth factor-binding domains into synthetic hydrogel backbones enables the selective recapitulation of specific ECM functions within a molecularly defined framework (</w:t>
      </w:r>
      <w:proofErr w:type="spellStart"/>
      <w:r>
        <w:t>Lutolf</w:t>
      </w:r>
      <w:proofErr w:type="spellEnd"/>
      <w:r>
        <w:t xml:space="preserve"> &amp; Hubbell, 2005). This modular design philosophy, in which individual bioactive functionalities are deliberately incorporated into an otherwise inert synthetic backbone, provides a degree of compositional control that is not achievable with naturally derived materials and facilitates the orthogonal tuning of mechanical stiffness and biological activity within each layer of a multilayer construct.</w:t>
      </w:r>
    </w:p>
    <w:p w14:paraId="3D7AD8E7" w14:textId="77777777" w:rsidR="000041D7" w:rsidRDefault="00F2273A">
      <w:pPr>
        <w:spacing w:after="160" w:line="360" w:lineRule="auto"/>
        <w:jc w:val="both"/>
      </w:pPr>
      <w:r>
        <w:t xml:space="preserve">Hybrid materials—combining the biological activity of natural polymers with the mechanical tunability of synthetic components—represent an increasingly prevalent strategy for achieving the multifunctional performance demanded by multilayer biomimetic constructs. Examples include PEG-fibrinogen, </w:t>
      </w:r>
      <w:proofErr w:type="spellStart"/>
      <w:r>
        <w:t>methacrylated</w:t>
      </w:r>
      <w:proofErr w:type="spellEnd"/>
      <w:r>
        <w:t xml:space="preserve"> hyaluronic acid-gelatin composites, and alginate-collagen interpenetrating networks, each of which seeks to balance the mechanical predictability of synthetic chemistry with the biological instruction capacity of ECM-derived macromolecules. The selection of materials for each layer within a multilayer construct must be informed by the functional requirements of the corresponding tissue zone, the compatibility of adjacent layers in terms of interfacial adhesion and mechanical continuity, and the gelation kinetics required to maintain layer definition during sequential injection. Materials that gel too rapidly may block the delivery device or preclude adequate mixing with the preceding layer; materials that gel too slowly may intermix with adjacent layers before solidification is achieved, compromising the intended spatial </w:t>
      </w:r>
      <w:proofErr w:type="spellStart"/>
      <w:r>
        <w:t>organisation</w:t>
      </w:r>
      <w:proofErr w:type="spellEnd"/>
      <w:r>
        <w:t xml:space="preserve"> (Burdick &amp; Murphy, 2012).</w:t>
      </w:r>
    </w:p>
    <w:p w14:paraId="2CDFF7ED" w14:textId="77777777" w:rsidR="000041D7" w:rsidRDefault="00F2273A">
      <w:pPr>
        <w:pStyle w:val="Heading2"/>
      </w:pPr>
      <w:r>
        <w:t>5.3 Gelation Mechanisms and Crosslinking Strategies</w:t>
      </w:r>
    </w:p>
    <w:p w14:paraId="2737090E" w14:textId="77777777" w:rsidR="000041D7" w:rsidRDefault="00F2273A">
      <w:pPr>
        <w:spacing w:after="160" w:line="360" w:lineRule="auto"/>
        <w:jc w:val="both"/>
      </w:pPr>
      <w:r>
        <w:t xml:space="preserve">The gelation mechanism employed in each layer is a critical determinant of injectability, mechanical performance, degradation </w:t>
      </w:r>
      <w:proofErr w:type="spellStart"/>
      <w:r>
        <w:t>behaviour</w:t>
      </w:r>
      <w:proofErr w:type="spellEnd"/>
      <w:r>
        <w:t xml:space="preserve">, and cytocompatibility. Injectable hydrogel systems </w:t>
      </w:r>
      <w:proofErr w:type="spellStart"/>
      <w:r>
        <w:t>utilise</w:t>
      </w:r>
      <w:proofErr w:type="spellEnd"/>
      <w:r>
        <w:t xml:space="preserve"> a diverse array of crosslinking strategies, which may be broadly classified as physical or chemical. Physical crosslinking, including temperature-triggered gelation, ionic crosslinking, hydrophobic interactions, and host-guest supramolecular interactions, proceeds </w:t>
      </w:r>
      <w:r>
        <w:lastRenderedPageBreak/>
        <w:t xml:space="preserve">without covalent bond formation and is generally reversible under appropriate stimuli (Webber et al., 2016). Physical gels typically offer lower mechanical stiffness than chemically crosslinked counterparts and may exhibit stress relaxation </w:t>
      </w:r>
      <w:proofErr w:type="spellStart"/>
      <w:r>
        <w:t>behaviour</w:t>
      </w:r>
      <w:proofErr w:type="spellEnd"/>
      <w:r>
        <w:t xml:space="preserve"> that can be exploited to replicate the viscoelastic properties of soft tissues. The shear-thinning </w:t>
      </w:r>
      <w:proofErr w:type="spellStart"/>
      <w:r>
        <w:t>behaviour</w:t>
      </w:r>
      <w:proofErr w:type="spellEnd"/>
      <w:r>
        <w:t xml:space="preserve"> of many physically crosslinked networks—whereby the gel exhibits reduced viscosity under the shear forces imposed during injection but recovers its gel-like properties upon cessation of flow—is a particularly valuable attribute for injectable systems, enabling delivery through fine-gauge needles without compromising the mechanical integrity of the resulting depot.</w:t>
      </w:r>
    </w:p>
    <w:p w14:paraId="05631C48" w14:textId="77777777" w:rsidR="000041D7" w:rsidRDefault="00F2273A">
      <w:pPr>
        <w:spacing w:after="160" w:line="360" w:lineRule="auto"/>
        <w:jc w:val="both"/>
      </w:pPr>
      <w:r>
        <w:t xml:space="preserve">Chemical crosslinking strategies, encompassing photoinitiated radical </w:t>
      </w:r>
      <w:proofErr w:type="spellStart"/>
      <w:r>
        <w:t>polymerisation</w:t>
      </w:r>
      <w:proofErr w:type="spellEnd"/>
      <w:r>
        <w:t xml:space="preserve">, enzymatic crosslinking, Diels-Alder cycloaddition, and dynamic covalent chemistries such as </w:t>
      </w:r>
      <w:proofErr w:type="spellStart"/>
      <w:r>
        <w:t>hydrazone</w:t>
      </w:r>
      <w:proofErr w:type="spellEnd"/>
      <w:r>
        <w:t xml:space="preserve"> and oxime bond formation, afford greater control over network architecture and mechanical properties (</w:t>
      </w:r>
      <w:proofErr w:type="spellStart"/>
      <w:r>
        <w:t>Annabi</w:t>
      </w:r>
      <w:proofErr w:type="spellEnd"/>
      <w:r>
        <w:t xml:space="preserve"> et al., 2014). </w:t>
      </w:r>
      <w:proofErr w:type="spellStart"/>
      <w:r>
        <w:t>Photocrosslinking</w:t>
      </w:r>
      <w:proofErr w:type="spellEnd"/>
      <w:r>
        <w:t xml:space="preserve"> is particularly well-suited to spatial patterning within multilayer constructs, as </w:t>
      </w:r>
      <w:proofErr w:type="spellStart"/>
      <w:r>
        <w:t>localised</w:t>
      </w:r>
      <w:proofErr w:type="spellEnd"/>
      <w:r>
        <w:t xml:space="preserve"> illumination can be used to selectively solidify individual layers whilst maintaining adjacent regions in a fluid state, enabling the fabrication of constructs with precisely defined layer boundaries. However, the depth penetration of light through biological tissue is limited, constraining the applicability of </w:t>
      </w:r>
      <w:proofErr w:type="spellStart"/>
      <w:r>
        <w:t>photocrosslinking</w:t>
      </w:r>
      <w:proofErr w:type="spellEnd"/>
      <w:r>
        <w:t xml:space="preserve"> strategies to superficial anatomical sites or requiring the use of </w:t>
      </w:r>
      <w:proofErr w:type="spellStart"/>
      <w:r>
        <w:t>fibre</w:t>
      </w:r>
      <w:proofErr w:type="spellEnd"/>
      <w:r>
        <w:t xml:space="preserve"> optic delivery systems for deeper locations. The Diels-Alder and oxime chemistries are noteworthy for their high selectivity and excellent cytocompatibility under physiological conditions, making them attractive options for cell-laden multilayer constructs where the preservation of cell viability during crosslinking is paramount. Dynamic covalent networks, in which crosslinks can be exchanged in response to mechanical loading, enzymatic activity, or pH change, represent an emerging class of injectable hydrogels that mimic the adaptive, </w:t>
      </w:r>
      <w:proofErr w:type="spellStart"/>
      <w:r>
        <w:t>remodelling</w:t>
      </w:r>
      <w:proofErr w:type="spellEnd"/>
      <w:r>
        <w:t xml:space="preserve"> </w:t>
      </w:r>
      <w:proofErr w:type="spellStart"/>
      <w:r>
        <w:t>behaviour</w:t>
      </w:r>
      <w:proofErr w:type="spellEnd"/>
      <w:r>
        <w:t xml:space="preserve"> of native ECMs (Burdick &amp; Murphy, 2012; Li &amp; Mooney, 2016). Such systems can exhibit self-healing </w:t>
      </w:r>
      <w:proofErr w:type="spellStart"/>
      <w:r>
        <w:t>behaviour</w:t>
      </w:r>
      <w:proofErr w:type="spellEnd"/>
      <w:r>
        <w:t xml:space="preserve">, stress relaxation, and responsiveness to cellular-scale forces—properties that are relevant to the maintenance of multilayer construct integrity following injection and to the capacity for construct </w:t>
      </w:r>
      <w:proofErr w:type="spellStart"/>
      <w:r>
        <w:t>remodelling</w:t>
      </w:r>
      <w:proofErr w:type="spellEnd"/>
      <w:r>
        <w:t xml:space="preserve"> during tissue regeneration.</w:t>
      </w:r>
    </w:p>
    <w:p w14:paraId="4640A07E" w14:textId="77777777" w:rsidR="000041D7" w:rsidRDefault="000041D7"/>
    <w:p w14:paraId="3859CD4D" w14:textId="77777777" w:rsidR="000041D7" w:rsidRDefault="00F2273A">
      <w:pPr>
        <w:pStyle w:val="Heading1"/>
      </w:pPr>
      <w:r>
        <w:t>6. Biomimetic Design Strategies in Multilayer Injection Systems</w:t>
      </w:r>
    </w:p>
    <w:p w14:paraId="6825E068" w14:textId="77777777" w:rsidR="000041D7" w:rsidRDefault="00F2273A">
      <w:pPr>
        <w:pStyle w:val="Heading2"/>
      </w:pPr>
      <w:r>
        <w:t>6.1 Spatial and Compositional Gradients</w:t>
      </w:r>
    </w:p>
    <w:p w14:paraId="101EE308" w14:textId="77777777" w:rsidR="000041D7" w:rsidRDefault="00F2273A">
      <w:pPr>
        <w:spacing w:after="160" w:line="360" w:lineRule="auto"/>
        <w:jc w:val="both"/>
      </w:pPr>
      <w:r>
        <w:lastRenderedPageBreak/>
        <w:t xml:space="preserve">The faithful recapitulation of native tissue gradients within multilayer injectable constructs demands a deliberate design approach that transcends the simple stacking of homogeneous layers. In the native osteochondral unit, the transition from hyaline cartilage to calcified cartilage to subchondral bone involves continuous gradients in collagen </w:t>
      </w:r>
      <w:proofErr w:type="spellStart"/>
      <w:r>
        <w:t>fibre</w:t>
      </w:r>
      <w:proofErr w:type="spellEnd"/>
      <w:r>
        <w:t xml:space="preserve"> orientation, proteoglycan concentration, mineral content, and cellular density, rather than sharp discrete boundaries (Daly et al., 2017). Similarly, the dermal-epidermal junction of the skin features a continuous gradation in mechanical stiffness and ECM composition that is essential for the biomechanical integration of these two distinct tissue compartments. Attempts to replicate tissue function using constructs with abrupt compositional transitions between layers have been shown in numerous experimental contexts to generate stress concentrations at the interface that can lead to construct delamination under physiological loading, underscoring the biological and mechanical importance of smooth gradients.</w:t>
      </w:r>
    </w:p>
    <w:p w14:paraId="0BF856F1" w14:textId="77777777" w:rsidR="000041D7" w:rsidRDefault="00F2273A">
      <w:pPr>
        <w:spacing w:after="160" w:line="360" w:lineRule="auto"/>
        <w:jc w:val="both"/>
      </w:pPr>
      <w:r>
        <w:t>Compositional gradients in injectable multilayer systems may be achieved through the controlled mixing of two or more precursor solutions in varying ratios during delivery. Microfluidic gradient generators have been employed to create continuous concentration gradients of ECM proteins, growth factors, and crosslinking agents within injected hydrogels, enabling the fabrication of constructs with spatially varying stiffness and biological activity profiles (</w:t>
      </w:r>
      <w:proofErr w:type="spellStart"/>
      <w:r>
        <w:t>Khademhosseini</w:t>
      </w:r>
      <w:proofErr w:type="spellEnd"/>
      <w:r>
        <w:t xml:space="preserve"> et al., 2006). The incorporation of growth factors or bioactive peptides at defined concentrations within each layer of a multilayer construct can create instructive biochemical gradients that guide cell migration, proliferation, and differentiation in a zone-specific manner. Strategies for spatially </w:t>
      </w:r>
      <w:proofErr w:type="spellStart"/>
      <w:r>
        <w:t>immobilising</w:t>
      </w:r>
      <w:proofErr w:type="spellEnd"/>
      <w:r>
        <w:t xml:space="preserve"> growth factors within specific layers—including covalent conjugation to the hydrogel backbone, affinity-based sequestration through heparin or heparan sulphate moieties, and encapsulation within degradable microspheres—provide the sustained, </w:t>
      </w:r>
      <w:proofErr w:type="spellStart"/>
      <w:r>
        <w:t>localised</w:t>
      </w:r>
      <w:proofErr w:type="spellEnd"/>
      <w:r>
        <w:t xml:space="preserve"> presentation that is required for efficient morphogenetic </w:t>
      </w:r>
      <w:proofErr w:type="spellStart"/>
      <w:r>
        <w:t>signalling</w:t>
      </w:r>
      <w:proofErr w:type="spellEnd"/>
      <w:r>
        <w:t xml:space="preserve"> (</w:t>
      </w:r>
      <w:proofErr w:type="spellStart"/>
      <w:r>
        <w:t>Tayalia</w:t>
      </w:r>
      <w:proofErr w:type="spellEnd"/>
      <w:r>
        <w:t xml:space="preserve"> &amp; Mooney, 2009).</w:t>
      </w:r>
    </w:p>
    <w:p w14:paraId="512C1565" w14:textId="77777777" w:rsidR="000041D7" w:rsidRDefault="00F2273A">
      <w:pPr>
        <w:pStyle w:val="Heading2"/>
      </w:pPr>
      <w:r>
        <w:t>6.2 Mechanical Gradient Engineering</w:t>
      </w:r>
    </w:p>
    <w:p w14:paraId="233DA639" w14:textId="77777777" w:rsidR="000041D7" w:rsidRDefault="00F2273A">
      <w:pPr>
        <w:spacing w:after="160" w:line="360" w:lineRule="auto"/>
        <w:jc w:val="both"/>
      </w:pPr>
      <w:r>
        <w:t xml:space="preserve">The engineering of mechanical gradients within multilayer injectable constructs is among the most technically demanding aspects of the multilayer injection concept, owing to the requirement for precise spatial control of crosslink density, polymer concentration, and network architecture across construct dimensions. The importance of this challenge is underscored by the </w:t>
      </w:r>
      <w:r>
        <w:lastRenderedPageBreak/>
        <w:t>dramatic range of mechanical properties present even within a single tissue: the elastic modulus of articular cartilage varies from approximately 0.1 MPa in the superficial zone to over 1 MPa in the deep zone, whilst the underlying subchondral bone exhibits moduli in the gigapascal range. No injectable single-composition hydrogel system can span this range of mechanical properties, and the design of multilayer systems with appropriate zone-specific mechanics therefore requires the integration of materials with fundamentally different crosslinking chemistries or polymer architectures within adjacent layers.</w:t>
      </w:r>
    </w:p>
    <w:p w14:paraId="0F1EAD14" w14:textId="77777777" w:rsidR="000041D7" w:rsidRDefault="00F2273A">
      <w:pPr>
        <w:spacing w:after="160" w:line="360" w:lineRule="auto"/>
        <w:jc w:val="both"/>
      </w:pPr>
      <w:r>
        <w:t xml:space="preserve">The seminal work of Engler et al. (2006) established that substrate stiffness alone, in the range of 0.1 to 40 kPa, is sufficient to commit mesenchymal stem cells to neurogenic, myogenic, or osteogenic lineages, underscoring the critical importance of matched mechanical cues in each layer of a biomimetic multilayer construct. Strategies for creating mechanical gradients in injectable systems include the use of photodegradable crosslinks that can be cleaved with spatial precision using patterned illumination, yielding regions of defined softness within an otherwise stiff network; the sequential injection of hydrogel precursors at varying polymer concentrations; and the incorporation of mechanically reinforcing elements—including mineral nanoparticles, carbon nanotubes, or short </w:t>
      </w:r>
      <w:proofErr w:type="spellStart"/>
      <w:r>
        <w:t>fibres</w:t>
      </w:r>
      <w:proofErr w:type="spellEnd"/>
      <w:r>
        <w:t>—at zone-specific concentrations (</w:t>
      </w:r>
      <w:proofErr w:type="spellStart"/>
      <w:r>
        <w:t>Dvir</w:t>
      </w:r>
      <w:proofErr w:type="spellEnd"/>
      <w:r>
        <w:t xml:space="preserve"> et al., 2011; </w:t>
      </w:r>
      <w:proofErr w:type="spellStart"/>
      <w:r>
        <w:t>Madl</w:t>
      </w:r>
      <w:proofErr w:type="spellEnd"/>
      <w:r>
        <w:t xml:space="preserve"> &amp; </w:t>
      </w:r>
      <w:proofErr w:type="spellStart"/>
      <w:r>
        <w:t>Heilshorn</w:t>
      </w:r>
      <w:proofErr w:type="spellEnd"/>
      <w:r>
        <w:t>, 2018). In each case, the goal is to create a mechanical landscape within the construct that mirrors the stiffness gradients experienced by cells in the target tissue, thereby promoting zone-appropriate differentiation and matrix deposition without recourse to exogenous biochemical supplementation beyond what would be physiologically present.</w:t>
      </w:r>
    </w:p>
    <w:p w14:paraId="26E29FF9" w14:textId="77777777" w:rsidR="000041D7" w:rsidRDefault="00F2273A">
      <w:pPr>
        <w:pStyle w:val="Heading2"/>
      </w:pPr>
      <w:r>
        <w:t>6.3 Biochemical Gradient Engineering</w:t>
      </w:r>
    </w:p>
    <w:p w14:paraId="5F1FE6C7" w14:textId="77777777" w:rsidR="000041D7" w:rsidRDefault="00F2273A">
      <w:pPr>
        <w:spacing w:after="160" w:line="360" w:lineRule="auto"/>
        <w:jc w:val="both"/>
      </w:pPr>
      <w:r>
        <w:t xml:space="preserve">Beyond mechanical gradients, the spatially controlled presentation of biochemical signals—including growth factors, morphogens, adhesion peptides, and ECM-derived bioactive fragments—is essential for guiding tissue-specific cellular </w:t>
      </w:r>
      <w:proofErr w:type="spellStart"/>
      <w:r>
        <w:t>behaviour</w:t>
      </w:r>
      <w:proofErr w:type="spellEnd"/>
      <w:r>
        <w:t xml:space="preserve"> within multilayer injectable constructs. The ECM serves not merely as a storage depot for these molecules but as a dynamic, context-sensitive presentation system, releasing growth factors in response to enzymatic activity, mechanical loading, or changes in pH and ionic composition (</w:t>
      </w:r>
      <w:proofErr w:type="spellStart"/>
      <w:r>
        <w:t>Lutolf</w:t>
      </w:r>
      <w:proofErr w:type="spellEnd"/>
      <w:r>
        <w:t xml:space="preserve"> &amp; Hubbell, 2005). Biomimetic constructs aspiring to replicate this functionality must therefore incorporate analogous release mechanisms, rather than simply homogeneously distributing soluble factors </w:t>
      </w:r>
      <w:r>
        <w:lastRenderedPageBreak/>
        <w:t>within the gel matrix, and must do so across multiple compositional layers to achieve zone-specific biochemical environments that recapitulate those of native tissue.</w:t>
      </w:r>
    </w:p>
    <w:p w14:paraId="65E53988" w14:textId="77777777" w:rsidR="000041D7" w:rsidRDefault="00F2273A">
      <w:pPr>
        <w:spacing w:after="160" w:line="360" w:lineRule="auto"/>
        <w:jc w:val="both"/>
      </w:pPr>
      <w:r>
        <w:t xml:space="preserve">Tethering of growth factors to the hydrogel backbone via covalent linkage or affinity-based sequestration through heparin or heparan sulphate domains enables sustained, </w:t>
      </w:r>
      <w:proofErr w:type="spellStart"/>
      <w:r>
        <w:t>localised</w:t>
      </w:r>
      <w:proofErr w:type="spellEnd"/>
      <w:r>
        <w:t xml:space="preserve"> presentation without the rapid diffusive loss associated with freely soluble factor delivery (</w:t>
      </w:r>
      <w:proofErr w:type="spellStart"/>
      <w:r>
        <w:t>Tayalia</w:t>
      </w:r>
      <w:proofErr w:type="spellEnd"/>
      <w:r>
        <w:t xml:space="preserve"> &amp; Mooney, 2009; Webber et al., 2016). The use of proteolytically degradable crosslinkers within individual layers enables cell-mediated liberation of tethered factors as the local matrix is </w:t>
      </w:r>
      <w:proofErr w:type="spellStart"/>
      <w:r>
        <w:t>remodelled</w:t>
      </w:r>
      <w:proofErr w:type="spellEnd"/>
      <w:r>
        <w:t xml:space="preserve">, creating a feedback-responsive biochemical gradient that evolves in concert with tissue regeneration and cellular invasion. This design principle—in which the biochemical activity of the construct is conditionally released upon cellular </w:t>
      </w:r>
      <w:proofErr w:type="spellStart"/>
      <w:r>
        <w:t>remodelling</w:t>
      </w:r>
      <w:proofErr w:type="spellEnd"/>
      <w:r>
        <w:t xml:space="preserve"> rather than passively delivered at a fixed rate—more closely approximates the dynamic growth factor presentation that occurs during developmental morphogenesis and wound healing. The integration of these biomolecular design principles within the spatial framework of a multilayer injectable construct constitutes the essence of the biomimetic mastery towards which the field aspires.</w:t>
      </w:r>
    </w:p>
    <w:p w14:paraId="25DCFD0F" w14:textId="77777777" w:rsidR="000041D7" w:rsidRDefault="000041D7"/>
    <w:p w14:paraId="29E4FC72" w14:textId="77777777" w:rsidR="000041D7" w:rsidRDefault="00F2273A">
      <w:pPr>
        <w:pStyle w:val="Heading1"/>
      </w:pPr>
      <w:r>
        <w:t>7. Applications of Multilayer Injectable Biomimetic Constructs</w:t>
      </w:r>
    </w:p>
    <w:p w14:paraId="50B56CA4" w14:textId="77777777" w:rsidR="000041D7" w:rsidRDefault="00F2273A">
      <w:pPr>
        <w:pStyle w:val="Heading2"/>
      </w:pPr>
      <w:r>
        <w:t>7.1 Osteochondral Tissue Engineering</w:t>
      </w:r>
    </w:p>
    <w:p w14:paraId="5B15B781" w14:textId="77777777" w:rsidR="000041D7" w:rsidRDefault="00F2273A">
      <w:pPr>
        <w:spacing w:after="160" w:line="360" w:lineRule="auto"/>
        <w:jc w:val="both"/>
      </w:pPr>
      <w:r>
        <w:t xml:space="preserve">Osteochondral defects—encompassing the full depth of articular cartilage and the underlying subchondral bone—represent a paradigmatic application domain for multilayer injectable biomimetic constructs, by virtue of the pronounced stratification of the native osteochondral unit and the substantial clinical burden of cartilage and subchondral bone pathology in the ageing population. Current clinical interventions, including microfracture, autologous chondrocyte implantation, and osteochondral autograft transfer, are associated with significant limitations regarding the quality of repair tissue produced, donor site morbidity, and the functional longevity of the repair, particularly in large defects and in elderly patients with compromised regenerative capacity (Daly et al., 2017). The multilayer injection concept offers a compelling alternative by enabling the </w:t>
      </w:r>
      <w:proofErr w:type="gramStart"/>
      <w:r>
        <w:t>in situ</w:t>
      </w:r>
      <w:proofErr w:type="gramEnd"/>
      <w:r>
        <w:t xml:space="preserve"> fabrication of constructs that replicate the zonal </w:t>
      </w:r>
      <w:proofErr w:type="spellStart"/>
      <w:r>
        <w:t>organisation</w:t>
      </w:r>
      <w:proofErr w:type="spellEnd"/>
      <w:r>
        <w:t xml:space="preserve"> of native cartilage and bone within a single injectable formulation, without requiring open surgical access or the pre-fabrication of a shaped implant.</w:t>
      </w:r>
    </w:p>
    <w:p w14:paraId="6B2DA73A" w14:textId="77777777" w:rsidR="000041D7" w:rsidRDefault="00F2273A">
      <w:pPr>
        <w:spacing w:after="160" w:line="360" w:lineRule="auto"/>
        <w:jc w:val="both"/>
      </w:pPr>
      <w:r>
        <w:lastRenderedPageBreak/>
        <w:t xml:space="preserve">Multilayer injectable systems designed for osteochondral repair typically incorporate a chondrogenic upper layer—commonly based on hyaluronic acid, collagen, or gelatin </w:t>
      </w:r>
      <w:proofErr w:type="spellStart"/>
      <w:r>
        <w:t>methacryloyl</w:t>
      </w:r>
      <w:proofErr w:type="spellEnd"/>
      <w:r>
        <w:t xml:space="preserve"> hydrogels </w:t>
      </w:r>
      <w:proofErr w:type="spellStart"/>
      <w:r>
        <w:t>functionalised</w:t>
      </w:r>
      <w:proofErr w:type="spellEnd"/>
      <w:r>
        <w:t xml:space="preserve"> with chondrogenic growth factors such as transforming growth factor-beta (TGF-β) and loaded with chondrocytes or </w:t>
      </w:r>
      <w:proofErr w:type="spellStart"/>
      <w:r>
        <w:t>chondrogenically</w:t>
      </w:r>
      <w:proofErr w:type="spellEnd"/>
      <w:r>
        <w:t xml:space="preserve"> primed mesenchymal stem cells—and an osteogenic lower layer containing calcium phosphate minerals, bone morphogenetic proteins (BMPs), and osteoprogenitor cells (Murphy &amp; </w:t>
      </w:r>
      <w:proofErr w:type="spellStart"/>
      <w:r>
        <w:t>Atala</w:t>
      </w:r>
      <w:proofErr w:type="spellEnd"/>
      <w:r>
        <w:t xml:space="preserve">, 2014). The interface between these two layers is critically important; strategies for promoting mechanical and biological continuity at the cartilage-bone interface include the use of interpenetrating network chemistries that create covalent bonds between adjacent layers upon contact, the incorporation of </w:t>
      </w:r>
      <w:proofErr w:type="spellStart"/>
      <w:r>
        <w:t>mineralisation</w:t>
      </w:r>
      <w:proofErr w:type="spellEnd"/>
      <w:r>
        <w:t xml:space="preserve"> gradients at the interface achieved through the controlled diffusion of mineral-forming ions from the osteogenic layer into the lower portion of the chondrogenic layer, and the use of calcium-crosslinked alginate as an intermediate tie-layer that provides both mechanical cohesion and a </w:t>
      </w:r>
      <w:proofErr w:type="spellStart"/>
      <w:r>
        <w:t>mineralisation</w:t>
      </w:r>
      <w:proofErr w:type="spellEnd"/>
      <w:r>
        <w:t>-permissive environment (</w:t>
      </w:r>
      <w:proofErr w:type="spellStart"/>
      <w:r>
        <w:t>Khademhosseini</w:t>
      </w:r>
      <w:proofErr w:type="spellEnd"/>
      <w:r>
        <w:t xml:space="preserve"> &amp; Langer, 2016). The progressive </w:t>
      </w:r>
      <w:proofErr w:type="spellStart"/>
      <w:r>
        <w:t>mineralisation</w:t>
      </w:r>
      <w:proofErr w:type="spellEnd"/>
      <w:r>
        <w:t xml:space="preserve"> of the interfacial zone over the course of in vivo </w:t>
      </w:r>
      <w:proofErr w:type="spellStart"/>
      <w:r>
        <w:t>remodelling</w:t>
      </w:r>
      <w:proofErr w:type="spellEnd"/>
      <w:r>
        <w:t xml:space="preserve"> is intended to recreate the tidemark and calcified cartilage layer that defines the native osteochondral transition.</w:t>
      </w:r>
    </w:p>
    <w:p w14:paraId="51755454" w14:textId="77777777" w:rsidR="000041D7" w:rsidRDefault="00F2273A">
      <w:pPr>
        <w:pStyle w:val="Heading2"/>
      </w:pPr>
      <w:r>
        <w:t>7.2 Vascular Tissue Engineering</w:t>
      </w:r>
    </w:p>
    <w:p w14:paraId="1D3108E3" w14:textId="77777777" w:rsidR="000041D7" w:rsidRDefault="00F2273A">
      <w:pPr>
        <w:spacing w:after="160" w:line="360" w:lineRule="auto"/>
        <w:jc w:val="both"/>
      </w:pPr>
      <w:r>
        <w:t xml:space="preserve">The fabrication of biomimetic vascular constructs capable of withstanding physiological pressures and flow conditions whilst supporting the </w:t>
      </w:r>
      <w:proofErr w:type="spellStart"/>
      <w:r>
        <w:t>organisation</w:t>
      </w:r>
      <w:proofErr w:type="spellEnd"/>
      <w:r>
        <w:t xml:space="preserve"> of distinct luminal, medial, and adventitial cell layers represents another significant challenge for the multilayer injection concept. The native arterial wall is </w:t>
      </w:r>
      <w:proofErr w:type="spellStart"/>
      <w:r>
        <w:t>organised</w:t>
      </w:r>
      <w:proofErr w:type="spellEnd"/>
      <w:r>
        <w:t xml:space="preserve"> into three distinct tunics: the tunica intima, comprising an endothelial monolayer and a thin subendothelial matrix that provides antithrombotic properties and regulates endothelial permeability; the tunica media, dominated by smooth muscle cells embedded in an elastin- and collagen-rich matrix that confers contractility and compliance; and the tunica adventitia, a fibrous, collagen-rich outer layer that provides structural support and interfaces with the surrounding connective tissue (O'Brien, 2011). Each layer has distinct mechanical, cellular, and biochemical properties that are essential for normal vascular physiology, and the failure to recapitulate this trilaminar </w:t>
      </w:r>
      <w:proofErr w:type="spellStart"/>
      <w:r>
        <w:t>organisation</w:t>
      </w:r>
      <w:proofErr w:type="spellEnd"/>
      <w:r>
        <w:t xml:space="preserve"> in engineered vascular constructs has been implicated in poor long-term patency outcomes.</w:t>
      </w:r>
    </w:p>
    <w:p w14:paraId="7D2EB54B" w14:textId="77777777" w:rsidR="000041D7" w:rsidRDefault="00F2273A">
      <w:pPr>
        <w:spacing w:after="160" w:line="360" w:lineRule="auto"/>
        <w:jc w:val="both"/>
      </w:pPr>
      <w:r>
        <w:lastRenderedPageBreak/>
        <w:t xml:space="preserve">Multilayer injectable approaches to vascular tissue engineering have employed coaxial needle systems to create tubular constructs with concentric compositionally distinct layers, enabling the simultaneous deposition of an endothelial cell-laden inner layer and a smooth muscle cell-containing outer layer in a single injection event. </w:t>
      </w:r>
      <w:proofErr w:type="spellStart"/>
      <w:r>
        <w:t>Bioinks</w:t>
      </w:r>
      <w:proofErr w:type="spellEnd"/>
      <w:r>
        <w:t xml:space="preserve"> based on fibrin, gelatin </w:t>
      </w:r>
      <w:proofErr w:type="spellStart"/>
      <w:r>
        <w:t>methacryloyl</w:t>
      </w:r>
      <w:proofErr w:type="spellEnd"/>
      <w:r>
        <w:t xml:space="preserve">, and </w:t>
      </w:r>
      <w:proofErr w:type="spellStart"/>
      <w:r>
        <w:t>decellularised</w:t>
      </w:r>
      <w:proofErr w:type="spellEnd"/>
      <w:r>
        <w:t xml:space="preserve"> ECM have been employed for vascular layer fabrication, with mechanical reinforcement provided by the incorporation of aligned </w:t>
      </w:r>
      <w:proofErr w:type="spellStart"/>
      <w:r>
        <w:t>fibres</w:t>
      </w:r>
      <w:proofErr w:type="spellEnd"/>
      <w:r>
        <w:t xml:space="preserve"> or anisotropic crosslinking strategies. A critical challenge in multilayer vascular construct fabrication is the achievement of sufficient burst pressure and suture retention strength to enable anastomosis and withstand arterial </w:t>
      </w:r>
      <w:proofErr w:type="spellStart"/>
      <w:r>
        <w:t>haemodynamics</w:t>
      </w:r>
      <w:proofErr w:type="spellEnd"/>
      <w:r>
        <w:t xml:space="preserve">, requirements that have spurred interest in hybrid constructs combining injected soft hydrogel layers with woven or </w:t>
      </w:r>
      <w:proofErr w:type="spellStart"/>
      <w:r>
        <w:t>electrospun</w:t>
      </w:r>
      <w:proofErr w:type="spellEnd"/>
      <w:r>
        <w:t xml:space="preserve"> </w:t>
      </w:r>
      <w:proofErr w:type="spellStart"/>
      <w:r>
        <w:t>fibre</w:t>
      </w:r>
      <w:proofErr w:type="spellEnd"/>
      <w:r>
        <w:t xml:space="preserve"> reinforcement (Moroni et al., 2018). The dynamic nature of the vascular environment—with cells experiencing cyclic mechanical strain, pulsatile shear stress, and transmural pressure differentials—further demands that the mechanical properties of multilayer vascular constructs be carefully matched to the target vessel type to avoid compliance mismatch, a well-</w:t>
      </w:r>
      <w:proofErr w:type="spellStart"/>
      <w:r>
        <w:t>recognised</w:t>
      </w:r>
      <w:proofErr w:type="spellEnd"/>
      <w:r>
        <w:t xml:space="preserve"> cause of anastomotic intimal hyperplasia and graft failure (Zhang &amp; </w:t>
      </w:r>
      <w:proofErr w:type="spellStart"/>
      <w:r>
        <w:t>Khademhosseini</w:t>
      </w:r>
      <w:proofErr w:type="spellEnd"/>
      <w:r>
        <w:t>, 2017).</w:t>
      </w:r>
    </w:p>
    <w:p w14:paraId="03EDED5E" w14:textId="77777777" w:rsidR="000041D7" w:rsidRDefault="00F2273A">
      <w:pPr>
        <w:pStyle w:val="Heading2"/>
      </w:pPr>
      <w:r>
        <w:t>7.3 Neural Tissue Engineering</w:t>
      </w:r>
    </w:p>
    <w:p w14:paraId="59B7F102" w14:textId="77777777" w:rsidR="000041D7" w:rsidRDefault="00F2273A">
      <w:pPr>
        <w:spacing w:after="160" w:line="360" w:lineRule="auto"/>
        <w:jc w:val="both"/>
      </w:pPr>
      <w:r>
        <w:t xml:space="preserve">Neural tissue presents a distinct set of challenges for multilayer injectable biomimetic design, arising from the extreme mechanical softness of neural parenchyma, the critical importance of topographic and biochemical guidance for axonal regeneration, and the immunological sensitivity of the central nervous system to foreign material implantation. The spinal cord, in particular, exhibits a transverse </w:t>
      </w:r>
      <w:proofErr w:type="spellStart"/>
      <w:r>
        <w:t>organisation</w:t>
      </w:r>
      <w:proofErr w:type="spellEnd"/>
      <w:r>
        <w:t xml:space="preserve"> </w:t>
      </w:r>
      <w:proofErr w:type="spellStart"/>
      <w:r>
        <w:t>characterised</w:t>
      </w:r>
      <w:proofErr w:type="spellEnd"/>
      <w:r>
        <w:t xml:space="preserve"> by the functional distinction between grey matter—predominantly composed of neuronal cell bodies and their local synaptic connections—and white matter—dominated by myelinated axonal tracts that convey information between spinal segments and supraspinal structures—an architectural dichotomy whose disruption in traumatic injury underlies the devastating functional deficits of paralysis and sensory loss. Multilayer injectable constructs for spinal cord repair must therefore not only bridge the injury gap but recreate the grey-white matter </w:t>
      </w:r>
      <w:proofErr w:type="spellStart"/>
      <w:r>
        <w:t>organisation</w:t>
      </w:r>
      <w:proofErr w:type="spellEnd"/>
      <w:r>
        <w:t xml:space="preserve"> and provide topographic guidance for regenerating axons across the lesion site (</w:t>
      </w:r>
      <w:proofErr w:type="spellStart"/>
      <w:r>
        <w:t>Madl</w:t>
      </w:r>
      <w:proofErr w:type="spellEnd"/>
      <w:r>
        <w:t xml:space="preserve"> &amp; </w:t>
      </w:r>
      <w:proofErr w:type="spellStart"/>
      <w:r>
        <w:t>Heilshorn</w:t>
      </w:r>
      <w:proofErr w:type="spellEnd"/>
      <w:r>
        <w:t>, 2018).</w:t>
      </w:r>
    </w:p>
    <w:p w14:paraId="00A5CCF8" w14:textId="77777777" w:rsidR="000041D7" w:rsidRDefault="00F2273A">
      <w:pPr>
        <w:spacing w:after="160" w:line="360" w:lineRule="auto"/>
        <w:jc w:val="both"/>
      </w:pPr>
      <w:r>
        <w:t xml:space="preserve">Multilayer injectable constructs for neural applications have sought to replicate the soft, </w:t>
      </w:r>
      <w:proofErr w:type="spellStart"/>
      <w:r>
        <w:t>organised</w:t>
      </w:r>
      <w:proofErr w:type="spellEnd"/>
      <w:r>
        <w:t xml:space="preserve"> microenvironment of neural tissue through the use of ultra-soft hyaluronic acid and </w:t>
      </w:r>
      <w:r>
        <w:lastRenderedPageBreak/>
        <w:t xml:space="preserve">methylcellulose hydrogels with stiffness values tuned to the sub-kilopascal range of native neural parenchyma, </w:t>
      </w:r>
      <w:proofErr w:type="spellStart"/>
      <w:r>
        <w:t>functionalised</w:t>
      </w:r>
      <w:proofErr w:type="spellEnd"/>
      <w:r>
        <w:t xml:space="preserve"> with axon growth-promoting peptide sequences such as IKVAV and YIGSR (</w:t>
      </w:r>
      <w:proofErr w:type="spellStart"/>
      <w:r>
        <w:t>Dvir</w:t>
      </w:r>
      <w:proofErr w:type="spellEnd"/>
      <w:r>
        <w:t xml:space="preserve"> et al., 2011; Green &amp; </w:t>
      </w:r>
      <w:proofErr w:type="spellStart"/>
      <w:r>
        <w:t>Elisseeff</w:t>
      </w:r>
      <w:proofErr w:type="spellEnd"/>
      <w:r>
        <w:t>, 2016). The incorporation of conducting polymer nanoparticles or carbon nanotubes into specific layers has been explored as a strategy for enhancing electrical signal transduction across the construct, potentially supporting the re-establishment of functional neural circuits across injury gaps. The controlled delivery of neurotrophic factors—including nerve growth factor (NGF) and brain-derived neurotrophic factor (BDNF)—in a spatially graded manner from distinct layers provides biochemical gradients that promote axonal ingrowth, target-directed navigation, and synaptic connectivity within the regenerating construct (</w:t>
      </w:r>
      <w:proofErr w:type="spellStart"/>
      <w:r>
        <w:t>Hartgerink</w:t>
      </w:r>
      <w:proofErr w:type="spellEnd"/>
      <w:r>
        <w:t xml:space="preserve"> et al., 2001). The immune microenvironment of the injured central nervous system, </w:t>
      </w:r>
      <w:proofErr w:type="spellStart"/>
      <w:r>
        <w:t>characterised</w:t>
      </w:r>
      <w:proofErr w:type="spellEnd"/>
      <w:r>
        <w:t xml:space="preserve"> by microglial activation and </w:t>
      </w:r>
      <w:proofErr w:type="spellStart"/>
      <w:r>
        <w:t>astrogliotic</w:t>
      </w:r>
      <w:proofErr w:type="spellEnd"/>
      <w:r>
        <w:t xml:space="preserve"> scarring, represents a further parameter that multilayer constructs must address, either through the immunomodulatory properties of constituent materials or through the delivery of anti-inflammatory agents from specific layers.</w:t>
      </w:r>
    </w:p>
    <w:p w14:paraId="73B50781" w14:textId="77777777" w:rsidR="000041D7" w:rsidRDefault="00F2273A">
      <w:pPr>
        <w:pStyle w:val="Heading2"/>
      </w:pPr>
      <w:r>
        <w:t>7.4 Skin and Dermal Regeneration</w:t>
      </w:r>
    </w:p>
    <w:p w14:paraId="02EDCFA9" w14:textId="77777777" w:rsidR="000041D7" w:rsidRDefault="00F2273A">
      <w:pPr>
        <w:spacing w:after="160" w:line="360" w:lineRule="auto"/>
        <w:jc w:val="both"/>
      </w:pPr>
      <w:r>
        <w:t xml:space="preserve">The skin represents the body's largest organ and an important clinical target for injectable multilayer biomimetic constructs, particularly in the context of full-thickness wound healing, burns management, and reconstructive surgery following </w:t>
      </w:r>
      <w:proofErr w:type="spellStart"/>
      <w:r>
        <w:t>tumour</w:t>
      </w:r>
      <w:proofErr w:type="spellEnd"/>
      <w:r>
        <w:t xml:space="preserve"> resection or trauma. Native skin is </w:t>
      </w:r>
      <w:proofErr w:type="spellStart"/>
      <w:r>
        <w:t>organised</w:t>
      </w:r>
      <w:proofErr w:type="spellEnd"/>
      <w:r>
        <w:t xml:space="preserve"> into a stratified epidermis—itself comprising the stratum </w:t>
      </w:r>
      <w:proofErr w:type="spellStart"/>
      <w:r>
        <w:t>basale</w:t>
      </w:r>
      <w:proofErr w:type="spellEnd"/>
      <w:r>
        <w:t xml:space="preserve">, stratum spinosum, stratum granulosum, and stratum corneum, each representing a successive stage of keratinocyte differentiation and upward migration—and an underlying dermis divisible into a superficial papillary dermis rich in thin collagen </w:t>
      </w:r>
      <w:proofErr w:type="spellStart"/>
      <w:r>
        <w:t>fibres</w:t>
      </w:r>
      <w:proofErr w:type="spellEnd"/>
      <w:r>
        <w:t xml:space="preserve"> and ground substance and a deeper reticular dermis composed of coarser, mechanically robust collagen and elastin networks (O'Brien, 2011). The dermal-epidermal junction represents a mechanically and biochemically active interface whose basement membrane composition and micro-topographic features are essential for keratinocyte anchorage, epidermal polarity, and the long-term maintenance of skin barrier integrity (Place et al., 2009).</w:t>
      </w:r>
    </w:p>
    <w:p w14:paraId="784445B5" w14:textId="77777777" w:rsidR="000041D7" w:rsidRDefault="00F2273A">
      <w:pPr>
        <w:spacing w:after="160" w:line="360" w:lineRule="auto"/>
        <w:jc w:val="both"/>
      </w:pPr>
      <w:r>
        <w:t xml:space="preserve">Injectable multilayer constructs for skin regeneration typically employ a dermal layer based on collagen, hyaluronic acid, or fibrin hydrogels seeded with dermal fibroblasts, and an epidermal layer containing keratinocytes or keratinocyte progenitors within a more mechanically defined </w:t>
      </w:r>
      <w:r>
        <w:lastRenderedPageBreak/>
        <w:t xml:space="preserve">matrix that supports stratification and terminal differentiation. The incorporation of angiogenic growth factors such as vascular endothelial growth factor (VEGF) and platelet-derived growth factor (PDGF) into the dermal layer promotes </w:t>
      </w:r>
      <w:proofErr w:type="spellStart"/>
      <w:r>
        <w:t>neovascularisation</w:t>
      </w:r>
      <w:proofErr w:type="spellEnd"/>
      <w:r>
        <w:t xml:space="preserve"> of the regenerating tissue, an absolute prerequisite for the long-term viability of full-thickness constructs beyond the diffusional oxygen supply limit (</w:t>
      </w:r>
      <w:proofErr w:type="spellStart"/>
      <w:r>
        <w:t>Tayalia</w:t>
      </w:r>
      <w:proofErr w:type="spellEnd"/>
      <w:r>
        <w:t xml:space="preserve"> &amp; Mooney, 2009; Li &amp; Mooney, 2016). The challenge of recapitulating the microstructural complexity of the dermal-epidermal junction—including the basement membrane proteins laminin, collagen type IV, and nidogen, as well as the mechanical anchorage provided by hemidesmosomes—remains an active area of investigation, with recent studies exploring the use of </w:t>
      </w:r>
      <w:proofErr w:type="spellStart"/>
      <w:r>
        <w:t>electrospun</w:t>
      </w:r>
      <w:proofErr w:type="spellEnd"/>
      <w:r>
        <w:t xml:space="preserve"> </w:t>
      </w:r>
      <w:proofErr w:type="spellStart"/>
      <w:r>
        <w:t>nanofibre</w:t>
      </w:r>
      <w:proofErr w:type="spellEnd"/>
      <w:r>
        <w:t xml:space="preserve"> meshes and micropatterned hydrogel substrates to recreate the rete ridge topography of the native basement membrane zone within injected construct systems.</w:t>
      </w:r>
    </w:p>
    <w:p w14:paraId="6E331D40" w14:textId="77777777" w:rsidR="000041D7" w:rsidRDefault="000041D7"/>
    <w:p w14:paraId="39F611C4" w14:textId="77777777" w:rsidR="000041D7" w:rsidRDefault="00F2273A">
      <w:pPr>
        <w:pStyle w:val="Heading1"/>
      </w:pPr>
      <w:r>
        <w:t>8. Challenges and Future Perspectives</w:t>
      </w:r>
    </w:p>
    <w:p w14:paraId="30146D3D" w14:textId="77777777" w:rsidR="000041D7" w:rsidRDefault="00F2273A">
      <w:pPr>
        <w:pStyle w:val="Heading2"/>
      </w:pPr>
      <w:r>
        <w:t xml:space="preserve">8.1 </w:t>
      </w:r>
      <w:proofErr w:type="spellStart"/>
      <w:r>
        <w:t>Vascularisation</w:t>
      </w:r>
      <w:proofErr w:type="spellEnd"/>
      <w:r>
        <w:t xml:space="preserve"> and Nutrient Transport</w:t>
      </w:r>
    </w:p>
    <w:p w14:paraId="1AAF7941" w14:textId="77777777" w:rsidR="000041D7" w:rsidRDefault="00F2273A">
      <w:pPr>
        <w:spacing w:after="160" w:line="360" w:lineRule="auto"/>
        <w:jc w:val="both"/>
      </w:pPr>
      <w:r>
        <w:t xml:space="preserve">The absence of an intrinsic vascular network remains the most fundamental unsolved challenge in tissue engineering broadly, and the multilayer injection concept is no exception to this constraint. In native tissues, no cell is located more than approximately 100 to 200 </w:t>
      </w:r>
      <w:proofErr w:type="spellStart"/>
      <w:r>
        <w:t>micrometres</w:t>
      </w:r>
      <w:proofErr w:type="spellEnd"/>
      <w:r>
        <w:t xml:space="preserve"> from the nearest capillary, a proximity that sustains the continuous supply of oxygen and nutrients whilst permitting the removal of metabolic waste products at rates commensurate with cellular metabolic demands (</w:t>
      </w:r>
      <w:proofErr w:type="spellStart"/>
      <w:r>
        <w:t>Dvir</w:t>
      </w:r>
      <w:proofErr w:type="spellEnd"/>
      <w:r>
        <w:t xml:space="preserve"> et al., 2011). In thick multilayer injectable constructs, cells located in interior layers beyond the effective diffusion radius of dissolved oxygen will rapidly become hypoxic and, in the absence of a </w:t>
      </w:r>
      <w:proofErr w:type="spellStart"/>
      <w:r>
        <w:t>perfusable</w:t>
      </w:r>
      <w:proofErr w:type="spellEnd"/>
      <w:r>
        <w:t xml:space="preserve"> vascular network, will undergo apoptosis or pathological phenotypic transition. The viability of the inner regions of thick multilayer constructs under static culture conditions has been consistently observed to be lower than that of peripheral regions, creating a necrotic core that undermines the functional integrity of the construct.</w:t>
      </w:r>
    </w:p>
    <w:p w14:paraId="58CB8003" w14:textId="77777777" w:rsidR="000041D7" w:rsidRDefault="00F2273A">
      <w:pPr>
        <w:spacing w:after="160" w:line="360" w:lineRule="auto"/>
        <w:jc w:val="both"/>
      </w:pPr>
      <w:r>
        <w:t xml:space="preserve">Strategies to address the </w:t>
      </w:r>
      <w:proofErr w:type="spellStart"/>
      <w:r>
        <w:t>vascularisation</w:t>
      </w:r>
      <w:proofErr w:type="spellEnd"/>
      <w:r>
        <w:t xml:space="preserve"> challenge in multilayer injectable constructs include the pre-</w:t>
      </w:r>
      <w:proofErr w:type="spellStart"/>
      <w:r>
        <w:t>vascularisation</w:t>
      </w:r>
      <w:proofErr w:type="spellEnd"/>
      <w:r>
        <w:t xml:space="preserve"> of individual layers prior to assembly, through the co-culture of endothelial cells and supporting perivascular mural cells within each layer during an in vitro maturation period; the incorporation of vasculogenic and angiogenic growth factor gradients—particularly </w:t>
      </w:r>
      <w:r>
        <w:lastRenderedPageBreak/>
        <w:t xml:space="preserve">VEGF and angiopoietins—that guide endothelial sprouting and directed vessel ingrowth from the host tissue through the construct following implantation; and the use of sacrificial templating materials—such as Pluronic or gelatin microparticles that can be selectively removed after construct assembly—to create pre-formed channel networks within individual layers that can be subsequently </w:t>
      </w:r>
      <w:proofErr w:type="spellStart"/>
      <w:r>
        <w:t>endothelialised</w:t>
      </w:r>
      <w:proofErr w:type="spellEnd"/>
      <w:r>
        <w:t xml:space="preserve"> in vitro or </w:t>
      </w:r>
      <w:proofErr w:type="spellStart"/>
      <w:r>
        <w:t>colonised</w:t>
      </w:r>
      <w:proofErr w:type="spellEnd"/>
      <w:r>
        <w:t xml:space="preserve"> by ingrown host vasculature in vivo (</w:t>
      </w:r>
      <w:proofErr w:type="spellStart"/>
      <w:r>
        <w:t>Khademhosseini</w:t>
      </w:r>
      <w:proofErr w:type="spellEnd"/>
      <w:r>
        <w:t xml:space="preserve"> et al., 2006; Moroni et al., 2018). The integration of these </w:t>
      </w:r>
      <w:proofErr w:type="spellStart"/>
      <w:r>
        <w:t>vascularisation</w:t>
      </w:r>
      <w:proofErr w:type="spellEnd"/>
      <w:r>
        <w:t xml:space="preserve"> strategies with the spatial </w:t>
      </w:r>
      <w:proofErr w:type="spellStart"/>
      <w:r>
        <w:t>organisation</w:t>
      </w:r>
      <w:proofErr w:type="spellEnd"/>
      <w:r>
        <w:t xml:space="preserve"> demands of multilayer constructs represents a technically formidable but tractable challenge, particularly as advances in bioprinting enable the precise deposition of vascular channel templates within each layer prior to injection and gelation of the surrounding biomaterial.</w:t>
      </w:r>
    </w:p>
    <w:p w14:paraId="11FAE549" w14:textId="77777777" w:rsidR="000041D7" w:rsidRDefault="00F2273A">
      <w:pPr>
        <w:pStyle w:val="Heading2"/>
      </w:pPr>
      <w:r>
        <w:t>8.2 Interfacial Integrity and Mechanical Cohesion</w:t>
      </w:r>
    </w:p>
    <w:p w14:paraId="613ACE1A" w14:textId="77777777" w:rsidR="000041D7" w:rsidRDefault="00F2273A">
      <w:pPr>
        <w:spacing w:after="160" w:line="360" w:lineRule="auto"/>
        <w:jc w:val="both"/>
      </w:pPr>
      <w:r>
        <w:t xml:space="preserve">A challenge specific to multilayer constructs—as distinct from single-layer systems—concerns the integrity of the interfaces between adjacent layers. In a sequential injection system, each interface represents a potential zone of mechanical weakness, arising from differences in crosslink density, swelling pressure, and viscoelastic </w:t>
      </w:r>
      <w:proofErr w:type="spellStart"/>
      <w:r>
        <w:t>behaviour</w:t>
      </w:r>
      <w:proofErr w:type="spellEnd"/>
      <w:r>
        <w:t xml:space="preserve"> between adjacent layers with distinct compositions and network architectures. The failure of the interface under physiological loading conditions can lead to delamination, shear failure, or the progressive infiltration of cells from one layer into another, compromising the intended zonal </w:t>
      </w:r>
      <w:proofErr w:type="spellStart"/>
      <w:r>
        <w:t>organisation</w:t>
      </w:r>
      <w:proofErr w:type="spellEnd"/>
      <w:r>
        <w:t xml:space="preserve"> and the functional performance of the construct (Burdick &amp; Murphy, 2012; Daly et al., 2017). Strategies to enhance interfacial integrity include the use of interpenetrating network chemistries that create covalent bonds between adjacent layers at the time of their contact, the introduction of sacrificial bonds or energy dissipation mechanisms at interfaces to arrest crack propagation, and the design of mechanically graded transition zones rather than sharp compositional discontinuities. The development of reversibly crosslinked interfacial regions that can dynamically reconfigure in response to mechanical loading—adapting the stress distribution across the interface—represents an emerging research direction with significant potential for improving the durability of multilayer injectable constructs.</w:t>
      </w:r>
    </w:p>
    <w:p w14:paraId="28019835" w14:textId="77777777" w:rsidR="000041D7" w:rsidRDefault="00F2273A">
      <w:pPr>
        <w:pStyle w:val="Heading2"/>
      </w:pPr>
      <w:r>
        <w:t>8.3 Scalability and Clinical Translation</w:t>
      </w:r>
    </w:p>
    <w:p w14:paraId="6038FE25" w14:textId="77777777" w:rsidR="000041D7" w:rsidRDefault="00F2273A">
      <w:pPr>
        <w:spacing w:after="160" w:line="360" w:lineRule="auto"/>
        <w:jc w:val="both"/>
      </w:pPr>
      <w:r>
        <w:t xml:space="preserve">The transition from proof-of-concept laboratory demonstrations to clinically viable products represents a substantial challenge for multilayer injectable constructs, encompassing issues of </w:t>
      </w:r>
      <w:r>
        <w:lastRenderedPageBreak/>
        <w:t xml:space="preserve">scalability, reproducibility, regulatory compliance, and economic viability. The fabrication of multilayer constructs with consistent layer thickness, composition, and cellular distribution across batches demands precise control of injection parameters—including flow rate, pressure, temperature, and the temporal sequence of layer deposition—that may be difficult to maintain in a clinical setting using manual techniques (Murphy &amp; </w:t>
      </w:r>
      <w:proofErr w:type="spellStart"/>
      <w:r>
        <w:t>Atala</w:t>
      </w:r>
      <w:proofErr w:type="spellEnd"/>
      <w:r>
        <w:t xml:space="preserve">, 2014). The development of automated injection platforms, including robotic deposition systems and digitally controlled multi-syringe pumps, offers a pathway to the </w:t>
      </w:r>
      <w:proofErr w:type="spellStart"/>
      <w:r>
        <w:t>standardisation</w:t>
      </w:r>
      <w:proofErr w:type="spellEnd"/>
      <w:r>
        <w:t xml:space="preserve"> of multilayer construct fabrication, but the technical complexity and cost of such systems may represent barriers to widespread clinical adoption, particularly in resource-limited healthcare settings.</w:t>
      </w:r>
    </w:p>
    <w:p w14:paraId="057AC9EE" w14:textId="77777777" w:rsidR="000041D7" w:rsidRDefault="00F2273A">
      <w:pPr>
        <w:spacing w:after="160" w:line="360" w:lineRule="auto"/>
        <w:jc w:val="both"/>
      </w:pPr>
      <w:r>
        <w:t>The integration of patient-specific imaging data—derived from magnetic resonance imaging or computed tomography—with computer-aided design and automated injection platforms would enable the fabrication of multilayer constructs tailored to the precise geometry of individual tissue defects, a capability particularly valuable for irregularly shaped defects in articular cartilage, craniofacial bone, and spinal cord (</w:t>
      </w:r>
      <w:proofErr w:type="spellStart"/>
      <w:r>
        <w:t>Khademhosseini</w:t>
      </w:r>
      <w:proofErr w:type="spellEnd"/>
      <w:r>
        <w:t xml:space="preserve"> &amp; Langer, 2016). Regulatory pathways for injectable cell-laden multilayer constructs, classified as combination products in most jurisdictions, are complex and require the demonstration of safety, sterility, and potency for each constituent layer as well as the assembled construct. Early and iterative engagement with regulatory agencies, together with the development of validated in vitro and in vivo models that accurately predict clinical performance, will be essential for the efficient and successful translation of multilayer injectable constructs to patient care (</w:t>
      </w:r>
      <w:proofErr w:type="spellStart"/>
      <w:r>
        <w:t>Mikos</w:t>
      </w:r>
      <w:proofErr w:type="spellEnd"/>
      <w:r>
        <w:t xml:space="preserve"> et al., 2006).</w:t>
      </w:r>
    </w:p>
    <w:p w14:paraId="52A165EF" w14:textId="77777777" w:rsidR="000041D7" w:rsidRDefault="00F2273A">
      <w:pPr>
        <w:pStyle w:val="Heading2"/>
      </w:pPr>
      <w:r>
        <w:t>8.4 Immune Response and Biocompatibility</w:t>
      </w:r>
    </w:p>
    <w:p w14:paraId="14D05DB0" w14:textId="77777777" w:rsidR="000041D7" w:rsidRDefault="00F2273A">
      <w:pPr>
        <w:spacing w:after="160" w:line="360" w:lineRule="auto"/>
        <w:jc w:val="both"/>
      </w:pPr>
      <w:r>
        <w:t xml:space="preserve">The implantation of any foreign material elicits an innate immune response, and the compositional complexity of multilayer injectable constructs—incorporating multiple biomaterials, growth factors, and potentially allogeneic or xenogeneic cell populations—amplifies the potential for adverse immunological reactions. The foreign body response, </w:t>
      </w:r>
      <w:proofErr w:type="spellStart"/>
      <w:r>
        <w:t>characterised</w:t>
      </w:r>
      <w:proofErr w:type="spellEnd"/>
      <w:r>
        <w:t xml:space="preserve"> by macrophage activation, multinucleated giant cell formation, and progressive fibrous encapsulation, can compromise the mechanical integration of implanted constructs and impede tissue regeneration by creating a fibrotic capsule that isolates the construct from the host vascular supply and native cell populations (O'Brien, 2011; Webber et al., 2016). The immunomodulatory properties of individual layer materials—particularly the phenotypic </w:t>
      </w:r>
      <w:proofErr w:type="spellStart"/>
      <w:r>
        <w:lastRenderedPageBreak/>
        <w:t>polarisation</w:t>
      </w:r>
      <w:proofErr w:type="spellEnd"/>
      <w:r>
        <w:t xml:space="preserve"> of macrophages towards pro-regenerative M2 phenotypes by certain ECM-derived materials and biomaterial surface chemistries—have attracted interest as a strategy for managing the immune microenvironment around implanted multilayer constructs without pharmacological immunosuppression.</w:t>
      </w:r>
    </w:p>
    <w:p w14:paraId="18A6F6F1" w14:textId="77777777" w:rsidR="000041D7" w:rsidRDefault="00F2273A">
      <w:pPr>
        <w:spacing w:after="160" w:line="360" w:lineRule="auto"/>
        <w:jc w:val="both"/>
      </w:pPr>
      <w:r>
        <w:t>The use of autologous cells, whilst avoiding allogeneic immune rejection, introduces practical challenges of cell harvest, in vitro expansion, quality control, and manufacturing within a clinically practicable timeframe and at acceptable cost. Advances in induced pluripotent stem cell (iPSC) technology and direct cellular reprogramming offer the prospect of patient-specific cell populations for all required lineages derived from minimally invasive biopsies, but robust, clinically translatable protocols for the directed differentiation of iPSC-derived cells within multilayer injectable hydrogels remain to be fully established (</w:t>
      </w:r>
      <w:proofErr w:type="spellStart"/>
      <w:r>
        <w:t>Madl</w:t>
      </w:r>
      <w:proofErr w:type="spellEnd"/>
      <w:r>
        <w:t xml:space="preserve"> &amp; </w:t>
      </w:r>
      <w:proofErr w:type="spellStart"/>
      <w:r>
        <w:t>Heilshorn</w:t>
      </w:r>
      <w:proofErr w:type="spellEnd"/>
      <w:r>
        <w:t>, 2018; Moroni et al., 2018). The development of off-the-shelf allogeneic cell products, manufactured at scale under current good manufacturing practice conditions and immune-shielded through genetic engineering or encapsulation, represents an alternative strategy that may enable the broad clinical deployment of cell-laden multilayer injectable constructs without the logistical and economic constraints of autologous cell sourcing.</w:t>
      </w:r>
    </w:p>
    <w:p w14:paraId="585C3266" w14:textId="77777777" w:rsidR="000041D7" w:rsidRDefault="00F2273A">
      <w:pPr>
        <w:pStyle w:val="Heading2"/>
      </w:pPr>
      <w:r>
        <w:t>8.5 Emerging Technologies and Future Directions</w:t>
      </w:r>
    </w:p>
    <w:p w14:paraId="64064B65" w14:textId="77777777" w:rsidR="000041D7" w:rsidRDefault="00F2273A">
      <w:pPr>
        <w:spacing w:after="160" w:line="360" w:lineRule="auto"/>
        <w:jc w:val="both"/>
      </w:pPr>
      <w:r>
        <w:t xml:space="preserve">The future trajectory of the multilayer injection concept will be shaped substantially by advances in </w:t>
      </w:r>
      <w:proofErr w:type="spellStart"/>
      <w:r>
        <w:t>biofabrication</w:t>
      </w:r>
      <w:proofErr w:type="spellEnd"/>
      <w:r>
        <w:t xml:space="preserve"> technologies that expand the precision, speed, and functional sophistication with which multilayer constructs can be created and delivered. Four-dimensional (4D) bioprinting—in which time-evolving shape transformation is programmed into a construct through the use of stimuli-responsive materials—offers the possibility of multilayer injectable constructs that undergo controlled morphological changes following delivery, adapting their geometry and mechanical properties to match the evolving demands of a healing defect (Moroni et al., 2018). Such constructs could, in principle, unfurl or expand within a defect site to conform to irregular boundaries, release therapeutic payloads in response to local physiological cues, or stiffen progressively in synchrony with the maturation of regenerating tissue.</w:t>
      </w:r>
    </w:p>
    <w:p w14:paraId="60874173" w14:textId="77777777" w:rsidR="000041D7" w:rsidRDefault="00F2273A">
      <w:pPr>
        <w:spacing w:after="160" w:line="360" w:lineRule="auto"/>
        <w:jc w:val="both"/>
      </w:pPr>
      <w:r>
        <w:t xml:space="preserve">The integration of organ-on-chip microfluidic platforms with multilayer injectable constructs enables the perfusion of constructs under physiologically relevant flow conditions during in vitro maturation, potentially accelerating the development of </w:t>
      </w:r>
      <w:proofErr w:type="spellStart"/>
      <w:r>
        <w:t>vascularised</w:t>
      </w:r>
      <w:proofErr w:type="spellEnd"/>
      <w:r>
        <w:t xml:space="preserve">, functional tissue units and </w:t>
      </w:r>
      <w:r>
        <w:lastRenderedPageBreak/>
        <w:t xml:space="preserve">reducing the time required to achieve the mechanical and biochemical maturity needed for safe implantation. Advances in biomaterial chemistry, including the development of conductive, luminescent, and magnetically responsive hydrogels, are expanding the functional capabilities of multilayer injectable systems beyond mechanical and biochemical mimicry to encompass electrical actuation, real-time biosensing, and image-guided monitoring of construct </w:t>
      </w:r>
      <w:proofErr w:type="spellStart"/>
      <w:r>
        <w:t>remodelling</w:t>
      </w:r>
      <w:proofErr w:type="spellEnd"/>
      <w:r>
        <w:t xml:space="preserve"> in vivo (</w:t>
      </w:r>
      <w:proofErr w:type="spellStart"/>
      <w:r>
        <w:t>Dvir</w:t>
      </w:r>
      <w:proofErr w:type="spellEnd"/>
      <w:r>
        <w:t xml:space="preserve"> et al., 2011; Green &amp; </w:t>
      </w:r>
      <w:proofErr w:type="spellStart"/>
      <w:r>
        <w:t>Elisseeff</w:t>
      </w:r>
      <w:proofErr w:type="spellEnd"/>
      <w:r>
        <w:t xml:space="preserve">, 2016). Artificial intelligence and machine learning approaches are increasingly being applied to the </w:t>
      </w:r>
      <w:proofErr w:type="spellStart"/>
      <w:r>
        <w:t>optimisation</w:t>
      </w:r>
      <w:proofErr w:type="spellEnd"/>
      <w:r>
        <w:t xml:space="preserve"> of multilayer construct design, using high-dimensional datasets from combinatorial material screening to identify composition-property-function relationships that would be prohibitively time-consuming to establish through conventional experimental approaches. The convergence of these technological advances with the conceptual framework of the multilayer injection concept positions the field for a period of accelerating innovation, with the prospect of clinically transformative constructs in which the boundaries between engineered biomaterials and living tissues become increasingly difficult to discern.</w:t>
      </w:r>
    </w:p>
    <w:p w14:paraId="3FE6B7DD" w14:textId="77777777" w:rsidR="000041D7" w:rsidRDefault="000041D7"/>
    <w:p w14:paraId="11286005" w14:textId="77777777" w:rsidR="000041D7" w:rsidRDefault="00F2273A">
      <w:pPr>
        <w:pStyle w:val="Heading1"/>
      </w:pPr>
      <w:r>
        <w:t>9. Conclusions</w:t>
      </w:r>
    </w:p>
    <w:p w14:paraId="54F86546" w14:textId="77777777" w:rsidR="000041D7" w:rsidRDefault="00F2273A">
      <w:pPr>
        <w:spacing w:after="160" w:line="360" w:lineRule="auto"/>
        <w:jc w:val="both"/>
      </w:pPr>
      <w:r>
        <w:t xml:space="preserve">The evolution from monolayer cell culture to the multilayer injection concept represents one of the most significant intellectual and technological progressions in modern biomedical engineering. The monolayer paradigm, whilst indispensable as a foundation for cell biology research, is fundamentally inadequate as a surrogate for the three-dimensional, stratified, and mechanically heterogeneous environments that govern cellular </w:t>
      </w:r>
      <w:proofErr w:type="spellStart"/>
      <w:r>
        <w:t>behaviour</w:t>
      </w:r>
      <w:proofErr w:type="spellEnd"/>
      <w:r>
        <w:t xml:space="preserve"> and tissue function in vivo. The recognition of this inadequacy, supported by compelling mechanobiological evidence and reinforced by the translational failures of 2D-validated drug candidates, provided the impetus for the development of increasingly sophisticated three-dimensional culture platforms and tissue-engineered constructs.</w:t>
      </w:r>
    </w:p>
    <w:p w14:paraId="585216E1" w14:textId="77777777" w:rsidR="000041D7" w:rsidRDefault="00F2273A">
      <w:pPr>
        <w:spacing w:after="160" w:line="360" w:lineRule="auto"/>
        <w:jc w:val="both"/>
      </w:pPr>
      <w:r>
        <w:t xml:space="preserve">The multilayer injection concept addresses the core limitations of earlier single-layer approaches by enabling the sequential or simultaneous deposition of compositionally distinct, bioactive material layers through injection-based platforms, thereby recreating the stratified complexity inherent to biological tissues in a clinically accessible format. Grounded in a rigorous understanding of extracellular matrix biology, </w:t>
      </w:r>
      <w:proofErr w:type="spellStart"/>
      <w:r>
        <w:t>mechanosensing</w:t>
      </w:r>
      <w:proofErr w:type="spellEnd"/>
      <w:r>
        <w:t xml:space="preserve">, and morphogenetic gradient </w:t>
      </w:r>
      <w:proofErr w:type="spellStart"/>
      <w:r>
        <w:lastRenderedPageBreak/>
        <w:t>signalling</w:t>
      </w:r>
      <w:proofErr w:type="spellEnd"/>
      <w:r>
        <w:t xml:space="preserve">, this approach has demonstrated considerable promise across diverse application domains, including osteochondral defect repair, vascular tissue engineering, neural regeneration, and skin reconstruction. The concept is distinguished by its capacity to be implemented intraoperatively, without the requirement for pre-fabricated implants of </w:t>
      </w:r>
      <w:proofErr w:type="spellStart"/>
      <w:r>
        <w:t>standardised</w:t>
      </w:r>
      <w:proofErr w:type="spellEnd"/>
      <w:r>
        <w:t xml:space="preserve"> geometry, rendering it uniquely suited to the heterogeneous defect morphologies encountered in clinical practice.</w:t>
      </w:r>
    </w:p>
    <w:p w14:paraId="60449785" w14:textId="77777777" w:rsidR="000041D7" w:rsidRDefault="00F2273A">
      <w:pPr>
        <w:spacing w:after="160" w:line="360" w:lineRule="auto"/>
        <w:jc w:val="both"/>
      </w:pPr>
      <w:r>
        <w:t xml:space="preserve">The scientific and engineering framework underlying the multilayer injection concept—integrating principles from polymer chemistry, cell biology, mechanobiology, developmental biology, and </w:t>
      </w:r>
      <w:proofErr w:type="spellStart"/>
      <w:r>
        <w:t>biofabrication</w:t>
      </w:r>
      <w:proofErr w:type="spellEnd"/>
      <w:r>
        <w:t xml:space="preserve">—is now sufficiently mature to support a new generation of translational research aimed at demonstrating clinical efficacy in human subjects. The trajectory of development in materials science, </w:t>
      </w:r>
      <w:proofErr w:type="spellStart"/>
      <w:r>
        <w:t>biofabrication</w:t>
      </w:r>
      <w:proofErr w:type="spellEnd"/>
      <w:r>
        <w:t xml:space="preserve"> technology, stem cell biology, and microfluidics provides a compelling basis for confidence that the persistent challenges of </w:t>
      </w:r>
      <w:proofErr w:type="spellStart"/>
      <w:r>
        <w:t>vascularisation</w:t>
      </w:r>
      <w:proofErr w:type="spellEnd"/>
      <w:r>
        <w:t>, interfacial integrity, scalability, and immune management are tractable within the foreseeable future. The multilayer injection concept, situated at the intersection of biomaterial science, cell biology, and clinical medicine, embodies the broader aspiration of regenerative medicine to restore form and function to damaged tissues with a fidelity that approaches, and may one day match, the architectural mastery of nature itself.</w:t>
      </w:r>
    </w:p>
    <w:p w14:paraId="4275A4BB" w14:textId="77777777" w:rsidR="000041D7" w:rsidRDefault="000041D7"/>
    <w:p w14:paraId="363D647D" w14:textId="77777777" w:rsidR="000041D7" w:rsidRDefault="00F2273A">
      <w:pPr>
        <w:pStyle w:val="Heading1"/>
      </w:pPr>
      <w:r>
        <w:t>10. Limitations</w:t>
      </w:r>
    </w:p>
    <w:p w14:paraId="6C44DEFB" w14:textId="77777777" w:rsidR="000041D7" w:rsidRDefault="00F2273A">
      <w:pPr>
        <w:spacing w:after="160" w:line="360" w:lineRule="auto"/>
        <w:jc w:val="both"/>
      </w:pPr>
      <w:r>
        <w:t xml:space="preserve">This review carries several inherent limitations that should be acknowledged explicitly. As a narrative rather than systematic review, the selection and synthesis of literature necessarily involves a degree of interpretive judgement that may introduce bias towards studies that have attracted high citation counts or have been published in prominent journals, potentially underrepresenting important contributions from lower-profile sources or from research groups working in emerging economies where publication in high-impact English-language journals may be constrained by language and resource barriers. The interdisciplinary scope of the multilayer injection concept, spanning materials science, cell biology, </w:t>
      </w:r>
      <w:proofErr w:type="spellStart"/>
      <w:r>
        <w:t>biofabrication</w:t>
      </w:r>
      <w:proofErr w:type="spellEnd"/>
      <w:r>
        <w:t>, and clinical application, means that no single author or team can claim equivalent depth of expertise across all domains covered, and the synthesis of findings from disparate fields inevitably involves some degree of simplification that specialists in individual subfields may find reductive.</w:t>
      </w:r>
    </w:p>
    <w:p w14:paraId="292B3FA4" w14:textId="77777777" w:rsidR="000041D7" w:rsidRDefault="00F2273A">
      <w:pPr>
        <w:spacing w:after="160" w:line="360" w:lineRule="auto"/>
        <w:jc w:val="both"/>
      </w:pPr>
      <w:r>
        <w:lastRenderedPageBreak/>
        <w:t xml:space="preserve">The rapid pace of innovation in the field means that some emerging technologies—particularly those published close to the date of this review—may not be fully represented in the synthesis, and perspectives offered on clinical translation timelines and regulatory considerations may require revision as the regulatory landscape and the body of clinical evidence evolve. The review is further limited by its focus on injectable multilayer approaches, necessarily excluding consideration of important non-injectable multilayer fabrication strategies—including electrospinning, additive manufacturing without injectable components, and membrane stacking—that share conceptual features with the systems reviewed here and that may in some contexts offer superior performance. Finally, the absence of a formal quality appraisal of included studies, consistent with narrative review methodology, means that studies of varying methodological </w:t>
      </w:r>
      <w:proofErr w:type="spellStart"/>
      <w:r>
        <w:t>rigour</w:t>
      </w:r>
      <w:proofErr w:type="spellEnd"/>
      <w:r>
        <w:t xml:space="preserve"> are discussed within a unified analytical framework without explicit weighting of evidence quality; readers should therefore interpret specific empirical claims in this review in conjunction with primary source evaluation.</w:t>
      </w:r>
    </w:p>
    <w:p w14:paraId="7B35452D" w14:textId="77777777" w:rsidR="000041D7" w:rsidRDefault="000041D7"/>
    <w:p w14:paraId="45ABBDF1" w14:textId="77777777" w:rsidR="000041D7" w:rsidRDefault="00F2273A">
      <w:pPr>
        <w:pStyle w:val="Heading1"/>
      </w:pPr>
      <w:r>
        <w:t>References</w:t>
      </w:r>
    </w:p>
    <w:p w14:paraId="68A2A449" w14:textId="77777777" w:rsidR="000041D7" w:rsidRDefault="00F2273A" w:rsidP="00F2273A">
      <w:pPr>
        <w:spacing w:after="160" w:line="360" w:lineRule="auto"/>
        <w:jc w:val="both"/>
      </w:pPr>
      <w:proofErr w:type="spellStart"/>
      <w:r>
        <w:t>Annabi</w:t>
      </w:r>
      <w:proofErr w:type="spellEnd"/>
      <w:r>
        <w:t xml:space="preserve">, N., </w:t>
      </w:r>
      <w:proofErr w:type="spellStart"/>
      <w:r>
        <w:t>Tamayol</w:t>
      </w:r>
      <w:proofErr w:type="spellEnd"/>
      <w:r>
        <w:t xml:space="preserve">, A., </w:t>
      </w:r>
      <w:proofErr w:type="spellStart"/>
      <w:r>
        <w:t>Uquillas</w:t>
      </w:r>
      <w:proofErr w:type="spellEnd"/>
      <w:r>
        <w:t xml:space="preserve">, J. A., Akbari, M., </w:t>
      </w:r>
      <w:proofErr w:type="spellStart"/>
      <w:r>
        <w:t>Bertassoni</w:t>
      </w:r>
      <w:proofErr w:type="spellEnd"/>
      <w:r>
        <w:t xml:space="preserve">, L. E., Cha, C., </w:t>
      </w:r>
      <w:proofErr w:type="spellStart"/>
      <w:r>
        <w:t>Camci-Unal</w:t>
      </w:r>
      <w:proofErr w:type="spellEnd"/>
      <w:r>
        <w:t xml:space="preserve">, G., </w:t>
      </w:r>
      <w:proofErr w:type="spellStart"/>
      <w:r>
        <w:t>Dokmeci</w:t>
      </w:r>
      <w:proofErr w:type="spellEnd"/>
      <w:r>
        <w:t xml:space="preserve">, M. R., </w:t>
      </w:r>
      <w:proofErr w:type="spellStart"/>
      <w:r>
        <w:t>Peppas</w:t>
      </w:r>
      <w:proofErr w:type="spellEnd"/>
      <w:r>
        <w:t xml:space="preserve">, N. A., &amp; </w:t>
      </w:r>
      <w:proofErr w:type="spellStart"/>
      <w:r>
        <w:t>Khademhosseini</w:t>
      </w:r>
      <w:proofErr w:type="spellEnd"/>
      <w:r>
        <w:t>, A. (2014). 25th anniversary article: Rational design and applications of hydrogels in regenerative medicine. Advanced Materials, 26(1), 85–124. https://doi.org/10.1002/adma.201303233</w:t>
      </w:r>
    </w:p>
    <w:p w14:paraId="42856746" w14:textId="77777777" w:rsidR="000041D7" w:rsidRDefault="00F2273A" w:rsidP="00F2273A">
      <w:pPr>
        <w:spacing w:after="160" w:line="360" w:lineRule="auto"/>
        <w:jc w:val="both"/>
      </w:pPr>
      <w:r>
        <w:t>Baumeister, R. F., &amp; Leary, M. R. (1997). Writing narrative literature reviews. Review of General Psychology, 1(3), 311–320. https://doi.org/10.1037/1089-2680.1.3.311</w:t>
      </w:r>
    </w:p>
    <w:p w14:paraId="12D7D1B5" w14:textId="77777777" w:rsidR="000041D7" w:rsidRDefault="00F2273A" w:rsidP="00F2273A">
      <w:pPr>
        <w:spacing w:after="160" w:line="360" w:lineRule="auto"/>
        <w:jc w:val="both"/>
      </w:pPr>
      <w:r>
        <w:t>Burdick, J. A., &amp; Murphy, W. L. (2012). Moving from static to dynamic complexity in hydrogel design. Nature Communications, 3, Article 1269. https://doi.org/10.1038/ncomms2271</w:t>
      </w:r>
    </w:p>
    <w:p w14:paraId="7C94C818" w14:textId="77777777" w:rsidR="000041D7" w:rsidRDefault="00F2273A" w:rsidP="00F2273A">
      <w:pPr>
        <w:spacing w:after="160" w:line="360" w:lineRule="auto"/>
        <w:jc w:val="both"/>
      </w:pPr>
      <w:r>
        <w:t xml:space="preserve">Daly, A. C., Freeman, F. E., Gonzalez-Fernandez, T., Critchley, S. E., </w:t>
      </w:r>
      <w:proofErr w:type="spellStart"/>
      <w:r>
        <w:t>Nulty</w:t>
      </w:r>
      <w:proofErr w:type="spellEnd"/>
      <w:r>
        <w:t>, J., &amp; Kelly, D. J. (2017). 3D bioprinting for cartilage and osteochondral tissue engineering. Advanced Healthcare Materials, 6(22), 1700298. https://doi.org/10.1002/adhm.201700298</w:t>
      </w:r>
    </w:p>
    <w:p w14:paraId="72CD3B86" w14:textId="77777777" w:rsidR="000041D7" w:rsidRDefault="00F2273A" w:rsidP="00F2273A">
      <w:pPr>
        <w:spacing w:after="160" w:line="360" w:lineRule="auto"/>
        <w:jc w:val="both"/>
      </w:pPr>
      <w:proofErr w:type="spellStart"/>
      <w:r>
        <w:t>Discher</w:t>
      </w:r>
      <w:proofErr w:type="spellEnd"/>
      <w:r>
        <w:t xml:space="preserve">, D. E., </w:t>
      </w:r>
      <w:proofErr w:type="spellStart"/>
      <w:r>
        <w:t>Janmey</w:t>
      </w:r>
      <w:proofErr w:type="spellEnd"/>
      <w:r>
        <w:t>, P., &amp; Wang, Y.-L. (2005). Tissue cells feel and respond to the stiffness of their substrate. Science, 310(5751), 1139–1143. https://doi.org/10.1126/science.1116995</w:t>
      </w:r>
    </w:p>
    <w:p w14:paraId="467178CB" w14:textId="77777777" w:rsidR="000041D7" w:rsidRDefault="00F2273A" w:rsidP="00F2273A">
      <w:pPr>
        <w:spacing w:after="160" w:line="360" w:lineRule="auto"/>
        <w:jc w:val="both"/>
      </w:pPr>
      <w:proofErr w:type="spellStart"/>
      <w:r>
        <w:lastRenderedPageBreak/>
        <w:t>Dvir</w:t>
      </w:r>
      <w:proofErr w:type="spellEnd"/>
      <w:r>
        <w:t xml:space="preserve">, T., Timko, B. P., </w:t>
      </w:r>
      <w:proofErr w:type="spellStart"/>
      <w:r>
        <w:t>Kohane</w:t>
      </w:r>
      <w:proofErr w:type="spellEnd"/>
      <w:r>
        <w:t>, D. S., &amp; Langer, R. (2011). Nanotechnological strategies for engineering complex tissues. Nature Nanotechnology, 6(1), 13–22. https://doi.org/10.1038/nnano.2010.246</w:t>
      </w:r>
    </w:p>
    <w:p w14:paraId="0A33D9FE" w14:textId="77777777" w:rsidR="000041D7" w:rsidRDefault="00F2273A" w:rsidP="00F2273A">
      <w:pPr>
        <w:spacing w:after="160" w:line="360" w:lineRule="auto"/>
        <w:jc w:val="both"/>
      </w:pPr>
      <w:r>
        <w:t xml:space="preserve">Engler, A. J., Sen, S., Sweeney, H. L., &amp; </w:t>
      </w:r>
      <w:proofErr w:type="spellStart"/>
      <w:r>
        <w:t>Discher</w:t>
      </w:r>
      <w:proofErr w:type="spellEnd"/>
      <w:r>
        <w:t>, D. E. (2006). Matrix elasticity directs stem cell lineage specification. Cell, 126(4), 677–689. https://doi.org/10.1016/j.cell.2006.06.044</w:t>
      </w:r>
    </w:p>
    <w:p w14:paraId="023E9B60" w14:textId="77777777" w:rsidR="000041D7" w:rsidRDefault="00F2273A" w:rsidP="00F2273A">
      <w:pPr>
        <w:spacing w:after="160" w:line="360" w:lineRule="auto"/>
        <w:jc w:val="both"/>
      </w:pPr>
      <w:r>
        <w:t xml:space="preserve">Green, J. J., &amp; </w:t>
      </w:r>
      <w:proofErr w:type="spellStart"/>
      <w:r>
        <w:t>Elisseeff</w:t>
      </w:r>
      <w:proofErr w:type="spellEnd"/>
      <w:r>
        <w:t>, J. H. (2016). Mimicking biological functionality with polymers for biomedical applications. Nature, 540(7633), 386–394. https://doi.org/10.1038/nature21005</w:t>
      </w:r>
    </w:p>
    <w:p w14:paraId="36DB6AE5" w14:textId="77777777" w:rsidR="000041D7" w:rsidRDefault="00F2273A" w:rsidP="00F2273A">
      <w:pPr>
        <w:spacing w:after="160" w:line="360" w:lineRule="auto"/>
        <w:jc w:val="both"/>
      </w:pPr>
      <w:r>
        <w:t>Griffith, L. G., &amp; Swartz, M. A. (2006). Capturing complex 3D tissue physiology in vitro. Nature Reviews Molecular Cell Biology, 7(3), 211–224. https://doi.org/10.1038/nrm1858</w:t>
      </w:r>
    </w:p>
    <w:p w14:paraId="1AA0B5CD" w14:textId="77777777" w:rsidR="000041D7" w:rsidRDefault="00F2273A" w:rsidP="00F2273A">
      <w:pPr>
        <w:spacing w:after="160" w:line="360" w:lineRule="auto"/>
        <w:jc w:val="both"/>
      </w:pPr>
      <w:proofErr w:type="spellStart"/>
      <w:r>
        <w:t>Guilak</w:t>
      </w:r>
      <w:proofErr w:type="spellEnd"/>
      <w:r>
        <w:t>, F., Cohen, D. M., Estes, B. T., Gimble, J. M., Liedtke, W., &amp; Chen, C. S. (2009). Control of stem cell fate by physical interactions with the extracellular matrix. Cell Stem Cell, 5(1), 17–26. https://doi.org/10.1016/j.stem.2009.06.016</w:t>
      </w:r>
    </w:p>
    <w:p w14:paraId="226B4574" w14:textId="77777777" w:rsidR="000041D7" w:rsidRDefault="00F2273A" w:rsidP="00F2273A">
      <w:pPr>
        <w:spacing w:after="160" w:line="360" w:lineRule="auto"/>
        <w:jc w:val="both"/>
      </w:pPr>
      <w:proofErr w:type="spellStart"/>
      <w:r>
        <w:t>Hartgerink</w:t>
      </w:r>
      <w:proofErr w:type="spellEnd"/>
      <w:r>
        <w:t xml:space="preserve">, J. D., </w:t>
      </w:r>
      <w:proofErr w:type="spellStart"/>
      <w:r>
        <w:t>Beniash</w:t>
      </w:r>
      <w:proofErr w:type="spellEnd"/>
      <w:r>
        <w:t xml:space="preserve">, E., &amp; </w:t>
      </w:r>
      <w:proofErr w:type="spellStart"/>
      <w:r>
        <w:t>Stupp</w:t>
      </w:r>
      <w:proofErr w:type="spellEnd"/>
      <w:r>
        <w:t>, S. I. (2001). Self-assembly and mineralization of peptide-amphiphile nanofibers. Science, 294(5547), 1684–1688. https://doi.org/10.1126/science.1063187</w:t>
      </w:r>
    </w:p>
    <w:p w14:paraId="08542DAA" w14:textId="77777777" w:rsidR="000041D7" w:rsidRDefault="00F2273A" w:rsidP="00F2273A">
      <w:pPr>
        <w:spacing w:after="160" w:line="360" w:lineRule="auto"/>
        <w:jc w:val="both"/>
      </w:pPr>
      <w:r>
        <w:t>Hollister, S. J. (2005). Porous scaffold design for tissue engineering. Nature Materials, 4(7), 518–524. https://doi.org/10.1038/nmat1421</w:t>
      </w:r>
    </w:p>
    <w:p w14:paraId="206880EA" w14:textId="77777777" w:rsidR="000041D7" w:rsidRDefault="00F2273A" w:rsidP="00F2273A">
      <w:pPr>
        <w:spacing w:after="160" w:line="360" w:lineRule="auto"/>
        <w:jc w:val="both"/>
      </w:pPr>
      <w:proofErr w:type="spellStart"/>
      <w:r>
        <w:t>Hutmacher</w:t>
      </w:r>
      <w:proofErr w:type="spellEnd"/>
      <w:r>
        <w:t>, D. W. (2000). Scaffolds in tissue engineering bone and cartilage. Biomaterials, 21(24), 2529–2543. https://doi.org/10.1016/S0142-9612(00)00121-6</w:t>
      </w:r>
    </w:p>
    <w:p w14:paraId="642666A6" w14:textId="77777777" w:rsidR="000041D7" w:rsidRDefault="00F2273A" w:rsidP="00F2273A">
      <w:pPr>
        <w:spacing w:after="160" w:line="360" w:lineRule="auto"/>
        <w:jc w:val="both"/>
      </w:pPr>
      <w:proofErr w:type="spellStart"/>
      <w:r>
        <w:t>Khademhosseini</w:t>
      </w:r>
      <w:proofErr w:type="spellEnd"/>
      <w:r>
        <w:t>, A., &amp; Langer, R. (2016). A decade of progress in tissue engineering. Nature Protocols, 11(10), 1775–1781. https://doi.org/10.1038/nprot.2016.123</w:t>
      </w:r>
    </w:p>
    <w:p w14:paraId="303CDFBF" w14:textId="77777777" w:rsidR="000041D7" w:rsidRDefault="00F2273A" w:rsidP="00F2273A">
      <w:pPr>
        <w:spacing w:after="160" w:line="360" w:lineRule="auto"/>
        <w:jc w:val="both"/>
      </w:pPr>
      <w:proofErr w:type="spellStart"/>
      <w:r>
        <w:t>Khademhosseini</w:t>
      </w:r>
      <w:proofErr w:type="spellEnd"/>
      <w:r>
        <w:t xml:space="preserve">, A., Langer, R., </w:t>
      </w:r>
      <w:proofErr w:type="spellStart"/>
      <w:r>
        <w:t>Borenstein</w:t>
      </w:r>
      <w:proofErr w:type="spellEnd"/>
      <w:r>
        <w:t>, J., &amp; Vacanti, J. P. (2006). Microscale technologies for tissue engineering and biology. Proceedings of the National Academy of Sciences, 103(8), 2480–2487. https://doi.org/10.1073/pnas.0507681102</w:t>
      </w:r>
    </w:p>
    <w:p w14:paraId="2A607C61" w14:textId="77777777" w:rsidR="000041D7" w:rsidRDefault="00F2273A" w:rsidP="00F2273A">
      <w:pPr>
        <w:spacing w:after="160" w:line="360" w:lineRule="auto"/>
        <w:jc w:val="both"/>
      </w:pPr>
      <w:r>
        <w:t>Langer, R., &amp; Vacanti, J. P. (1993). Tissue engineering. Science, 260(5110), 920–926. https://doi.org/10.1126/science.8493529</w:t>
      </w:r>
    </w:p>
    <w:p w14:paraId="52904E7C" w14:textId="77777777" w:rsidR="000041D7" w:rsidRDefault="00F2273A" w:rsidP="00F2273A">
      <w:pPr>
        <w:spacing w:after="160" w:line="360" w:lineRule="auto"/>
        <w:jc w:val="both"/>
      </w:pPr>
      <w:r>
        <w:lastRenderedPageBreak/>
        <w:t>Li, J., &amp; Mooney, D. J. (2016). Designing hydrogels for controlled drug delivery. Nature Reviews Materials, 1(12), Article 16071. https://doi.org/10.1038/natrevmats.2016.71</w:t>
      </w:r>
    </w:p>
    <w:p w14:paraId="051FBC33" w14:textId="77777777" w:rsidR="000041D7" w:rsidRDefault="00F2273A" w:rsidP="00F2273A">
      <w:pPr>
        <w:spacing w:after="160" w:line="360" w:lineRule="auto"/>
        <w:jc w:val="both"/>
      </w:pPr>
      <w:proofErr w:type="spellStart"/>
      <w:r>
        <w:t>Lutolf</w:t>
      </w:r>
      <w:proofErr w:type="spellEnd"/>
      <w:r>
        <w:t>, M. P., &amp; Hubbell, J. A. (2005). Synthetic biomaterials as instructive extracellular microenvironments for morphogenesis in tissue engineering. Nature Biotechnology, 23(1), 47–55. https://doi.org/10.1038/nbt1055</w:t>
      </w:r>
    </w:p>
    <w:p w14:paraId="2D839924" w14:textId="77777777" w:rsidR="000041D7" w:rsidRDefault="00F2273A" w:rsidP="00F2273A">
      <w:pPr>
        <w:spacing w:after="160" w:line="360" w:lineRule="auto"/>
        <w:jc w:val="both"/>
      </w:pPr>
      <w:proofErr w:type="spellStart"/>
      <w:r>
        <w:t>Madl</w:t>
      </w:r>
      <w:proofErr w:type="spellEnd"/>
      <w:r>
        <w:t xml:space="preserve">, C. M., &amp; </w:t>
      </w:r>
      <w:proofErr w:type="spellStart"/>
      <w:r>
        <w:t>Heilshorn</w:t>
      </w:r>
      <w:proofErr w:type="spellEnd"/>
      <w:r>
        <w:t>, S. C. (2018). Engineering hydrogel microenvironments to recapitulate the stem cell niche. Annual Review of Biomedical Engineering, 20, 21–47. https://doi.org/10.1146/annurev-bioeng-062117-120954</w:t>
      </w:r>
    </w:p>
    <w:p w14:paraId="2C96BECA" w14:textId="77777777" w:rsidR="000041D7" w:rsidRDefault="00F2273A" w:rsidP="00F2273A">
      <w:pPr>
        <w:spacing w:after="160" w:line="360" w:lineRule="auto"/>
        <w:jc w:val="both"/>
      </w:pPr>
      <w:proofErr w:type="spellStart"/>
      <w:r>
        <w:t>Mikos</w:t>
      </w:r>
      <w:proofErr w:type="spellEnd"/>
      <w:r>
        <w:t xml:space="preserve">, A. G., Herring, S. W., </w:t>
      </w:r>
      <w:proofErr w:type="spellStart"/>
      <w:r>
        <w:t>Ochareon</w:t>
      </w:r>
      <w:proofErr w:type="spellEnd"/>
      <w:r>
        <w:t xml:space="preserve">, P., </w:t>
      </w:r>
      <w:proofErr w:type="spellStart"/>
      <w:r>
        <w:t>Elisseeff</w:t>
      </w:r>
      <w:proofErr w:type="spellEnd"/>
      <w:r>
        <w:t xml:space="preserve">, J., Lu, H. H., Kandel, R., Schoen, F. J., Toner, M., Mooney, D., </w:t>
      </w:r>
      <w:proofErr w:type="spellStart"/>
      <w:r>
        <w:t>Atala</w:t>
      </w:r>
      <w:proofErr w:type="spellEnd"/>
      <w:r>
        <w:t xml:space="preserve">, A., Van Dyke, M. E., Kaplan, D., &amp; </w:t>
      </w:r>
      <w:proofErr w:type="spellStart"/>
      <w:r>
        <w:t>Vunjak</w:t>
      </w:r>
      <w:proofErr w:type="spellEnd"/>
      <w:r>
        <w:t>-Novakovic, G. (2006). Engineering complex tissues. Tissue Engineering, 12(12), 3307–3339. https://doi.org/10.1089/ten.2006.12.3307</w:t>
      </w:r>
    </w:p>
    <w:p w14:paraId="2E221484" w14:textId="77777777" w:rsidR="000041D7" w:rsidRDefault="00F2273A" w:rsidP="00F2273A">
      <w:pPr>
        <w:spacing w:after="160" w:line="360" w:lineRule="auto"/>
        <w:jc w:val="both"/>
      </w:pPr>
      <w:r>
        <w:t xml:space="preserve">Moroni, L., Burdick, J. A., </w:t>
      </w:r>
      <w:proofErr w:type="spellStart"/>
      <w:r>
        <w:t>Highley</w:t>
      </w:r>
      <w:proofErr w:type="spellEnd"/>
      <w:r>
        <w:t xml:space="preserve">, C., Lee, S. J., Morimoto, Y., Takeuchi, S., &amp; </w:t>
      </w:r>
      <w:proofErr w:type="spellStart"/>
      <w:r>
        <w:t>Yoo</w:t>
      </w:r>
      <w:proofErr w:type="spellEnd"/>
      <w:r>
        <w:t xml:space="preserve">, J. J. (2018). </w:t>
      </w:r>
      <w:proofErr w:type="spellStart"/>
      <w:r>
        <w:t>Biofabrication</w:t>
      </w:r>
      <w:proofErr w:type="spellEnd"/>
      <w:r>
        <w:t xml:space="preserve"> strategies for 3D in vitro models and regenerative medicine. Nature Reviews Materials, 3(5), 21–37. https://doi.org/10.1038/s41578-018-0006-y</w:t>
      </w:r>
    </w:p>
    <w:p w14:paraId="6C79CA37" w14:textId="77777777" w:rsidR="000041D7" w:rsidRDefault="00F2273A" w:rsidP="00F2273A">
      <w:pPr>
        <w:spacing w:after="160" w:line="360" w:lineRule="auto"/>
        <w:jc w:val="both"/>
      </w:pPr>
      <w:r>
        <w:t xml:space="preserve">Murphy, S. V., &amp; </w:t>
      </w:r>
      <w:proofErr w:type="spellStart"/>
      <w:r>
        <w:t>Atala</w:t>
      </w:r>
      <w:proofErr w:type="spellEnd"/>
      <w:r>
        <w:t>, A. (2014). 3D bioprinting of tissues and organs. Nature Biotechnology, 32(8), 773–785. https://doi.org/10.1038/nbt.2958</w:t>
      </w:r>
    </w:p>
    <w:p w14:paraId="174F9E03" w14:textId="77777777" w:rsidR="000041D7" w:rsidRDefault="00F2273A" w:rsidP="00F2273A">
      <w:pPr>
        <w:spacing w:after="160" w:line="360" w:lineRule="auto"/>
        <w:jc w:val="both"/>
      </w:pPr>
      <w:r>
        <w:t>O'Brien, F. J. (2011). Biomaterials &amp; scaffolds for tissue engineering. Materials Today, 14(3), 88–95. https://doi.org/10.1016/S1369-7021(11)70058-X</w:t>
      </w:r>
    </w:p>
    <w:p w14:paraId="646DA0A5" w14:textId="77777777" w:rsidR="000041D7" w:rsidRDefault="00F2273A" w:rsidP="00F2273A">
      <w:pPr>
        <w:spacing w:after="160" w:line="360" w:lineRule="auto"/>
        <w:jc w:val="both"/>
      </w:pPr>
      <w:r>
        <w:t>Place, E. S., Evans, N. D., &amp; Stevens, M. M. (2009). Complexity in biomaterials for tissue engineering. Nature Materials, 8(6), 457–470. https://doi.org/10.1038/nmat2441</w:t>
      </w:r>
    </w:p>
    <w:p w14:paraId="5CB8C5B0" w14:textId="77777777" w:rsidR="000041D7" w:rsidRDefault="00F2273A" w:rsidP="00F2273A">
      <w:pPr>
        <w:spacing w:after="160" w:line="360" w:lineRule="auto"/>
        <w:jc w:val="both"/>
      </w:pPr>
      <w:r>
        <w:t xml:space="preserve">Slaughter, B. V., Khurshid, S. S., Fisher, O. Z., </w:t>
      </w:r>
      <w:proofErr w:type="spellStart"/>
      <w:r>
        <w:t>Khademhosseini</w:t>
      </w:r>
      <w:proofErr w:type="spellEnd"/>
      <w:r>
        <w:t xml:space="preserve">, A., &amp; </w:t>
      </w:r>
      <w:proofErr w:type="spellStart"/>
      <w:r>
        <w:t>Peppas</w:t>
      </w:r>
      <w:proofErr w:type="spellEnd"/>
      <w:r>
        <w:t>, N. A. (2009). Hydrogels in regenerative medicine. Advanced Materials, 21(32–33), 3307–3329. https://doi.org/10.1002/adma.200802106</w:t>
      </w:r>
    </w:p>
    <w:p w14:paraId="3784D26C" w14:textId="77777777" w:rsidR="000041D7" w:rsidRDefault="00F2273A" w:rsidP="00F2273A">
      <w:pPr>
        <w:spacing w:after="160" w:line="360" w:lineRule="auto"/>
        <w:jc w:val="both"/>
      </w:pPr>
      <w:proofErr w:type="spellStart"/>
      <w:r>
        <w:t>Tayalia</w:t>
      </w:r>
      <w:proofErr w:type="spellEnd"/>
      <w:r>
        <w:t>, P., &amp; Mooney, D. J. (2009). Controlled growth factor delivery for tissue engineering. Advanced Materials, 21(32–33), 3269–3285. https://doi.org/10.1002/adma.200900241</w:t>
      </w:r>
    </w:p>
    <w:p w14:paraId="7D8938C5" w14:textId="77777777" w:rsidR="000041D7" w:rsidRDefault="00F2273A" w:rsidP="00F2273A">
      <w:pPr>
        <w:spacing w:after="160" w:line="360" w:lineRule="auto"/>
        <w:jc w:val="both"/>
      </w:pPr>
      <w:r>
        <w:lastRenderedPageBreak/>
        <w:t xml:space="preserve">Tibbitt, M. W., &amp; </w:t>
      </w:r>
      <w:proofErr w:type="spellStart"/>
      <w:r>
        <w:t>Anseth</w:t>
      </w:r>
      <w:proofErr w:type="spellEnd"/>
      <w:r>
        <w:t>, K. S. (2009). Hydrogels as extracellular matrix mimics for 3D cell culture. Biotechnology and Bioengineering, 103(4), 655–663. https://doi.org/10.1002/bit.22361</w:t>
      </w:r>
    </w:p>
    <w:p w14:paraId="1453DEF8" w14:textId="77777777" w:rsidR="000041D7" w:rsidRDefault="00F2273A" w:rsidP="00F2273A">
      <w:pPr>
        <w:spacing w:after="160" w:line="360" w:lineRule="auto"/>
        <w:jc w:val="both"/>
      </w:pPr>
      <w:r>
        <w:t>Webber, M. J., Appel, E. A., Meijer, E. W., &amp; Langer, R. (2016). Supramolecular biomaterials. Nature Materials, 15(1), 13–26. https://doi.org/10.1038/nmat4474</w:t>
      </w:r>
    </w:p>
    <w:p w14:paraId="709D9E3E" w14:textId="77777777" w:rsidR="000041D7" w:rsidRDefault="00F2273A" w:rsidP="00F2273A">
      <w:pPr>
        <w:spacing w:after="160" w:line="360" w:lineRule="auto"/>
        <w:jc w:val="both"/>
      </w:pPr>
      <w:r>
        <w:t xml:space="preserve">Zhang, Y. S., &amp; </w:t>
      </w:r>
      <w:proofErr w:type="spellStart"/>
      <w:r>
        <w:t>Khademhosseini</w:t>
      </w:r>
      <w:proofErr w:type="spellEnd"/>
      <w:r>
        <w:t>, A. (2017). Advances in engineering hydrogels. Science, 356(6337), eaaf3627. https://doi.org/10.1126/science.aaf3627</w:t>
      </w:r>
    </w:p>
    <w:sectPr w:rsidR="000041D7" w:rsidSect="000041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9B2DA" w14:textId="77777777" w:rsidR="00133D40" w:rsidRDefault="00133D40" w:rsidP="00115DA8">
      <w:r>
        <w:separator/>
      </w:r>
    </w:p>
  </w:endnote>
  <w:endnote w:type="continuationSeparator" w:id="0">
    <w:p w14:paraId="355DCFF0" w14:textId="77777777" w:rsidR="00133D40" w:rsidRDefault="00133D40" w:rsidP="0011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59A2" w14:textId="77777777" w:rsidR="00115DA8" w:rsidRDefault="00115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3405" w14:textId="77777777" w:rsidR="00115DA8" w:rsidRDefault="00115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E7BD" w14:textId="77777777" w:rsidR="00115DA8" w:rsidRDefault="0011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68C4C" w14:textId="77777777" w:rsidR="00133D40" w:rsidRDefault="00133D40" w:rsidP="00115DA8">
      <w:r>
        <w:separator/>
      </w:r>
    </w:p>
  </w:footnote>
  <w:footnote w:type="continuationSeparator" w:id="0">
    <w:p w14:paraId="095FBAF0" w14:textId="77777777" w:rsidR="00133D40" w:rsidRDefault="00133D40" w:rsidP="0011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D9F1" w14:textId="19BB1A2A" w:rsidR="00115DA8" w:rsidRDefault="00115DA8">
    <w:pPr>
      <w:pStyle w:val="Header"/>
    </w:pPr>
    <w:r>
      <w:rPr>
        <w:noProof/>
      </w:rPr>
      <w:pict w14:anchorId="0D3DD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032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4123" w14:textId="67DDDDB7" w:rsidR="00115DA8" w:rsidRDefault="00115DA8">
    <w:pPr>
      <w:pStyle w:val="Header"/>
    </w:pPr>
    <w:r>
      <w:rPr>
        <w:noProof/>
      </w:rPr>
      <w:pict w14:anchorId="10DC2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032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414F" w14:textId="21CF86FA" w:rsidR="00115DA8" w:rsidRDefault="00115DA8">
    <w:pPr>
      <w:pStyle w:val="Header"/>
    </w:pPr>
    <w:r>
      <w:rPr>
        <w:noProof/>
      </w:rPr>
      <w:pict w14:anchorId="58ED4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032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05DD"/>
    <w:multiLevelType w:val="hybridMultilevel"/>
    <w:tmpl w:val="464C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7A52BB"/>
    <w:multiLevelType w:val="hybridMultilevel"/>
    <w:tmpl w:val="2B781562"/>
    <w:lvl w:ilvl="0" w:tplc="D1BC908A">
      <w:start w:val="1"/>
      <w:numFmt w:val="bullet"/>
      <w:lvlText w:val="●"/>
      <w:lvlJc w:val="left"/>
      <w:pPr>
        <w:ind w:left="720" w:hanging="360"/>
      </w:pPr>
    </w:lvl>
    <w:lvl w:ilvl="1" w:tplc="690C5D3A">
      <w:start w:val="1"/>
      <w:numFmt w:val="bullet"/>
      <w:lvlText w:val="○"/>
      <w:lvlJc w:val="left"/>
      <w:pPr>
        <w:ind w:left="1440" w:hanging="360"/>
      </w:pPr>
    </w:lvl>
    <w:lvl w:ilvl="2" w:tplc="D0C6BB44">
      <w:start w:val="1"/>
      <w:numFmt w:val="bullet"/>
      <w:lvlText w:val="■"/>
      <w:lvlJc w:val="left"/>
      <w:pPr>
        <w:ind w:left="2160" w:hanging="360"/>
      </w:pPr>
    </w:lvl>
    <w:lvl w:ilvl="3" w:tplc="99D8615A">
      <w:start w:val="1"/>
      <w:numFmt w:val="bullet"/>
      <w:lvlText w:val="●"/>
      <w:lvlJc w:val="left"/>
      <w:pPr>
        <w:ind w:left="2880" w:hanging="360"/>
      </w:pPr>
    </w:lvl>
    <w:lvl w:ilvl="4" w:tplc="35FA0522">
      <w:start w:val="1"/>
      <w:numFmt w:val="bullet"/>
      <w:lvlText w:val="○"/>
      <w:lvlJc w:val="left"/>
      <w:pPr>
        <w:ind w:left="3600" w:hanging="360"/>
      </w:pPr>
    </w:lvl>
    <w:lvl w:ilvl="5" w:tplc="43E043CA">
      <w:start w:val="1"/>
      <w:numFmt w:val="bullet"/>
      <w:lvlText w:val="■"/>
      <w:lvlJc w:val="left"/>
      <w:pPr>
        <w:ind w:left="4320" w:hanging="360"/>
      </w:pPr>
    </w:lvl>
    <w:lvl w:ilvl="6" w:tplc="1A16FCC8">
      <w:start w:val="1"/>
      <w:numFmt w:val="bullet"/>
      <w:lvlText w:val="●"/>
      <w:lvlJc w:val="left"/>
      <w:pPr>
        <w:ind w:left="5040" w:hanging="360"/>
      </w:pPr>
    </w:lvl>
    <w:lvl w:ilvl="7" w:tplc="447CA244">
      <w:start w:val="1"/>
      <w:numFmt w:val="bullet"/>
      <w:lvlText w:val="●"/>
      <w:lvlJc w:val="left"/>
      <w:pPr>
        <w:ind w:left="5760" w:hanging="360"/>
      </w:pPr>
    </w:lvl>
    <w:lvl w:ilvl="8" w:tplc="97368DFC">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41D7"/>
    <w:rsid w:val="000041D7"/>
    <w:rsid w:val="000D5FF5"/>
    <w:rsid w:val="00115DA8"/>
    <w:rsid w:val="00133D40"/>
    <w:rsid w:val="00EA33EB"/>
    <w:rsid w:val="00F2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4CA09"/>
  <w15:docId w15:val="{505C0D30-B5F8-46B4-AB5A-4B855183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041D7"/>
    <w:pPr>
      <w:spacing w:before="320" w:after="160"/>
      <w:outlineLvl w:val="0"/>
    </w:pPr>
    <w:rPr>
      <w:b/>
      <w:bCs/>
      <w:color w:val="000000"/>
      <w:sz w:val="28"/>
      <w:szCs w:val="28"/>
    </w:rPr>
  </w:style>
  <w:style w:type="paragraph" w:styleId="Heading2">
    <w:name w:val="heading 2"/>
    <w:qFormat/>
    <w:rsid w:val="000041D7"/>
    <w:pPr>
      <w:spacing w:before="240" w:after="120"/>
      <w:outlineLvl w:val="1"/>
    </w:pPr>
    <w:rPr>
      <w:b/>
      <w:bCs/>
      <w:color w:val="000000"/>
      <w:sz w:val="26"/>
      <w:szCs w:val="26"/>
    </w:rPr>
  </w:style>
  <w:style w:type="paragraph" w:styleId="Heading3">
    <w:name w:val="heading 3"/>
    <w:qFormat/>
    <w:rsid w:val="000041D7"/>
    <w:pPr>
      <w:outlineLvl w:val="2"/>
    </w:pPr>
    <w:rPr>
      <w:color w:val="1F4D78"/>
    </w:rPr>
  </w:style>
  <w:style w:type="paragraph" w:styleId="Heading4">
    <w:name w:val="heading 4"/>
    <w:qFormat/>
    <w:rsid w:val="000041D7"/>
    <w:pPr>
      <w:outlineLvl w:val="3"/>
    </w:pPr>
    <w:rPr>
      <w:i/>
      <w:iCs/>
      <w:color w:val="2E74B5"/>
    </w:rPr>
  </w:style>
  <w:style w:type="paragraph" w:styleId="Heading5">
    <w:name w:val="heading 5"/>
    <w:qFormat/>
    <w:rsid w:val="000041D7"/>
    <w:pPr>
      <w:outlineLvl w:val="4"/>
    </w:pPr>
    <w:rPr>
      <w:color w:val="2E74B5"/>
    </w:rPr>
  </w:style>
  <w:style w:type="paragraph" w:styleId="Heading6">
    <w:name w:val="heading 6"/>
    <w:qFormat/>
    <w:rsid w:val="000041D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041D7"/>
    <w:rPr>
      <w:sz w:val="56"/>
      <w:szCs w:val="56"/>
    </w:rPr>
  </w:style>
  <w:style w:type="paragraph" w:customStyle="1" w:styleId="Strong1">
    <w:name w:val="Strong1"/>
    <w:qFormat/>
    <w:rsid w:val="000041D7"/>
    <w:rPr>
      <w:b/>
      <w:bCs/>
    </w:rPr>
  </w:style>
  <w:style w:type="paragraph" w:styleId="ListParagraph">
    <w:name w:val="List Paragraph"/>
    <w:qFormat/>
    <w:rsid w:val="000041D7"/>
  </w:style>
  <w:style w:type="character" w:styleId="Hyperlink">
    <w:name w:val="Hyperlink"/>
    <w:uiPriority w:val="99"/>
    <w:unhideWhenUsed/>
    <w:rsid w:val="000041D7"/>
    <w:rPr>
      <w:color w:val="0563C1"/>
      <w:u w:val="single"/>
    </w:rPr>
  </w:style>
  <w:style w:type="character" w:styleId="FootnoteReference">
    <w:name w:val="footnote reference"/>
    <w:uiPriority w:val="99"/>
    <w:semiHidden/>
    <w:unhideWhenUsed/>
    <w:rsid w:val="000041D7"/>
    <w:rPr>
      <w:vertAlign w:val="superscript"/>
    </w:rPr>
  </w:style>
  <w:style w:type="paragraph" w:styleId="FootnoteText">
    <w:name w:val="footnote text"/>
    <w:link w:val="FootnoteTextChar"/>
    <w:uiPriority w:val="99"/>
    <w:semiHidden/>
    <w:unhideWhenUsed/>
    <w:rsid w:val="000041D7"/>
    <w:rPr>
      <w:sz w:val="20"/>
      <w:szCs w:val="20"/>
    </w:rPr>
  </w:style>
  <w:style w:type="character" w:customStyle="1" w:styleId="FootnoteTextChar">
    <w:name w:val="Footnote Text Char"/>
    <w:link w:val="FootnoteText"/>
    <w:uiPriority w:val="99"/>
    <w:semiHidden/>
    <w:unhideWhenUsed/>
    <w:rsid w:val="000041D7"/>
    <w:rPr>
      <w:sz w:val="20"/>
      <w:szCs w:val="20"/>
    </w:rPr>
  </w:style>
  <w:style w:type="character" w:styleId="EndnoteReference">
    <w:name w:val="endnote reference"/>
    <w:uiPriority w:val="99"/>
    <w:semiHidden/>
    <w:unhideWhenUsed/>
    <w:rsid w:val="000041D7"/>
    <w:rPr>
      <w:vertAlign w:val="superscript"/>
    </w:rPr>
  </w:style>
  <w:style w:type="paragraph" w:styleId="EndnoteText">
    <w:name w:val="endnote text"/>
    <w:link w:val="EndnoteTextChar"/>
    <w:uiPriority w:val="99"/>
    <w:semiHidden/>
    <w:unhideWhenUsed/>
    <w:rsid w:val="000041D7"/>
    <w:rPr>
      <w:sz w:val="20"/>
      <w:szCs w:val="20"/>
    </w:rPr>
  </w:style>
  <w:style w:type="character" w:customStyle="1" w:styleId="EndnoteTextChar">
    <w:name w:val="Endnote Text Char"/>
    <w:link w:val="EndnoteText"/>
    <w:uiPriority w:val="99"/>
    <w:semiHidden/>
    <w:unhideWhenUsed/>
    <w:rsid w:val="000041D7"/>
    <w:rPr>
      <w:sz w:val="20"/>
      <w:szCs w:val="20"/>
    </w:rPr>
  </w:style>
  <w:style w:type="paragraph" w:styleId="Header">
    <w:name w:val="header"/>
    <w:basedOn w:val="Normal"/>
    <w:link w:val="HeaderChar"/>
    <w:uiPriority w:val="99"/>
    <w:unhideWhenUsed/>
    <w:rsid w:val="00115DA8"/>
    <w:pPr>
      <w:tabs>
        <w:tab w:val="center" w:pos="4680"/>
        <w:tab w:val="right" w:pos="9360"/>
      </w:tabs>
    </w:pPr>
  </w:style>
  <w:style w:type="character" w:customStyle="1" w:styleId="HeaderChar">
    <w:name w:val="Header Char"/>
    <w:basedOn w:val="DefaultParagraphFont"/>
    <w:link w:val="Header"/>
    <w:uiPriority w:val="99"/>
    <w:rsid w:val="00115DA8"/>
  </w:style>
  <w:style w:type="paragraph" w:styleId="Footer">
    <w:name w:val="footer"/>
    <w:basedOn w:val="Normal"/>
    <w:link w:val="FooterChar"/>
    <w:uiPriority w:val="99"/>
    <w:unhideWhenUsed/>
    <w:rsid w:val="00115DA8"/>
    <w:pPr>
      <w:tabs>
        <w:tab w:val="center" w:pos="4680"/>
        <w:tab w:val="right" w:pos="9360"/>
      </w:tabs>
    </w:pPr>
  </w:style>
  <w:style w:type="character" w:customStyle="1" w:styleId="FooterChar">
    <w:name w:val="Footer Char"/>
    <w:basedOn w:val="DefaultParagraphFont"/>
    <w:link w:val="Footer"/>
    <w:uiPriority w:val="99"/>
    <w:rsid w:val="0011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10665</Words>
  <Characters>60791</Characters>
  <Application>Microsoft Office Word</Application>
  <DocSecurity>0</DocSecurity>
  <Lines>506</Lines>
  <Paragraphs>142</Paragraphs>
  <ScaleCrop>false</ScaleCrop>
  <Company>HP</Company>
  <LinksUpToDate>false</LinksUpToDate>
  <CharactersWithSpaces>71314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2026-04-13T09:43:00Z</dcterms:created>
  <dcterms:modified xsi:type="dcterms:W3CDTF">2026-04-14T13:12:00Z</dcterms:modified>
</cp:coreProperties>
</file>