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04965" w14:textId="77777777" w:rsidR="00651F66" w:rsidRPr="00651F66" w:rsidRDefault="00651F66" w:rsidP="00651F66">
      <w:pPr>
        <w:jc w:val="right"/>
        <w:outlineLvl w:val="0"/>
        <w:rPr>
          <w:rFonts w:ascii="Arial" w:eastAsia="Times New Roman" w:hAnsi="Arial" w:cs="Arial"/>
          <w:b/>
          <w:bCs/>
          <w:i/>
          <w:iCs/>
          <w:kern w:val="28"/>
          <w:sz w:val="36"/>
          <w:u w:val="single"/>
          <w:lang w:val="en-US" w:eastAsia="en-US"/>
        </w:rPr>
      </w:pPr>
      <w:r w:rsidRPr="00651F66">
        <w:rPr>
          <w:rFonts w:ascii="Arial" w:eastAsia="Times New Roman" w:hAnsi="Arial" w:cs="Arial"/>
          <w:b/>
          <w:bCs/>
          <w:i/>
          <w:iCs/>
          <w:kern w:val="28"/>
          <w:sz w:val="36"/>
          <w:u w:val="single"/>
          <w:lang w:val="en-US" w:eastAsia="en-US"/>
        </w:rPr>
        <w:t xml:space="preserve">Case report </w:t>
      </w:r>
    </w:p>
    <w:p w14:paraId="0C9BB22F" w14:textId="77777777" w:rsidR="009B2954" w:rsidRDefault="00FB45DF">
      <w:pPr>
        <w:spacing w:after="300"/>
        <w:jc w:val="left"/>
        <w:rPr>
          <w:rFonts w:ascii="Calibri" w:eastAsia="Calibri" w:hAnsi="Calibri"/>
          <w:color w:val="17365D"/>
          <w:spacing w:val="5"/>
          <w:sz w:val="52"/>
          <w:szCs w:val="24"/>
          <w:lang w:val="en"/>
        </w:rPr>
      </w:pPr>
      <w:r>
        <w:rPr>
          <w:rFonts w:ascii="Calibri" w:eastAsia="Calibri" w:hAnsi="Calibri"/>
          <w:color w:val="17365D"/>
          <w:spacing w:val="5"/>
          <w:sz w:val="52"/>
          <w:szCs w:val="24"/>
          <w:lang w:val="en"/>
        </w:rPr>
        <w:t>Segmental Gangrene in an Hourglass Gallbladder: A Rare Morphological Variant with Surgical Implications</w:t>
      </w:r>
    </w:p>
    <w:p w14:paraId="3DDFB4B1" w14:textId="77777777" w:rsidR="00EC2EA2" w:rsidRDefault="00EC2EA2">
      <w:pPr>
        <w:spacing w:after="300"/>
        <w:jc w:val="left"/>
        <w:rPr>
          <w:rFonts w:ascii="Arial" w:eastAsia="Calibri" w:hAnsi="Arial"/>
          <w:color w:val="17365D"/>
          <w:spacing w:val="5"/>
          <w:sz w:val="28"/>
          <w:szCs w:val="24"/>
          <w:lang w:val="en"/>
        </w:rPr>
      </w:pPr>
    </w:p>
    <w:p w14:paraId="5B19B460" w14:textId="77777777" w:rsidR="00EC2EA2" w:rsidRDefault="00EC2EA2">
      <w:pPr>
        <w:spacing w:after="300"/>
        <w:jc w:val="left"/>
        <w:rPr>
          <w:rFonts w:ascii="Arial" w:eastAsia="Calibri" w:hAnsi="Arial"/>
          <w:color w:val="17365D"/>
          <w:spacing w:val="5"/>
          <w:sz w:val="28"/>
          <w:szCs w:val="24"/>
          <w:lang w:val="en"/>
        </w:rPr>
      </w:pPr>
    </w:p>
    <w:p w14:paraId="4C0F7284" w14:textId="4A23D11A" w:rsidR="009B2954" w:rsidRDefault="00FB45DF">
      <w:pPr>
        <w:spacing w:after="300"/>
        <w:jc w:val="left"/>
        <w:rPr>
          <w:rFonts w:ascii="Arial" w:eastAsia="Calibri" w:hAnsi="Arial"/>
          <w:color w:val="17365D"/>
          <w:spacing w:val="5"/>
          <w:sz w:val="28"/>
          <w:szCs w:val="24"/>
          <w:lang w:val="en"/>
        </w:rPr>
      </w:pPr>
      <w:bookmarkStart w:id="0" w:name="_GoBack"/>
      <w:bookmarkEnd w:id="0"/>
      <w:r>
        <w:rPr>
          <w:rFonts w:ascii="Arial" w:eastAsia="Calibri" w:hAnsi="Arial"/>
          <w:color w:val="17365D"/>
          <w:spacing w:val="5"/>
          <w:sz w:val="28"/>
          <w:szCs w:val="24"/>
          <w:lang w:val="en"/>
        </w:rPr>
        <w:t>Abstract</w:t>
      </w:r>
    </w:p>
    <w:p w14:paraId="07A909B3" w14:textId="77777777" w:rsidR="009B2954" w:rsidRDefault="00FB45DF">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Background</w:t>
      </w:r>
    </w:p>
    <w:p w14:paraId="7AE5C009" w14:textId="77777777" w:rsidR="009B2954" w:rsidRDefault="00FB45DF">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 xml:space="preserve">Hourglass gallbladder is a rare anatomical variant characterized by a constriction dividing the gallbladder into two compartments. It may be congenital or acquired and is frequently associated with chronic </w:t>
      </w:r>
      <w:r>
        <w:rPr>
          <w:rFonts w:ascii="Arial" w:eastAsia="Calibri" w:hAnsi="Arial"/>
          <w:color w:val="17365D"/>
          <w:spacing w:val="5"/>
          <w:sz w:val="28"/>
          <w:szCs w:val="24"/>
          <w:lang w:val="en"/>
        </w:rPr>
        <w:t>inflammation. Compartmentalized pathology within such a variant is exceedingly uncommon.</w:t>
      </w:r>
    </w:p>
    <w:p w14:paraId="5B051952" w14:textId="77777777" w:rsidR="009B2954" w:rsidRDefault="009B2954">
      <w:pPr>
        <w:spacing w:after="300"/>
        <w:jc w:val="left"/>
        <w:rPr>
          <w:rFonts w:ascii="Arial" w:eastAsia="Calibri" w:hAnsi="Arial"/>
          <w:color w:val="17365D"/>
          <w:spacing w:val="5"/>
          <w:sz w:val="28"/>
          <w:szCs w:val="24"/>
          <w:lang w:val="en"/>
        </w:rPr>
      </w:pPr>
    </w:p>
    <w:p w14:paraId="6DA948F6" w14:textId="77777777" w:rsidR="009B2954" w:rsidRDefault="00FB45DF">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Case Presentation</w:t>
      </w:r>
    </w:p>
    <w:p w14:paraId="1260EDF8" w14:textId="77777777" w:rsidR="009B2954" w:rsidRDefault="00FB45DF">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A 70-year-old male presented with a one-day history of right upper quadrant pain, fever, and vomiting. Ultrasonography suggested acute cholecystitis</w:t>
      </w:r>
      <w:r>
        <w:rPr>
          <w:rFonts w:ascii="Arial" w:eastAsia="Calibri" w:hAnsi="Arial"/>
          <w:color w:val="17365D"/>
          <w:spacing w:val="5"/>
          <w:sz w:val="28"/>
          <w:szCs w:val="24"/>
          <w:lang w:val="en"/>
        </w:rPr>
        <w:t xml:space="preserve"> with a bilobed gallbladder. Magnetic resonance imaging demonstrated an hourglass configuration with a constricted mid-body separating the fundal and neck compartments.</w:t>
      </w:r>
    </w:p>
    <w:p w14:paraId="2B960C73" w14:textId="77777777" w:rsidR="009B2954" w:rsidRDefault="009B2954">
      <w:pPr>
        <w:spacing w:after="300"/>
        <w:jc w:val="left"/>
        <w:rPr>
          <w:rFonts w:ascii="Arial" w:eastAsia="Calibri" w:hAnsi="Arial"/>
          <w:color w:val="17365D"/>
          <w:spacing w:val="5"/>
          <w:sz w:val="28"/>
          <w:szCs w:val="24"/>
          <w:lang w:val="en"/>
        </w:rPr>
      </w:pPr>
    </w:p>
    <w:p w14:paraId="36686AF3" w14:textId="77777777" w:rsidR="009B2954" w:rsidRDefault="00FB45DF">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Management and Outcome</w:t>
      </w:r>
    </w:p>
    <w:p w14:paraId="5EDBB794" w14:textId="77777777" w:rsidR="009B2954" w:rsidRDefault="00FB45DF">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The patient underwent laparoscopic cholecystectomy. Intraoperat</w:t>
      </w:r>
      <w:r>
        <w:rPr>
          <w:rFonts w:ascii="Arial" w:eastAsia="Calibri" w:hAnsi="Arial"/>
          <w:color w:val="17365D"/>
          <w:spacing w:val="5"/>
          <w:sz w:val="28"/>
          <w:szCs w:val="24"/>
          <w:lang w:val="en"/>
        </w:rPr>
        <w:t xml:space="preserve">ively, gangrene was confined to the fundal compartment, while the distal segment remained viable. The critical view of safety was achieved, and the procedure was completed laparoscopically </w:t>
      </w:r>
      <w:r>
        <w:rPr>
          <w:rFonts w:ascii="Arial" w:eastAsia="Calibri" w:hAnsi="Arial"/>
          <w:color w:val="17365D"/>
          <w:spacing w:val="5"/>
          <w:sz w:val="28"/>
          <w:szCs w:val="24"/>
          <w:lang w:val="en"/>
        </w:rPr>
        <w:lastRenderedPageBreak/>
        <w:t>without complications. Histopathological examination confirmed segm</w:t>
      </w:r>
      <w:r>
        <w:rPr>
          <w:rFonts w:ascii="Arial" w:eastAsia="Calibri" w:hAnsi="Arial"/>
          <w:color w:val="17365D"/>
          <w:spacing w:val="5"/>
          <w:sz w:val="28"/>
          <w:szCs w:val="24"/>
          <w:lang w:val="en"/>
        </w:rPr>
        <w:t>ental gangrenous cholecystitis.</w:t>
      </w:r>
    </w:p>
    <w:p w14:paraId="2E1E97A9" w14:textId="77777777" w:rsidR="009B2954" w:rsidRDefault="009B2954">
      <w:pPr>
        <w:spacing w:after="300"/>
        <w:jc w:val="left"/>
        <w:rPr>
          <w:rFonts w:ascii="Arial" w:eastAsia="Calibri" w:hAnsi="Arial"/>
          <w:color w:val="17365D"/>
          <w:spacing w:val="5"/>
          <w:sz w:val="28"/>
          <w:szCs w:val="24"/>
          <w:lang w:val="en"/>
        </w:rPr>
      </w:pPr>
    </w:p>
    <w:p w14:paraId="66AD01A3" w14:textId="77777777" w:rsidR="009B2954" w:rsidRDefault="00FB45DF">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Conclusion</w:t>
      </w:r>
    </w:p>
    <w:p w14:paraId="1624C2DA" w14:textId="77777777" w:rsidR="009B2954" w:rsidRDefault="00FB45DF">
      <w:pPr>
        <w:spacing w:after="300"/>
        <w:jc w:val="left"/>
        <w:rPr>
          <w:rFonts w:ascii="Arial" w:eastAsia="Calibri" w:hAnsi="Arial"/>
          <w:color w:val="17365D"/>
          <w:spacing w:val="5"/>
          <w:sz w:val="28"/>
          <w:szCs w:val="24"/>
          <w:lang w:val="en"/>
        </w:rPr>
      </w:pPr>
      <w:r>
        <w:rPr>
          <w:rFonts w:ascii="Arial" w:eastAsia="Calibri" w:hAnsi="Arial"/>
          <w:color w:val="17365D"/>
          <w:spacing w:val="5"/>
          <w:sz w:val="28"/>
          <w:szCs w:val="24"/>
          <w:lang w:val="en"/>
        </w:rPr>
        <w:t>Selective segmental gangrene in an hourglass gallbladder is an extremely rare entity and poses diagnostic as well as intraoperative challenges. This case underscores the importance of recognizing anatomical varia</w:t>
      </w:r>
      <w:r>
        <w:rPr>
          <w:rFonts w:ascii="Arial" w:eastAsia="Calibri" w:hAnsi="Arial"/>
          <w:color w:val="17365D"/>
          <w:spacing w:val="5"/>
          <w:sz w:val="28"/>
          <w:szCs w:val="24"/>
          <w:lang w:val="en"/>
        </w:rPr>
        <w:t>nts, correlating preoperative imaging with intraoperative findings, and adhering to meticulous surgical technique to ensure safe outcomes.</w:t>
      </w:r>
    </w:p>
    <w:p w14:paraId="1B53E99B" w14:textId="77777777" w:rsidR="009B2954" w:rsidRDefault="00FB45DF">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t>Introduction</w:t>
      </w:r>
    </w:p>
    <w:p w14:paraId="7D35B2ED"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Anatomical variations of the gallbladder are uncommon but clinically relevant, particularly when they al</w:t>
      </w:r>
      <w:r>
        <w:rPr>
          <w:rFonts w:ascii="Arial" w:eastAsia="Calibri" w:hAnsi="Arial"/>
          <w:sz w:val="28"/>
          <w:szCs w:val="24"/>
          <w:lang w:val="en"/>
        </w:rPr>
        <w:t>ter disease presentation or surgical anatomy. Hourglass gallbladder is a rare morphological variant characterized by a constriction dividing the gallbladder into two compartments</w:t>
      </w:r>
      <w:r>
        <w:rPr>
          <w:rFonts w:ascii="Arial" w:eastAsia="Calibri" w:hAnsi="Arial"/>
          <w:sz w:val="28"/>
          <w:szCs w:val="24"/>
          <w:vertAlign w:val="superscript"/>
          <w:lang w:val="en"/>
        </w:rPr>
        <w:t>1,</w:t>
      </w:r>
      <w:r>
        <w:rPr>
          <w:rFonts w:ascii="Arial" w:eastAsia="Calibri" w:hAnsi="Arial"/>
          <w:sz w:val="28"/>
          <w:szCs w:val="24"/>
          <w:lang w:val="en"/>
        </w:rPr>
        <w:t xml:space="preserve"> </w:t>
      </w:r>
      <w:proofErr w:type="gramStart"/>
      <w:r>
        <w:rPr>
          <w:rFonts w:ascii="Arial" w:eastAsia="Calibri" w:hAnsi="Arial"/>
          <w:sz w:val="28"/>
          <w:szCs w:val="24"/>
          <w:lang w:val="en"/>
        </w:rPr>
        <w:t>This</w:t>
      </w:r>
      <w:proofErr w:type="gramEnd"/>
      <w:r>
        <w:rPr>
          <w:rFonts w:ascii="Arial" w:eastAsia="Calibri" w:hAnsi="Arial"/>
          <w:sz w:val="28"/>
          <w:szCs w:val="24"/>
          <w:lang w:val="en"/>
        </w:rPr>
        <w:t xml:space="preserve"> deformity may be congenital or acquired due to chronic inflammation an</w:t>
      </w:r>
      <w:r>
        <w:rPr>
          <w:rFonts w:ascii="Arial" w:eastAsia="Calibri" w:hAnsi="Arial"/>
          <w:sz w:val="28"/>
          <w:szCs w:val="24"/>
          <w:lang w:val="en"/>
        </w:rPr>
        <w:t>d fibrosis</w:t>
      </w:r>
      <w:r>
        <w:rPr>
          <w:rFonts w:ascii="Arial" w:eastAsia="Calibri" w:hAnsi="Arial"/>
          <w:sz w:val="28"/>
          <w:szCs w:val="24"/>
          <w:vertAlign w:val="superscript"/>
          <w:lang w:val="en"/>
        </w:rPr>
        <w:t>2</w:t>
      </w:r>
    </w:p>
    <w:p w14:paraId="101E2337" w14:textId="77777777" w:rsidR="009B2954" w:rsidRDefault="009B2954">
      <w:pPr>
        <w:spacing w:after="200" w:line="276" w:lineRule="auto"/>
        <w:jc w:val="left"/>
        <w:rPr>
          <w:rFonts w:ascii="Arial" w:eastAsia="Calibri" w:hAnsi="Arial"/>
          <w:sz w:val="28"/>
          <w:szCs w:val="24"/>
          <w:lang w:val="en"/>
        </w:rPr>
      </w:pPr>
    </w:p>
    <w:p w14:paraId="6F39A4DB"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While acute cholecystitis is a common surgical condition, gangrenous transformation typically involves the entire gallbladder. Segmental gangrene confined to a single compartment of an hourglass gallbladder is exceptionally rare and poorly des</w:t>
      </w:r>
      <w:r>
        <w:rPr>
          <w:rFonts w:ascii="Arial" w:eastAsia="Calibri" w:hAnsi="Arial"/>
          <w:sz w:val="28"/>
          <w:szCs w:val="24"/>
          <w:lang w:val="en"/>
        </w:rPr>
        <w:t>cribed in literature</w:t>
      </w:r>
      <w:r>
        <w:rPr>
          <w:rFonts w:ascii="Arial" w:eastAsia="Calibri" w:hAnsi="Arial"/>
          <w:sz w:val="28"/>
          <w:szCs w:val="24"/>
          <w:vertAlign w:val="superscript"/>
        </w:rPr>
        <w:t>3</w:t>
      </w:r>
      <w:r>
        <w:rPr>
          <w:rFonts w:ascii="Arial" w:eastAsia="Calibri" w:hAnsi="Arial"/>
          <w:sz w:val="28"/>
          <w:szCs w:val="24"/>
          <w:lang w:val="en"/>
        </w:rPr>
        <w:t>. Such cases are important due to their potential to mislead both radiological interpretation and intraoperative decision-making</w:t>
      </w:r>
      <w:r>
        <w:rPr>
          <w:rFonts w:ascii="Arial" w:eastAsia="Calibri" w:hAnsi="Arial"/>
          <w:sz w:val="28"/>
          <w:szCs w:val="24"/>
          <w:vertAlign w:val="superscript"/>
        </w:rPr>
        <w:t>4</w:t>
      </w:r>
      <w:r>
        <w:rPr>
          <w:rFonts w:ascii="Arial" w:eastAsia="Calibri" w:hAnsi="Arial"/>
          <w:sz w:val="28"/>
          <w:szCs w:val="24"/>
          <w:lang w:val="en"/>
        </w:rPr>
        <w:t>.</w:t>
      </w:r>
    </w:p>
    <w:p w14:paraId="11766863" w14:textId="77777777" w:rsidR="009B2954" w:rsidRDefault="009B2954">
      <w:pPr>
        <w:spacing w:after="200" w:line="276" w:lineRule="auto"/>
        <w:jc w:val="left"/>
        <w:rPr>
          <w:rFonts w:ascii="Arial" w:eastAsia="Calibri" w:hAnsi="Arial"/>
          <w:sz w:val="28"/>
          <w:szCs w:val="24"/>
          <w:lang w:val="en"/>
        </w:rPr>
      </w:pPr>
    </w:p>
    <w:p w14:paraId="068F5724"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 xml:space="preserve">We present a rare case of selective gangrene in the fundal compartment of an hourglass gallbladder and </w:t>
      </w:r>
      <w:r>
        <w:rPr>
          <w:rFonts w:ascii="Arial" w:eastAsia="Calibri" w:hAnsi="Arial"/>
          <w:sz w:val="28"/>
          <w:szCs w:val="24"/>
          <w:lang w:val="en"/>
        </w:rPr>
        <w:t>discuss its clinical, diagnostic, and surgical implications.</w:t>
      </w:r>
    </w:p>
    <w:p w14:paraId="440EA3E5" w14:textId="77777777" w:rsidR="009B2954" w:rsidRDefault="00FB45DF">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lastRenderedPageBreak/>
        <w:t>Case Report</w:t>
      </w:r>
    </w:p>
    <w:p w14:paraId="00B25B4B"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A 70-year-old male presented with acute onset right upper quadrant abdominal pain of one-day duration, associated with fever and vomiting. There was no history of jaundice or previous</w:t>
      </w:r>
      <w:r>
        <w:rPr>
          <w:rFonts w:ascii="Arial" w:eastAsia="Calibri" w:hAnsi="Arial"/>
          <w:sz w:val="28"/>
          <w:szCs w:val="24"/>
          <w:lang w:val="en"/>
        </w:rPr>
        <w:t xml:space="preserve"> similar episodes.</w:t>
      </w:r>
    </w:p>
    <w:p w14:paraId="5564EA37" w14:textId="77777777" w:rsidR="009B2954" w:rsidRDefault="009B2954">
      <w:pPr>
        <w:spacing w:after="200" w:line="276" w:lineRule="auto"/>
        <w:jc w:val="left"/>
        <w:rPr>
          <w:rFonts w:ascii="Arial" w:eastAsia="Calibri" w:hAnsi="Arial"/>
          <w:sz w:val="28"/>
          <w:szCs w:val="24"/>
          <w:lang w:val="en"/>
        </w:rPr>
      </w:pPr>
    </w:p>
    <w:p w14:paraId="1B7A3300"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 xml:space="preserve">On examination, the patient was febrile with localized tenderness in the right hypochondrium and a positive Murphy’s sign. Laboratory investigations revealed leukocytosis with neutrophilia. Liver function tests were within normal </w:t>
      </w:r>
      <w:r>
        <w:rPr>
          <w:rFonts w:ascii="Arial" w:eastAsia="Calibri" w:hAnsi="Arial"/>
          <w:sz w:val="28"/>
          <w:szCs w:val="24"/>
          <w:lang w:val="en"/>
        </w:rPr>
        <w:t>limits.</w:t>
      </w:r>
    </w:p>
    <w:p w14:paraId="3A033EF9" w14:textId="77777777" w:rsidR="009B2954" w:rsidRDefault="009B2954">
      <w:pPr>
        <w:spacing w:after="200" w:line="276" w:lineRule="auto"/>
        <w:jc w:val="left"/>
        <w:rPr>
          <w:rFonts w:ascii="Arial" w:eastAsia="Calibri" w:hAnsi="Arial"/>
          <w:sz w:val="28"/>
          <w:szCs w:val="24"/>
          <w:lang w:val="en"/>
        </w:rPr>
      </w:pPr>
    </w:p>
    <w:p w14:paraId="2993A43C"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Ultrasonography demonstrated a distended gallbladder with wall thickening and internal echoes suggestive of acute cholecystitis. A bilobed morphology with a possible mid-body constriction was noted.</w:t>
      </w:r>
    </w:p>
    <w:p w14:paraId="20105A1B" w14:textId="77777777" w:rsidR="009B2954" w:rsidRDefault="009B2954">
      <w:pPr>
        <w:spacing w:after="200" w:line="276" w:lineRule="auto"/>
        <w:jc w:val="left"/>
        <w:rPr>
          <w:rFonts w:ascii="Arial" w:eastAsia="Calibri" w:hAnsi="Arial"/>
          <w:sz w:val="28"/>
          <w:szCs w:val="24"/>
          <w:lang w:val="en"/>
        </w:rPr>
      </w:pPr>
    </w:p>
    <w:p w14:paraId="2E5D7C26" w14:textId="0DE823D5"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Magnetic resonance imaging provided better anat</w:t>
      </w:r>
      <w:r>
        <w:rPr>
          <w:rFonts w:ascii="Arial" w:eastAsia="Calibri" w:hAnsi="Arial"/>
          <w:sz w:val="28"/>
          <w:szCs w:val="24"/>
          <w:lang w:val="en"/>
        </w:rPr>
        <w:t xml:space="preserve">omical delineation, revealing an hourglass configuration with a distinct narrowing separating the fundal and neck compartments. The fundal compartment appeared more distended and </w:t>
      </w:r>
      <w:proofErr w:type="gramStart"/>
      <w:r>
        <w:rPr>
          <w:rFonts w:ascii="Arial" w:eastAsia="Calibri" w:hAnsi="Arial"/>
          <w:sz w:val="28"/>
          <w:szCs w:val="24"/>
          <w:lang w:val="en"/>
        </w:rPr>
        <w:t>inflamed.(</w:t>
      </w:r>
      <w:proofErr w:type="gramEnd"/>
      <w:r w:rsidR="008A64C4">
        <w:rPr>
          <w:rFonts w:ascii="Arial" w:eastAsia="Calibri" w:hAnsi="Arial"/>
          <w:sz w:val="28"/>
          <w:szCs w:val="24"/>
          <w:lang w:val="en"/>
        </w:rPr>
        <w:t>figure</w:t>
      </w:r>
      <w:r>
        <w:rPr>
          <w:rFonts w:ascii="Arial" w:eastAsia="Calibri" w:hAnsi="Arial"/>
          <w:sz w:val="28"/>
          <w:szCs w:val="24"/>
          <w:lang w:val="en"/>
        </w:rPr>
        <w:t xml:space="preserve"> 1)</w:t>
      </w:r>
    </w:p>
    <w:p w14:paraId="53709C70" w14:textId="77777777" w:rsidR="009B2954" w:rsidRDefault="009B2954">
      <w:pPr>
        <w:spacing w:after="200" w:line="276" w:lineRule="auto"/>
        <w:jc w:val="left"/>
        <w:rPr>
          <w:rFonts w:ascii="Arial" w:eastAsia="Calibri" w:hAnsi="Arial"/>
          <w:sz w:val="28"/>
          <w:szCs w:val="24"/>
          <w:lang w:val="en"/>
        </w:rPr>
      </w:pPr>
    </w:p>
    <w:p w14:paraId="222E5E57" w14:textId="2C466C8D"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 xml:space="preserve">The patient was taken up for laparoscopic </w:t>
      </w:r>
      <w:r>
        <w:rPr>
          <w:rFonts w:ascii="Arial" w:eastAsia="Calibri" w:hAnsi="Arial"/>
          <w:sz w:val="28"/>
          <w:szCs w:val="24"/>
          <w:lang w:val="en"/>
        </w:rPr>
        <w:t>cholecystectomy. Intraoperatively, the gallbladder showed a characteristic hourglass deformity with a fibrotic constriction. The fundal compartment was edematous and gangrenous, whereas the distal compartment appeared relatively normal. (</w:t>
      </w:r>
      <w:r w:rsidR="008A64C4">
        <w:rPr>
          <w:rFonts w:ascii="Arial" w:eastAsia="Calibri" w:hAnsi="Arial"/>
          <w:sz w:val="28"/>
          <w:szCs w:val="24"/>
          <w:lang w:val="en"/>
        </w:rPr>
        <w:t>figure</w:t>
      </w:r>
      <w:r>
        <w:rPr>
          <w:rFonts w:ascii="Arial" w:eastAsia="Calibri" w:hAnsi="Arial"/>
          <w:sz w:val="28"/>
          <w:szCs w:val="24"/>
          <w:lang w:val="en"/>
        </w:rPr>
        <w:t xml:space="preserve"> 2) Adhesion</w:t>
      </w:r>
      <w:r>
        <w:rPr>
          <w:rFonts w:ascii="Arial" w:eastAsia="Calibri" w:hAnsi="Arial"/>
          <w:sz w:val="28"/>
          <w:szCs w:val="24"/>
          <w:lang w:val="en"/>
        </w:rPr>
        <w:t>s were carefully lysed.</w:t>
      </w:r>
    </w:p>
    <w:p w14:paraId="67E5E76D" w14:textId="77777777" w:rsidR="009B2954" w:rsidRDefault="009B2954">
      <w:pPr>
        <w:spacing w:after="200" w:line="276" w:lineRule="auto"/>
        <w:jc w:val="left"/>
        <w:rPr>
          <w:rFonts w:ascii="Arial" w:eastAsia="Calibri" w:hAnsi="Arial"/>
          <w:sz w:val="28"/>
          <w:szCs w:val="24"/>
          <w:lang w:val="en"/>
        </w:rPr>
      </w:pPr>
    </w:p>
    <w:p w14:paraId="79EC26CC"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 xml:space="preserve">Meticulous dissection was performed to achieve the critical view of safety. The cystic duct and artery were identified, clipped, and divided. </w:t>
      </w:r>
      <w:r>
        <w:rPr>
          <w:rFonts w:ascii="Arial" w:eastAsia="Calibri" w:hAnsi="Arial"/>
          <w:sz w:val="28"/>
          <w:szCs w:val="24"/>
          <w:lang w:val="en"/>
        </w:rPr>
        <w:lastRenderedPageBreak/>
        <w:t>Laparoscopic cholecystectomy was completed successfully without complications.</w:t>
      </w:r>
    </w:p>
    <w:p w14:paraId="73995705" w14:textId="77777777" w:rsidR="009B2954" w:rsidRDefault="009B2954">
      <w:pPr>
        <w:spacing w:after="200" w:line="276" w:lineRule="auto"/>
        <w:jc w:val="left"/>
        <w:rPr>
          <w:rFonts w:ascii="Arial" w:eastAsia="Calibri" w:hAnsi="Arial"/>
          <w:sz w:val="28"/>
          <w:szCs w:val="24"/>
          <w:lang w:val="en"/>
        </w:rPr>
      </w:pPr>
    </w:p>
    <w:p w14:paraId="5CAC3ED8"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The posto</w:t>
      </w:r>
      <w:r>
        <w:rPr>
          <w:rFonts w:ascii="Arial" w:eastAsia="Calibri" w:hAnsi="Arial"/>
          <w:sz w:val="28"/>
          <w:szCs w:val="24"/>
          <w:lang w:val="en"/>
        </w:rPr>
        <w:t>perative period was uneventful. Histopathological examination confirmed transmural necrosis in the fundal compartment consistent with gangrenous cholecystitis, while the distal segment showed mild inflammation.</w:t>
      </w:r>
    </w:p>
    <w:p w14:paraId="56F3D130" w14:textId="77777777" w:rsidR="009B2954" w:rsidRDefault="00FB45DF">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t>Discussion</w:t>
      </w:r>
    </w:p>
    <w:p w14:paraId="62AD0DC7"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Clinical Significance</w:t>
      </w:r>
    </w:p>
    <w:p w14:paraId="23F6885A"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This case hi</w:t>
      </w:r>
      <w:r>
        <w:rPr>
          <w:rFonts w:ascii="Arial" w:eastAsia="Calibri" w:hAnsi="Arial"/>
          <w:sz w:val="28"/>
          <w:szCs w:val="24"/>
          <w:lang w:val="en"/>
        </w:rPr>
        <w:t>ghlights an important but underrecognized concept: anatomical variations can fundamentally alter disease behavior. In an hourglass gallbladder, the constriction creates two functionally independent compartments, leading to non-uniform pathological processe</w:t>
      </w:r>
      <w:r>
        <w:rPr>
          <w:rFonts w:ascii="Arial" w:eastAsia="Calibri" w:hAnsi="Arial"/>
          <w:sz w:val="28"/>
          <w:szCs w:val="24"/>
          <w:lang w:val="en"/>
        </w:rPr>
        <w:t>s</w:t>
      </w:r>
      <w:r>
        <w:rPr>
          <w:rFonts w:ascii="Arial" w:eastAsia="Calibri" w:hAnsi="Arial"/>
          <w:sz w:val="28"/>
          <w:szCs w:val="24"/>
          <w:vertAlign w:val="superscript"/>
        </w:rPr>
        <w:t>5</w:t>
      </w:r>
      <w:r>
        <w:rPr>
          <w:rFonts w:ascii="Arial" w:eastAsia="Calibri" w:hAnsi="Arial"/>
          <w:sz w:val="28"/>
          <w:szCs w:val="24"/>
          <w:lang w:val="en"/>
        </w:rPr>
        <w:t>. This may result in discordance between clinical severity and imaging findings.</w:t>
      </w:r>
    </w:p>
    <w:p w14:paraId="43D99E3E" w14:textId="77777777" w:rsidR="009B2954" w:rsidRDefault="009B2954">
      <w:pPr>
        <w:spacing w:after="200" w:line="276" w:lineRule="auto"/>
        <w:jc w:val="left"/>
        <w:rPr>
          <w:rFonts w:ascii="Arial" w:eastAsia="Calibri" w:hAnsi="Arial"/>
          <w:sz w:val="28"/>
          <w:szCs w:val="24"/>
          <w:lang w:val="en"/>
        </w:rPr>
      </w:pPr>
    </w:p>
    <w:p w14:paraId="0E98772F"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Pathophysiology and Mechanism of Segmental Gangrene</w:t>
      </w:r>
    </w:p>
    <w:p w14:paraId="0A210491"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The pathogenesis of segmental gangrene can be explained by localized bile stasis, increased intraluminal pressure, and v</w:t>
      </w:r>
      <w:r>
        <w:rPr>
          <w:rFonts w:ascii="Arial" w:eastAsia="Calibri" w:hAnsi="Arial"/>
          <w:sz w:val="28"/>
          <w:szCs w:val="24"/>
          <w:lang w:val="en"/>
        </w:rPr>
        <w:t>ascular compromise. The fundus is particularly susceptible due to its relatively tenuous blood supply</w:t>
      </w:r>
      <w:r>
        <w:rPr>
          <w:rFonts w:ascii="Arial" w:eastAsia="Calibri" w:hAnsi="Arial"/>
          <w:sz w:val="28"/>
          <w:szCs w:val="24"/>
          <w:vertAlign w:val="superscript"/>
        </w:rPr>
        <w:t>6</w:t>
      </w:r>
    </w:p>
    <w:p w14:paraId="2FB8F4E3" w14:textId="77777777" w:rsidR="009B2954" w:rsidRDefault="009B2954">
      <w:pPr>
        <w:spacing w:after="200" w:line="276" w:lineRule="auto"/>
        <w:jc w:val="left"/>
        <w:rPr>
          <w:rFonts w:ascii="Arial" w:eastAsia="Calibri" w:hAnsi="Arial"/>
          <w:sz w:val="28"/>
          <w:szCs w:val="24"/>
          <w:lang w:val="en"/>
        </w:rPr>
      </w:pPr>
    </w:p>
    <w:p w14:paraId="65976382"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Diagnostic Challenges</w:t>
      </w:r>
    </w:p>
    <w:p w14:paraId="7BD15128"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Preoperative diagnosis remains difficult. Ultrasonography may suggest a bilobed gallbladder but lacks specificity. MRI/MRCP provid</w:t>
      </w:r>
      <w:r>
        <w:rPr>
          <w:rFonts w:ascii="Arial" w:eastAsia="Calibri" w:hAnsi="Arial"/>
          <w:sz w:val="28"/>
          <w:szCs w:val="24"/>
          <w:lang w:val="en"/>
        </w:rPr>
        <w:t>es superior anatomical delineation</w:t>
      </w:r>
      <w:r>
        <w:rPr>
          <w:rFonts w:ascii="Arial" w:eastAsia="Calibri" w:hAnsi="Arial"/>
          <w:sz w:val="28"/>
          <w:szCs w:val="24"/>
          <w:vertAlign w:val="superscript"/>
          <w:lang w:val="en"/>
        </w:rPr>
        <w:t>7.</w:t>
      </w:r>
      <w:r>
        <w:rPr>
          <w:rFonts w:ascii="Arial" w:eastAsia="Calibri" w:hAnsi="Arial"/>
          <w:sz w:val="28"/>
          <w:szCs w:val="24"/>
          <w:lang w:val="en"/>
        </w:rPr>
        <w:t>However, predicting segmental gangrene preoperatively remains difficult.</w:t>
      </w:r>
    </w:p>
    <w:p w14:paraId="2823710E" w14:textId="77777777" w:rsidR="009B2954" w:rsidRDefault="009B2954">
      <w:pPr>
        <w:spacing w:after="200" w:line="276" w:lineRule="auto"/>
        <w:jc w:val="left"/>
        <w:rPr>
          <w:rFonts w:ascii="Arial" w:eastAsia="Calibri" w:hAnsi="Arial"/>
          <w:sz w:val="28"/>
          <w:szCs w:val="24"/>
          <w:lang w:val="en"/>
        </w:rPr>
      </w:pPr>
    </w:p>
    <w:p w14:paraId="72B4F3EF"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lastRenderedPageBreak/>
        <w:t>Surgical Implications</w:t>
      </w:r>
    </w:p>
    <w:p w14:paraId="22FF0D77"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Distorted anatomy increases the risk of bile duct injury</w:t>
      </w:r>
      <w:r>
        <w:rPr>
          <w:rFonts w:ascii="Arial" w:eastAsia="Calibri" w:hAnsi="Arial"/>
          <w:sz w:val="28"/>
          <w:szCs w:val="24"/>
          <w:vertAlign w:val="superscript"/>
          <w:lang w:val="en"/>
        </w:rPr>
        <w:t>8</w:t>
      </w:r>
      <w:r>
        <w:rPr>
          <w:rFonts w:ascii="Arial" w:eastAsia="Calibri" w:hAnsi="Arial"/>
          <w:sz w:val="28"/>
          <w:szCs w:val="24"/>
          <w:lang w:val="en"/>
        </w:rPr>
        <w:t>. Misinterpretation of partially normal segments may lead to intrao</w:t>
      </w:r>
      <w:r>
        <w:rPr>
          <w:rFonts w:ascii="Arial" w:eastAsia="Calibri" w:hAnsi="Arial"/>
          <w:sz w:val="28"/>
          <w:szCs w:val="24"/>
          <w:lang w:val="en"/>
        </w:rPr>
        <w:t>perative errors. Adherence to the critical view of safety is essential</w:t>
      </w:r>
      <w:r>
        <w:rPr>
          <w:rFonts w:ascii="Arial" w:eastAsia="Calibri" w:hAnsi="Arial"/>
          <w:sz w:val="28"/>
          <w:szCs w:val="24"/>
          <w:vertAlign w:val="superscript"/>
          <w:lang w:val="en"/>
        </w:rPr>
        <w:t>9</w:t>
      </w:r>
      <w:r>
        <w:rPr>
          <w:rFonts w:ascii="Arial" w:eastAsia="Calibri" w:hAnsi="Arial"/>
          <w:sz w:val="28"/>
          <w:szCs w:val="24"/>
          <w:lang w:val="en"/>
        </w:rPr>
        <w:t>.</w:t>
      </w:r>
    </w:p>
    <w:p w14:paraId="2DB4489A" w14:textId="77777777" w:rsidR="009B2954" w:rsidRDefault="009B2954">
      <w:pPr>
        <w:spacing w:after="200" w:line="276" w:lineRule="auto"/>
        <w:jc w:val="left"/>
        <w:rPr>
          <w:rFonts w:ascii="Arial" w:eastAsia="Calibri" w:hAnsi="Arial"/>
          <w:sz w:val="28"/>
          <w:szCs w:val="24"/>
          <w:lang w:val="en"/>
        </w:rPr>
      </w:pPr>
    </w:p>
    <w:p w14:paraId="78520286"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Review of World Literature and Rarity</w:t>
      </w:r>
    </w:p>
    <w:p w14:paraId="7D37D2ED"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Hourglass gallbladder is rarely reported, and literature largely focuses on congenital anomalies or septate gallbladder</w:t>
      </w:r>
      <w:r>
        <w:rPr>
          <w:rFonts w:ascii="Arial" w:eastAsia="Calibri" w:hAnsi="Arial"/>
          <w:sz w:val="28"/>
          <w:szCs w:val="24"/>
          <w:vertAlign w:val="superscript"/>
          <w:lang w:val="en"/>
        </w:rPr>
        <w:t>8</w:t>
      </w:r>
      <w:r>
        <w:rPr>
          <w:rFonts w:ascii="Arial" w:eastAsia="Calibri" w:hAnsi="Arial"/>
          <w:sz w:val="28"/>
          <w:szCs w:val="24"/>
          <w:lang w:val="en"/>
        </w:rPr>
        <w:t xml:space="preserve"> Reports describing comp</w:t>
      </w:r>
      <w:r>
        <w:rPr>
          <w:rFonts w:ascii="Arial" w:eastAsia="Calibri" w:hAnsi="Arial"/>
          <w:sz w:val="28"/>
          <w:szCs w:val="24"/>
          <w:lang w:val="en"/>
        </w:rPr>
        <w:t>artment-specific pathology are extremely limited, and segmental gangrene is scarcely documented</w:t>
      </w:r>
      <w:r>
        <w:rPr>
          <w:rFonts w:ascii="Arial" w:eastAsia="Calibri" w:hAnsi="Arial"/>
          <w:sz w:val="28"/>
          <w:szCs w:val="24"/>
          <w:vertAlign w:val="superscript"/>
        </w:rPr>
        <w:t>3</w:t>
      </w:r>
      <w:r>
        <w:rPr>
          <w:rFonts w:ascii="Arial" w:eastAsia="Calibri" w:hAnsi="Arial"/>
          <w:sz w:val="28"/>
          <w:szCs w:val="24"/>
          <w:lang w:val="en"/>
        </w:rPr>
        <w:t>. Most cases of gangrenous cholecystitis involve diffuse necrosis and are associated with delayed presentation and vascular compromise</w:t>
      </w:r>
      <w:r>
        <w:rPr>
          <w:rFonts w:ascii="Arial" w:eastAsia="Calibri" w:hAnsi="Arial"/>
          <w:sz w:val="28"/>
          <w:szCs w:val="24"/>
        </w:rPr>
        <w:t xml:space="preserve"> </w:t>
      </w:r>
      <w:r>
        <w:rPr>
          <w:rFonts w:ascii="Arial" w:eastAsia="Calibri" w:hAnsi="Arial"/>
          <w:sz w:val="28"/>
          <w:szCs w:val="24"/>
          <w:vertAlign w:val="superscript"/>
        </w:rPr>
        <w:t>10</w:t>
      </w:r>
    </w:p>
    <w:p w14:paraId="61A3BEDD" w14:textId="77777777" w:rsidR="009B2954" w:rsidRDefault="009B2954">
      <w:pPr>
        <w:spacing w:after="200" w:line="276" w:lineRule="auto"/>
        <w:jc w:val="left"/>
        <w:rPr>
          <w:rFonts w:ascii="Arial" w:eastAsia="Calibri" w:hAnsi="Arial"/>
          <w:sz w:val="28"/>
          <w:szCs w:val="24"/>
          <w:lang w:val="en"/>
        </w:rPr>
      </w:pPr>
    </w:p>
    <w:p w14:paraId="61DE0C5C"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Key Clinical Message</w:t>
      </w:r>
    </w:p>
    <w:p w14:paraId="1E8D0ABA"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Anatomical variations such as hourglass gallbladder can lead to compartmentalized disease processes, necessitating heightened diagnostic suspicion and meticulous surgical technique to ensure safe outcomes.</w:t>
      </w:r>
    </w:p>
    <w:p w14:paraId="23E14B3A" w14:textId="77777777" w:rsidR="009B2954" w:rsidRDefault="00FB45DF">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t>Conclusion</w:t>
      </w:r>
    </w:p>
    <w:p w14:paraId="150FB8C1" w14:textId="77777777" w:rsidR="009B2954" w:rsidRDefault="00FB45DF">
      <w:pPr>
        <w:spacing w:after="200" w:line="276" w:lineRule="auto"/>
        <w:jc w:val="left"/>
        <w:rPr>
          <w:rFonts w:ascii="Arial" w:eastAsia="Calibri" w:hAnsi="Arial"/>
          <w:sz w:val="28"/>
          <w:szCs w:val="24"/>
          <w:lang w:val="en"/>
        </w:rPr>
      </w:pPr>
      <w:r>
        <w:rPr>
          <w:rFonts w:ascii="Arial" w:eastAsia="Calibri" w:hAnsi="Arial"/>
          <w:sz w:val="28"/>
          <w:szCs w:val="24"/>
          <w:lang w:val="en"/>
        </w:rPr>
        <w:t>Segmental gangrene in an hourglass gallbladder is an exceptionally rare entity. This case underscores the importance of recognizing anatomical variations, understanding their pathophysiological implications, and adhering to sound surgical principles. Aware</w:t>
      </w:r>
      <w:r>
        <w:rPr>
          <w:rFonts w:ascii="Arial" w:eastAsia="Calibri" w:hAnsi="Arial"/>
          <w:sz w:val="28"/>
          <w:szCs w:val="24"/>
          <w:lang w:val="en"/>
        </w:rPr>
        <w:t>ness of such presentations is essential to avoid diagnostic pitfalls and intraoperative complications.</w:t>
      </w:r>
    </w:p>
    <w:p w14:paraId="172F7EEF" w14:textId="77777777" w:rsidR="009B2954" w:rsidRDefault="00FB45DF">
      <w:pPr>
        <w:keepNext/>
        <w:keepLines/>
        <w:spacing w:before="480" w:line="276" w:lineRule="auto"/>
        <w:jc w:val="left"/>
        <w:rPr>
          <w:rFonts w:ascii="Arial" w:eastAsia="Calibri" w:hAnsi="Arial"/>
          <w:b/>
          <w:color w:val="365F91"/>
          <w:sz w:val="28"/>
          <w:szCs w:val="24"/>
          <w:lang w:val="en"/>
        </w:rPr>
      </w:pPr>
      <w:r>
        <w:rPr>
          <w:rFonts w:ascii="Arial" w:eastAsia="Calibri" w:hAnsi="Arial"/>
          <w:b/>
          <w:color w:val="365F91"/>
          <w:sz w:val="28"/>
          <w:szCs w:val="24"/>
          <w:lang w:val="en"/>
        </w:rPr>
        <w:lastRenderedPageBreak/>
        <w:t>References</w:t>
      </w:r>
    </w:p>
    <w:p w14:paraId="142560DB" w14:textId="77777777" w:rsidR="009B2954" w:rsidRDefault="00FB45DF">
      <w:pPr>
        <w:numPr>
          <w:ilvl w:val="0"/>
          <w:numId w:val="1"/>
        </w:numPr>
        <w:spacing w:after="200" w:line="276" w:lineRule="auto"/>
        <w:jc w:val="left"/>
        <w:rPr>
          <w:rFonts w:ascii="Arial" w:eastAsia="Calibri" w:hAnsi="Arial"/>
          <w:sz w:val="28"/>
          <w:szCs w:val="24"/>
          <w:lang w:val="en"/>
        </w:rPr>
      </w:pPr>
      <w:proofErr w:type="spellStart"/>
      <w:r>
        <w:rPr>
          <w:rFonts w:ascii="Arial" w:eastAsia="Calibri" w:hAnsi="Arial"/>
          <w:sz w:val="28"/>
          <w:szCs w:val="24"/>
          <w:lang w:val="en"/>
        </w:rPr>
        <w:t>Harlaftis</w:t>
      </w:r>
      <w:proofErr w:type="spellEnd"/>
      <w:r>
        <w:rPr>
          <w:rFonts w:ascii="Arial" w:eastAsia="Calibri" w:hAnsi="Arial"/>
          <w:sz w:val="28"/>
          <w:szCs w:val="24"/>
          <w:lang w:val="en"/>
        </w:rPr>
        <w:t xml:space="preserve"> N, Gray SW, </w:t>
      </w:r>
      <w:proofErr w:type="spellStart"/>
      <w:r>
        <w:rPr>
          <w:rFonts w:ascii="Arial" w:eastAsia="Calibri" w:hAnsi="Arial"/>
          <w:sz w:val="28"/>
          <w:szCs w:val="24"/>
          <w:lang w:val="en"/>
        </w:rPr>
        <w:t>Skandalakis</w:t>
      </w:r>
      <w:proofErr w:type="spellEnd"/>
      <w:r>
        <w:rPr>
          <w:rFonts w:ascii="Arial" w:eastAsia="Calibri" w:hAnsi="Arial"/>
          <w:sz w:val="28"/>
          <w:szCs w:val="24"/>
          <w:lang w:val="en"/>
        </w:rPr>
        <w:t xml:space="preserve"> JE. Multiple gallbladders. Surg </w:t>
      </w:r>
      <w:proofErr w:type="spellStart"/>
      <w:r>
        <w:rPr>
          <w:rFonts w:ascii="Arial" w:eastAsia="Calibri" w:hAnsi="Arial"/>
          <w:sz w:val="28"/>
          <w:szCs w:val="24"/>
          <w:lang w:val="en"/>
        </w:rPr>
        <w:t>Gynecol</w:t>
      </w:r>
      <w:proofErr w:type="spellEnd"/>
      <w:r>
        <w:rPr>
          <w:rFonts w:ascii="Arial" w:eastAsia="Calibri" w:hAnsi="Arial"/>
          <w:sz w:val="28"/>
          <w:szCs w:val="24"/>
          <w:lang w:val="en"/>
        </w:rPr>
        <w:t xml:space="preserve"> Obstet. 1977;145(6):928-34.</w:t>
      </w:r>
    </w:p>
    <w:p w14:paraId="790176B7" w14:textId="77777777" w:rsidR="009B2954" w:rsidRDefault="00FB45DF">
      <w:pPr>
        <w:numPr>
          <w:ilvl w:val="0"/>
          <w:numId w:val="1"/>
        </w:numPr>
        <w:spacing w:after="200" w:line="276" w:lineRule="auto"/>
        <w:jc w:val="left"/>
        <w:rPr>
          <w:rFonts w:ascii="Arial" w:eastAsia="Calibri" w:hAnsi="Arial"/>
          <w:sz w:val="28"/>
          <w:szCs w:val="24"/>
          <w:lang w:val="en"/>
        </w:rPr>
      </w:pPr>
      <w:proofErr w:type="spellStart"/>
      <w:r>
        <w:rPr>
          <w:rFonts w:ascii="Arial" w:eastAsia="Calibri" w:hAnsi="Arial"/>
          <w:sz w:val="28"/>
          <w:szCs w:val="24"/>
          <w:lang w:val="en"/>
        </w:rPr>
        <w:t>Madacsy</w:t>
      </w:r>
      <w:proofErr w:type="spellEnd"/>
      <w:r>
        <w:rPr>
          <w:rFonts w:ascii="Arial" w:eastAsia="Calibri" w:hAnsi="Arial"/>
          <w:sz w:val="28"/>
          <w:szCs w:val="24"/>
          <w:lang w:val="en"/>
        </w:rPr>
        <w:t xml:space="preserve"> L, </w:t>
      </w:r>
      <w:proofErr w:type="spellStart"/>
      <w:r>
        <w:rPr>
          <w:rFonts w:ascii="Arial" w:eastAsia="Calibri" w:hAnsi="Arial"/>
          <w:sz w:val="28"/>
          <w:szCs w:val="24"/>
          <w:lang w:val="en"/>
        </w:rPr>
        <w:t>Dubravcsik</w:t>
      </w:r>
      <w:proofErr w:type="spellEnd"/>
      <w:r>
        <w:rPr>
          <w:rFonts w:ascii="Arial" w:eastAsia="Calibri" w:hAnsi="Arial"/>
          <w:sz w:val="28"/>
          <w:szCs w:val="24"/>
          <w:lang w:val="en"/>
        </w:rPr>
        <w:t xml:space="preserve"> Z. Congenital anom</w:t>
      </w:r>
      <w:r>
        <w:rPr>
          <w:rFonts w:ascii="Arial" w:eastAsia="Calibri" w:hAnsi="Arial"/>
          <w:sz w:val="28"/>
          <w:szCs w:val="24"/>
          <w:lang w:val="en"/>
        </w:rPr>
        <w:t xml:space="preserve">alies of the gallbladder and biliary tree. World J Gastroenterol. 2015;21(12):3473-9. </w:t>
      </w:r>
    </w:p>
    <w:p w14:paraId="48343D6C" w14:textId="77777777" w:rsidR="009B2954" w:rsidRDefault="00FB45DF">
      <w:pPr>
        <w:numPr>
          <w:ilvl w:val="0"/>
          <w:numId w:val="1"/>
        </w:numPr>
        <w:spacing w:after="200" w:line="276" w:lineRule="auto"/>
        <w:jc w:val="left"/>
        <w:rPr>
          <w:rFonts w:ascii="Arial" w:eastAsia="Calibri" w:hAnsi="Arial"/>
          <w:sz w:val="28"/>
          <w:szCs w:val="24"/>
          <w:lang w:val="en"/>
        </w:rPr>
      </w:pPr>
      <w:proofErr w:type="spellStart"/>
      <w:r>
        <w:rPr>
          <w:rFonts w:ascii="Arial" w:eastAsia="Calibri" w:hAnsi="Arial"/>
          <w:sz w:val="28"/>
          <w:szCs w:val="24"/>
          <w:lang w:val="en"/>
        </w:rPr>
        <w:t>Sureka</w:t>
      </w:r>
      <w:proofErr w:type="spellEnd"/>
      <w:r>
        <w:rPr>
          <w:rFonts w:ascii="Arial" w:eastAsia="Calibri" w:hAnsi="Arial"/>
          <w:sz w:val="28"/>
          <w:szCs w:val="24"/>
          <w:lang w:val="en"/>
        </w:rPr>
        <w:t xml:space="preserve"> B, Bansal K, Patidar Y, Arora A. Imaging of gallbladder anomalies. Clin Imaging. 2014;38(3):245-52</w:t>
      </w:r>
    </w:p>
    <w:p w14:paraId="1725244A" w14:textId="77777777" w:rsidR="009B2954" w:rsidRDefault="00FB45DF">
      <w:pPr>
        <w:numPr>
          <w:ilvl w:val="0"/>
          <w:numId w:val="1"/>
        </w:numPr>
        <w:spacing w:after="200" w:line="276" w:lineRule="auto"/>
        <w:jc w:val="left"/>
        <w:rPr>
          <w:rFonts w:ascii="Arial" w:eastAsia="Calibri" w:hAnsi="Arial"/>
          <w:sz w:val="28"/>
          <w:szCs w:val="24"/>
          <w:lang w:val="en"/>
        </w:rPr>
      </w:pPr>
      <w:r>
        <w:rPr>
          <w:rFonts w:ascii="Arial" w:eastAsia="Calibri" w:hAnsi="Arial"/>
          <w:sz w:val="28"/>
          <w:szCs w:val="24"/>
          <w:lang w:val="en"/>
        </w:rPr>
        <w:t xml:space="preserve">Bennett GL, </w:t>
      </w:r>
      <w:proofErr w:type="spellStart"/>
      <w:r>
        <w:rPr>
          <w:rFonts w:ascii="Arial" w:eastAsia="Calibri" w:hAnsi="Arial"/>
          <w:sz w:val="28"/>
          <w:szCs w:val="24"/>
          <w:lang w:val="en"/>
        </w:rPr>
        <w:t>Rusinek</w:t>
      </w:r>
      <w:proofErr w:type="spellEnd"/>
      <w:r>
        <w:rPr>
          <w:rFonts w:ascii="Arial" w:eastAsia="Calibri" w:hAnsi="Arial"/>
          <w:sz w:val="28"/>
          <w:szCs w:val="24"/>
          <w:lang w:val="en"/>
        </w:rPr>
        <w:t xml:space="preserve"> H, </w:t>
      </w:r>
      <w:proofErr w:type="spellStart"/>
      <w:r>
        <w:rPr>
          <w:rFonts w:ascii="Arial" w:eastAsia="Calibri" w:hAnsi="Arial"/>
          <w:sz w:val="28"/>
          <w:szCs w:val="24"/>
          <w:lang w:val="en"/>
        </w:rPr>
        <w:t>Lisi</w:t>
      </w:r>
      <w:proofErr w:type="spellEnd"/>
      <w:r>
        <w:rPr>
          <w:rFonts w:ascii="Arial" w:eastAsia="Calibri" w:hAnsi="Arial"/>
          <w:sz w:val="28"/>
          <w:szCs w:val="24"/>
          <w:lang w:val="en"/>
        </w:rPr>
        <w:t xml:space="preserve"> V, Israel GM, </w:t>
      </w:r>
      <w:proofErr w:type="spellStart"/>
      <w:r>
        <w:rPr>
          <w:rFonts w:ascii="Arial" w:eastAsia="Calibri" w:hAnsi="Arial"/>
          <w:sz w:val="28"/>
          <w:szCs w:val="24"/>
          <w:lang w:val="en"/>
        </w:rPr>
        <w:t>Krinsky</w:t>
      </w:r>
      <w:proofErr w:type="spellEnd"/>
      <w:r>
        <w:rPr>
          <w:rFonts w:ascii="Arial" w:eastAsia="Calibri" w:hAnsi="Arial"/>
          <w:sz w:val="28"/>
          <w:szCs w:val="24"/>
          <w:lang w:val="en"/>
        </w:rPr>
        <w:t xml:space="preserve"> GA, </w:t>
      </w:r>
      <w:proofErr w:type="spellStart"/>
      <w:r>
        <w:rPr>
          <w:rFonts w:ascii="Arial" w:eastAsia="Calibri" w:hAnsi="Arial"/>
          <w:sz w:val="28"/>
          <w:szCs w:val="24"/>
          <w:lang w:val="en"/>
        </w:rPr>
        <w:t>Slywotzky</w:t>
      </w:r>
      <w:proofErr w:type="spellEnd"/>
      <w:r>
        <w:rPr>
          <w:rFonts w:ascii="Arial" w:eastAsia="Calibri" w:hAnsi="Arial"/>
          <w:sz w:val="28"/>
          <w:szCs w:val="24"/>
          <w:lang w:val="en"/>
        </w:rPr>
        <w:t xml:space="preserve"> CM, et al. CT findings in acute gangrenous cholecystitis. AJR Am J </w:t>
      </w:r>
      <w:proofErr w:type="spellStart"/>
      <w:r>
        <w:rPr>
          <w:rFonts w:ascii="Arial" w:eastAsia="Calibri" w:hAnsi="Arial"/>
          <w:sz w:val="28"/>
          <w:szCs w:val="24"/>
          <w:lang w:val="en"/>
        </w:rPr>
        <w:t>Roentgenol</w:t>
      </w:r>
      <w:proofErr w:type="spellEnd"/>
      <w:r>
        <w:rPr>
          <w:rFonts w:ascii="Arial" w:eastAsia="Calibri" w:hAnsi="Arial"/>
          <w:sz w:val="28"/>
          <w:szCs w:val="24"/>
          <w:lang w:val="en"/>
        </w:rPr>
        <w:t>. 2002;178(2):275-81</w:t>
      </w:r>
    </w:p>
    <w:p w14:paraId="06EDEC60" w14:textId="77777777" w:rsidR="009B2954" w:rsidRDefault="00FB45DF">
      <w:pPr>
        <w:numPr>
          <w:ilvl w:val="0"/>
          <w:numId w:val="1"/>
        </w:numPr>
        <w:spacing w:after="200" w:line="276" w:lineRule="auto"/>
        <w:jc w:val="left"/>
        <w:rPr>
          <w:rFonts w:ascii="Arial" w:eastAsia="Calibri" w:hAnsi="Arial"/>
          <w:sz w:val="28"/>
          <w:szCs w:val="24"/>
          <w:lang w:val="en"/>
        </w:rPr>
      </w:pPr>
      <w:r>
        <w:rPr>
          <w:rFonts w:ascii="Arial" w:eastAsia="Calibri" w:hAnsi="Arial"/>
          <w:sz w:val="28"/>
          <w:szCs w:val="24"/>
          <w:lang w:val="en"/>
        </w:rPr>
        <w:t xml:space="preserve">Gigot JF, Legrand M, </w:t>
      </w:r>
      <w:proofErr w:type="spellStart"/>
      <w:r>
        <w:rPr>
          <w:rFonts w:ascii="Arial" w:eastAsia="Calibri" w:hAnsi="Arial"/>
          <w:sz w:val="28"/>
          <w:szCs w:val="24"/>
          <w:lang w:val="en"/>
        </w:rPr>
        <w:t>Hubens</w:t>
      </w:r>
      <w:proofErr w:type="spellEnd"/>
      <w:r>
        <w:rPr>
          <w:rFonts w:ascii="Arial" w:eastAsia="Calibri" w:hAnsi="Arial"/>
          <w:sz w:val="28"/>
          <w:szCs w:val="24"/>
          <w:lang w:val="en"/>
        </w:rPr>
        <w:t xml:space="preserve"> G, de </w:t>
      </w:r>
      <w:proofErr w:type="spellStart"/>
      <w:r>
        <w:rPr>
          <w:rFonts w:ascii="Arial" w:eastAsia="Calibri" w:hAnsi="Arial"/>
          <w:sz w:val="28"/>
          <w:szCs w:val="24"/>
          <w:lang w:val="en"/>
        </w:rPr>
        <w:t>Canniere</w:t>
      </w:r>
      <w:proofErr w:type="spellEnd"/>
      <w:r>
        <w:rPr>
          <w:rFonts w:ascii="Arial" w:eastAsia="Calibri" w:hAnsi="Arial"/>
          <w:sz w:val="28"/>
          <w:szCs w:val="24"/>
          <w:lang w:val="en"/>
        </w:rPr>
        <w:t xml:space="preserve"> L, Mother M, </w:t>
      </w:r>
      <w:proofErr w:type="spellStart"/>
      <w:r>
        <w:rPr>
          <w:rFonts w:ascii="Arial" w:eastAsia="Calibri" w:hAnsi="Arial"/>
          <w:sz w:val="28"/>
          <w:szCs w:val="24"/>
          <w:lang w:val="en"/>
        </w:rPr>
        <w:t>Wibin</w:t>
      </w:r>
      <w:proofErr w:type="spellEnd"/>
      <w:r>
        <w:rPr>
          <w:rFonts w:ascii="Arial" w:eastAsia="Calibri" w:hAnsi="Arial"/>
          <w:sz w:val="28"/>
          <w:szCs w:val="24"/>
          <w:lang w:val="en"/>
        </w:rPr>
        <w:t xml:space="preserve"> E, et al. Laparoscopic treatment of difficult bile duct stones using direct </w:t>
      </w:r>
      <w:proofErr w:type="spellStart"/>
      <w:r>
        <w:rPr>
          <w:rFonts w:ascii="Arial" w:eastAsia="Calibri" w:hAnsi="Arial"/>
          <w:sz w:val="28"/>
          <w:szCs w:val="24"/>
          <w:lang w:val="en"/>
        </w:rPr>
        <w:t>choledochoscopy</w:t>
      </w:r>
      <w:proofErr w:type="spellEnd"/>
      <w:r>
        <w:rPr>
          <w:rFonts w:ascii="Arial" w:eastAsia="Calibri" w:hAnsi="Arial"/>
          <w:sz w:val="28"/>
          <w:szCs w:val="24"/>
          <w:lang w:val="en"/>
        </w:rPr>
        <w:t xml:space="preserve"> and</w:t>
      </w:r>
      <w:r>
        <w:rPr>
          <w:rFonts w:ascii="Arial" w:eastAsia="Calibri" w:hAnsi="Arial"/>
          <w:sz w:val="28"/>
          <w:szCs w:val="24"/>
          <w:lang w:val="en"/>
        </w:rPr>
        <w:t xml:space="preserve"> laser lithotripsy: report of six cases. Surg </w:t>
      </w:r>
      <w:proofErr w:type="spellStart"/>
      <w:r>
        <w:rPr>
          <w:rFonts w:ascii="Arial" w:eastAsia="Calibri" w:hAnsi="Arial"/>
          <w:sz w:val="28"/>
          <w:szCs w:val="24"/>
          <w:lang w:val="en"/>
        </w:rPr>
        <w:t>Endosc</w:t>
      </w:r>
      <w:proofErr w:type="spellEnd"/>
      <w:r>
        <w:rPr>
          <w:rFonts w:ascii="Arial" w:eastAsia="Calibri" w:hAnsi="Arial"/>
          <w:sz w:val="28"/>
          <w:szCs w:val="24"/>
          <w:lang w:val="en"/>
        </w:rPr>
        <w:t>. 1997;11(7):647-51</w:t>
      </w:r>
    </w:p>
    <w:p w14:paraId="7091C8E8" w14:textId="77777777" w:rsidR="009B2954" w:rsidRDefault="00FB45DF">
      <w:pPr>
        <w:numPr>
          <w:ilvl w:val="0"/>
          <w:numId w:val="1"/>
        </w:numPr>
        <w:spacing w:after="200" w:line="276" w:lineRule="auto"/>
        <w:jc w:val="left"/>
        <w:rPr>
          <w:rFonts w:ascii="Arial" w:eastAsia="Calibri" w:hAnsi="Arial"/>
          <w:sz w:val="28"/>
          <w:szCs w:val="24"/>
          <w:lang w:val="en"/>
        </w:rPr>
      </w:pPr>
      <w:r>
        <w:rPr>
          <w:rFonts w:ascii="Arial" w:eastAsia="Calibri" w:hAnsi="Arial"/>
          <w:sz w:val="28"/>
          <w:szCs w:val="24"/>
          <w:lang w:val="en"/>
        </w:rPr>
        <w:t xml:space="preserve">Hwang S, Lee SG, Park KM, Lee YJ, </w:t>
      </w:r>
      <w:proofErr w:type="spellStart"/>
      <w:r>
        <w:rPr>
          <w:rFonts w:ascii="Arial" w:eastAsia="Calibri" w:hAnsi="Arial"/>
          <w:sz w:val="28"/>
          <w:szCs w:val="24"/>
          <w:lang w:val="en"/>
        </w:rPr>
        <w:t>Ahn</w:t>
      </w:r>
      <w:proofErr w:type="spellEnd"/>
      <w:r>
        <w:rPr>
          <w:rFonts w:ascii="Arial" w:eastAsia="Calibri" w:hAnsi="Arial"/>
          <w:sz w:val="28"/>
          <w:szCs w:val="24"/>
          <w:lang w:val="en"/>
        </w:rPr>
        <w:t xml:space="preserve"> CS, Kim KH, et al. Fundus-first technique in difficult laparoscopic cholecystectomies. J Hepatobiliary </w:t>
      </w:r>
      <w:proofErr w:type="spellStart"/>
      <w:r>
        <w:rPr>
          <w:rFonts w:ascii="Arial" w:eastAsia="Calibri" w:hAnsi="Arial"/>
          <w:sz w:val="28"/>
          <w:szCs w:val="24"/>
          <w:lang w:val="en"/>
        </w:rPr>
        <w:t>Pancreat</w:t>
      </w:r>
      <w:proofErr w:type="spellEnd"/>
      <w:r>
        <w:rPr>
          <w:rFonts w:ascii="Arial" w:eastAsia="Calibri" w:hAnsi="Arial"/>
          <w:sz w:val="28"/>
          <w:szCs w:val="24"/>
          <w:lang w:val="en"/>
        </w:rPr>
        <w:t xml:space="preserve"> Surg. 2005;12(5):383-7</w:t>
      </w:r>
    </w:p>
    <w:p w14:paraId="23D568AA" w14:textId="77777777" w:rsidR="009B2954" w:rsidRDefault="00FB45DF">
      <w:pPr>
        <w:numPr>
          <w:ilvl w:val="0"/>
          <w:numId w:val="1"/>
        </w:numPr>
        <w:spacing w:after="200" w:line="276" w:lineRule="auto"/>
        <w:jc w:val="left"/>
        <w:rPr>
          <w:rFonts w:ascii="Arial" w:eastAsia="Calibri" w:hAnsi="Arial"/>
          <w:sz w:val="28"/>
          <w:szCs w:val="24"/>
          <w:lang w:val="en"/>
        </w:rPr>
      </w:pPr>
      <w:r w:rsidRPr="002476D9">
        <w:rPr>
          <w:rFonts w:ascii="Arial" w:eastAsia="Calibri" w:hAnsi="Arial"/>
          <w:sz w:val="28"/>
          <w:szCs w:val="24"/>
          <w:lang w:val="es-US"/>
        </w:rPr>
        <w:t xml:space="preserve">Soto JA, </w:t>
      </w:r>
      <w:proofErr w:type="spellStart"/>
      <w:r w:rsidRPr="002476D9">
        <w:rPr>
          <w:rFonts w:ascii="Arial" w:eastAsia="Calibri" w:hAnsi="Arial"/>
          <w:sz w:val="28"/>
          <w:szCs w:val="24"/>
          <w:lang w:val="es-US"/>
        </w:rPr>
        <w:t>Ba</w:t>
      </w:r>
      <w:r w:rsidRPr="002476D9">
        <w:rPr>
          <w:rFonts w:ascii="Arial" w:eastAsia="Calibri" w:hAnsi="Arial"/>
          <w:sz w:val="28"/>
          <w:szCs w:val="24"/>
          <w:lang w:val="es-US"/>
        </w:rPr>
        <w:t>rish</w:t>
      </w:r>
      <w:proofErr w:type="spellEnd"/>
      <w:r w:rsidRPr="002476D9">
        <w:rPr>
          <w:rFonts w:ascii="Arial" w:eastAsia="Calibri" w:hAnsi="Arial"/>
          <w:sz w:val="28"/>
          <w:szCs w:val="24"/>
          <w:lang w:val="es-US"/>
        </w:rPr>
        <w:t xml:space="preserve"> MA, </w:t>
      </w:r>
      <w:proofErr w:type="spellStart"/>
      <w:r w:rsidRPr="002476D9">
        <w:rPr>
          <w:rFonts w:ascii="Arial" w:eastAsia="Calibri" w:hAnsi="Arial"/>
          <w:sz w:val="28"/>
          <w:szCs w:val="24"/>
          <w:lang w:val="es-US"/>
        </w:rPr>
        <w:t>Yucel</w:t>
      </w:r>
      <w:proofErr w:type="spellEnd"/>
      <w:r w:rsidRPr="002476D9">
        <w:rPr>
          <w:rFonts w:ascii="Arial" w:eastAsia="Calibri" w:hAnsi="Arial"/>
          <w:sz w:val="28"/>
          <w:szCs w:val="24"/>
          <w:lang w:val="es-US"/>
        </w:rPr>
        <w:t xml:space="preserve"> EK, </w:t>
      </w:r>
      <w:proofErr w:type="spellStart"/>
      <w:r w:rsidRPr="002476D9">
        <w:rPr>
          <w:rFonts w:ascii="Arial" w:eastAsia="Calibri" w:hAnsi="Arial"/>
          <w:sz w:val="28"/>
          <w:szCs w:val="24"/>
          <w:lang w:val="es-US"/>
        </w:rPr>
        <w:t>Siegenberg</w:t>
      </w:r>
      <w:proofErr w:type="spellEnd"/>
      <w:r w:rsidRPr="002476D9">
        <w:rPr>
          <w:rFonts w:ascii="Arial" w:eastAsia="Calibri" w:hAnsi="Arial"/>
          <w:sz w:val="28"/>
          <w:szCs w:val="24"/>
          <w:lang w:val="es-US"/>
        </w:rPr>
        <w:t xml:space="preserve"> D, </w:t>
      </w:r>
      <w:proofErr w:type="spellStart"/>
      <w:r w:rsidRPr="002476D9">
        <w:rPr>
          <w:rFonts w:ascii="Arial" w:eastAsia="Calibri" w:hAnsi="Arial"/>
          <w:sz w:val="28"/>
          <w:szCs w:val="24"/>
          <w:lang w:val="es-US"/>
        </w:rPr>
        <w:t>Ferrucci</w:t>
      </w:r>
      <w:proofErr w:type="spellEnd"/>
      <w:r w:rsidRPr="002476D9">
        <w:rPr>
          <w:rFonts w:ascii="Arial" w:eastAsia="Calibri" w:hAnsi="Arial"/>
          <w:sz w:val="28"/>
          <w:szCs w:val="24"/>
          <w:lang w:val="es-US"/>
        </w:rPr>
        <w:t xml:space="preserve"> JT. </w:t>
      </w:r>
      <w:r>
        <w:rPr>
          <w:rFonts w:ascii="Arial" w:eastAsia="Calibri" w:hAnsi="Arial"/>
          <w:sz w:val="28"/>
          <w:szCs w:val="24"/>
          <w:lang w:val="en"/>
        </w:rPr>
        <w:t>Magnetic resonance cholangiography: comparison with endoscopic retrograde cholangiopancreatography. Gastroenterology. 1996;110(2):589-97</w:t>
      </w:r>
    </w:p>
    <w:p w14:paraId="4D1D0950" w14:textId="77777777" w:rsidR="009B2954" w:rsidRDefault="00FB45DF">
      <w:pPr>
        <w:numPr>
          <w:ilvl w:val="0"/>
          <w:numId w:val="1"/>
        </w:numPr>
        <w:spacing w:after="200" w:line="276" w:lineRule="auto"/>
        <w:jc w:val="left"/>
        <w:rPr>
          <w:rFonts w:ascii="Arial" w:eastAsia="Calibri" w:hAnsi="Arial"/>
          <w:sz w:val="28"/>
          <w:szCs w:val="24"/>
          <w:lang w:val="en"/>
        </w:rPr>
      </w:pPr>
      <w:r>
        <w:rPr>
          <w:rFonts w:ascii="Arial" w:eastAsia="Calibri" w:hAnsi="Arial"/>
          <w:sz w:val="28"/>
          <w:szCs w:val="24"/>
          <w:lang w:val="en"/>
        </w:rPr>
        <w:t xml:space="preserve">Strasberg SM, </w:t>
      </w:r>
      <w:proofErr w:type="spellStart"/>
      <w:r>
        <w:rPr>
          <w:rFonts w:ascii="Arial" w:eastAsia="Calibri" w:hAnsi="Arial"/>
          <w:sz w:val="28"/>
          <w:szCs w:val="24"/>
          <w:lang w:val="en"/>
        </w:rPr>
        <w:t>Hertl</w:t>
      </w:r>
      <w:proofErr w:type="spellEnd"/>
      <w:r>
        <w:rPr>
          <w:rFonts w:ascii="Arial" w:eastAsia="Calibri" w:hAnsi="Arial"/>
          <w:sz w:val="28"/>
          <w:szCs w:val="24"/>
          <w:lang w:val="en"/>
        </w:rPr>
        <w:t xml:space="preserve"> M, Soper NJ. An analysis of the problem of biliary in</w:t>
      </w:r>
      <w:r>
        <w:rPr>
          <w:rFonts w:ascii="Arial" w:eastAsia="Calibri" w:hAnsi="Arial"/>
          <w:sz w:val="28"/>
          <w:szCs w:val="24"/>
          <w:lang w:val="en"/>
        </w:rPr>
        <w:t>jury during laparoscopic cholecystectomy. J Am Coll Surg. 1995;180(1):101-25</w:t>
      </w:r>
    </w:p>
    <w:p w14:paraId="6DFB2DCF" w14:textId="77777777" w:rsidR="009B2954" w:rsidRDefault="00FB45DF">
      <w:pPr>
        <w:numPr>
          <w:ilvl w:val="0"/>
          <w:numId w:val="1"/>
        </w:numPr>
        <w:spacing w:after="200" w:line="276" w:lineRule="auto"/>
        <w:jc w:val="left"/>
        <w:rPr>
          <w:rFonts w:ascii="Arial" w:eastAsia="Calibri" w:hAnsi="Arial"/>
          <w:sz w:val="28"/>
          <w:szCs w:val="24"/>
          <w:lang w:val="en"/>
        </w:rPr>
      </w:pPr>
      <w:r>
        <w:rPr>
          <w:rFonts w:ascii="Arial" w:eastAsia="Calibri" w:hAnsi="Arial"/>
          <w:sz w:val="28"/>
          <w:szCs w:val="24"/>
          <w:lang w:val="en"/>
        </w:rPr>
        <w:t xml:space="preserve">Sanford DE. An alternative to the critical view of safety in difficult laparoscopic cholecystectomies. Surg Clin North Am. 2014;94(2):233-48. </w:t>
      </w:r>
    </w:p>
    <w:p w14:paraId="58193FAE" w14:textId="77777777" w:rsidR="009B2954" w:rsidRDefault="00FB45DF">
      <w:pPr>
        <w:numPr>
          <w:ilvl w:val="0"/>
          <w:numId w:val="1"/>
        </w:numPr>
        <w:spacing w:after="200" w:line="276" w:lineRule="auto"/>
        <w:jc w:val="left"/>
        <w:rPr>
          <w:rFonts w:ascii="Arial" w:eastAsia="Calibri" w:hAnsi="Arial"/>
          <w:sz w:val="28"/>
          <w:szCs w:val="24"/>
          <w:lang w:val="en"/>
        </w:rPr>
      </w:pPr>
      <w:proofErr w:type="spellStart"/>
      <w:r>
        <w:rPr>
          <w:rFonts w:ascii="Arial" w:eastAsia="Calibri" w:hAnsi="Arial"/>
          <w:sz w:val="28"/>
          <w:szCs w:val="24"/>
          <w:lang w:val="en"/>
        </w:rPr>
        <w:t>Yokoe</w:t>
      </w:r>
      <w:proofErr w:type="spellEnd"/>
      <w:r>
        <w:rPr>
          <w:rFonts w:ascii="Arial" w:eastAsia="Calibri" w:hAnsi="Arial"/>
          <w:sz w:val="28"/>
          <w:szCs w:val="24"/>
          <w:lang w:val="en"/>
        </w:rPr>
        <w:t xml:space="preserve"> M, Takada T, Strasberg SM, </w:t>
      </w:r>
      <w:proofErr w:type="spellStart"/>
      <w:r>
        <w:rPr>
          <w:rFonts w:ascii="Arial" w:eastAsia="Calibri" w:hAnsi="Arial"/>
          <w:sz w:val="28"/>
          <w:szCs w:val="24"/>
          <w:lang w:val="en"/>
        </w:rPr>
        <w:t>Sol</w:t>
      </w:r>
      <w:r>
        <w:rPr>
          <w:rFonts w:ascii="Arial" w:eastAsia="Calibri" w:hAnsi="Arial"/>
          <w:sz w:val="28"/>
          <w:szCs w:val="24"/>
          <w:lang w:val="en"/>
        </w:rPr>
        <w:t>omkin</w:t>
      </w:r>
      <w:proofErr w:type="spellEnd"/>
      <w:r>
        <w:rPr>
          <w:rFonts w:ascii="Arial" w:eastAsia="Calibri" w:hAnsi="Arial"/>
          <w:sz w:val="28"/>
          <w:szCs w:val="24"/>
          <w:lang w:val="en"/>
        </w:rPr>
        <w:t xml:space="preserve"> JS, Mayumi T, </w:t>
      </w:r>
      <w:proofErr w:type="spellStart"/>
      <w:r>
        <w:rPr>
          <w:rFonts w:ascii="Arial" w:eastAsia="Calibri" w:hAnsi="Arial"/>
          <w:sz w:val="28"/>
          <w:szCs w:val="24"/>
          <w:lang w:val="en"/>
        </w:rPr>
        <w:t>Gomi</w:t>
      </w:r>
      <w:proofErr w:type="spellEnd"/>
      <w:r>
        <w:rPr>
          <w:rFonts w:ascii="Arial" w:eastAsia="Calibri" w:hAnsi="Arial"/>
          <w:sz w:val="28"/>
          <w:szCs w:val="24"/>
          <w:lang w:val="en"/>
        </w:rPr>
        <w:t xml:space="preserve"> H, et al. Tokyo Guidelines 2018: diagnostic criteria and severity </w:t>
      </w:r>
      <w:r>
        <w:rPr>
          <w:rFonts w:ascii="Arial" w:eastAsia="Calibri" w:hAnsi="Arial"/>
          <w:sz w:val="28"/>
          <w:szCs w:val="24"/>
          <w:lang w:val="en"/>
        </w:rPr>
        <w:lastRenderedPageBreak/>
        <w:t xml:space="preserve">grading of acute </w:t>
      </w:r>
      <w:proofErr w:type="gramStart"/>
      <w:r>
        <w:rPr>
          <w:rFonts w:ascii="Arial" w:eastAsia="Calibri" w:hAnsi="Arial"/>
          <w:sz w:val="28"/>
          <w:szCs w:val="24"/>
          <w:lang w:val="en"/>
        </w:rPr>
        <w:t>cholecystitis .</w:t>
      </w:r>
      <w:proofErr w:type="gramEnd"/>
      <w:r>
        <w:rPr>
          <w:rFonts w:ascii="Arial" w:eastAsia="Calibri" w:hAnsi="Arial"/>
          <w:sz w:val="28"/>
          <w:szCs w:val="24"/>
          <w:lang w:val="en"/>
        </w:rPr>
        <w:t xml:space="preserve"> J Hepatobiliary </w:t>
      </w:r>
      <w:proofErr w:type="spellStart"/>
      <w:r>
        <w:rPr>
          <w:rFonts w:ascii="Arial" w:eastAsia="Calibri" w:hAnsi="Arial"/>
          <w:sz w:val="28"/>
          <w:szCs w:val="24"/>
          <w:lang w:val="en"/>
        </w:rPr>
        <w:t>Pancreat</w:t>
      </w:r>
      <w:proofErr w:type="spellEnd"/>
      <w:r>
        <w:rPr>
          <w:rFonts w:ascii="Arial" w:eastAsia="Calibri" w:hAnsi="Arial"/>
          <w:sz w:val="28"/>
          <w:szCs w:val="24"/>
          <w:lang w:val="en"/>
        </w:rPr>
        <w:t xml:space="preserve"> Sci. 2018;25(1):41-54</w:t>
      </w:r>
    </w:p>
    <w:p w14:paraId="5BACDC30" w14:textId="77777777" w:rsidR="009B2954" w:rsidRDefault="009B2954">
      <w:pPr>
        <w:spacing w:after="200" w:line="276" w:lineRule="auto"/>
        <w:jc w:val="left"/>
        <w:rPr>
          <w:rFonts w:ascii="Arial" w:eastAsia="Calibri" w:hAnsi="Arial"/>
          <w:sz w:val="28"/>
          <w:szCs w:val="24"/>
          <w:lang w:val="en"/>
        </w:rPr>
      </w:pPr>
    </w:p>
    <w:p w14:paraId="1187FF72" w14:textId="77777777" w:rsidR="009B2954" w:rsidRDefault="009B2954">
      <w:pPr>
        <w:spacing w:after="200" w:line="276" w:lineRule="auto"/>
        <w:jc w:val="left"/>
        <w:rPr>
          <w:rFonts w:ascii="Arial" w:eastAsia="Calibri" w:hAnsi="Arial"/>
          <w:sz w:val="28"/>
          <w:szCs w:val="24"/>
          <w:lang w:val="en"/>
        </w:rPr>
      </w:pPr>
    </w:p>
    <w:p w14:paraId="295F825F" w14:textId="7C42D841" w:rsidR="009B2954" w:rsidRDefault="002C2114">
      <w:r>
        <w:rPr>
          <w:noProof/>
        </w:rPr>
        <w:drawing>
          <wp:inline distT="0" distB="0" distL="0" distR="0" wp14:anchorId="7B0F4369" wp14:editId="492DF723">
            <wp:extent cx="5486400" cy="5486400"/>
            <wp:effectExtent l="0" t="0" r="0" b="0"/>
            <wp:docPr id="159589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p w14:paraId="4D77831A" w14:textId="77777777" w:rsidR="002C2114" w:rsidRDefault="002C2114"/>
    <w:p w14:paraId="3A1968EA" w14:textId="7D0C9D8B" w:rsidR="002C2114" w:rsidRDefault="002C2114">
      <w:r>
        <w:t xml:space="preserve">Figure </w:t>
      </w:r>
      <w:proofErr w:type="gramStart"/>
      <w:r>
        <w:t>1 :</w:t>
      </w:r>
      <w:proofErr w:type="gramEnd"/>
      <w:r>
        <w:t xml:space="preserve"> </w:t>
      </w:r>
      <w:r w:rsidR="002476D9">
        <w:rPr>
          <w:rFonts w:ascii="Arial" w:eastAsia="Calibri" w:hAnsi="Arial"/>
          <w:sz w:val="28"/>
          <w:szCs w:val="24"/>
          <w:lang w:val="en"/>
        </w:rPr>
        <w:t>Distended and inflamed fundal compartment</w:t>
      </w:r>
    </w:p>
    <w:p w14:paraId="09247A75" w14:textId="3A292C40" w:rsidR="002C2114" w:rsidRDefault="002C2114">
      <w:r>
        <w:rPr>
          <w:noProof/>
        </w:rPr>
        <w:lastRenderedPageBreak/>
        <w:drawing>
          <wp:inline distT="0" distB="0" distL="0" distR="0" wp14:anchorId="25A81B17" wp14:editId="7FE9748C">
            <wp:extent cx="3307080" cy="3319145"/>
            <wp:effectExtent l="0" t="0" r="7620" b="0"/>
            <wp:docPr id="660126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7080" cy="3319145"/>
                    </a:xfrm>
                    <a:prstGeom prst="rect">
                      <a:avLst/>
                    </a:prstGeom>
                    <a:noFill/>
                    <a:ln>
                      <a:noFill/>
                    </a:ln>
                  </pic:spPr>
                </pic:pic>
              </a:graphicData>
            </a:graphic>
          </wp:inline>
        </w:drawing>
      </w:r>
    </w:p>
    <w:p w14:paraId="29686D11" w14:textId="01C0D39E" w:rsidR="002C2114" w:rsidRPr="002476D9" w:rsidRDefault="002C2114">
      <w:r>
        <w:t xml:space="preserve">Fig </w:t>
      </w:r>
      <w:proofErr w:type="gramStart"/>
      <w:r>
        <w:t>2 :</w:t>
      </w:r>
      <w:proofErr w:type="gramEnd"/>
      <w:r>
        <w:t xml:space="preserve"> </w:t>
      </w:r>
      <w:r w:rsidR="002476D9">
        <w:rPr>
          <w:rFonts w:ascii="Arial" w:eastAsia="Calibri" w:hAnsi="Arial"/>
          <w:sz w:val="28"/>
          <w:szCs w:val="24"/>
          <w:lang w:val="en"/>
        </w:rPr>
        <w:t xml:space="preserve">Edematous and gangrenous fundal compartment and normal distal compartment </w:t>
      </w:r>
    </w:p>
    <w:sectPr w:rsidR="002C2114" w:rsidRPr="002476D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763E2" w14:textId="77777777" w:rsidR="00FB45DF" w:rsidRDefault="00FB45DF" w:rsidP="00EC2EA2">
      <w:r>
        <w:separator/>
      </w:r>
    </w:p>
  </w:endnote>
  <w:endnote w:type="continuationSeparator" w:id="0">
    <w:p w14:paraId="4D2F277F" w14:textId="77777777" w:rsidR="00FB45DF" w:rsidRDefault="00FB45DF" w:rsidP="00EC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493F" w14:textId="77777777" w:rsidR="00EC2EA2" w:rsidRDefault="00EC2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D46A4" w14:textId="77777777" w:rsidR="00EC2EA2" w:rsidRDefault="00EC2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5386" w14:textId="77777777" w:rsidR="00EC2EA2" w:rsidRDefault="00EC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A9EF7" w14:textId="77777777" w:rsidR="00FB45DF" w:rsidRDefault="00FB45DF" w:rsidP="00EC2EA2">
      <w:r>
        <w:separator/>
      </w:r>
    </w:p>
  </w:footnote>
  <w:footnote w:type="continuationSeparator" w:id="0">
    <w:p w14:paraId="25ECC43A" w14:textId="77777777" w:rsidR="00FB45DF" w:rsidRDefault="00FB45DF" w:rsidP="00EC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3A74" w14:textId="3382D6D1" w:rsidR="00EC2EA2" w:rsidRDefault="00EC2EA2">
    <w:pPr>
      <w:pStyle w:val="Header"/>
    </w:pPr>
    <w:r>
      <w:rPr>
        <w:noProof/>
      </w:rPr>
      <w:pict w14:anchorId="3E03D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126844" o:spid="_x0000_s2050" type="#_x0000_t136" style="position:absolute;left:0;text-align:left;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46A2" w14:textId="7DF0C2F9" w:rsidR="00EC2EA2" w:rsidRDefault="00EC2EA2">
    <w:pPr>
      <w:pStyle w:val="Header"/>
    </w:pPr>
    <w:r>
      <w:rPr>
        <w:noProof/>
      </w:rPr>
      <w:pict w14:anchorId="5935B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126845" o:spid="_x0000_s2051" type="#_x0000_t136" style="position:absolute;left:0;text-align:left;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5B4C" w14:textId="76037B5E" w:rsidR="00EC2EA2" w:rsidRDefault="00EC2EA2">
    <w:pPr>
      <w:pStyle w:val="Header"/>
    </w:pPr>
    <w:r>
      <w:rPr>
        <w:noProof/>
      </w:rPr>
      <w:pict w14:anchorId="06794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126843" o:spid="_x0000_s2049" type="#_x0000_t136" style="position:absolute;left:0;text-align:left;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AB494"/>
    <w:multiLevelType w:val="singleLevel"/>
    <w:tmpl w:val="643AB494"/>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2szA0MTM2tTQxtjRX0lEKTi0uzszPAykwrAUANL8G4ywAAAA="/>
  </w:docVars>
  <w:rsids>
    <w:rsidRoot w:val="009B2954"/>
    <w:rsid w:val="0002624A"/>
    <w:rsid w:val="0015626A"/>
    <w:rsid w:val="002476D9"/>
    <w:rsid w:val="002C2114"/>
    <w:rsid w:val="0045360F"/>
    <w:rsid w:val="00651F66"/>
    <w:rsid w:val="00717E29"/>
    <w:rsid w:val="008A64C4"/>
    <w:rsid w:val="009B2954"/>
    <w:rsid w:val="00A80C0C"/>
    <w:rsid w:val="00EC2EA2"/>
    <w:rsid w:val="00FB45DF"/>
    <w:rsid w:val="5664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A08289"/>
  <w15:docId w15:val="{DCEFC9DB-379A-4C18-B7CF-1DA28020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360F"/>
    <w:rPr>
      <w:color w:val="0563C1" w:themeColor="hyperlink"/>
      <w:u w:val="single"/>
    </w:rPr>
  </w:style>
  <w:style w:type="character" w:styleId="UnresolvedMention">
    <w:name w:val="Unresolved Mention"/>
    <w:basedOn w:val="DefaultParagraphFont"/>
    <w:uiPriority w:val="99"/>
    <w:semiHidden/>
    <w:unhideWhenUsed/>
    <w:rsid w:val="0045360F"/>
    <w:rPr>
      <w:color w:val="605E5C"/>
      <w:shd w:val="clear" w:color="auto" w:fill="E1DFDD"/>
    </w:rPr>
  </w:style>
  <w:style w:type="paragraph" w:styleId="Header">
    <w:name w:val="header"/>
    <w:basedOn w:val="Normal"/>
    <w:link w:val="HeaderChar"/>
    <w:rsid w:val="00EC2EA2"/>
    <w:pPr>
      <w:tabs>
        <w:tab w:val="center" w:pos="4513"/>
        <w:tab w:val="right" w:pos="9026"/>
      </w:tabs>
    </w:pPr>
  </w:style>
  <w:style w:type="character" w:customStyle="1" w:styleId="HeaderChar">
    <w:name w:val="Header Char"/>
    <w:basedOn w:val="DefaultParagraphFont"/>
    <w:link w:val="Header"/>
    <w:rsid w:val="00EC2EA2"/>
    <w:rPr>
      <w:kern w:val="2"/>
      <w:sz w:val="21"/>
    </w:rPr>
  </w:style>
  <w:style w:type="paragraph" w:styleId="Footer">
    <w:name w:val="footer"/>
    <w:basedOn w:val="Normal"/>
    <w:link w:val="FooterChar"/>
    <w:rsid w:val="00EC2EA2"/>
    <w:pPr>
      <w:tabs>
        <w:tab w:val="center" w:pos="4513"/>
        <w:tab w:val="right" w:pos="9026"/>
      </w:tabs>
    </w:pPr>
  </w:style>
  <w:style w:type="character" w:customStyle="1" w:styleId="FooterChar">
    <w:name w:val="Footer Char"/>
    <w:basedOn w:val="DefaultParagraphFont"/>
    <w:link w:val="Footer"/>
    <w:rsid w:val="00EC2EA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1197</Words>
  <Characters>6827</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1166</cp:lastModifiedBy>
  <cp:revision>10</cp:revision>
  <dcterms:created xsi:type="dcterms:W3CDTF">2026-03-26T10:54:00Z</dcterms:created>
  <dcterms:modified xsi:type="dcterms:W3CDTF">2026-04-11T09:51:00Z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1033-11.2.0.9629</vt:lpwstr>
  </property>
  <property fmtid="{D5CDD505-2E9C-101B-9397-08002B2CF9AE}" pid="3" name="GrammarlyDocumentId">
    <vt:lpwstr>7f098462-f832-4a0c-beb1-86503e41e98f</vt:lpwstr>
  </property>
</Properties>
</file>