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942F81" w14:textId="77777777" w:rsidR="007E1752" w:rsidRPr="007E1752" w:rsidRDefault="007E1752" w:rsidP="007E1752">
      <w:pPr>
        <w:pStyle w:val="Title"/>
        <w:jc w:val="both"/>
        <w:rPr>
          <w:rFonts w:ascii="Arial" w:eastAsia="Arial" w:hAnsi="Arial" w:cs="Arial"/>
          <w:i/>
          <w:iCs/>
          <w:u w:val="single"/>
        </w:rPr>
      </w:pPr>
      <w:bookmarkStart w:id="0" w:name="_GoBack"/>
      <w:bookmarkEnd w:id="0"/>
      <w:r w:rsidRPr="007E1752">
        <w:rPr>
          <w:rFonts w:ascii="Arial" w:eastAsia="Arial" w:hAnsi="Arial" w:cs="Arial"/>
          <w:i/>
          <w:iCs/>
          <w:u w:val="single"/>
        </w:rPr>
        <w:t xml:space="preserve">Case report </w:t>
      </w:r>
    </w:p>
    <w:p w14:paraId="13D4C73B" w14:textId="77777777" w:rsidR="009841DA" w:rsidRDefault="009841DA">
      <w:pPr>
        <w:pStyle w:val="Title"/>
        <w:spacing w:after="0"/>
        <w:jc w:val="both"/>
        <w:rPr>
          <w:rFonts w:ascii="Arial" w:eastAsia="Arial" w:hAnsi="Arial" w:cs="Arial"/>
        </w:rPr>
      </w:pPr>
    </w:p>
    <w:p w14:paraId="64EBDE00" w14:textId="77777777" w:rsidR="009841DA" w:rsidRDefault="0081455F">
      <w:pPr>
        <w:pStyle w:val="Author"/>
        <w:spacing w:line="240" w:lineRule="auto"/>
        <w:rPr>
          <w:rFonts w:ascii="Arial" w:eastAsia="Arial" w:hAnsi="Arial" w:cs="Arial"/>
          <w:kern w:val="28"/>
          <w:sz w:val="36"/>
          <w:szCs w:val="36"/>
        </w:rPr>
      </w:pPr>
      <w:r>
        <w:rPr>
          <w:rFonts w:ascii="Arial" w:hAnsi="Arial"/>
          <w:kern w:val="28"/>
          <w:sz w:val="36"/>
          <w:szCs w:val="36"/>
        </w:rPr>
        <w:t xml:space="preserve">Delayed Presentation of Traumatic Diaphragmatic Hernia </w:t>
      </w:r>
    </w:p>
    <w:p w14:paraId="47B08F59" w14:textId="77777777" w:rsidR="009841DA" w:rsidRDefault="009841DA">
      <w:pPr>
        <w:pStyle w:val="Author"/>
        <w:spacing w:line="240" w:lineRule="auto"/>
        <w:jc w:val="both"/>
        <w:rPr>
          <w:rFonts w:ascii="Arial" w:eastAsia="Arial" w:hAnsi="Arial" w:cs="Arial"/>
          <w:sz w:val="36"/>
          <w:szCs w:val="36"/>
        </w:rPr>
      </w:pPr>
    </w:p>
    <w:p w14:paraId="58689437" w14:textId="0CE7F74F" w:rsidR="009841DA" w:rsidRDefault="009841DA">
      <w:pPr>
        <w:pStyle w:val="Affiliation"/>
        <w:spacing w:after="0" w:line="240" w:lineRule="auto"/>
        <w:jc w:val="both"/>
        <w:rPr>
          <w:rFonts w:ascii="Arial" w:eastAsia="Arial" w:hAnsi="Arial" w:cs="Arial"/>
        </w:rPr>
      </w:pPr>
    </w:p>
    <w:p w14:paraId="3A0736B7" w14:textId="77777777" w:rsidR="00AF0FF6" w:rsidRDefault="00AF0FF6">
      <w:pPr>
        <w:pStyle w:val="Affiliation"/>
        <w:spacing w:after="0" w:line="240" w:lineRule="auto"/>
        <w:jc w:val="both"/>
        <w:rPr>
          <w:rFonts w:ascii="Arial" w:eastAsia="Arial" w:hAnsi="Arial" w:cs="Arial"/>
        </w:rPr>
      </w:pPr>
    </w:p>
    <w:p w14:paraId="3F0AD620" w14:textId="77777777" w:rsidR="009841DA" w:rsidRDefault="0081455F">
      <w:pPr>
        <w:pStyle w:val="Copyright"/>
        <w:spacing w:after="0" w:line="240" w:lineRule="auto"/>
        <w:jc w:val="both"/>
        <w:rPr>
          <w:rFonts w:ascii="Arial" w:eastAsia="Arial" w:hAnsi="Arial" w:cs="Arial"/>
        </w:rPr>
        <w:sectPr w:rsidR="009841DA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40" w:right="2016" w:bottom="720" w:left="2016" w:header="720" w:footer="720" w:gutter="0"/>
          <w:cols w:space="720"/>
        </w:sect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inline distT="0" distB="0" distL="0" distR="0" wp14:anchorId="2C4EDDA7" wp14:editId="689A1952">
                <wp:extent cx="5211953" cy="0"/>
                <wp:effectExtent l="0" t="0" r="0" b="0"/>
                <wp:docPr id="1073741825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1953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id="_x0000_s1026" style="visibility:visible;width:410.4pt;height:0.0pt;">
                <v:fill on="f"/>
                <v:stroke filltype="solid" color="#000000" opacity="100.0%" weight="1.5pt" dashstyle="solid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  <w:r>
        <w:rPr>
          <w:rFonts w:ascii="Arial" w:hAnsi="Arial"/>
        </w:rPr>
        <w:t>.</w:t>
      </w:r>
    </w:p>
    <w:p w14:paraId="1DC562CB" w14:textId="77777777" w:rsidR="009841DA" w:rsidRDefault="0081455F">
      <w:pPr>
        <w:pStyle w:val="AbstHead"/>
        <w:spacing w:after="0"/>
        <w:jc w:val="both"/>
        <w:rPr>
          <w:rFonts w:ascii="Arial" w:eastAsia="Arial" w:hAnsi="Arial" w:cs="Arial"/>
        </w:rPr>
      </w:pPr>
      <w:r>
        <w:rPr>
          <w:rFonts w:ascii="Arial" w:hAnsi="Arial"/>
        </w:rPr>
        <w:t xml:space="preserve">ABSTRACT </w:t>
      </w:r>
    </w:p>
    <w:p w14:paraId="386BBF11" w14:textId="77777777" w:rsidR="009841DA" w:rsidRDefault="009841DA">
      <w:pPr>
        <w:pStyle w:val="AbstHead"/>
        <w:spacing w:after="0"/>
        <w:jc w:val="both"/>
        <w:rPr>
          <w:rFonts w:ascii="Arial" w:eastAsia="Arial" w:hAnsi="Arial" w:cs="Arial"/>
        </w:rPr>
      </w:pPr>
    </w:p>
    <w:tbl>
      <w:tblPr>
        <w:tblW w:w="819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198"/>
      </w:tblGrid>
      <w:tr w:rsidR="009841DA" w14:paraId="5BC8DABB" w14:textId="77777777">
        <w:trPr>
          <w:trHeight w:val="5324"/>
        </w:trPr>
        <w:tc>
          <w:tcPr>
            <w:tcW w:w="8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8DC74B" w14:textId="77777777" w:rsidR="009841DA" w:rsidRDefault="009841DA">
            <w:pPr>
              <w:pStyle w:val="BodyA"/>
              <w:spacing w:after="0"/>
              <w:rPr>
                <w:rFonts w:ascii="Arial" w:eastAsia="Arial" w:hAnsi="Arial" w:cs="Arial"/>
                <w:b/>
                <w:bCs/>
              </w:rPr>
            </w:pPr>
          </w:p>
          <w:p w14:paraId="1223531A" w14:textId="77777777" w:rsidR="009841DA" w:rsidRDefault="0081455F">
            <w:pPr>
              <w:pStyle w:val="BodyA"/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bCs/>
              </w:rPr>
              <w:t xml:space="preserve">Aims: </w:t>
            </w:r>
            <w:r>
              <w:rPr>
                <w:rFonts w:ascii="Arial" w:hAnsi="Arial"/>
              </w:rPr>
              <w:t>To highlight traumatic diaphragmatic hernias, their delayed presentations, and successful laparoscopic repair.</w:t>
            </w:r>
          </w:p>
          <w:p w14:paraId="7037D187" w14:textId="77777777" w:rsidR="009841DA" w:rsidRDefault="0081455F">
            <w:pPr>
              <w:pStyle w:val="BodyA"/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bCs/>
              </w:rPr>
              <w:t>Case Presentation:</w:t>
            </w:r>
            <w:r>
              <w:rPr>
                <w:rFonts w:ascii="Arial" w:hAnsi="Arial"/>
              </w:rPr>
              <w:t xml:space="preserve"> We report a 36-year-old man with delayed presentation of TDH, 18 months after blunt thoraco-abdominal trauma. He presented with acute intestinal obstruction. Imaging revealed a 30 × 30 mm left diaphragmatic defect with herniation of the splenic flexure an</w:t>
            </w:r>
            <w:r>
              <w:rPr>
                <w:rFonts w:ascii="Arial" w:hAnsi="Arial"/>
              </w:rPr>
              <w:t xml:space="preserve">d </w:t>
            </w:r>
            <w:proofErr w:type="spellStart"/>
            <w:r>
              <w:rPr>
                <w:rFonts w:ascii="Arial" w:hAnsi="Arial"/>
              </w:rPr>
              <w:t>omentum</w:t>
            </w:r>
            <w:proofErr w:type="spellEnd"/>
            <w:r>
              <w:rPr>
                <w:rFonts w:ascii="Arial" w:hAnsi="Arial"/>
              </w:rPr>
              <w:t xml:space="preserve">, complicated by obstruction and perforation. Laparoscopic exploration demonstrated a 3.5-cm defect with </w:t>
            </w:r>
            <w:proofErr w:type="spellStart"/>
            <w:r>
              <w:rPr>
                <w:rFonts w:ascii="Arial" w:hAnsi="Arial"/>
              </w:rPr>
              <w:t>ischaemic</w:t>
            </w:r>
            <w:proofErr w:type="spellEnd"/>
            <w:r>
              <w:rPr>
                <w:rFonts w:ascii="Arial" w:hAnsi="Arial"/>
              </w:rPr>
              <w:t xml:space="preserve"> colon and two perforations. The defect was repaired with non-absorbable sutures, and the </w:t>
            </w:r>
            <w:proofErr w:type="spellStart"/>
            <w:r>
              <w:rPr>
                <w:rFonts w:ascii="Arial" w:hAnsi="Arial"/>
              </w:rPr>
              <w:t>ischaemic</w:t>
            </w:r>
            <w:proofErr w:type="spellEnd"/>
            <w:r>
              <w:rPr>
                <w:rFonts w:ascii="Arial" w:hAnsi="Arial"/>
              </w:rPr>
              <w:t xml:space="preserve"> colon was resected with creation </w:t>
            </w:r>
            <w:r>
              <w:rPr>
                <w:rFonts w:ascii="Arial" w:hAnsi="Arial"/>
              </w:rPr>
              <w:t>of a double-barrel colostomy. The postoperative course was uneventful, and the patient was discharged with a planned colostomy closure done at 8 weeks.</w:t>
            </w:r>
          </w:p>
          <w:p w14:paraId="286E1404" w14:textId="77777777" w:rsidR="009841DA" w:rsidRDefault="0081455F">
            <w:pPr>
              <w:pStyle w:val="BodyA"/>
              <w:spacing w:after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Discussion: </w:t>
            </w:r>
            <w:r>
              <w:rPr>
                <w:rFonts w:ascii="Arial" w:hAnsi="Arial"/>
              </w:rPr>
              <w:t>Traumatic diaphragmatic hernia (TDH) in adults is uncommon and often under-diagnosed, with d</w:t>
            </w:r>
            <w:r>
              <w:rPr>
                <w:rFonts w:ascii="Arial" w:hAnsi="Arial"/>
              </w:rPr>
              <w:t>elayed presentations posing significant risk of morbidity and mortality. Early surgical repair is advocated in most cases. Primary repair of the defect is sufficient, and in select cases a mesh repair is preferred. With the advent of minimal access surgery</w:t>
            </w:r>
            <w:r>
              <w:rPr>
                <w:rFonts w:ascii="Arial" w:hAnsi="Arial"/>
              </w:rPr>
              <w:t>, laparoscopic repairs are now the standard of care.</w:t>
            </w:r>
          </w:p>
          <w:p w14:paraId="2202AD8E" w14:textId="77777777" w:rsidR="009841DA" w:rsidRDefault="0081455F">
            <w:pPr>
              <w:pStyle w:val="BodyA"/>
              <w:spacing w:after="0"/>
            </w:pPr>
            <w:r>
              <w:rPr>
                <w:rFonts w:ascii="Arial" w:hAnsi="Arial"/>
                <w:b/>
                <w:bCs/>
              </w:rPr>
              <w:t>Conclusion:</w:t>
            </w:r>
            <w:r>
              <w:rPr>
                <w:rFonts w:ascii="Arial" w:hAnsi="Arial"/>
              </w:rPr>
              <w:t xml:space="preserve"> In stable patients, laparoscopic repair of TDH is a safe and effective approach, combining diagnostic accuracy with therapeutic benefit. Early recognition and intervention are crucial to prev</w:t>
            </w:r>
            <w:r>
              <w:rPr>
                <w:rFonts w:ascii="Arial" w:hAnsi="Arial"/>
              </w:rPr>
              <w:t>ent complications.</w:t>
            </w:r>
          </w:p>
        </w:tc>
      </w:tr>
    </w:tbl>
    <w:p w14:paraId="437C0FF9" w14:textId="77777777" w:rsidR="009841DA" w:rsidRDefault="009841DA">
      <w:pPr>
        <w:pStyle w:val="AbstHead"/>
        <w:widowControl w:val="0"/>
        <w:spacing w:after="0"/>
        <w:jc w:val="both"/>
        <w:rPr>
          <w:rFonts w:ascii="Arial" w:eastAsia="Arial" w:hAnsi="Arial" w:cs="Arial"/>
        </w:rPr>
      </w:pPr>
    </w:p>
    <w:p w14:paraId="097DADB6" w14:textId="77777777" w:rsidR="009841DA" w:rsidRDefault="009841DA">
      <w:pPr>
        <w:pStyle w:val="BodyA"/>
        <w:spacing w:after="0"/>
        <w:rPr>
          <w:rFonts w:ascii="Arial" w:eastAsia="Arial" w:hAnsi="Arial" w:cs="Arial"/>
          <w:i/>
          <w:iCs/>
        </w:rPr>
      </w:pPr>
    </w:p>
    <w:p w14:paraId="357DC1F6" w14:textId="77777777" w:rsidR="009841DA" w:rsidRDefault="0081455F">
      <w:pPr>
        <w:pStyle w:val="BodyA"/>
        <w:spacing w:after="0"/>
        <w:rPr>
          <w:rFonts w:ascii="Arial" w:eastAsia="Arial" w:hAnsi="Arial" w:cs="Arial"/>
          <w:i/>
          <w:iCs/>
        </w:rPr>
      </w:pPr>
      <w:r>
        <w:rPr>
          <w:rFonts w:ascii="Arial" w:hAnsi="Arial"/>
          <w:i/>
          <w:iCs/>
        </w:rPr>
        <w:t>Keywords: T</w:t>
      </w:r>
      <w:r>
        <w:rPr>
          <w:rFonts w:ascii="Calibri" w:hAnsi="Calibri"/>
          <w:i/>
          <w:iCs/>
        </w:rPr>
        <w:t xml:space="preserve">raumatic diaphragmatic hernia, Delayed presentation, Laparoscopy, Blunt trauma, Case report </w:t>
      </w:r>
    </w:p>
    <w:p w14:paraId="3486BF9A" w14:textId="77777777" w:rsidR="009841DA" w:rsidRDefault="009841DA">
      <w:pPr>
        <w:pStyle w:val="BodyA"/>
        <w:spacing w:after="0"/>
        <w:rPr>
          <w:rFonts w:ascii="Arial" w:eastAsia="Arial" w:hAnsi="Arial" w:cs="Arial"/>
          <w:i/>
          <w:iCs/>
          <w:sz w:val="18"/>
          <w:szCs w:val="18"/>
        </w:rPr>
      </w:pPr>
    </w:p>
    <w:p w14:paraId="30714A7E" w14:textId="77777777" w:rsidR="009841DA" w:rsidRDefault="009841DA">
      <w:pPr>
        <w:pStyle w:val="BodyA"/>
        <w:spacing w:after="0"/>
        <w:rPr>
          <w:rFonts w:ascii="Arial" w:eastAsia="Arial" w:hAnsi="Arial" w:cs="Arial"/>
          <w:i/>
          <w:iCs/>
          <w:sz w:val="18"/>
          <w:szCs w:val="18"/>
        </w:rPr>
      </w:pPr>
    </w:p>
    <w:p w14:paraId="05438B8F" w14:textId="77777777" w:rsidR="009841DA" w:rsidRDefault="009841DA">
      <w:pPr>
        <w:pStyle w:val="BodyA"/>
        <w:spacing w:after="0"/>
        <w:rPr>
          <w:rFonts w:ascii="Arial" w:eastAsia="Arial" w:hAnsi="Arial" w:cs="Arial"/>
          <w:i/>
          <w:iCs/>
          <w:sz w:val="18"/>
          <w:szCs w:val="18"/>
        </w:rPr>
      </w:pPr>
    </w:p>
    <w:p w14:paraId="0B4DA0E1" w14:textId="77777777" w:rsidR="009841DA" w:rsidRDefault="009841DA">
      <w:pPr>
        <w:pStyle w:val="BodyA"/>
        <w:spacing w:after="0"/>
        <w:rPr>
          <w:rFonts w:ascii="Arial" w:eastAsia="Arial" w:hAnsi="Arial" w:cs="Arial"/>
          <w:i/>
          <w:iCs/>
          <w:sz w:val="18"/>
          <w:szCs w:val="18"/>
        </w:rPr>
      </w:pPr>
    </w:p>
    <w:p w14:paraId="3C21867E" w14:textId="77777777" w:rsidR="009841DA" w:rsidRDefault="009841DA">
      <w:pPr>
        <w:pStyle w:val="BodyA"/>
        <w:spacing w:after="0"/>
        <w:rPr>
          <w:rFonts w:ascii="Arial" w:eastAsia="Arial" w:hAnsi="Arial" w:cs="Arial"/>
          <w:i/>
          <w:iCs/>
          <w:sz w:val="18"/>
          <w:szCs w:val="18"/>
        </w:rPr>
      </w:pPr>
    </w:p>
    <w:p w14:paraId="6D3176CC" w14:textId="77777777" w:rsidR="009841DA" w:rsidRDefault="009841DA">
      <w:pPr>
        <w:pStyle w:val="BodyA"/>
        <w:spacing w:after="0"/>
        <w:rPr>
          <w:rFonts w:ascii="Arial" w:eastAsia="Arial" w:hAnsi="Arial" w:cs="Arial"/>
          <w:i/>
          <w:iCs/>
          <w:sz w:val="18"/>
          <w:szCs w:val="18"/>
        </w:rPr>
      </w:pPr>
    </w:p>
    <w:p w14:paraId="1DA766F3" w14:textId="77777777" w:rsidR="009841DA" w:rsidRDefault="009841DA">
      <w:pPr>
        <w:pStyle w:val="BodyA"/>
        <w:spacing w:after="0"/>
        <w:rPr>
          <w:rFonts w:ascii="Arial" w:eastAsia="Arial" w:hAnsi="Arial" w:cs="Arial"/>
          <w:i/>
          <w:iCs/>
          <w:sz w:val="18"/>
          <w:szCs w:val="18"/>
        </w:rPr>
      </w:pPr>
    </w:p>
    <w:p w14:paraId="3A252F0D" w14:textId="77777777" w:rsidR="009841DA" w:rsidRDefault="009841DA">
      <w:pPr>
        <w:pStyle w:val="BodyA"/>
        <w:spacing w:after="0"/>
        <w:rPr>
          <w:rFonts w:ascii="Arial" w:eastAsia="Arial" w:hAnsi="Arial" w:cs="Arial"/>
          <w:i/>
          <w:iCs/>
          <w:sz w:val="18"/>
          <w:szCs w:val="18"/>
        </w:rPr>
      </w:pPr>
    </w:p>
    <w:p w14:paraId="3F8AD718" w14:textId="77777777" w:rsidR="009841DA" w:rsidRDefault="009841DA">
      <w:pPr>
        <w:pStyle w:val="BodyA"/>
        <w:spacing w:after="0"/>
        <w:rPr>
          <w:rFonts w:ascii="Arial" w:eastAsia="Arial" w:hAnsi="Arial" w:cs="Arial"/>
          <w:i/>
          <w:iCs/>
          <w:sz w:val="18"/>
          <w:szCs w:val="18"/>
        </w:rPr>
      </w:pPr>
    </w:p>
    <w:p w14:paraId="4C6A9799" w14:textId="77777777" w:rsidR="009841DA" w:rsidRDefault="009841DA">
      <w:pPr>
        <w:pStyle w:val="BodyA"/>
        <w:spacing w:after="0"/>
        <w:rPr>
          <w:rFonts w:ascii="Arial" w:eastAsia="Arial" w:hAnsi="Arial" w:cs="Arial"/>
          <w:i/>
          <w:iCs/>
        </w:rPr>
      </w:pPr>
    </w:p>
    <w:p w14:paraId="3046A74B" w14:textId="77777777" w:rsidR="009841DA" w:rsidRDefault="0081455F">
      <w:pPr>
        <w:pStyle w:val="AbstHead"/>
        <w:spacing w:after="0"/>
        <w:jc w:val="both"/>
        <w:rPr>
          <w:rFonts w:ascii="Arial" w:eastAsia="Arial" w:hAnsi="Arial" w:cs="Arial"/>
        </w:rPr>
      </w:pPr>
      <w:r>
        <w:rPr>
          <w:rFonts w:ascii="Arial" w:hAnsi="Arial"/>
        </w:rPr>
        <w:t xml:space="preserve">1. INTRODUCTION </w:t>
      </w:r>
    </w:p>
    <w:p w14:paraId="218CB281" w14:textId="77777777" w:rsidR="009841DA" w:rsidRDefault="009841DA">
      <w:pPr>
        <w:pStyle w:val="AbstHead"/>
        <w:spacing w:after="0"/>
        <w:jc w:val="both"/>
        <w:rPr>
          <w:rFonts w:ascii="Arial" w:eastAsia="Arial" w:hAnsi="Arial" w:cs="Arial"/>
        </w:rPr>
      </w:pPr>
    </w:p>
    <w:p w14:paraId="2DA8B291" w14:textId="77777777" w:rsidR="009841DA" w:rsidRDefault="0081455F">
      <w:pPr>
        <w:pStyle w:val="BodyA"/>
        <w:spacing w:after="0"/>
      </w:pPr>
      <w:r>
        <w:t xml:space="preserve">Traumatic diaphragmatic rupture is an uncommon but potentially life-threatening injury, most </w:t>
      </w:r>
      <w:r>
        <w:t xml:space="preserve">frequently associated with vehicular accidents [Hanna WC,2009]. Diagnosis in the acute </w:t>
      </w:r>
      <w:r>
        <w:lastRenderedPageBreak/>
        <w:t>phase is difficult, as signs may be masked by other thoraco-abdominal injuries and radiographic findings are often nonspecific [</w:t>
      </w:r>
      <w:proofErr w:type="spellStart"/>
      <w:r>
        <w:t>Testini</w:t>
      </w:r>
      <w:proofErr w:type="spellEnd"/>
      <w:r>
        <w:t xml:space="preserve"> M,2017]. Missed injuries may pres</w:t>
      </w:r>
      <w:r>
        <w:t xml:space="preserve">ent months or years later with complications such as obstruction, strangulation, or perforation [Safdar G,2013; </w:t>
      </w:r>
      <w:proofErr w:type="spellStart"/>
      <w:r>
        <w:t>Iadicola</w:t>
      </w:r>
      <w:proofErr w:type="spellEnd"/>
      <w:r>
        <w:t xml:space="preserve"> D,2019; </w:t>
      </w:r>
      <w:proofErr w:type="spellStart"/>
      <w:r>
        <w:t>Ercan</w:t>
      </w:r>
      <w:proofErr w:type="spellEnd"/>
      <w:r>
        <w:t xml:space="preserve"> M,2016].</w:t>
      </w:r>
    </w:p>
    <w:p w14:paraId="3BD724E4" w14:textId="77777777" w:rsidR="009841DA" w:rsidRDefault="0081455F">
      <w:pPr>
        <w:pStyle w:val="BodyA"/>
        <w:spacing w:after="0"/>
        <w:ind w:firstLine="480"/>
        <w:jc w:val="left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Traditionally, diaphragmatic repair has been performed via laparotomy or thoracotomy, depending on associated injuries and surgeon expertise [Hanna WC,2009; Kishore A,2018]. However, minimal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ly invasive approaches, particularly laparoscopy, are increasingly 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utilised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in hemodynamically stable patients [Safdar G,2013; Nguyen P,2017]. We discuss a case of delayed presentation of a traumatic diaphragmatic hernia with colonic strangulation and perf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oration managed successfully with laparoscopic repair.</w:t>
      </w:r>
    </w:p>
    <w:p w14:paraId="47AF0BDB" w14:textId="77777777" w:rsidR="009841DA" w:rsidRDefault="009841DA">
      <w:pPr>
        <w:pStyle w:val="BodyA"/>
        <w:spacing w:after="0"/>
        <w:rPr>
          <w:rFonts w:ascii="Arial" w:eastAsia="Arial" w:hAnsi="Arial" w:cs="Arial"/>
        </w:rPr>
      </w:pPr>
    </w:p>
    <w:p w14:paraId="21669FE9" w14:textId="77777777" w:rsidR="009841DA" w:rsidRDefault="009841DA">
      <w:pPr>
        <w:pStyle w:val="BodyA"/>
        <w:spacing w:after="0"/>
        <w:rPr>
          <w:rFonts w:ascii="Arial" w:eastAsia="Arial" w:hAnsi="Arial" w:cs="Arial"/>
        </w:rPr>
      </w:pPr>
    </w:p>
    <w:p w14:paraId="79116ED4" w14:textId="77777777" w:rsidR="009841DA" w:rsidRDefault="0081455F">
      <w:pPr>
        <w:pStyle w:val="AbstHead"/>
        <w:spacing w:after="0"/>
        <w:jc w:val="both"/>
        <w:rPr>
          <w:rFonts w:ascii="Arial" w:eastAsia="Arial" w:hAnsi="Arial" w:cs="Arial"/>
        </w:rPr>
      </w:pPr>
      <w:r>
        <w:rPr>
          <w:rFonts w:ascii="Arial" w:hAnsi="Arial"/>
        </w:rPr>
        <w:t>2. Case Presentation</w:t>
      </w:r>
    </w:p>
    <w:p w14:paraId="2CD5BC45" w14:textId="77777777" w:rsidR="009841DA" w:rsidRDefault="009841DA">
      <w:pPr>
        <w:pStyle w:val="AbstHead"/>
        <w:spacing w:after="0"/>
        <w:jc w:val="both"/>
        <w:rPr>
          <w:rFonts w:ascii="Arial" w:eastAsia="Arial" w:hAnsi="Arial" w:cs="Arial"/>
        </w:rPr>
      </w:pPr>
    </w:p>
    <w:p w14:paraId="1EA46348" w14:textId="77777777" w:rsidR="009841DA" w:rsidRDefault="0081455F">
      <w:pPr>
        <w:pStyle w:val="BodyA"/>
        <w:spacing w:after="0"/>
        <w:ind w:firstLine="480"/>
        <w:jc w:val="left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A 36-year-old man presented with 4 days of abdominal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pain, distension, vomiting, and obstipation. He had sustained blunt thoracoabdominal trauma in a motorcycle accident 18 months earlier. On admission, he was stable with diminished breath sounds on the left and audible bowel sounds over the chest.</w:t>
      </w:r>
    </w:p>
    <w:p w14:paraId="23818E2F" w14:textId="77777777" w:rsidR="009841DA" w:rsidRDefault="0081455F">
      <w:pPr>
        <w:pStyle w:val="BodyA"/>
        <w:spacing w:after="0"/>
        <w:ind w:firstLine="480"/>
        <w:jc w:val="left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Chest radiography revealed healed rib fractures and an intra-thoracic gas shadow (Figure 1). CT demonstrated a 30 × 30 mm left 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hemidiaphrag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matic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defect with herniation of the splenic flexure and 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omentum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, complicated by obstruction and mild pleural effusion.</w:t>
      </w:r>
    </w:p>
    <w:p w14:paraId="3C38706D" w14:textId="77777777" w:rsidR="009841DA" w:rsidRDefault="0081455F">
      <w:pPr>
        <w:pStyle w:val="BodyA"/>
        <w:spacing w:after="0"/>
        <w:ind w:firstLine="480"/>
        <w:jc w:val="left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Emergency la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paroscopy revealed a 3.5-cm diaphragmatic defect containing 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ischaemic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colon and 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omentum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and colonic perforations at two </w:t>
      </w:r>
      <w:proofErr w:type="gram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locations(</w:t>
      </w:r>
      <w:proofErr w:type="gram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Figure 2). The contents were reduced and the sac excised (Figure 3), and after confirming diaphragmatic tissue viability with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Indocyanine green dye under infrared vision </w:t>
      </w:r>
      <w:proofErr w:type="gram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mode(</w:t>
      </w:r>
      <w:proofErr w:type="gram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Figure 4), the defect was closed with continuous non-absorbable V-Lock sutures (Figure 5). In the presence of colonic perforations and the defect size within 5cm, decision was taken to perform a primary rep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air of the defect without mesh reinforcement. Intra-operative intravenous 5mg of Indocyanine green dye confirmed poor colonic vascularity under infrared ICG vision, and resection with double-barrel colostomy was performed through a subcostal incision. </w:t>
      </w:r>
    </w:p>
    <w:p w14:paraId="5C3DC6C9" w14:textId="77777777" w:rsidR="009841DA" w:rsidRDefault="0081455F">
      <w:pPr>
        <w:pStyle w:val="BodyA"/>
        <w:spacing w:after="0"/>
        <w:ind w:firstLine="480"/>
        <w:jc w:val="left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The patient required 6 days of ICU care and was discharged on postoperative day 10. Colostomy closure was performed at 8 weeks post-op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48FFE7E8" w14:textId="77777777" w:rsidR="009841DA" w:rsidRDefault="009841DA">
      <w:pPr>
        <w:pStyle w:val="BodyA"/>
        <w:spacing w:after="0"/>
        <w:rPr>
          <w:rFonts w:ascii="Arial" w:eastAsia="Arial" w:hAnsi="Arial" w:cs="Arial"/>
        </w:rPr>
      </w:pPr>
    </w:p>
    <w:p w14:paraId="1C7095C9" w14:textId="77777777" w:rsidR="009841DA" w:rsidRDefault="009841DA">
      <w:pPr>
        <w:pStyle w:val="BodyA"/>
        <w:spacing w:after="0"/>
        <w:rPr>
          <w:rFonts w:ascii="Arial" w:eastAsia="Arial" w:hAnsi="Arial" w:cs="Arial"/>
          <w:b/>
          <w:bCs/>
          <w:caps/>
          <w:sz w:val="22"/>
          <w:szCs w:val="22"/>
        </w:rPr>
      </w:pPr>
    </w:p>
    <w:p w14:paraId="262F0614" w14:textId="77777777" w:rsidR="009841DA" w:rsidRDefault="009841DA">
      <w:pPr>
        <w:pStyle w:val="BodyA"/>
        <w:spacing w:after="0"/>
        <w:rPr>
          <w:rFonts w:ascii="Arial" w:eastAsia="Arial" w:hAnsi="Arial" w:cs="Arial"/>
        </w:rPr>
      </w:pPr>
    </w:p>
    <w:p w14:paraId="750900BC" w14:textId="77777777" w:rsidR="009841DA" w:rsidRDefault="0081455F">
      <w:pPr>
        <w:pStyle w:val="Head1"/>
        <w:spacing w:after="0"/>
        <w:jc w:val="both"/>
        <w:rPr>
          <w:rFonts w:ascii="Arial" w:eastAsia="Arial" w:hAnsi="Arial" w:cs="Arial"/>
        </w:rPr>
      </w:pPr>
      <w:r>
        <w:rPr>
          <w:rFonts w:ascii="Arial" w:hAnsi="Arial"/>
        </w:rPr>
        <w:t>3. discussion</w:t>
      </w:r>
    </w:p>
    <w:p w14:paraId="756E1378" w14:textId="77777777" w:rsidR="009841DA" w:rsidRDefault="009841DA">
      <w:pPr>
        <w:pStyle w:val="Head1"/>
        <w:spacing w:after="0"/>
        <w:jc w:val="both"/>
        <w:rPr>
          <w:rFonts w:ascii="Calibri" w:eastAsia="Calibri" w:hAnsi="Calibri" w:cs="Calibri"/>
        </w:rPr>
      </w:pPr>
    </w:p>
    <w:p w14:paraId="1AEDE772" w14:textId="77777777" w:rsidR="009841DA" w:rsidRDefault="0081455F">
      <w:pPr>
        <w:pStyle w:val="BodyA"/>
        <w:spacing w:after="0"/>
        <w:ind w:firstLine="480"/>
        <w:jc w:val="left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TDH is often under-diagnosed, particularly in the absence of herniation [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Testini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M,2017]. Left-sided ruptures predominate (80–90%) due to relative weakness of the left hemidiaphragm and rela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tive protection on the right by the Liver [Ercan M,2016]. Presentations range from asymptomatic to acute respiratory or gastrointestinal compromise, with delayed cases carrying high complication rates [Safdar G,2013; </w:t>
      </w:r>
      <w:r>
        <w:rPr>
          <w:rFonts w:ascii="Arial" w:hAnsi="Arial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Iadicola D,2019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; Ercan M,2016].</w:t>
      </w:r>
    </w:p>
    <w:p w14:paraId="33D4B5D7" w14:textId="77777777" w:rsidR="009841DA" w:rsidRDefault="0081455F">
      <w:pPr>
        <w:pStyle w:val="BodyA"/>
        <w:spacing w:after="0"/>
        <w:ind w:firstLine="480"/>
        <w:jc w:val="left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Chest radiography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is frequently the first-line investigation but lacks sensitivity, with up to half of cases reported as normal [Hanna WC,2009, Safdar G,2013; 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Iadicola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D,2019]. CT is the current diagnostic gold standard, allowing assessment of defect size and herniated cont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ents [Chao PH,2011], with sensitivity 14–82% and specificity 87% [Kurniawan N,2013]. In cases with herniation, oral contrast CT achieves sensitivities up to 95% [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Iadicola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D,2019; 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Testini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M,2017</w:t>
      </w:r>
      <w:r>
        <w:rPr>
          <w:rFonts w:ascii="Arial" w:hAnsi="Arial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].</w:t>
      </w:r>
    </w:p>
    <w:p w14:paraId="0250C024" w14:textId="77777777" w:rsidR="009841DA" w:rsidRDefault="0081455F">
      <w:pPr>
        <w:pStyle w:val="BodyA"/>
        <w:spacing w:after="0"/>
        <w:ind w:firstLine="480"/>
        <w:jc w:val="left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Surgical repair is mandatory once diagnosed, as delayed complications increase mortality [Kishore A,2018]. Primary closure with no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n-absorbable sutures is adequate in most cases [Hanna WC,2009; Soper NJ,2013]. Mesh reinforcement is reserved for large or chronic defects; however, prosthetic mesh in the acute setting carries infection risk [Hanna WC,2009]. Biologic mesh offers advantage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 but lacks robust evidence [Antoniou SA,2015; </w:t>
      </w:r>
      <w:r>
        <w:rPr>
          <w:rFonts w:ascii="Arial" w:hAnsi="Arial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Coccolini F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,2012</w:t>
      </w:r>
      <w:r>
        <w:rPr>
          <w:rFonts w:ascii="Arial" w:hAnsi="Arial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].</w:t>
      </w:r>
    </w:p>
    <w:p w14:paraId="6EE7E00B" w14:textId="77777777" w:rsidR="009841DA" w:rsidRDefault="0081455F">
      <w:pPr>
        <w:pStyle w:val="BodyA"/>
        <w:spacing w:after="0"/>
        <w:ind w:firstLine="480"/>
        <w:jc w:val="left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Choice of surgical approach depends on stability and associated injuries. Laparotomy and thoracotomy are traditional [Hanna WC,2009; Kishore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A,2018], but laparoscopy is now increasingly 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favoured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in stable patients for its combined diagnostic and therapeutic value, better 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visualisation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of visceral injuries, shorter recovery, and reduced morbidity [Safdar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 xml:space="preserve">G,2013; Kishore A,2018; Nguyen P,2017].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Thoracoscopic repair is less common, limited by technical challenges and higher recurrence rates [Gander JW,2011; Lansdale N,20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7ACA4DD4" wp14:editId="3E18C590">
            <wp:simplePos x="0" y="0"/>
            <wp:positionH relativeFrom="page">
              <wp:posOffset>1914610</wp:posOffset>
            </wp:positionH>
            <wp:positionV relativeFrom="page">
              <wp:posOffset>2404123</wp:posOffset>
            </wp:positionV>
            <wp:extent cx="3773567" cy="2902635"/>
            <wp:effectExtent l="0" t="0" r="0" b="0"/>
            <wp:wrapTopAndBottom distT="152400" distB="152400"/>
            <wp:docPr id="1073741827" name="officeArt object" descr="Figure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igure 1.jpg" descr="Figure 1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3567" cy="29026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10; Tsao K,2011</w:t>
      </w:r>
      <w:r>
        <w:rPr>
          <w:rFonts w:ascii="Arial" w:hAnsi="Arial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]. </w:t>
      </w:r>
    </w:p>
    <w:p w14:paraId="508B0454" w14:textId="77777777" w:rsidR="009841DA" w:rsidRDefault="0081455F">
      <w:pPr>
        <w:pStyle w:val="BodyA"/>
        <w:spacing w:after="0"/>
        <w:ind w:firstLine="480"/>
        <w:jc w:val="left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AAST-OIS scale American Association for the Surgery of Trauma - Organ Injury scale is used for grading of traumatic diap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hragmatic injuries. </w:t>
      </w:r>
    </w:p>
    <w:p w14:paraId="0031DE84" w14:textId="77777777" w:rsidR="009841DA" w:rsidRDefault="0081455F">
      <w:pPr>
        <w:pStyle w:val="BodyA"/>
        <w:spacing w:after="0"/>
        <w:ind w:firstLine="480"/>
        <w:jc w:val="left"/>
        <w:rPr>
          <w:rFonts w:ascii="Calibri" w:eastAsia="Calibri" w:hAnsi="Calibri" w:cs="Calibri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Mortality ranges from 18–40%, largely determined by associated injuries [Hanna WC,2009]. Early recognition and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timely repair are essential to improve outcomes. </w:t>
      </w:r>
    </w:p>
    <w:p w14:paraId="143212D2" w14:textId="5D116200" w:rsidR="009841DA" w:rsidRDefault="0081455F">
      <w:pPr>
        <w:pStyle w:val="Body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Fig. </w:t>
      </w:r>
      <w:r>
        <w:rPr>
          <w:rFonts w:ascii="Arial" w:hAnsi="Arial"/>
          <w:b/>
          <w:bCs/>
          <w:lang w:val="en-US"/>
        </w:rPr>
        <w:t>1</w:t>
      </w:r>
      <w:r>
        <w:rPr>
          <w:rFonts w:ascii="Arial" w:hAnsi="Arial"/>
          <w:b/>
          <w:bCs/>
        </w:rPr>
        <w:t xml:space="preserve">. </w:t>
      </w:r>
      <w:r>
        <w:rPr>
          <w:rFonts w:ascii="Arial" w:hAnsi="Arial"/>
          <w:b/>
          <w:bCs/>
          <w:lang w:val="en-US"/>
        </w:rPr>
        <w:t>Chest Radiograph on presentation</w:t>
      </w:r>
    </w:p>
    <w:p w14:paraId="6008C3DA" w14:textId="4D9FD552" w:rsidR="009841DA" w:rsidRDefault="0081455F">
      <w:pPr>
        <w:pStyle w:val="Body"/>
        <w:ind w:left="360"/>
        <w:jc w:val="both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hAnsi="Arial"/>
          <w:i/>
          <w:iCs/>
          <w:sz w:val="18"/>
          <w:szCs w:val="18"/>
          <w:lang w:val="en-US"/>
        </w:rPr>
        <w:t>Note suspicious gas shadow in left hemithorax - due to herniated splenic flexure of colon</w:t>
      </w:r>
    </w:p>
    <w:p w14:paraId="4B4E67EE" w14:textId="613A3013" w:rsidR="009841DA" w:rsidRDefault="009841DA">
      <w:pPr>
        <w:pStyle w:val="Body"/>
        <w:jc w:val="both"/>
        <w:rPr>
          <w:rFonts w:ascii="Arial" w:eastAsia="Arial" w:hAnsi="Arial" w:cs="Arial"/>
          <w:i/>
          <w:iCs/>
          <w:sz w:val="18"/>
          <w:szCs w:val="18"/>
        </w:rPr>
      </w:pPr>
    </w:p>
    <w:p w14:paraId="72B7640E" w14:textId="34FFFF2A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3EFC0E90" w14:textId="07C77D37" w:rsidR="00897480" w:rsidRDefault="00897480">
      <w:pPr>
        <w:pStyle w:val="Body"/>
        <w:jc w:val="both"/>
        <w:rPr>
          <w:rFonts w:ascii="Arial" w:hAnsi="Arial"/>
          <w:b/>
          <w:bCs/>
        </w:rPr>
      </w:pPr>
      <w:r>
        <w:rPr>
          <w:rFonts w:ascii="Arial" w:eastAsia="Arial" w:hAnsi="Arial" w:cs="Arial"/>
          <w:i/>
          <w:iCs/>
          <w:noProof/>
          <w:sz w:val="18"/>
          <w:szCs w:val="18"/>
        </w:rPr>
        <w:drawing>
          <wp:anchor distT="152400" distB="152400" distL="152400" distR="152400" simplePos="0" relativeHeight="251660288" behindDoc="0" locked="0" layoutInCell="1" allowOverlap="1" wp14:anchorId="575FEF6A" wp14:editId="70F74517">
            <wp:simplePos x="0" y="0"/>
            <wp:positionH relativeFrom="margin">
              <wp:posOffset>469900</wp:posOffset>
            </wp:positionH>
            <wp:positionV relativeFrom="line">
              <wp:posOffset>466090</wp:posOffset>
            </wp:positionV>
            <wp:extent cx="3773170" cy="2442845"/>
            <wp:effectExtent l="0" t="0" r="0" b="0"/>
            <wp:wrapTopAndBottom distT="152400" distB="152400"/>
            <wp:docPr id="1073741826" name="officeArt object" descr="Figure 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igure 2.jpeg" descr="Figure 2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2442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2E096AB" w14:textId="77777777" w:rsidR="00897480" w:rsidRDefault="00897480" w:rsidP="00897480">
      <w:pPr>
        <w:pStyle w:val="Body"/>
        <w:jc w:val="both"/>
        <w:rPr>
          <w:rFonts w:ascii="Arial" w:hAnsi="Arial"/>
          <w:b/>
          <w:bCs/>
        </w:rPr>
      </w:pPr>
    </w:p>
    <w:p w14:paraId="2D01139C" w14:textId="77777777" w:rsidR="00897480" w:rsidRDefault="00897480" w:rsidP="00897480">
      <w:pPr>
        <w:pStyle w:val="Body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Fig. </w:t>
      </w:r>
      <w:r>
        <w:rPr>
          <w:rFonts w:ascii="Arial" w:hAnsi="Arial"/>
          <w:b/>
          <w:bCs/>
          <w:lang w:val="en-US"/>
        </w:rPr>
        <w:t>2</w:t>
      </w:r>
      <w:r>
        <w:rPr>
          <w:rFonts w:ascii="Arial" w:hAnsi="Arial"/>
          <w:b/>
          <w:bCs/>
        </w:rPr>
        <w:t xml:space="preserve">. </w:t>
      </w:r>
      <w:r>
        <w:rPr>
          <w:rFonts w:ascii="Arial" w:hAnsi="Arial"/>
          <w:b/>
          <w:bCs/>
          <w:lang w:val="en-US"/>
        </w:rPr>
        <w:t xml:space="preserve">Diaphragmatic defect containing </w:t>
      </w:r>
      <w:proofErr w:type="spellStart"/>
      <w:r>
        <w:rPr>
          <w:rFonts w:ascii="Arial" w:hAnsi="Arial"/>
          <w:b/>
          <w:bCs/>
          <w:lang w:val="en-US"/>
        </w:rPr>
        <w:t>ischaemic</w:t>
      </w:r>
      <w:proofErr w:type="spellEnd"/>
      <w:r>
        <w:rPr>
          <w:rFonts w:ascii="Arial" w:hAnsi="Arial"/>
          <w:b/>
          <w:bCs/>
          <w:lang w:val="en-US"/>
        </w:rPr>
        <w:t xml:space="preserve"> colon and </w:t>
      </w:r>
      <w:proofErr w:type="spellStart"/>
      <w:r>
        <w:rPr>
          <w:rFonts w:ascii="Arial" w:hAnsi="Arial"/>
          <w:b/>
          <w:bCs/>
          <w:lang w:val="en-US"/>
        </w:rPr>
        <w:t>omentum</w:t>
      </w:r>
      <w:proofErr w:type="spellEnd"/>
    </w:p>
    <w:p w14:paraId="0EA44F20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4B217882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7EC6E5C6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0A3B7FC7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7E16D348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3F59E02B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077E30AC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078EAC19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21B46248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355AF84B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1A88BEA2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03B140E0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09F02027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295F0B94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01172E7E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6D8C424E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667E76A4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6C08F774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32A1644E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196FE842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7CAB6DC2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7A1F2722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1801B8E4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561F41B0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7D9DA87C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027E9D96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41783F96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66C06D9D" w14:textId="77777777" w:rsidR="00897480" w:rsidRDefault="00897480">
      <w:pPr>
        <w:pStyle w:val="Body"/>
        <w:jc w:val="both"/>
        <w:rPr>
          <w:rFonts w:ascii="Arial" w:hAnsi="Arial"/>
          <w:b/>
          <w:bCs/>
        </w:rPr>
      </w:pPr>
    </w:p>
    <w:p w14:paraId="5EADF893" w14:textId="3D2C4784" w:rsidR="009841DA" w:rsidRDefault="0081455F">
      <w:pPr>
        <w:pStyle w:val="Body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Fig. </w:t>
      </w:r>
      <w:r>
        <w:rPr>
          <w:rFonts w:ascii="Arial" w:hAnsi="Arial"/>
          <w:b/>
          <w:bCs/>
          <w:lang w:val="en-US"/>
        </w:rPr>
        <w:t>3</w:t>
      </w:r>
      <w:r>
        <w:rPr>
          <w:rFonts w:ascii="Arial" w:hAnsi="Arial"/>
          <w:b/>
          <w:bCs/>
        </w:rPr>
        <w:t xml:space="preserve">. </w:t>
      </w:r>
      <w:r>
        <w:rPr>
          <w:rFonts w:ascii="Arial" w:hAnsi="Arial"/>
          <w:b/>
          <w:bCs/>
          <w:lang w:val="en-US"/>
        </w:rPr>
        <w:t>Diaphragmatic defect after reduction of contents</w:t>
      </w:r>
    </w:p>
    <w:p w14:paraId="53260E85" w14:textId="731E9387" w:rsidR="009841DA" w:rsidRDefault="00897480">
      <w:pPr>
        <w:pStyle w:val="Body"/>
        <w:ind w:left="360"/>
        <w:jc w:val="both"/>
        <w:rPr>
          <w:rFonts w:ascii="Arial" w:eastAsia="Arial" w:hAnsi="Arial" w:cs="Arial"/>
          <w:i/>
          <w:iCs/>
          <w:sz w:val="18"/>
          <w:szCs w:val="18"/>
        </w:rPr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7AE9D074" wp14:editId="1D91626E">
            <wp:simplePos x="0" y="0"/>
            <wp:positionH relativeFrom="page">
              <wp:posOffset>1208405</wp:posOffset>
            </wp:positionH>
            <wp:positionV relativeFrom="page">
              <wp:posOffset>4518025</wp:posOffset>
            </wp:positionV>
            <wp:extent cx="3773567" cy="2442888"/>
            <wp:effectExtent l="0" t="0" r="0" b="0"/>
            <wp:wrapTopAndBottom distT="152400" distB="152400"/>
            <wp:docPr id="1073741828" name="officeArt object" descr="FIgure 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Igure 3.jpeg" descr="FIgure 3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3567" cy="24428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607EC77" w14:textId="712D54E4" w:rsidR="009841DA" w:rsidRDefault="0081455F">
      <w:pPr>
        <w:pStyle w:val="Body"/>
        <w:jc w:val="both"/>
        <w:rPr>
          <w:rFonts w:ascii="Arial" w:hAnsi="Arial"/>
          <w:b/>
          <w:bCs/>
          <w:lang w:val="en-US"/>
        </w:rPr>
      </w:pPr>
      <w:r>
        <w:rPr>
          <w:rFonts w:ascii="Arial" w:hAnsi="Arial"/>
          <w:b/>
          <w:bCs/>
        </w:rPr>
        <w:lastRenderedPageBreak/>
        <w:t xml:space="preserve">Fig. </w:t>
      </w:r>
      <w:r>
        <w:rPr>
          <w:rFonts w:ascii="Arial" w:hAnsi="Arial"/>
          <w:b/>
          <w:bCs/>
          <w:lang w:val="en-US"/>
        </w:rPr>
        <w:t>4</w:t>
      </w:r>
      <w:r>
        <w:rPr>
          <w:rFonts w:ascii="Arial" w:hAnsi="Arial"/>
          <w:b/>
          <w:bCs/>
        </w:rPr>
        <w:t xml:space="preserve">. </w:t>
      </w:r>
      <w:r>
        <w:rPr>
          <w:rFonts w:ascii="Arial" w:hAnsi="Arial"/>
          <w:b/>
          <w:bCs/>
          <w:lang w:val="en-US"/>
        </w:rPr>
        <w:t>Assessment of Tissue viability with Indo</w:t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45CBA333" wp14:editId="3040AD93">
            <wp:simplePos x="0" y="0"/>
            <wp:positionH relativeFrom="page">
              <wp:posOffset>1999416</wp:posOffset>
            </wp:positionH>
            <wp:positionV relativeFrom="page">
              <wp:posOffset>3013331</wp:posOffset>
            </wp:positionV>
            <wp:extent cx="3773567" cy="2442888"/>
            <wp:effectExtent l="0" t="0" r="0" b="0"/>
            <wp:wrapTopAndBottom distT="152400" distB="152400"/>
            <wp:docPr id="1073741829" name="officeArt object" descr="Figure 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Figure 4.jpeg" descr="Figure 4.jpe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3567" cy="24428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3C4FB645" wp14:editId="09C5F876">
            <wp:simplePos x="0" y="0"/>
            <wp:positionH relativeFrom="page">
              <wp:posOffset>1999416</wp:posOffset>
            </wp:positionH>
            <wp:positionV relativeFrom="page">
              <wp:posOffset>6200181</wp:posOffset>
            </wp:positionV>
            <wp:extent cx="3773567" cy="2442888"/>
            <wp:effectExtent l="0" t="0" r="0" b="0"/>
            <wp:wrapTopAndBottom distT="152400" distB="152400"/>
            <wp:docPr id="1073741830" name="officeArt object" descr="Figure 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Figure 5.jpeg" descr="Figure 5.jpe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3567" cy="24428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lang w:val="en-US"/>
        </w:rPr>
        <w:t>cyanine Green dye under fluorescent vision.</w:t>
      </w:r>
    </w:p>
    <w:p w14:paraId="1245252E" w14:textId="77777777" w:rsidR="00897480" w:rsidRDefault="00897480">
      <w:pPr>
        <w:pStyle w:val="Body"/>
        <w:jc w:val="both"/>
        <w:rPr>
          <w:rFonts w:ascii="Arial" w:hAnsi="Arial"/>
          <w:b/>
          <w:bCs/>
          <w:lang w:val="en-US"/>
        </w:rPr>
      </w:pPr>
    </w:p>
    <w:p w14:paraId="682C420B" w14:textId="77777777" w:rsidR="00897480" w:rsidRDefault="00897480">
      <w:pPr>
        <w:pStyle w:val="Body"/>
        <w:jc w:val="both"/>
        <w:rPr>
          <w:rFonts w:ascii="Arial" w:hAnsi="Arial"/>
          <w:b/>
          <w:bCs/>
          <w:lang w:val="en-US"/>
        </w:rPr>
      </w:pPr>
    </w:p>
    <w:p w14:paraId="4C20D446" w14:textId="77777777" w:rsidR="00897480" w:rsidRDefault="00897480">
      <w:pPr>
        <w:pStyle w:val="Body"/>
        <w:jc w:val="both"/>
        <w:rPr>
          <w:rFonts w:ascii="Arial" w:hAnsi="Arial"/>
          <w:b/>
          <w:bCs/>
          <w:lang w:val="en-US"/>
        </w:rPr>
      </w:pPr>
    </w:p>
    <w:p w14:paraId="1AF0D345" w14:textId="77777777" w:rsidR="00897480" w:rsidRDefault="00897480">
      <w:pPr>
        <w:pStyle w:val="Body"/>
        <w:jc w:val="both"/>
        <w:rPr>
          <w:rFonts w:ascii="Arial" w:hAnsi="Arial"/>
          <w:b/>
          <w:bCs/>
          <w:lang w:val="en-US"/>
        </w:rPr>
      </w:pPr>
    </w:p>
    <w:p w14:paraId="41D84521" w14:textId="77777777" w:rsidR="00897480" w:rsidRDefault="00897480">
      <w:pPr>
        <w:pStyle w:val="Body"/>
        <w:jc w:val="both"/>
        <w:rPr>
          <w:rFonts w:ascii="Arial" w:hAnsi="Arial"/>
          <w:b/>
          <w:bCs/>
          <w:lang w:val="en-US"/>
        </w:rPr>
      </w:pPr>
    </w:p>
    <w:p w14:paraId="6C0ED37F" w14:textId="77777777" w:rsidR="00897480" w:rsidRDefault="00897480">
      <w:pPr>
        <w:pStyle w:val="Body"/>
        <w:jc w:val="both"/>
        <w:rPr>
          <w:rFonts w:ascii="Arial" w:hAnsi="Arial"/>
          <w:b/>
          <w:bCs/>
          <w:lang w:val="en-US"/>
        </w:rPr>
      </w:pPr>
    </w:p>
    <w:p w14:paraId="6D127174" w14:textId="77777777" w:rsidR="00897480" w:rsidRDefault="00897480">
      <w:pPr>
        <w:pStyle w:val="Body"/>
        <w:jc w:val="both"/>
        <w:rPr>
          <w:rFonts w:ascii="Arial" w:hAnsi="Arial"/>
          <w:b/>
          <w:bCs/>
          <w:lang w:val="en-US"/>
        </w:rPr>
      </w:pPr>
    </w:p>
    <w:p w14:paraId="0624857A" w14:textId="77777777" w:rsidR="00897480" w:rsidRDefault="00897480">
      <w:pPr>
        <w:pStyle w:val="Body"/>
        <w:jc w:val="both"/>
        <w:rPr>
          <w:rFonts w:ascii="Arial" w:hAnsi="Arial"/>
          <w:b/>
          <w:bCs/>
          <w:lang w:val="en-US"/>
        </w:rPr>
      </w:pPr>
    </w:p>
    <w:p w14:paraId="13C271D1" w14:textId="77777777" w:rsidR="00897480" w:rsidRDefault="00897480">
      <w:pPr>
        <w:pStyle w:val="Body"/>
        <w:jc w:val="both"/>
        <w:rPr>
          <w:rFonts w:ascii="Arial" w:hAnsi="Arial"/>
          <w:b/>
          <w:bCs/>
          <w:lang w:val="en-US"/>
        </w:rPr>
      </w:pPr>
    </w:p>
    <w:p w14:paraId="6528F17B" w14:textId="77777777" w:rsidR="00897480" w:rsidRDefault="00897480">
      <w:pPr>
        <w:pStyle w:val="Body"/>
        <w:jc w:val="both"/>
        <w:rPr>
          <w:rFonts w:ascii="Arial" w:hAnsi="Arial"/>
          <w:b/>
          <w:bCs/>
          <w:lang w:val="en-US"/>
        </w:rPr>
      </w:pPr>
    </w:p>
    <w:p w14:paraId="146217C3" w14:textId="77777777" w:rsidR="00897480" w:rsidRDefault="00897480">
      <w:pPr>
        <w:pStyle w:val="Body"/>
        <w:jc w:val="both"/>
        <w:rPr>
          <w:rFonts w:ascii="Arial" w:hAnsi="Arial"/>
          <w:b/>
          <w:bCs/>
          <w:lang w:val="en-US"/>
        </w:rPr>
      </w:pPr>
    </w:p>
    <w:p w14:paraId="4A012194" w14:textId="77777777" w:rsidR="00897480" w:rsidRDefault="00897480">
      <w:pPr>
        <w:pStyle w:val="Body"/>
        <w:jc w:val="both"/>
        <w:rPr>
          <w:rFonts w:ascii="Arial" w:hAnsi="Arial"/>
          <w:b/>
          <w:bCs/>
          <w:lang w:val="en-US"/>
        </w:rPr>
      </w:pPr>
    </w:p>
    <w:p w14:paraId="3710D809" w14:textId="77777777" w:rsidR="00897480" w:rsidRDefault="00897480">
      <w:pPr>
        <w:pStyle w:val="Body"/>
        <w:jc w:val="both"/>
        <w:rPr>
          <w:rFonts w:ascii="Arial" w:hAnsi="Arial"/>
          <w:b/>
          <w:bCs/>
          <w:lang w:val="en-US"/>
        </w:rPr>
      </w:pPr>
    </w:p>
    <w:p w14:paraId="5E4F24E9" w14:textId="77777777" w:rsidR="00897480" w:rsidRDefault="00897480">
      <w:pPr>
        <w:pStyle w:val="Body"/>
        <w:jc w:val="both"/>
        <w:rPr>
          <w:rFonts w:ascii="Arial" w:hAnsi="Arial"/>
          <w:b/>
          <w:bCs/>
          <w:lang w:val="en-US"/>
        </w:rPr>
      </w:pPr>
    </w:p>
    <w:p w14:paraId="6C596FE6" w14:textId="77777777" w:rsidR="00897480" w:rsidRDefault="00897480">
      <w:pPr>
        <w:pStyle w:val="Body"/>
        <w:jc w:val="both"/>
        <w:rPr>
          <w:rFonts w:ascii="Arial" w:hAnsi="Arial"/>
          <w:b/>
          <w:bCs/>
          <w:lang w:val="en-US"/>
        </w:rPr>
      </w:pPr>
    </w:p>
    <w:p w14:paraId="71D2BF7F" w14:textId="77777777" w:rsidR="00897480" w:rsidRDefault="00897480">
      <w:pPr>
        <w:pStyle w:val="Body"/>
        <w:jc w:val="both"/>
        <w:rPr>
          <w:rFonts w:ascii="Arial" w:hAnsi="Arial"/>
          <w:b/>
          <w:bCs/>
          <w:lang w:val="en-US"/>
        </w:rPr>
      </w:pPr>
    </w:p>
    <w:p w14:paraId="2B0375FA" w14:textId="77777777" w:rsidR="00897480" w:rsidRDefault="00897480">
      <w:pPr>
        <w:pStyle w:val="Body"/>
        <w:jc w:val="both"/>
        <w:rPr>
          <w:rFonts w:ascii="Arial" w:eastAsia="Arial" w:hAnsi="Arial" w:cs="Arial"/>
          <w:b/>
          <w:bCs/>
        </w:rPr>
      </w:pPr>
    </w:p>
    <w:p w14:paraId="29077D81" w14:textId="77777777" w:rsidR="009841DA" w:rsidRDefault="009841DA">
      <w:pPr>
        <w:pStyle w:val="Body"/>
        <w:jc w:val="both"/>
        <w:rPr>
          <w:rFonts w:ascii="Arial" w:eastAsia="Arial" w:hAnsi="Arial" w:cs="Arial"/>
        </w:rPr>
      </w:pPr>
    </w:p>
    <w:p w14:paraId="1F668379" w14:textId="77777777" w:rsidR="009841DA" w:rsidRDefault="0081455F">
      <w:pPr>
        <w:pStyle w:val="Body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Fig. </w:t>
      </w:r>
      <w:r>
        <w:rPr>
          <w:rFonts w:ascii="Arial" w:hAnsi="Arial"/>
          <w:b/>
          <w:bCs/>
          <w:lang w:val="en-US"/>
        </w:rPr>
        <w:t>5</w:t>
      </w:r>
      <w:r>
        <w:rPr>
          <w:rFonts w:ascii="Arial" w:hAnsi="Arial"/>
          <w:b/>
          <w:bCs/>
        </w:rPr>
        <w:t xml:space="preserve">. </w:t>
      </w:r>
      <w:r>
        <w:rPr>
          <w:rFonts w:ascii="Arial" w:hAnsi="Arial"/>
          <w:b/>
          <w:bCs/>
          <w:lang w:val="en-US"/>
        </w:rPr>
        <w:t>Repair of defect using non-absorbable barbed sutures</w:t>
      </w:r>
    </w:p>
    <w:p w14:paraId="3ACE88FB" w14:textId="77777777" w:rsidR="009841DA" w:rsidRDefault="009841DA">
      <w:pPr>
        <w:pStyle w:val="Body"/>
        <w:ind w:left="360"/>
        <w:jc w:val="both"/>
        <w:rPr>
          <w:rFonts w:ascii="Arial" w:eastAsia="Arial" w:hAnsi="Arial" w:cs="Arial"/>
        </w:rPr>
      </w:pPr>
    </w:p>
    <w:p w14:paraId="2069DEBA" w14:textId="77777777" w:rsidR="009841DA" w:rsidRDefault="009841DA">
      <w:pPr>
        <w:pStyle w:val="BodyA"/>
        <w:spacing w:after="0"/>
        <w:rPr>
          <w:rFonts w:ascii="Arial" w:eastAsia="Arial" w:hAnsi="Arial" w:cs="Arial"/>
        </w:rPr>
      </w:pPr>
    </w:p>
    <w:p w14:paraId="18923B5F" w14:textId="77777777" w:rsidR="009841DA" w:rsidRDefault="0081455F">
      <w:pPr>
        <w:pStyle w:val="ConcHead"/>
        <w:spacing w:after="0"/>
        <w:jc w:val="both"/>
        <w:rPr>
          <w:rFonts w:ascii="Arial" w:eastAsia="Arial" w:hAnsi="Arial" w:cs="Arial"/>
        </w:rPr>
      </w:pPr>
      <w:r>
        <w:rPr>
          <w:rFonts w:ascii="Arial" w:hAnsi="Arial"/>
        </w:rPr>
        <w:t>4. Conclusion</w:t>
      </w:r>
    </w:p>
    <w:p w14:paraId="3CFC6F06" w14:textId="77777777" w:rsidR="009841DA" w:rsidRDefault="009841DA">
      <w:pPr>
        <w:pStyle w:val="ConcHead"/>
        <w:spacing w:after="0"/>
        <w:jc w:val="both"/>
        <w:rPr>
          <w:rFonts w:ascii="Arial" w:eastAsia="Arial" w:hAnsi="Arial" w:cs="Arial"/>
        </w:rPr>
      </w:pPr>
    </w:p>
    <w:p w14:paraId="3B3C05E8" w14:textId="77777777" w:rsidR="009841DA" w:rsidRDefault="0081455F">
      <w:pPr>
        <w:pStyle w:val="BodyA"/>
        <w:spacing w:after="0"/>
        <w:rPr>
          <w:rFonts w:ascii="Arial" w:eastAsia="Arial" w:hAnsi="Arial" w:cs="Arial"/>
        </w:rPr>
      </w:pPr>
      <w:r>
        <w:rPr>
          <w:rFonts w:ascii="Arial" w:hAnsi="Arial"/>
        </w:rPr>
        <w:t xml:space="preserve">Delayed presentation of traumatic diaphragmatic hernias can involve life-threatening complications. A high index of suspicion, appropriate imaging, and timely surgical </w:t>
      </w:r>
      <w:r>
        <w:rPr>
          <w:rFonts w:ascii="Arial" w:hAnsi="Arial"/>
        </w:rPr>
        <w:t>intervention are critical. In stable patients, laparoscopy offers a safe and effective approach for both diagnosis and repair.</w:t>
      </w:r>
    </w:p>
    <w:p w14:paraId="08BB6F20" w14:textId="77777777" w:rsidR="009841DA" w:rsidRDefault="009841DA">
      <w:pPr>
        <w:pStyle w:val="BodyA"/>
        <w:spacing w:after="0"/>
        <w:rPr>
          <w:rFonts w:ascii="Arial" w:eastAsia="Arial" w:hAnsi="Arial" w:cs="Arial"/>
        </w:rPr>
      </w:pPr>
    </w:p>
    <w:p w14:paraId="19A2C9F0" w14:textId="77777777" w:rsidR="009841DA" w:rsidRDefault="009841DA">
      <w:pPr>
        <w:pStyle w:val="AcknHead"/>
        <w:spacing w:after="0"/>
        <w:jc w:val="both"/>
        <w:rPr>
          <w:rFonts w:ascii="Arial" w:eastAsia="Arial" w:hAnsi="Arial" w:cs="Arial"/>
        </w:rPr>
      </w:pPr>
    </w:p>
    <w:p w14:paraId="687F171C" w14:textId="77777777" w:rsidR="009841DA" w:rsidRDefault="009841DA">
      <w:pPr>
        <w:pStyle w:val="ReferHead"/>
        <w:spacing w:after="0"/>
        <w:jc w:val="both"/>
        <w:rPr>
          <w:rFonts w:ascii="Arial" w:eastAsia="Arial" w:hAnsi="Arial" w:cs="Arial"/>
        </w:rPr>
      </w:pPr>
    </w:p>
    <w:p w14:paraId="6EA66F53" w14:textId="77777777" w:rsidR="009841DA" w:rsidRDefault="0081455F">
      <w:pPr>
        <w:pStyle w:val="ReferHead"/>
        <w:spacing w:after="0"/>
        <w:jc w:val="both"/>
        <w:rPr>
          <w:rFonts w:ascii="Arial" w:eastAsia="Arial" w:hAnsi="Arial" w:cs="Arial"/>
        </w:rPr>
      </w:pPr>
      <w:r>
        <w:rPr>
          <w:rFonts w:ascii="Arial" w:hAnsi="Arial"/>
        </w:rPr>
        <w:t>References</w:t>
      </w:r>
    </w:p>
    <w:p w14:paraId="0209C169" w14:textId="77777777" w:rsidR="009841DA" w:rsidRDefault="009841DA">
      <w:pPr>
        <w:pStyle w:val="ReferHead"/>
        <w:spacing w:after="0"/>
        <w:jc w:val="both"/>
        <w:rPr>
          <w:rFonts w:ascii="Arial" w:eastAsia="Arial" w:hAnsi="Arial" w:cs="Arial"/>
        </w:rPr>
      </w:pPr>
    </w:p>
    <w:p w14:paraId="4B4D8F2B" w14:textId="77777777" w:rsidR="009841DA" w:rsidRDefault="009841DA">
      <w:pPr>
        <w:pStyle w:val="BodyA"/>
        <w:spacing w:after="0"/>
        <w:rPr>
          <w:rFonts w:ascii="Arial" w:eastAsia="Arial" w:hAnsi="Arial" w:cs="Arial"/>
        </w:rPr>
      </w:pPr>
    </w:p>
    <w:p w14:paraId="797A3D09" w14:textId="77777777" w:rsidR="009841DA" w:rsidRDefault="009841DA">
      <w:pPr>
        <w:pStyle w:val="BodyA"/>
        <w:spacing w:after="0"/>
        <w:rPr>
          <w:rFonts w:ascii="Arial" w:eastAsia="Arial" w:hAnsi="Arial" w:cs="Arial"/>
        </w:rPr>
      </w:pPr>
    </w:p>
    <w:p w14:paraId="61847FFF" w14:textId="77777777" w:rsidR="009841DA" w:rsidRDefault="0081455F">
      <w:pPr>
        <w:pStyle w:val="Reference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1.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 xml:space="preserve">Hanna WC, Ferri LE: Acute traumatic diaphragmatic injury. </w:t>
      </w:r>
      <w:proofErr w:type="spellStart"/>
      <w:r>
        <w:rPr>
          <w:rFonts w:ascii="Arial" w:eastAsia="Arial" w:hAnsi="Arial" w:cs="Arial"/>
        </w:rPr>
        <w:t>Thorac</w:t>
      </w:r>
      <w:proofErr w:type="spellEnd"/>
      <w:r>
        <w:rPr>
          <w:rFonts w:ascii="Arial" w:eastAsia="Arial" w:hAnsi="Arial" w:cs="Arial"/>
        </w:rPr>
        <w:t xml:space="preserve"> Surg Clin. </w:t>
      </w:r>
      <w:proofErr w:type="gramStart"/>
      <w:r>
        <w:rPr>
          <w:rFonts w:ascii="Arial" w:eastAsia="Arial" w:hAnsi="Arial" w:cs="Arial"/>
        </w:rPr>
        <w:t>2009;19:485</w:t>
      </w:r>
      <w:proofErr w:type="gramEnd"/>
      <w:r>
        <w:rPr>
          <w:rFonts w:ascii="Arial" w:hAnsi="Arial"/>
        </w:rPr>
        <w:t xml:space="preserve">–9. </w:t>
      </w:r>
      <w:proofErr w:type="gramStart"/>
      <w:r>
        <w:rPr>
          <w:rFonts w:ascii="Arial" w:hAnsi="Arial"/>
        </w:rPr>
        <w:t>doi:10.1016/j.thorsurg</w:t>
      </w:r>
      <w:proofErr w:type="gramEnd"/>
      <w:r>
        <w:rPr>
          <w:rFonts w:ascii="Arial" w:hAnsi="Arial"/>
        </w:rPr>
        <w:t>.2009.07.008</w:t>
      </w:r>
    </w:p>
    <w:p w14:paraId="332F520C" w14:textId="77777777" w:rsidR="009841DA" w:rsidRDefault="0081455F">
      <w:pPr>
        <w:pStyle w:val="Reference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2.</w:t>
      </w:r>
      <w:r>
        <w:rPr>
          <w:rFonts w:ascii="Arial" w:eastAsia="Arial" w:hAnsi="Arial" w:cs="Arial"/>
        </w:rPr>
        <w:tab/>
        <w:t>Safdar G, Slater R, Garner JP: Laparoscopically assisted repair of an acute traumatic diaphragmatic hernia. BMJ Case Rep. 2013</w:t>
      </w:r>
      <w:r>
        <w:rPr>
          <w:rFonts w:ascii="Arial" w:eastAsia="Arial" w:hAnsi="Arial" w:cs="Arial"/>
        </w:rPr>
        <w:t>;</w:t>
      </w:r>
      <w:proofErr w:type="gramStart"/>
      <w:r>
        <w:rPr>
          <w:rFonts w:ascii="Arial" w:eastAsia="Arial" w:hAnsi="Arial" w:cs="Arial"/>
        </w:rPr>
        <w:t>2013:bcr</w:t>
      </w:r>
      <w:proofErr w:type="gramEnd"/>
      <w:r>
        <w:rPr>
          <w:rFonts w:ascii="Arial" w:eastAsia="Arial" w:hAnsi="Arial" w:cs="Arial"/>
        </w:rPr>
        <w:t>2013009415. doi:10.1136/bcr-2013-009415</w:t>
      </w:r>
    </w:p>
    <w:p w14:paraId="396B6C3A" w14:textId="77777777" w:rsidR="009841DA" w:rsidRDefault="0081455F">
      <w:pPr>
        <w:pStyle w:val="Reference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3.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Iadicola</w:t>
      </w:r>
      <w:proofErr w:type="spellEnd"/>
      <w:r>
        <w:rPr>
          <w:rFonts w:ascii="Arial" w:eastAsia="Arial" w:hAnsi="Arial" w:cs="Arial"/>
        </w:rPr>
        <w:t xml:space="preserve"> D, </w:t>
      </w:r>
      <w:proofErr w:type="spellStart"/>
      <w:r>
        <w:rPr>
          <w:rFonts w:ascii="Arial" w:eastAsia="Arial" w:hAnsi="Arial" w:cs="Arial"/>
        </w:rPr>
        <w:t>Branca</w:t>
      </w:r>
      <w:proofErr w:type="spellEnd"/>
      <w:r>
        <w:rPr>
          <w:rFonts w:ascii="Arial" w:eastAsia="Arial" w:hAnsi="Arial" w:cs="Arial"/>
        </w:rPr>
        <w:t xml:space="preserve"> M, Lupo M, et al: Double traumatic diaphragmatic injury: a case report. Int J Surg Case Rep. </w:t>
      </w:r>
      <w:proofErr w:type="gramStart"/>
      <w:r>
        <w:rPr>
          <w:rFonts w:ascii="Arial" w:eastAsia="Arial" w:hAnsi="Arial" w:cs="Arial"/>
        </w:rPr>
        <w:t>2019;61:82</w:t>
      </w:r>
      <w:proofErr w:type="gramEnd"/>
      <w:r>
        <w:rPr>
          <w:rFonts w:ascii="Arial" w:hAnsi="Arial"/>
        </w:rPr>
        <w:t xml:space="preserve">–85. </w:t>
      </w:r>
      <w:proofErr w:type="gramStart"/>
      <w:r>
        <w:rPr>
          <w:rFonts w:ascii="Arial" w:hAnsi="Arial"/>
        </w:rPr>
        <w:t>doi:10.1016/j.ijscr</w:t>
      </w:r>
      <w:proofErr w:type="gramEnd"/>
      <w:r>
        <w:rPr>
          <w:rFonts w:ascii="Arial" w:hAnsi="Arial"/>
        </w:rPr>
        <w:t>.2019.07.030</w:t>
      </w:r>
    </w:p>
    <w:p w14:paraId="6923CD0D" w14:textId="77777777" w:rsidR="009841DA" w:rsidRDefault="0081455F">
      <w:pPr>
        <w:pStyle w:val="Reference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4.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Ercan</w:t>
      </w:r>
      <w:proofErr w:type="spellEnd"/>
      <w:r>
        <w:rPr>
          <w:rFonts w:ascii="Arial" w:eastAsia="Arial" w:hAnsi="Arial" w:cs="Arial"/>
        </w:rPr>
        <w:t xml:space="preserve"> M, </w:t>
      </w:r>
      <w:proofErr w:type="spellStart"/>
      <w:r>
        <w:rPr>
          <w:rFonts w:ascii="Arial" w:eastAsia="Arial" w:hAnsi="Arial" w:cs="Arial"/>
        </w:rPr>
        <w:t>Aziret</w:t>
      </w:r>
      <w:proofErr w:type="spellEnd"/>
      <w:r>
        <w:rPr>
          <w:rFonts w:ascii="Arial" w:eastAsia="Arial" w:hAnsi="Arial" w:cs="Arial"/>
        </w:rPr>
        <w:t xml:space="preserve"> M, </w:t>
      </w:r>
      <w:proofErr w:type="spellStart"/>
      <w:r>
        <w:rPr>
          <w:rFonts w:ascii="Arial" w:eastAsia="Arial" w:hAnsi="Arial" w:cs="Arial"/>
        </w:rPr>
        <w:t>Karaman</w:t>
      </w:r>
      <w:proofErr w:type="spellEnd"/>
      <w:r>
        <w:rPr>
          <w:rFonts w:ascii="Arial" w:eastAsia="Arial" w:hAnsi="Arial" w:cs="Arial"/>
        </w:rPr>
        <w:t xml:space="preserve"> K, et al: Dual mesh repair for a large diaphragmatic hernia defect: an unusual case report. Int J Surg Case Rep. </w:t>
      </w:r>
      <w:proofErr w:type="gramStart"/>
      <w:r>
        <w:rPr>
          <w:rFonts w:ascii="Arial" w:eastAsia="Arial" w:hAnsi="Arial" w:cs="Arial"/>
        </w:rPr>
        <w:t>2016;28:266</w:t>
      </w:r>
      <w:proofErr w:type="gramEnd"/>
      <w:r>
        <w:rPr>
          <w:rFonts w:ascii="Arial" w:hAnsi="Arial"/>
        </w:rPr>
        <w:t xml:space="preserve">–269. </w:t>
      </w:r>
      <w:proofErr w:type="gramStart"/>
      <w:r>
        <w:rPr>
          <w:rFonts w:ascii="Arial" w:hAnsi="Arial"/>
        </w:rPr>
        <w:t>doi:10.1016/j.ijscr</w:t>
      </w:r>
      <w:proofErr w:type="gramEnd"/>
      <w:r>
        <w:rPr>
          <w:rFonts w:ascii="Arial" w:hAnsi="Arial"/>
        </w:rPr>
        <w:t>.2016.10.015</w:t>
      </w:r>
    </w:p>
    <w:p w14:paraId="1D7E5FB7" w14:textId="77777777" w:rsidR="009841DA" w:rsidRDefault="0081455F">
      <w:pPr>
        <w:pStyle w:val="Reference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5.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Testini</w:t>
      </w:r>
      <w:proofErr w:type="spellEnd"/>
      <w:r>
        <w:rPr>
          <w:rFonts w:ascii="Arial" w:eastAsia="Arial" w:hAnsi="Arial" w:cs="Arial"/>
        </w:rPr>
        <w:t xml:space="preserve"> M, Girardi A, Isernia RM, et al: Emergency surgery due to diaphragmati</w:t>
      </w:r>
      <w:r>
        <w:rPr>
          <w:rFonts w:ascii="Arial" w:eastAsia="Arial" w:hAnsi="Arial" w:cs="Arial"/>
        </w:rPr>
        <w:t xml:space="preserve">c hernia: case series and review. World J Emerg Surg. </w:t>
      </w:r>
      <w:proofErr w:type="gramStart"/>
      <w:r>
        <w:rPr>
          <w:rFonts w:ascii="Arial" w:eastAsia="Arial" w:hAnsi="Arial" w:cs="Arial"/>
        </w:rPr>
        <w:t>2017;12:23</w:t>
      </w:r>
      <w:proofErr w:type="gramEnd"/>
      <w:r>
        <w:rPr>
          <w:rFonts w:ascii="Arial" w:eastAsia="Arial" w:hAnsi="Arial" w:cs="Arial"/>
        </w:rPr>
        <w:t>. doi:10.1186/s13017-017-0134-5</w:t>
      </w:r>
    </w:p>
    <w:p w14:paraId="142AA9DA" w14:textId="77777777" w:rsidR="009841DA" w:rsidRDefault="0081455F">
      <w:pPr>
        <w:pStyle w:val="Reference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6.</w:t>
      </w:r>
      <w:r>
        <w:rPr>
          <w:rFonts w:ascii="Arial" w:eastAsia="Arial" w:hAnsi="Arial" w:cs="Arial"/>
        </w:rPr>
        <w:tab/>
        <w:t xml:space="preserve">Kishore A, Singh A, Jain A: Traumatic diaphragmatic hernia: a case report. Int Surg J. </w:t>
      </w:r>
      <w:proofErr w:type="gramStart"/>
      <w:r>
        <w:rPr>
          <w:rFonts w:ascii="Arial" w:eastAsia="Arial" w:hAnsi="Arial" w:cs="Arial"/>
        </w:rPr>
        <w:t>2018;5:2378</w:t>
      </w:r>
      <w:proofErr w:type="gramEnd"/>
      <w:r>
        <w:rPr>
          <w:rFonts w:ascii="Arial" w:hAnsi="Arial"/>
        </w:rPr>
        <w:t>–2382. doi:10.18203/2349-2902.isj20182259</w:t>
      </w:r>
    </w:p>
    <w:p w14:paraId="43C2D6C7" w14:textId="77777777" w:rsidR="009841DA" w:rsidRDefault="0081455F">
      <w:pPr>
        <w:pStyle w:val="Reference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7.</w:t>
      </w:r>
      <w:r>
        <w:rPr>
          <w:rFonts w:ascii="Arial" w:eastAsia="Arial" w:hAnsi="Arial" w:cs="Arial"/>
        </w:rPr>
        <w:tab/>
        <w:t>Nguyen P, Da</w:t>
      </w:r>
      <w:r>
        <w:rPr>
          <w:rFonts w:ascii="Arial" w:eastAsia="Arial" w:hAnsi="Arial" w:cs="Arial"/>
        </w:rPr>
        <w:t xml:space="preserve">vis B, Tran DD: Laparoscopic repair of diaphragmatic rupture: a case report with radiological and surgical correlation. Case Rep Surg. </w:t>
      </w:r>
      <w:proofErr w:type="gramStart"/>
      <w:r>
        <w:rPr>
          <w:rFonts w:ascii="Arial" w:eastAsia="Arial" w:hAnsi="Arial" w:cs="Arial"/>
        </w:rPr>
        <w:t>2017;2017:4159108</w:t>
      </w:r>
      <w:proofErr w:type="gramEnd"/>
      <w:r>
        <w:rPr>
          <w:rFonts w:ascii="Arial" w:eastAsia="Arial" w:hAnsi="Arial" w:cs="Arial"/>
        </w:rPr>
        <w:t>. doi:10.1155/2017/4159108</w:t>
      </w:r>
    </w:p>
    <w:p w14:paraId="24B66E2E" w14:textId="77777777" w:rsidR="009841DA" w:rsidRDefault="0081455F">
      <w:pPr>
        <w:pStyle w:val="Reference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8.</w:t>
      </w:r>
      <w:r>
        <w:rPr>
          <w:rFonts w:ascii="Arial" w:eastAsia="Arial" w:hAnsi="Arial" w:cs="Arial"/>
        </w:rPr>
        <w:tab/>
        <w:t xml:space="preserve">Chao PH, Chuang JH, Lee SY, Huang HC. </w:t>
      </w:r>
      <w:proofErr w:type="spellStart"/>
      <w:r>
        <w:rPr>
          <w:rFonts w:ascii="Arial" w:eastAsia="Arial" w:hAnsi="Arial" w:cs="Arial"/>
        </w:rPr>
        <w:t>Bochdalek</w:t>
      </w:r>
      <w:proofErr w:type="spellEnd"/>
      <w:r>
        <w:rPr>
          <w:rFonts w:ascii="Arial" w:eastAsia="Arial" w:hAnsi="Arial" w:cs="Arial"/>
        </w:rPr>
        <w:t xml:space="preserve"> hernia in an adolescent: </w:t>
      </w:r>
      <w:r>
        <w:rPr>
          <w:rFonts w:ascii="Arial" w:eastAsia="Arial" w:hAnsi="Arial" w:cs="Arial"/>
        </w:rPr>
        <w:t xml:space="preserve">case report. Acta </w:t>
      </w:r>
      <w:proofErr w:type="spellStart"/>
      <w:r>
        <w:rPr>
          <w:rFonts w:ascii="Arial" w:eastAsia="Arial" w:hAnsi="Arial" w:cs="Arial"/>
        </w:rPr>
        <w:t>Paediatr</w:t>
      </w:r>
      <w:proofErr w:type="spellEnd"/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</w:rPr>
        <w:t>2011;100:425</w:t>
      </w:r>
      <w:proofErr w:type="gramEnd"/>
      <w:r>
        <w:rPr>
          <w:rFonts w:ascii="Arial" w:hAnsi="Arial"/>
        </w:rPr>
        <w:t>–8.</w:t>
      </w:r>
    </w:p>
    <w:p w14:paraId="05ADA50B" w14:textId="77777777" w:rsidR="009841DA" w:rsidRDefault="0081455F">
      <w:pPr>
        <w:pStyle w:val="Reference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9.</w:t>
      </w:r>
      <w:r>
        <w:rPr>
          <w:rFonts w:ascii="Arial" w:eastAsia="Arial" w:hAnsi="Arial" w:cs="Arial"/>
        </w:rPr>
        <w:tab/>
        <w:t xml:space="preserve">Kurniawan N, Verheyen L, Ceulemans. Acute chest pain while exercising: a case report of </w:t>
      </w:r>
      <w:proofErr w:type="spellStart"/>
      <w:r>
        <w:rPr>
          <w:rFonts w:ascii="Arial" w:eastAsia="Arial" w:hAnsi="Arial" w:cs="Arial"/>
        </w:rPr>
        <w:t>Bochdalek</w:t>
      </w:r>
      <w:proofErr w:type="spellEnd"/>
      <w:r>
        <w:rPr>
          <w:rFonts w:ascii="Arial" w:eastAsia="Arial" w:hAnsi="Arial" w:cs="Arial"/>
        </w:rPr>
        <w:t xml:space="preserve"> hernia in an adolescent. Acta Chir Belg. 2013;113(4):290</w:t>
      </w:r>
      <w:r>
        <w:rPr>
          <w:rFonts w:ascii="Arial" w:hAnsi="Arial"/>
        </w:rPr>
        <w:t>–2.</w:t>
      </w:r>
    </w:p>
    <w:p w14:paraId="71A151AA" w14:textId="77777777" w:rsidR="009841DA" w:rsidRDefault="0081455F">
      <w:pPr>
        <w:pStyle w:val="Reference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10.</w:t>
      </w:r>
      <w:r>
        <w:rPr>
          <w:rFonts w:ascii="Arial" w:eastAsia="Arial" w:hAnsi="Arial" w:cs="Arial"/>
        </w:rPr>
        <w:tab/>
        <w:t>Antoniou SA, Rudolph P. The use of biological</w:t>
      </w:r>
      <w:r>
        <w:rPr>
          <w:rFonts w:ascii="Arial" w:eastAsia="Arial" w:hAnsi="Arial" w:cs="Arial"/>
        </w:rPr>
        <w:t xml:space="preserve"> meshes in diaphragmatic defects: an evidence-based review. Front Surg. </w:t>
      </w:r>
      <w:proofErr w:type="gramStart"/>
      <w:r>
        <w:rPr>
          <w:rFonts w:ascii="Arial" w:eastAsia="Arial" w:hAnsi="Arial" w:cs="Arial"/>
        </w:rPr>
        <w:t>2015;2:56</w:t>
      </w:r>
      <w:proofErr w:type="gramEnd"/>
      <w:r>
        <w:rPr>
          <w:rFonts w:ascii="Arial" w:eastAsia="Arial" w:hAnsi="Arial" w:cs="Arial"/>
        </w:rPr>
        <w:t>.</w:t>
      </w:r>
    </w:p>
    <w:p w14:paraId="54C6C936" w14:textId="77777777" w:rsidR="009841DA" w:rsidRDefault="0081455F">
      <w:pPr>
        <w:pStyle w:val="Reference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11.</w:t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Coccolini</w:t>
      </w:r>
      <w:proofErr w:type="spellEnd"/>
      <w:r>
        <w:rPr>
          <w:rFonts w:ascii="Arial" w:eastAsia="Arial" w:hAnsi="Arial" w:cs="Arial"/>
        </w:rPr>
        <w:t xml:space="preserve"> F, </w:t>
      </w:r>
      <w:proofErr w:type="spellStart"/>
      <w:r>
        <w:rPr>
          <w:rFonts w:ascii="Arial" w:eastAsia="Arial" w:hAnsi="Arial" w:cs="Arial"/>
        </w:rPr>
        <w:t>Agresta</w:t>
      </w:r>
      <w:proofErr w:type="spellEnd"/>
      <w:r>
        <w:rPr>
          <w:rFonts w:ascii="Arial" w:eastAsia="Arial" w:hAnsi="Arial" w:cs="Arial"/>
        </w:rPr>
        <w:t xml:space="preserve"> F, Bassi A, et al. Proposal for a decisional model in using biological prosthesis. World J Emerg Surg. </w:t>
      </w:r>
      <w:proofErr w:type="gramStart"/>
      <w:r>
        <w:rPr>
          <w:rFonts w:ascii="Arial" w:eastAsia="Arial" w:hAnsi="Arial" w:cs="Arial"/>
        </w:rPr>
        <w:t>2012;7:34</w:t>
      </w:r>
      <w:proofErr w:type="gramEnd"/>
      <w:r>
        <w:rPr>
          <w:rFonts w:ascii="Arial" w:eastAsia="Arial" w:hAnsi="Arial" w:cs="Arial"/>
        </w:rPr>
        <w:t>.</w:t>
      </w:r>
    </w:p>
    <w:p w14:paraId="69221087" w14:textId="77777777" w:rsidR="009841DA" w:rsidRDefault="0081455F">
      <w:pPr>
        <w:pStyle w:val="Reference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12.</w:t>
      </w:r>
      <w:r>
        <w:rPr>
          <w:rFonts w:ascii="Arial" w:eastAsia="Arial" w:hAnsi="Arial" w:cs="Arial"/>
        </w:rPr>
        <w:tab/>
        <w:t>Soper NJ, Teitelbaum EN. Lap</w:t>
      </w:r>
      <w:r>
        <w:rPr>
          <w:rFonts w:ascii="Arial" w:eastAsia="Arial" w:hAnsi="Arial" w:cs="Arial"/>
        </w:rPr>
        <w:t xml:space="preserve">aroscopic </w:t>
      </w:r>
      <w:proofErr w:type="spellStart"/>
      <w:r>
        <w:rPr>
          <w:rFonts w:ascii="Arial" w:eastAsia="Arial" w:hAnsi="Arial" w:cs="Arial"/>
        </w:rPr>
        <w:t>paraesophageal</w:t>
      </w:r>
      <w:proofErr w:type="spellEnd"/>
      <w:r>
        <w:rPr>
          <w:rFonts w:ascii="Arial" w:eastAsia="Arial" w:hAnsi="Arial" w:cs="Arial"/>
        </w:rPr>
        <w:t xml:space="preserve"> hernia repair: current controversies. Surg </w:t>
      </w:r>
      <w:proofErr w:type="spellStart"/>
      <w:r>
        <w:rPr>
          <w:rFonts w:ascii="Arial" w:eastAsia="Arial" w:hAnsi="Arial" w:cs="Arial"/>
        </w:rPr>
        <w:t>Laparosc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Endosc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Percutan</w:t>
      </w:r>
      <w:proofErr w:type="spellEnd"/>
      <w:r>
        <w:rPr>
          <w:rFonts w:ascii="Arial" w:eastAsia="Arial" w:hAnsi="Arial" w:cs="Arial"/>
        </w:rPr>
        <w:t xml:space="preserve"> Tech. 2013;23(5):442</w:t>
      </w:r>
      <w:r>
        <w:rPr>
          <w:rFonts w:ascii="Arial" w:hAnsi="Arial"/>
        </w:rPr>
        <w:t>–5.</w:t>
      </w:r>
    </w:p>
    <w:p w14:paraId="5AE10B2B" w14:textId="77777777" w:rsidR="009841DA" w:rsidRDefault="0081455F">
      <w:pPr>
        <w:pStyle w:val="Reference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13.</w:t>
      </w:r>
      <w:r>
        <w:rPr>
          <w:rFonts w:ascii="Arial" w:eastAsia="Arial" w:hAnsi="Arial" w:cs="Arial"/>
        </w:rPr>
        <w:tab/>
        <w:t>Gander JW, Fisher JC, Gross ER, et al. Early recurrence of congenital diaphragmatic hernia after thoracoscopic repair. J Pediatr Surg.</w:t>
      </w:r>
      <w:r>
        <w:rPr>
          <w:rFonts w:ascii="Arial" w:eastAsia="Arial" w:hAnsi="Arial" w:cs="Arial"/>
        </w:rPr>
        <w:t xml:space="preserve"> 2011;46(7):1303</w:t>
      </w:r>
      <w:r>
        <w:rPr>
          <w:rFonts w:ascii="Arial" w:hAnsi="Arial"/>
        </w:rPr>
        <w:t>–8.</w:t>
      </w:r>
    </w:p>
    <w:p w14:paraId="067661B1" w14:textId="77777777" w:rsidR="009841DA" w:rsidRDefault="0081455F">
      <w:pPr>
        <w:pStyle w:val="Reference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14.</w:t>
      </w:r>
      <w:r>
        <w:rPr>
          <w:rFonts w:ascii="Arial" w:eastAsia="Arial" w:hAnsi="Arial" w:cs="Arial"/>
        </w:rPr>
        <w:tab/>
        <w:t xml:space="preserve">Lansdale N, </w:t>
      </w:r>
      <w:proofErr w:type="spellStart"/>
      <w:r>
        <w:rPr>
          <w:rFonts w:ascii="Arial" w:eastAsia="Arial" w:hAnsi="Arial" w:cs="Arial"/>
        </w:rPr>
        <w:t>Alam</w:t>
      </w:r>
      <w:proofErr w:type="spellEnd"/>
      <w:r>
        <w:rPr>
          <w:rFonts w:ascii="Arial" w:eastAsia="Arial" w:hAnsi="Arial" w:cs="Arial"/>
        </w:rPr>
        <w:t xml:space="preserve"> S, </w:t>
      </w:r>
      <w:proofErr w:type="spellStart"/>
      <w:r>
        <w:rPr>
          <w:rFonts w:ascii="Arial" w:eastAsia="Arial" w:hAnsi="Arial" w:cs="Arial"/>
        </w:rPr>
        <w:t>Losty</w:t>
      </w:r>
      <w:proofErr w:type="spellEnd"/>
      <w:r>
        <w:rPr>
          <w:rFonts w:ascii="Arial" w:eastAsia="Arial" w:hAnsi="Arial" w:cs="Arial"/>
        </w:rPr>
        <w:t xml:space="preserve"> PD, </w:t>
      </w:r>
      <w:proofErr w:type="spellStart"/>
      <w:r>
        <w:rPr>
          <w:rFonts w:ascii="Arial" w:eastAsia="Arial" w:hAnsi="Arial" w:cs="Arial"/>
        </w:rPr>
        <w:t>Jesudason</w:t>
      </w:r>
      <w:proofErr w:type="spellEnd"/>
      <w:r>
        <w:rPr>
          <w:rFonts w:ascii="Arial" w:eastAsia="Arial" w:hAnsi="Arial" w:cs="Arial"/>
        </w:rPr>
        <w:t xml:space="preserve"> EC. Neonatal </w:t>
      </w:r>
      <w:proofErr w:type="spellStart"/>
      <w:r>
        <w:rPr>
          <w:rFonts w:ascii="Arial" w:eastAsia="Arial" w:hAnsi="Arial" w:cs="Arial"/>
        </w:rPr>
        <w:t>endosurgical</w:t>
      </w:r>
      <w:proofErr w:type="spellEnd"/>
      <w:r>
        <w:rPr>
          <w:rFonts w:ascii="Arial" w:eastAsia="Arial" w:hAnsi="Arial" w:cs="Arial"/>
        </w:rPr>
        <w:t xml:space="preserve"> congenital diaphragmatic hernia repair: a systematic review. Ann Surg. 2010;252(1):20</w:t>
      </w:r>
      <w:r>
        <w:rPr>
          <w:rFonts w:ascii="Arial" w:hAnsi="Arial"/>
        </w:rPr>
        <w:t>–6.</w:t>
      </w:r>
    </w:p>
    <w:p w14:paraId="068E7A74" w14:textId="77777777" w:rsidR="009841DA" w:rsidRDefault="0081455F">
      <w:pPr>
        <w:pStyle w:val="Reference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15.</w:t>
      </w:r>
      <w:r>
        <w:rPr>
          <w:rFonts w:ascii="Arial" w:eastAsia="Arial" w:hAnsi="Arial" w:cs="Arial"/>
        </w:rPr>
        <w:tab/>
        <w:t>Tsao K, Lally PA, Lally KP. Minimally invasive repair of congenital dia</w:t>
      </w:r>
      <w:r>
        <w:rPr>
          <w:rFonts w:ascii="Arial" w:eastAsia="Arial" w:hAnsi="Arial" w:cs="Arial"/>
        </w:rPr>
        <w:t>phragmatic hernia. J Pediatr Surg. 2011;46(6):1158</w:t>
      </w:r>
      <w:r>
        <w:rPr>
          <w:rFonts w:ascii="Arial" w:hAnsi="Arial"/>
        </w:rPr>
        <w:t>–64.</w:t>
      </w:r>
    </w:p>
    <w:p w14:paraId="22FC5BA1" w14:textId="77777777" w:rsidR="009841DA" w:rsidRDefault="009841DA">
      <w:pPr>
        <w:pStyle w:val="BodyA"/>
        <w:spacing w:after="0"/>
        <w:jc w:val="left"/>
      </w:pPr>
    </w:p>
    <w:p w14:paraId="4653FEC3" w14:textId="77777777" w:rsidR="009841DA" w:rsidRDefault="009841DA">
      <w:pPr>
        <w:pStyle w:val="BodyA"/>
        <w:spacing w:after="0"/>
        <w:rPr>
          <w:rFonts w:ascii="Arial" w:eastAsia="Arial" w:hAnsi="Arial" w:cs="Arial"/>
        </w:rPr>
      </w:pPr>
    </w:p>
    <w:p w14:paraId="1F615F6D" w14:textId="77777777" w:rsidR="009841DA" w:rsidRDefault="009841DA">
      <w:pPr>
        <w:pStyle w:val="BodyA"/>
        <w:spacing w:after="0"/>
        <w:rPr>
          <w:rFonts w:ascii="Arial" w:eastAsia="Arial" w:hAnsi="Arial" w:cs="Arial"/>
        </w:rPr>
      </w:pPr>
    </w:p>
    <w:sectPr w:rsidR="009841DA">
      <w:type w:val="continuous"/>
      <w:pgSz w:w="12240" w:h="15840"/>
      <w:pgMar w:top="720" w:right="2016" w:bottom="720" w:left="201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DBA764" w14:textId="77777777" w:rsidR="0081455F" w:rsidRDefault="0081455F">
      <w:r>
        <w:separator/>
      </w:r>
    </w:p>
  </w:endnote>
  <w:endnote w:type="continuationSeparator" w:id="0">
    <w:p w14:paraId="55553F80" w14:textId="77777777" w:rsidR="0081455F" w:rsidRDefault="0081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SimSu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F4854" w14:textId="77777777" w:rsidR="00627DD4" w:rsidRDefault="00627D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92E78" w14:textId="77777777" w:rsidR="00627DD4" w:rsidRDefault="00627D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EA5AC" w14:textId="77777777" w:rsidR="00627DD4" w:rsidRDefault="00627D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3C7BBA" w14:textId="77777777" w:rsidR="0081455F" w:rsidRDefault="0081455F">
      <w:r>
        <w:separator/>
      </w:r>
    </w:p>
  </w:footnote>
  <w:footnote w:type="continuationSeparator" w:id="0">
    <w:p w14:paraId="594FB75F" w14:textId="77777777" w:rsidR="0081455F" w:rsidRDefault="00814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37029" w14:textId="341DF047" w:rsidR="00627DD4" w:rsidRDefault="00627DD4">
    <w:pPr>
      <w:pStyle w:val="Header"/>
    </w:pPr>
    <w:r>
      <w:rPr>
        <w:noProof/>
      </w:rPr>
      <w:pict w14:anchorId="2345496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9032360" o:spid="_x0000_s2050" type="#_x0000_t136" style="position:absolute;margin-left:0;margin-top:0;width:520.65pt;height:57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08909" w14:textId="45299E3E" w:rsidR="00627DD4" w:rsidRDefault="00627DD4">
    <w:pPr>
      <w:pStyle w:val="Header"/>
    </w:pPr>
    <w:r>
      <w:rPr>
        <w:noProof/>
      </w:rPr>
      <w:pict w14:anchorId="49AE777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9032361" o:spid="_x0000_s2051" type="#_x0000_t136" style="position:absolute;margin-left:0;margin-top:0;width:520.65pt;height:57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BB900" w14:textId="7EA4FCFC" w:rsidR="00627DD4" w:rsidRDefault="00627DD4">
    <w:pPr>
      <w:pStyle w:val="Header"/>
    </w:pPr>
    <w:r>
      <w:rPr>
        <w:noProof/>
      </w:rPr>
      <w:pict w14:anchorId="1180360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9032359" o:spid="_x0000_s2049" type="#_x0000_t136" style="position:absolute;margin-left:0;margin-top:0;width:520.65pt;height:57.8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1DA"/>
    <w:rsid w:val="00092C4D"/>
    <w:rsid w:val="00481EE8"/>
    <w:rsid w:val="006279BC"/>
    <w:rsid w:val="00627DD4"/>
    <w:rsid w:val="007E1752"/>
    <w:rsid w:val="0081455F"/>
    <w:rsid w:val="00897480"/>
    <w:rsid w:val="009841DA"/>
    <w:rsid w:val="00AF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058B44B"/>
  <w15:docId w15:val="{F9EE4073-6F78-4DF0-8E5F-54965B55A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ascii="Helvetica" w:hAnsi="Helvetica" w:cs="Arial Unicode MS"/>
      <w:color w:val="000000"/>
      <w:u w:color="000000"/>
      <w:lang w:val="en-US"/>
    </w:rPr>
  </w:style>
  <w:style w:type="paragraph" w:styleId="Title">
    <w:name w:val="Title"/>
    <w:uiPriority w:val="10"/>
    <w:qFormat/>
    <w:pPr>
      <w:spacing w:after="360"/>
      <w:jc w:val="right"/>
    </w:pPr>
    <w:rPr>
      <w:rFonts w:ascii="Helvetica" w:eastAsia="Helvetica" w:hAnsi="Helvetica" w:cs="Helvetica"/>
      <w:b/>
      <w:bCs/>
      <w:color w:val="000000"/>
      <w:kern w:val="28"/>
      <w:sz w:val="36"/>
      <w:szCs w:val="36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Author">
    <w:name w:val="Author"/>
    <w:pPr>
      <w:spacing w:line="280" w:lineRule="exact"/>
      <w:jc w:val="right"/>
    </w:pPr>
    <w:rPr>
      <w:rFonts w:ascii="Helvetica" w:hAnsi="Helvetica" w:cs="Arial Unicode MS"/>
      <w:b/>
      <w:bCs/>
      <w:color w:val="000000"/>
      <w:sz w:val="24"/>
      <w:szCs w:val="24"/>
      <w:u w:color="000000"/>
      <w:lang w:val="en-US"/>
    </w:rPr>
  </w:style>
  <w:style w:type="paragraph" w:customStyle="1" w:styleId="Affiliation">
    <w:name w:val="Affiliation"/>
    <w:pPr>
      <w:spacing w:after="240" w:line="240" w:lineRule="exact"/>
      <w:jc w:val="right"/>
    </w:pPr>
    <w:rPr>
      <w:rFonts w:ascii="Helvetica" w:hAnsi="Helvetica" w:cs="Arial Unicode MS"/>
      <w:color w:val="000000"/>
      <w:u w:color="000000"/>
      <w:lang w:val="en-US"/>
    </w:rPr>
  </w:style>
  <w:style w:type="paragraph" w:customStyle="1" w:styleId="Copyright">
    <w:name w:val="Copyright"/>
    <w:pPr>
      <w:spacing w:after="960" w:line="200" w:lineRule="exact"/>
    </w:pPr>
    <w:rPr>
      <w:rFonts w:ascii="Helvetica" w:eastAsia="Helvetica" w:hAnsi="Helvetica" w:cs="Helvetica"/>
      <w:color w:val="000000"/>
      <w:sz w:val="16"/>
      <w:szCs w:val="16"/>
      <w:u w:color="000000"/>
      <w:lang w:val="en-US"/>
    </w:rPr>
  </w:style>
  <w:style w:type="paragraph" w:customStyle="1" w:styleId="AbstHead">
    <w:name w:val="Abst Head"/>
    <w:pPr>
      <w:keepNext/>
      <w:spacing w:after="240"/>
    </w:pPr>
    <w:rPr>
      <w:rFonts w:ascii="Helvetica" w:hAnsi="Helvetica" w:cs="Arial Unicode MS"/>
      <w:b/>
      <w:bCs/>
      <w:caps/>
      <w:color w:val="000000"/>
      <w:sz w:val="22"/>
      <w:szCs w:val="22"/>
      <w:u w:color="000000"/>
      <w:lang w:val="en-US"/>
    </w:rPr>
  </w:style>
  <w:style w:type="paragraph" w:customStyle="1" w:styleId="BodyA">
    <w:name w:val="Body A"/>
    <w:pPr>
      <w:spacing w:after="240"/>
      <w:jc w:val="both"/>
    </w:pPr>
    <w:rPr>
      <w:rFonts w:ascii="Helvetica" w:eastAsia="Helvetica" w:hAnsi="Helvetica" w:cs="Helvetica"/>
      <w:color w:val="000000"/>
      <w:u w:color="000000"/>
      <w:lang w:val="en-US"/>
    </w:rPr>
  </w:style>
  <w:style w:type="paragraph" w:customStyle="1" w:styleId="Head1">
    <w:name w:val="Head1"/>
    <w:pPr>
      <w:keepNext/>
      <w:spacing w:after="240"/>
    </w:pPr>
    <w:rPr>
      <w:rFonts w:ascii="Helvetica" w:hAnsi="Helvetica" w:cs="Arial Unicode MS"/>
      <w:b/>
      <w:bCs/>
      <w:caps/>
      <w:color w:val="000000"/>
      <w:sz w:val="22"/>
      <w:szCs w:val="22"/>
      <w:u w:color="000000"/>
      <w:lang w:val="en-US"/>
    </w:rPr>
  </w:style>
  <w:style w:type="paragraph" w:customStyle="1" w:styleId="Body">
    <w:name w:val="Body"/>
    <w:rPr>
      <w:rFonts w:ascii="Helvetica" w:hAnsi="Helvetica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oncHead">
    <w:name w:val="Conc Head"/>
    <w:pPr>
      <w:keepNext/>
      <w:spacing w:after="240"/>
    </w:pPr>
    <w:rPr>
      <w:rFonts w:ascii="Helvetica" w:hAnsi="Helvetica" w:cs="Arial Unicode MS"/>
      <w:b/>
      <w:bCs/>
      <w:caps/>
      <w:color w:val="000000"/>
      <w:sz w:val="22"/>
      <w:szCs w:val="22"/>
      <w:u w:color="000000"/>
      <w:lang w:val="en-US"/>
    </w:rPr>
  </w:style>
  <w:style w:type="paragraph" w:customStyle="1" w:styleId="AcknHead">
    <w:name w:val="Ackn Head"/>
    <w:pPr>
      <w:keepNext/>
      <w:spacing w:after="240"/>
    </w:pPr>
    <w:rPr>
      <w:rFonts w:ascii="Helvetica" w:eastAsia="Helvetica" w:hAnsi="Helvetica" w:cs="Helvetica"/>
      <w:b/>
      <w:bCs/>
      <w:caps/>
      <w:color w:val="000000"/>
      <w:sz w:val="22"/>
      <w:szCs w:val="22"/>
      <w:u w:color="000000"/>
      <w:lang w:val="en-US"/>
    </w:rPr>
  </w:style>
  <w:style w:type="paragraph" w:customStyle="1" w:styleId="ReferHead">
    <w:name w:val="Refer Head"/>
    <w:pPr>
      <w:keepNext/>
      <w:spacing w:after="240"/>
    </w:pPr>
    <w:rPr>
      <w:rFonts w:ascii="Helvetica" w:eastAsia="Helvetica" w:hAnsi="Helvetica" w:cs="Helvetica"/>
      <w:b/>
      <w:bCs/>
      <w:caps/>
      <w:color w:val="000000"/>
      <w:sz w:val="22"/>
      <w:szCs w:val="22"/>
      <w:u w:color="000000"/>
      <w:lang w:val="en-US"/>
    </w:rPr>
  </w:style>
  <w:style w:type="paragraph" w:customStyle="1" w:styleId="Reference">
    <w:name w:val="Reference"/>
    <w:pPr>
      <w:tabs>
        <w:tab w:val="left" w:pos="360"/>
      </w:tabs>
      <w:spacing w:line="240" w:lineRule="exact"/>
      <w:jc w:val="both"/>
    </w:pPr>
    <w:rPr>
      <w:rFonts w:ascii="Helvetica" w:eastAsia="Helvetica" w:hAnsi="Helvetica" w:cs="Helvetica"/>
      <w:color w:val="000000"/>
      <w:u w:color="000000"/>
      <w:lang w:val="en-US"/>
    </w:rPr>
  </w:style>
  <w:style w:type="paragraph" w:customStyle="1" w:styleId="Appendix">
    <w:name w:val="Appendix"/>
    <w:pPr>
      <w:keepNext/>
      <w:spacing w:after="240"/>
    </w:pPr>
    <w:rPr>
      <w:rFonts w:ascii="Helvetica" w:hAnsi="Helvetica" w:cs="Arial Unicode MS"/>
      <w:b/>
      <w:bCs/>
      <w:caps/>
      <w:color w:val="000000"/>
      <w:sz w:val="22"/>
      <w:szCs w:val="22"/>
      <w:u w:color="0000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974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748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1418</Words>
  <Characters>8086</Characters>
  <Application>Microsoft Office Word</Application>
  <DocSecurity>0</DocSecurity>
  <Lines>67</Lines>
  <Paragraphs>18</Paragraphs>
  <ScaleCrop>false</ScaleCrop>
  <Company/>
  <LinksUpToDate>false</LinksUpToDate>
  <CharactersWithSpaces>9486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PC 1170</cp:lastModifiedBy>
  <cp:revision>26</cp:revision>
  <dcterms:created xsi:type="dcterms:W3CDTF">2026-03-21T05:49:00Z</dcterms:created>
  <dcterms:modified xsi:type="dcterms:W3CDTF">2026-03-21T10:27:00Z</dcterms:modified>
</cp:coreProperties>
</file>