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35D1A" w:rsidRPr="00A77E4F" w:rsidRDefault="00835D1A" w:rsidP="00835D1A">
      <w:pPr>
        <w:pStyle w:val="NormalWeb"/>
        <w:spacing w:before="0" w:beforeAutospacing="0" w:after="242" w:afterAutospacing="0"/>
      </w:pPr>
      <w:r w:rsidRPr="00A77E4F">
        <w:rPr>
          <w:b/>
          <w:bCs/>
          <w:color w:val="000000"/>
        </w:rPr>
        <w:t>Tongue Cancer Resections: A Mobility-Based Approach to Simplifying Reconstructive Decisions — An Expert Clinical Perspective Supported by an Institutional Series</w:t>
      </w:r>
    </w:p>
    <w:p w:rsidR="00746358" w:rsidRPr="00A77E4F" w:rsidRDefault="00746358" w:rsidP="0038525D">
      <w:pPr>
        <w:spacing w:before="320" w:after="160"/>
        <w:rPr>
          <w:b/>
          <w:bCs/>
          <w:color w:val="000000"/>
        </w:rPr>
      </w:pPr>
      <w:bookmarkStart w:id="0" w:name="_GoBack"/>
      <w:bookmarkEnd w:id="0"/>
    </w:p>
    <w:p w:rsidR="00746358" w:rsidRPr="00A77E4F" w:rsidRDefault="00746358" w:rsidP="0038525D">
      <w:pPr>
        <w:spacing w:before="320" w:after="160"/>
        <w:rPr>
          <w:b/>
          <w:bCs/>
          <w:color w:val="000000"/>
        </w:rPr>
      </w:pPr>
    </w:p>
    <w:p w:rsidR="0038525D" w:rsidRPr="00A77E4F" w:rsidRDefault="0038525D" w:rsidP="0038525D">
      <w:pPr>
        <w:spacing w:before="320" w:after="160"/>
      </w:pPr>
      <w:r w:rsidRPr="00A77E4F">
        <w:rPr>
          <w:b/>
          <w:bCs/>
          <w:color w:val="000000"/>
        </w:rPr>
        <w:t>Abstract</w:t>
      </w:r>
    </w:p>
    <w:p w:rsidR="0038525D" w:rsidRPr="00A77E4F" w:rsidRDefault="0038525D" w:rsidP="0038525D">
      <w:pPr>
        <w:spacing w:after="200" w:line="360" w:lineRule="atLeast"/>
        <w:jc w:val="both"/>
      </w:pPr>
      <w:r w:rsidRPr="00A77E4F">
        <w:rPr>
          <w:b/>
          <w:bCs/>
          <w:color w:val="000000"/>
        </w:rPr>
        <w:t>Background: </w:t>
      </w:r>
      <w:r w:rsidRPr="00A77E4F">
        <w:rPr>
          <w:color w:val="000000"/>
        </w:rPr>
        <w:t>Reconstruction after partial glossectomy is frequently guided by defect size or the percentage of tongue resected. In clinical practice, however, the determinant that most consistently predicts meaningful functional recovery is residual tongue mobility — particularly preservation of a mobile tip and prevention of floor-of-mouth tethering. Evidence comparing primary closure with flap reconstruction indicates that when primary closure preserves mobility, early speech and swallowing outcomes can be superior to those achieved with flap reconstruction, while larger or composite defects may require vascularized tissue to prevent fixation and fibrosis. [1–3]</w:t>
      </w:r>
    </w:p>
    <w:p w:rsidR="0038525D" w:rsidRPr="00A77E4F" w:rsidRDefault="0038525D" w:rsidP="0038525D">
      <w:pPr>
        <w:spacing w:after="200" w:line="360" w:lineRule="atLeast"/>
        <w:jc w:val="both"/>
      </w:pPr>
      <w:r w:rsidRPr="00A77E4F">
        <w:rPr>
          <w:b/>
          <w:bCs/>
          <w:color w:val="000000"/>
        </w:rPr>
        <w:t>Objective: </w:t>
      </w:r>
      <w:r w:rsidRPr="00A77E4F">
        <w:rPr>
          <w:color w:val="000000"/>
        </w:rPr>
        <w:t>To present a mobility-based reconstructive philosophy for lateral oral tongue cancer resections, supported by a consecutive institutional experience of 29 cases, and contextualized with key literature.</w:t>
      </w:r>
    </w:p>
    <w:p w:rsidR="0038525D" w:rsidRPr="00A77E4F" w:rsidRDefault="0038525D" w:rsidP="0038525D">
      <w:pPr>
        <w:spacing w:after="200" w:line="360" w:lineRule="atLeast"/>
        <w:jc w:val="both"/>
      </w:pPr>
      <w:r w:rsidRPr="00A77E4F">
        <w:rPr>
          <w:b/>
          <w:bCs/>
          <w:color w:val="000000"/>
        </w:rPr>
        <w:t>Methods and Results: </w:t>
      </w:r>
      <w:r w:rsidRPr="00A77E4F">
        <w:rPr>
          <w:color w:val="000000"/>
        </w:rPr>
        <w:t>Over a three-year period, 29 consecutive lateral oral tongue resections were performed. Eleven cases (11/29) were managed by longitudinal primary closure with satisfactory mobility and early oral intake. Eighteen cases (18/29) required microvascular reconstruction because floor-of-mouth involvement and/or tethering after trial closure threatened residual mobility. Early cases utilized the radial forearm free flap (RFFF, n=3); a thin anterolateral thigh (ALT) free flap was subsequently adopted as the institutional default (n=15). No flap loss occurred (100% flap survival). ALT donor sites were associated with two superficial wound infections, both managed conservatively with no major morbidity.</w:t>
      </w:r>
    </w:p>
    <w:p w:rsidR="0038525D" w:rsidRPr="00A77E4F" w:rsidRDefault="0038525D" w:rsidP="0038525D">
      <w:pPr>
        <w:spacing w:after="200" w:line="360" w:lineRule="atLeast"/>
        <w:jc w:val="both"/>
      </w:pPr>
      <w:r w:rsidRPr="00A77E4F">
        <w:rPr>
          <w:b/>
          <w:bCs/>
          <w:color w:val="000000"/>
        </w:rPr>
        <w:t>Conclusion: </w:t>
      </w:r>
      <w:r w:rsidRPr="00A77E4F">
        <w:rPr>
          <w:color w:val="000000"/>
        </w:rPr>
        <w:t>For lateral tongue cancer resections, mobility — rather than cosmetic completeness — should drive reconstructive decision-making. Primary longitudinal closure is preferred when it preserves a mobile tongue and tip. When floor-of-mouth resection or margin revision risks tethering, a thin ALT free flap provides reliable, customizable vascularized tissue to maintain mobility while minimizing donor-site morbidity. [1,4,6–9]</w:t>
      </w:r>
    </w:p>
    <w:p w:rsidR="0038525D" w:rsidRPr="00A77E4F" w:rsidRDefault="0038525D" w:rsidP="0038525D">
      <w:pPr>
        <w:spacing w:after="200" w:line="360" w:lineRule="atLeast"/>
        <w:jc w:val="both"/>
      </w:pPr>
      <w:r w:rsidRPr="00A77E4F">
        <w:rPr>
          <w:b/>
          <w:bCs/>
          <w:i/>
          <w:iCs/>
          <w:color w:val="000000"/>
        </w:rPr>
        <w:t>Keywords: </w:t>
      </w:r>
      <w:r w:rsidRPr="00A77E4F">
        <w:rPr>
          <w:i/>
          <w:iCs/>
          <w:color w:val="000000"/>
        </w:rPr>
        <w:t>oral tongue cancer; partial glossectomy; reconstruction; primary closure; anterolateral thigh flap; radial forearm flap; tongue mobility; floor of mouth tethering.</w:t>
      </w:r>
    </w:p>
    <w:p w:rsidR="00835D1A" w:rsidRPr="00A77E4F" w:rsidRDefault="00835D1A" w:rsidP="0038525D">
      <w:pPr>
        <w:spacing w:before="320" w:after="160"/>
        <w:rPr>
          <w:b/>
          <w:bCs/>
          <w:color w:val="000000"/>
        </w:rPr>
      </w:pPr>
    </w:p>
    <w:p w:rsidR="00835D1A" w:rsidRPr="00A77E4F" w:rsidRDefault="00835D1A" w:rsidP="0038525D">
      <w:pPr>
        <w:spacing w:before="320" w:after="160"/>
        <w:rPr>
          <w:b/>
          <w:bCs/>
          <w:color w:val="000000"/>
        </w:rPr>
      </w:pPr>
    </w:p>
    <w:p w:rsidR="0038525D" w:rsidRPr="00A77E4F" w:rsidRDefault="0038525D" w:rsidP="0038525D">
      <w:pPr>
        <w:spacing w:before="320" w:after="160"/>
      </w:pPr>
      <w:r w:rsidRPr="00A77E4F">
        <w:rPr>
          <w:b/>
          <w:bCs/>
          <w:color w:val="000000"/>
        </w:rPr>
        <w:lastRenderedPageBreak/>
        <w:t>1. Introduction</w:t>
      </w:r>
    </w:p>
    <w:p w:rsidR="0038525D" w:rsidRPr="00A77E4F" w:rsidRDefault="0038525D" w:rsidP="0038525D">
      <w:pPr>
        <w:spacing w:after="200" w:line="360" w:lineRule="atLeast"/>
        <w:ind w:firstLine="720"/>
        <w:jc w:val="both"/>
      </w:pPr>
      <w:r w:rsidRPr="00A77E4F">
        <w:rPr>
          <w:color w:val="000000"/>
        </w:rPr>
        <w:t>Oral tongue squamous cell carcinoma (OTSCC) represents one of the most functionally demanding cancers in the head and neck region. Surgical management must balance uncompromising oncologic clearance with the preservation of three core functional domains: speech, swallowing, and oral clearance — collectively referred to here as the "3S" framework. The literature consistently demonstrates that postoperative outcomes depend on multiple interacting variables, including the extent and subsite of resection, adjuvant therapy, and the choice of reconstructive method. [1,2]</w:t>
      </w:r>
    </w:p>
    <w:p w:rsidR="0038525D" w:rsidRPr="00A77E4F" w:rsidRDefault="0038525D" w:rsidP="0038525D">
      <w:pPr>
        <w:spacing w:after="200" w:line="360" w:lineRule="atLeast"/>
        <w:ind w:firstLine="720"/>
        <w:jc w:val="both"/>
      </w:pPr>
      <w:r w:rsidRPr="00A77E4F">
        <w:rPr>
          <w:color w:val="000000"/>
        </w:rPr>
        <w:t>Traditional reconstructive heuristics have long employed the percentage of tongue removed, or the geometric dimensions of the resultant defect, to guide the choice between primary closure, local or pedicled flaps, and free tissue transfer. While such formulas provide useful scaffolding, they can obscure a fundamental clinical truth: a thin, serpentine tongue that is freely mobile may function significantly better than a bulky, geometrically well-shaped tongue that is heavy or tethered to the floor of mouth. Classic functional studies have reported superior swallowing efficiency and conversational speech intelligibility with primary closure compared with flap reconstruction in appropriately selected patients. [3]</w:t>
      </w:r>
    </w:p>
    <w:p w:rsidR="0038525D" w:rsidRPr="00A77E4F" w:rsidRDefault="0038525D" w:rsidP="0038525D">
      <w:pPr>
        <w:spacing w:after="200" w:line="360" w:lineRule="atLeast"/>
        <w:ind w:firstLine="720"/>
        <w:jc w:val="both"/>
      </w:pPr>
      <w:r w:rsidRPr="00A77E4F">
        <w:rPr>
          <w:color w:val="000000"/>
        </w:rPr>
        <w:t>This paper presents an expert clinical perspective developed over more than three decades of tongue cancer surgery, supported by a consecutive institutional series of 29 cases, and anchored by selective high-quality literature. The central thesis is that preservation of tongue mobility — not cosmetic restoration of volume or contour — should serve as the primary driver of reconstructive decision-making in lateral oral tongue cancer resections.</w:t>
      </w:r>
    </w:p>
    <w:p w:rsidR="0038525D" w:rsidRPr="00A77E4F" w:rsidRDefault="0038525D" w:rsidP="0038525D">
      <w:pPr>
        <w:spacing w:before="320" w:after="160"/>
      </w:pPr>
      <w:r w:rsidRPr="00A77E4F">
        <w:rPr>
          <w:b/>
          <w:bCs/>
          <w:color w:val="000000"/>
        </w:rPr>
        <w:t>2. Case Presentation</w:t>
      </w:r>
    </w:p>
    <w:p w:rsidR="0038525D" w:rsidRPr="00A77E4F" w:rsidRDefault="0038525D" w:rsidP="0038525D">
      <w:pPr>
        <w:spacing w:after="200" w:line="360" w:lineRule="atLeast"/>
        <w:ind w:firstLine="720"/>
        <w:jc w:val="both"/>
      </w:pPr>
      <w:r w:rsidRPr="00A77E4F">
        <w:rPr>
          <w:color w:val="000000"/>
        </w:rPr>
        <w:t xml:space="preserve">A 55-year-old gentleman with a long history of chronic tobacco chewing presented with an endophytic, triangular lateral oral tongue lesion measuring more than 4 cm in its greatest dimension. The superficial ulcer was laterally situated, but preoperative magnetic resonance imaging raised concern regarding deeper extension toward the midline. Following thorough preoperative </w:t>
      </w:r>
      <w:proofErr w:type="spellStart"/>
      <w:r w:rsidRPr="00A77E4F">
        <w:rPr>
          <w:color w:val="000000"/>
        </w:rPr>
        <w:t>counseling</w:t>
      </w:r>
      <w:proofErr w:type="spellEnd"/>
      <w:r w:rsidRPr="00A77E4F">
        <w:rPr>
          <w:color w:val="000000"/>
        </w:rPr>
        <w:t xml:space="preserve"> — which explicitly included the possibility of intraoperative conversion to microvascular reconstruction should functional mobility be at risk — the planned operative strategy was wide local excision with primary closure, as the floor of mouth appeared clinically and radiologically uninvolved.</w:t>
      </w:r>
    </w:p>
    <w:p w:rsidR="0038525D" w:rsidRPr="00A77E4F" w:rsidRDefault="0038525D" w:rsidP="0038525D">
      <w:pPr>
        <w:spacing w:after="200" w:line="360" w:lineRule="atLeast"/>
        <w:ind w:firstLine="720"/>
        <w:jc w:val="both"/>
      </w:pPr>
      <w:r w:rsidRPr="00A77E4F">
        <w:rPr>
          <w:color w:val="000000"/>
        </w:rPr>
        <w:t>Intraoperatively, mucosal resection with adequate macroscopic margins was achieved; however, frozen section analysis reported a close lateral margin, necessitating re-excision that extended into the floor of mouth. A trial longitudinal primary closure was performed on table, at which point the tongue was clearly tethered to the floor of mouth, posing an unacceptable threat to residual mobility and, by extension, to all three domains of the 3S framework.</w:t>
      </w:r>
    </w:p>
    <w:p w:rsidR="0038525D" w:rsidRPr="00A77E4F" w:rsidRDefault="0038525D" w:rsidP="0038525D">
      <w:pPr>
        <w:spacing w:after="200" w:line="360" w:lineRule="atLeast"/>
        <w:ind w:firstLine="720"/>
        <w:jc w:val="both"/>
      </w:pPr>
      <w:r w:rsidRPr="00A77E4F">
        <w:rPr>
          <w:color w:val="000000"/>
        </w:rPr>
        <w:lastRenderedPageBreak/>
        <w:t>Given that microvascular reconstruction substantially increases operative duration — typically by four to six hours — and may entail overnight mechanical ventilation and a delay in oral feeding compared with uncomplicated primary closure, the revised plan was re-discussed with the patient's attendants in accordance with the preoperative consent framework. Free flap reconstruction was then performed using a thin ALT flap harvested from the anterolateral thigh, which was inset to bridge the floor-of-mouth defect and restore pliable, mobile lining around the residual tongue. The patient recovered without major complications, regained swallowing and speech to a functional level, and proceeded to adjuvant oncologic therapy determined by final histopathological risk stratification.</w:t>
      </w:r>
    </w:p>
    <w:p w:rsidR="0038525D" w:rsidRPr="00A77E4F" w:rsidRDefault="0038525D" w:rsidP="0038525D">
      <w:pPr>
        <w:spacing w:after="200" w:line="360" w:lineRule="atLeast"/>
        <w:ind w:firstLine="720"/>
        <w:jc w:val="both"/>
      </w:pPr>
      <w:r w:rsidRPr="00A77E4F">
        <w:rPr>
          <w:color w:val="000000"/>
        </w:rPr>
        <w:t>This case exemplifies the central clinical scenario that prompted our institutional transition toward a mobility-based reconstructive framework: intraoperative decision pivots driven not by defect geometry but by a real-time assessment of whether residual tongue mobility can be preserved.</w:t>
      </w:r>
    </w:p>
    <w:p w:rsidR="0038525D" w:rsidRPr="00A77E4F" w:rsidRDefault="0038525D" w:rsidP="0038525D">
      <w:pPr>
        <w:spacing w:before="320" w:after="160"/>
      </w:pPr>
      <w:r w:rsidRPr="00A77E4F">
        <w:rPr>
          <w:b/>
          <w:bCs/>
          <w:color w:val="000000"/>
        </w:rPr>
        <w:t>3. Discussion</w:t>
      </w:r>
    </w:p>
    <w:p w:rsidR="0038525D" w:rsidRPr="00A77E4F" w:rsidRDefault="0038525D" w:rsidP="0038525D">
      <w:pPr>
        <w:spacing w:before="320" w:after="160"/>
      </w:pPr>
      <w:r w:rsidRPr="00A77E4F">
        <w:rPr>
          <w:b/>
          <w:bCs/>
          <w:color w:val="000000"/>
        </w:rPr>
        <w:t>3.1 Expert Philosophy: "Mobility First" Reconstruction</w:t>
      </w:r>
    </w:p>
    <w:p w:rsidR="0038525D" w:rsidRPr="00A77E4F" w:rsidRDefault="0038525D" w:rsidP="0038525D">
      <w:pPr>
        <w:spacing w:after="200" w:line="360" w:lineRule="atLeast"/>
        <w:ind w:firstLine="720"/>
        <w:jc w:val="both"/>
      </w:pPr>
      <w:r w:rsidRPr="00A77E4F">
        <w:rPr>
          <w:color w:val="000000"/>
        </w:rPr>
        <w:t>The foundational principle underpinning our reconstructive approach is that the tongue is not reconstructed for cosmetic form; it is reconstructed to preserve functional independence. This reframing carries important practical consequences. It means that reconstruction — whether primary closure or free flap — must be evaluated against a single overriding question: will this plan preserve a freely mobile tongue, particularly at the tip, and prevent tethering to the floor of mouth?</w:t>
      </w:r>
    </w:p>
    <w:p w:rsidR="0038525D" w:rsidRPr="00A77E4F" w:rsidRDefault="0038525D" w:rsidP="0038525D">
      <w:pPr>
        <w:spacing w:after="200" w:line="360" w:lineRule="atLeast"/>
        <w:ind w:firstLine="720"/>
        <w:jc w:val="both"/>
      </w:pPr>
      <w:r w:rsidRPr="00A77E4F">
        <w:rPr>
          <w:color w:val="000000"/>
        </w:rPr>
        <w:t xml:space="preserve">When the tongue tip is </w:t>
      </w:r>
      <w:proofErr w:type="spellStart"/>
      <w:r w:rsidRPr="00A77E4F">
        <w:rPr>
          <w:color w:val="000000"/>
        </w:rPr>
        <w:t>oncologically</w:t>
      </w:r>
      <w:proofErr w:type="spellEnd"/>
      <w:r w:rsidRPr="00A77E4F">
        <w:rPr>
          <w:color w:val="000000"/>
        </w:rPr>
        <w:t xml:space="preserve"> spared, it must be preserved in its native anatomical orientation. The temptation to rotate the tip posteriorly in order to "complete" the apparent contour of the tongue should be resisted, as doing so trades cosmetic symmetry for a measurable deficit in tip function, sensory precision, and fine motor articulation. Cosmetic completeness is a secondary consideration; mobility is primary.</w:t>
      </w:r>
    </w:p>
    <w:p w:rsidR="0038525D" w:rsidRPr="00A77E4F" w:rsidRDefault="0038525D" w:rsidP="0038525D">
      <w:pPr>
        <w:spacing w:before="320" w:after="160"/>
      </w:pPr>
      <w:r w:rsidRPr="00A77E4F">
        <w:rPr>
          <w:b/>
          <w:bCs/>
          <w:color w:val="000000"/>
        </w:rPr>
        <w:t>3.2 Institutional Experience: Cohort Summary</w:t>
      </w:r>
    </w:p>
    <w:p w:rsidR="0038525D" w:rsidRPr="00A77E4F" w:rsidRDefault="0038525D" w:rsidP="0038525D">
      <w:pPr>
        <w:spacing w:after="200" w:line="360" w:lineRule="atLeast"/>
        <w:ind w:firstLine="720"/>
        <w:jc w:val="both"/>
      </w:pPr>
      <w:r w:rsidRPr="00A77E4F">
        <w:rPr>
          <w:color w:val="000000"/>
        </w:rPr>
        <w:t>Over a three-year period, 29 consecutive lateral oral tongue resections formed the basis of this institutional review. Eleven patients (11/29) were managed with longitudinal — vertical or oblique longitudinal — primary closure, which proved adequate in each case to preserve satisfactory residual mobility and permit early resumption of oral intake. These cases were defined by intact floor-of-mouth mucosa and an absence of tethering following closure on table.</w:t>
      </w:r>
    </w:p>
    <w:p w:rsidR="0038525D" w:rsidRPr="00A77E4F" w:rsidRDefault="0038525D" w:rsidP="0038525D">
      <w:pPr>
        <w:spacing w:after="200" w:line="360" w:lineRule="atLeast"/>
        <w:ind w:firstLine="720"/>
        <w:jc w:val="both"/>
      </w:pPr>
      <w:r w:rsidRPr="00A77E4F">
        <w:rPr>
          <w:color w:val="000000"/>
        </w:rPr>
        <w:lastRenderedPageBreak/>
        <w:t>Eighteen patients (18/29) required microvascular reconstruction, the indication in each case being either primary or margin-driven floor-of-mouth resection, or the demonstration of tethering after trial primary closure. In the earlier part of our experience, three reconstructions were performed using the radial forearm free flap (RFFF). Recognizing greater perceived donor-site morbidity with this approach, we subsequently adopted the thin ALT free flap as the institutional default for the remaining fifteen microvascular cases. No flap was lost across the entire series, representing 100% flap survival. ALT donor sites were associated with two superficial wound infections, both of which resolved with conservative management and neither of which constituted major morbidity.</w:t>
      </w:r>
    </w:p>
    <w:p w:rsidR="0038525D" w:rsidRPr="00A77E4F" w:rsidRDefault="0038525D" w:rsidP="0038525D">
      <w:pPr>
        <w:spacing w:after="200" w:line="360" w:lineRule="atLeast"/>
        <w:ind w:firstLine="720"/>
        <w:jc w:val="both"/>
      </w:pPr>
      <w:r w:rsidRPr="00A77E4F">
        <w:rPr>
          <w:color w:val="000000"/>
        </w:rPr>
        <w:t>These outcomes are contextually supported by comparative literature. Both the ALT and RFFF remain widely accepted reconstructive options for tongue defects, with studies demonstrating broadly comparable reconstructive effectiveness and variable functional differences depending on flap thickness, defect characteristics, and assessment methodology. [4–7]</w:t>
      </w:r>
    </w:p>
    <w:p w:rsidR="0038525D" w:rsidRPr="00A77E4F" w:rsidRDefault="0038525D" w:rsidP="0038525D">
      <w:pPr>
        <w:spacing w:before="320" w:after="160"/>
      </w:pPr>
      <w:r w:rsidRPr="00A77E4F">
        <w:rPr>
          <w:b/>
          <w:bCs/>
          <w:color w:val="000000"/>
        </w:rPr>
        <w:t>3.3 Primary Closure Can Outperform Flaps When Mobility Is Preserved</w:t>
      </w:r>
    </w:p>
    <w:p w:rsidR="0038525D" w:rsidRPr="00A77E4F" w:rsidRDefault="0038525D" w:rsidP="0038525D">
      <w:pPr>
        <w:spacing w:after="200" w:line="360" w:lineRule="atLeast"/>
        <w:ind w:firstLine="720"/>
        <w:jc w:val="both"/>
      </w:pPr>
      <w:r w:rsidRPr="00A77E4F">
        <w:rPr>
          <w:color w:val="000000"/>
        </w:rPr>
        <w:t>Functional comparisons between primary closure and flap reconstruction for oral tongue resections have shown that, in carefully selected cases, primary closure can yield more efficient swallowing and higher speech intelligibility than flap-based reconstruction. [3] This advantage is most plausibly attributed to the absence of added bulk and the preservation of native muscular architecture, rather than any inherent superiority of the technique per se. Our series supports this finding: the eleven patients managed with primary longitudinal closure achieved satisfactory 3S outcomes without the added operative complexity, time, and recovery demands of microvascular reconstruction.</w:t>
      </w:r>
    </w:p>
    <w:p w:rsidR="0038525D" w:rsidRPr="00A77E4F" w:rsidRDefault="0038525D" w:rsidP="0038525D">
      <w:pPr>
        <w:spacing w:before="320" w:after="160"/>
      </w:pPr>
      <w:r w:rsidRPr="00A77E4F">
        <w:rPr>
          <w:b/>
          <w:bCs/>
          <w:color w:val="000000"/>
        </w:rPr>
        <w:t>3.4 Free Flaps Protect the Conditions for Function Rather Than Restore Function</w:t>
      </w:r>
    </w:p>
    <w:p w:rsidR="0038525D" w:rsidRPr="00A77E4F" w:rsidRDefault="0038525D" w:rsidP="0038525D">
      <w:pPr>
        <w:spacing w:after="200" w:line="360" w:lineRule="atLeast"/>
        <w:ind w:firstLine="720"/>
        <w:jc w:val="both"/>
      </w:pPr>
      <w:r w:rsidRPr="00A77E4F">
        <w:rPr>
          <w:color w:val="000000"/>
        </w:rPr>
        <w:t>A critical conceptual distinction must be drawn between restoring function and protecting the conditions that allow function to emerge. A free flap cannot reproduce the intrinsic muscular peristalsis of the tongue. What it can accomplish — very effectively in experienced hands — is preventing tethering, reducing scar contracture, restoring pliable mucosal lining, and preserving the anatomical independence of the residual tongue from adjacent structures. Broad reconstructive reviews emphasize that flap design, thickness, and defect location exert a strong influence on both speech and swallowing outcomes. [1,2] Our practical framework is a direct expression of this insight: reconstruction using a free flap is employed only when mobility would otherwise be compromised.</w:t>
      </w:r>
    </w:p>
    <w:p w:rsidR="0038525D" w:rsidRPr="00A77E4F" w:rsidRDefault="0038525D" w:rsidP="0038525D">
      <w:pPr>
        <w:spacing w:before="320" w:after="160"/>
      </w:pPr>
      <w:r w:rsidRPr="00A77E4F">
        <w:rPr>
          <w:b/>
          <w:bCs/>
          <w:color w:val="000000"/>
        </w:rPr>
        <w:t>3.5 ALT Versus RFFF: Rationale for Institutional Preference</w:t>
      </w:r>
    </w:p>
    <w:p w:rsidR="0038525D" w:rsidRPr="00A77E4F" w:rsidRDefault="0038525D" w:rsidP="0038525D">
      <w:pPr>
        <w:spacing w:after="200" w:line="360" w:lineRule="atLeast"/>
        <w:ind w:firstLine="720"/>
        <w:jc w:val="both"/>
      </w:pPr>
      <w:r w:rsidRPr="00A77E4F">
        <w:rPr>
          <w:color w:val="000000"/>
        </w:rPr>
        <w:lastRenderedPageBreak/>
        <w:t>The radial forearm free flap is thin, reliably pliable, and widely practiced in tongue reconstruction. Its limitations — donor-site aesthetic deformity, sensory symptoms along the distribution of the lateral cutaneous nerve of the forearm, and sacrifice of a major forearm artery — are well documented. [8] Comparative evaluation of donor-site morbidity has demonstrated reduced burden with the thinned ALT in several institutional series. [8] Studies specifically comparing ALT and RFFF in hemiglossectomy and tongue reconstruction demonstrate broadly similar reconstructive outcomes, with mixed functional differences contingent upon flap thickness and patient selection. [4–7,9]</w:t>
      </w:r>
    </w:p>
    <w:p w:rsidR="0038525D" w:rsidRPr="00A77E4F" w:rsidRDefault="0038525D" w:rsidP="0038525D">
      <w:pPr>
        <w:spacing w:after="200" w:line="360" w:lineRule="atLeast"/>
        <w:ind w:firstLine="720"/>
        <w:jc w:val="both"/>
      </w:pPr>
      <w:r w:rsidRPr="00A77E4F">
        <w:rPr>
          <w:color w:val="000000"/>
        </w:rPr>
        <w:t>In our institutional experience, the perception of greater donor-site morbidity with RFFF led to the adoption of the thin ALT as the preferred microvascular option. Evidence supports that a thin ALT can be safely fashioned and performs acceptably in hemiglossectomy defects, with the added advantage of donor-site preservation in a functionally inconspicuous anatomical region. [4] This approach aligns with our overarching goal: to bring vascularized tissue as a pliable bridge to prevent tethering, and not as bulky volumetric tongue replacement.</w:t>
      </w:r>
    </w:p>
    <w:p w:rsidR="0038525D" w:rsidRPr="00A77E4F" w:rsidRDefault="0038525D" w:rsidP="0038525D">
      <w:pPr>
        <w:spacing w:before="320" w:after="160"/>
      </w:pPr>
      <w:r w:rsidRPr="00A77E4F">
        <w:rPr>
          <w:b/>
          <w:bCs/>
          <w:color w:val="000000"/>
        </w:rPr>
        <w:t>3.6 On Innervated Flaps</w:t>
      </w:r>
    </w:p>
    <w:p w:rsidR="0038525D" w:rsidRPr="00A77E4F" w:rsidRDefault="0038525D" w:rsidP="0038525D">
      <w:pPr>
        <w:spacing w:after="200" w:line="360" w:lineRule="atLeast"/>
        <w:ind w:firstLine="720"/>
        <w:jc w:val="both"/>
      </w:pPr>
      <w:r w:rsidRPr="00A77E4F">
        <w:rPr>
          <w:color w:val="000000"/>
        </w:rPr>
        <w:t xml:space="preserve">Innervated free flaps have been proposed as a means of improving sensory and swallowing outcomes in certain series. While the theoretical rationale is sound, the technique demands added reconstructive expertise and its routine clinical applicability remains inconsistent across </w:t>
      </w:r>
      <w:proofErr w:type="spellStart"/>
      <w:r w:rsidRPr="00A77E4F">
        <w:rPr>
          <w:color w:val="000000"/>
        </w:rPr>
        <w:t>centers</w:t>
      </w:r>
      <w:proofErr w:type="spellEnd"/>
      <w:r w:rsidRPr="00A77E4F">
        <w:rPr>
          <w:color w:val="000000"/>
        </w:rPr>
        <w:t xml:space="preserve">. For most settings, reliable preservation of mobility using appropriately thinned, non-innervated free flaps provides functionally acceptable outcomes, and this remains the basis of our current practice. [10,11] Innervation of the flap may be considered in </w:t>
      </w:r>
      <w:proofErr w:type="spellStart"/>
      <w:r w:rsidRPr="00A77E4F">
        <w:rPr>
          <w:color w:val="000000"/>
        </w:rPr>
        <w:t>centers</w:t>
      </w:r>
      <w:proofErr w:type="spellEnd"/>
      <w:r w:rsidRPr="00A77E4F">
        <w:rPr>
          <w:color w:val="000000"/>
        </w:rPr>
        <w:t xml:space="preserve"> with dedicated expertise and in selected patients where sensory recovery is a defined priority.</w:t>
      </w:r>
    </w:p>
    <w:p w:rsidR="0038525D" w:rsidRPr="00A77E4F" w:rsidRDefault="0038525D" w:rsidP="0038525D">
      <w:pPr>
        <w:spacing w:before="320" w:after="160"/>
      </w:pPr>
      <w:r w:rsidRPr="00A77E4F">
        <w:rPr>
          <w:b/>
          <w:bCs/>
          <w:color w:val="000000"/>
        </w:rPr>
        <w:t>3.7 A Practical Mobility-Based Decision Framework</w:t>
      </w:r>
    </w:p>
    <w:p w:rsidR="0038525D" w:rsidRPr="00A77E4F" w:rsidRDefault="0038525D" w:rsidP="0038525D">
      <w:pPr>
        <w:spacing w:after="200" w:line="360" w:lineRule="atLeast"/>
        <w:ind w:firstLine="720"/>
        <w:jc w:val="both"/>
      </w:pPr>
      <w:r w:rsidRPr="00A77E4F">
        <w:rPr>
          <w:color w:val="000000"/>
        </w:rPr>
        <w:t xml:space="preserve">Drawing together the clinical principles and institutional experience described above, we propose the following sequential framework for reconstructive decision-making in lateral oral tongue cancer resections. Oncologic resection takes absolute precedence; clear margins are non-negotiable and must not be compromised in </w:t>
      </w:r>
      <w:proofErr w:type="spellStart"/>
      <w:r w:rsidRPr="00A77E4F">
        <w:rPr>
          <w:color w:val="000000"/>
        </w:rPr>
        <w:t>favor</w:t>
      </w:r>
      <w:proofErr w:type="spellEnd"/>
      <w:r w:rsidRPr="00A77E4F">
        <w:rPr>
          <w:color w:val="000000"/>
        </w:rPr>
        <w:t xml:space="preserve"> of reconstructive simplicity. The tongue tip, when </w:t>
      </w:r>
      <w:proofErr w:type="spellStart"/>
      <w:r w:rsidRPr="00A77E4F">
        <w:rPr>
          <w:color w:val="000000"/>
        </w:rPr>
        <w:t>oncologically</w:t>
      </w:r>
      <w:proofErr w:type="spellEnd"/>
      <w:r w:rsidRPr="00A77E4F">
        <w:rPr>
          <w:color w:val="000000"/>
        </w:rPr>
        <w:t xml:space="preserve"> spared, must be preserved in its native orientation without posterior rotation. Longitudinal primary closure should be attempted when the floor of mouth is intact and when trial closure on table does not produce tethering or restriction of tongue mobility. Conversion to free flap reconstruction is indicated when floor-of-mouth resection has been performed — whether planned preoperatively or necessitated by intraoperative margin revision — or when trial primary closure produces immediate tethering. In settings with microvascular experience, a thin ALT free flap is recommended as the default reconstructive </w:t>
      </w:r>
      <w:r w:rsidRPr="00A77E4F">
        <w:rPr>
          <w:color w:val="000000"/>
        </w:rPr>
        <w:lastRenderedPageBreak/>
        <w:t>option to bridge the defect, preserve mobility, and minimize donor-site burden compared with RFFF. [4,8]</w:t>
      </w:r>
    </w:p>
    <w:p w:rsidR="0038525D" w:rsidRPr="00A77E4F" w:rsidRDefault="0038525D" w:rsidP="0038525D">
      <w:pPr>
        <w:spacing w:after="200" w:line="360" w:lineRule="atLeast"/>
        <w:ind w:firstLine="720"/>
        <w:jc w:val="both"/>
      </w:pPr>
      <w:r w:rsidRPr="00A77E4F">
        <w:rPr>
          <w:color w:val="000000"/>
        </w:rPr>
        <w:t>This stepwise, mobility-driven approach aligns with contemporary reconstructive algorithms for tongue defects while privileging functional preservation over volumetric replacement. [2,12]</w:t>
      </w:r>
    </w:p>
    <w:p w:rsidR="0038525D" w:rsidRPr="00A77E4F" w:rsidRDefault="0038525D" w:rsidP="0038525D">
      <w:pPr>
        <w:spacing w:before="320" w:after="160"/>
      </w:pPr>
      <w:r w:rsidRPr="00A77E4F">
        <w:rPr>
          <w:b/>
          <w:bCs/>
          <w:color w:val="000000"/>
        </w:rPr>
        <w:t>4. Conclusion</w:t>
      </w:r>
    </w:p>
    <w:p w:rsidR="0038525D" w:rsidRPr="00A77E4F" w:rsidRDefault="0038525D" w:rsidP="0038525D">
      <w:pPr>
        <w:spacing w:after="200" w:line="360" w:lineRule="atLeast"/>
        <w:ind w:firstLine="720"/>
        <w:jc w:val="both"/>
      </w:pPr>
      <w:r w:rsidRPr="00A77E4F">
        <w:rPr>
          <w:color w:val="000000"/>
        </w:rPr>
        <w:t>In lateral oral tongue cancer surgery, mobility represents the primary determinant for reconstructive planning, superseding considerations of cosmetic completeness or volumetric symmetry. Primary longitudinal closure is the preferred approach when it preserves a freely mobile tongue tip and avoids floor-of-mouth tethering, and may yield superior early functional outcomes in appropriately selected patients. [3] When floor-of-mouth resection or intraoperative margin revision threatens mobility, a thin ALT free flap provides a dependable and customizable vascularized bridge that preserves the essential conditions for speech, swallowing, and oral clearance. [4,8]</w:t>
      </w:r>
    </w:p>
    <w:p w:rsidR="0038525D" w:rsidRPr="00A77E4F" w:rsidRDefault="0038525D" w:rsidP="0038525D">
      <w:pPr>
        <w:spacing w:after="200" w:line="360" w:lineRule="atLeast"/>
        <w:ind w:firstLine="720"/>
        <w:jc w:val="both"/>
      </w:pPr>
      <w:r w:rsidRPr="00A77E4F">
        <w:rPr>
          <w:color w:val="000000"/>
        </w:rPr>
        <w:t xml:space="preserve">This framework, developed over more than three decades of institutional experience and supported by 29 consecutive resections, offers a simplified, functionally grounded approach to reconstructive decision-making that is applicable across </w:t>
      </w:r>
      <w:proofErr w:type="spellStart"/>
      <w:r w:rsidRPr="00A77E4F">
        <w:rPr>
          <w:color w:val="000000"/>
        </w:rPr>
        <w:t>centers</w:t>
      </w:r>
      <w:proofErr w:type="spellEnd"/>
      <w:r w:rsidRPr="00A77E4F">
        <w:rPr>
          <w:color w:val="000000"/>
        </w:rPr>
        <w:t xml:space="preserve"> performing tongue cancer surgery.</w:t>
      </w:r>
    </w:p>
    <w:p w:rsidR="0038525D" w:rsidRPr="00A77E4F" w:rsidRDefault="0038525D" w:rsidP="0038525D">
      <w:pPr>
        <w:spacing w:before="320" w:after="160"/>
        <w:rPr>
          <w:b/>
          <w:bCs/>
          <w:color w:val="000000"/>
        </w:rPr>
      </w:pPr>
      <w:r w:rsidRPr="00A77E4F">
        <w:rPr>
          <w:b/>
          <w:bCs/>
          <w:color w:val="000000"/>
        </w:rPr>
        <w:t>References</w:t>
      </w:r>
    </w:p>
    <w:p w:rsidR="00835D1A" w:rsidRPr="00A77E4F" w:rsidRDefault="00835D1A" w:rsidP="00835D1A">
      <w:pPr>
        <w:pStyle w:val="ListParagraph"/>
        <w:numPr>
          <w:ilvl w:val="0"/>
          <w:numId w:val="1"/>
        </w:numPr>
        <w:rPr>
          <w:rFonts w:eastAsia="Times New Roman"/>
        </w:rPr>
      </w:pPr>
      <w:r w:rsidRPr="00A77E4F">
        <w:rPr>
          <w:rFonts w:eastAsia="Times New Roman"/>
        </w:rPr>
        <w:t>Lam L, Samman N. Speech and swallowing following tongue cancer surgery and free flap reconstruction: a systematic review. Oral Oncol. 2013;49(6):507–524.  doi:10.1016/j.oraloncology.2013.03.001</w:t>
      </w:r>
    </w:p>
    <w:p w:rsidR="00835D1A" w:rsidRPr="00A77E4F" w:rsidRDefault="00835D1A" w:rsidP="00835D1A">
      <w:pPr>
        <w:pStyle w:val="ListParagraph"/>
        <w:numPr>
          <w:ilvl w:val="0"/>
          <w:numId w:val="1"/>
        </w:numPr>
        <w:rPr>
          <w:rFonts w:eastAsia="Times New Roman"/>
        </w:rPr>
      </w:pPr>
      <w:r w:rsidRPr="00A77E4F">
        <w:rPr>
          <w:rFonts w:eastAsia="Times New Roman"/>
        </w:rPr>
        <w:t xml:space="preserve">Vincent A, </w:t>
      </w:r>
      <w:proofErr w:type="spellStart"/>
      <w:r w:rsidRPr="00A77E4F">
        <w:rPr>
          <w:rFonts w:eastAsia="Times New Roman"/>
        </w:rPr>
        <w:t>Kohlert</w:t>
      </w:r>
      <w:proofErr w:type="spellEnd"/>
      <w:r w:rsidRPr="00A77E4F">
        <w:rPr>
          <w:rFonts w:eastAsia="Times New Roman"/>
        </w:rPr>
        <w:t xml:space="preserve"> S, Lee TS, Inman J, </w:t>
      </w:r>
      <w:proofErr w:type="spellStart"/>
      <w:r w:rsidRPr="00A77E4F">
        <w:rPr>
          <w:rFonts w:eastAsia="Times New Roman"/>
        </w:rPr>
        <w:t>Ducic</w:t>
      </w:r>
      <w:proofErr w:type="spellEnd"/>
      <w:r w:rsidRPr="00A77E4F">
        <w:rPr>
          <w:rFonts w:eastAsia="Times New Roman"/>
        </w:rPr>
        <w:t xml:space="preserve"> Y. Free-flap reconstruction of the tongue: outcomes and considerations. Semin Plast Surg. 2019;33(1):38–45. doi:10.1055/s-0039-1677789</w:t>
      </w:r>
    </w:p>
    <w:p w:rsidR="00835D1A" w:rsidRPr="00A77E4F" w:rsidRDefault="00835D1A" w:rsidP="00835D1A">
      <w:pPr>
        <w:pStyle w:val="ListParagraph"/>
        <w:numPr>
          <w:ilvl w:val="0"/>
          <w:numId w:val="1"/>
        </w:numPr>
        <w:rPr>
          <w:rFonts w:eastAsia="Times New Roman"/>
        </w:rPr>
      </w:pPr>
      <w:r w:rsidRPr="00A77E4F">
        <w:rPr>
          <w:rFonts w:eastAsia="Times New Roman"/>
        </w:rPr>
        <w:t xml:space="preserve">McConnell FM, Pauloski BR, Logemann JA, et al. Functional results of primary closure versus flaps in oral tongue surgery: swallowing and speech comparisons. JAMA </w:t>
      </w:r>
      <w:proofErr w:type="spellStart"/>
      <w:r w:rsidRPr="00A77E4F">
        <w:rPr>
          <w:rFonts w:eastAsia="Times New Roman"/>
        </w:rPr>
        <w:t>Otolaryngol</w:t>
      </w:r>
      <w:proofErr w:type="spellEnd"/>
      <w:r w:rsidRPr="00A77E4F">
        <w:rPr>
          <w:rFonts w:eastAsia="Times New Roman"/>
        </w:rPr>
        <w:t xml:space="preserve"> Head Neck Surg. 1998;124(6):625–630. doi:10.1001/archotol.124.6.625</w:t>
      </w:r>
    </w:p>
    <w:p w:rsidR="00835D1A" w:rsidRPr="00A77E4F" w:rsidRDefault="00835D1A" w:rsidP="00835D1A">
      <w:pPr>
        <w:pStyle w:val="ListParagraph"/>
        <w:numPr>
          <w:ilvl w:val="0"/>
          <w:numId w:val="1"/>
        </w:numPr>
        <w:rPr>
          <w:rFonts w:eastAsia="Times New Roman"/>
        </w:rPr>
      </w:pPr>
      <w:r w:rsidRPr="00A77E4F">
        <w:rPr>
          <w:rFonts w:eastAsia="Times New Roman"/>
        </w:rPr>
        <w:t xml:space="preserve">Lu M, Sun G, Zhang C, et al. Functional assessment: free thin anterolateral thigh flap versus free radial forearm reconstruction for hemiglossectomy defects. </w:t>
      </w:r>
      <w:proofErr w:type="spellStart"/>
      <w:r w:rsidRPr="00A77E4F">
        <w:rPr>
          <w:rFonts w:eastAsia="Times New Roman"/>
        </w:rPr>
        <w:t>PLoS</w:t>
      </w:r>
      <w:proofErr w:type="spellEnd"/>
      <w:r w:rsidRPr="00A77E4F">
        <w:rPr>
          <w:rFonts w:eastAsia="Times New Roman"/>
        </w:rPr>
        <w:t xml:space="preserve"> One. 2015;10(5</w:t>
      </w:r>
      <w:proofErr w:type="gramStart"/>
      <w:r w:rsidRPr="00A77E4F">
        <w:rPr>
          <w:rFonts w:eastAsia="Times New Roman"/>
        </w:rPr>
        <w:t>):e</w:t>
      </w:r>
      <w:proofErr w:type="gramEnd"/>
      <w:r w:rsidRPr="00A77E4F">
        <w:rPr>
          <w:rFonts w:eastAsia="Times New Roman"/>
        </w:rPr>
        <w:t>0126874. doi:10.1371/journal.pone.0126874</w:t>
      </w:r>
    </w:p>
    <w:p w:rsidR="00835D1A" w:rsidRPr="00A77E4F" w:rsidRDefault="00835D1A" w:rsidP="00835D1A">
      <w:pPr>
        <w:pStyle w:val="ListParagraph"/>
        <w:numPr>
          <w:ilvl w:val="0"/>
          <w:numId w:val="1"/>
        </w:numPr>
        <w:rPr>
          <w:rFonts w:eastAsia="Times New Roman"/>
        </w:rPr>
      </w:pPr>
      <w:r w:rsidRPr="00A77E4F">
        <w:rPr>
          <w:rFonts w:eastAsia="Times New Roman"/>
        </w:rPr>
        <w:t xml:space="preserve">Zhang PP, Meng L, Shen J, et al. Free radial forearm flap and anterolateral thigh flap for reconstruction of hemiglossectomy defects: comparison of quality of life. J </w:t>
      </w:r>
      <w:proofErr w:type="spellStart"/>
      <w:r w:rsidRPr="00A77E4F">
        <w:rPr>
          <w:rFonts w:eastAsia="Times New Roman"/>
        </w:rPr>
        <w:t>Craniomaxillofac</w:t>
      </w:r>
      <w:proofErr w:type="spellEnd"/>
      <w:r w:rsidRPr="00A77E4F">
        <w:rPr>
          <w:rFonts w:eastAsia="Times New Roman"/>
        </w:rPr>
        <w:t xml:space="preserve"> Surg. 2018;46(12):2157–2163. doi:10.1016/j.jcms.2018.10.006</w:t>
      </w:r>
    </w:p>
    <w:p w:rsidR="00835D1A" w:rsidRPr="00A77E4F" w:rsidRDefault="00835D1A" w:rsidP="00835D1A">
      <w:pPr>
        <w:pStyle w:val="ListParagraph"/>
        <w:numPr>
          <w:ilvl w:val="0"/>
          <w:numId w:val="1"/>
        </w:numPr>
        <w:rPr>
          <w:rFonts w:eastAsia="Times New Roman"/>
        </w:rPr>
      </w:pPr>
      <w:r w:rsidRPr="00A77E4F">
        <w:rPr>
          <w:rFonts w:eastAsia="Times New Roman"/>
        </w:rPr>
        <w:t xml:space="preserve">de Vicente JC, de </w:t>
      </w:r>
      <w:proofErr w:type="spellStart"/>
      <w:r w:rsidRPr="00A77E4F">
        <w:rPr>
          <w:rFonts w:eastAsia="Times New Roman"/>
        </w:rPr>
        <w:t>Villalaín</w:t>
      </w:r>
      <w:proofErr w:type="spellEnd"/>
      <w:r w:rsidRPr="00A77E4F">
        <w:rPr>
          <w:rFonts w:eastAsia="Times New Roman"/>
        </w:rPr>
        <w:t xml:space="preserve"> L, Torre A, Peña I. Microvascular free tissue </w:t>
      </w:r>
      <w:proofErr w:type="gramStart"/>
      <w:r w:rsidRPr="00A77E4F">
        <w:rPr>
          <w:rFonts w:eastAsia="Times New Roman"/>
        </w:rPr>
        <w:t>transfer</w:t>
      </w:r>
      <w:proofErr w:type="gramEnd"/>
      <w:r w:rsidRPr="00A77E4F">
        <w:rPr>
          <w:rFonts w:eastAsia="Times New Roman"/>
        </w:rPr>
        <w:t xml:space="preserve"> for tongue reconstruction after hemiglossectomy: functional assessment of radial forearm versus anterolateral thigh flap. J Oral </w:t>
      </w:r>
      <w:proofErr w:type="spellStart"/>
      <w:r w:rsidRPr="00A77E4F">
        <w:rPr>
          <w:rFonts w:eastAsia="Times New Roman"/>
        </w:rPr>
        <w:t>Maxillofac</w:t>
      </w:r>
      <w:proofErr w:type="spellEnd"/>
      <w:r w:rsidRPr="00A77E4F">
        <w:rPr>
          <w:rFonts w:eastAsia="Times New Roman"/>
        </w:rPr>
        <w:t xml:space="preserve"> Surg. 2008;66(11):2270–2275. doi:10.1016/j.joms.2008.01.018</w:t>
      </w:r>
    </w:p>
    <w:p w:rsidR="00835D1A" w:rsidRPr="00A77E4F" w:rsidRDefault="00835D1A" w:rsidP="00835D1A">
      <w:pPr>
        <w:pStyle w:val="ListParagraph"/>
        <w:numPr>
          <w:ilvl w:val="0"/>
          <w:numId w:val="1"/>
        </w:numPr>
        <w:rPr>
          <w:rFonts w:eastAsia="Times New Roman"/>
        </w:rPr>
      </w:pPr>
      <w:r w:rsidRPr="00A77E4F">
        <w:rPr>
          <w:rFonts w:eastAsia="Times New Roman"/>
        </w:rPr>
        <w:lastRenderedPageBreak/>
        <w:t xml:space="preserve">Cai YC, Li C, Zeng DF, et al. Comparative analysis of radial forearm free flap and anterolateral thigh flap in tongue reconstruction after radical resection of tongue cancer. ORL J </w:t>
      </w:r>
      <w:proofErr w:type="spellStart"/>
      <w:r w:rsidRPr="00A77E4F">
        <w:rPr>
          <w:rFonts w:eastAsia="Times New Roman"/>
        </w:rPr>
        <w:t>Otorhinolaryngol</w:t>
      </w:r>
      <w:proofErr w:type="spellEnd"/>
      <w:r w:rsidRPr="00A77E4F">
        <w:rPr>
          <w:rFonts w:eastAsia="Times New Roman"/>
        </w:rPr>
        <w:t xml:space="preserve"> </w:t>
      </w:r>
      <w:proofErr w:type="spellStart"/>
      <w:r w:rsidRPr="00A77E4F">
        <w:rPr>
          <w:rFonts w:eastAsia="Times New Roman"/>
        </w:rPr>
        <w:t>Relat</w:t>
      </w:r>
      <w:proofErr w:type="spellEnd"/>
      <w:r w:rsidRPr="00A77E4F">
        <w:rPr>
          <w:rFonts w:eastAsia="Times New Roman"/>
        </w:rPr>
        <w:t xml:space="preserve"> Spec. 2019;81(5–6):252–264. doi:10.1159/000502151</w:t>
      </w:r>
    </w:p>
    <w:p w:rsidR="00835D1A" w:rsidRPr="00A77E4F" w:rsidRDefault="00835D1A" w:rsidP="00835D1A">
      <w:pPr>
        <w:pStyle w:val="ListParagraph"/>
        <w:numPr>
          <w:ilvl w:val="0"/>
          <w:numId w:val="1"/>
        </w:numPr>
        <w:rPr>
          <w:rFonts w:eastAsia="Times New Roman"/>
        </w:rPr>
      </w:pPr>
      <w:r w:rsidRPr="00A77E4F">
        <w:rPr>
          <w:rFonts w:eastAsia="Times New Roman"/>
        </w:rPr>
        <w:t xml:space="preserve">Huang CH, Chen HC, Huang YL, Mardini S, Feng GM. Comparison of the radial forearm flap and the thinned anterolateral thigh cutaneous flap for reconstruction of tongue defects: donor-site morbidity evaluation. </w:t>
      </w:r>
      <w:proofErr w:type="spellStart"/>
      <w:r w:rsidRPr="00A77E4F">
        <w:rPr>
          <w:rFonts w:eastAsia="Times New Roman"/>
        </w:rPr>
        <w:t>Plast</w:t>
      </w:r>
      <w:proofErr w:type="spellEnd"/>
      <w:r w:rsidRPr="00A77E4F">
        <w:rPr>
          <w:rFonts w:eastAsia="Times New Roman"/>
        </w:rPr>
        <w:t xml:space="preserve"> </w:t>
      </w:r>
      <w:proofErr w:type="spellStart"/>
      <w:r w:rsidRPr="00A77E4F">
        <w:rPr>
          <w:rFonts w:eastAsia="Times New Roman"/>
        </w:rPr>
        <w:t>Reconstr</w:t>
      </w:r>
      <w:proofErr w:type="spellEnd"/>
      <w:r w:rsidRPr="00A77E4F">
        <w:rPr>
          <w:rFonts w:eastAsia="Times New Roman"/>
        </w:rPr>
        <w:t xml:space="preserve"> Surg. 2004;114(7):1704–1710. doi:10.1097/01.PRS.0000142476.36975.07</w:t>
      </w:r>
    </w:p>
    <w:p w:rsidR="00835D1A" w:rsidRPr="00A77E4F" w:rsidRDefault="00835D1A" w:rsidP="00835D1A">
      <w:pPr>
        <w:pStyle w:val="ListParagraph"/>
        <w:numPr>
          <w:ilvl w:val="0"/>
          <w:numId w:val="1"/>
        </w:numPr>
        <w:rPr>
          <w:rFonts w:eastAsia="Times New Roman"/>
        </w:rPr>
      </w:pPr>
      <w:r w:rsidRPr="00A77E4F">
        <w:rPr>
          <w:rFonts w:eastAsia="Times New Roman"/>
        </w:rPr>
        <w:t xml:space="preserve">Hsiao HT, Leu YS, Liu CJ, Tung KY, Lin CC. Radial forearm versus anterolateral thigh flap reconstruction after hemiglossectomy: Functional assessment of swallowing and speech. J </w:t>
      </w:r>
      <w:proofErr w:type="spellStart"/>
      <w:r w:rsidRPr="00A77E4F">
        <w:rPr>
          <w:rFonts w:eastAsia="Times New Roman"/>
        </w:rPr>
        <w:t>Reconstr</w:t>
      </w:r>
      <w:proofErr w:type="spellEnd"/>
      <w:r w:rsidRPr="00A77E4F">
        <w:rPr>
          <w:rFonts w:eastAsia="Times New Roman"/>
        </w:rPr>
        <w:t xml:space="preserve"> </w:t>
      </w:r>
      <w:proofErr w:type="spellStart"/>
      <w:r w:rsidRPr="00A77E4F">
        <w:rPr>
          <w:rFonts w:eastAsia="Times New Roman"/>
        </w:rPr>
        <w:t>Microsurg</w:t>
      </w:r>
      <w:proofErr w:type="spellEnd"/>
      <w:r w:rsidRPr="00A77E4F">
        <w:rPr>
          <w:rFonts w:eastAsia="Times New Roman"/>
        </w:rPr>
        <w:t xml:space="preserve">. 2008;24(2):85–88. Available at: </w:t>
      </w:r>
      <w:hyperlink r:id="rId8" w:tooltip="Protected by Check Point: https://pubmed.ncbi.nlm.nih.gov/18415928/" w:history="1">
        <w:r w:rsidRPr="00A77E4F">
          <w:rPr>
            <w:rStyle w:val="Hyperlink"/>
            <w:rFonts w:eastAsia="Times New Roman"/>
          </w:rPr>
          <w:t>https://pubmed.ncbi.nlm.nih.gov/18415928/</w:t>
        </w:r>
      </w:hyperlink>
      <w:r w:rsidRPr="00A77E4F">
        <w:rPr>
          <w:rFonts w:eastAsia="Times New Roman"/>
        </w:rPr>
        <w:t xml:space="preserve"> </w:t>
      </w:r>
    </w:p>
    <w:p w:rsidR="00835D1A" w:rsidRPr="00A77E4F" w:rsidRDefault="00835D1A" w:rsidP="00835D1A">
      <w:pPr>
        <w:pStyle w:val="ListParagraph"/>
        <w:numPr>
          <w:ilvl w:val="0"/>
          <w:numId w:val="1"/>
        </w:numPr>
        <w:rPr>
          <w:rFonts w:eastAsia="Times New Roman"/>
        </w:rPr>
      </w:pPr>
      <w:r w:rsidRPr="00A77E4F">
        <w:rPr>
          <w:rFonts w:eastAsia="Times New Roman"/>
        </w:rPr>
        <w:t xml:space="preserve">Khan Z, et al. Functional outcomes of tongue reconstruction after glossectomy: a systematic review. Oral Oncol. </w:t>
      </w:r>
      <w:proofErr w:type="gramStart"/>
      <w:r w:rsidRPr="00A77E4F">
        <w:rPr>
          <w:rFonts w:eastAsia="Times New Roman"/>
        </w:rPr>
        <w:t>2023;141:106236</w:t>
      </w:r>
      <w:proofErr w:type="gramEnd"/>
      <w:r w:rsidRPr="00A77E4F">
        <w:rPr>
          <w:rFonts w:eastAsia="Times New Roman"/>
        </w:rPr>
        <w:t>. doi:10.1016/j.oraloncology.2023.106236</w:t>
      </w:r>
    </w:p>
    <w:p w:rsidR="00835D1A" w:rsidRPr="00A77E4F" w:rsidRDefault="00835D1A" w:rsidP="00835D1A">
      <w:pPr>
        <w:pStyle w:val="ListParagraph"/>
        <w:numPr>
          <w:ilvl w:val="0"/>
          <w:numId w:val="1"/>
        </w:numPr>
        <w:rPr>
          <w:rFonts w:eastAsia="Times New Roman"/>
        </w:rPr>
      </w:pPr>
      <w:proofErr w:type="spellStart"/>
      <w:r w:rsidRPr="00A77E4F">
        <w:rPr>
          <w:rFonts w:eastAsia="Times New Roman"/>
        </w:rPr>
        <w:t>Guérin-Lebailly</w:t>
      </w:r>
      <w:proofErr w:type="spellEnd"/>
      <w:r w:rsidRPr="00A77E4F">
        <w:rPr>
          <w:rFonts w:eastAsia="Times New Roman"/>
        </w:rPr>
        <w:t xml:space="preserve"> C, </w:t>
      </w:r>
      <w:proofErr w:type="spellStart"/>
      <w:r w:rsidRPr="00A77E4F">
        <w:rPr>
          <w:rFonts w:eastAsia="Times New Roman"/>
        </w:rPr>
        <w:t>Malard</w:t>
      </w:r>
      <w:proofErr w:type="spellEnd"/>
      <w:r w:rsidRPr="00A77E4F">
        <w:rPr>
          <w:rFonts w:eastAsia="Times New Roman"/>
        </w:rPr>
        <w:t xml:space="preserve"> O, Corre P, et al. Functional and sensitive outcomes after tongue reconstruction with free and pedicled flaps. Oral Oncol. 2012;48(3):276–282. doi:10.1016/j.oraloncology.2011.10.012</w:t>
      </w:r>
    </w:p>
    <w:p w:rsidR="00835D1A" w:rsidRPr="00A77E4F" w:rsidRDefault="00835D1A" w:rsidP="00835D1A">
      <w:pPr>
        <w:pStyle w:val="ListParagraph"/>
        <w:numPr>
          <w:ilvl w:val="0"/>
          <w:numId w:val="1"/>
        </w:numPr>
        <w:rPr>
          <w:rFonts w:eastAsia="Times New Roman"/>
        </w:rPr>
      </w:pPr>
      <w:r w:rsidRPr="00A77E4F">
        <w:rPr>
          <w:rFonts w:eastAsia="Times New Roman"/>
        </w:rPr>
        <w:t xml:space="preserve">Vincent A, </w:t>
      </w:r>
      <w:proofErr w:type="spellStart"/>
      <w:r w:rsidRPr="00A77E4F">
        <w:rPr>
          <w:rFonts w:eastAsia="Times New Roman"/>
        </w:rPr>
        <w:t>Ducic</w:t>
      </w:r>
      <w:proofErr w:type="spellEnd"/>
      <w:r w:rsidRPr="00A77E4F">
        <w:rPr>
          <w:rFonts w:eastAsia="Times New Roman"/>
        </w:rPr>
        <w:t xml:space="preserve"> Y. Treatment algorithm for tongue defects. Semin Plast Surg. 2019;33(1):46–52. doi:10.1055/s-0039-1677790</w:t>
      </w:r>
    </w:p>
    <w:p w:rsidR="00835D1A" w:rsidRPr="00835D1A" w:rsidRDefault="00835D1A" w:rsidP="0038525D">
      <w:pPr>
        <w:spacing w:before="320" w:after="160"/>
      </w:pPr>
    </w:p>
    <w:sectPr w:rsidR="00835D1A" w:rsidRPr="00835D1A">
      <w:headerReference w:type="even" r:id="rId9"/>
      <w:headerReference w:type="default" r:id="rId10"/>
      <w:footerReference w:type="even" r:id="rId11"/>
      <w:footerReference w:type="default" r:id="rId12"/>
      <w:headerReference w:type="first" r:id="rId13"/>
      <w:footerReference w:type="first" r:id="rId14"/>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73913" w:rsidRDefault="00873913" w:rsidP="001E0F7D">
      <w:r>
        <w:separator/>
      </w:r>
    </w:p>
  </w:endnote>
  <w:endnote w:type="continuationSeparator" w:id="0">
    <w:p w:rsidR="00873913" w:rsidRDefault="00873913" w:rsidP="001E0F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E0F7D" w:rsidRDefault="001E0F7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E0F7D" w:rsidRDefault="001E0F7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E0F7D" w:rsidRDefault="001E0F7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73913" w:rsidRDefault="00873913" w:rsidP="001E0F7D">
      <w:r>
        <w:separator/>
      </w:r>
    </w:p>
  </w:footnote>
  <w:footnote w:type="continuationSeparator" w:id="0">
    <w:p w:rsidR="00873913" w:rsidRDefault="00873913" w:rsidP="001E0F7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E0F7D" w:rsidRDefault="001E0F7D">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0997860" o:spid="_x0000_s2050" type="#_x0000_t136" style="position:absolute;margin-left:0;margin-top:0;width:571.65pt;height:64.5pt;rotation:315;z-index:-251655168;mso-position-horizontal:center;mso-position-horizontal-relative:margin;mso-position-vertical:center;mso-position-vertical-relative:margin" o:allowincell="f" fillcolor="silver" stroked="f">
          <v:fill opacity=".5"/>
          <v:textpath style="font-family:&quot;Times New Roman&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E0F7D" w:rsidRDefault="001E0F7D">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0997861" o:spid="_x0000_s2051" type="#_x0000_t136" style="position:absolute;margin-left:0;margin-top:0;width:571.65pt;height:64.5pt;rotation:315;z-index:-251653120;mso-position-horizontal:center;mso-position-horizontal-relative:margin;mso-position-vertical:center;mso-position-vertical-relative:margin" o:allowincell="f" fillcolor="silver" stroked="f">
          <v:fill opacity=".5"/>
          <v:textpath style="font-family:&quot;Times New Roman&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E0F7D" w:rsidRDefault="001E0F7D">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0997859" o:spid="_x0000_s2049" type="#_x0000_t136" style="position:absolute;margin-left:0;margin-top:0;width:571.65pt;height:64.5pt;rotation:315;z-index:-251657216;mso-position-horizontal:center;mso-position-horizontal-relative:margin;mso-position-vertical:center;mso-position-vertical-relative:margin" o:allowincell="f" fillcolor="silver" stroked="f">
          <v:fill opacity=".5"/>
          <v:textpath style="font-family:&quot;Times New Roman&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EB47E59"/>
    <w:multiLevelType w:val="hybridMultilevel"/>
    <w:tmpl w:val="E5907992"/>
    <w:lvl w:ilvl="0" w:tplc="4009000F">
      <w:start w:val="1"/>
      <w:numFmt w:val="decimal"/>
      <w:lvlText w:val="%1."/>
      <w:lvlJc w:val="left"/>
      <w:pPr>
        <w:ind w:left="720" w:hanging="360"/>
      </w:pPr>
      <w:rPr>
        <w:rFonts w:hint="default"/>
        <w:b w:val="0"/>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 w15:restartNumberingAfterBreak="0">
    <w:nsid w:val="6A157404"/>
    <w:multiLevelType w:val="hybridMultilevel"/>
    <w:tmpl w:val="ECE6DF0A"/>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8525D"/>
    <w:rsid w:val="00066882"/>
    <w:rsid w:val="001E0F7D"/>
    <w:rsid w:val="0038525D"/>
    <w:rsid w:val="003E7D7D"/>
    <w:rsid w:val="006518EA"/>
    <w:rsid w:val="00746358"/>
    <w:rsid w:val="00835D1A"/>
    <w:rsid w:val="00873913"/>
    <w:rsid w:val="00901672"/>
    <w:rsid w:val="009E4CC8"/>
    <w:rsid w:val="00A77E4F"/>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5A523EC2"/>
  <w15:chartTrackingRefBased/>
  <w15:docId w15:val="{23F83489-C95B-48AB-9EA6-DDDE12BDEB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38525D"/>
    <w:pPr>
      <w:spacing w:after="0" w:line="240" w:lineRule="auto"/>
    </w:pPr>
    <w:rPr>
      <w:rFonts w:ascii="Times New Roman" w:hAnsi="Times New Roman" w:cs="Times New Roman"/>
      <w:sz w:val="24"/>
      <w:szCs w:val="24"/>
      <w:lang w:eastAsia="en-I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35D1A"/>
    <w:pPr>
      <w:ind w:left="720"/>
      <w:contextualSpacing/>
    </w:pPr>
  </w:style>
  <w:style w:type="character" w:styleId="Hyperlink">
    <w:name w:val="Hyperlink"/>
    <w:basedOn w:val="DefaultParagraphFont"/>
    <w:uiPriority w:val="99"/>
    <w:semiHidden/>
    <w:unhideWhenUsed/>
    <w:rsid w:val="00835D1A"/>
    <w:rPr>
      <w:color w:val="0000FF"/>
      <w:u w:val="single"/>
    </w:rPr>
  </w:style>
  <w:style w:type="paragraph" w:styleId="NormalWeb">
    <w:name w:val="Normal (Web)"/>
    <w:basedOn w:val="Normal"/>
    <w:uiPriority w:val="99"/>
    <w:unhideWhenUsed/>
    <w:rsid w:val="00835D1A"/>
    <w:pPr>
      <w:spacing w:before="100" w:beforeAutospacing="1" w:after="100" w:afterAutospacing="1"/>
    </w:pPr>
  </w:style>
  <w:style w:type="paragraph" w:customStyle="1" w:styleId="p1">
    <w:name w:val="p1"/>
    <w:basedOn w:val="Normal"/>
    <w:rsid w:val="003E7D7D"/>
    <w:pPr>
      <w:spacing w:before="100" w:beforeAutospacing="1" w:after="100" w:afterAutospacing="1"/>
    </w:pPr>
  </w:style>
  <w:style w:type="paragraph" w:styleId="Header">
    <w:name w:val="header"/>
    <w:basedOn w:val="Normal"/>
    <w:link w:val="HeaderChar"/>
    <w:uiPriority w:val="99"/>
    <w:unhideWhenUsed/>
    <w:rsid w:val="001E0F7D"/>
    <w:pPr>
      <w:tabs>
        <w:tab w:val="center" w:pos="4680"/>
        <w:tab w:val="right" w:pos="9360"/>
      </w:tabs>
    </w:pPr>
  </w:style>
  <w:style w:type="character" w:customStyle="1" w:styleId="HeaderChar">
    <w:name w:val="Header Char"/>
    <w:basedOn w:val="DefaultParagraphFont"/>
    <w:link w:val="Header"/>
    <w:uiPriority w:val="99"/>
    <w:rsid w:val="001E0F7D"/>
    <w:rPr>
      <w:rFonts w:ascii="Times New Roman" w:hAnsi="Times New Roman" w:cs="Times New Roman"/>
      <w:sz w:val="24"/>
      <w:szCs w:val="24"/>
      <w:lang w:eastAsia="en-IN"/>
    </w:rPr>
  </w:style>
  <w:style w:type="paragraph" w:styleId="Footer">
    <w:name w:val="footer"/>
    <w:basedOn w:val="Normal"/>
    <w:link w:val="FooterChar"/>
    <w:uiPriority w:val="99"/>
    <w:unhideWhenUsed/>
    <w:rsid w:val="001E0F7D"/>
    <w:pPr>
      <w:tabs>
        <w:tab w:val="center" w:pos="4680"/>
        <w:tab w:val="right" w:pos="9360"/>
      </w:tabs>
    </w:pPr>
  </w:style>
  <w:style w:type="character" w:customStyle="1" w:styleId="FooterChar">
    <w:name w:val="Footer Char"/>
    <w:basedOn w:val="DefaultParagraphFont"/>
    <w:link w:val="Footer"/>
    <w:uiPriority w:val="99"/>
    <w:rsid w:val="001E0F7D"/>
    <w:rPr>
      <w:rFonts w:ascii="Times New Roman" w:hAnsi="Times New Roman" w:cs="Times New Roman"/>
      <w:sz w:val="24"/>
      <w:szCs w:val="24"/>
      <w:lang w:eastAsia="en-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1020976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protect.checkpoint.com/v2/r05/___https:/pubmed.ncbi.nlm.nih.gov/18415928/___.YXBzMTpmb3J0aXNoZWFsdGhjYXJlbHRkOmM6bzo0YTA3NTE3Mzc0NThiYzc5Yjk4Njc3ZWE3NDc4Mzk3OTo3OmZkZDU6OTY3MjQzMWE3NTlkNzM4NWY3OWE0MzIyNzA0MjRiMDNlYmM5OTFmYzQwNTJkMWI3MWEzZjJjZDlhMmFkNjM1NzpoOlQ6Rg"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280C807-6C92-44A7-9B05-F6DF069546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7</Pages>
  <Words>2679</Words>
  <Characters>15274</Characters>
  <Application>Microsoft Office Word</Application>
  <DocSecurity>0</DocSecurity>
  <Lines>127</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17918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Rajnish Talwar</dc:creator>
  <cp:keywords/>
  <dc:description/>
  <cp:lastModifiedBy>SDI 1084</cp:lastModifiedBy>
  <cp:revision>5</cp:revision>
  <dcterms:created xsi:type="dcterms:W3CDTF">2026-03-30T09:58:00Z</dcterms:created>
  <dcterms:modified xsi:type="dcterms:W3CDTF">2026-03-31T10:08:00Z</dcterms:modified>
</cp:coreProperties>
</file>