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3F2" w:rsidRPr="00C523F2" w:rsidRDefault="00C523F2" w:rsidP="00C523F2">
      <w:pPr>
        <w:keepNext/>
        <w:keepLines/>
        <w:spacing w:before="40" w:after="40" w:line="276" w:lineRule="auto"/>
        <w:jc w:val="right"/>
        <w:outlineLvl w:val="1"/>
        <w:rPr>
          <w:rFonts w:ascii="Times New Roman" w:eastAsia="MS Gothic" w:hAnsi="Times New Roman" w:cs="Times New Roman"/>
          <w:b/>
          <w:bCs/>
          <w:i/>
          <w:color w:val="000000"/>
          <w:sz w:val="32"/>
          <w:szCs w:val="24"/>
          <w:u w:val="single"/>
          <w:lang w:val="en-US"/>
        </w:rPr>
      </w:pPr>
      <w:r w:rsidRPr="00C523F2">
        <w:rPr>
          <w:rFonts w:ascii="Times New Roman" w:eastAsia="MS Gothic" w:hAnsi="Times New Roman" w:cs="Times New Roman"/>
          <w:b/>
          <w:bCs/>
          <w:i/>
          <w:color w:val="000000"/>
          <w:sz w:val="32"/>
          <w:szCs w:val="24"/>
          <w:u w:val="single"/>
          <w:lang w:val="en-US"/>
        </w:rPr>
        <w:t xml:space="preserve">Case Report </w:t>
      </w:r>
    </w:p>
    <w:p w:rsid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r w:rsidRPr="00B9352E">
        <w:rPr>
          <w:rFonts w:ascii="Times New Roman" w:eastAsia="MS Gothic" w:hAnsi="Times New Roman" w:cs="Times New Roman"/>
          <w:b/>
          <w:bCs/>
          <w:color w:val="000000"/>
          <w:sz w:val="24"/>
          <w:szCs w:val="24"/>
          <w:lang w:val="en-US"/>
        </w:rPr>
        <w:t>Femoral and Popliteal Nerve Block for Left Foot Amputation: A Case Report in a Patient with Low Ejection Fraction and Recent Clopidogrel Use</w:t>
      </w:r>
    </w:p>
    <w:p w:rsidR="00AB1675" w:rsidRDefault="00AB1675"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rsidR="006433D0" w:rsidRPr="00B9352E" w:rsidRDefault="006433D0"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rsidR="00B9352E" w:rsidRP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rsidR="00B9352E" w:rsidRP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r w:rsidRPr="00B9352E">
        <w:rPr>
          <w:rFonts w:ascii="Times New Roman" w:eastAsia="MS Gothic" w:hAnsi="Times New Roman" w:cs="Times New Roman"/>
          <w:b/>
          <w:bCs/>
          <w:color w:val="000000"/>
          <w:sz w:val="24"/>
          <w:szCs w:val="24"/>
          <w:lang w:val="en-US"/>
        </w:rPr>
        <w:t>Abstract</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Introduction: Managing anesthesia for patients on antiplatelet therapy presents a significant challenge due to increased bleeding risk (1). This challenge is amplified in patients with compromised cardiac function, where maintaining hemodynamic stability is paramount (2).</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Case Presentation: A 57-year-old male with coronary artery disease, hypertension, diabetes, and chronic heart failure (ejection fraction 20%) presented for left foot amputation. He had taken clopidogrel 24 hours prior to surgery, contraindicating neuraxial anesthesia (3). Ultrasound-guided femoral and popliteal nerve blocks were performed using 45 mL of 0.5% bupivacaine. The procedure was completed successfully with stable hemodynamics throughout.</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Conclusion: Ultrasound-guided femoral and popliteal nerve blocks are a safe, effective option for lower limb amputations in patients with severely reduced cardiac function and recent clopidogrel use (4). This approach avoids risks of neuraxial blockade while preserving hemodynamic stability.</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B9352E" w:rsidRPr="00B9352E"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Keywords: femoral block, popliteal block, clopidogrel, amputation, regional anesthesia, case report</w:t>
      </w:r>
    </w:p>
    <w:p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Introduction</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Perioperative management of patients on antiplatelet therapy remains challenging (1,5). Clopidogrel irreversibly inhibits the P2Y12 receptor on platelets, preventing aggregation for 7-10 days (6,7). Discontinuing therapy in patients with cardiovascular disease risks thrombotic events (8), while continuing it increases bleeding complications, particularly with neuraxial techniques (3).</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ASRA guidelines recommend discontinuing clopidogrel for 5-7 days before neuraxial anesthesia (3). This waiting period is not always feasible when surgical urgency is dictated by progressive tissue ischemia (9).</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lastRenderedPageBreak/>
        <w:t>In patients with severely reduced cardiac function (EF 20%), the stakes are higher. General anesthesia risks myocardial depression and vasodilation (10). Neuraxial techniques can cause sympathectomy with hypotension poorly tolerated in low cardiac output states (11).</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Peripheral nerve blocks offer an alternative by anesthetizing only the surgical field while preserving central hemodynamic regulation (4). Ultrasound guidance enables direct visualization of neural structures and vessels, minimizing vascular puncture risk in patients with impaired hemostasis (12,13).</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This report describes ultrasound-guided femoral and popliteal nerve blocks for left foot amputation in a patient with EF 20% who took clopidogrel within 24 hours of surgery.</w:t>
      </w:r>
    </w:p>
    <w:p w:rsid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Case Presentation</w:t>
      </w:r>
    </w:p>
    <w:p w:rsidR="004D1F92" w:rsidRDefault="004D1F9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 57-year-old male presented with worsening pain and non-healing ulceration of his left foot. His medical history included coronary artery disease with prior CABG, chronic heart failure (EF 20%), type 2 diabetes, hypertension, and peripheral arterial disease.</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Home Medications:</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Clopidogrel 75 mg daily</w:t>
      </w:r>
    </w:p>
    <w:p w:rsid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 xml:space="preserve">Atorvastatin 40 mg </w:t>
      </w:r>
      <w:r>
        <w:rPr>
          <w:rFonts w:ascii="Times New Roman" w:eastAsia="Times New Roman" w:hAnsi="Times New Roman" w:cs="Times New Roman"/>
          <w:bCs/>
          <w:sz w:val="24"/>
          <w:szCs w:val="24"/>
          <w:lang w:eastAsia="tr-TR"/>
        </w:rPr>
        <w:t>Daily</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Amlodipine 10 mg daily</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Metoprolol succinate 100 mg daily</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Insulin</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Preoperative Assessment:</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Physical examination revealed a non-ambulatory patient in distress. The left foot appeared dusky with poor capillary refill, absent distal pulses, and necrotic ulceration of the fourth and fifth toes.</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lastRenderedPageBreak/>
        <w:t>Vital signs: BP 145/85 mmHg, HR 98 bpm, RR 18/min, SpO2 94% on room air. Laboratory studies: Hb 11.2 g/dL, platelets 210,000/μL, normal coagulation parameters, creatinine 1.4 mg/dL.</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Echocardiography showed severe left ventricular dilation with global hypokinesis and EF 20% (2).</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Surgical Indication:</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Left foot amputation was indicated for critical limb ischemia with wet gangrene. Surgical delay was inadvisable due to infection risk (9). The patient had taken clopidogrel 24 hours prior.</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Anesthetic Decision-Making:</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Several factors were considered:</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Bleeding Risk: Recent clopidogrel use contraindicated neuraxial anesthesia per ASRA guidelines (3).</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Cardiac Risk: General anesthesia posed significant risk in this patient with EF 20% (10).</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Thrombotic Risk: Discontinuing clopidogrel raised concerns about thrombotic events, but surgery could not be delayed 5-7 days (8).</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Surgical Requirements: Forefoot amputation could be performed with peripheral nerve blocks (4).</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After discussion, informed consent was obtained for ultrasound-guided femoral and popliteal nerve blocks.</w:t>
      </w:r>
    </w:p>
    <w:p w:rsid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Block Procedure:</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Standard monitors were applied. Mild sedation with midazolam 1 mg IV was administered.</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lastRenderedPageBreak/>
        <w:t>Femoral Nerve Block: With the patient supine, a high-frequency linear ultrasound probe was placed in the inguinal crease. The femoral nerve was visualized lateral to the femoral artery. Using an in-plane technique, a 22-gauge needle was positioned adjacent to the nerve. After negative aspiration, 20 mL of 0.5% bupivacaine was injected with observation of circumferential spread (12).</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Popliteal Nerve Block: The patient was positioned laterally. The ultrasound probe was placed transversely proximal to the popliteal crease to identify the tibial and common peroneal nerves. Using an in-plane technique, the needle tip was positioned between the nerves. After negative aspiration, 25 mL of 0.5% bupivacaine was injected (13).</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Intraoperative Course:</w:t>
      </w:r>
    </w:p>
    <w:p w:rsidR="004D1F92" w:rsidRPr="004D1F92" w:rsidRDefault="004D1F92"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Fifteen minutes after block completion, complete sensory blockade in femoral and sciatic nerve distributions was achieved.</w:t>
      </w:r>
    </w:p>
    <w:p w:rsidR="004D1F92" w:rsidRPr="004D1F92" w:rsidRDefault="004D1F92"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The 75-minute procedure proceeded without incident. The patient remained awake and comfortable. Hemodynamics were stable: BP within 15% of baseline, HR 85-100 bpm, SpO2 &gt;93% on room air. No additional analgesics or sedatives were required. Surgical hemostasis was unremarkable.</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Postoperative Course:</w:t>
      </w:r>
    </w:p>
    <w:p w:rsidR="004D1F92" w:rsidRPr="0035342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The patient was transferred to PACU in stable condition. Pain scores remained 0-2 for 8 hours postoperatively. No bleeding complications or hematoma occurred at block sites or surgical incision. Clopidogrel was resumed on postoperative day one. The patient was discharged to rehabilitation on postoperative day five.</w:t>
      </w:r>
    </w:p>
    <w:p w:rsidR="004D1F92" w:rsidRPr="00B9352E" w:rsidRDefault="004D1F9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Discussion</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This case highlights important considerations in managing complex surgical patients with competing medical risks (4,12).</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Regional Anesthesia in Reduced Cardiac Function:</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 xml:space="preserve">Patients with low ejection fraction present unique challenges. The failing heart relies on compensatory mechanisms to maintain cardiac output (2). General anesthetics can depress myocardial contractility and cause vasodilation (10). Neuraxial anesthesia produces </w:t>
      </w:r>
      <w:r w:rsidRPr="00353422">
        <w:rPr>
          <w:rFonts w:ascii="Times New Roman" w:eastAsia="Times New Roman" w:hAnsi="Times New Roman" w:cs="Times New Roman"/>
          <w:bCs/>
          <w:sz w:val="24"/>
          <w:szCs w:val="24"/>
          <w:lang w:eastAsia="tr-TR"/>
        </w:rPr>
        <w:lastRenderedPageBreak/>
        <w:t>sympathectomy with venodilation and reduced preload, which can be catastrophic in diastolic dysfunction (11).</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Peripheral nerve blocks preserve central sympathetic tone and venous return by confining anesthesia to the surgical extremity (4). The femoral and popliteal blocks provided complete surgical anesthesia without hemodynamic compromise.</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Antiplatelet Therapy and Regional Anesthesia:</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ASRA guidelines recommend discontinuing clopidogrel for 5-7 days before neuraxial procedures (3). This allows platelet function recovery through production of new platelets (7). Performing neuraxial blockade earlier risks spinal epidural hematoma (3).</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For peripheral nerve blocks, particularly with ultrasound guidance, the risk-benefit calculus differs. While all regional techniques carry bleeding risk, consequences of peripheral bleeding are less severe than spinal hematoma (4). Ultrasound enables direct visualization of vascular structures and real-time needle observation, reducing vascular puncture risk (12,13).</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Superficial blocks in compressible locations like femoral and popliteal sites carry minimal risk, while deep blocks in non-compressible locations warrant greater caution (1,5).</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In this case, proceeding with peripheral blocks despite recent clopidogrel use was based on: (1) surgical urgency precluding a 7-day wait (9), (2) ultrasound guidance to minimize vascular trauma (12), (3) compressible block sites, and (4) availability of surgical hemostasis.</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Ultrasound Guidance and Safety:</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Ultrasound has transformed regional anesthesia by improving success rates and enabling visualization of vascular structures, needle tip position, and local anesthetic spread (12,13). In patients with elevated bleeding risk, these features provide protection unavailable with traditional nerve stimulation techniques.</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Alternative Approaches Considered:</w:t>
      </w:r>
    </w:p>
    <w:p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General anesthesia: High-risk due to low EF (10)</w:t>
      </w:r>
    </w:p>
    <w:p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Spinal anesthesia: Contraindicated due to recent clopidogrel use (3)</w:t>
      </w:r>
    </w:p>
    <w:p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Monitored care with local infiltration: Inadequate for amputation</w:t>
      </w:r>
    </w:p>
    <w:p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Peripheral nerve blocks: Optimal approach (4)</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Limitations:</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As a single case, findings cannot be generalized. Success depends on operator expertise in ultrasound-guided regional anesthesia. Absence of bleeding complications does not guarantee safety in all patients receiving clopidogrel (7).</w:t>
      </w:r>
    </w:p>
    <w:p w:rsidR="00353422" w:rsidRPr="00B9352E" w:rsidRDefault="0035342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B9352E" w:rsidRP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Conclusion</w:t>
      </w:r>
    </w:p>
    <w:p w:rsidR="00353422" w:rsidRPr="00353422" w:rsidRDefault="00353422" w:rsidP="00353422">
      <w:pPr>
        <w:spacing w:before="100" w:beforeAutospacing="1" w:after="100" w:afterAutospacing="1" w:line="276" w:lineRule="auto"/>
        <w:rPr>
          <w:rFonts w:ascii="Times New Roman" w:eastAsia="Times New Roman" w:hAnsi="Times New Roman" w:cs="Times New Roman"/>
          <w:sz w:val="24"/>
          <w:szCs w:val="24"/>
          <w:lang w:eastAsia="tr-TR"/>
        </w:rPr>
      </w:pPr>
      <w:r w:rsidRPr="00353422">
        <w:rPr>
          <w:rFonts w:ascii="Times New Roman" w:eastAsia="Times New Roman" w:hAnsi="Times New Roman" w:cs="Times New Roman"/>
          <w:sz w:val="24"/>
          <w:szCs w:val="24"/>
          <w:lang w:eastAsia="tr-TR"/>
        </w:rPr>
        <w:t>This case demonstrates that ultrasound-guided femoral and popliteal nerve blocks provide safe, effective anesthesia for lower extremity amputation in patients with severely reduced cardiac function and recent clopidogrel use (4,12). This approach navigates competing risks of bleeding from neuraxial techniques and hemodynamic instability from general anesthesia.</w:t>
      </w:r>
    </w:p>
    <w:p w:rsidR="00353422" w:rsidRPr="00353422" w:rsidRDefault="00353422" w:rsidP="00353422">
      <w:pPr>
        <w:spacing w:before="100" w:beforeAutospacing="1" w:after="100" w:afterAutospacing="1" w:line="276" w:lineRule="auto"/>
        <w:rPr>
          <w:rFonts w:ascii="Times New Roman" w:eastAsia="Times New Roman" w:hAnsi="Times New Roman" w:cs="Times New Roman"/>
          <w:sz w:val="24"/>
          <w:szCs w:val="24"/>
          <w:lang w:eastAsia="tr-TR"/>
        </w:rPr>
      </w:pPr>
      <w:r w:rsidRPr="00353422">
        <w:rPr>
          <w:rFonts w:ascii="Times New Roman" w:eastAsia="Times New Roman" w:hAnsi="Times New Roman" w:cs="Times New Roman"/>
          <w:sz w:val="24"/>
          <w:szCs w:val="24"/>
          <w:lang w:eastAsia="tr-TR"/>
        </w:rPr>
        <w:t>For patients with low EF requiring urgent lower extremity surgery who cannot discontinue antiplatelet therapy, peripheral nerve blocks under ultrasound guidance represent a valuable alternative (2,4). The technique preserves hemodynamic stability while avoiding risks of neuraxial blockade in anticoagulated patients (3).</w:t>
      </w:r>
    </w:p>
    <w:p w:rsidR="00BD16A9" w:rsidRDefault="00BD16A9" w:rsidP="00B9352E">
      <w:pPr>
        <w:pStyle w:val="Heading2"/>
        <w:spacing w:before="40" w:after="40"/>
        <w:jc w:val="both"/>
        <w:rPr>
          <w:rFonts w:ascii="Times New Roman" w:eastAsia="Times New Roman" w:hAnsi="Times New Roman" w:cs="Times New Roman"/>
          <w:b w:val="0"/>
          <w:bCs w:val="0"/>
          <w:color w:val="auto"/>
          <w:sz w:val="24"/>
          <w:szCs w:val="24"/>
          <w:lang w:val="tr-TR" w:eastAsia="tr-TR"/>
        </w:rPr>
      </w:pPr>
    </w:p>
    <w:p w:rsidR="00B9352E" w:rsidRDefault="00B9352E" w:rsidP="00B9352E">
      <w:pPr>
        <w:pStyle w:val="Heading2"/>
        <w:spacing w:before="40" w:after="40"/>
        <w:jc w:val="both"/>
        <w:rPr>
          <w:rFonts w:ascii="Times New Roman" w:hAnsi="Times New Roman" w:cs="Times New Roman"/>
          <w:color w:val="000000" w:themeColor="text1"/>
          <w:sz w:val="24"/>
          <w:szCs w:val="24"/>
        </w:rPr>
      </w:pPr>
      <w:bookmarkStart w:id="0" w:name="_GoBack"/>
      <w:bookmarkEnd w:id="0"/>
      <w:r w:rsidRPr="0010431E">
        <w:rPr>
          <w:rFonts w:ascii="Times New Roman" w:hAnsi="Times New Roman" w:cs="Times New Roman"/>
          <w:color w:val="000000" w:themeColor="text1"/>
          <w:sz w:val="24"/>
          <w:szCs w:val="24"/>
        </w:rPr>
        <w:t>References</w:t>
      </w:r>
    </w:p>
    <w:p w:rsidR="00353422" w:rsidRPr="00353422" w:rsidRDefault="00353422" w:rsidP="00353422">
      <w:pPr>
        <w:rPr>
          <w:rFonts w:ascii="Times New Roman" w:hAnsi="Times New Roman" w:cs="Times New Roman"/>
          <w:lang w:val="en-US"/>
        </w:rPr>
      </w:pP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Gritsenko K, Williams D. Regional anesthesia in patients receiving anticoagulant or antiplatelet therapy. J Clin Anesth. 2021;74:110426.</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Reddy P, Karthikeyan V. Anesthetic management of patients with low ejection fraction. J Cardiothorac Vasc Anesth. 2020;34(8):2178-87.</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Narouze S, Benzon HT, Provenzano D, et al. Interventional spine and pain procedures in patients on antiplatelet medications: ASRA guidelines. Reg Anesth Pain Med. 2018;43(3):225-62.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Joubert F, Duchalais A. Peripheral nerve blocks in lower limb surgery. Anesth Analg. 2022;134(3):512-24.</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Kietaibl S, Ferrandis R, Godier A, et al. Regional anaesthesia in patients on antithrombotic drugs: ESAIC/ESRA guidelines. Eur J Anaesthesiol. 2022;39(2):100-132.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Wallentin L. P2Y12 inhibitors: Differences in properties. Eur Heart J. 2019;40(38):3154-62.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Price MJ, Teirstein PS. Dynamics of platelet function recovery following P2Y12 inhibitor discontinuation. J Am Coll Cardiol. 2020;75(15):1756-65.</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Douketis JD, Spyropoulos AC, Murad MH, et al. Perioperative management of antithrombotic therapy: CHEST guideline. Chest. 2022;162(5):e207-43.</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Tangel V, White RS. Timing of urgent surgery in patients on antiplatelet therapy. Br J Anaesth. 2021;127(3):345-53.</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Lonjaret L, Lairez O, Minville V. Anesthesia and the patient with heart failure. Anesthesiol Clin. 2020;38(1):121-35.</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Butterworth JF, Mackey DC. Hemodynamic effects of neuraxial anesthesia. In: Morgan &amp; Mikhail's Clinical Anesthesiology. 7th ed. McGraw-Hill; 2021. p. 345-62.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Lau J, Sharpe P, Gadsden J. Ultrasound-guided peripheral nerve blocks in anticoagulated patients. Reg Anesth Pain Med. 2020;45(6):437-45.</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lastRenderedPageBreak/>
        <w:t>Sites BD, Neal JM, Chan VW. Ultrasound in regional anesthesia. Reg Anesth Pain Med. 2019;44(1):1-3.</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Horlocker TT, Vandermeuelen E, Kopp SL, et al. Regional anesthesia in the patient receiving antithrombotic therapy: ASRA guidelines. Reg Anesth Pain Med. 2018;43(3):263-309.</w:t>
      </w:r>
    </w:p>
    <w:p w:rsidR="00353422" w:rsidRPr="00353422" w:rsidRDefault="00353422" w:rsidP="00353422">
      <w:pPr>
        <w:rPr>
          <w:rFonts w:ascii="Times New Roman" w:hAnsi="Times New Roman" w:cs="Times New Roman"/>
          <w:lang w:val="en-US"/>
        </w:rPr>
      </w:pPr>
    </w:p>
    <w:p w:rsidR="00B9352E" w:rsidRPr="00353422" w:rsidRDefault="00B9352E" w:rsidP="00B9352E">
      <w:pPr>
        <w:spacing w:before="40" w:after="40" w:line="276" w:lineRule="auto"/>
        <w:jc w:val="both"/>
        <w:rPr>
          <w:rFonts w:ascii="Times New Roman" w:hAnsi="Times New Roman" w:cs="Times New Roman"/>
          <w:color w:val="000000" w:themeColor="text1"/>
          <w:sz w:val="24"/>
          <w:szCs w:val="24"/>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Default="00B9352E" w:rsidP="00B9352E">
      <w:pPr>
        <w:spacing w:line="276" w:lineRule="auto"/>
      </w:pPr>
    </w:p>
    <w:sectPr w:rsidR="00B935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070" w:rsidRDefault="00364070" w:rsidP="00C10DF0">
      <w:pPr>
        <w:spacing w:after="0" w:line="240" w:lineRule="auto"/>
      </w:pPr>
      <w:r>
        <w:separator/>
      </w:r>
    </w:p>
  </w:endnote>
  <w:endnote w:type="continuationSeparator" w:id="0">
    <w:p w:rsidR="00364070" w:rsidRDefault="00364070" w:rsidP="00C1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070" w:rsidRDefault="00364070" w:rsidP="00C10DF0">
      <w:pPr>
        <w:spacing w:after="0" w:line="240" w:lineRule="auto"/>
      </w:pPr>
      <w:r>
        <w:separator/>
      </w:r>
    </w:p>
  </w:footnote>
  <w:footnote w:type="continuationSeparator" w:id="0">
    <w:p w:rsidR="00364070" w:rsidRDefault="00364070" w:rsidP="00C10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5A6"/>
    <w:multiLevelType w:val="multilevel"/>
    <w:tmpl w:val="6F4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501EA"/>
    <w:multiLevelType w:val="multilevel"/>
    <w:tmpl w:val="4BC6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E7425"/>
    <w:multiLevelType w:val="hybridMultilevel"/>
    <w:tmpl w:val="0BCCED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F96237"/>
    <w:multiLevelType w:val="hybridMultilevel"/>
    <w:tmpl w:val="5A70F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6F28E7"/>
    <w:multiLevelType w:val="multilevel"/>
    <w:tmpl w:val="C7B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AD"/>
    <w:rsid w:val="000C5C7D"/>
    <w:rsid w:val="00221436"/>
    <w:rsid w:val="002575DD"/>
    <w:rsid w:val="00353422"/>
    <w:rsid w:val="00364070"/>
    <w:rsid w:val="003C097E"/>
    <w:rsid w:val="003C7DCB"/>
    <w:rsid w:val="003E6456"/>
    <w:rsid w:val="004D1F92"/>
    <w:rsid w:val="005376CC"/>
    <w:rsid w:val="005A1B6F"/>
    <w:rsid w:val="006433D0"/>
    <w:rsid w:val="00AB1675"/>
    <w:rsid w:val="00B9352E"/>
    <w:rsid w:val="00BD16A9"/>
    <w:rsid w:val="00BD60AD"/>
    <w:rsid w:val="00C10DF0"/>
    <w:rsid w:val="00C3185E"/>
    <w:rsid w:val="00C523F2"/>
    <w:rsid w:val="00E607C3"/>
    <w:rsid w:val="00E610C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48B0F"/>
  <w15:chartTrackingRefBased/>
  <w15:docId w15:val="{A707953D-AB3D-4233-889E-D9FEC5B5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97E"/>
  </w:style>
  <w:style w:type="paragraph" w:styleId="Heading2">
    <w:name w:val="heading 2"/>
    <w:basedOn w:val="Normal"/>
    <w:next w:val="Normal"/>
    <w:link w:val="Heading2Char"/>
    <w:uiPriority w:val="9"/>
    <w:unhideWhenUsed/>
    <w:qFormat/>
    <w:rsid w:val="00B9352E"/>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
    <w:name w:val="D1"/>
    <w:basedOn w:val="Normal"/>
    <w:link w:val="D1Char"/>
    <w:autoRedefine/>
    <w:qFormat/>
    <w:rsid w:val="003C097E"/>
    <w:pPr>
      <w:autoSpaceDE w:val="0"/>
      <w:autoSpaceDN w:val="0"/>
      <w:adjustRightInd w:val="0"/>
      <w:spacing w:after="240" w:line="360" w:lineRule="auto"/>
      <w:ind w:firstLine="708"/>
      <w:jc w:val="center"/>
    </w:pPr>
    <w:rPr>
      <w:rFonts w:ascii="Times New Roman" w:hAnsi="Times New Roman" w:cs="Times New Roman"/>
      <w:b/>
      <w:bCs/>
      <w:color w:val="000000"/>
      <w:sz w:val="24"/>
      <w:szCs w:val="24"/>
    </w:rPr>
  </w:style>
  <w:style w:type="character" w:customStyle="1" w:styleId="D1Char">
    <w:name w:val="D1 Char"/>
    <w:basedOn w:val="DefaultParagraphFont"/>
    <w:link w:val="D1"/>
    <w:rsid w:val="003C097E"/>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B9352E"/>
    <w:rPr>
      <w:rFonts w:asciiTheme="majorHAnsi" w:eastAsiaTheme="majorEastAsia" w:hAnsiTheme="majorHAnsi" w:cstheme="majorBidi"/>
      <w:b/>
      <w:bCs/>
      <w:color w:val="4472C4" w:themeColor="accent1"/>
      <w:sz w:val="26"/>
      <w:szCs w:val="26"/>
      <w:lang w:val="en-US"/>
    </w:rPr>
  </w:style>
  <w:style w:type="character" w:styleId="Emphasis">
    <w:name w:val="Emphasis"/>
    <w:basedOn w:val="DefaultParagraphFont"/>
    <w:uiPriority w:val="20"/>
    <w:qFormat/>
    <w:rsid w:val="00B9352E"/>
    <w:rPr>
      <w:i/>
      <w:iCs/>
    </w:rPr>
  </w:style>
  <w:style w:type="paragraph" w:styleId="NormalWeb">
    <w:name w:val="Normal (Web)"/>
    <w:basedOn w:val="Normal"/>
    <w:uiPriority w:val="99"/>
    <w:semiHidden/>
    <w:unhideWhenUsed/>
    <w:rsid w:val="00B935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6433D0"/>
    <w:rPr>
      <w:color w:val="0000FF"/>
      <w:u w:val="single"/>
    </w:rPr>
  </w:style>
  <w:style w:type="character" w:styleId="UnresolvedMention">
    <w:name w:val="Unresolved Mention"/>
    <w:basedOn w:val="DefaultParagraphFont"/>
    <w:uiPriority w:val="99"/>
    <w:semiHidden/>
    <w:unhideWhenUsed/>
    <w:rsid w:val="00C3185E"/>
    <w:rPr>
      <w:color w:val="605E5C"/>
      <w:shd w:val="clear" w:color="auto" w:fill="E1DFDD"/>
    </w:rPr>
  </w:style>
  <w:style w:type="paragraph" w:styleId="Header">
    <w:name w:val="header"/>
    <w:basedOn w:val="Normal"/>
    <w:link w:val="HeaderChar"/>
    <w:uiPriority w:val="99"/>
    <w:unhideWhenUsed/>
    <w:rsid w:val="00C10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0"/>
  </w:style>
  <w:style w:type="paragraph" w:styleId="Footer">
    <w:name w:val="footer"/>
    <w:basedOn w:val="Normal"/>
    <w:link w:val="FooterChar"/>
    <w:uiPriority w:val="99"/>
    <w:unhideWhenUsed/>
    <w:rsid w:val="00C10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787">
      <w:bodyDiv w:val="1"/>
      <w:marLeft w:val="0"/>
      <w:marRight w:val="0"/>
      <w:marTop w:val="0"/>
      <w:marBottom w:val="0"/>
      <w:divBdr>
        <w:top w:val="none" w:sz="0" w:space="0" w:color="auto"/>
        <w:left w:val="none" w:sz="0" w:space="0" w:color="auto"/>
        <w:bottom w:val="none" w:sz="0" w:space="0" w:color="auto"/>
        <w:right w:val="none" w:sz="0" w:space="0" w:color="auto"/>
      </w:divBdr>
    </w:div>
    <w:div w:id="271741184">
      <w:bodyDiv w:val="1"/>
      <w:marLeft w:val="0"/>
      <w:marRight w:val="0"/>
      <w:marTop w:val="0"/>
      <w:marBottom w:val="0"/>
      <w:divBdr>
        <w:top w:val="none" w:sz="0" w:space="0" w:color="auto"/>
        <w:left w:val="none" w:sz="0" w:space="0" w:color="auto"/>
        <w:bottom w:val="none" w:sz="0" w:space="0" w:color="auto"/>
        <w:right w:val="none" w:sz="0" w:space="0" w:color="auto"/>
      </w:divBdr>
    </w:div>
    <w:div w:id="306053624">
      <w:bodyDiv w:val="1"/>
      <w:marLeft w:val="0"/>
      <w:marRight w:val="0"/>
      <w:marTop w:val="0"/>
      <w:marBottom w:val="0"/>
      <w:divBdr>
        <w:top w:val="none" w:sz="0" w:space="0" w:color="auto"/>
        <w:left w:val="none" w:sz="0" w:space="0" w:color="auto"/>
        <w:bottom w:val="none" w:sz="0" w:space="0" w:color="auto"/>
        <w:right w:val="none" w:sz="0" w:space="0" w:color="auto"/>
      </w:divBdr>
    </w:div>
    <w:div w:id="401870548">
      <w:bodyDiv w:val="1"/>
      <w:marLeft w:val="0"/>
      <w:marRight w:val="0"/>
      <w:marTop w:val="0"/>
      <w:marBottom w:val="0"/>
      <w:divBdr>
        <w:top w:val="none" w:sz="0" w:space="0" w:color="auto"/>
        <w:left w:val="none" w:sz="0" w:space="0" w:color="auto"/>
        <w:bottom w:val="none" w:sz="0" w:space="0" w:color="auto"/>
        <w:right w:val="none" w:sz="0" w:space="0" w:color="auto"/>
      </w:divBdr>
    </w:div>
    <w:div w:id="972373066">
      <w:bodyDiv w:val="1"/>
      <w:marLeft w:val="0"/>
      <w:marRight w:val="0"/>
      <w:marTop w:val="0"/>
      <w:marBottom w:val="0"/>
      <w:divBdr>
        <w:top w:val="none" w:sz="0" w:space="0" w:color="auto"/>
        <w:left w:val="none" w:sz="0" w:space="0" w:color="auto"/>
        <w:bottom w:val="none" w:sz="0" w:space="0" w:color="auto"/>
        <w:right w:val="none" w:sz="0" w:space="0" w:color="auto"/>
      </w:divBdr>
    </w:div>
    <w:div w:id="1284339888">
      <w:bodyDiv w:val="1"/>
      <w:marLeft w:val="0"/>
      <w:marRight w:val="0"/>
      <w:marTop w:val="0"/>
      <w:marBottom w:val="0"/>
      <w:divBdr>
        <w:top w:val="none" w:sz="0" w:space="0" w:color="auto"/>
        <w:left w:val="none" w:sz="0" w:space="0" w:color="auto"/>
        <w:bottom w:val="none" w:sz="0" w:space="0" w:color="auto"/>
        <w:right w:val="none" w:sz="0" w:space="0" w:color="auto"/>
      </w:divBdr>
    </w:div>
    <w:div w:id="1446995132">
      <w:bodyDiv w:val="1"/>
      <w:marLeft w:val="0"/>
      <w:marRight w:val="0"/>
      <w:marTop w:val="0"/>
      <w:marBottom w:val="0"/>
      <w:divBdr>
        <w:top w:val="none" w:sz="0" w:space="0" w:color="auto"/>
        <w:left w:val="none" w:sz="0" w:space="0" w:color="auto"/>
        <w:bottom w:val="none" w:sz="0" w:space="0" w:color="auto"/>
        <w:right w:val="none" w:sz="0" w:space="0" w:color="auto"/>
      </w:divBdr>
    </w:div>
    <w:div w:id="1751148465">
      <w:bodyDiv w:val="1"/>
      <w:marLeft w:val="0"/>
      <w:marRight w:val="0"/>
      <w:marTop w:val="0"/>
      <w:marBottom w:val="0"/>
      <w:divBdr>
        <w:top w:val="none" w:sz="0" w:space="0" w:color="auto"/>
        <w:left w:val="none" w:sz="0" w:space="0" w:color="auto"/>
        <w:bottom w:val="none" w:sz="0" w:space="0" w:color="auto"/>
        <w:right w:val="none" w:sz="0" w:space="0" w:color="auto"/>
      </w:divBdr>
    </w:div>
    <w:div w:id="18559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1695</Words>
  <Characters>9664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esen</dc:creator>
  <cp:keywords/>
  <dc:description/>
  <cp:lastModifiedBy>SDI PC 1170</cp:lastModifiedBy>
  <cp:revision>24</cp:revision>
  <dcterms:created xsi:type="dcterms:W3CDTF">2026-02-28T18:12:00Z</dcterms:created>
  <dcterms:modified xsi:type="dcterms:W3CDTF">2026-03-02T07:51:00Z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71e30a73-a761-448b-99ad-10d93717b4df</vt:lpwstr>
  </property>
</Properties>
</file>