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13554" w14:textId="4C7892A9" w:rsidR="00DD3009" w:rsidRPr="00DD3009" w:rsidRDefault="00DD3009" w:rsidP="00DD3009">
      <w:pPr>
        <w:pStyle w:val="NormalWeb"/>
        <w:spacing w:before="0" w:beforeAutospacing="0" w:after="240" w:afterAutospacing="0"/>
        <w:rPr>
          <w:rFonts w:ascii="Arial" w:eastAsia="Aptos" w:hAnsi="Arial" w:cs="Arial"/>
          <w:b/>
          <w:bCs/>
          <w:kern w:val="2"/>
          <w:sz w:val="36"/>
          <w:szCs w:val="36"/>
          <w:u w:val="single"/>
          <w:lang w:val="en-GB"/>
          <w14:ligatures w14:val="standardContextual"/>
        </w:rPr>
      </w:pPr>
      <w:r w:rsidRPr="00DD3009">
        <w:rPr>
          <w:rFonts w:ascii="Arial" w:eastAsia="Aptos" w:hAnsi="Arial" w:cs="Arial"/>
          <w:b/>
          <w:bCs/>
          <w:kern w:val="2"/>
          <w:sz w:val="36"/>
          <w:szCs w:val="36"/>
          <w:u w:val="single"/>
          <w:lang w:val="en-GB"/>
          <w14:ligatures w14:val="standardContextual"/>
        </w:rPr>
        <w:t>Original Research Article</w:t>
      </w:r>
    </w:p>
    <w:p w14:paraId="5328109E" w14:textId="72BF2D13" w:rsidR="00C72D81" w:rsidRPr="00AB4504" w:rsidRDefault="00EF3C28" w:rsidP="00BD0498">
      <w:pPr>
        <w:pStyle w:val="NormalWeb"/>
        <w:spacing w:before="0" w:beforeAutospacing="0" w:after="240" w:afterAutospacing="0"/>
        <w:jc w:val="right"/>
        <w:rPr>
          <w:rFonts w:ascii="Arial" w:eastAsia="Aptos" w:hAnsi="Arial" w:cs="Arial"/>
          <w:b/>
          <w:bCs/>
          <w:kern w:val="2"/>
          <w:sz w:val="36"/>
          <w:szCs w:val="36"/>
          <w:lang w:val="en-GB"/>
          <w14:ligatures w14:val="standardContextual"/>
        </w:rPr>
      </w:pPr>
      <w:r w:rsidRPr="00AB4504">
        <w:rPr>
          <w:rFonts w:ascii="Arial" w:eastAsia="Aptos" w:hAnsi="Arial" w:cs="Arial"/>
          <w:b/>
          <w:bCs/>
          <w:kern w:val="2"/>
          <w:sz w:val="36"/>
          <w:szCs w:val="36"/>
          <w:lang w:val="en-GB"/>
          <w14:ligatures w14:val="standardContextual"/>
        </w:rPr>
        <w:t xml:space="preserve">Antimutagenic Potential of Green Synthesized Silver Nanoparticles from </w:t>
      </w:r>
      <w:r w:rsidRPr="00AB4504">
        <w:rPr>
          <w:rFonts w:ascii="Arial" w:eastAsia="Aptos" w:hAnsi="Arial" w:cs="Arial"/>
          <w:b/>
          <w:bCs/>
          <w:i/>
          <w:iCs/>
          <w:kern w:val="2"/>
          <w:sz w:val="36"/>
          <w:szCs w:val="36"/>
          <w:lang w:val="en-GB"/>
          <w14:ligatures w14:val="standardContextual"/>
        </w:rPr>
        <w:t>Martynia annua</w:t>
      </w:r>
      <w:r w:rsidRPr="00AB4504">
        <w:rPr>
          <w:rFonts w:ascii="Arial" w:eastAsia="Aptos" w:hAnsi="Arial" w:cs="Arial"/>
          <w:b/>
          <w:bCs/>
          <w:kern w:val="2"/>
          <w:sz w:val="36"/>
          <w:szCs w:val="36"/>
          <w:lang w:val="en-GB"/>
          <w14:ligatures w14:val="standardContextual"/>
        </w:rPr>
        <w:t xml:space="preserve"> Fruit Extract Against DMBA-Induced Mutagenicity in Swiss Albino Mice</w:t>
      </w:r>
    </w:p>
    <w:p w14:paraId="6E1F4894" w14:textId="77777777" w:rsidR="00C72D81" w:rsidRPr="00AB4504" w:rsidRDefault="00C72D81">
      <w:pPr>
        <w:jc w:val="center"/>
        <w:rPr>
          <w:rFonts w:ascii="Arial" w:hAnsi="Arial"/>
          <w:lang w:val="en-GB"/>
        </w:rPr>
      </w:pPr>
    </w:p>
    <w:p w14:paraId="532810A4"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Abstract</w:t>
      </w:r>
    </w:p>
    <w:p w14:paraId="532810A5" w14:textId="77777777" w:rsidR="00C72D81" w:rsidRPr="00AB4504" w:rsidRDefault="00EF3C28">
      <w:pPr>
        <w:pStyle w:val="NormalWeb"/>
        <w:spacing w:before="0" w:beforeAutospacing="0" w:after="0" w:afterAutospacing="0"/>
        <w:jc w:val="both"/>
        <w:rPr>
          <w:rFonts w:ascii="Arial" w:eastAsia="SimSun" w:hAnsi="Arial" w:cs="Arial"/>
          <w:sz w:val="20"/>
          <w:szCs w:val="20"/>
          <w:lang w:val="en-GB"/>
        </w:rPr>
      </w:pPr>
      <w:r w:rsidRPr="00AB4504">
        <w:rPr>
          <w:rFonts w:ascii="Arial" w:eastAsia="SimSun" w:hAnsi="Arial" w:cs="Arial"/>
          <w:b/>
          <w:bCs/>
          <w:sz w:val="22"/>
          <w:szCs w:val="22"/>
          <w:lang w:val="en-GB"/>
        </w:rPr>
        <w:t>Aim:</w:t>
      </w:r>
      <w:r w:rsidRPr="00AB4504">
        <w:rPr>
          <w:rFonts w:ascii="Arial" w:eastAsia="SimSun" w:hAnsi="Arial" w:cs="Arial"/>
          <w:sz w:val="20"/>
          <w:szCs w:val="20"/>
          <w:lang w:val="en-GB"/>
        </w:rPr>
        <w:t xml:space="preserve"> To evaluate the antimutagenic potential of green synthesized silver nanoparticles of </w:t>
      </w:r>
      <w:r w:rsidRPr="00AB4504">
        <w:rPr>
          <w:rFonts w:ascii="Arial" w:eastAsia="SimSun" w:hAnsi="Arial" w:cs="Arial"/>
          <w:i/>
          <w:iCs/>
          <w:sz w:val="20"/>
          <w:szCs w:val="20"/>
          <w:lang w:val="en-GB"/>
        </w:rPr>
        <w:t>Martynia annua</w:t>
      </w:r>
      <w:r w:rsidRPr="00AB4504">
        <w:rPr>
          <w:rFonts w:ascii="Arial" w:eastAsia="SimSun" w:hAnsi="Arial" w:cs="Arial"/>
          <w:sz w:val="20"/>
          <w:szCs w:val="20"/>
          <w:lang w:val="en-GB"/>
        </w:rPr>
        <w:t xml:space="preserve"> fruit extract (MAF-AgNPs) against DMBA-induced mutagenicity in Swiss albino mice using chromosomal aberration and micronucleus assay.</w:t>
      </w:r>
    </w:p>
    <w:p w14:paraId="532810A6" w14:textId="77777777" w:rsidR="00C72D81" w:rsidRPr="00AB4504" w:rsidRDefault="00EF3C28">
      <w:pPr>
        <w:pStyle w:val="NormalWeb"/>
        <w:spacing w:before="0" w:beforeAutospacing="0" w:after="0" w:afterAutospacing="0"/>
        <w:jc w:val="both"/>
        <w:rPr>
          <w:rFonts w:ascii="Arial" w:eastAsia="SimSun" w:hAnsi="Arial" w:cs="Arial"/>
          <w:sz w:val="20"/>
          <w:szCs w:val="20"/>
          <w:lang w:val="en-GB"/>
        </w:rPr>
      </w:pPr>
      <w:r w:rsidRPr="00AB4504">
        <w:rPr>
          <w:rFonts w:ascii="Arial" w:eastAsia="SimSun" w:hAnsi="Arial" w:cs="Arial"/>
          <w:b/>
          <w:bCs/>
          <w:sz w:val="22"/>
          <w:szCs w:val="22"/>
          <w:lang w:val="en-GB"/>
        </w:rPr>
        <w:t>Study design:</w:t>
      </w:r>
      <w:r w:rsidRPr="00AB4504">
        <w:rPr>
          <w:rFonts w:ascii="Arial" w:eastAsia="SimSun" w:hAnsi="Arial" w:cs="Arial"/>
          <w:sz w:val="22"/>
          <w:szCs w:val="22"/>
          <w:lang w:val="en-GB"/>
        </w:rPr>
        <w:t xml:space="preserve"> </w:t>
      </w:r>
      <w:r w:rsidRPr="00AB4504">
        <w:rPr>
          <w:rFonts w:ascii="Arial" w:eastAsia="SimSun" w:hAnsi="Arial" w:cs="Arial"/>
          <w:sz w:val="20"/>
          <w:szCs w:val="20"/>
          <w:lang w:val="en-GB"/>
        </w:rPr>
        <w:t xml:space="preserve">Experimental </w:t>
      </w:r>
      <w:r w:rsidRPr="00AB4504">
        <w:rPr>
          <w:rFonts w:ascii="Arial" w:eastAsia="SimSun" w:hAnsi="Arial" w:cs="Arial"/>
          <w:i/>
          <w:iCs/>
          <w:sz w:val="20"/>
          <w:szCs w:val="20"/>
          <w:lang w:val="en-GB"/>
        </w:rPr>
        <w:t>in-vivo</w:t>
      </w:r>
      <w:r w:rsidRPr="00AB4504">
        <w:rPr>
          <w:rFonts w:ascii="Arial" w:eastAsia="SimSun" w:hAnsi="Arial" w:cs="Arial"/>
          <w:sz w:val="20"/>
          <w:szCs w:val="20"/>
          <w:lang w:val="en-GB"/>
        </w:rPr>
        <w:t xml:space="preserve"> animal study involving DMBA-induced mutagenicity and cytogenetic evaluation of the protective effect of MAF-AgNPs. </w:t>
      </w:r>
    </w:p>
    <w:p w14:paraId="532810A7" w14:textId="77777777" w:rsidR="00C72D81" w:rsidRPr="00AB4504" w:rsidRDefault="00EF3C28">
      <w:pPr>
        <w:pStyle w:val="NormalWeb"/>
        <w:spacing w:before="0" w:beforeAutospacing="0" w:after="0" w:afterAutospacing="0"/>
        <w:jc w:val="both"/>
        <w:rPr>
          <w:rFonts w:ascii="Arial" w:eastAsia="SimSun" w:hAnsi="Arial" w:cs="Arial"/>
          <w:sz w:val="20"/>
          <w:szCs w:val="20"/>
          <w:lang w:val="en-GB"/>
        </w:rPr>
      </w:pPr>
      <w:r w:rsidRPr="00AB4504">
        <w:rPr>
          <w:rFonts w:ascii="Arial" w:eastAsia="SimSun" w:hAnsi="Arial" w:cs="Arial"/>
          <w:b/>
          <w:bCs/>
          <w:sz w:val="22"/>
          <w:szCs w:val="22"/>
          <w:lang w:val="en-GB"/>
        </w:rPr>
        <w:t>Place and Duration of Study:</w:t>
      </w:r>
      <w:r w:rsidRPr="00AB4504">
        <w:rPr>
          <w:rFonts w:ascii="Arial" w:eastAsia="SimSun" w:hAnsi="Arial" w:cs="Arial"/>
          <w:sz w:val="22"/>
          <w:szCs w:val="22"/>
          <w:lang w:val="en-GB"/>
        </w:rPr>
        <w:t xml:space="preserve"> </w:t>
      </w:r>
      <w:r w:rsidRPr="00AB4504">
        <w:rPr>
          <w:rFonts w:ascii="Arial" w:eastAsia="SimSun" w:hAnsi="Arial" w:cs="Arial"/>
          <w:sz w:val="20"/>
          <w:szCs w:val="20"/>
          <w:lang w:val="en-GB"/>
        </w:rPr>
        <w:t>Department of Zoology, University of Rajasthan, Jaipur, India.</w:t>
      </w:r>
    </w:p>
    <w:p w14:paraId="532810A8" w14:textId="77777777" w:rsidR="00C72D81" w:rsidRPr="00AB4504" w:rsidRDefault="00EF3C28">
      <w:pPr>
        <w:pStyle w:val="NormalWeb"/>
        <w:spacing w:before="0" w:beforeAutospacing="0" w:after="0" w:afterAutospacing="0"/>
        <w:jc w:val="both"/>
        <w:rPr>
          <w:rFonts w:ascii="Arial" w:eastAsia="SimSun" w:hAnsi="Arial" w:cs="Arial"/>
          <w:sz w:val="20"/>
          <w:szCs w:val="20"/>
          <w:lang w:val="en-GB"/>
        </w:rPr>
      </w:pPr>
      <w:r w:rsidRPr="00AB4504">
        <w:rPr>
          <w:rFonts w:ascii="Arial" w:eastAsia="SimSun" w:hAnsi="Arial" w:cs="Arial"/>
          <w:b/>
          <w:bCs/>
          <w:sz w:val="22"/>
          <w:szCs w:val="22"/>
          <w:lang w:val="en-GB"/>
        </w:rPr>
        <w:t>Methodology</w:t>
      </w:r>
      <w:r w:rsidRPr="00AB4504">
        <w:rPr>
          <w:rFonts w:ascii="Arial" w:eastAsia="SimSun" w:hAnsi="Arial" w:cs="Arial"/>
          <w:b/>
          <w:bCs/>
          <w:sz w:val="20"/>
          <w:szCs w:val="20"/>
          <w:lang w:val="en-GB"/>
        </w:rPr>
        <w:t>:</w:t>
      </w:r>
      <w:r w:rsidRPr="00AB4504">
        <w:rPr>
          <w:rFonts w:ascii="Arial" w:eastAsia="SimSun" w:hAnsi="Arial" w:cs="Arial"/>
          <w:sz w:val="20"/>
          <w:szCs w:val="20"/>
          <w:lang w:val="en-GB"/>
        </w:rPr>
        <w:t xml:space="preserve"> Male Swiss albino mice were divided into normal, control, pre-treatment, post-treatment and throughout-treatment groups (n = 6/group). MAF-AgNPs were administered orally at 50 mg/kg body weight/day. Mutagenicity was induced by DMBA followed by croton oil promotion. Antimutagenic activity was evaluated by chromosomal aberration and micronucleus assays in bone marrow cells.</w:t>
      </w:r>
    </w:p>
    <w:p w14:paraId="532810A9" w14:textId="77777777" w:rsidR="00C72D81" w:rsidRPr="00AB4504" w:rsidRDefault="00EF3C28">
      <w:pPr>
        <w:pStyle w:val="NormalWeb"/>
        <w:spacing w:before="0" w:beforeAutospacing="0" w:after="0" w:afterAutospacing="0"/>
        <w:jc w:val="both"/>
        <w:rPr>
          <w:rFonts w:ascii="Arial" w:eastAsia="SimSun" w:hAnsi="Arial" w:cs="Arial"/>
          <w:sz w:val="20"/>
          <w:szCs w:val="20"/>
          <w:lang w:val="en-GB"/>
        </w:rPr>
      </w:pPr>
      <w:r w:rsidRPr="00AB4504">
        <w:rPr>
          <w:rFonts w:ascii="Arial" w:eastAsia="SimSun" w:hAnsi="Arial" w:cs="Arial"/>
          <w:b/>
          <w:bCs/>
          <w:sz w:val="22"/>
          <w:szCs w:val="22"/>
          <w:lang w:val="en-GB"/>
        </w:rPr>
        <w:t>Results</w:t>
      </w:r>
      <w:r w:rsidRPr="00AB4504">
        <w:rPr>
          <w:rFonts w:ascii="Arial" w:eastAsia="SimSun" w:hAnsi="Arial" w:cs="Arial"/>
          <w:b/>
          <w:bCs/>
          <w:sz w:val="20"/>
          <w:szCs w:val="20"/>
          <w:lang w:val="en-GB"/>
        </w:rPr>
        <w:t>:</w:t>
      </w:r>
      <w:r w:rsidRPr="00AB4504">
        <w:rPr>
          <w:rFonts w:ascii="Arial" w:eastAsia="SimSun" w:hAnsi="Arial" w:cs="Arial"/>
          <w:sz w:val="20"/>
          <w:szCs w:val="20"/>
          <w:lang w:val="en-GB"/>
        </w:rPr>
        <w:t xml:space="preserve"> DMBA increased aberrant cells from 4.50 ± 0.55% to 33.00 ± 3.80%. MAF-AgNPs significantly reduced aberrant cells to 11.33 ± 2.87% in pre-treatment, 14.83 ± 2.85% in post-treatment and 9.00 ± 2.00% in throughout-treatment groups compared to carcinogen control group. Micronucleus frequency increased from 1.80 ± 0.45% to 3.50 ± 0.58% after DMBA but decreased to 1.00 ± 0.71%, 1.67 ± 0.58% and 0.75 ± 0.50% in pre, post and throughout-treatment groups respectively.</w:t>
      </w:r>
    </w:p>
    <w:p w14:paraId="532810AA" w14:textId="77777777" w:rsidR="00C72D81" w:rsidRPr="00AB4504" w:rsidRDefault="00EF3C28">
      <w:pPr>
        <w:pStyle w:val="NormalWeb"/>
        <w:spacing w:before="0" w:beforeAutospacing="0" w:after="0" w:afterAutospacing="0"/>
        <w:jc w:val="both"/>
        <w:rPr>
          <w:rFonts w:ascii="Arial" w:eastAsia="SimSun" w:hAnsi="Arial" w:cs="Arial"/>
          <w:sz w:val="20"/>
          <w:szCs w:val="20"/>
          <w:lang w:val="en-GB"/>
        </w:rPr>
      </w:pPr>
      <w:r w:rsidRPr="00AB4504">
        <w:rPr>
          <w:rFonts w:ascii="Arial" w:eastAsia="SimSun" w:hAnsi="Arial" w:cs="Arial"/>
          <w:b/>
          <w:bCs/>
          <w:sz w:val="22"/>
          <w:szCs w:val="22"/>
          <w:lang w:val="en-GB"/>
        </w:rPr>
        <w:t>Conclusion:</w:t>
      </w:r>
      <w:r w:rsidRPr="00AB4504">
        <w:rPr>
          <w:rFonts w:ascii="Arial" w:eastAsia="SimSun" w:hAnsi="Arial" w:cs="Arial"/>
          <w:sz w:val="20"/>
          <w:szCs w:val="20"/>
          <w:lang w:val="en-GB"/>
        </w:rPr>
        <w:t xml:space="preserve"> MAF-AgNPs showed significant antimutagenic activity against DMBA-induced genetic damage and may serve as a promising chemoprotective agent against genotoxicity.</w:t>
      </w:r>
    </w:p>
    <w:p w14:paraId="532810AB" w14:textId="015FB60F" w:rsidR="00C72D81" w:rsidRPr="00AB4504" w:rsidRDefault="00EF3C28">
      <w:pPr>
        <w:pStyle w:val="NormalWeb"/>
        <w:jc w:val="both"/>
        <w:rPr>
          <w:rFonts w:ascii="Arial" w:hAnsi="Arial" w:cs="Arial"/>
          <w:sz w:val="20"/>
          <w:szCs w:val="20"/>
          <w:lang w:val="en-GB"/>
        </w:rPr>
      </w:pPr>
      <w:r w:rsidRPr="00AB4504">
        <w:rPr>
          <w:rFonts w:ascii="Arial" w:hAnsi="Arial" w:cs="Arial"/>
          <w:b/>
          <w:bCs/>
          <w:sz w:val="20"/>
          <w:szCs w:val="20"/>
          <w:lang w:val="en-GB"/>
        </w:rPr>
        <w:t>Keywords</w:t>
      </w:r>
      <w:r w:rsidRPr="00AB4504">
        <w:rPr>
          <w:rFonts w:ascii="Arial" w:hAnsi="Arial" w:cs="Arial"/>
          <w:sz w:val="20"/>
          <w:szCs w:val="20"/>
          <w:lang w:val="en-GB"/>
        </w:rPr>
        <w:t xml:space="preserve">: </w:t>
      </w:r>
      <w:r w:rsidRPr="00AB4504">
        <w:rPr>
          <w:rStyle w:val="Strong"/>
          <w:rFonts w:ascii="Arial" w:eastAsia="SimSun" w:hAnsi="Arial" w:cs="Arial"/>
          <w:b w:val="0"/>
          <w:bCs w:val="0"/>
          <w:sz w:val="20"/>
          <w:szCs w:val="20"/>
          <w:lang w:val="en-GB"/>
        </w:rPr>
        <w:t xml:space="preserve">Antimutagenic, Chromosomal aberrations, DMBA, Genotoxicity, </w:t>
      </w:r>
      <w:r w:rsidRPr="00AB4504">
        <w:rPr>
          <w:rStyle w:val="Strong"/>
          <w:rFonts w:ascii="Arial" w:eastAsia="SimSun" w:hAnsi="Arial" w:cs="Arial"/>
          <w:b w:val="0"/>
          <w:bCs w:val="0"/>
          <w:i/>
          <w:iCs/>
          <w:sz w:val="20"/>
          <w:szCs w:val="20"/>
          <w:lang w:val="en-GB"/>
        </w:rPr>
        <w:t>Martynia annua</w:t>
      </w:r>
      <w:r w:rsidRPr="00AB4504">
        <w:rPr>
          <w:rStyle w:val="Strong"/>
          <w:rFonts w:ascii="Arial" w:eastAsia="SimSun" w:hAnsi="Arial" w:cs="Arial"/>
          <w:b w:val="0"/>
          <w:bCs w:val="0"/>
          <w:sz w:val="20"/>
          <w:szCs w:val="20"/>
          <w:lang w:val="en-GB"/>
        </w:rPr>
        <w:t>, Micronuclei, Mutagenicity, Silver nanoparticles.</w:t>
      </w:r>
    </w:p>
    <w:p w14:paraId="532810AC"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1. Introduction:</w:t>
      </w:r>
    </w:p>
    <w:p w14:paraId="532810AD" w14:textId="575529B9"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 xml:space="preserve">Cancer represents a major global public health challenge and remains one of the leading causes of morbidity and mortality worldwide (World Health Organization, 2024). A significant proportion of cancer initiation is associated with genomic instability resulting from DNA damage induced by environmental and chemical carcinogens (El </w:t>
      </w:r>
      <w:proofErr w:type="spellStart"/>
      <w:r w:rsidRPr="00AB4504">
        <w:rPr>
          <w:rFonts w:ascii="Arial" w:hAnsi="Arial"/>
          <w:sz w:val="20"/>
          <w:szCs w:val="20"/>
          <w:lang w:val="en-GB"/>
        </w:rPr>
        <w:t>Ghissassi</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2009). Among chemical carcinogens</w:t>
      </w:r>
      <w:r w:rsidR="00EA7002" w:rsidRPr="00AB4504">
        <w:rPr>
          <w:rFonts w:ascii="Arial" w:hAnsi="Arial"/>
          <w:sz w:val="20"/>
          <w:szCs w:val="20"/>
          <w:lang w:val="en-GB"/>
        </w:rPr>
        <w:t>,</w:t>
      </w:r>
      <w:r w:rsidRPr="00AB4504">
        <w:rPr>
          <w:rFonts w:ascii="Arial" w:hAnsi="Arial"/>
          <w:sz w:val="20"/>
          <w:szCs w:val="20"/>
          <w:lang w:val="en-GB"/>
        </w:rPr>
        <w:t xml:space="preserve"> polycyclic aromatic hydrocarbons are well known for their ability to induce mutagenic and clastogenic effects through metabolic activation and DNA adduct formation (Phillips, 1983). One such compound 7,12-dimethylbenz[a]anthracene (DMBA) is extensively used in experimental models to study chemically induced mutagenic stress due to its strong DNA-damaging potential (</w:t>
      </w:r>
      <w:proofErr w:type="spellStart"/>
      <w:r w:rsidRPr="00AB4504">
        <w:rPr>
          <w:rFonts w:ascii="Arial" w:hAnsi="Arial"/>
          <w:sz w:val="20"/>
          <w:szCs w:val="20"/>
          <w:lang w:val="en-GB"/>
        </w:rPr>
        <w:t>Klaunig</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xml:space="preserve">., 2011). The metabolic activation of DMBA generates reactive intermediates that trigger oxidative stress, lipid peroxidation and chromosomal damage leading to mutagenic alterations in dividing cells (Valko </w:t>
      </w:r>
      <w:r w:rsidRPr="00AB4504">
        <w:rPr>
          <w:rFonts w:ascii="Arial" w:hAnsi="Arial"/>
          <w:i/>
          <w:iCs/>
          <w:sz w:val="20"/>
          <w:szCs w:val="20"/>
          <w:lang w:val="en-GB"/>
        </w:rPr>
        <w:t>et al</w:t>
      </w:r>
      <w:r w:rsidRPr="00AB4504">
        <w:rPr>
          <w:rFonts w:ascii="Arial" w:hAnsi="Arial"/>
          <w:sz w:val="20"/>
          <w:szCs w:val="20"/>
          <w:lang w:val="en-GB"/>
        </w:rPr>
        <w:t xml:space="preserve">., 2007). These early genetic lesions are considered critical initiating events in chemical-induced carcinogenic processes (Slaga </w:t>
      </w:r>
      <w:r w:rsidRPr="00AB4504">
        <w:rPr>
          <w:rFonts w:ascii="Arial" w:hAnsi="Arial"/>
          <w:i/>
          <w:iCs/>
          <w:sz w:val="20"/>
          <w:szCs w:val="20"/>
          <w:lang w:val="en-GB"/>
        </w:rPr>
        <w:t>et al</w:t>
      </w:r>
      <w:r w:rsidRPr="00AB4504">
        <w:rPr>
          <w:rFonts w:ascii="Arial" w:hAnsi="Arial"/>
          <w:sz w:val="20"/>
          <w:szCs w:val="20"/>
          <w:lang w:val="en-GB"/>
        </w:rPr>
        <w:t>., 1982). Chemoprevention has emerged as an effective strategy to mitigate chemically induced genetic damage through the use of natural or synthetic agents (Sporn, 1976). In this context</w:t>
      </w:r>
      <w:r w:rsidR="00EA7002" w:rsidRPr="00AB4504">
        <w:rPr>
          <w:rFonts w:ascii="Arial" w:hAnsi="Arial"/>
          <w:sz w:val="20"/>
          <w:szCs w:val="20"/>
          <w:lang w:val="en-GB"/>
        </w:rPr>
        <w:t>,</w:t>
      </w:r>
      <w:r w:rsidRPr="00AB4504">
        <w:rPr>
          <w:rFonts w:ascii="Arial" w:hAnsi="Arial"/>
          <w:sz w:val="20"/>
          <w:szCs w:val="20"/>
          <w:lang w:val="en-GB"/>
        </w:rPr>
        <w:t xml:space="preserve"> plant-derived bioactive compounds have gained attention due to their antioxidant and antimutagenic properties coupled with relatively low toxicity (Surh, 2003). Phytochemicals exert protective effects primarily by scavenging reactive oxygen species and stabilizing cellular redox homeostasis thereby preventing DNA damage (Johnson, 2007). Several dietary and medicinal plants including </w:t>
      </w:r>
      <w:r w:rsidRPr="00AB4504">
        <w:rPr>
          <w:rFonts w:ascii="Arial" w:hAnsi="Arial"/>
          <w:i/>
          <w:iCs/>
          <w:sz w:val="20"/>
          <w:szCs w:val="20"/>
          <w:lang w:val="en-GB"/>
        </w:rPr>
        <w:t>Curcuma longa</w:t>
      </w:r>
      <w:r w:rsidRPr="00AB4504">
        <w:rPr>
          <w:rFonts w:ascii="Arial" w:hAnsi="Arial"/>
          <w:sz w:val="20"/>
          <w:szCs w:val="20"/>
          <w:lang w:val="en-GB"/>
        </w:rPr>
        <w:t xml:space="preserve"> (Thresiamma </w:t>
      </w:r>
      <w:r w:rsidRPr="00AB4504">
        <w:rPr>
          <w:rFonts w:ascii="Arial" w:hAnsi="Arial"/>
          <w:i/>
          <w:iCs/>
          <w:sz w:val="20"/>
          <w:szCs w:val="20"/>
          <w:lang w:val="en-GB"/>
        </w:rPr>
        <w:t>et al</w:t>
      </w:r>
      <w:r w:rsidRPr="00AB4504">
        <w:rPr>
          <w:rFonts w:ascii="Arial" w:hAnsi="Arial"/>
          <w:sz w:val="20"/>
          <w:szCs w:val="20"/>
          <w:lang w:val="en-GB"/>
        </w:rPr>
        <w:t xml:space="preserve">., 1998), </w:t>
      </w:r>
      <w:r w:rsidRPr="00AB4504">
        <w:rPr>
          <w:rFonts w:ascii="Arial" w:hAnsi="Arial"/>
          <w:i/>
          <w:iCs/>
          <w:sz w:val="20"/>
          <w:szCs w:val="20"/>
          <w:lang w:val="en-GB"/>
        </w:rPr>
        <w:t>Camellia sinensis</w:t>
      </w:r>
      <w:r w:rsidRPr="00AB4504">
        <w:rPr>
          <w:rFonts w:ascii="Arial" w:hAnsi="Arial"/>
          <w:sz w:val="20"/>
          <w:szCs w:val="20"/>
          <w:lang w:val="en-GB"/>
        </w:rPr>
        <w:t xml:space="preserve"> (Kuroda &amp; Hara, 1999), </w:t>
      </w:r>
      <w:proofErr w:type="spellStart"/>
      <w:r w:rsidRPr="00AB4504">
        <w:rPr>
          <w:rFonts w:ascii="Arial" w:hAnsi="Arial"/>
          <w:i/>
          <w:iCs/>
          <w:sz w:val="20"/>
          <w:szCs w:val="20"/>
          <w:lang w:val="en-GB"/>
        </w:rPr>
        <w:lastRenderedPageBreak/>
        <w:t>Azadirachta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indica</w:t>
      </w:r>
      <w:proofErr w:type="spellEnd"/>
      <w:r w:rsidRPr="00AB4504">
        <w:rPr>
          <w:rFonts w:ascii="Arial" w:hAnsi="Arial"/>
          <w:sz w:val="20"/>
          <w:szCs w:val="20"/>
          <w:lang w:val="en-GB"/>
        </w:rPr>
        <w:t xml:space="preserve"> (</w:t>
      </w:r>
      <w:proofErr w:type="spellStart"/>
      <w:r w:rsidRPr="00AB4504">
        <w:rPr>
          <w:rFonts w:ascii="Arial" w:hAnsi="Arial"/>
          <w:sz w:val="20"/>
          <w:szCs w:val="20"/>
          <w:lang w:val="en-GB"/>
        </w:rPr>
        <w:t>Awasthy</w:t>
      </w:r>
      <w:proofErr w:type="spellEnd"/>
      <w:r w:rsidRPr="00AB4504">
        <w:rPr>
          <w:rFonts w:ascii="Arial" w:hAnsi="Arial"/>
          <w:sz w:val="20"/>
          <w:szCs w:val="20"/>
          <w:lang w:val="en-GB"/>
        </w:rPr>
        <w:t>, 2001</w:t>
      </w:r>
      <w:r w:rsidR="009973AE" w:rsidRPr="00AB4504">
        <w:rPr>
          <w:rFonts w:ascii="Arial" w:hAnsi="Arial"/>
          <w:sz w:val="20"/>
          <w:szCs w:val="20"/>
          <w:lang w:val="en-GB"/>
        </w:rPr>
        <w:t>),</w:t>
      </w:r>
      <w:r w:rsidR="00BD6DD0" w:rsidRPr="00AB4504">
        <w:rPr>
          <w:rFonts w:ascii="Arial" w:hAnsi="Arial"/>
          <w:sz w:val="20"/>
          <w:szCs w:val="20"/>
          <w:lang w:val="en-GB"/>
        </w:rPr>
        <w:t xml:space="preserve"> </w:t>
      </w:r>
      <w:r w:rsidR="00BD6DD0" w:rsidRPr="00AB4504">
        <w:rPr>
          <w:rFonts w:ascii="Arial" w:hAnsi="Arial"/>
          <w:i/>
          <w:iCs/>
          <w:sz w:val="20"/>
          <w:szCs w:val="20"/>
          <w:lang w:val="en-GB"/>
        </w:rPr>
        <w:t>Panax ginseng</w:t>
      </w:r>
      <w:r w:rsidR="00BD6DD0" w:rsidRPr="00AB4504">
        <w:rPr>
          <w:rFonts w:ascii="Arial" w:hAnsi="Arial"/>
          <w:sz w:val="20"/>
          <w:szCs w:val="20"/>
          <w:lang w:val="en-GB"/>
        </w:rPr>
        <w:t xml:space="preserve"> (Panwar </w:t>
      </w:r>
      <w:r w:rsidR="00BD6DD0" w:rsidRPr="00AB4504">
        <w:rPr>
          <w:rFonts w:ascii="Arial" w:hAnsi="Arial"/>
          <w:i/>
          <w:iCs/>
          <w:sz w:val="20"/>
          <w:szCs w:val="20"/>
          <w:lang w:val="en-GB"/>
        </w:rPr>
        <w:t>et al</w:t>
      </w:r>
      <w:r w:rsidR="00BD6DD0" w:rsidRPr="00AB4504">
        <w:rPr>
          <w:rFonts w:ascii="Arial" w:hAnsi="Arial"/>
          <w:sz w:val="20"/>
          <w:szCs w:val="20"/>
          <w:lang w:val="en-GB"/>
        </w:rPr>
        <w:t>., 2005),</w:t>
      </w:r>
      <w:r w:rsidR="009973AE" w:rsidRPr="00AB4504">
        <w:rPr>
          <w:rFonts w:ascii="Arial" w:hAnsi="Arial"/>
          <w:sz w:val="20"/>
          <w:szCs w:val="20"/>
          <w:lang w:val="en-GB"/>
        </w:rPr>
        <w:t xml:space="preserve"> </w:t>
      </w:r>
      <w:r w:rsidR="009973AE" w:rsidRPr="00AB4504">
        <w:rPr>
          <w:rFonts w:ascii="Arial" w:hAnsi="Arial"/>
          <w:i/>
          <w:iCs/>
          <w:sz w:val="20"/>
          <w:szCs w:val="20"/>
          <w:lang w:val="en-GB"/>
        </w:rPr>
        <w:t>Acacia nilotica</w:t>
      </w:r>
      <w:r w:rsidR="009973AE" w:rsidRPr="00AB4504">
        <w:rPr>
          <w:rFonts w:ascii="Arial" w:hAnsi="Arial"/>
          <w:sz w:val="20"/>
          <w:szCs w:val="20"/>
          <w:lang w:val="en-GB"/>
        </w:rPr>
        <w:t xml:space="preserve"> (Meena </w:t>
      </w:r>
      <w:r w:rsidR="009973AE" w:rsidRPr="00AB4504">
        <w:rPr>
          <w:rFonts w:ascii="Arial" w:hAnsi="Arial"/>
          <w:i/>
          <w:iCs/>
          <w:sz w:val="20"/>
          <w:szCs w:val="20"/>
          <w:lang w:val="en-GB"/>
        </w:rPr>
        <w:t>et al</w:t>
      </w:r>
      <w:r w:rsidR="009973AE" w:rsidRPr="00AB4504">
        <w:rPr>
          <w:rFonts w:ascii="Arial" w:hAnsi="Arial"/>
          <w:sz w:val="20"/>
          <w:szCs w:val="20"/>
          <w:lang w:val="en-GB"/>
        </w:rPr>
        <w:t>., 2006),</w:t>
      </w:r>
      <w:r w:rsidR="004A2A6B" w:rsidRPr="00AB4504">
        <w:rPr>
          <w:rFonts w:ascii="Arial" w:hAnsi="Arial"/>
          <w:sz w:val="20"/>
          <w:szCs w:val="20"/>
          <w:lang w:val="en-GB"/>
        </w:rPr>
        <w:t xml:space="preserve"> </w:t>
      </w:r>
      <w:r w:rsidR="004A2A6B" w:rsidRPr="00AB4504">
        <w:rPr>
          <w:rFonts w:ascii="Arial" w:hAnsi="Arial"/>
          <w:i/>
          <w:iCs/>
          <w:sz w:val="20"/>
          <w:szCs w:val="20"/>
          <w:lang w:val="en-GB"/>
        </w:rPr>
        <w:t>Mentha piperita</w:t>
      </w:r>
      <w:r w:rsidR="004A2A6B" w:rsidRPr="00AB4504">
        <w:rPr>
          <w:rFonts w:ascii="Arial" w:hAnsi="Arial"/>
          <w:sz w:val="20"/>
          <w:szCs w:val="20"/>
          <w:lang w:val="en-GB"/>
        </w:rPr>
        <w:t xml:space="preserve"> (Samarth </w:t>
      </w:r>
      <w:r w:rsidR="00A37A89" w:rsidRPr="00AB4504">
        <w:rPr>
          <w:rFonts w:ascii="Arial" w:hAnsi="Arial"/>
          <w:i/>
          <w:iCs/>
          <w:sz w:val="20"/>
          <w:szCs w:val="20"/>
          <w:lang w:val="en-GB"/>
        </w:rPr>
        <w:t>et al</w:t>
      </w:r>
      <w:r w:rsidR="00A37A89" w:rsidRPr="00AB4504">
        <w:rPr>
          <w:rFonts w:ascii="Arial" w:hAnsi="Arial"/>
          <w:sz w:val="20"/>
          <w:szCs w:val="20"/>
          <w:lang w:val="en-GB"/>
        </w:rPr>
        <w:t>., 2006</w:t>
      </w:r>
      <w:r w:rsidR="004A2A6B" w:rsidRPr="00AB4504">
        <w:rPr>
          <w:rFonts w:ascii="Arial" w:hAnsi="Arial"/>
          <w:sz w:val="20"/>
          <w:szCs w:val="20"/>
          <w:lang w:val="en-GB"/>
        </w:rPr>
        <w:t>)</w:t>
      </w:r>
      <w:r w:rsidR="00AE57E5" w:rsidRPr="00AB4504">
        <w:rPr>
          <w:rFonts w:ascii="Arial" w:hAnsi="Arial"/>
          <w:sz w:val="20"/>
          <w:szCs w:val="20"/>
          <w:lang w:val="en-GB"/>
        </w:rPr>
        <w:t>,</w:t>
      </w:r>
      <w:r w:rsidRPr="00AB4504">
        <w:rPr>
          <w:rFonts w:ascii="Arial" w:hAnsi="Arial"/>
          <w:sz w:val="20"/>
          <w:szCs w:val="20"/>
          <w:lang w:val="en-GB"/>
        </w:rPr>
        <w:t xml:space="preserve"> </w:t>
      </w:r>
      <w:r w:rsidRPr="00AB4504">
        <w:rPr>
          <w:rFonts w:ascii="Arial" w:hAnsi="Arial"/>
          <w:i/>
          <w:iCs/>
          <w:sz w:val="20"/>
          <w:szCs w:val="20"/>
          <w:lang w:val="en-GB"/>
        </w:rPr>
        <w:t>Ocimum sanctum</w:t>
      </w:r>
      <w:r w:rsidRPr="00AB4504">
        <w:rPr>
          <w:rFonts w:ascii="Arial" w:hAnsi="Arial"/>
          <w:sz w:val="20"/>
          <w:szCs w:val="20"/>
          <w:lang w:val="en-GB"/>
        </w:rPr>
        <w:t xml:space="preserve"> (Siddique </w:t>
      </w:r>
      <w:r w:rsidRPr="00AB4504">
        <w:rPr>
          <w:rFonts w:ascii="Arial" w:hAnsi="Arial"/>
          <w:i/>
          <w:iCs/>
          <w:sz w:val="20"/>
          <w:szCs w:val="20"/>
          <w:lang w:val="en-GB"/>
        </w:rPr>
        <w:t>et al</w:t>
      </w:r>
      <w:r w:rsidRPr="00AB4504">
        <w:rPr>
          <w:rFonts w:ascii="Arial" w:hAnsi="Arial"/>
          <w:sz w:val="20"/>
          <w:szCs w:val="20"/>
          <w:lang w:val="en-GB"/>
        </w:rPr>
        <w:t>., 2007</w:t>
      </w:r>
      <w:r w:rsidRPr="00AB4504">
        <w:rPr>
          <w:rFonts w:ascii="Arial" w:hAnsi="Arial"/>
          <w:i/>
          <w:iCs/>
          <w:sz w:val="20"/>
          <w:szCs w:val="20"/>
          <w:lang w:val="en-GB"/>
        </w:rPr>
        <w:t>)</w:t>
      </w:r>
      <w:r w:rsidR="004175EA" w:rsidRPr="00AB4504">
        <w:rPr>
          <w:rFonts w:ascii="Arial" w:hAnsi="Arial"/>
          <w:i/>
          <w:iCs/>
          <w:sz w:val="20"/>
          <w:szCs w:val="20"/>
          <w:lang w:val="en-GB"/>
        </w:rPr>
        <w:t xml:space="preserve">, </w:t>
      </w:r>
      <w:proofErr w:type="spellStart"/>
      <w:r w:rsidR="004175EA" w:rsidRPr="00AB4504">
        <w:rPr>
          <w:rFonts w:ascii="Arial" w:hAnsi="Arial"/>
          <w:i/>
          <w:iCs/>
          <w:sz w:val="20"/>
          <w:szCs w:val="20"/>
          <w:lang w:val="en-GB"/>
        </w:rPr>
        <w:t>Chlorophytum</w:t>
      </w:r>
      <w:proofErr w:type="spellEnd"/>
      <w:r w:rsidR="004175EA" w:rsidRPr="00AB4504">
        <w:rPr>
          <w:rFonts w:ascii="Arial" w:hAnsi="Arial"/>
          <w:i/>
          <w:iCs/>
          <w:sz w:val="20"/>
          <w:szCs w:val="20"/>
          <w:lang w:val="en-GB"/>
        </w:rPr>
        <w:t xml:space="preserve"> </w:t>
      </w:r>
      <w:proofErr w:type="spellStart"/>
      <w:r w:rsidR="004175EA" w:rsidRPr="00AB4504">
        <w:rPr>
          <w:rFonts w:ascii="Arial" w:hAnsi="Arial"/>
          <w:i/>
          <w:iCs/>
          <w:sz w:val="20"/>
          <w:szCs w:val="20"/>
          <w:lang w:val="en-GB"/>
        </w:rPr>
        <w:t>borivilianum</w:t>
      </w:r>
      <w:proofErr w:type="spellEnd"/>
      <w:r w:rsidR="004175EA" w:rsidRPr="00AB4504">
        <w:rPr>
          <w:rFonts w:ascii="Arial" w:hAnsi="Arial"/>
          <w:sz w:val="20"/>
          <w:szCs w:val="20"/>
          <w:lang w:val="en-GB"/>
        </w:rPr>
        <w:t xml:space="preserve"> (Kumar </w:t>
      </w:r>
      <w:r w:rsidR="004175EA" w:rsidRPr="00AB4504">
        <w:rPr>
          <w:rFonts w:ascii="Arial" w:hAnsi="Arial"/>
          <w:i/>
          <w:iCs/>
          <w:sz w:val="20"/>
          <w:szCs w:val="20"/>
          <w:lang w:val="en-GB"/>
        </w:rPr>
        <w:t xml:space="preserve">et al., </w:t>
      </w:r>
      <w:r w:rsidR="004175EA" w:rsidRPr="00AB4504">
        <w:rPr>
          <w:rFonts w:ascii="Arial" w:hAnsi="Arial"/>
          <w:sz w:val="20"/>
          <w:szCs w:val="20"/>
          <w:lang w:val="en-GB"/>
        </w:rPr>
        <w:t>2010)</w:t>
      </w:r>
      <w:r w:rsidRPr="00AB4504">
        <w:rPr>
          <w:rFonts w:ascii="Arial" w:hAnsi="Arial"/>
          <w:sz w:val="20"/>
          <w:szCs w:val="20"/>
          <w:lang w:val="en-GB"/>
        </w:rPr>
        <w:t xml:space="preserve"> and </w:t>
      </w:r>
      <w:r w:rsidRPr="00AB4504">
        <w:rPr>
          <w:rFonts w:ascii="Arial" w:hAnsi="Arial"/>
          <w:i/>
          <w:iCs/>
          <w:sz w:val="20"/>
          <w:szCs w:val="20"/>
          <w:lang w:val="en-GB"/>
        </w:rPr>
        <w:t>Calligonum polygonoides (</w:t>
      </w:r>
      <w:r w:rsidRPr="00AB4504">
        <w:rPr>
          <w:rFonts w:ascii="Arial" w:hAnsi="Arial"/>
          <w:sz w:val="20"/>
          <w:szCs w:val="20"/>
          <w:lang w:val="en-GB"/>
        </w:rPr>
        <w:t xml:space="preserve">Meghwal </w:t>
      </w:r>
      <w:r w:rsidRPr="00AB4504">
        <w:rPr>
          <w:rFonts w:ascii="Arial" w:hAnsi="Arial"/>
          <w:i/>
          <w:iCs/>
          <w:sz w:val="20"/>
          <w:szCs w:val="20"/>
          <w:lang w:val="en-GB"/>
        </w:rPr>
        <w:t>et al</w:t>
      </w:r>
      <w:r w:rsidRPr="00AB4504">
        <w:rPr>
          <w:rFonts w:ascii="Arial" w:hAnsi="Arial"/>
          <w:sz w:val="20"/>
          <w:szCs w:val="20"/>
          <w:lang w:val="en-GB"/>
        </w:rPr>
        <w:t>., 2024</w:t>
      </w:r>
      <w:r w:rsidRPr="00AB4504">
        <w:rPr>
          <w:rFonts w:ascii="Arial" w:hAnsi="Arial"/>
          <w:i/>
          <w:iCs/>
          <w:sz w:val="20"/>
          <w:szCs w:val="20"/>
          <w:lang w:val="en-GB"/>
        </w:rPr>
        <w:t>)</w:t>
      </w:r>
      <w:r w:rsidRPr="00AB4504">
        <w:rPr>
          <w:rFonts w:ascii="Arial" w:hAnsi="Arial"/>
          <w:sz w:val="20"/>
          <w:szCs w:val="20"/>
          <w:lang w:val="en-GB"/>
        </w:rPr>
        <w:t xml:space="preserve"> have been reported to modulate mutagen-induced chromosomal alterations and micronucleus formation. </w:t>
      </w:r>
      <w:r w:rsidR="00FC614E" w:rsidRPr="00AB4504">
        <w:rPr>
          <w:rFonts w:ascii="Arial" w:hAnsi="Arial"/>
          <w:sz w:val="20"/>
          <w:szCs w:val="20"/>
          <w:lang w:val="en-GB"/>
        </w:rPr>
        <w:t xml:space="preserve">Notably, </w:t>
      </w:r>
      <w:r w:rsidR="00FC614E" w:rsidRPr="00AB4504">
        <w:rPr>
          <w:rFonts w:ascii="Arial" w:hAnsi="Arial"/>
          <w:i/>
          <w:iCs/>
          <w:sz w:val="20"/>
          <w:szCs w:val="20"/>
          <w:lang w:val="en-GB"/>
        </w:rPr>
        <w:t>Calligonum polygonoides</w:t>
      </w:r>
      <w:r w:rsidR="00FC614E" w:rsidRPr="00AB4504">
        <w:rPr>
          <w:rFonts w:ascii="Arial" w:hAnsi="Arial"/>
          <w:sz w:val="20"/>
          <w:szCs w:val="20"/>
          <w:lang w:val="en-GB"/>
        </w:rPr>
        <w:t xml:space="preserve"> stem extract has demonstrated significant chemopreventive efficacy against DMBA-induced carcinogenesis by </w:t>
      </w:r>
      <w:r w:rsidR="00067770" w:rsidRPr="00AB4504">
        <w:rPr>
          <w:rFonts w:ascii="Arial" w:hAnsi="Arial"/>
          <w:sz w:val="20"/>
          <w:szCs w:val="20"/>
          <w:lang w:val="en-GB"/>
        </w:rPr>
        <w:t xml:space="preserve">reducing oxidative stress and </w:t>
      </w:r>
      <w:r w:rsidR="00FC614E" w:rsidRPr="00AB4504">
        <w:rPr>
          <w:rFonts w:ascii="Arial" w:hAnsi="Arial"/>
          <w:sz w:val="20"/>
          <w:szCs w:val="20"/>
          <w:lang w:val="en-GB"/>
        </w:rPr>
        <w:t xml:space="preserve">restoring antioxidant </w:t>
      </w:r>
      <w:r w:rsidR="00AB4504" w:rsidRPr="00AB4504">
        <w:rPr>
          <w:rFonts w:ascii="Arial" w:hAnsi="Arial"/>
          <w:sz w:val="20"/>
          <w:szCs w:val="20"/>
          <w:lang w:val="en-GB"/>
        </w:rPr>
        <w:t>defence</w:t>
      </w:r>
      <w:r w:rsidR="00FC614E" w:rsidRPr="00AB4504">
        <w:rPr>
          <w:rFonts w:ascii="Arial" w:hAnsi="Arial"/>
          <w:sz w:val="20"/>
          <w:szCs w:val="20"/>
          <w:lang w:val="en-GB"/>
        </w:rPr>
        <w:t xml:space="preserve"> systems</w:t>
      </w:r>
      <w:r w:rsidR="00E50C24" w:rsidRPr="00AB4504">
        <w:rPr>
          <w:rFonts w:ascii="Arial" w:hAnsi="Arial"/>
          <w:sz w:val="20"/>
          <w:szCs w:val="20"/>
          <w:lang w:val="en-GB"/>
        </w:rPr>
        <w:t xml:space="preserve"> (Meghwal </w:t>
      </w:r>
      <w:r w:rsidR="00E50C24" w:rsidRPr="00AB4504">
        <w:rPr>
          <w:rFonts w:ascii="Arial" w:hAnsi="Arial"/>
          <w:i/>
          <w:iCs/>
          <w:sz w:val="20"/>
          <w:szCs w:val="20"/>
          <w:lang w:val="en-GB"/>
        </w:rPr>
        <w:t xml:space="preserve">et al., </w:t>
      </w:r>
      <w:r w:rsidR="00E50C24" w:rsidRPr="00AB4504">
        <w:rPr>
          <w:rFonts w:ascii="Arial" w:hAnsi="Arial"/>
          <w:sz w:val="20"/>
          <w:szCs w:val="20"/>
          <w:lang w:val="en-GB"/>
        </w:rPr>
        <w:t xml:space="preserve">2025). </w:t>
      </w:r>
      <w:r w:rsidRPr="00AB4504">
        <w:rPr>
          <w:rFonts w:ascii="Arial" w:hAnsi="Arial"/>
          <w:sz w:val="20"/>
          <w:szCs w:val="20"/>
          <w:lang w:val="en-GB"/>
        </w:rPr>
        <w:t xml:space="preserve">Among such plants </w:t>
      </w:r>
      <w:r w:rsidRPr="00AB4504">
        <w:rPr>
          <w:rFonts w:ascii="Arial" w:hAnsi="Arial"/>
          <w:i/>
          <w:iCs/>
          <w:sz w:val="20"/>
          <w:szCs w:val="20"/>
          <w:lang w:val="en-GB"/>
        </w:rPr>
        <w:t>Martynia annua</w:t>
      </w:r>
      <w:r w:rsidRPr="00AB4504">
        <w:rPr>
          <w:rFonts w:ascii="Arial" w:hAnsi="Arial"/>
          <w:sz w:val="20"/>
          <w:szCs w:val="20"/>
          <w:lang w:val="en-GB"/>
        </w:rPr>
        <w:t xml:space="preserve"> L. commonly known as Devil’s claw, Tiger’s claw, </w:t>
      </w:r>
      <w:proofErr w:type="spellStart"/>
      <w:r w:rsidRPr="00AB4504">
        <w:rPr>
          <w:rFonts w:ascii="Arial" w:hAnsi="Arial"/>
          <w:sz w:val="20"/>
          <w:szCs w:val="20"/>
          <w:lang w:val="en-GB"/>
        </w:rPr>
        <w:t>Baghnakh</w:t>
      </w:r>
      <w:proofErr w:type="spellEnd"/>
      <w:r w:rsidRPr="00AB4504">
        <w:rPr>
          <w:rFonts w:ascii="Arial" w:hAnsi="Arial"/>
          <w:sz w:val="20"/>
          <w:szCs w:val="20"/>
          <w:lang w:val="en-GB"/>
        </w:rPr>
        <w:t xml:space="preserve"> or </w:t>
      </w:r>
      <w:proofErr w:type="spellStart"/>
      <w:r w:rsidRPr="00AB4504">
        <w:rPr>
          <w:rFonts w:ascii="Arial" w:hAnsi="Arial"/>
          <w:sz w:val="20"/>
          <w:szCs w:val="20"/>
          <w:lang w:val="en-GB"/>
        </w:rPr>
        <w:t>Bichua</w:t>
      </w:r>
      <w:proofErr w:type="spellEnd"/>
      <w:r w:rsidRPr="00AB4504">
        <w:rPr>
          <w:rFonts w:ascii="Arial" w:hAnsi="Arial"/>
          <w:sz w:val="20"/>
          <w:szCs w:val="20"/>
          <w:lang w:val="en-GB"/>
        </w:rPr>
        <w:t xml:space="preserve"> belonging to the family Pedaliaceae is a medicinal plant traditionally used in Indian folk medicine for the treatment of inflammatory and skin-related disorders </w:t>
      </w:r>
      <w:r w:rsidR="00972912" w:rsidRPr="00AB4504">
        <w:rPr>
          <w:rFonts w:ascii="Arial" w:hAnsi="Arial"/>
          <w:sz w:val="20"/>
          <w:szCs w:val="20"/>
          <w:lang w:val="en-GB"/>
        </w:rPr>
        <w:t xml:space="preserve">(Sharma </w:t>
      </w:r>
      <w:r w:rsidR="00972912" w:rsidRPr="00AB4504">
        <w:rPr>
          <w:rFonts w:ascii="Arial" w:hAnsi="Arial"/>
          <w:i/>
          <w:iCs/>
          <w:sz w:val="20"/>
          <w:szCs w:val="20"/>
          <w:lang w:val="en-GB"/>
        </w:rPr>
        <w:t>et al</w:t>
      </w:r>
      <w:r w:rsidR="00972912" w:rsidRPr="00AB4504">
        <w:rPr>
          <w:rFonts w:ascii="Arial" w:hAnsi="Arial"/>
          <w:sz w:val="20"/>
          <w:szCs w:val="20"/>
          <w:lang w:val="en-GB"/>
        </w:rPr>
        <w:t xml:space="preserve">., 2024). </w:t>
      </w:r>
      <w:r w:rsidRPr="00AB4504">
        <w:rPr>
          <w:rFonts w:ascii="Arial" w:hAnsi="Arial"/>
          <w:sz w:val="20"/>
          <w:szCs w:val="20"/>
          <w:lang w:val="en-GB"/>
        </w:rPr>
        <w:t xml:space="preserve">Phytochemical investigations have revealed the presence of phenolics, flavonoids, tannins and alkaloids in </w:t>
      </w:r>
      <w:r w:rsidRPr="00AB4504">
        <w:rPr>
          <w:rFonts w:ascii="Arial" w:hAnsi="Arial"/>
          <w:i/>
          <w:iCs/>
          <w:sz w:val="20"/>
          <w:szCs w:val="20"/>
          <w:lang w:val="en-GB"/>
        </w:rPr>
        <w:t>M. annua</w:t>
      </w:r>
      <w:r w:rsidRPr="00AB4504">
        <w:rPr>
          <w:rFonts w:ascii="Arial" w:hAnsi="Arial"/>
          <w:sz w:val="20"/>
          <w:szCs w:val="20"/>
          <w:lang w:val="en-GB"/>
        </w:rPr>
        <w:t xml:space="preserve"> which are known for their antioxidant potential (Gupta &amp; </w:t>
      </w:r>
      <w:proofErr w:type="spellStart"/>
      <w:r w:rsidRPr="00AB4504">
        <w:rPr>
          <w:rFonts w:ascii="Arial" w:hAnsi="Arial"/>
          <w:sz w:val="20"/>
          <w:szCs w:val="20"/>
          <w:lang w:val="en-GB"/>
        </w:rPr>
        <w:t>Deogadde</w:t>
      </w:r>
      <w:proofErr w:type="spellEnd"/>
      <w:r w:rsidRPr="00AB4504">
        <w:rPr>
          <w:rFonts w:ascii="Arial" w:hAnsi="Arial"/>
          <w:sz w:val="20"/>
          <w:szCs w:val="20"/>
          <w:lang w:val="en-GB"/>
        </w:rPr>
        <w:t xml:space="preserve">, 2018). Experimental studies have reported significant antioxidant and pharmacological properties of </w:t>
      </w:r>
      <w:r w:rsidRPr="00AB4504">
        <w:rPr>
          <w:rFonts w:ascii="Arial" w:hAnsi="Arial"/>
          <w:i/>
          <w:iCs/>
          <w:sz w:val="20"/>
          <w:szCs w:val="20"/>
          <w:lang w:val="en-GB"/>
        </w:rPr>
        <w:t>M. annua</w:t>
      </w:r>
      <w:r w:rsidRPr="00AB4504">
        <w:rPr>
          <w:rFonts w:ascii="Arial" w:hAnsi="Arial"/>
          <w:sz w:val="20"/>
          <w:szCs w:val="20"/>
          <w:lang w:val="en-GB"/>
        </w:rPr>
        <w:t xml:space="preserve"> suggesting its potential role in protecting against oxidative stress-mediated damage (</w:t>
      </w:r>
      <w:proofErr w:type="spellStart"/>
      <w:r w:rsidRPr="00AB4504">
        <w:rPr>
          <w:rFonts w:ascii="Arial" w:hAnsi="Arial"/>
          <w:sz w:val="20"/>
          <w:szCs w:val="20"/>
          <w:lang w:val="en-GB"/>
        </w:rPr>
        <w:t>Katare</w:t>
      </w:r>
      <w:proofErr w:type="spellEnd"/>
      <w:r w:rsidRPr="00AB4504">
        <w:rPr>
          <w:rFonts w:ascii="Arial" w:hAnsi="Arial"/>
          <w:sz w:val="20"/>
          <w:szCs w:val="20"/>
          <w:lang w:val="en-GB"/>
        </w:rPr>
        <w:t xml:space="preserve"> &amp; Tyagi, 2020). Sharma </w:t>
      </w:r>
      <w:r w:rsidRPr="00AB4504">
        <w:rPr>
          <w:rFonts w:ascii="Arial" w:hAnsi="Arial"/>
          <w:i/>
          <w:iCs/>
          <w:sz w:val="20"/>
          <w:szCs w:val="20"/>
          <w:lang w:val="en-GB"/>
        </w:rPr>
        <w:t>et al</w:t>
      </w:r>
      <w:r w:rsidRPr="00AB4504">
        <w:rPr>
          <w:rFonts w:ascii="Arial" w:hAnsi="Arial"/>
          <w:sz w:val="20"/>
          <w:szCs w:val="20"/>
          <w:lang w:val="en-GB"/>
        </w:rPr>
        <w:t xml:space="preserve">. (2025a) reported that hydroalcoholic leaf extracts of </w:t>
      </w:r>
      <w:r w:rsidRPr="00AB4504">
        <w:rPr>
          <w:rFonts w:ascii="Arial" w:hAnsi="Arial"/>
          <w:i/>
          <w:iCs/>
          <w:sz w:val="20"/>
          <w:szCs w:val="20"/>
          <w:lang w:val="en-GB"/>
        </w:rPr>
        <w:t>M. annua</w:t>
      </w:r>
      <w:r w:rsidRPr="00AB4504">
        <w:rPr>
          <w:rFonts w:ascii="Arial" w:hAnsi="Arial"/>
          <w:sz w:val="20"/>
          <w:szCs w:val="20"/>
          <w:lang w:val="en-GB"/>
        </w:rPr>
        <w:t xml:space="preserve"> are rich in phytochemicals including alkaloids, flavonoids, phenols, tannins, saponins, quinones and exhibit moderate but significant antioxidant activity. Fruits of </w:t>
      </w:r>
      <w:r w:rsidRPr="00AB4504">
        <w:rPr>
          <w:rFonts w:ascii="Arial" w:hAnsi="Arial"/>
          <w:i/>
          <w:iCs/>
          <w:sz w:val="20"/>
          <w:szCs w:val="20"/>
          <w:lang w:val="en-GB"/>
        </w:rPr>
        <w:t>M. annua</w:t>
      </w:r>
      <w:r w:rsidRPr="00AB4504">
        <w:rPr>
          <w:rFonts w:ascii="Arial" w:hAnsi="Arial"/>
          <w:sz w:val="20"/>
          <w:szCs w:val="20"/>
          <w:lang w:val="en-GB"/>
        </w:rPr>
        <w:t xml:space="preserve"> are reported to possess higher phytochemical constituents including phenolics, flavonoids and other bioactive metabolites compared to roots and leaves (Arshad </w:t>
      </w:r>
      <w:r w:rsidRPr="00AB4504">
        <w:rPr>
          <w:rFonts w:ascii="Arial" w:hAnsi="Arial"/>
          <w:i/>
          <w:iCs/>
          <w:sz w:val="20"/>
          <w:szCs w:val="20"/>
          <w:lang w:val="en-GB"/>
        </w:rPr>
        <w:t>et al</w:t>
      </w:r>
      <w:r w:rsidRPr="00AB4504">
        <w:rPr>
          <w:rFonts w:ascii="Arial" w:hAnsi="Arial"/>
          <w:sz w:val="20"/>
          <w:szCs w:val="20"/>
          <w:lang w:val="en-GB"/>
        </w:rPr>
        <w:t xml:space="preserve">., 2017). Recent studies also demonstrated that fruit extracts exhibit significantly higher antioxidant potential than flower and leaf extracts indicating a greater richness of secondary metabolites in fruits (Sharma </w:t>
      </w:r>
      <w:r w:rsidRPr="00AB4504">
        <w:rPr>
          <w:rFonts w:ascii="Arial" w:hAnsi="Arial"/>
          <w:i/>
          <w:iCs/>
          <w:sz w:val="20"/>
          <w:szCs w:val="20"/>
          <w:lang w:val="en-GB"/>
        </w:rPr>
        <w:t>et al</w:t>
      </w:r>
      <w:r w:rsidRPr="00AB4504">
        <w:rPr>
          <w:rFonts w:ascii="Arial" w:hAnsi="Arial"/>
          <w:sz w:val="20"/>
          <w:szCs w:val="20"/>
          <w:lang w:val="en-GB"/>
        </w:rPr>
        <w:t>., 2025b). However, the direct bioavailability of phytochemicals is often limited which can be improved through nanoparticle-based delivery systems.</w:t>
      </w:r>
    </w:p>
    <w:p w14:paraId="532810AE" w14:textId="4984005E"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 xml:space="preserve">Recent advances in nanotechnology have provided innovative approaches to enhance the biological efficacy of natural products. Among various metallic nanoparticles such as silver, gold, copper, zinc etc. silver nanoparticles (AgNPs) have attracted considerable interest due to their antioxidant and cytoprotective properties (Gurunathan </w:t>
      </w:r>
      <w:r w:rsidRPr="00AB4504">
        <w:rPr>
          <w:rFonts w:ascii="Arial" w:hAnsi="Arial"/>
          <w:i/>
          <w:iCs/>
          <w:sz w:val="20"/>
          <w:szCs w:val="20"/>
          <w:lang w:val="en-GB"/>
        </w:rPr>
        <w:t>et al.</w:t>
      </w:r>
      <w:r w:rsidRPr="00AB4504">
        <w:rPr>
          <w:rFonts w:ascii="Arial" w:hAnsi="Arial"/>
          <w:sz w:val="20"/>
          <w:szCs w:val="20"/>
          <w:lang w:val="en-GB"/>
        </w:rPr>
        <w:t xml:space="preserve">, 2015). Green synthesis of AgNPs using plant extracts offers an eco-friendly and biocompatible alternative to conventional chemical methods wherein plant phytochemicals act as both reducing and stabilizing agents (Iravani, 2011). Such phytochemical capped nanoparticles have been reported to exhibit enhanced biological activity with reduced toxicity (Ahmed </w:t>
      </w:r>
      <w:r w:rsidRPr="00AB4504">
        <w:rPr>
          <w:rFonts w:ascii="Arial" w:hAnsi="Arial"/>
          <w:i/>
          <w:iCs/>
          <w:sz w:val="20"/>
          <w:szCs w:val="20"/>
          <w:lang w:val="en-GB"/>
        </w:rPr>
        <w:t>et al</w:t>
      </w:r>
      <w:r w:rsidRPr="00AB4504">
        <w:rPr>
          <w:rFonts w:ascii="Arial" w:hAnsi="Arial"/>
          <w:sz w:val="20"/>
          <w:szCs w:val="20"/>
          <w:lang w:val="en-GB"/>
        </w:rPr>
        <w:t xml:space="preserve">., 2016). Emerging evidence suggests that silver nanoparticles can modulate oxidative stress pathways and attenuate chemically induced DNA damage, thereby highlighting their potential role as </w:t>
      </w:r>
      <w:proofErr w:type="spellStart"/>
      <w:r w:rsidRPr="00AB4504">
        <w:rPr>
          <w:rFonts w:ascii="Arial" w:hAnsi="Arial"/>
          <w:sz w:val="20"/>
          <w:szCs w:val="20"/>
          <w:lang w:val="en-GB"/>
        </w:rPr>
        <w:t>Genoprotective</w:t>
      </w:r>
      <w:proofErr w:type="spellEnd"/>
      <w:r w:rsidRPr="00AB4504">
        <w:rPr>
          <w:rFonts w:ascii="Arial" w:hAnsi="Arial"/>
          <w:sz w:val="20"/>
          <w:szCs w:val="20"/>
          <w:lang w:val="en-GB"/>
        </w:rPr>
        <w:t xml:space="preserve"> agents (</w:t>
      </w:r>
      <w:proofErr w:type="spellStart"/>
      <w:r w:rsidRPr="00AB4504">
        <w:rPr>
          <w:rFonts w:ascii="Arial" w:hAnsi="Arial"/>
          <w:sz w:val="20"/>
          <w:szCs w:val="20"/>
          <w:lang w:val="en-GB"/>
        </w:rPr>
        <w:t>Takáč</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xml:space="preserve">., 2023). In addition, green synthesized AgNPs derived from plant extracts such as </w:t>
      </w:r>
      <w:proofErr w:type="spellStart"/>
      <w:r w:rsidRPr="00AB4504">
        <w:rPr>
          <w:rFonts w:ascii="Arial" w:hAnsi="Arial"/>
          <w:i/>
          <w:iCs/>
          <w:sz w:val="20"/>
          <w:szCs w:val="20"/>
          <w:lang w:val="en-GB"/>
        </w:rPr>
        <w:t>Caesalpinia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pulcherrima</w:t>
      </w:r>
      <w:proofErr w:type="spellEnd"/>
      <w:r w:rsidRPr="00AB4504">
        <w:rPr>
          <w:rFonts w:ascii="Arial" w:hAnsi="Arial"/>
          <w:sz w:val="20"/>
          <w:szCs w:val="20"/>
          <w:lang w:val="en-GB"/>
        </w:rPr>
        <w:t xml:space="preserve"> (</w:t>
      </w:r>
      <w:proofErr w:type="spellStart"/>
      <w:r w:rsidRPr="00AB4504">
        <w:rPr>
          <w:rFonts w:ascii="Arial" w:hAnsi="Arial"/>
          <w:sz w:val="20"/>
          <w:szCs w:val="20"/>
          <w:lang w:val="en-GB"/>
        </w:rPr>
        <w:t>Moteriya</w:t>
      </w:r>
      <w:proofErr w:type="spellEnd"/>
      <w:r w:rsidRPr="00AB4504">
        <w:rPr>
          <w:rFonts w:ascii="Arial" w:hAnsi="Arial"/>
          <w:sz w:val="20"/>
          <w:szCs w:val="20"/>
          <w:lang w:val="en-GB"/>
        </w:rPr>
        <w:t xml:space="preserve"> &amp; Chanda, 2017), </w:t>
      </w:r>
      <w:r w:rsidRPr="00AB4504">
        <w:rPr>
          <w:rFonts w:ascii="Arial" w:hAnsi="Arial"/>
          <w:i/>
          <w:iCs/>
          <w:sz w:val="20"/>
          <w:szCs w:val="20"/>
          <w:lang w:val="en-GB"/>
        </w:rPr>
        <w:t>Allium cepa</w:t>
      </w:r>
      <w:r w:rsidRPr="00AB4504">
        <w:rPr>
          <w:rFonts w:ascii="Arial" w:hAnsi="Arial"/>
          <w:sz w:val="20"/>
          <w:szCs w:val="20"/>
          <w:lang w:val="en-GB"/>
        </w:rPr>
        <w:t xml:space="preserve"> (Heikal </w:t>
      </w:r>
      <w:r w:rsidRPr="00AB4504">
        <w:rPr>
          <w:rFonts w:ascii="Arial" w:hAnsi="Arial"/>
          <w:i/>
          <w:iCs/>
          <w:sz w:val="20"/>
          <w:szCs w:val="20"/>
          <w:lang w:val="en-GB"/>
        </w:rPr>
        <w:t>et al</w:t>
      </w:r>
      <w:r w:rsidRPr="00AB4504">
        <w:rPr>
          <w:rFonts w:ascii="Arial" w:hAnsi="Arial"/>
          <w:sz w:val="20"/>
          <w:szCs w:val="20"/>
          <w:lang w:val="en-GB"/>
        </w:rPr>
        <w:t xml:space="preserve">., 2020), </w:t>
      </w:r>
      <w:r w:rsidRPr="00AB4504">
        <w:rPr>
          <w:rFonts w:ascii="Arial" w:hAnsi="Arial"/>
          <w:i/>
          <w:iCs/>
          <w:sz w:val="20"/>
          <w:szCs w:val="20"/>
          <w:lang w:val="en-GB"/>
        </w:rPr>
        <w:t>Moringa oleifera</w:t>
      </w:r>
      <w:r w:rsidRPr="00AB4504">
        <w:rPr>
          <w:rFonts w:ascii="Arial" w:hAnsi="Arial"/>
          <w:sz w:val="20"/>
          <w:szCs w:val="20"/>
          <w:lang w:val="en-GB"/>
        </w:rPr>
        <w:t xml:space="preserve"> (Alkan </w:t>
      </w:r>
      <w:r w:rsidRPr="00AB4504">
        <w:rPr>
          <w:rFonts w:ascii="Arial" w:hAnsi="Arial"/>
          <w:i/>
          <w:iCs/>
          <w:sz w:val="20"/>
          <w:szCs w:val="20"/>
          <w:lang w:val="en-GB"/>
        </w:rPr>
        <w:t>et al</w:t>
      </w:r>
      <w:r w:rsidRPr="00AB4504">
        <w:rPr>
          <w:rFonts w:ascii="Arial" w:hAnsi="Arial"/>
          <w:sz w:val="20"/>
          <w:szCs w:val="20"/>
          <w:lang w:val="en-GB"/>
        </w:rPr>
        <w:t xml:space="preserve">., 2022) and </w:t>
      </w:r>
      <w:r w:rsidRPr="00AB4504">
        <w:rPr>
          <w:rFonts w:ascii="Arial" w:hAnsi="Arial"/>
          <w:i/>
          <w:iCs/>
          <w:sz w:val="20"/>
          <w:szCs w:val="20"/>
          <w:lang w:val="en-GB"/>
        </w:rPr>
        <w:t>Vicia faba</w:t>
      </w:r>
      <w:r w:rsidRPr="00AB4504">
        <w:rPr>
          <w:rFonts w:ascii="Arial" w:hAnsi="Arial"/>
          <w:sz w:val="20"/>
          <w:szCs w:val="20"/>
          <w:lang w:val="en-GB"/>
        </w:rPr>
        <w:t xml:space="preserve"> (Al-Saleh </w:t>
      </w:r>
      <w:r w:rsidRPr="00AB4504">
        <w:rPr>
          <w:rFonts w:ascii="Arial" w:hAnsi="Arial"/>
          <w:i/>
          <w:iCs/>
          <w:sz w:val="20"/>
          <w:szCs w:val="20"/>
          <w:lang w:val="en-GB"/>
        </w:rPr>
        <w:t>et al</w:t>
      </w:r>
      <w:r w:rsidRPr="00AB4504">
        <w:rPr>
          <w:rFonts w:ascii="Arial" w:hAnsi="Arial"/>
          <w:sz w:val="20"/>
          <w:szCs w:val="20"/>
          <w:lang w:val="en-GB"/>
        </w:rPr>
        <w:t xml:space="preserve">., 2025) have demonstrated significant antioxidant, antimutagenic and cytoprotective activities. Supporting this biosynthesized silver nanoparticles using </w:t>
      </w:r>
      <w:r w:rsidRPr="00AB4504">
        <w:rPr>
          <w:rFonts w:ascii="Arial" w:hAnsi="Arial"/>
          <w:i/>
          <w:iCs/>
          <w:sz w:val="20"/>
          <w:szCs w:val="20"/>
          <w:lang w:val="en-GB"/>
        </w:rPr>
        <w:t>M. annua</w:t>
      </w:r>
      <w:r w:rsidRPr="00AB4504">
        <w:rPr>
          <w:rFonts w:ascii="Arial" w:hAnsi="Arial"/>
          <w:sz w:val="20"/>
          <w:szCs w:val="20"/>
          <w:lang w:val="en-GB"/>
        </w:rPr>
        <w:t xml:space="preserve"> leaf extract have also shown notable antibacterial and anticancer potential indicating their broad biological applicability (</w:t>
      </w:r>
      <w:proofErr w:type="spellStart"/>
      <w:r w:rsidRPr="00AB4504">
        <w:rPr>
          <w:rFonts w:ascii="Arial" w:hAnsi="Arial"/>
          <w:sz w:val="20"/>
          <w:szCs w:val="20"/>
          <w:lang w:val="en-GB"/>
        </w:rPr>
        <w:t>Abbigeri</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2024). Given the central role of oxidative stress and chromosomal damage in DMBA-induced mutagenicity agents capable of suppressing these effects may contribute to the preservation of genomic integrity (</w:t>
      </w:r>
      <w:proofErr w:type="spellStart"/>
      <w:r w:rsidRPr="00AB4504">
        <w:rPr>
          <w:rFonts w:ascii="Arial" w:hAnsi="Arial"/>
          <w:sz w:val="20"/>
          <w:szCs w:val="20"/>
          <w:lang w:val="en-GB"/>
        </w:rPr>
        <w:t>Henkler</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xml:space="preserve">., 2010). Recent evidence further supports the multifunctional role of green-synthesized nanoparticles as silver and zinc oxide nanoparticles have been shown to exhibit significant antifungal, DNA protective, DNA cleavage and cytotoxic activities highlighting their potential in modulating genomic stability and cellular responses (Singh </w:t>
      </w:r>
      <w:r w:rsidRPr="00AB4504">
        <w:rPr>
          <w:rFonts w:ascii="Arial" w:hAnsi="Arial"/>
          <w:i/>
          <w:iCs/>
          <w:sz w:val="20"/>
          <w:szCs w:val="20"/>
          <w:lang w:val="en-GB"/>
        </w:rPr>
        <w:t>et al</w:t>
      </w:r>
      <w:r w:rsidRPr="00AB4504">
        <w:rPr>
          <w:rFonts w:ascii="Arial" w:hAnsi="Arial"/>
          <w:sz w:val="20"/>
          <w:szCs w:val="20"/>
          <w:lang w:val="en-GB"/>
        </w:rPr>
        <w:t xml:space="preserve">., 2026). In addition, silver nanoparticles have demonstrated protective effects against chemically induced genotoxicity in </w:t>
      </w:r>
      <w:r w:rsidRPr="00AB4504">
        <w:rPr>
          <w:rFonts w:ascii="Arial" w:hAnsi="Arial"/>
          <w:i/>
          <w:iCs/>
          <w:sz w:val="20"/>
          <w:szCs w:val="20"/>
          <w:lang w:val="en-GB"/>
        </w:rPr>
        <w:t>in-vivo</w:t>
      </w:r>
      <w:r w:rsidRPr="00AB4504">
        <w:rPr>
          <w:rFonts w:ascii="Arial" w:hAnsi="Arial"/>
          <w:sz w:val="20"/>
          <w:szCs w:val="20"/>
          <w:lang w:val="en-GB"/>
        </w:rPr>
        <w:t xml:space="preserve"> micronucleus assays and in cultured human lymphocytes indicating their ability to mitigate cytogenetic damage and preserve genomic integrity (Castañeda-Yslas </w:t>
      </w:r>
      <w:r w:rsidRPr="00AB4504">
        <w:rPr>
          <w:rFonts w:ascii="Arial" w:hAnsi="Arial"/>
          <w:i/>
          <w:iCs/>
          <w:sz w:val="20"/>
          <w:szCs w:val="20"/>
          <w:lang w:val="en-GB"/>
        </w:rPr>
        <w:t>et al</w:t>
      </w:r>
      <w:r w:rsidRPr="00AB4504">
        <w:rPr>
          <w:rFonts w:ascii="Arial" w:hAnsi="Arial"/>
          <w:sz w:val="20"/>
          <w:szCs w:val="20"/>
          <w:lang w:val="en-GB"/>
        </w:rPr>
        <w:t xml:space="preserve">., 2024; Jauregui Romo </w:t>
      </w:r>
      <w:r w:rsidRPr="00AB4504">
        <w:rPr>
          <w:rFonts w:ascii="Arial" w:hAnsi="Arial"/>
          <w:i/>
          <w:iCs/>
          <w:sz w:val="20"/>
          <w:szCs w:val="20"/>
          <w:lang w:val="en-GB"/>
        </w:rPr>
        <w:t>et al</w:t>
      </w:r>
      <w:r w:rsidRPr="00AB4504">
        <w:rPr>
          <w:rFonts w:ascii="Arial" w:hAnsi="Arial"/>
          <w:sz w:val="20"/>
          <w:szCs w:val="20"/>
          <w:lang w:val="en-GB"/>
        </w:rPr>
        <w:t xml:space="preserve">., 2025). </w:t>
      </w:r>
      <w:r w:rsidR="00212D40" w:rsidRPr="00AB4504">
        <w:rPr>
          <w:rFonts w:ascii="Arial" w:hAnsi="Arial"/>
          <w:sz w:val="20"/>
          <w:szCs w:val="20"/>
          <w:lang w:val="en-GB"/>
        </w:rPr>
        <w:t xml:space="preserve">Our recent work on </w:t>
      </w:r>
      <w:r w:rsidR="00212D40" w:rsidRPr="00AB4504">
        <w:rPr>
          <w:rFonts w:ascii="Arial" w:hAnsi="Arial"/>
          <w:i/>
          <w:iCs/>
          <w:sz w:val="20"/>
          <w:szCs w:val="20"/>
          <w:lang w:val="en-GB"/>
        </w:rPr>
        <w:t>M. annua</w:t>
      </w:r>
      <w:r w:rsidR="00212D40" w:rsidRPr="00AB4504">
        <w:rPr>
          <w:rFonts w:ascii="Arial" w:hAnsi="Arial"/>
          <w:sz w:val="20"/>
          <w:szCs w:val="20"/>
          <w:lang w:val="en-GB"/>
        </w:rPr>
        <w:t xml:space="preserve"> fruit-derived silver nanoparticles demonstrated successful green synthesis of stable phytochemical-capped MAF-AgNPs with confirmed nanoscale characteristics and significant </w:t>
      </w:r>
      <w:r w:rsidR="00212D40" w:rsidRPr="00AB4504">
        <w:rPr>
          <w:rFonts w:ascii="Arial" w:hAnsi="Arial"/>
          <w:i/>
          <w:iCs/>
          <w:sz w:val="20"/>
          <w:szCs w:val="20"/>
          <w:lang w:val="en-GB"/>
        </w:rPr>
        <w:t>in-vitro</w:t>
      </w:r>
      <w:r w:rsidR="00212D40" w:rsidRPr="00AB4504">
        <w:rPr>
          <w:rFonts w:ascii="Arial" w:hAnsi="Arial"/>
          <w:sz w:val="20"/>
          <w:szCs w:val="20"/>
          <w:lang w:val="en-GB"/>
        </w:rPr>
        <w:t xml:space="preserve"> antioxidant and anti</w:t>
      </w:r>
      <w:r w:rsidR="004278E4" w:rsidRPr="00AB4504">
        <w:rPr>
          <w:rFonts w:ascii="Arial" w:hAnsi="Arial"/>
          <w:sz w:val="20"/>
          <w:szCs w:val="20"/>
          <w:lang w:val="en-GB"/>
        </w:rPr>
        <w:t xml:space="preserve">bacterial </w:t>
      </w:r>
      <w:r w:rsidR="00212D40" w:rsidRPr="00AB4504">
        <w:rPr>
          <w:rFonts w:ascii="Arial" w:hAnsi="Arial"/>
          <w:sz w:val="20"/>
          <w:szCs w:val="20"/>
          <w:lang w:val="en-GB"/>
        </w:rPr>
        <w:t xml:space="preserve">activity </w:t>
      </w:r>
      <w:r w:rsidR="008078E8" w:rsidRPr="00AB4504">
        <w:rPr>
          <w:rFonts w:ascii="Arial" w:hAnsi="Arial"/>
          <w:sz w:val="20"/>
          <w:szCs w:val="20"/>
          <w:lang w:val="en-GB"/>
        </w:rPr>
        <w:t>suggesting their possible utility in protection against mutagenic stress</w:t>
      </w:r>
      <w:r w:rsidR="008078E8" w:rsidRPr="00AB4504" w:rsidDel="008078E8">
        <w:rPr>
          <w:rFonts w:ascii="Arial" w:hAnsi="Arial"/>
          <w:sz w:val="20"/>
          <w:szCs w:val="20"/>
          <w:lang w:val="en-GB"/>
        </w:rPr>
        <w:t xml:space="preserve"> </w:t>
      </w:r>
      <w:r w:rsidR="00212D40" w:rsidRPr="00AB4504">
        <w:rPr>
          <w:rFonts w:ascii="Arial" w:hAnsi="Arial"/>
          <w:sz w:val="20"/>
          <w:szCs w:val="20"/>
          <w:lang w:val="en-GB"/>
        </w:rPr>
        <w:t>(</w:t>
      </w:r>
      <w:proofErr w:type="spellStart"/>
      <w:r w:rsidR="00212D40" w:rsidRPr="00AB4504">
        <w:rPr>
          <w:rFonts w:ascii="Arial" w:hAnsi="Arial"/>
          <w:sz w:val="20"/>
          <w:szCs w:val="20"/>
          <w:lang w:val="en-GB"/>
        </w:rPr>
        <w:t>Jeengar</w:t>
      </w:r>
      <w:proofErr w:type="spellEnd"/>
      <w:r w:rsidR="00212D40" w:rsidRPr="00AB4504">
        <w:rPr>
          <w:rFonts w:ascii="Arial" w:hAnsi="Arial"/>
          <w:sz w:val="20"/>
          <w:szCs w:val="20"/>
          <w:lang w:val="en-GB"/>
        </w:rPr>
        <w:t xml:space="preserve"> </w:t>
      </w:r>
      <w:r w:rsidR="00212D40" w:rsidRPr="00AB4504">
        <w:rPr>
          <w:rFonts w:ascii="Arial" w:hAnsi="Arial"/>
          <w:i/>
          <w:iCs/>
          <w:sz w:val="20"/>
          <w:szCs w:val="20"/>
          <w:lang w:val="en-GB"/>
        </w:rPr>
        <w:t>et al</w:t>
      </w:r>
      <w:r w:rsidR="00212D40" w:rsidRPr="00AB4504">
        <w:rPr>
          <w:rFonts w:ascii="Arial" w:hAnsi="Arial"/>
          <w:sz w:val="20"/>
          <w:szCs w:val="20"/>
          <w:lang w:val="en-GB"/>
        </w:rPr>
        <w:t>., 2026).</w:t>
      </w:r>
      <w:r w:rsidRPr="00AB4504">
        <w:rPr>
          <w:rFonts w:ascii="Arial" w:hAnsi="Arial"/>
          <w:sz w:val="20"/>
          <w:szCs w:val="20"/>
          <w:lang w:val="en-GB"/>
        </w:rPr>
        <w:t>Therefore, the present study was designed to evaluate the antimutagenic potential of MAF-AgNPs against DMBA-induced mutagenic effects in Swiss albino mice with special emphasis on chromosomal aberrations and micronucleus formation.</w:t>
      </w:r>
    </w:p>
    <w:p w14:paraId="532810AF" w14:textId="77777777" w:rsidR="00C72D81" w:rsidRPr="00AB4504" w:rsidRDefault="00C72D81">
      <w:pPr>
        <w:spacing w:after="0"/>
        <w:ind w:firstLine="720"/>
        <w:jc w:val="both"/>
        <w:rPr>
          <w:rFonts w:ascii="Arial" w:hAnsi="Arial"/>
          <w:sz w:val="20"/>
          <w:szCs w:val="20"/>
          <w:lang w:val="en-GB"/>
        </w:rPr>
      </w:pPr>
    </w:p>
    <w:p w14:paraId="532810B0" w14:textId="77777777" w:rsidR="00C72D81" w:rsidRPr="00AB4504" w:rsidRDefault="00EF3C28">
      <w:pPr>
        <w:rPr>
          <w:rFonts w:ascii="Arial" w:hAnsi="Arial"/>
          <w:b/>
          <w:bCs/>
          <w:sz w:val="22"/>
          <w:szCs w:val="22"/>
          <w:lang w:val="en-GB"/>
        </w:rPr>
      </w:pPr>
      <w:r w:rsidRPr="00AB4504">
        <w:rPr>
          <w:rFonts w:ascii="Arial" w:hAnsi="Arial"/>
          <w:b/>
          <w:bCs/>
          <w:sz w:val="22"/>
          <w:szCs w:val="22"/>
          <w:lang w:val="en-GB"/>
        </w:rPr>
        <w:lastRenderedPageBreak/>
        <w:t>2. Materials and Methods:</w:t>
      </w:r>
    </w:p>
    <w:p w14:paraId="532810B1"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2.1 Chemicals:</w:t>
      </w:r>
    </w:p>
    <w:p w14:paraId="532810B2" w14:textId="77777777" w:rsidR="00C72D81" w:rsidRPr="00AB4504" w:rsidRDefault="00EF3C28" w:rsidP="003E1FB9">
      <w:pPr>
        <w:spacing w:after="0"/>
        <w:ind w:firstLine="720"/>
        <w:jc w:val="both"/>
        <w:rPr>
          <w:rFonts w:ascii="Arial" w:hAnsi="Arial"/>
          <w:sz w:val="20"/>
          <w:szCs w:val="20"/>
          <w:lang w:val="en-GB"/>
        </w:rPr>
      </w:pPr>
      <w:r w:rsidRPr="00AB4504">
        <w:rPr>
          <w:rFonts w:ascii="Arial" w:hAnsi="Arial"/>
          <w:sz w:val="20"/>
          <w:szCs w:val="20"/>
          <w:lang w:val="en-GB"/>
        </w:rPr>
        <w:t xml:space="preserve">All chemicals used in the present study were of analytical grade and were procured from </w:t>
      </w:r>
      <w:proofErr w:type="spellStart"/>
      <w:r w:rsidRPr="00AB4504">
        <w:rPr>
          <w:rFonts w:ascii="Arial" w:hAnsi="Arial"/>
          <w:sz w:val="20"/>
          <w:szCs w:val="20"/>
          <w:lang w:val="en-GB"/>
        </w:rPr>
        <w:t>HiMedia</w:t>
      </w:r>
      <w:proofErr w:type="spellEnd"/>
      <w:r w:rsidRPr="00AB4504">
        <w:rPr>
          <w:rFonts w:ascii="Arial" w:hAnsi="Arial"/>
          <w:sz w:val="20"/>
          <w:szCs w:val="20"/>
          <w:lang w:val="en-GB"/>
        </w:rPr>
        <w:t xml:space="preserve"> Laboratories (India) and Merck (India). The tumour initiator 7,12-dimethylbenz(a)anthracene (DMBA), colchicine and the tumour promoter croton oil were purchased from Sigma Chemical Company, USA.</w:t>
      </w:r>
    </w:p>
    <w:p w14:paraId="532810B3" w14:textId="77777777" w:rsidR="00C72D81" w:rsidRPr="00AB4504" w:rsidRDefault="00C72D81">
      <w:pPr>
        <w:spacing w:after="0"/>
        <w:jc w:val="both"/>
        <w:rPr>
          <w:rFonts w:ascii="Arial" w:hAnsi="Arial"/>
          <w:sz w:val="20"/>
          <w:szCs w:val="20"/>
          <w:lang w:val="en-GB"/>
        </w:rPr>
      </w:pPr>
    </w:p>
    <w:p w14:paraId="532810B4" w14:textId="02FC5A9B"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2.2 Experimental animals and ethical approval</w:t>
      </w:r>
      <w:r w:rsidR="005F2E9A" w:rsidRPr="00AB4504">
        <w:rPr>
          <w:rFonts w:ascii="Arial" w:hAnsi="Arial"/>
          <w:b/>
          <w:bCs/>
          <w:sz w:val="22"/>
          <w:szCs w:val="22"/>
          <w:lang w:val="en-GB"/>
        </w:rPr>
        <w:t>:</w:t>
      </w:r>
    </w:p>
    <w:p w14:paraId="532810B5" w14:textId="77777777"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 xml:space="preserve">All experimental procedures were carried out after obtaining prior approval from the Institutional Animal Ethics Committee (IAEC), Department of Zoology, University of Rajasthan, Jaipur </w:t>
      </w:r>
      <w:r w:rsidRPr="00AB4504">
        <w:rPr>
          <w:rFonts w:ascii="Arial" w:eastAsia="Calibri" w:hAnsi="Arial"/>
          <w:kern w:val="0"/>
          <w:sz w:val="20"/>
          <w:szCs w:val="20"/>
          <w:lang w:val="en-GB"/>
          <w14:ligatures w14:val="none"/>
        </w:rPr>
        <w:t xml:space="preserve">(Protocol approval no. UDZ/IAE/2023-I/21 dated 11 August 2023) </w:t>
      </w:r>
      <w:r w:rsidRPr="00AB4504">
        <w:rPr>
          <w:rFonts w:ascii="Arial" w:hAnsi="Arial"/>
          <w:sz w:val="20"/>
          <w:szCs w:val="20"/>
          <w:lang w:val="en-GB"/>
        </w:rPr>
        <w:t xml:space="preserve">and were conducted in strict accordance with the guidelines of the Committee for Control and Supervision of Experiments on Animals (CCSEA), Department of Animal Husbandry and Dairying, Ministry of Fisheries, Animal Husbandry and Dairying, Government of India, India. Male Swiss albino mice (7–8 weeks old; body weight 24 ± 2 g) were procured from the Lala Lajpat Rai University of Veterinary and Animal Sciences (LUVAS), Hisar, Haryana, India. The animals were housed in polypropylene cages under standard laboratory conditions with a controlled photoperiod (14 h light: 10 h dark) and ambient temperature (25 ± 2 °C) in the departmental animal house. Mice were provided with a standard laboratory diet (Ashirwad Industries, Chandigarh, India) and drinking water </w:t>
      </w:r>
      <w:r w:rsidRPr="00AB4504">
        <w:rPr>
          <w:rFonts w:ascii="Arial" w:hAnsi="Arial"/>
          <w:i/>
          <w:iCs/>
          <w:sz w:val="20"/>
          <w:szCs w:val="20"/>
          <w:lang w:val="en-GB"/>
        </w:rPr>
        <w:t>ad libitum</w:t>
      </w:r>
      <w:r w:rsidRPr="00AB4504">
        <w:rPr>
          <w:rFonts w:ascii="Arial" w:hAnsi="Arial"/>
          <w:sz w:val="20"/>
          <w:szCs w:val="20"/>
          <w:lang w:val="en-GB"/>
        </w:rPr>
        <w:t>. Prior to the initiation of experiments all animals were allowed to acclimatize for seven days and were regularly monitored for general health and signs of illness. Only healthy and properly acclimatized animals were included in the study.</w:t>
      </w:r>
    </w:p>
    <w:p w14:paraId="532810B6" w14:textId="77777777" w:rsidR="00C72D81" w:rsidRPr="00AB4504" w:rsidRDefault="00C72D81">
      <w:pPr>
        <w:jc w:val="both"/>
        <w:rPr>
          <w:rFonts w:ascii="Arial" w:hAnsi="Arial"/>
          <w:sz w:val="20"/>
          <w:szCs w:val="20"/>
          <w:lang w:val="en-GB"/>
        </w:rPr>
      </w:pPr>
    </w:p>
    <w:p w14:paraId="532810B7"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2.3 Plant Material collection:</w:t>
      </w:r>
    </w:p>
    <w:p w14:paraId="532810B8" w14:textId="77777777"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 xml:space="preserve">Fresh fruits of </w:t>
      </w:r>
      <w:r w:rsidRPr="00AB4504">
        <w:rPr>
          <w:rFonts w:ascii="Arial" w:hAnsi="Arial"/>
          <w:i/>
          <w:iCs/>
          <w:sz w:val="20"/>
          <w:szCs w:val="20"/>
          <w:lang w:val="en-GB"/>
        </w:rPr>
        <w:t>M. annua</w:t>
      </w:r>
      <w:r w:rsidRPr="00AB4504">
        <w:rPr>
          <w:rFonts w:ascii="Arial" w:hAnsi="Arial"/>
          <w:sz w:val="20"/>
          <w:szCs w:val="20"/>
          <w:lang w:val="en-GB"/>
        </w:rPr>
        <w:t xml:space="preserve"> L. were collected from in and around Jaipur city, Rajasthan, India, during the rainy season and authenticated by Herbarium, Department of Botany, University of Rajasthan, Jaipur, India (RUBL No. 211763). The collected fruits were washed thoroughly with running tap water followed by distilled water to remove adhering debris and contaminants. The fruits were shade dried at room temperature and then finely powdered using a mechanical grinder. The powdered material was stored in airtight containers until further use.</w:t>
      </w:r>
    </w:p>
    <w:p w14:paraId="532810B9" w14:textId="77777777" w:rsidR="00C72D81" w:rsidRPr="00AB4504" w:rsidRDefault="00C72D81">
      <w:pPr>
        <w:jc w:val="both"/>
        <w:rPr>
          <w:rFonts w:ascii="Arial" w:hAnsi="Arial"/>
          <w:sz w:val="20"/>
          <w:szCs w:val="20"/>
          <w:lang w:val="en-GB"/>
        </w:rPr>
      </w:pPr>
    </w:p>
    <w:p w14:paraId="532810BA" w14:textId="77777777" w:rsidR="00C72D81" w:rsidRPr="00AB4504" w:rsidRDefault="00EF3C28">
      <w:pPr>
        <w:spacing w:after="0"/>
        <w:jc w:val="both"/>
        <w:rPr>
          <w:rFonts w:ascii="Arial" w:hAnsi="Arial"/>
          <w:b/>
          <w:bCs/>
          <w:sz w:val="20"/>
          <w:szCs w:val="20"/>
          <w:lang w:val="en-GB"/>
        </w:rPr>
      </w:pPr>
      <w:r w:rsidRPr="00AB4504">
        <w:rPr>
          <w:rFonts w:ascii="Arial" w:hAnsi="Arial"/>
          <w:b/>
          <w:bCs/>
          <w:sz w:val="22"/>
          <w:szCs w:val="22"/>
          <w:lang w:val="en-GB"/>
        </w:rPr>
        <w:t>2.4 Green Synthesis of Silver Nanoparticles:</w:t>
      </w:r>
    </w:p>
    <w:p w14:paraId="0FBF5769" w14:textId="06A7359A" w:rsidR="005F2E9A" w:rsidRPr="00AB4504" w:rsidRDefault="00CD7A91" w:rsidP="00EF5CE7">
      <w:pPr>
        <w:ind w:firstLine="720"/>
        <w:jc w:val="both"/>
        <w:rPr>
          <w:rFonts w:ascii="Arial" w:hAnsi="Arial"/>
          <w:sz w:val="20"/>
          <w:szCs w:val="20"/>
          <w:lang w:val="en-GB"/>
        </w:rPr>
      </w:pPr>
      <w:r w:rsidRPr="00AB4504">
        <w:rPr>
          <w:rFonts w:ascii="Arial" w:hAnsi="Arial"/>
          <w:sz w:val="20"/>
          <w:szCs w:val="20"/>
          <w:lang w:val="en-GB"/>
        </w:rPr>
        <w:t xml:space="preserve">Silver nanoparticles (AgNPs) were synthesized using </w:t>
      </w:r>
      <w:r w:rsidRPr="00AB4504">
        <w:rPr>
          <w:rFonts w:ascii="Arial" w:hAnsi="Arial"/>
          <w:i/>
          <w:iCs/>
          <w:sz w:val="20"/>
          <w:szCs w:val="20"/>
          <w:lang w:val="en-GB"/>
        </w:rPr>
        <w:t>M. annua</w:t>
      </w:r>
      <w:r w:rsidRPr="00AB4504">
        <w:rPr>
          <w:rFonts w:ascii="Arial" w:hAnsi="Arial"/>
          <w:sz w:val="20"/>
          <w:szCs w:val="20"/>
          <w:lang w:val="en-GB"/>
        </w:rPr>
        <w:t xml:space="preserve"> fruit extract (MAF) as a biological reducing and stabilizing agent. The plant extract was prepared by Soxhlet extraction using a methanol: water solvent system (3:1, v/v) at 40–45°C for 72 h following the CG-04 protocol (WHO, 1983). The extract was then concentrated by evaporating the solvent under reduced pressure, dried, and stored in an airtight container at room temperature for further use. For the synthesis of nanoparticles 0.1 mL of MAF extract solution (1.0 mg/mL) was added to 10.0 mL of 1.0 mM silver nitrate (AgNO</w:t>
      </w:r>
      <w:r w:rsidRPr="00AB4504">
        <w:rPr>
          <w:rFonts w:ascii="Cambria Math" w:hAnsi="Cambria Math" w:cs="Cambria Math"/>
          <w:sz w:val="20"/>
          <w:szCs w:val="20"/>
          <w:lang w:val="en-GB"/>
        </w:rPr>
        <w:t>₃</w:t>
      </w:r>
      <w:r w:rsidRPr="00AB4504">
        <w:rPr>
          <w:rFonts w:ascii="Arial" w:hAnsi="Arial"/>
          <w:sz w:val="20"/>
          <w:szCs w:val="20"/>
          <w:lang w:val="en-GB"/>
        </w:rPr>
        <w:t xml:space="preserve">) solution under continuous magnetic stirring at 50°C and 500 rpm for 3 h. The reaction mixture was maintained under dark conditions to prevent photo-reduction of silver ions. The formation of MAF-AgNPs was indicated by a visible </w:t>
      </w:r>
      <w:r w:rsidR="006131CE" w:rsidRPr="00AB4504">
        <w:rPr>
          <w:rFonts w:ascii="Arial" w:hAnsi="Arial"/>
          <w:sz w:val="20"/>
          <w:szCs w:val="20"/>
          <w:lang w:val="en-GB"/>
        </w:rPr>
        <w:t>colour</w:t>
      </w:r>
      <w:r w:rsidRPr="00AB4504">
        <w:rPr>
          <w:rFonts w:ascii="Arial" w:hAnsi="Arial"/>
          <w:sz w:val="20"/>
          <w:szCs w:val="20"/>
          <w:lang w:val="en-GB"/>
        </w:rPr>
        <w:t xml:space="preserve"> change of the reaction mixture.</w:t>
      </w:r>
      <w:r w:rsidR="00EF5CE7" w:rsidRPr="00AB4504">
        <w:rPr>
          <w:rFonts w:ascii="Arial" w:hAnsi="Arial"/>
          <w:sz w:val="20"/>
          <w:szCs w:val="20"/>
          <w:lang w:val="en-GB"/>
        </w:rPr>
        <w:t xml:space="preserve"> </w:t>
      </w:r>
      <w:r w:rsidRPr="00AB4504">
        <w:rPr>
          <w:rFonts w:ascii="Arial" w:hAnsi="Arial"/>
          <w:sz w:val="20"/>
          <w:szCs w:val="20"/>
          <w:lang w:val="en-GB"/>
        </w:rPr>
        <w:t>Upon completion of the reaction</w:t>
      </w:r>
      <w:r w:rsidR="00EF5CE7" w:rsidRPr="00AB4504">
        <w:rPr>
          <w:rFonts w:ascii="Arial" w:hAnsi="Arial"/>
          <w:sz w:val="20"/>
          <w:szCs w:val="20"/>
          <w:lang w:val="en-GB"/>
        </w:rPr>
        <w:t xml:space="preserve"> </w:t>
      </w:r>
      <w:r w:rsidRPr="00AB4504">
        <w:rPr>
          <w:rFonts w:ascii="Arial" w:hAnsi="Arial"/>
          <w:sz w:val="20"/>
          <w:szCs w:val="20"/>
          <w:lang w:val="en-GB"/>
        </w:rPr>
        <w:t xml:space="preserve">the mixture was concentrated using a rotary evaporator under reduced pressure to remove excess solvent. The concentrated suspension was then centrifuged at 6000 rpm for 15 min to obtain the nanoparticle pellet. The pellet was washed repeatedly with ethanol to remove unreacted silver ions and residual phytochemicals. </w:t>
      </w:r>
      <w:r w:rsidR="00EF5CE7" w:rsidRPr="00AB4504">
        <w:rPr>
          <w:rFonts w:ascii="Arial" w:hAnsi="Arial"/>
          <w:sz w:val="20"/>
          <w:szCs w:val="20"/>
          <w:lang w:val="en-GB"/>
        </w:rPr>
        <w:t xml:space="preserve">These </w:t>
      </w:r>
      <w:r w:rsidRPr="00AB4504">
        <w:rPr>
          <w:rFonts w:ascii="Arial" w:hAnsi="Arial"/>
          <w:sz w:val="20"/>
          <w:szCs w:val="20"/>
          <w:lang w:val="en-GB"/>
        </w:rPr>
        <w:t>purified nanoparticles were dried in a hot air oven at 30–35°C until a constant weight was obtained. The dried MAF-AgNPs were collected and stored under sterile conditions for further characterization and biological evaluation (</w:t>
      </w:r>
      <w:proofErr w:type="spellStart"/>
      <w:r w:rsidRPr="00AB4504">
        <w:rPr>
          <w:rFonts w:ascii="Arial" w:hAnsi="Arial"/>
          <w:sz w:val="20"/>
          <w:szCs w:val="20"/>
          <w:lang w:val="en-GB"/>
        </w:rPr>
        <w:t>Jeengar</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2026).</w:t>
      </w:r>
    </w:p>
    <w:p w14:paraId="532810BC" w14:textId="77777777" w:rsidR="00C72D81" w:rsidRPr="00AB4504" w:rsidRDefault="00C72D81" w:rsidP="00807AEC">
      <w:pPr>
        <w:ind w:firstLine="720"/>
        <w:jc w:val="both"/>
        <w:rPr>
          <w:rFonts w:ascii="Arial" w:hAnsi="Arial"/>
          <w:sz w:val="20"/>
          <w:szCs w:val="20"/>
          <w:lang w:val="en-GB"/>
        </w:rPr>
      </w:pPr>
    </w:p>
    <w:p w14:paraId="532810BD"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2.5 Induction of DMBA-Mediated Mutagenicity:</w:t>
      </w:r>
    </w:p>
    <w:p w14:paraId="532810BE" w14:textId="77777777"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lastRenderedPageBreak/>
        <w:t xml:space="preserve">Mutagenic stress was induced using a well-established DMBA exposure protocol commonly employed for evaluating mutagenic and clastogenic effects </w:t>
      </w:r>
      <w:r w:rsidRPr="00AB4504">
        <w:rPr>
          <w:rFonts w:ascii="Arial" w:hAnsi="Arial"/>
          <w:i/>
          <w:iCs/>
          <w:sz w:val="20"/>
          <w:szCs w:val="20"/>
          <w:lang w:val="en-GB"/>
        </w:rPr>
        <w:t>in-vivo</w:t>
      </w:r>
      <w:r w:rsidRPr="00AB4504">
        <w:rPr>
          <w:rFonts w:ascii="Arial" w:hAnsi="Arial"/>
          <w:sz w:val="20"/>
          <w:szCs w:val="20"/>
          <w:lang w:val="en-GB"/>
        </w:rPr>
        <w:t xml:space="preserve">. Prior to chemical exposure the dorsal interscapular region of the mice was shaved to facilitate uniform topical application. The mutagenic agent 7,12-dimethylbenz(a)anthracene (DMBA) was dissolved in analytical grade acetone to obtain a concentration of 2.0 mg/mL and 50 µL of this solution was applied topically to the shaved dorsal surface of each mouse to initiate DNA damage. Two weeks following DMBA application repeated topical exposure to croton oil (1.0% v/v in acetone; 100 µL) was carried out three times per week for 14 weeks to sustain chemical-induced oxidative and mutagenic stress. This exposure regimen is known to enhance DMBA-mediated chromosomal damage without being used as a primary endpoint for tumour burden in the present study. Throughout the experimental period animals were regularly monitored for general health status, behavioural changes and signs of toxicity. </w:t>
      </w:r>
    </w:p>
    <w:p w14:paraId="532810BF" w14:textId="77777777" w:rsidR="00C72D81" w:rsidRPr="00AB4504" w:rsidRDefault="00C72D81">
      <w:pPr>
        <w:spacing w:after="0"/>
        <w:jc w:val="both"/>
        <w:rPr>
          <w:rFonts w:ascii="Arial" w:hAnsi="Arial"/>
          <w:sz w:val="20"/>
          <w:szCs w:val="20"/>
          <w:lang w:val="en-GB"/>
        </w:rPr>
      </w:pPr>
    </w:p>
    <w:p w14:paraId="532810C0" w14:textId="77777777" w:rsidR="00C72D81" w:rsidRPr="00AB4504" w:rsidRDefault="00EF3C28">
      <w:pPr>
        <w:spacing w:after="0"/>
        <w:jc w:val="both"/>
        <w:rPr>
          <w:rFonts w:ascii="Arial" w:hAnsi="Arial"/>
          <w:b/>
          <w:bCs/>
          <w:sz w:val="20"/>
          <w:szCs w:val="20"/>
          <w:lang w:val="en-GB"/>
        </w:rPr>
      </w:pPr>
      <w:r w:rsidRPr="00AB4504">
        <w:rPr>
          <w:rFonts w:ascii="Arial" w:hAnsi="Arial"/>
          <w:b/>
          <w:bCs/>
          <w:sz w:val="22"/>
          <w:szCs w:val="22"/>
          <w:lang w:val="en-GB"/>
        </w:rPr>
        <w:t>2.6 Antimutagenic study:</w:t>
      </w:r>
    </w:p>
    <w:p w14:paraId="532810C1" w14:textId="16EB5AE0"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The antimutagenic potential of MAF-AgNPs were evaluated using a DMBA-induced mutagenicity in male Swiss albino mice.</w:t>
      </w:r>
      <w:r w:rsidR="0001624A" w:rsidRPr="00AB4504">
        <w:rPr>
          <w:rFonts w:ascii="Arial" w:hAnsi="Arial"/>
          <w:sz w:val="20"/>
          <w:szCs w:val="20"/>
          <w:lang w:val="en-GB"/>
        </w:rPr>
        <w:t xml:space="preserve"> </w:t>
      </w:r>
      <w:r w:rsidRPr="00AB4504">
        <w:rPr>
          <w:rFonts w:ascii="Arial" w:hAnsi="Arial"/>
          <w:sz w:val="20"/>
          <w:szCs w:val="20"/>
          <w:lang w:val="en-GB"/>
        </w:rPr>
        <w:t>Animals were randomly allocated into five experimental groups with six animals in each group and were treated as described below (Fig. 1). MAF-AgNPs was administered orally by gavage in distilled deionized water (DDW) at an optimized dose of 50 mg/kg body weight per day as determined from preliminary dose selection studies.</w:t>
      </w:r>
    </w:p>
    <w:p w14:paraId="532810C2" w14:textId="7B9CB063" w:rsidR="00C72D81" w:rsidRPr="00AB4504" w:rsidRDefault="00EF3C28">
      <w:pPr>
        <w:spacing w:after="0"/>
        <w:jc w:val="both"/>
        <w:rPr>
          <w:rFonts w:ascii="Arial" w:hAnsi="Arial"/>
          <w:sz w:val="20"/>
          <w:szCs w:val="20"/>
          <w:lang w:val="en-GB"/>
        </w:rPr>
      </w:pPr>
      <w:r w:rsidRPr="00AB4504">
        <w:rPr>
          <w:rFonts w:ascii="Arial" w:hAnsi="Arial"/>
          <w:b/>
          <w:bCs/>
          <w:sz w:val="20"/>
          <w:szCs w:val="20"/>
          <w:lang w:val="en-GB"/>
        </w:rPr>
        <w:t xml:space="preserve">Group </w:t>
      </w:r>
      <w:r w:rsidR="00DF0A92" w:rsidRPr="00AB4504">
        <w:rPr>
          <w:rFonts w:ascii="Arial" w:hAnsi="Arial"/>
          <w:b/>
          <w:bCs/>
          <w:sz w:val="20"/>
          <w:szCs w:val="20"/>
          <w:lang w:val="en-GB"/>
        </w:rPr>
        <w:t>A</w:t>
      </w:r>
      <w:r w:rsidRPr="00AB4504">
        <w:rPr>
          <w:rFonts w:ascii="Arial" w:hAnsi="Arial"/>
          <w:b/>
          <w:bCs/>
          <w:sz w:val="20"/>
          <w:szCs w:val="20"/>
          <w:lang w:val="en-GB"/>
        </w:rPr>
        <w:t xml:space="preserve"> (Normal):</w:t>
      </w:r>
      <w:r w:rsidRPr="00AB4504">
        <w:rPr>
          <w:rFonts w:ascii="Arial" w:hAnsi="Arial"/>
          <w:sz w:val="20"/>
          <w:szCs w:val="20"/>
          <w:lang w:val="en-GB"/>
        </w:rPr>
        <w:t xml:space="preserve"> Animals received distilled deionized water only and were not exposed to either the carcinogen or MAF-AgNPs.</w:t>
      </w:r>
    </w:p>
    <w:p w14:paraId="532810C3" w14:textId="4527ADD1" w:rsidR="00C72D81" w:rsidRPr="00AB4504" w:rsidRDefault="00EF3C28">
      <w:pPr>
        <w:spacing w:after="0"/>
        <w:jc w:val="both"/>
        <w:rPr>
          <w:rFonts w:ascii="Arial" w:hAnsi="Arial"/>
          <w:sz w:val="20"/>
          <w:szCs w:val="20"/>
          <w:lang w:val="en-GB"/>
        </w:rPr>
      </w:pPr>
      <w:r w:rsidRPr="00AB4504">
        <w:rPr>
          <w:rFonts w:ascii="Arial" w:hAnsi="Arial"/>
          <w:b/>
          <w:bCs/>
          <w:sz w:val="20"/>
          <w:szCs w:val="20"/>
          <w:lang w:val="en-GB"/>
        </w:rPr>
        <w:t xml:space="preserve">Group </w:t>
      </w:r>
      <w:r w:rsidR="00DF0A92" w:rsidRPr="00AB4504">
        <w:rPr>
          <w:rFonts w:ascii="Arial" w:hAnsi="Arial"/>
          <w:b/>
          <w:bCs/>
          <w:sz w:val="20"/>
          <w:szCs w:val="20"/>
          <w:lang w:val="en-GB"/>
        </w:rPr>
        <w:t>B</w:t>
      </w:r>
      <w:r w:rsidRPr="00AB4504">
        <w:rPr>
          <w:rFonts w:ascii="Arial" w:hAnsi="Arial"/>
          <w:b/>
          <w:bCs/>
          <w:sz w:val="20"/>
          <w:szCs w:val="20"/>
          <w:lang w:val="en-GB"/>
        </w:rPr>
        <w:t xml:space="preserve"> (</w:t>
      </w:r>
      <w:r w:rsidR="00734BF1" w:rsidRPr="00AB4504">
        <w:rPr>
          <w:rFonts w:ascii="Arial" w:hAnsi="Arial"/>
          <w:b/>
          <w:bCs/>
          <w:sz w:val="20"/>
          <w:szCs w:val="20"/>
          <w:lang w:val="en-GB"/>
        </w:rPr>
        <w:t xml:space="preserve">Carcinogen </w:t>
      </w:r>
      <w:r w:rsidRPr="00AB4504">
        <w:rPr>
          <w:rFonts w:ascii="Arial" w:hAnsi="Arial"/>
          <w:b/>
          <w:bCs/>
          <w:sz w:val="20"/>
          <w:szCs w:val="20"/>
          <w:lang w:val="en-GB"/>
        </w:rPr>
        <w:t>Control):</w:t>
      </w:r>
      <w:r w:rsidRPr="00AB4504">
        <w:rPr>
          <w:rFonts w:ascii="Arial" w:hAnsi="Arial"/>
          <w:sz w:val="20"/>
          <w:szCs w:val="20"/>
          <w:lang w:val="en-GB"/>
        </w:rPr>
        <w:t xml:space="preserve"> Animals were treated with DMBA and subsequently exposed to croton oil to sustain DMBA-mediated mutagenic damage and no MAF-AgNPs treatment was administered.</w:t>
      </w:r>
    </w:p>
    <w:p w14:paraId="532810C4" w14:textId="1E43FB54" w:rsidR="00C72D81" w:rsidRPr="00AB4504" w:rsidRDefault="00EF3C28">
      <w:pPr>
        <w:spacing w:after="0"/>
        <w:jc w:val="both"/>
        <w:rPr>
          <w:rFonts w:ascii="Arial" w:hAnsi="Arial"/>
          <w:sz w:val="20"/>
          <w:szCs w:val="20"/>
          <w:lang w:val="en-GB"/>
        </w:rPr>
      </w:pPr>
      <w:r w:rsidRPr="00AB4504">
        <w:rPr>
          <w:rFonts w:ascii="Arial" w:hAnsi="Arial"/>
          <w:b/>
          <w:bCs/>
          <w:sz w:val="20"/>
          <w:szCs w:val="20"/>
          <w:lang w:val="en-GB"/>
        </w:rPr>
        <w:t xml:space="preserve">Group </w:t>
      </w:r>
      <w:r w:rsidR="00DF0A92" w:rsidRPr="00AB4504">
        <w:rPr>
          <w:rFonts w:ascii="Arial" w:hAnsi="Arial"/>
          <w:b/>
          <w:bCs/>
          <w:sz w:val="20"/>
          <w:szCs w:val="20"/>
          <w:lang w:val="en-GB"/>
        </w:rPr>
        <w:t>C</w:t>
      </w:r>
      <w:r w:rsidRPr="00AB4504">
        <w:rPr>
          <w:rFonts w:ascii="Arial" w:hAnsi="Arial"/>
          <w:b/>
          <w:bCs/>
          <w:sz w:val="20"/>
          <w:szCs w:val="20"/>
          <w:lang w:val="en-GB"/>
        </w:rPr>
        <w:t xml:space="preserve"> (Pre-treatment Group):</w:t>
      </w:r>
      <w:r w:rsidRPr="00AB4504">
        <w:rPr>
          <w:rFonts w:ascii="Arial" w:hAnsi="Arial"/>
          <w:sz w:val="20"/>
          <w:szCs w:val="20"/>
          <w:lang w:val="en-GB"/>
        </w:rPr>
        <w:t xml:space="preserve"> Animals were administered MAF-AgNPs orally at a dose of 50 mg/kg body weight daily for 14 consecutive days prior to DMBA application, followed by DMBA initiation and croton oil promotion identical to the carcinogen control group.</w:t>
      </w:r>
    </w:p>
    <w:p w14:paraId="532810C5" w14:textId="1B660793" w:rsidR="00C72D81" w:rsidRPr="00AB4504" w:rsidRDefault="00EF3C28">
      <w:pPr>
        <w:spacing w:after="0"/>
        <w:jc w:val="both"/>
        <w:rPr>
          <w:rFonts w:ascii="Arial" w:hAnsi="Arial"/>
          <w:sz w:val="20"/>
          <w:szCs w:val="20"/>
          <w:lang w:val="en-GB"/>
        </w:rPr>
      </w:pPr>
      <w:r w:rsidRPr="00AB4504">
        <w:rPr>
          <w:rFonts w:ascii="Arial" w:hAnsi="Arial"/>
          <w:b/>
          <w:bCs/>
          <w:sz w:val="20"/>
          <w:szCs w:val="20"/>
          <w:lang w:val="en-GB"/>
        </w:rPr>
        <w:t xml:space="preserve">Group </w:t>
      </w:r>
      <w:r w:rsidR="00DF0A92" w:rsidRPr="00AB4504">
        <w:rPr>
          <w:rFonts w:ascii="Arial" w:hAnsi="Arial"/>
          <w:b/>
          <w:bCs/>
          <w:sz w:val="20"/>
          <w:szCs w:val="20"/>
          <w:lang w:val="en-GB"/>
        </w:rPr>
        <w:t>D</w:t>
      </w:r>
      <w:r w:rsidRPr="00AB4504">
        <w:rPr>
          <w:rFonts w:ascii="Arial" w:hAnsi="Arial"/>
          <w:b/>
          <w:bCs/>
          <w:sz w:val="20"/>
          <w:szCs w:val="20"/>
          <w:lang w:val="en-GB"/>
        </w:rPr>
        <w:t xml:space="preserve"> (Post-treatment Group):</w:t>
      </w:r>
      <w:r w:rsidRPr="00AB4504">
        <w:rPr>
          <w:rFonts w:ascii="Arial" w:hAnsi="Arial"/>
          <w:sz w:val="20"/>
          <w:szCs w:val="20"/>
          <w:lang w:val="en-GB"/>
        </w:rPr>
        <w:t xml:space="preserve"> Animals were first subjected to DMBA initiation and croton oil promotion in the same manner as the </w:t>
      </w:r>
      <w:r w:rsidR="002F0B07" w:rsidRPr="00AB4504">
        <w:rPr>
          <w:rFonts w:ascii="Arial" w:hAnsi="Arial"/>
          <w:sz w:val="20"/>
          <w:szCs w:val="20"/>
          <w:lang w:val="en-GB"/>
        </w:rPr>
        <w:t xml:space="preserve">carcinogen </w:t>
      </w:r>
      <w:r w:rsidRPr="00AB4504">
        <w:rPr>
          <w:rFonts w:ascii="Arial" w:hAnsi="Arial"/>
          <w:sz w:val="20"/>
          <w:szCs w:val="20"/>
          <w:lang w:val="en-GB"/>
        </w:rPr>
        <w:t xml:space="preserve">control group. MAF-AgNPs was administered orally at 50 mg/kg body weight daily starting from the </w:t>
      </w:r>
      <w:r w:rsidR="002E16DF" w:rsidRPr="00AB4504">
        <w:rPr>
          <w:rFonts w:ascii="Arial" w:hAnsi="Arial"/>
          <w:sz w:val="20"/>
          <w:szCs w:val="20"/>
          <w:lang w:val="en-GB"/>
        </w:rPr>
        <w:t xml:space="preserve">next </w:t>
      </w:r>
      <w:r w:rsidRPr="00AB4504">
        <w:rPr>
          <w:rFonts w:ascii="Arial" w:hAnsi="Arial"/>
          <w:sz w:val="20"/>
          <w:szCs w:val="20"/>
          <w:lang w:val="en-GB"/>
        </w:rPr>
        <w:t>day following DMBA application and continued for 16 weeks until the termination of the experiment.</w:t>
      </w:r>
    </w:p>
    <w:p w14:paraId="532810C6" w14:textId="6C54E08A" w:rsidR="00C72D81" w:rsidRPr="00AB4504" w:rsidRDefault="00EF3C28">
      <w:pPr>
        <w:spacing w:after="0"/>
        <w:jc w:val="both"/>
        <w:rPr>
          <w:rFonts w:ascii="Arial" w:hAnsi="Arial"/>
          <w:sz w:val="20"/>
          <w:szCs w:val="20"/>
          <w:lang w:val="en-GB"/>
        </w:rPr>
      </w:pPr>
      <w:r w:rsidRPr="00AB4504">
        <w:rPr>
          <w:rFonts w:ascii="Arial" w:hAnsi="Arial"/>
          <w:b/>
          <w:bCs/>
          <w:sz w:val="20"/>
          <w:szCs w:val="20"/>
          <w:lang w:val="en-GB"/>
        </w:rPr>
        <w:t xml:space="preserve">Group </w:t>
      </w:r>
      <w:r w:rsidR="00DF0A92" w:rsidRPr="00AB4504">
        <w:rPr>
          <w:rFonts w:ascii="Arial" w:hAnsi="Arial"/>
          <w:b/>
          <w:bCs/>
          <w:sz w:val="20"/>
          <w:szCs w:val="20"/>
          <w:lang w:val="en-GB"/>
        </w:rPr>
        <w:t>E</w:t>
      </w:r>
      <w:r w:rsidRPr="00AB4504">
        <w:rPr>
          <w:rFonts w:ascii="Arial" w:hAnsi="Arial"/>
          <w:b/>
          <w:bCs/>
          <w:sz w:val="20"/>
          <w:szCs w:val="20"/>
          <w:lang w:val="en-GB"/>
        </w:rPr>
        <w:t xml:space="preserve"> (Throughout-treatment Group):</w:t>
      </w:r>
      <w:r w:rsidRPr="00AB4504">
        <w:rPr>
          <w:rFonts w:ascii="Arial" w:hAnsi="Arial"/>
          <w:sz w:val="20"/>
          <w:szCs w:val="20"/>
          <w:lang w:val="en-GB"/>
        </w:rPr>
        <w:t xml:space="preserve"> Animals received MAF-AgNPs orally at a dose of 50 mg/kg body weight daily starting 14 days prior to DMBA application and continuing throughout the experimental period until termination (18 weeks). DMBA and croton oil treatments were performed in the same manner as in the carcinogen control group.</w:t>
      </w:r>
    </w:p>
    <w:p w14:paraId="532810C7" w14:textId="77777777" w:rsidR="00C72D81" w:rsidRPr="00AB4504" w:rsidRDefault="00EF3C28">
      <w:pPr>
        <w:spacing w:after="0"/>
        <w:jc w:val="both"/>
        <w:rPr>
          <w:rFonts w:ascii="Arial" w:hAnsi="Arial"/>
          <w:sz w:val="20"/>
          <w:szCs w:val="20"/>
          <w:lang w:val="en-GB"/>
        </w:rPr>
      </w:pPr>
      <w:r w:rsidRPr="00AB4504">
        <w:rPr>
          <w:rFonts w:ascii="Arial" w:hAnsi="Arial"/>
          <w:noProof/>
          <w:sz w:val="20"/>
          <w:szCs w:val="20"/>
          <w:lang w:val="en-GB"/>
        </w:rPr>
        <w:lastRenderedPageBreak/>
        <w:drawing>
          <wp:inline distT="0" distB="0" distL="0" distR="0" wp14:anchorId="53281178" wp14:editId="53281179">
            <wp:extent cx="5731510" cy="4011929"/>
            <wp:effectExtent l="0" t="0" r="2540" b="7620"/>
            <wp:docPr id="102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3" cstate="print"/>
                    <a:srcRect/>
                    <a:stretch/>
                  </pic:blipFill>
                  <pic:spPr>
                    <a:xfrm>
                      <a:off x="0" y="0"/>
                      <a:ext cx="5731510" cy="4011929"/>
                    </a:xfrm>
                    <a:prstGeom prst="rect">
                      <a:avLst/>
                    </a:prstGeom>
                  </pic:spPr>
                </pic:pic>
              </a:graphicData>
            </a:graphic>
          </wp:inline>
        </w:drawing>
      </w:r>
    </w:p>
    <w:p w14:paraId="695ED12B" w14:textId="0F36F9E2" w:rsidR="008F7950" w:rsidRPr="00AB4504" w:rsidRDefault="00EF3C28">
      <w:pPr>
        <w:spacing w:after="0"/>
        <w:jc w:val="both"/>
        <w:rPr>
          <w:rFonts w:ascii="Arial" w:hAnsi="Arial"/>
          <w:sz w:val="20"/>
          <w:szCs w:val="20"/>
          <w:lang w:val="en-GB"/>
        </w:rPr>
      </w:pPr>
      <w:r w:rsidRPr="00AB4504">
        <w:rPr>
          <w:rFonts w:ascii="Arial" w:hAnsi="Arial"/>
          <w:b/>
          <w:bCs/>
          <w:sz w:val="20"/>
          <w:szCs w:val="20"/>
          <w:lang w:val="en-GB"/>
        </w:rPr>
        <w:t xml:space="preserve">Fig. 1: Graphical representation of experimental groups for the study of anti-mutagenic potential of MAF-AgNPs in Swiss albino </w:t>
      </w:r>
      <w:r w:rsidR="00CB72D8" w:rsidRPr="00AB4504">
        <w:rPr>
          <w:rFonts w:ascii="Arial" w:hAnsi="Arial"/>
          <w:b/>
          <w:bCs/>
          <w:sz w:val="20"/>
          <w:szCs w:val="20"/>
          <w:lang w:val="en-GB"/>
        </w:rPr>
        <w:t>mice.</w:t>
      </w:r>
      <w:r w:rsidR="00316CB3" w:rsidRPr="00AB4504">
        <w:rPr>
          <w:rFonts w:ascii="Arial" w:hAnsi="Arial"/>
          <w:b/>
          <w:bCs/>
          <w:sz w:val="20"/>
          <w:szCs w:val="20"/>
          <w:lang w:val="en-GB"/>
        </w:rPr>
        <w:t xml:space="preserve"> Created with </w:t>
      </w:r>
      <w:hyperlink r:id="rId34" w:history="1">
        <w:r w:rsidR="008F7950" w:rsidRPr="00AB4504">
          <w:rPr>
            <w:rStyle w:val="Hyperlink"/>
            <w:rFonts w:ascii="Arial" w:hAnsi="Arial"/>
            <w:b/>
            <w:bCs/>
            <w:sz w:val="20"/>
            <w:szCs w:val="20"/>
            <w:lang w:val="en-GB"/>
          </w:rPr>
          <w:t>https://BioRender.com</w:t>
        </w:r>
      </w:hyperlink>
    </w:p>
    <w:p w14:paraId="532810C9" w14:textId="77777777" w:rsidR="00C72D81" w:rsidRPr="00AB4504" w:rsidRDefault="00C72D81">
      <w:pPr>
        <w:spacing w:after="0"/>
        <w:jc w:val="both"/>
        <w:rPr>
          <w:rFonts w:ascii="Arial" w:hAnsi="Arial"/>
          <w:sz w:val="20"/>
          <w:szCs w:val="20"/>
          <w:lang w:val="en-GB"/>
        </w:rPr>
      </w:pPr>
    </w:p>
    <w:p w14:paraId="532810CA" w14:textId="167F669B"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 xml:space="preserve">Throughout the experimental period all animals were observed daily </w:t>
      </w:r>
      <w:r w:rsidR="00CF3485" w:rsidRPr="00AB4504">
        <w:rPr>
          <w:rFonts w:ascii="Arial" w:hAnsi="Arial"/>
          <w:sz w:val="20"/>
          <w:szCs w:val="20"/>
          <w:lang w:val="en-GB"/>
        </w:rPr>
        <w:t>for health</w:t>
      </w:r>
      <w:r w:rsidRPr="00AB4504">
        <w:rPr>
          <w:rFonts w:ascii="Arial" w:hAnsi="Arial"/>
          <w:sz w:val="20"/>
          <w:szCs w:val="20"/>
          <w:lang w:val="en-GB"/>
        </w:rPr>
        <w:t xml:space="preserve"> status, signs of morbidity or mortality, behavioural abnormalities and gross morphological changes. Particular attention was paid to the appearance of skin papillomas or tumours on the dorsal surface. At the end of the experimental period animals were humanely sacrificed in accordance with CPCSEA guidelines and tissues were collected for the assessment of antimutagenic potential including chromosomal aberrations and micronucleus induction.</w:t>
      </w:r>
    </w:p>
    <w:p w14:paraId="532810CB" w14:textId="77777777" w:rsidR="00C72D81" w:rsidRPr="00AB4504" w:rsidRDefault="00C72D81">
      <w:pPr>
        <w:spacing w:after="0"/>
        <w:jc w:val="both"/>
        <w:rPr>
          <w:rFonts w:ascii="Arial" w:hAnsi="Arial"/>
          <w:sz w:val="22"/>
          <w:szCs w:val="22"/>
          <w:lang w:val="en-GB"/>
        </w:rPr>
      </w:pPr>
    </w:p>
    <w:p w14:paraId="532810CC"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2.7 Chromosomal Aberration Analysis:</w:t>
      </w:r>
    </w:p>
    <w:p w14:paraId="532810CD" w14:textId="4443FE6A"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 xml:space="preserve">Chromosomal aberration analysis was performed to evaluate the mutagenic effect of DMBA and the antimutagenic potential of MAF-AgNPs in bone marrow cells. At the end of the experimental period Swiss albino mice were administered colchicine (4 mg/kg body weight, intraperitoneally) approximately 2 hours before sacrifice to arrest dividing cells at metaphase. Bone marrow cells were then collected aseptically from the femurs and processed according to a modified method of Preston </w:t>
      </w:r>
      <w:r w:rsidRPr="00AB4504">
        <w:rPr>
          <w:rFonts w:ascii="Arial" w:hAnsi="Arial"/>
          <w:i/>
          <w:iCs/>
          <w:sz w:val="20"/>
          <w:szCs w:val="20"/>
          <w:lang w:val="en-GB"/>
        </w:rPr>
        <w:t>et al</w:t>
      </w:r>
      <w:r w:rsidRPr="00AB4504">
        <w:rPr>
          <w:rFonts w:ascii="Arial" w:hAnsi="Arial"/>
          <w:sz w:val="20"/>
          <w:szCs w:val="20"/>
          <w:lang w:val="en-GB"/>
        </w:rPr>
        <w:t>., (1987). The harvested bone marrow was flushed into 0.56% potassium chloride (KCl) hypotonic solution and incubated at 37°C for 20 min to allow proper swelling of the cells followed by centrifugation at 1000 rpm for 10 min. The resulting pellet was repeatedly fixed in freshly prepared Carnoy’s fixative (methanol: acetic acid, 3:1) to obtain adequate chromosome spreading.</w:t>
      </w:r>
    </w:p>
    <w:p w14:paraId="532810CE" w14:textId="4B1D0E38" w:rsidR="00C72D81" w:rsidRPr="00AB4504" w:rsidRDefault="00EF3C28" w:rsidP="00807AEC">
      <w:pPr>
        <w:spacing w:after="0"/>
        <w:ind w:firstLine="720"/>
        <w:jc w:val="both"/>
        <w:rPr>
          <w:rFonts w:ascii="Arial" w:hAnsi="Arial"/>
          <w:sz w:val="20"/>
          <w:szCs w:val="20"/>
          <w:lang w:val="en-GB"/>
        </w:rPr>
      </w:pPr>
      <w:r w:rsidRPr="00AB4504">
        <w:rPr>
          <w:rFonts w:ascii="Arial" w:hAnsi="Arial"/>
          <w:sz w:val="20"/>
          <w:szCs w:val="20"/>
          <w:lang w:val="en-GB"/>
        </w:rPr>
        <w:t xml:space="preserve">The fixed cell suspension was dropped onto clean, grease-free slides and air-dried. The slides were stained with 5% Giemsa for 15 min rinsed with distilled water, cleared in xylene and mounted with DPX. Chromosomal aberrations were examined under a light microscope at 1000X magnification using an oil immersion objective. For each experimental group 100 well-spread metaphase plates/mice were scored for structural and numerical aberrations </w:t>
      </w:r>
      <w:r w:rsidR="007D5F00" w:rsidRPr="00AB4504">
        <w:rPr>
          <w:rFonts w:ascii="Arial" w:hAnsi="Arial"/>
          <w:sz w:val="20"/>
          <w:szCs w:val="20"/>
          <w:lang w:val="en-GB"/>
        </w:rPr>
        <w:t>including aberrant</w:t>
      </w:r>
      <w:r w:rsidRPr="00AB4504">
        <w:rPr>
          <w:rFonts w:ascii="Arial" w:hAnsi="Arial"/>
          <w:sz w:val="20"/>
          <w:szCs w:val="20"/>
          <w:lang w:val="en-GB"/>
        </w:rPr>
        <w:t xml:space="preserve"> cells, chromosome breaks, chromatid breaks and other abnormalities. </w:t>
      </w:r>
    </w:p>
    <w:p w14:paraId="532810CF" w14:textId="77777777" w:rsidR="00C72D81" w:rsidRPr="00AB4504" w:rsidRDefault="00C72D81">
      <w:pPr>
        <w:spacing w:after="0"/>
        <w:ind w:firstLine="720"/>
        <w:jc w:val="both"/>
        <w:rPr>
          <w:rFonts w:ascii="Arial" w:hAnsi="Arial"/>
          <w:sz w:val="20"/>
          <w:szCs w:val="20"/>
          <w:lang w:val="en-GB"/>
        </w:rPr>
      </w:pPr>
    </w:p>
    <w:p w14:paraId="532810D0"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2.7.1. Percentage of Aberrant Cells</w:t>
      </w:r>
    </w:p>
    <w:p w14:paraId="532810D1" w14:textId="77777777"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lastRenderedPageBreak/>
        <w:t>The percentage of aberrant cells represents the proportion of metaphase cells exhibiting one or more chromosomal abnormalities and were calculated using the formula:</w:t>
      </w:r>
    </w:p>
    <w:p w14:paraId="532810D2" w14:textId="77777777" w:rsidR="00C72D81" w:rsidRPr="00AB4504" w:rsidRDefault="00EF3C28">
      <w:pPr>
        <w:spacing w:after="0"/>
        <w:jc w:val="both"/>
        <w:rPr>
          <w:rFonts w:ascii="Arial" w:hAnsi="Arial"/>
          <w:sz w:val="20"/>
          <w:szCs w:val="20"/>
          <w:lang w:val="en-GB"/>
        </w:rPr>
      </w:pPr>
      <m:oMathPara>
        <m:oMath>
          <m:r>
            <m:rPr>
              <m:nor/>
            </m:rPr>
            <w:rPr>
              <w:rFonts w:ascii="Arial" w:hAnsi="Arial"/>
              <w:sz w:val="20"/>
              <w:szCs w:val="20"/>
              <w:lang w:val="en-GB"/>
            </w:rPr>
            <m:t>Percentage of Aberrant Cells</m:t>
          </m:r>
          <m:r>
            <w:rPr>
              <w:rFonts w:ascii="Cambria Math" w:hAnsi="Cambria Math"/>
              <w:sz w:val="20"/>
              <w:szCs w:val="20"/>
              <w:lang w:val="en-GB"/>
            </w:rPr>
            <m:t>=</m:t>
          </m:r>
          <m:f>
            <m:fPr>
              <m:ctrlPr>
                <w:rPr>
                  <w:rFonts w:ascii="Cambria Math" w:hAnsi="Cambria Math"/>
                  <w:sz w:val="20"/>
                  <w:szCs w:val="20"/>
                  <w:lang w:val="en-GB"/>
                </w:rPr>
              </m:ctrlPr>
            </m:fPr>
            <m:num>
              <m:r>
                <m:rPr>
                  <m:nor/>
                </m:rPr>
                <w:rPr>
                  <w:rFonts w:ascii="Arial" w:hAnsi="Arial"/>
                  <w:sz w:val="20"/>
                  <w:szCs w:val="20"/>
                  <w:lang w:val="en-GB"/>
                </w:rPr>
                <m:t>Number of aberrant metaphase cells</m:t>
              </m:r>
            </m:num>
            <m:den>
              <m:r>
                <m:rPr>
                  <m:nor/>
                </m:rPr>
                <w:rPr>
                  <w:rFonts w:ascii="Arial" w:hAnsi="Arial"/>
                  <w:sz w:val="20"/>
                  <w:szCs w:val="20"/>
                  <w:lang w:val="en-GB"/>
                </w:rPr>
                <m:t>Total metaphases analysed</m:t>
              </m:r>
            </m:den>
          </m:f>
          <m:r>
            <w:rPr>
              <w:rFonts w:ascii="Cambria Math" w:hAnsi="Cambria Math"/>
              <w:sz w:val="20"/>
              <w:szCs w:val="20"/>
              <w:lang w:val="en-GB"/>
            </w:rPr>
            <m:t>×100</m:t>
          </m:r>
          <m:r>
            <m:rPr>
              <m:sty m:val="p"/>
            </m:rPr>
            <w:rPr>
              <w:rFonts w:ascii="Cambria Math" w:hAnsi="Cambria Math"/>
              <w:sz w:val="20"/>
              <w:szCs w:val="20"/>
              <w:lang w:val="en-GB"/>
            </w:rPr>
            <w:br/>
          </m:r>
        </m:oMath>
      </m:oMathPara>
    </w:p>
    <w:p w14:paraId="532810D3"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2.7.2. Chromosome Breaks</w:t>
      </w:r>
    </w:p>
    <w:p w14:paraId="532810D4" w14:textId="77777777" w:rsidR="00C72D81" w:rsidRPr="00AB4504" w:rsidRDefault="00EF3C28">
      <w:pPr>
        <w:spacing w:after="0"/>
        <w:ind w:firstLine="720"/>
        <w:jc w:val="both"/>
        <w:rPr>
          <w:rFonts w:ascii="Arial" w:hAnsi="Arial"/>
          <w:sz w:val="20"/>
          <w:szCs w:val="20"/>
          <w:lang w:val="en-GB"/>
        </w:rPr>
      </w:pPr>
      <w:r w:rsidRPr="00AB4504">
        <w:rPr>
          <w:rFonts w:ascii="Arial" w:hAnsi="Arial"/>
          <w:sz w:val="20"/>
          <w:szCs w:val="20"/>
          <w:lang w:val="en-GB"/>
        </w:rPr>
        <w:t>Chromosome breaks involve complete breaks affecting both chromatids at the same location and were calculated using the formula:</w:t>
      </w:r>
    </w:p>
    <w:p w14:paraId="532810D5" w14:textId="77777777" w:rsidR="00C72D81" w:rsidRPr="00AB4504" w:rsidRDefault="00EF3C28">
      <w:pPr>
        <w:spacing w:after="0"/>
        <w:jc w:val="both"/>
        <w:rPr>
          <w:rFonts w:ascii="Arial" w:hAnsi="Arial"/>
          <w:sz w:val="20"/>
          <w:szCs w:val="20"/>
          <w:lang w:val="en-GB"/>
        </w:rPr>
      </w:pPr>
      <m:oMathPara>
        <m:oMath>
          <m:r>
            <m:rPr>
              <m:nor/>
            </m:rPr>
            <w:rPr>
              <w:rFonts w:ascii="Arial" w:hAnsi="Arial"/>
              <w:sz w:val="20"/>
              <w:szCs w:val="20"/>
              <w:lang w:val="en-GB"/>
            </w:rPr>
            <m:t>Chromosome Breaks (%)</m:t>
          </m:r>
          <m:r>
            <w:rPr>
              <w:rFonts w:ascii="Cambria Math" w:hAnsi="Cambria Math"/>
              <w:sz w:val="20"/>
              <w:szCs w:val="20"/>
              <w:lang w:val="en-GB"/>
            </w:rPr>
            <m:t>=</m:t>
          </m:r>
          <m:f>
            <m:fPr>
              <m:ctrlPr>
                <w:rPr>
                  <w:rFonts w:ascii="Cambria Math" w:hAnsi="Cambria Math"/>
                  <w:sz w:val="20"/>
                  <w:szCs w:val="20"/>
                  <w:lang w:val="en-GB"/>
                </w:rPr>
              </m:ctrlPr>
            </m:fPr>
            <m:num>
              <m:r>
                <m:rPr>
                  <m:nor/>
                </m:rPr>
                <w:rPr>
                  <w:rFonts w:ascii="Arial" w:hAnsi="Arial"/>
                  <w:sz w:val="20"/>
                  <w:szCs w:val="20"/>
                  <w:lang w:val="en-GB"/>
                </w:rPr>
                <m:t>Number of chromosome breaks</m:t>
              </m:r>
            </m:num>
            <m:den>
              <m:r>
                <m:rPr>
                  <m:nor/>
                </m:rPr>
                <w:rPr>
                  <w:rFonts w:ascii="Arial" w:hAnsi="Arial"/>
                  <w:sz w:val="20"/>
                  <w:szCs w:val="20"/>
                  <w:lang w:val="en-GB"/>
                </w:rPr>
                <m:t>Total metaphases analysed</m:t>
              </m:r>
            </m:den>
          </m:f>
          <m:r>
            <w:rPr>
              <w:rFonts w:ascii="Cambria Math" w:hAnsi="Cambria Math"/>
              <w:sz w:val="20"/>
              <w:szCs w:val="20"/>
              <w:lang w:val="en-GB"/>
            </w:rPr>
            <m:t>×100</m:t>
          </m:r>
        </m:oMath>
      </m:oMathPara>
    </w:p>
    <w:p w14:paraId="532810D6" w14:textId="77777777" w:rsidR="00C72D81" w:rsidRPr="00AB4504" w:rsidRDefault="00EF3C28">
      <w:pPr>
        <w:spacing w:after="0"/>
        <w:jc w:val="both"/>
        <w:rPr>
          <w:rFonts w:ascii="Arial" w:hAnsi="Arial"/>
          <w:b/>
          <w:bCs/>
          <w:sz w:val="20"/>
          <w:szCs w:val="20"/>
          <w:lang w:val="en-GB"/>
        </w:rPr>
      </w:pPr>
      <w:r w:rsidRPr="00AB4504">
        <w:rPr>
          <w:rFonts w:ascii="Arial" w:hAnsi="Arial"/>
          <w:b/>
          <w:bCs/>
          <w:sz w:val="22"/>
          <w:szCs w:val="22"/>
          <w:lang w:val="en-GB"/>
        </w:rPr>
        <w:t>2.7.3. Chromatid Breaks</w:t>
      </w:r>
    </w:p>
    <w:p w14:paraId="532810D7" w14:textId="77777777" w:rsidR="00C72D81" w:rsidRPr="00AB4504" w:rsidRDefault="00EF3C28">
      <w:pPr>
        <w:spacing w:after="0"/>
        <w:ind w:firstLine="720"/>
        <w:jc w:val="both"/>
        <w:rPr>
          <w:rFonts w:ascii="Arial" w:hAnsi="Arial"/>
          <w:b/>
          <w:bCs/>
          <w:sz w:val="20"/>
          <w:szCs w:val="20"/>
          <w:lang w:val="en-GB"/>
        </w:rPr>
      </w:pPr>
      <w:r w:rsidRPr="00AB4504">
        <w:rPr>
          <w:rFonts w:ascii="Arial" w:hAnsi="Arial"/>
          <w:sz w:val="20"/>
          <w:szCs w:val="20"/>
          <w:lang w:val="en-GB"/>
        </w:rPr>
        <w:t>Chromatid breaks are single-strand discontinuities occurring in one chromatid of a chromosome and were calculated using the formula:</w:t>
      </w:r>
    </w:p>
    <w:p w14:paraId="532810D8" w14:textId="77777777" w:rsidR="00C72D81" w:rsidRPr="00AB4504" w:rsidRDefault="00C72D81">
      <w:pPr>
        <w:spacing w:after="0"/>
        <w:jc w:val="both"/>
        <w:rPr>
          <w:rFonts w:ascii="Arial" w:hAnsi="Arial"/>
          <w:sz w:val="20"/>
          <w:szCs w:val="20"/>
          <w:lang w:val="en-GB"/>
        </w:rPr>
      </w:pPr>
    </w:p>
    <w:p w14:paraId="532810D9" w14:textId="77777777" w:rsidR="00C72D81" w:rsidRPr="00AB4504" w:rsidRDefault="00EF3C28">
      <w:pPr>
        <w:spacing w:after="0"/>
        <w:jc w:val="both"/>
        <w:rPr>
          <w:rFonts w:ascii="Arial" w:hAnsi="Arial"/>
          <w:sz w:val="20"/>
          <w:szCs w:val="20"/>
          <w:lang w:val="en-GB"/>
        </w:rPr>
      </w:pPr>
      <m:oMathPara>
        <m:oMath>
          <m:r>
            <m:rPr>
              <m:nor/>
            </m:rPr>
            <w:rPr>
              <w:rFonts w:ascii="Arial" w:hAnsi="Arial"/>
              <w:sz w:val="20"/>
              <w:szCs w:val="20"/>
              <w:lang w:val="en-GB"/>
            </w:rPr>
            <m:t>Chromatid Breaks (%)</m:t>
          </m:r>
          <m:r>
            <w:rPr>
              <w:rFonts w:ascii="Cambria Math" w:hAnsi="Cambria Math"/>
              <w:sz w:val="20"/>
              <w:szCs w:val="20"/>
              <w:lang w:val="en-GB"/>
            </w:rPr>
            <m:t>=</m:t>
          </m:r>
          <m:f>
            <m:fPr>
              <m:ctrlPr>
                <w:rPr>
                  <w:rFonts w:ascii="Cambria Math" w:hAnsi="Cambria Math"/>
                  <w:sz w:val="20"/>
                  <w:szCs w:val="20"/>
                  <w:lang w:val="en-GB"/>
                </w:rPr>
              </m:ctrlPr>
            </m:fPr>
            <m:num>
              <m:r>
                <m:rPr>
                  <m:nor/>
                </m:rPr>
                <w:rPr>
                  <w:rFonts w:ascii="Arial" w:hAnsi="Arial"/>
                  <w:sz w:val="20"/>
                  <w:szCs w:val="20"/>
                  <w:lang w:val="en-GB"/>
                </w:rPr>
                <m:t>Number of chromatid breaks</m:t>
              </m:r>
            </m:num>
            <m:den>
              <m:r>
                <m:rPr>
                  <m:nor/>
                </m:rPr>
                <w:rPr>
                  <w:rFonts w:ascii="Arial" w:hAnsi="Arial"/>
                  <w:sz w:val="20"/>
                  <w:szCs w:val="20"/>
                  <w:lang w:val="en-GB"/>
                </w:rPr>
                <m:t>Total metaphases analysed</m:t>
              </m:r>
            </m:den>
          </m:f>
          <m:r>
            <w:rPr>
              <w:rFonts w:ascii="Cambria Math" w:hAnsi="Cambria Math"/>
              <w:sz w:val="20"/>
              <w:szCs w:val="20"/>
              <w:lang w:val="en-GB"/>
            </w:rPr>
            <m:t>×100</m:t>
          </m:r>
        </m:oMath>
      </m:oMathPara>
    </w:p>
    <w:p w14:paraId="532810DA" w14:textId="77777777" w:rsidR="00C72D81" w:rsidRPr="00AB4504" w:rsidRDefault="00C72D81">
      <w:pPr>
        <w:spacing w:after="0"/>
        <w:jc w:val="both"/>
        <w:rPr>
          <w:rFonts w:ascii="Arial" w:hAnsi="Arial"/>
          <w:sz w:val="22"/>
          <w:szCs w:val="22"/>
          <w:lang w:val="en-GB"/>
        </w:rPr>
      </w:pPr>
    </w:p>
    <w:p w14:paraId="532810DB" w14:textId="77777777"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2.8 Micronucleus Induction Analysis:</w:t>
      </w:r>
    </w:p>
    <w:p w14:paraId="532810DD" w14:textId="34B7603F" w:rsidR="00C72D81" w:rsidRPr="00AB4504" w:rsidRDefault="00EF3C28" w:rsidP="00A47001">
      <w:pPr>
        <w:spacing w:after="0"/>
        <w:ind w:firstLine="720"/>
        <w:jc w:val="both"/>
        <w:rPr>
          <w:rFonts w:ascii="Arial" w:hAnsi="Arial"/>
          <w:sz w:val="20"/>
          <w:szCs w:val="20"/>
          <w:lang w:val="en-GB"/>
        </w:rPr>
      </w:pPr>
      <w:r w:rsidRPr="00AB4504">
        <w:rPr>
          <w:rFonts w:ascii="Arial" w:hAnsi="Arial"/>
          <w:sz w:val="20"/>
          <w:szCs w:val="20"/>
          <w:lang w:val="en-GB"/>
        </w:rPr>
        <w:t xml:space="preserve">Micronucleus (MN) induction analysis was conducted as a widely accepted </w:t>
      </w:r>
      <w:r w:rsidRPr="00AB4504">
        <w:rPr>
          <w:rFonts w:ascii="Arial" w:hAnsi="Arial"/>
          <w:i/>
          <w:iCs/>
          <w:sz w:val="20"/>
          <w:szCs w:val="20"/>
          <w:lang w:val="en-GB"/>
        </w:rPr>
        <w:t>in-vivo</w:t>
      </w:r>
      <w:r w:rsidRPr="00AB4504">
        <w:rPr>
          <w:rFonts w:ascii="Arial" w:hAnsi="Arial"/>
          <w:sz w:val="20"/>
          <w:szCs w:val="20"/>
          <w:lang w:val="en-GB"/>
        </w:rPr>
        <w:t xml:space="preserve"> method for evaluating mutagenicity and chromosomal damage particularly clastogenic and </w:t>
      </w:r>
      <w:proofErr w:type="spellStart"/>
      <w:r w:rsidRPr="00AB4504">
        <w:rPr>
          <w:rFonts w:ascii="Arial" w:hAnsi="Arial"/>
          <w:sz w:val="20"/>
          <w:szCs w:val="20"/>
          <w:lang w:val="en-GB"/>
        </w:rPr>
        <w:t>aneugenic</w:t>
      </w:r>
      <w:proofErr w:type="spellEnd"/>
      <w:r w:rsidRPr="00AB4504">
        <w:rPr>
          <w:rFonts w:ascii="Arial" w:hAnsi="Arial"/>
          <w:sz w:val="20"/>
          <w:szCs w:val="20"/>
          <w:lang w:val="en-GB"/>
        </w:rPr>
        <w:t xml:space="preserve"> effects. Micronuclei are small extranuclear bodies formed as a result of chromosome breakage or mis-segregation during cell division and serve as reliable indicators of mutagenic events (</w:t>
      </w:r>
      <w:proofErr w:type="spellStart"/>
      <w:r w:rsidRPr="00AB4504">
        <w:rPr>
          <w:rFonts w:ascii="Arial" w:hAnsi="Arial"/>
          <w:sz w:val="20"/>
          <w:szCs w:val="20"/>
          <w:lang w:val="en-GB"/>
        </w:rPr>
        <w:t>Kasamoto</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xml:space="preserve">., 2013). The </w:t>
      </w:r>
      <w:r w:rsidRPr="00AB4504">
        <w:rPr>
          <w:rFonts w:ascii="Arial" w:hAnsi="Arial"/>
          <w:i/>
          <w:iCs/>
          <w:sz w:val="20"/>
          <w:szCs w:val="20"/>
          <w:lang w:val="en-GB"/>
        </w:rPr>
        <w:t>in-vivo</w:t>
      </w:r>
      <w:r w:rsidRPr="00AB4504">
        <w:rPr>
          <w:rFonts w:ascii="Arial" w:hAnsi="Arial"/>
          <w:sz w:val="20"/>
          <w:szCs w:val="20"/>
          <w:lang w:val="en-GB"/>
        </w:rPr>
        <w:t xml:space="preserve"> micronucleus assay applied in Swiss albino mice was used to assess chromosomal damage in bone marrow erythrocytes. Animals were euthanized 24 </w:t>
      </w:r>
      <w:r w:rsidR="00EB72CC" w:rsidRPr="00AB4504">
        <w:rPr>
          <w:rFonts w:ascii="Arial" w:hAnsi="Arial"/>
          <w:sz w:val="20"/>
          <w:szCs w:val="20"/>
          <w:lang w:val="en-GB"/>
        </w:rPr>
        <w:t>hours</w:t>
      </w:r>
      <w:r w:rsidRPr="00AB4504">
        <w:rPr>
          <w:rFonts w:ascii="Arial" w:hAnsi="Arial"/>
          <w:sz w:val="20"/>
          <w:szCs w:val="20"/>
          <w:lang w:val="en-GB"/>
        </w:rPr>
        <w:t xml:space="preserve"> after </w:t>
      </w:r>
      <w:r w:rsidR="002A3DBD" w:rsidRPr="00AB4504">
        <w:rPr>
          <w:rFonts w:ascii="Arial" w:hAnsi="Arial"/>
          <w:sz w:val="20"/>
          <w:szCs w:val="20"/>
          <w:lang w:val="en-GB"/>
        </w:rPr>
        <w:t xml:space="preserve">colchicine </w:t>
      </w:r>
      <w:r w:rsidRPr="00AB4504">
        <w:rPr>
          <w:rFonts w:ascii="Arial" w:hAnsi="Arial"/>
          <w:sz w:val="20"/>
          <w:szCs w:val="20"/>
          <w:lang w:val="en-GB"/>
        </w:rPr>
        <w:t xml:space="preserve">treatment and bone marrow was extracted from the femur using </w:t>
      </w:r>
      <w:proofErr w:type="spellStart"/>
      <w:r w:rsidRPr="00AB4504">
        <w:rPr>
          <w:rFonts w:ascii="Arial" w:hAnsi="Arial"/>
          <w:sz w:val="20"/>
          <w:szCs w:val="20"/>
          <w:lang w:val="en-GB"/>
        </w:rPr>
        <w:t>fetal</w:t>
      </w:r>
      <w:proofErr w:type="spellEnd"/>
      <w:r w:rsidRPr="00AB4504">
        <w:rPr>
          <w:rFonts w:ascii="Arial" w:hAnsi="Arial"/>
          <w:sz w:val="20"/>
          <w:szCs w:val="20"/>
          <w:lang w:val="en-GB"/>
        </w:rPr>
        <w:t xml:space="preserve"> bovine serum (FBS). Bone marrow smears were prepared on clean glass slides, air-dried and fixed in methanol. Micronuclei were visualized using Giemsa staining for light microscopic analysis. Microscopic evaluation was performed at 1000X magnification and the frequency of micronucleated cells was determined according to established scoring criteria to assess mutagenic damage (</w:t>
      </w:r>
      <w:proofErr w:type="spellStart"/>
      <w:r w:rsidRPr="00AB4504">
        <w:rPr>
          <w:rFonts w:ascii="Arial" w:hAnsi="Arial"/>
          <w:sz w:val="20"/>
          <w:szCs w:val="20"/>
          <w:lang w:val="en-GB"/>
        </w:rPr>
        <w:t>Kasamoto</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2013</w:t>
      </w:r>
      <w:r w:rsidR="00320B38" w:rsidRPr="00AB4504">
        <w:rPr>
          <w:rFonts w:ascii="Arial" w:hAnsi="Arial"/>
          <w:sz w:val="20"/>
          <w:szCs w:val="20"/>
          <w:lang w:val="en-GB"/>
        </w:rPr>
        <w:t>). A</w:t>
      </w:r>
      <w:r w:rsidRPr="00AB4504">
        <w:rPr>
          <w:rFonts w:ascii="Arial" w:hAnsi="Arial"/>
          <w:sz w:val="20"/>
          <w:szCs w:val="20"/>
          <w:lang w:val="en-GB"/>
        </w:rPr>
        <w:t xml:space="preserve"> total of 100 metaphase or erythrocyte cells per mice were examined, and the frequency of micronucleated cells was recorded according to standard scoring criteria. The percentage of micronuclei was calculated using the following formula:</w:t>
      </w:r>
    </w:p>
    <w:p w14:paraId="532810DE" w14:textId="77777777" w:rsidR="00C72D81" w:rsidRPr="00AB4504" w:rsidRDefault="00EF3C28">
      <w:pPr>
        <w:spacing w:after="0"/>
        <w:jc w:val="both"/>
        <w:rPr>
          <w:rFonts w:ascii="Arial" w:hAnsi="Arial"/>
          <w:sz w:val="20"/>
          <w:szCs w:val="20"/>
          <w:lang w:val="en-GB"/>
        </w:rPr>
      </w:pPr>
      <m:oMathPara>
        <m:oMath>
          <m:r>
            <m:rPr>
              <m:nor/>
            </m:rPr>
            <w:rPr>
              <w:rFonts w:ascii="Arial" w:hAnsi="Arial"/>
              <w:sz w:val="20"/>
              <w:szCs w:val="20"/>
              <w:lang w:val="en-GB"/>
            </w:rPr>
            <m:t>Micronuclei (%)</m:t>
          </m:r>
          <m:r>
            <w:rPr>
              <w:rFonts w:ascii="Cambria Math" w:hAnsi="Cambria Math"/>
              <w:sz w:val="20"/>
              <w:szCs w:val="20"/>
              <w:lang w:val="en-GB"/>
            </w:rPr>
            <m:t>=</m:t>
          </m:r>
          <m:f>
            <m:fPr>
              <m:ctrlPr>
                <w:rPr>
                  <w:rFonts w:ascii="Cambria Math" w:hAnsi="Cambria Math"/>
                  <w:sz w:val="20"/>
                  <w:szCs w:val="20"/>
                  <w:lang w:val="en-GB"/>
                </w:rPr>
              </m:ctrlPr>
            </m:fPr>
            <m:num>
              <m:r>
                <m:rPr>
                  <m:nor/>
                </m:rPr>
                <w:rPr>
                  <w:rFonts w:ascii="Arial" w:hAnsi="Arial"/>
                  <w:sz w:val="20"/>
                  <w:szCs w:val="20"/>
                  <w:lang w:val="en-GB"/>
                </w:rPr>
                <m:t>Number of cells containing micronuclei</m:t>
              </m:r>
            </m:num>
            <m:den>
              <m:r>
                <m:rPr>
                  <m:nor/>
                </m:rPr>
                <w:rPr>
                  <w:rFonts w:ascii="Arial" w:hAnsi="Arial"/>
                  <w:sz w:val="20"/>
                  <w:szCs w:val="20"/>
                  <w:lang w:val="en-GB"/>
                </w:rPr>
                <m:t>Total number of cells observed</m:t>
              </m:r>
            </m:den>
          </m:f>
          <m:r>
            <w:rPr>
              <w:rFonts w:ascii="Cambria Math" w:hAnsi="Cambria Math"/>
              <w:sz w:val="20"/>
              <w:szCs w:val="20"/>
              <w:lang w:val="en-GB"/>
            </w:rPr>
            <m:t>×100</m:t>
          </m:r>
          <m:r>
            <m:rPr>
              <m:sty m:val="p"/>
            </m:rPr>
            <w:rPr>
              <w:rFonts w:ascii="Cambria Math" w:hAnsi="Cambria Math"/>
              <w:sz w:val="20"/>
              <w:szCs w:val="20"/>
              <w:lang w:val="en-GB"/>
            </w:rPr>
            <w:br/>
          </m:r>
        </m:oMath>
      </m:oMathPara>
    </w:p>
    <w:p w14:paraId="532810DF" w14:textId="77777777" w:rsidR="00C72D81" w:rsidRPr="00AB4504" w:rsidRDefault="00C72D81">
      <w:pPr>
        <w:spacing w:after="0"/>
        <w:jc w:val="both"/>
        <w:rPr>
          <w:rFonts w:ascii="Arial" w:hAnsi="Arial"/>
          <w:sz w:val="20"/>
          <w:szCs w:val="20"/>
          <w:lang w:val="en-GB"/>
        </w:rPr>
      </w:pPr>
    </w:p>
    <w:p w14:paraId="532810E0"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3. Results:</w:t>
      </w:r>
    </w:p>
    <w:p w14:paraId="532810E1"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3.1 Chromosomal Aberration Analysis:</w:t>
      </w:r>
    </w:p>
    <w:p w14:paraId="532810E2" w14:textId="5DCC02BB" w:rsidR="00C72D81" w:rsidRPr="00AB4504" w:rsidRDefault="00EF3C28" w:rsidP="00807AEC">
      <w:pPr>
        <w:ind w:firstLine="720"/>
        <w:jc w:val="both"/>
        <w:rPr>
          <w:rFonts w:ascii="Arial" w:hAnsi="Arial"/>
          <w:sz w:val="20"/>
          <w:szCs w:val="20"/>
          <w:lang w:val="en-GB"/>
        </w:rPr>
      </w:pPr>
      <w:r w:rsidRPr="00AB4504">
        <w:rPr>
          <w:rFonts w:ascii="Arial" w:hAnsi="Arial"/>
          <w:sz w:val="20"/>
          <w:szCs w:val="20"/>
          <w:lang w:val="en-GB"/>
        </w:rPr>
        <w:t>The effect of MAF-AgNPs on DMBA-induced chromosomal aberrations in bone marrow cells of Swiss albino mice (Table 1, Fig. 2, 3 &amp;4). The normal group showed a baseline chromosomal damage with 4.5</w:t>
      </w:r>
      <w:r w:rsidR="00A47001" w:rsidRPr="00AB4504">
        <w:rPr>
          <w:rFonts w:ascii="Arial" w:hAnsi="Arial"/>
          <w:sz w:val="20"/>
          <w:szCs w:val="20"/>
          <w:lang w:val="en-GB"/>
        </w:rPr>
        <w:t>0</w:t>
      </w:r>
      <w:r w:rsidRPr="00AB4504">
        <w:rPr>
          <w:rFonts w:ascii="Arial" w:hAnsi="Arial"/>
          <w:sz w:val="20"/>
          <w:szCs w:val="20"/>
          <w:lang w:val="en-GB"/>
        </w:rPr>
        <w:t xml:space="preserve"> ± 0.55% aberrant cells, 0.84 ± 0.41% chromosome breaks and 1.5</w:t>
      </w:r>
      <w:r w:rsidR="00B948F6" w:rsidRPr="00AB4504">
        <w:rPr>
          <w:rFonts w:ascii="Arial" w:hAnsi="Arial"/>
          <w:sz w:val="20"/>
          <w:szCs w:val="20"/>
          <w:lang w:val="en-GB"/>
        </w:rPr>
        <w:t>0</w:t>
      </w:r>
      <w:r w:rsidRPr="00AB4504">
        <w:rPr>
          <w:rFonts w:ascii="Arial" w:hAnsi="Arial"/>
          <w:sz w:val="20"/>
          <w:szCs w:val="20"/>
          <w:lang w:val="en-GB"/>
        </w:rPr>
        <w:t xml:space="preserve"> ± 0.84% chromatid breaks. Apart from that the carcinogen control group treated with DMBA showed a significantly elevated chromosomal damage with 33.00 ± 3.80% aberrant cells, 6.17 ± 1.17% chromosome breaks and 12.5</w:t>
      </w:r>
      <w:r w:rsidR="007D5F00" w:rsidRPr="00AB4504">
        <w:rPr>
          <w:rFonts w:ascii="Arial" w:hAnsi="Arial"/>
          <w:sz w:val="20"/>
          <w:szCs w:val="20"/>
          <w:lang w:val="en-GB"/>
        </w:rPr>
        <w:t>0</w:t>
      </w:r>
      <w:r w:rsidRPr="00AB4504">
        <w:rPr>
          <w:rFonts w:ascii="Arial" w:hAnsi="Arial"/>
          <w:sz w:val="20"/>
          <w:szCs w:val="20"/>
          <w:lang w:val="en-GB"/>
        </w:rPr>
        <w:t xml:space="preserve"> ± 2.59% chromatid breaks. Administration of MAF-AgNPs reduced DMBA-induced chromosomal damage in all treatment groups. In the pre-treatment group the percentage of aberrant cells decreased to 11.33 ± 2.87% while chromosome breaks and chromatid breaks were reduced to 1.17 ± 0.41% and 3.17 ± 0.75%, respectively. In the post-treatment group, the percentage aberrant cells were 14.83 ± 2.85% with 1.50 ± 0.55% chromosome breaks and 6.00 ± 0.89% chromatid breaks. The throughout-treatment group showed the greatest protective effect with 9.00 ± 2</w:t>
      </w:r>
      <w:r w:rsidR="001B3729" w:rsidRPr="00AB4504">
        <w:rPr>
          <w:rFonts w:ascii="Arial" w:hAnsi="Arial"/>
          <w:sz w:val="20"/>
          <w:szCs w:val="20"/>
          <w:lang w:val="en-GB"/>
        </w:rPr>
        <w:t>.</w:t>
      </w:r>
      <w:r w:rsidRPr="00AB4504">
        <w:rPr>
          <w:rFonts w:ascii="Arial" w:hAnsi="Arial"/>
          <w:sz w:val="20"/>
          <w:szCs w:val="20"/>
          <w:lang w:val="en-GB"/>
        </w:rPr>
        <w:t xml:space="preserve">0% aberrant cells 1.00 ± 0.63% chromosome breaks and 3.17 ± 0.75% chromatid breaks. Overall, MAF-AgNPs showed a clear </w:t>
      </w:r>
      <w:r w:rsidRPr="00AB4504">
        <w:rPr>
          <w:rFonts w:ascii="Arial" w:hAnsi="Arial"/>
          <w:sz w:val="20"/>
          <w:szCs w:val="20"/>
          <w:lang w:val="en-GB"/>
        </w:rPr>
        <w:lastRenderedPageBreak/>
        <w:t xml:space="preserve">protective effect against DMBA-induced chromosomal </w:t>
      </w:r>
      <w:r w:rsidR="00AB4504" w:rsidRPr="00AB4504">
        <w:rPr>
          <w:rFonts w:ascii="Arial" w:hAnsi="Arial"/>
          <w:sz w:val="20"/>
          <w:szCs w:val="20"/>
          <w:lang w:val="en-GB"/>
        </w:rPr>
        <w:t>damage,</w:t>
      </w:r>
      <w:r w:rsidRPr="00AB4504">
        <w:rPr>
          <w:rFonts w:ascii="Arial" w:hAnsi="Arial"/>
          <w:sz w:val="20"/>
          <w:szCs w:val="20"/>
          <w:lang w:val="en-GB"/>
        </w:rPr>
        <w:t xml:space="preserve"> and the maximum protection was observed in the throughout-treatment group. </w:t>
      </w:r>
    </w:p>
    <w:p w14:paraId="532810E3" w14:textId="624015BE" w:rsidR="00C72D81" w:rsidRPr="00AB4504" w:rsidRDefault="00EF3C28">
      <w:pPr>
        <w:jc w:val="both"/>
        <w:rPr>
          <w:rFonts w:ascii="Arial" w:hAnsi="Arial"/>
          <w:b/>
          <w:bCs/>
          <w:sz w:val="20"/>
          <w:szCs w:val="20"/>
          <w:lang w:val="en-GB"/>
        </w:rPr>
      </w:pPr>
      <w:r w:rsidRPr="00AB4504">
        <w:rPr>
          <w:rFonts w:ascii="Arial" w:hAnsi="Arial"/>
          <w:b/>
          <w:bCs/>
          <w:sz w:val="20"/>
          <w:szCs w:val="20"/>
          <w:lang w:val="en-GB"/>
        </w:rPr>
        <w:t>Table 1: Effect of MAF-AgNPs on DMBA-induced chromosomal aberrations in bone marrow cells of Swiss albino mice. values are expressed as mean ± SD (n = 6).</w:t>
      </w:r>
    </w:p>
    <w:tbl>
      <w:tblPr>
        <w:tblStyle w:val="PlainTable51"/>
        <w:tblW w:w="902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949"/>
        <w:gridCol w:w="1571"/>
        <w:gridCol w:w="1571"/>
        <w:gridCol w:w="2126"/>
        <w:gridCol w:w="1805"/>
      </w:tblGrid>
      <w:tr w:rsidR="00C72D81" w:rsidRPr="00AB4504" w14:paraId="532810E9" w14:textId="77777777" w:rsidTr="00C72D81">
        <w:trPr>
          <w:cnfStyle w:val="100000000000" w:firstRow="1" w:lastRow="0" w:firstColumn="0" w:lastColumn="0" w:oddVBand="0" w:evenVBand="0" w:oddHBand="0" w:evenHBand="0" w:firstRowFirstColumn="0" w:firstRowLastColumn="0" w:lastRowFirstColumn="0" w:lastRowLastColumn="0"/>
          <w:trHeight w:val="1171"/>
        </w:trPr>
        <w:tc>
          <w:tcPr>
            <w:cnfStyle w:val="001000000100" w:firstRow="0" w:lastRow="0" w:firstColumn="1" w:lastColumn="0" w:oddVBand="0" w:evenVBand="0" w:oddHBand="0" w:evenHBand="0" w:firstRowFirstColumn="1" w:firstRowLastColumn="0" w:lastRowFirstColumn="0" w:lastRowLastColumn="0"/>
            <w:tcW w:w="1949" w:type="dxa"/>
            <w:noWrap/>
            <w:hideMark/>
          </w:tcPr>
          <w:p w14:paraId="532810E4" w14:textId="77777777" w:rsidR="00C72D81" w:rsidRPr="00AB4504" w:rsidRDefault="00EF3C28" w:rsidP="00807AEC">
            <w:pPr>
              <w:jc w:val="center"/>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Treatment Groups</w:t>
            </w:r>
          </w:p>
        </w:tc>
        <w:tc>
          <w:tcPr>
            <w:tcW w:w="1571" w:type="dxa"/>
          </w:tcPr>
          <w:p w14:paraId="532810E5" w14:textId="77777777" w:rsidR="00C72D81" w:rsidRPr="00AB4504" w:rsidRDefault="00EF3C28" w:rsidP="00807A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 xml:space="preserve">Total No. of Metaphase Plate </w:t>
            </w:r>
            <w:r w:rsidRPr="00AB4504">
              <w:rPr>
                <w:rFonts w:ascii="Arial" w:hAnsi="Arial"/>
                <w:b/>
                <w:bCs/>
                <w:sz w:val="20"/>
                <w:szCs w:val="20"/>
                <w:lang w:val="en-GB"/>
              </w:rPr>
              <w:t>Analysed Per Mice</w:t>
            </w:r>
          </w:p>
        </w:tc>
        <w:tc>
          <w:tcPr>
            <w:tcW w:w="1571" w:type="dxa"/>
            <w:noWrap/>
            <w:hideMark/>
          </w:tcPr>
          <w:p w14:paraId="532810E6" w14:textId="77777777" w:rsidR="00C72D81" w:rsidRPr="00AB4504" w:rsidRDefault="00EF3C28" w:rsidP="00807A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 Aberrant cells</w:t>
            </w:r>
          </w:p>
        </w:tc>
        <w:tc>
          <w:tcPr>
            <w:tcW w:w="2126" w:type="dxa"/>
            <w:noWrap/>
            <w:hideMark/>
          </w:tcPr>
          <w:p w14:paraId="532810E7" w14:textId="77777777" w:rsidR="00C72D81" w:rsidRPr="00AB4504" w:rsidRDefault="00EF3C28" w:rsidP="00807A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 Chromosome Breaks</w:t>
            </w:r>
          </w:p>
        </w:tc>
        <w:tc>
          <w:tcPr>
            <w:tcW w:w="1805" w:type="dxa"/>
            <w:noWrap/>
            <w:hideMark/>
          </w:tcPr>
          <w:p w14:paraId="532810E8" w14:textId="77777777" w:rsidR="00C72D81" w:rsidRPr="00AB4504" w:rsidRDefault="00EF3C28" w:rsidP="00807AE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 Chromatid Breaks</w:t>
            </w:r>
          </w:p>
        </w:tc>
      </w:tr>
      <w:tr w:rsidR="00C72D81" w:rsidRPr="00AB4504" w14:paraId="532810EF" w14:textId="77777777" w:rsidTr="00C72D81">
        <w:trPr>
          <w:cnfStyle w:val="000000100000" w:firstRow="0" w:lastRow="0" w:firstColumn="0" w:lastColumn="0" w:oddVBand="0" w:evenVBand="0" w:oddHBand="1"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2810EA" w14:textId="77777777" w:rsidR="00C72D81" w:rsidRPr="00AB4504" w:rsidRDefault="00EF3C28" w:rsidP="00807AEC">
            <w:pPr>
              <w:jc w:val="center"/>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Group A Normal</w:t>
            </w:r>
          </w:p>
        </w:tc>
        <w:tc>
          <w:tcPr>
            <w:tcW w:w="1571" w:type="dxa"/>
          </w:tcPr>
          <w:p w14:paraId="532810EB"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100</w:t>
            </w:r>
          </w:p>
        </w:tc>
        <w:tc>
          <w:tcPr>
            <w:tcW w:w="1571" w:type="dxa"/>
            <w:noWrap/>
            <w:hideMark/>
          </w:tcPr>
          <w:p w14:paraId="532810EC"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4.50 ± 0.55</w:t>
            </w:r>
          </w:p>
        </w:tc>
        <w:tc>
          <w:tcPr>
            <w:tcW w:w="2126" w:type="dxa"/>
            <w:noWrap/>
            <w:hideMark/>
          </w:tcPr>
          <w:p w14:paraId="532810ED"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0.84 ± 0.41</w:t>
            </w:r>
          </w:p>
        </w:tc>
        <w:tc>
          <w:tcPr>
            <w:tcW w:w="1805" w:type="dxa"/>
            <w:noWrap/>
            <w:hideMark/>
          </w:tcPr>
          <w:p w14:paraId="532810EE"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1.50 ± 0.84</w:t>
            </w:r>
          </w:p>
        </w:tc>
      </w:tr>
      <w:tr w:rsidR="00C72D81" w:rsidRPr="00AB4504" w14:paraId="532810F5" w14:textId="77777777" w:rsidTr="00C72D81">
        <w:trPr>
          <w:trHeight w:val="1171"/>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2810F0" w14:textId="77777777" w:rsidR="00C72D81" w:rsidRPr="00AB4504" w:rsidRDefault="00EF3C28" w:rsidP="00807AEC">
            <w:pPr>
              <w:jc w:val="center"/>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Group B Carcinogen control</w:t>
            </w:r>
          </w:p>
        </w:tc>
        <w:tc>
          <w:tcPr>
            <w:tcW w:w="1571" w:type="dxa"/>
          </w:tcPr>
          <w:p w14:paraId="532810F1"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100</w:t>
            </w:r>
          </w:p>
        </w:tc>
        <w:tc>
          <w:tcPr>
            <w:tcW w:w="1571" w:type="dxa"/>
            <w:noWrap/>
            <w:hideMark/>
          </w:tcPr>
          <w:p w14:paraId="532810F2"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33.00 ± 3.80</w:t>
            </w:r>
          </w:p>
        </w:tc>
        <w:tc>
          <w:tcPr>
            <w:tcW w:w="2126" w:type="dxa"/>
            <w:noWrap/>
            <w:hideMark/>
          </w:tcPr>
          <w:p w14:paraId="532810F3"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6.17 ± 1.17</w:t>
            </w:r>
          </w:p>
        </w:tc>
        <w:tc>
          <w:tcPr>
            <w:tcW w:w="1805" w:type="dxa"/>
            <w:noWrap/>
            <w:hideMark/>
          </w:tcPr>
          <w:p w14:paraId="532810F4" w14:textId="50FF131C"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12.5</w:t>
            </w:r>
            <w:r w:rsidR="00ED2D49" w:rsidRPr="00AB4504">
              <w:rPr>
                <w:rFonts w:ascii="Arial" w:eastAsia="Times New Roman" w:hAnsi="Arial"/>
                <w:b/>
                <w:bCs/>
                <w:kern w:val="0"/>
                <w:sz w:val="20"/>
                <w:szCs w:val="20"/>
                <w:lang w:val="en-GB" w:eastAsia="en-IN"/>
                <w14:ligatures w14:val="none"/>
              </w:rPr>
              <w:t>0</w:t>
            </w:r>
            <w:r w:rsidRPr="00AB4504">
              <w:rPr>
                <w:rFonts w:ascii="Arial" w:eastAsia="Times New Roman" w:hAnsi="Arial"/>
                <w:b/>
                <w:bCs/>
                <w:kern w:val="0"/>
                <w:sz w:val="20"/>
                <w:szCs w:val="20"/>
                <w:lang w:val="en-GB" w:eastAsia="en-IN"/>
                <w14:ligatures w14:val="none"/>
              </w:rPr>
              <w:t xml:space="preserve"> ± 2.59</w:t>
            </w:r>
          </w:p>
        </w:tc>
      </w:tr>
      <w:tr w:rsidR="00C72D81" w:rsidRPr="00AB4504" w14:paraId="532810FB" w14:textId="77777777" w:rsidTr="00C72D81">
        <w:trPr>
          <w:cnfStyle w:val="000000100000" w:firstRow="0" w:lastRow="0" w:firstColumn="0" w:lastColumn="0" w:oddVBand="0" w:evenVBand="0" w:oddHBand="1"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2810F6" w14:textId="77777777" w:rsidR="00C72D81" w:rsidRPr="00AB4504" w:rsidRDefault="00EF3C28" w:rsidP="00807AEC">
            <w:pPr>
              <w:jc w:val="center"/>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Group C Pre treatment</w:t>
            </w:r>
          </w:p>
        </w:tc>
        <w:tc>
          <w:tcPr>
            <w:tcW w:w="1571" w:type="dxa"/>
          </w:tcPr>
          <w:p w14:paraId="532810F7"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100</w:t>
            </w:r>
          </w:p>
        </w:tc>
        <w:tc>
          <w:tcPr>
            <w:tcW w:w="1571" w:type="dxa"/>
            <w:noWrap/>
            <w:hideMark/>
          </w:tcPr>
          <w:p w14:paraId="532810F8"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11.33 ± 2.87</w:t>
            </w:r>
          </w:p>
        </w:tc>
        <w:tc>
          <w:tcPr>
            <w:tcW w:w="2126" w:type="dxa"/>
            <w:noWrap/>
            <w:hideMark/>
          </w:tcPr>
          <w:p w14:paraId="532810F9"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1.17 ± 0.41</w:t>
            </w:r>
          </w:p>
        </w:tc>
        <w:tc>
          <w:tcPr>
            <w:tcW w:w="1805" w:type="dxa"/>
            <w:noWrap/>
            <w:hideMark/>
          </w:tcPr>
          <w:p w14:paraId="532810FA"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3.17 ± 0.75</w:t>
            </w:r>
          </w:p>
        </w:tc>
      </w:tr>
      <w:tr w:rsidR="00C72D81" w:rsidRPr="00AB4504" w14:paraId="53281101" w14:textId="77777777" w:rsidTr="00C72D81">
        <w:trPr>
          <w:trHeight w:val="1171"/>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2810FC" w14:textId="77777777" w:rsidR="00C72D81" w:rsidRPr="00AB4504" w:rsidRDefault="00EF3C28" w:rsidP="00807AEC">
            <w:pPr>
              <w:jc w:val="center"/>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Group D Post treatment</w:t>
            </w:r>
          </w:p>
        </w:tc>
        <w:tc>
          <w:tcPr>
            <w:tcW w:w="1571" w:type="dxa"/>
          </w:tcPr>
          <w:p w14:paraId="532810FD"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100</w:t>
            </w:r>
          </w:p>
        </w:tc>
        <w:tc>
          <w:tcPr>
            <w:tcW w:w="1571" w:type="dxa"/>
            <w:noWrap/>
            <w:hideMark/>
          </w:tcPr>
          <w:p w14:paraId="532810FE"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14.83 ± 2.85</w:t>
            </w:r>
          </w:p>
        </w:tc>
        <w:tc>
          <w:tcPr>
            <w:tcW w:w="2126" w:type="dxa"/>
            <w:noWrap/>
            <w:hideMark/>
          </w:tcPr>
          <w:p w14:paraId="532810FF"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1.50 ± 0.55</w:t>
            </w:r>
          </w:p>
        </w:tc>
        <w:tc>
          <w:tcPr>
            <w:tcW w:w="1805" w:type="dxa"/>
            <w:noWrap/>
            <w:hideMark/>
          </w:tcPr>
          <w:p w14:paraId="53281100"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6.00 ± 0.89</w:t>
            </w:r>
          </w:p>
        </w:tc>
      </w:tr>
      <w:tr w:rsidR="00C72D81" w:rsidRPr="00AB4504" w14:paraId="53281107" w14:textId="77777777" w:rsidTr="00C72D81">
        <w:trPr>
          <w:cnfStyle w:val="000000100000" w:firstRow="0" w:lastRow="0" w:firstColumn="0" w:lastColumn="0" w:oddVBand="0" w:evenVBand="0" w:oddHBand="1" w:evenHBand="0" w:firstRowFirstColumn="0" w:firstRowLastColumn="0" w:lastRowFirstColumn="0" w:lastRowLastColumn="0"/>
          <w:trHeight w:val="1171"/>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281102" w14:textId="77777777" w:rsidR="00C72D81" w:rsidRPr="00AB4504" w:rsidRDefault="00EF3C28" w:rsidP="00807AEC">
            <w:pPr>
              <w:jc w:val="center"/>
              <w:rPr>
                <w:rFonts w:ascii="Arial" w:eastAsia="Times New Roman" w:hAnsi="Arial" w:cs="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Group E Throughout treatment</w:t>
            </w:r>
          </w:p>
        </w:tc>
        <w:tc>
          <w:tcPr>
            <w:tcW w:w="1571" w:type="dxa"/>
          </w:tcPr>
          <w:p w14:paraId="53281103"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100</w:t>
            </w:r>
          </w:p>
        </w:tc>
        <w:tc>
          <w:tcPr>
            <w:tcW w:w="1571" w:type="dxa"/>
            <w:noWrap/>
            <w:hideMark/>
          </w:tcPr>
          <w:p w14:paraId="53281104"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9.00 ± 2.0</w:t>
            </w:r>
          </w:p>
        </w:tc>
        <w:tc>
          <w:tcPr>
            <w:tcW w:w="2126" w:type="dxa"/>
            <w:noWrap/>
            <w:hideMark/>
          </w:tcPr>
          <w:p w14:paraId="53281105"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1.00 ± 0.63</w:t>
            </w:r>
          </w:p>
        </w:tc>
        <w:tc>
          <w:tcPr>
            <w:tcW w:w="1805" w:type="dxa"/>
            <w:noWrap/>
            <w:hideMark/>
          </w:tcPr>
          <w:p w14:paraId="53281106"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b/>
                <w:bCs/>
                <w:kern w:val="0"/>
                <w:sz w:val="20"/>
                <w:szCs w:val="20"/>
                <w:lang w:val="en-GB" w:eastAsia="en-IN"/>
                <w14:ligatures w14:val="none"/>
              </w:rPr>
            </w:pPr>
            <w:r w:rsidRPr="00AB4504">
              <w:rPr>
                <w:rFonts w:ascii="Arial" w:eastAsia="Times New Roman" w:hAnsi="Arial"/>
                <w:b/>
                <w:bCs/>
                <w:kern w:val="0"/>
                <w:sz w:val="20"/>
                <w:szCs w:val="20"/>
                <w:lang w:val="en-GB" w:eastAsia="en-IN"/>
                <w14:ligatures w14:val="none"/>
              </w:rPr>
              <w:t>3.17 ± 0.75</w:t>
            </w:r>
          </w:p>
        </w:tc>
      </w:tr>
    </w:tbl>
    <w:p w14:paraId="53281108" w14:textId="77777777" w:rsidR="00C72D81" w:rsidRPr="00AB4504" w:rsidRDefault="00C72D81">
      <w:pPr>
        <w:jc w:val="both"/>
        <w:rPr>
          <w:rFonts w:ascii="Arial" w:hAnsi="Arial"/>
          <w:noProof/>
          <w:sz w:val="20"/>
          <w:szCs w:val="20"/>
          <w:lang w:val="en-GB"/>
        </w:rPr>
      </w:pPr>
    </w:p>
    <w:p w14:paraId="53281109" w14:textId="2FF52B20" w:rsidR="00C72D81" w:rsidRPr="00AB4504" w:rsidRDefault="00EF3C28">
      <w:pPr>
        <w:jc w:val="both"/>
        <w:rPr>
          <w:rFonts w:ascii="Arial" w:hAnsi="Arial"/>
          <w:noProof/>
          <w:sz w:val="20"/>
          <w:szCs w:val="20"/>
          <w:lang w:val="en-GB"/>
        </w:rPr>
      </w:pPr>
      <w:r w:rsidRPr="00AB4504">
        <w:rPr>
          <w:rFonts w:ascii="Arial" w:hAnsi="Arial"/>
          <w:noProof/>
          <w:sz w:val="20"/>
          <w:szCs w:val="20"/>
          <w:lang w:val="en-GB"/>
        </w:rPr>
        <w:lastRenderedPageBreak/>
        <w:drawing>
          <wp:inline distT="0" distB="0" distL="114300" distR="114300" wp14:anchorId="5328117A" wp14:editId="4823B271">
            <wp:extent cx="5731510" cy="3483609"/>
            <wp:effectExtent l="0" t="0" r="2540" b="3175"/>
            <wp:docPr id="1028"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AB4504">
        <w:rPr>
          <w:rFonts w:ascii="Arial" w:hAnsi="Arial"/>
          <w:noProof/>
          <w:sz w:val="20"/>
          <w:szCs w:val="20"/>
          <w:lang w:val="en-GB"/>
        </w:rPr>
        <w:t xml:space="preserve"> </w:t>
      </w:r>
    </w:p>
    <w:p w14:paraId="5328110A" w14:textId="1D66647B" w:rsidR="00C72D81" w:rsidRPr="00AB4504" w:rsidRDefault="00EF3C28">
      <w:pPr>
        <w:jc w:val="both"/>
        <w:rPr>
          <w:rFonts w:ascii="Arial" w:hAnsi="Arial"/>
          <w:b/>
          <w:bCs/>
          <w:sz w:val="20"/>
          <w:szCs w:val="20"/>
          <w:lang w:val="en-GB"/>
        </w:rPr>
      </w:pPr>
      <w:r w:rsidRPr="00AB4504">
        <w:rPr>
          <w:rFonts w:ascii="Arial" w:hAnsi="Arial"/>
          <w:b/>
          <w:bCs/>
          <w:sz w:val="20"/>
          <w:szCs w:val="20"/>
          <w:lang w:val="en-GB"/>
        </w:rPr>
        <w:t xml:space="preserve">Fig. 2: Effect of MAF-AgNPs on DMBA-induced chromosomal aberrations showing aberrant cells in bone marrow cells of Swiss albino mice. Values are expressed as mean ± SD (n =6). Statistical significance </w:t>
      </w:r>
      <w:r w:rsidR="00871F83" w:rsidRPr="00AB4504">
        <w:rPr>
          <w:rFonts w:ascii="Arial" w:hAnsi="Arial"/>
          <w:b/>
          <w:bCs/>
          <w:sz w:val="20"/>
          <w:szCs w:val="20"/>
          <w:lang w:val="en-GB"/>
        </w:rPr>
        <w:t>was determined using an unpaired two-tailed Student’s t</w:t>
      </w:r>
      <w:r w:rsidR="000C6F63" w:rsidRPr="00AB4504">
        <w:rPr>
          <w:rFonts w:ascii="Arial" w:hAnsi="Arial"/>
          <w:b/>
          <w:bCs/>
          <w:sz w:val="20"/>
          <w:szCs w:val="20"/>
          <w:lang w:val="en-GB"/>
        </w:rPr>
        <w:t>- test</w:t>
      </w:r>
      <w:r w:rsidRPr="00AB4504">
        <w:rPr>
          <w:rFonts w:ascii="Arial" w:hAnsi="Arial"/>
          <w:b/>
          <w:bCs/>
          <w:sz w:val="20"/>
          <w:szCs w:val="20"/>
          <w:lang w:val="en-GB"/>
        </w:rPr>
        <w:t xml:space="preserve"> with the </w:t>
      </w:r>
      <w:r w:rsidR="00AE2343" w:rsidRPr="00AB4504">
        <w:rPr>
          <w:rFonts w:ascii="Arial" w:hAnsi="Arial"/>
          <w:b/>
          <w:bCs/>
          <w:sz w:val="20"/>
          <w:szCs w:val="20"/>
          <w:lang w:val="en-GB"/>
        </w:rPr>
        <w:t>carcinogen control group</w:t>
      </w:r>
      <w:r w:rsidRPr="00AB4504">
        <w:rPr>
          <w:rFonts w:ascii="Arial" w:hAnsi="Arial"/>
          <w:b/>
          <w:bCs/>
          <w:sz w:val="20"/>
          <w:szCs w:val="20"/>
          <w:lang w:val="en-GB"/>
        </w:rPr>
        <w:t xml:space="preserve">: *a=p&lt;0.001, *b=p&lt;0.01, *c=p&lt;0.05, NS=p&gt;0.05. </w:t>
      </w:r>
    </w:p>
    <w:p w14:paraId="5328110B" w14:textId="7C297C73" w:rsidR="00C72D81" w:rsidRPr="00AB4504" w:rsidRDefault="00F52904">
      <w:pPr>
        <w:jc w:val="both"/>
        <w:rPr>
          <w:rFonts w:ascii="Arial" w:hAnsi="Arial"/>
          <w:sz w:val="20"/>
          <w:szCs w:val="20"/>
          <w:lang w:val="en-GB"/>
        </w:rPr>
      </w:pPr>
      <w:r w:rsidRPr="00AB4504">
        <w:rPr>
          <w:noProof/>
          <w:lang w:val="en-GB"/>
        </w:rPr>
        <w:drawing>
          <wp:inline distT="0" distB="0" distL="0" distR="0" wp14:anchorId="4F8A24AC" wp14:editId="314C019E">
            <wp:extent cx="5731510" cy="3108960"/>
            <wp:effectExtent l="0" t="0" r="2540" b="15240"/>
            <wp:docPr id="645835140" name="Chart 1">
              <a:extLst xmlns:a="http://schemas.openxmlformats.org/drawingml/2006/main">
                <a:ext uri="{FF2B5EF4-FFF2-40B4-BE49-F238E27FC236}">
                  <a16:creationId xmlns:a16="http://schemas.microsoft.com/office/drawing/2014/main" id="{544C8CF7-85D8-0810-9A5C-9453A15C7C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328110C" w14:textId="6DFCEF39" w:rsidR="00C72D81" w:rsidRPr="00AB4504" w:rsidRDefault="00EF3C28">
      <w:pPr>
        <w:jc w:val="both"/>
        <w:rPr>
          <w:rFonts w:ascii="Arial" w:hAnsi="Arial"/>
          <w:b/>
          <w:bCs/>
          <w:sz w:val="20"/>
          <w:szCs w:val="20"/>
          <w:lang w:val="en-GB"/>
        </w:rPr>
      </w:pPr>
      <w:r w:rsidRPr="00AB4504">
        <w:rPr>
          <w:rFonts w:ascii="Arial" w:hAnsi="Arial"/>
          <w:b/>
          <w:bCs/>
          <w:sz w:val="20"/>
          <w:szCs w:val="20"/>
          <w:lang w:val="en-GB"/>
        </w:rPr>
        <w:t xml:space="preserve">Fig. 3: Effect of MAF-AgNPs on DMBA-induced </w:t>
      </w:r>
      <w:r w:rsidR="00F672E9" w:rsidRPr="00AB4504">
        <w:rPr>
          <w:rFonts w:ascii="Arial" w:hAnsi="Arial"/>
          <w:b/>
          <w:bCs/>
          <w:sz w:val="20"/>
          <w:szCs w:val="20"/>
          <w:lang w:val="en-GB"/>
        </w:rPr>
        <w:t>C</w:t>
      </w:r>
      <w:r w:rsidRPr="00AB4504">
        <w:rPr>
          <w:rFonts w:ascii="Arial" w:hAnsi="Arial"/>
          <w:b/>
          <w:bCs/>
          <w:sz w:val="20"/>
          <w:szCs w:val="20"/>
          <w:lang w:val="en-GB"/>
        </w:rPr>
        <w:t xml:space="preserve">hromosomal </w:t>
      </w:r>
      <w:r w:rsidR="00F672E9" w:rsidRPr="00AB4504">
        <w:rPr>
          <w:rFonts w:ascii="Arial" w:hAnsi="Arial"/>
          <w:b/>
          <w:bCs/>
          <w:sz w:val="20"/>
          <w:szCs w:val="20"/>
          <w:lang w:val="en-GB"/>
        </w:rPr>
        <w:t>A</w:t>
      </w:r>
      <w:r w:rsidRPr="00AB4504">
        <w:rPr>
          <w:rFonts w:ascii="Arial" w:hAnsi="Arial"/>
          <w:b/>
          <w:bCs/>
          <w:sz w:val="20"/>
          <w:szCs w:val="20"/>
          <w:lang w:val="en-GB"/>
        </w:rPr>
        <w:t xml:space="preserve">berrations, showing chromosome breaks and chromatid breaks in bone marrow cells of Swiss albino mice. Values are expressed as mean ± SD (n =6). </w:t>
      </w:r>
      <w:r w:rsidR="000C6F63" w:rsidRPr="00AB4504">
        <w:rPr>
          <w:rFonts w:ascii="Arial" w:hAnsi="Arial"/>
          <w:b/>
          <w:bCs/>
          <w:sz w:val="20"/>
          <w:szCs w:val="20"/>
          <w:lang w:val="en-GB"/>
        </w:rPr>
        <w:t>Statistical significance was determined using an unpaired two-tailed Student’s t- test</w:t>
      </w:r>
      <w:r w:rsidRPr="00AB4504">
        <w:rPr>
          <w:rFonts w:ascii="Arial" w:hAnsi="Arial"/>
          <w:b/>
          <w:bCs/>
          <w:sz w:val="20"/>
          <w:szCs w:val="20"/>
          <w:lang w:val="en-GB"/>
        </w:rPr>
        <w:t xml:space="preserve"> with the </w:t>
      </w:r>
      <w:r w:rsidR="00AE2343" w:rsidRPr="00AB4504">
        <w:rPr>
          <w:rFonts w:ascii="Arial" w:hAnsi="Arial"/>
          <w:b/>
          <w:bCs/>
          <w:sz w:val="20"/>
          <w:szCs w:val="20"/>
          <w:lang w:val="en-GB"/>
        </w:rPr>
        <w:t xml:space="preserve">carcinogen control </w:t>
      </w:r>
      <w:r w:rsidRPr="00AB4504">
        <w:rPr>
          <w:rFonts w:ascii="Arial" w:hAnsi="Arial"/>
          <w:b/>
          <w:bCs/>
          <w:sz w:val="20"/>
          <w:szCs w:val="20"/>
          <w:lang w:val="en-GB"/>
        </w:rPr>
        <w:t>group: *a=p&lt;0.001, *b=p&lt;0.01, *c=p&lt;0.05, NS=p&gt;0.05.</w:t>
      </w:r>
    </w:p>
    <w:p w14:paraId="5328110D" w14:textId="1B724350" w:rsidR="00C72D81" w:rsidRPr="00AB4504" w:rsidRDefault="003018BF">
      <w:pPr>
        <w:jc w:val="both"/>
        <w:rPr>
          <w:rFonts w:ascii="Arial" w:hAnsi="Arial"/>
          <w:sz w:val="20"/>
          <w:szCs w:val="20"/>
          <w:lang w:val="en-GB"/>
        </w:rPr>
      </w:pPr>
      <w:r w:rsidRPr="00AB4504">
        <w:rPr>
          <w:rFonts w:ascii="Arial" w:hAnsi="Arial"/>
          <w:noProof/>
          <w:sz w:val="20"/>
          <w:szCs w:val="20"/>
          <w:lang w:val="en-GB"/>
        </w:rPr>
        <w:lastRenderedPageBreak/>
        <w:drawing>
          <wp:inline distT="0" distB="0" distL="0" distR="0" wp14:anchorId="57ED3DA6" wp14:editId="3A5BC0F5">
            <wp:extent cx="5731510" cy="2209165"/>
            <wp:effectExtent l="0" t="0" r="2540" b="635"/>
            <wp:docPr id="15747658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765810" name="Picture 15747658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2209165"/>
                    </a:xfrm>
                    <a:prstGeom prst="rect">
                      <a:avLst/>
                    </a:prstGeom>
                  </pic:spPr>
                </pic:pic>
              </a:graphicData>
            </a:graphic>
          </wp:inline>
        </w:drawing>
      </w:r>
    </w:p>
    <w:p w14:paraId="5328110E" w14:textId="78FEE12A" w:rsidR="00C72D81" w:rsidRPr="00AB4504" w:rsidRDefault="00EF3C28">
      <w:pPr>
        <w:jc w:val="both"/>
        <w:rPr>
          <w:rFonts w:ascii="Arial" w:hAnsi="Arial"/>
          <w:b/>
          <w:bCs/>
          <w:sz w:val="20"/>
          <w:szCs w:val="20"/>
          <w:lang w:val="en-GB"/>
        </w:rPr>
      </w:pPr>
      <w:r w:rsidRPr="00AB4504">
        <w:rPr>
          <w:rFonts w:ascii="Arial" w:hAnsi="Arial"/>
          <w:b/>
          <w:bCs/>
          <w:sz w:val="20"/>
          <w:szCs w:val="20"/>
          <w:lang w:val="en-GB"/>
        </w:rPr>
        <w:t>Fig. 4: Photomicrograph of metaphase plate for aberrant cells analysis showing chromosome breaks</w:t>
      </w:r>
      <w:r w:rsidR="00311829" w:rsidRPr="00AB4504">
        <w:rPr>
          <w:rFonts w:ascii="Arial" w:hAnsi="Arial"/>
          <w:b/>
          <w:bCs/>
          <w:sz w:val="20"/>
          <w:szCs w:val="20"/>
          <w:lang w:val="en-GB"/>
        </w:rPr>
        <w:t xml:space="preserve">, </w:t>
      </w:r>
      <w:r w:rsidRPr="00AB4504">
        <w:rPr>
          <w:rFonts w:ascii="Arial" w:hAnsi="Arial"/>
          <w:b/>
          <w:bCs/>
          <w:sz w:val="20"/>
          <w:szCs w:val="20"/>
          <w:lang w:val="en-GB"/>
        </w:rPr>
        <w:t>chromatid breaks</w:t>
      </w:r>
      <w:r w:rsidR="00311829" w:rsidRPr="00AB4504">
        <w:rPr>
          <w:rFonts w:ascii="Arial" w:hAnsi="Arial"/>
          <w:b/>
          <w:bCs/>
          <w:sz w:val="20"/>
          <w:szCs w:val="20"/>
          <w:lang w:val="en-GB"/>
        </w:rPr>
        <w:t xml:space="preserve">, </w:t>
      </w:r>
      <w:r w:rsidR="00E00414" w:rsidRPr="00AB4504">
        <w:rPr>
          <w:rFonts w:ascii="Arial" w:hAnsi="Arial"/>
          <w:b/>
          <w:bCs/>
          <w:sz w:val="20"/>
          <w:szCs w:val="20"/>
          <w:lang w:val="en-GB"/>
        </w:rPr>
        <w:t>exchange, rings and fragments</w:t>
      </w:r>
      <w:r w:rsidRPr="00AB4504">
        <w:rPr>
          <w:rFonts w:ascii="Arial" w:hAnsi="Arial"/>
          <w:b/>
          <w:bCs/>
          <w:sz w:val="20"/>
          <w:szCs w:val="20"/>
          <w:lang w:val="en-GB"/>
        </w:rPr>
        <w:t xml:space="preserve"> indicated by arrows observed in bone marrow cells of Swiss albino mice (1000X).</w:t>
      </w:r>
    </w:p>
    <w:p w14:paraId="5328110F" w14:textId="77777777" w:rsidR="00C72D81" w:rsidRPr="00AB4504" w:rsidRDefault="00C72D81">
      <w:pPr>
        <w:jc w:val="both"/>
        <w:rPr>
          <w:rFonts w:ascii="Arial" w:hAnsi="Arial"/>
          <w:sz w:val="20"/>
          <w:szCs w:val="20"/>
          <w:lang w:val="en-GB"/>
        </w:rPr>
      </w:pPr>
    </w:p>
    <w:p w14:paraId="53281110"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3.2 Micronucleus Assay:</w:t>
      </w:r>
    </w:p>
    <w:p w14:paraId="53281111" w14:textId="651110ED" w:rsidR="00C72D81" w:rsidRPr="00AB4504" w:rsidRDefault="00EF3C28">
      <w:pPr>
        <w:ind w:firstLine="720"/>
        <w:jc w:val="both"/>
        <w:rPr>
          <w:rFonts w:ascii="Arial" w:hAnsi="Arial"/>
          <w:b/>
          <w:bCs/>
          <w:sz w:val="20"/>
          <w:szCs w:val="20"/>
          <w:lang w:val="en-GB"/>
        </w:rPr>
      </w:pPr>
      <w:r w:rsidRPr="00AB4504">
        <w:rPr>
          <w:rFonts w:ascii="Arial" w:hAnsi="Arial"/>
          <w:sz w:val="20"/>
          <w:szCs w:val="20"/>
          <w:lang w:val="en-GB"/>
        </w:rPr>
        <w:t>The frequency of micronucleated polychromatic erythrocytes (MN-PCEs) in bone marrow cells of Swiss albino mice (Table 2 &amp; Fig. 5&amp;6). The normal group (Group A) exhibited a low baseline micronucleus frequency of 1.80 ± 0.45% indicating minimal spontaneous chromosomal damage. The carcinogen control group (Group B) treated with DMBA showed a significant increase in micronucleus frequency (3.50 ± 0.58%) compared with the normal group. Administration of MAF-AgNPs reduced micronucleus formation relative to the carcinogen control group. In the pre-treatment group (Group C) micronucleus frequency decreased to 1.00 ± 0.71% corresponding to a 78.7</w:t>
      </w:r>
      <w:r w:rsidR="001B3729" w:rsidRPr="00AB4504">
        <w:rPr>
          <w:rFonts w:ascii="Arial" w:hAnsi="Arial"/>
          <w:sz w:val="20"/>
          <w:szCs w:val="20"/>
          <w:lang w:val="en-GB"/>
        </w:rPr>
        <w:t>7</w:t>
      </w:r>
      <w:r w:rsidRPr="00AB4504">
        <w:rPr>
          <w:rFonts w:ascii="Arial" w:hAnsi="Arial"/>
          <w:sz w:val="20"/>
          <w:szCs w:val="20"/>
          <w:lang w:val="en-GB"/>
        </w:rPr>
        <w:t>% reduction compared with Group B. Similarly, the post-treatment group (Group D) showed a micronucleus frequency of 1.67 ± 0.58% representing a 53.74% reduction compared with the carcinogen control. The throughout-treatment group (Group E) exhibited a micronucleus frequency of 0.75±0.5</w:t>
      </w:r>
      <w:r w:rsidR="006B0AFC" w:rsidRPr="00AB4504">
        <w:rPr>
          <w:rFonts w:ascii="Arial" w:hAnsi="Arial"/>
          <w:sz w:val="20"/>
          <w:szCs w:val="20"/>
          <w:lang w:val="en-GB"/>
        </w:rPr>
        <w:t>0</w:t>
      </w:r>
      <w:r w:rsidRPr="00AB4504">
        <w:rPr>
          <w:rFonts w:ascii="Arial" w:hAnsi="Arial"/>
          <w:sz w:val="20"/>
          <w:szCs w:val="20"/>
          <w:lang w:val="en-GB"/>
        </w:rPr>
        <w:t>% corresponding to an 81.63% reduction relative to the carcinogen control.</w:t>
      </w:r>
    </w:p>
    <w:p w14:paraId="53281112" w14:textId="77777777" w:rsidR="00C72D81" w:rsidRPr="00AB4504" w:rsidRDefault="00EF3C28">
      <w:pPr>
        <w:pStyle w:val="NormalWeb"/>
        <w:jc w:val="both"/>
        <w:rPr>
          <w:rFonts w:ascii="Arial" w:eastAsia="SimSun" w:hAnsi="Arial" w:cs="Arial"/>
          <w:b/>
          <w:bCs/>
          <w:sz w:val="20"/>
          <w:szCs w:val="20"/>
          <w:lang w:val="en-GB"/>
        </w:rPr>
      </w:pPr>
      <w:r w:rsidRPr="00AB4504">
        <w:rPr>
          <w:rFonts w:ascii="Arial" w:hAnsi="Arial" w:cs="Arial"/>
          <w:b/>
          <w:bCs/>
          <w:sz w:val="20"/>
          <w:szCs w:val="20"/>
          <w:lang w:val="en-GB"/>
        </w:rPr>
        <w:t xml:space="preserve">Table 2:  </w:t>
      </w:r>
      <w:r w:rsidRPr="00AB4504">
        <w:rPr>
          <w:rFonts w:ascii="Arial" w:eastAsia="SimSun" w:hAnsi="Arial" w:cs="Arial"/>
          <w:b/>
          <w:bCs/>
          <w:sz w:val="20"/>
          <w:szCs w:val="20"/>
          <w:lang w:val="en-GB"/>
        </w:rPr>
        <w:t>Effect of MAF-AgNPs on micronucleus formation in bone marrow cells of Swiss albino mice. Values are expressed as mean ± SD (n = 6) and percentage reduction relative to the carcinogen control group B.</w:t>
      </w:r>
    </w:p>
    <w:tbl>
      <w:tblPr>
        <w:tblStyle w:val="PlainTable51"/>
        <w:tblW w:w="890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192"/>
        <w:gridCol w:w="2755"/>
        <w:gridCol w:w="1446"/>
        <w:gridCol w:w="2510"/>
      </w:tblGrid>
      <w:tr w:rsidR="00C72D81" w:rsidRPr="00AB4504" w14:paraId="53281117" w14:textId="77777777" w:rsidTr="00557856">
        <w:trPr>
          <w:cnfStyle w:val="100000000000" w:firstRow="1" w:lastRow="0" w:firstColumn="0" w:lastColumn="0" w:oddVBand="0" w:evenVBand="0" w:oddHBand="0" w:evenHBand="0" w:firstRowFirstColumn="0" w:firstRowLastColumn="0" w:lastRowFirstColumn="0" w:lastRowLastColumn="0"/>
          <w:trHeight w:val="450"/>
        </w:trPr>
        <w:tc>
          <w:tcPr>
            <w:cnfStyle w:val="001000000100" w:firstRow="0" w:lastRow="0" w:firstColumn="1" w:lastColumn="0" w:oddVBand="0" w:evenVBand="0" w:oddHBand="0" w:evenHBand="0" w:firstRowFirstColumn="1" w:firstRowLastColumn="0" w:lastRowFirstColumn="0" w:lastRowLastColumn="0"/>
            <w:tcW w:w="2192" w:type="dxa"/>
            <w:tcBorders>
              <w:bottom w:val="none" w:sz="0" w:space="0" w:color="auto"/>
              <w:right w:val="none" w:sz="0" w:space="0" w:color="auto"/>
            </w:tcBorders>
            <w:noWrap/>
            <w:hideMark/>
          </w:tcPr>
          <w:p w14:paraId="53281113" w14:textId="77777777" w:rsidR="00C72D81" w:rsidRPr="00AB4504" w:rsidRDefault="00EF3C28">
            <w:pPr>
              <w:rPr>
                <w:rFonts w:ascii="Arial" w:hAnsi="Arial" w:cs="Arial"/>
                <w:b/>
                <w:bCs/>
                <w:sz w:val="20"/>
                <w:szCs w:val="20"/>
                <w:lang w:val="en-GB"/>
              </w:rPr>
            </w:pPr>
            <w:r w:rsidRPr="00AB4504">
              <w:rPr>
                <w:rFonts w:ascii="Arial" w:hAnsi="Arial"/>
                <w:b/>
                <w:bCs/>
                <w:sz w:val="20"/>
                <w:szCs w:val="20"/>
                <w:lang w:val="en-GB"/>
              </w:rPr>
              <w:t>Treatment Groups</w:t>
            </w:r>
          </w:p>
        </w:tc>
        <w:tc>
          <w:tcPr>
            <w:tcW w:w="2755" w:type="dxa"/>
            <w:tcBorders>
              <w:bottom w:val="none" w:sz="0" w:space="0" w:color="auto"/>
            </w:tcBorders>
            <w:noWrap/>
            <w:hideMark/>
          </w:tcPr>
          <w:p w14:paraId="53281114" w14:textId="77777777" w:rsidR="00C72D81" w:rsidRPr="00AB4504" w:rsidRDefault="00EF3C28">
            <w:pP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AB4504">
              <w:rPr>
                <w:rFonts w:ascii="Arial" w:hAnsi="Arial"/>
                <w:b/>
                <w:bCs/>
                <w:sz w:val="20"/>
                <w:szCs w:val="20"/>
                <w:lang w:val="en-GB"/>
              </w:rPr>
              <w:t>Total No. of Cells Analysed Per Mice</w:t>
            </w:r>
          </w:p>
        </w:tc>
        <w:tc>
          <w:tcPr>
            <w:tcW w:w="1446" w:type="dxa"/>
            <w:tcBorders>
              <w:bottom w:val="none" w:sz="0" w:space="0" w:color="auto"/>
            </w:tcBorders>
            <w:noWrap/>
            <w:hideMark/>
          </w:tcPr>
          <w:p w14:paraId="53281115" w14:textId="77777777" w:rsidR="00C72D81" w:rsidRPr="00AB4504" w:rsidRDefault="00EF3C28">
            <w:pP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AB4504">
              <w:rPr>
                <w:rFonts w:ascii="Arial" w:hAnsi="Arial"/>
                <w:b/>
                <w:bCs/>
                <w:sz w:val="20"/>
                <w:szCs w:val="20"/>
                <w:lang w:val="en-GB"/>
              </w:rPr>
              <w:t>Micronuclei %</w:t>
            </w:r>
          </w:p>
        </w:tc>
        <w:tc>
          <w:tcPr>
            <w:tcW w:w="2510" w:type="dxa"/>
            <w:tcBorders>
              <w:bottom w:val="none" w:sz="0" w:space="0" w:color="auto"/>
            </w:tcBorders>
            <w:noWrap/>
            <w:hideMark/>
          </w:tcPr>
          <w:p w14:paraId="53281116" w14:textId="77777777" w:rsidR="00C72D81" w:rsidRPr="00AB4504" w:rsidRDefault="00EF3C28">
            <w:pPr>
              <w:cnfStyle w:val="100000000000" w:firstRow="1" w:lastRow="0" w:firstColumn="0" w:lastColumn="0" w:oddVBand="0" w:evenVBand="0" w:oddHBand="0" w:evenHBand="0" w:firstRowFirstColumn="0" w:firstRowLastColumn="0" w:lastRowFirstColumn="0" w:lastRowLastColumn="0"/>
              <w:rPr>
                <w:rFonts w:ascii="Arial" w:hAnsi="Arial" w:cs="Arial"/>
                <w:b/>
                <w:bCs/>
                <w:sz w:val="20"/>
                <w:szCs w:val="20"/>
                <w:lang w:val="en-GB"/>
              </w:rPr>
            </w:pPr>
            <w:r w:rsidRPr="00AB4504">
              <w:rPr>
                <w:rFonts w:ascii="Arial" w:hAnsi="Arial"/>
                <w:b/>
                <w:bCs/>
                <w:sz w:val="20"/>
                <w:szCs w:val="20"/>
                <w:lang w:val="en-GB"/>
              </w:rPr>
              <w:t>%Reduction (vs Group B)</w:t>
            </w:r>
          </w:p>
        </w:tc>
      </w:tr>
      <w:tr w:rsidR="00C72D81" w:rsidRPr="00AB4504" w14:paraId="5328111C" w14:textId="77777777" w:rsidTr="0055785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92" w:type="dxa"/>
            <w:tcBorders>
              <w:right w:val="none" w:sz="0" w:space="0" w:color="auto"/>
            </w:tcBorders>
            <w:noWrap/>
            <w:hideMark/>
          </w:tcPr>
          <w:p w14:paraId="53281118" w14:textId="77777777" w:rsidR="00C72D81" w:rsidRPr="00AB4504" w:rsidRDefault="00EF3C28" w:rsidP="00807AEC">
            <w:pPr>
              <w:jc w:val="center"/>
              <w:rPr>
                <w:rFonts w:ascii="Arial" w:hAnsi="Arial" w:cs="Arial"/>
                <w:b/>
                <w:bCs/>
                <w:sz w:val="20"/>
                <w:szCs w:val="20"/>
                <w:lang w:val="en-GB"/>
              </w:rPr>
            </w:pPr>
            <w:r w:rsidRPr="00AB4504">
              <w:rPr>
                <w:rFonts w:ascii="Arial" w:hAnsi="Arial"/>
                <w:b/>
                <w:bCs/>
                <w:sz w:val="20"/>
                <w:szCs w:val="20"/>
                <w:lang w:val="en-GB"/>
              </w:rPr>
              <w:t>Group A Normal</w:t>
            </w:r>
          </w:p>
        </w:tc>
        <w:tc>
          <w:tcPr>
            <w:tcW w:w="2755" w:type="dxa"/>
            <w:noWrap/>
            <w:hideMark/>
          </w:tcPr>
          <w:p w14:paraId="53281119"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100</w:t>
            </w:r>
          </w:p>
        </w:tc>
        <w:tc>
          <w:tcPr>
            <w:tcW w:w="1446" w:type="dxa"/>
            <w:noWrap/>
            <w:hideMark/>
          </w:tcPr>
          <w:p w14:paraId="5328111A"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1.80±0.45</w:t>
            </w:r>
          </w:p>
        </w:tc>
        <w:tc>
          <w:tcPr>
            <w:tcW w:w="2510" w:type="dxa"/>
            <w:noWrap/>
            <w:hideMark/>
          </w:tcPr>
          <w:p w14:paraId="5328111B" w14:textId="77777777" w:rsidR="00C72D81" w:rsidRPr="00AB4504" w:rsidRDefault="00EF3C28" w:rsidP="00406FF4">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w:t>
            </w:r>
          </w:p>
        </w:tc>
      </w:tr>
      <w:tr w:rsidR="00C72D81" w:rsidRPr="00AB4504" w14:paraId="53281121" w14:textId="77777777" w:rsidTr="00557856">
        <w:trPr>
          <w:trHeight w:val="450"/>
        </w:trPr>
        <w:tc>
          <w:tcPr>
            <w:cnfStyle w:val="001000000000" w:firstRow="0" w:lastRow="0" w:firstColumn="1" w:lastColumn="0" w:oddVBand="0" w:evenVBand="0" w:oddHBand="0" w:evenHBand="0" w:firstRowFirstColumn="0" w:firstRowLastColumn="0" w:lastRowFirstColumn="0" w:lastRowLastColumn="0"/>
            <w:tcW w:w="2192" w:type="dxa"/>
            <w:tcBorders>
              <w:right w:val="none" w:sz="0" w:space="0" w:color="auto"/>
            </w:tcBorders>
            <w:noWrap/>
            <w:hideMark/>
          </w:tcPr>
          <w:p w14:paraId="5328111D" w14:textId="77777777" w:rsidR="00C72D81" w:rsidRPr="00AB4504" w:rsidRDefault="00EF3C28" w:rsidP="00807AEC">
            <w:pPr>
              <w:jc w:val="center"/>
              <w:rPr>
                <w:rFonts w:ascii="Arial" w:hAnsi="Arial" w:cs="Arial"/>
                <w:b/>
                <w:bCs/>
                <w:sz w:val="20"/>
                <w:szCs w:val="20"/>
                <w:lang w:val="en-GB"/>
              </w:rPr>
            </w:pPr>
            <w:r w:rsidRPr="00AB4504">
              <w:rPr>
                <w:rFonts w:ascii="Arial" w:hAnsi="Arial"/>
                <w:b/>
                <w:bCs/>
                <w:sz w:val="20"/>
                <w:szCs w:val="20"/>
                <w:lang w:val="en-GB"/>
              </w:rPr>
              <w:t>Group B Carcinogen control</w:t>
            </w:r>
          </w:p>
        </w:tc>
        <w:tc>
          <w:tcPr>
            <w:tcW w:w="2755" w:type="dxa"/>
            <w:noWrap/>
            <w:hideMark/>
          </w:tcPr>
          <w:p w14:paraId="5328111E"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100</w:t>
            </w:r>
          </w:p>
        </w:tc>
        <w:tc>
          <w:tcPr>
            <w:tcW w:w="1446" w:type="dxa"/>
            <w:noWrap/>
            <w:hideMark/>
          </w:tcPr>
          <w:p w14:paraId="5328111F"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3.50±0.58</w:t>
            </w:r>
          </w:p>
        </w:tc>
        <w:tc>
          <w:tcPr>
            <w:tcW w:w="2510" w:type="dxa"/>
            <w:noWrap/>
            <w:hideMark/>
          </w:tcPr>
          <w:p w14:paraId="53281120" w14:textId="77777777" w:rsidR="00C72D81" w:rsidRPr="00AB4504" w:rsidRDefault="00EF3C28" w:rsidP="00406FF4">
            <w:pPr>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w:t>
            </w:r>
          </w:p>
        </w:tc>
      </w:tr>
      <w:tr w:rsidR="00C72D81" w:rsidRPr="00AB4504" w14:paraId="53281126" w14:textId="77777777" w:rsidTr="00557856">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192" w:type="dxa"/>
            <w:tcBorders>
              <w:right w:val="none" w:sz="0" w:space="0" w:color="auto"/>
            </w:tcBorders>
            <w:noWrap/>
            <w:hideMark/>
          </w:tcPr>
          <w:p w14:paraId="53281122" w14:textId="77777777" w:rsidR="00C72D81" w:rsidRPr="00AB4504" w:rsidRDefault="00EF3C28" w:rsidP="00807AEC">
            <w:pPr>
              <w:jc w:val="center"/>
              <w:rPr>
                <w:rFonts w:ascii="Arial" w:hAnsi="Arial" w:cs="Arial"/>
                <w:b/>
                <w:bCs/>
                <w:sz w:val="20"/>
                <w:szCs w:val="20"/>
                <w:lang w:val="en-GB"/>
              </w:rPr>
            </w:pPr>
            <w:r w:rsidRPr="00AB4504">
              <w:rPr>
                <w:rFonts w:ascii="Arial" w:hAnsi="Arial"/>
                <w:b/>
                <w:bCs/>
                <w:sz w:val="20"/>
                <w:szCs w:val="20"/>
                <w:lang w:val="en-GB"/>
              </w:rPr>
              <w:t>Group C Pre treatment</w:t>
            </w:r>
          </w:p>
        </w:tc>
        <w:tc>
          <w:tcPr>
            <w:tcW w:w="2755" w:type="dxa"/>
            <w:noWrap/>
            <w:hideMark/>
          </w:tcPr>
          <w:p w14:paraId="53281123"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100</w:t>
            </w:r>
          </w:p>
        </w:tc>
        <w:tc>
          <w:tcPr>
            <w:tcW w:w="1446" w:type="dxa"/>
            <w:noWrap/>
            <w:hideMark/>
          </w:tcPr>
          <w:p w14:paraId="53281124"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1.00±0.71</w:t>
            </w:r>
          </w:p>
        </w:tc>
        <w:tc>
          <w:tcPr>
            <w:tcW w:w="2510" w:type="dxa"/>
            <w:noWrap/>
            <w:hideMark/>
          </w:tcPr>
          <w:p w14:paraId="53281125" w14:textId="4D42CAA6" w:rsidR="00C72D81" w:rsidRPr="00AB4504" w:rsidRDefault="00406FF4" w:rsidP="00807AEC">
            <w:pP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 xml:space="preserve">                 </w:t>
            </w:r>
            <w:r w:rsidR="00EF3C28" w:rsidRPr="00AB4504">
              <w:rPr>
                <w:rFonts w:ascii="Arial" w:hAnsi="Arial"/>
                <w:b/>
                <w:bCs/>
                <w:sz w:val="20"/>
                <w:szCs w:val="20"/>
                <w:lang w:val="en-GB"/>
              </w:rPr>
              <w:t>78.77</w:t>
            </w:r>
          </w:p>
        </w:tc>
      </w:tr>
      <w:tr w:rsidR="00C72D81" w:rsidRPr="00AB4504" w14:paraId="5328112B" w14:textId="77777777" w:rsidTr="00557856">
        <w:trPr>
          <w:trHeight w:val="450"/>
        </w:trPr>
        <w:tc>
          <w:tcPr>
            <w:cnfStyle w:val="001000000000" w:firstRow="0" w:lastRow="0" w:firstColumn="1" w:lastColumn="0" w:oddVBand="0" w:evenVBand="0" w:oddHBand="0" w:evenHBand="0" w:firstRowFirstColumn="0" w:firstRowLastColumn="0" w:lastRowFirstColumn="0" w:lastRowLastColumn="0"/>
            <w:tcW w:w="2192" w:type="dxa"/>
            <w:tcBorders>
              <w:right w:val="none" w:sz="0" w:space="0" w:color="auto"/>
            </w:tcBorders>
            <w:noWrap/>
            <w:hideMark/>
          </w:tcPr>
          <w:p w14:paraId="53281127" w14:textId="77777777" w:rsidR="00C72D81" w:rsidRPr="00AB4504" w:rsidRDefault="00EF3C28" w:rsidP="00807AEC">
            <w:pPr>
              <w:jc w:val="center"/>
              <w:rPr>
                <w:rFonts w:ascii="Arial" w:hAnsi="Arial" w:cs="Arial"/>
                <w:b/>
                <w:bCs/>
                <w:sz w:val="20"/>
                <w:szCs w:val="20"/>
                <w:lang w:val="en-GB"/>
              </w:rPr>
            </w:pPr>
            <w:r w:rsidRPr="00AB4504">
              <w:rPr>
                <w:rFonts w:ascii="Arial" w:hAnsi="Arial"/>
                <w:b/>
                <w:bCs/>
                <w:sz w:val="20"/>
                <w:szCs w:val="20"/>
                <w:lang w:val="en-GB"/>
              </w:rPr>
              <w:t>Group D Post treatment</w:t>
            </w:r>
          </w:p>
        </w:tc>
        <w:tc>
          <w:tcPr>
            <w:tcW w:w="2755" w:type="dxa"/>
            <w:noWrap/>
            <w:hideMark/>
          </w:tcPr>
          <w:p w14:paraId="53281128"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100</w:t>
            </w:r>
          </w:p>
        </w:tc>
        <w:tc>
          <w:tcPr>
            <w:tcW w:w="1446" w:type="dxa"/>
            <w:noWrap/>
            <w:hideMark/>
          </w:tcPr>
          <w:p w14:paraId="53281129"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1.67±0.58</w:t>
            </w:r>
          </w:p>
        </w:tc>
        <w:tc>
          <w:tcPr>
            <w:tcW w:w="2510" w:type="dxa"/>
            <w:noWrap/>
            <w:hideMark/>
          </w:tcPr>
          <w:p w14:paraId="5328112A" w14:textId="77777777" w:rsidR="00C72D81" w:rsidRPr="00AB4504" w:rsidRDefault="00EF3C28" w:rsidP="00807AEC">
            <w:pPr>
              <w:jc w:val="center"/>
              <w:cnfStyle w:val="000000000000" w:firstRow="0" w:lastRow="0" w:firstColumn="0" w:lastColumn="0" w:oddVBand="0" w:evenVBand="0" w:oddHBand="0"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53.74</w:t>
            </w:r>
          </w:p>
        </w:tc>
      </w:tr>
      <w:tr w:rsidR="00C72D81" w:rsidRPr="00AB4504" w14:paraId="53281130" w14:textId="77777777" w:rsidTr="00557856">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92" w:type="dxa"/>
            <w:tcBorders>
              <w:right w:val="none" w:sz="0" w:space="0" w:color="auto"/>
            </w:tcBorders>
            <w:noWrap/>
            <w:hideMark/>
          </w:tcPr>
          <w:p w14:paraId="5328112C" w14:textId="77777777" w:rsidR="00C72D81" w:rsidRPr="00AB4504" w:rsidRDefault="00EF3C28" w:rsidP="00807AEC">
            <w:pPr>
              <w:jc w:val="center"/>
              <w:rPr>
                <w:rFonts w:ascii="Arial" w:hAnsi="Arial" w:cs="Arial"/>
                <w:b/>
                <w:bCs/>
                <w:sz w:val="20"/>
                <w:szCs w:val="20"/>
                <w:lang w:val="en-GB"/>
              </w:rPr>
            </w:pPr>
            <w:r w:rsidRPr="00AB4504">
              <w:rPr>
                <w:rFonts w:ascii="Arial" w:hAnsi="Arial"/>
                <w:b/>
                <w:bCs/>
                <w:sz w:val="20"/>
                <w:szCs w:val="20"/>
                <w:lang w:val="en-GB"/>
              </w:rPr>
              <w:t>Group E Throughout treatment</w:t>
            </w:r>
          </w:p>
        </w:tc>
        <w:tc>
          <w:tcPr>
            <w:tcW w:w="2755" w:type="dxa"/>
            <w:noWrap/>
            <w:hideMark/>
          </w:tcPr>
          <w:p w14:paraId="5328112D"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100</w:t>
            </w:r>
          </w:p>
        </w:tc>
        <w:tc>
          <w:tcPr>
            <w:tcW w:w="1446" w:type="dxa"/>
            <w:noWrap/>
            <w:hideMark/>
          </w:tcPr>
          <w:p w14:paraId="5328112E"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0.75±0.50</w:t>
            </w:r>
          </w:p>
        </w:tc>
        <w:tc>
          <w:tcPr>
            <w:tcW w:w="2510" w:type="dxa"/>
            <w:noWrap/>
            <w:hideMark/>
          </w:tcPr>
          <w:p w14:paraId="5328112F" w14:textId="77777777" w:rsidR="00C72D81" w:rsidRPr="00AB4504" w:rsidRDefault="00EF3C28" w:rsidP="00807AEC">
            <w:pPr>
              <w:jc w:val="center"/>
              <w:cnfStyle w:val="000000100000" w:firstRow="0" w:lastRow="0" w:firstColumn="0" w:lastColumn="0" w:oddVBand="0" w:evenVBand="0" w:oddHBand="1" w:evenHBand="0" w:firstRowFirstColumn="0" w:firstRowLastColumn="0" w:lastRowFirstColumn="0" w:lastRowLastColumn="0"/>
              <w:rPr>
                <w:rFonts w:ascii="Arial" w:hAnsi="Arial"/>
                <w:b/>
                <w:bCs/>
                <w:sz w:val="20"/>
                <w:szCs w:val="20"/>
                <w:lang w:val="en-GB"/>
              </w:rPr>
            </w:pPr>
            <w:r w:rsidRPr="00AB4504">
              <w:rPr>
                <w:rFonts w:ascii="Arial" w:hAnsi="Arial"/>
                <w:b/>
                <w:bCs/>
                <w:sz w:val="20"/>
                <w:szCs w:val="20"/>
                <w:lang w:val="en-GB"/>
              </w:rPr>
              <w:t>81.63</w:t>
            </w:r>
          </w:p>
        </w:tc>
      </w:tr>
    </w:tbl>
    <w:p w14:paraId="53281131" w14:textId="77777777" w:rsidR="00C72D81" w:rsidRPr="00AB4504" w:rsidRDefault="00C72D81" w:rsidP="00807AEC">
      <w:pPr>
        <w:jc w:val="center"/>
        <w:rPr>
          <w:rFonts w:ascii="Arial" w:hAnsi="Arial"/>
          <w:sz w:val="20"/>
          <w:szCs w:val="20"/>
          <w:lang w:val="en-GB"/>
        </w:rPr>
      </w:pPr>
    </w:p>
    <w:p w14:paraId="53281133" w14:textId="49F50E9B" w:rsidR="00C72D81" w:rsidRPr="00AB4504" w:rsidRDefault="00EF3C28">
      <w:pPr>
        <w:jc w:val="both"/>
        <w:rPr>
          <w:rFonts w:ascii="Arial" w:hAnsi="Arial"/>
          <w:sz w:val="20"/>
          <w:szCs w:val="20"/>
          <w:lang w:val="en-GB"/>
        </w:rPr>
      </w:pPr>
      <w:r w:rsidRPr="00AB4504">
        <w:rPr>
          <w:rFonts w:ascii="Arial" w:hAnsi="Arial"/>
          <w:noProof/>
          <w:sz w:val="20"/>
          <w:szCs w:val="20"/>
          <w:lang w:val="en-GB"/>
        </w:rPr>
        <w:lastRenderedPageBreak/>
        <w:drawing>
          <wp:inline distT="0" distB="0" distL="114300" distR="114300" wp14:anchorId="5328117F" wp14:editId="69180227">
            <wp:extent cx="5672138" cy="3495675"/>
            <wp:effectExtent l="0" t="0" r="5080" b="9525"/>
            <wp:docPr id="1034"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3281134" w14:textId="4462C1BB" w:rsidR="00C72D81" w:rsidRPr="00AB4504" w:rsidRDefault="00EF3C28">
      <w:pPr>
        <w:jc w:val="both"/>
        <w:rPr>
          <w:rFonts w:ascii="Arial" w:hAnsi="Arial"/>
          <w:b/>
          <w:bCs/>
          <w:sz w:val="20"/>
          <w:szCs w:val="20"/>
          <w:lang w:val="en-GB"/>
        </w:rPr>
      </w:pPr>
      <w:r w:rsidRPr="00AB4504">
        <w:rPr>
          <w:rFonts w:ascii="Arial" w:hAnsi="Arial"/>
          <w:b/>
          <w:bCs/>
          <w:sz w:val="20"/>
          <w:szCs w:val="20"/>
          <w:lang w:val="en-GB"/>
        </w:rPr>
        <w:t xml:space="preserve">Fig. 5: Effect of MAF-AgNPs on micronucleus formation in bone marrow polychromatic erythrocytes (PCEs) of Swiss albino mice. Values are expressed as mean ± SD (n =6). </w:t>
      </w:r>
      <w:r w:rsidR="004A5697" w:rsidRPr="00AB4504">
        <w:rPr>
          <w:rFonts w:ascii="Arial" w:hAnsi="Arial"/>
          <w:b/>
          <w:bCs/>
          <w:sz w:val="20"/>
          <w:szCs w:val="20"/>
          <w:lang w:val="en-GB"/>
        </w:rPr>
        <w:t>Statistical significance was determined using an unpaired two-tailed Student’s t- test</w:t>
      </w:r>
      <w:r w:rsidRPr="00AB4504">
        <w:rPr>
          <w:rFonts w:ascii="Arial" w:hAnsi="Arial"/>
          <w:b/>
          <w:bCs/>
          <w:sz w:val="20"/>
          <w:szCs w:val="20"/>
          <w:lang w:val="en-GB"/>
        </w:rPr>
        <w:t xml:space="preserve"> with the </w:t>
      </w:r>
      <w:r w:rsidR="00D352A4" w:rsidRPr="00AB4504">
        <w:rPr>
          <w:rFonts w:ascii="Arial" w:hAnsi="Arial"/>
          <w:b/>
          <w:bCs/>
          <w:sz w:val="20"/>
          <w:szCs w:val="20"/>
          <w:lang w:val="en-GB"/>
        </w:rPr>
        <w:t xml:space="preserve">carcinogen control </w:t>
      </w:r>
      <w:r w:rsidRPr="00AB4504">
        <w:rPr>
          <w:rFonts w:ascii="Arial" w:hAnsi="Arial"/>
          <w:b/>
          <w:bCs/>
          <w:sz w:val="20"/>
          <w:szCs w:val="20"/>
          <w:lang w:val="en-GB"/>
        </w:rPr>
        <w:t xml:space="preserve">group: *a=p&lt;0.001, *b=p&lt;0.01, *c=p&lt;0.05, NS=p&gt;0.05. </w:t>
      </w:r>
    </w:p>
    <w:p w14:paraId="53281135" w14:textId="1BAEFAAD" w:rsidR="00C72D81" w:rsidRPr="00AB4504" w:rsidRDefault="00D04453" w:rsidP="00807AEC">
      <w:pPr>
        <w:jc w:val="center"/>
        <w:rPr>
          <w:rFonts w:ascii="Arial" w:hAnsi="Arial"/>
          <w:sz w:val="20"/>
          <w:szCs w:val="20"/>
          <w:lang w:val="en-GB"/>
        </w:rPr>
      </w:pPr>
      <w:r w:rsidRPr="00AB4504">
        <w:rPr>
          <w:rFonts w:ascii="Arial" w:hAnsi="Arial"/>
          <w:noProof/>
          <w:sz w:val="20"/>
          <w:szCs w:val="20"/>
          <w:lang w:val="en-GB"/>
        </w:rPr>
        <w:drawing>
          <wp:inline distT="0" distB="0" distL="0" distR="0" wp14:anchorId="736CDFB4" wp14:editId="78B7D512">
            <wp:extent cx="4975957" cy="3138488"/>
            <wp:effectExtent l="0" t="0" r="0" b="5080"/>
            <wp:docPr id="15292905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290570" name="Picture 1529290570"/>
                    <pic:cNvPicPr/>
                  </pic:nvPicPr>
                  <pic:blipFill>
                    <a:blip r:embed="rId39">
                      <a:extLst>
                        <a:ext uri="{28A0092B-C50C-407E-A947-70E740481C1C}">
                          <a14:useLocalDpi xmlns:a14="http://schemas.microsoft.com/office/drawing/2010/main" val="0"/>
                        </a:ext>
                      </a:extLst>
                    </a:blip>
                    <a:stretch>
                      <a:fillRect/>
                    </a:stretch>
                  </pic:blipFill>
                  <pic:spPr>
                    <a:xfrm>
                      <a:off x="0" y="0"/>
                      <a:ext cx="4982951" cy="3142899"/>
                    </a:xfrm>
                    <a:prstGeom prst="rect">
                      <a:avLst/>
                    </a:prstGeom>
                  </pic:spPr>
                </pic:pic>
              </a:graphicData>
            </a:graphic>
          </wp:inline>
        </w:drawing>
      </w:r>
    </w:p>
    <w:p w14:paraId="53281136" w14:textId="58EC15CA" w:rsidR="00C72D81" w:rsidRPr="00AB4504" w:rsidRDefault="00EF3C28">
      <w:pPr>
        <w:jc w:val="both"/>
        <w:rPr>
          <w:rFonts w:ascii="Arial" w:hAnsi="Arial"/>
          <w:b/>
          <w:bCs/>
          <w:sz w:val="20"/>
          <w:szCs w:val="20"/>
          <w:lang w:val="en-GB"/>
        </w:rPr>
      </w:pPr>
      <w:r w:rsidRPr="00AB4504">
        <w:rPr>
          <w:rFonts w:ascii="Arial" w:hAnsi="Arial"/>
          <w:b/>
          <w:bCs/>
          <w:sz w:val="20"/>
          <w:szCs w:val="20"/>
          <w:lang w:val="en-GB"/>
        </w:rPr>
        <w:t>Fig. 6: Photomicrograph of micronucleated (MN) cell showing micronucleus formation indicated by arrows in bone marrow cell of Swiss albino mice (1000</w:t>
      </w:r>
      <w:r w:rsidR="003406E0" w:rsidRPr="00AB4504">
        <w:rPr>
          <w:rFonts w:ascii="Arial" w:hAnsi="Arial"/>
          <w:b/>
          <w:bCs/>
          <w:sz w:val="20"/>
          <w:szCs w:val="20"/>
          <w:lang w:val="en-GB"/>
        </w:rPr>
        <w:t>X</w:t>
      </w:r>
      <w:r w:rsidRPr="00AB4504">
        <w:rPr>
          <w:rFonts w:ascii="Arial" w:hAnsi="Arial"/>
          <w:b/>
          <w:bCs/>
          <w:sz w:val="20"/>
          <w:szCs w:val="20"/>
          <w:lang w:val="en-GB"/>
        </w:rPr>
        <w:t xml:space="preserve">). </w:t>
      </w:r>
    </w:p>
    <w:p w14:paraId="53281137" w14:textId="77777777" w:rsidR="00C72D81" w:rsidRPr="00AB4504" w:rsidRDefault="00C72D81">
      <w:pPr>
        <w:jc w:val="both"/>
        <w:rPr>
          <w:rFonts w:ascii="Arial" w:hAnsi="Arial"/>
          <w:b/>
          <w:bCs/>
          <w:sz w:val="20"/>
          <w:szCs w:val="20"/>
          <w:lang w:val="en-GB"/>
        </w:rPr>
      </w:pPr>
    </w:p>
    <w:p w14:paraId="53281138"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4. Discussion:</w:t>
      </w:r>
    </w:p>
    <w:p w14:paraId="79AFEB7F" w14:textId="0D9E4162" w:rsidR="00F469F0" w:rsidRPr="00AB4504" w:rsidRDefault="00F469F0">
      <w:pPr>
        <w:ind w:firstLine="720"/>
        <w:jc w:val="both"/>
        <w:rPr>
          <w:rFonts w:ascii="Arial" w:hAnsi="Arial"/>
          <w:sz w:val="20"/>
          <w:szCs w:val="20"/>
          <w:lang w:val="en-GB"/>
        </w:rPr>
      </w:pPr>
      <w:r w:rsidRPr="00AB4504">
        <w:rPr>
          <w:rFonts w:ascii="Arial" w:hAnsi="Arial"/>
          <w:sz w:val="20"/>
          <w:szCs w:val="20"/>
          <w:lang w:val="en-GB"/>
        </w:rPr>
        <w:lastRenderedPageBreak/>
        <w:t xml:space="preserve">The present study demonstrates that MAF-AgNPs exert a significant protective effect against DMBA-induced genotoxicity in Swiss albino mice as evidenced by a marked reduction in chromosomal aberrations and micronucleus formation in treated groups compared to the carcinogen control. DMBA is a </w:t>
      </w:r>
      <w:r w:rsidR="00B661F4" w:rsidRPr="00AB4504">
        <w:rPr>
          <w:rFonts w:ascii="Arial" w:hAnsi="Arial"/>
          <w:sz w:val="20"/>
          <w:szCs w:val="20"/>
          <w:lang w:val="en-GB"/>
        </w:rPr>
        <w:t>well-known</w:t>
      </w:r>
      <w:r w:rsidRPr="00AB4504">
        <w:rPr>
          <w:rFonts w:ascii="Arial" w:hAnsi="Arial"/>
          <w:sz w:val="20"/>
          <w:szCs w:val="20"/>
          <w:lang w:val="en-GB"/>
        </w:rPr>
        <w:t xml:space="preserve"> polycyclic aromatic hydrocarbon that undergoes metabolic activation to form reactive intermediates particularly diol-epoxides capable of generating oxidative stress forming DNA adducts and inducing chromosomal damage thereby initiating mutagenic events (Miller &amp; Miller, 1981). The substantial increase in chromosomal aberrations and micronucleus frequency observed in the DMBA-treated group confirms its strong genotoxic potential and validates the experimental model which is consistent with previous reports demonstrating DMBA-induced chromosomal instability and micronucleus formation in mammalian systems (Krishna &amp; Hayashi, 2000).</w:t>
      </w:r>
    </w:p>
    <w:p w14:paraId="13476949" w14:textId="60F02EEB" w:rsidR="00220ADE" w:rsidRPr="00AB4504" w:rsidRDefault="002931AC">
      <w:pPr>
        <w:ind w:firstLine="720"/>
        <w:jc w:val="both"/>
        <w:rPr>
          <w:rFonts w:ascii="Arial" w:hAnsi="Arial"/>
          <w:sz w:val="20"/>
          <w:szCs w:val="20"/>
          <w:lang w:val="en-GB"/>
        </w:rPr>
      </w:pPr>
      <w:r w:rsidRPr="00AB4504">
        <w:rPr>
          <w:rFonts w:ascii="Arial" w:hAnsi="Arial"/>
          <w:sz w:val="20"/>
          <w:szCs w:val="20"/>
          <w:lang w:val="en-GB"/>
        </w:rPr>
        <w:t xml:space="preserve">Administration of MAF-AgNPs resulted in a significant reduction in DMBA-induced chromosomal damage across all treatment groups when compared to the carcinogen control group (DMBA alone). Among the treatment </w:t>
      </w:r>
      <w:r w:rsidR="00220ADE" w:rsidRPr="00AB4504">
        <w:rPr>
          <w:rFonts w:ascii="Arial" w:hAnsi="Arial"/>
          <w:sz w:val="20"/>
          <w:szCs w:val="20"/>
          <w:lang w:val="en-GB"/>
        </w:rPr>
        <w:t>groups</w:t>
      </w:r>
      <w:r w:rsidRPr="00AB4504">
        <w:rPr>
          <w:rFonts w:ascii="Arial" w:hAnsi="Arial"/>
          <w:sz w:val="20"/>
          <w:szCs w:val="20"/>
          <w:lang w:val="en-GB"/>
        </w:rPr>
        <w:t xml:space="preserve"> the greatest protective effect was observed in the throughout-treatment group followed by the pre-treatment group whereas the post-treatment group exhibited comparatively lower protection. A similar trend was also observed in the micronucleus assay where the frequency of micronuclei was lowest in the throughout-treatment group followed by pre-treatment and post-treatment groups thereby confirming consistency across cytogenetic endpoints. This pattern suggests that MAF-AgNPs are more effective in preventing the initiation of mutagenic damage rather than reversing already established cytogenetic alterations. This observation is also consistent with the known mechanism of DMBA-induced genotoxicity, which primarily involves oxidative stress and DNA damage at early stages where antioxidant intervention is most effective. Furthermore, this finding correlates with our earlier study demonstrating that MAF-AgNPs possess significant antioxidant activity and phytochemical capping which supports their role in early-stage protection rather than post-damage repair. These observations align with the fundamental principle of chemoprevention where early intervention provides greater protective efficacy than post-exposure treatment (Sporn, 1976).</w:t>
      </w:r>
    </w:p>
    <w:p w14:paraId="5328113B" w14:textId="0B3F17AF" w:rsidR="00C72D81" w:rsidRPr="00AB4504" w:rsidRDefault="00EF3C28" w:rsidP="000E1C99">
      <w:pPr>
        <w:ind w:firstLine="720"/>
        <w:jc w:val="both"/>
        <w:rPr>
          <w:rFonts w:ascii="Arial" w:hAnsi="Arial"/>
          <w:sz w:val="20"/>
          <w:szCs w:val="20"/>
          <w:lang w:val="en-GB"/>
        </w:rPr>
      </w:pPr>
      <w:r w:rsidRPr="00AB4504">
        <w:rPr>
          <w:rFonts w:ascii="Arial" w:hAnsi="Arial"/>
          <w:sz w:val="20"/>
          <w:szCs w:val="20"/>
          <w:lang w:val="en-GB"/>
        </w:rPr>
        <w:t xml:space="preserve">The reduction in chromosomal aberrations including chromosome breaks and chromatid breaks indicates that MAF-AgNPs effectively protect against structural chromosomal damage. A similar trend was observed in the micronucleus assay where treatment with MAF-AgNPs significantly reduced micronucleus frequency compared to the carcinogen control group. The enhanced protective effect observed in the pre-treatment and throughout-treatment groups suggests that sustained or prior exposure to the nanoparticles mitigates the initial oxidative and mutagenic events induced by DMBA. The present findings are further supported by recent studies demonstrating that silver nanoparticles can mitigate induced </w:t>
      </w:r>
      <w:proofErr w:type="spellStart"/>
      <w:r w:rsidRPr="00AB4504">
        <w:rPr>
          <w:rFonts w:ascii="Arial" w:hAnsi="Arial"/>
          <w:sz w:val="20"/>
          <w:szCs w:val="20"/>
          <w:lang w:val="en-GB"/>
        </w:rPr>
        <w:t>cytogenotoxic</w:t>
      </w:r>
      <w:proofErr w:type="spellEnd"/>
      <w:r w:rsidRPr="00AB4504">
        <w:rPr>
          <w:rFonts w:ascii="Arial" w:hAnsi="Arial"/>
          <w:sz w:val="20"/>
          <w:szCs w:val="20"/>
          <w:lang w:val="en-GB"/>
        </w:rPr>
        <w:t xml:space="preserve"> damage in both </w:t>
      </w:r>
      <w:r w:rsidRPr="00AB4504">
        <w:rPr>
          <w:rFonts w:ascii="Arial" w:hAnsi="Arial"/>
          <w:i/>
          <w:iCs/>
          <w:sz w:val="20"/>
          <w:szCs w:val="20"/>
          <w:lang w:val="en-GB"/>
        </w:rPr>
        <w:t>in</w:t>
      </w:r>
      <w:r w:rsidR="00EF1F9A" w:rsidRPr="00AB4504">
        <w:rPr>
          <w:rFonts w:ascii="Arial" w:hAnsi="Arial"/>
          <w:i/>
          <w:iCs/>
          <w:sz w:val="20"/>
          <w:szCs w:val="20"/>
          <w:lang w:val="en-GB"/>
        </w:rPr>
        <w:t>-</w:t>
      </w:r>
      <w:r w:rsidRPr="00AB4504">
        <w:rPr>
          <w:rFonts w:ascii="Arial" w:hAnsi="Arial"/>
          <w:i/>
          <w:iCs/>
          <w:sz w:val="20"/>
          <w:szCs w:val="20"/>
          <w:lang w:val="en-GB"/>
        </w:rPr>
        <w:t>vivo</w:t>
      </w:r>
      <w:r w:rsidRPr="00AB4504">
        <w:rPr>
          <w:rFonts w:ascii="Arial" w:hAnsi="Arial"/>
          <w:sz w:val="20"/>
          <w:szCs w:val="20"/>
          <w:lang w:val="en-GB"/>
        </w:rPr>
        <w:t xml:space="preserve"> micronucleus models and cultured human lymphocytes, indicating their protective role against DNA damage (Castañeda-Yslas </w:t>
      </w:r>
      <w:r w:rsidRPr="00AB4504">
        <w:rPr>
          <w:rFonts w:ascii="Arial" w:hAnsi="Arial"/>
          <w:i/>
          <w:iCs/>
          <w:sz w:val="20"/>
          <w:szCs w:val="20"/>
          <w:lang w:val="en-GB"/>
        </w:rPr>
        <w:t>et al</w:t>
      </w:r>
      <w:r w:rsidRPr="00AB4504">
        <w:rPr>
          <w:rFonts w:ascii="Arial" w:hAnsi="Arial"/>
          <w:sz w:val="20"/>
          <w:szCs w:val="20"/>
          <w:lang w:val="en-GB"/>
        </w:rPr>
        <w:t xml:space="preserve">., 2024; Jauregui Romo </w:t>
      </w:r>
      <w:r w:rsidRPr="00AB4504">
        <w:rPr>
          <w:rFonts w:ascii="Arial" w:hAnsi="Arial"/>
          <w:i/>
          <w:iCs/>
          <w:sz w:val="20"/>
          <w:szCs w:val="20"/>
          <w:lang w:val="en-GB"/>
        </w:rPr>
        <w:t>et al</w:t>
      </w:r>
      <w:r w:rsidRPr="00AB4504">
        <w:rPr>
          <w:rFonts w:ascii="Arial" w:hAnsi="Arial"/>
          <w:sz w:val="20"/>
          <w:szCs w:val="20"/>
          <w:lang w:val="en-GB"/>
        </w:rPr>
        <w:t xml:space="preserve">., 2025). In addition, green-synthesized nanoparticles have been reported to exhibit DNA protective and cytotoxic activities, further supporting their role in modulating genomic stability (Singh </w:t>
      </w:r>
      <w:r w:rsidRPr="00AB4504">
        <w:rPr>
          <w:rFonts w:ascii="Arial" w:hAnsi="Arial"/>
          <w:i/>
          <w:iCs/>
          <w:sz w:val="20"/>
          <w:szCs w:val="20"/>
          <w:lang w:val="en-GB"/>
        </w:rPr>
        <w:t>et al</w:t>
      </w:r>
      <w:r w:rsidRPr="00AB4504">
        <w:rPr>
          <w:rFonts w:ascii="Arial" w:hAnsi="Arial"/>
          <w:sz w:val="20"/>
          <w:szCs w:val="20"/>
          <w:lang w:val="en-GB"/>
        </w:rPr>
        <w:t>., 2026).</w:t>
      </w:r>
    </w:p>
    <w:p w14:paraId="5328113C" w14:textId="4B5593E3" w:rsidR="00C72D81" w:rsidRPr="00AB4504" w:rsidRDefault="00EF3C28">
      <w:pPr>
        <w:ind w:firstLine="720"/>
        <w:jc w:val="both"/>
        <w:rPr>
          <w:rFonts w:ascii="Arial" w:hAnsi="Arial"/>
          <w:sz w:val="20"/>
          <w:szCs w:val="20"/>
          <w:lang w:val="en-GB"/>
        </w:rPr>
      </w:pPr>
      <w:r w:rsidRPr="00AB4504">
        <w:rPr>
          <w:rFonts w:ascii="Arial" w:hAnsi="Arial"/>
          <w:sz w:val="20"/>
          <w:szCs w:val="20"/>
          <w:lang w:val="en-GB"/>
        </w:rPr>
        <w:t xml:space="preserve">The protective effect of MAF-AgNPs may be attributed to the rich phytochemical composition of </w:t>
      </w:r>
      <w:r w:rsidRPr="00AB4504">
        <w:rPr>
          <w:rFonts w:ascii="Arial" w:hAnsi="Arial"/>
          <w:i/>
          <w:iCs/>
          <w:sz w:val="20"/>
          <w:szCs w:val="20"/>
          <w:lang w:val="en-GB"/>
        </w:rPr>
        <w:t>M</w:t>
      </w:r>
      <w:r w:rsidR="00015610" w:rsidRPr="00AB4504">
        <w:rPr>
          <w:rFonts w:ascii="Arial" w:hAnsi="Arial"/>
          <w:i/>
          <w:iCs/>
          <w:sz w:val="20"/>
          <w:szCs w:val="20"/>
          <w:lang w:val="en-GB"/>
        </w:rPr>
        <w:t>.</w:t>
      </w:r>
      <w:r w:rsidRPr="00AB4504">
        <w:rPr>
          <w:rFonts w:ascii="Arial" w:hAnsi="Arial"/>
          <w:i/>
          <w:iCs/>
          <w:sz w:val="20"/>
          <w:szCs w:val="20"/>
          <w:lang w:val="en-GB"/>
        </w:rPr>
        <w:t xml:space="preserve"> annua</w:t>
      </w:r>
      <w:r w:rsidRPr="00AB4504">
        <w:rPr>
          <w:rFonts w:ascii="Arial" w:hAnsi="Arial"/>
          <w:sz w:val="20"/>
          <w:szCs w:val="20"/>
          <w:lang w:val="en-GB"/>
        </w:rPr>
        <w:t xml:space="preserve"> fruits which contain phenolics, flavonoids, tannins and other antioxidant constituents (Gupta &amp; </w:t>
      </w:r>
      <w:proofErr w:type="spellStart"/>
      <w:r w:rsidRPr="00AB4504">
        <w:rPr>
          <w:rFonts w:ascii="Arial" w:hAnsi="Arial"/>
          <w:sz w:val="20"/>
          <w:szCs w:val="20"/>
          <w:lang w:val="en-GB"/>
        </w:rPr>
        <w:t>Deogadde</w:t>
      </w:r>
      <w:proofErr w:type="spellEnd"/>
      <w:r w:rsidRPr="00AB4504">
        <w:rPr>
          <w:rFonts w:ascii="Arial" w:hAnsi="Arial"/>
          <w:sz w:val="20"/>
          <w:szCs w:val="20"/>
          <w:lang w:val="en-GB"/>
        </w:rPr>
        <w:t xml:space="preserve">, 2018; Arshad </w:t>
      </w:r>
      <w:r w:rsidRPr="00AB4504">
        <w:rPr>
          <w:rFonts w:ascii="Arial" w:hAnsi="Arial"/>
          <w:i/>
          <w:iCs/>
          <w:sz w:val="20"/>
          <w:szCs w:val="20"/>
          <w:lang w:val="en-GB"/>
        </w:rPr>
        <w:t>et al</w:t>
      </w:r>
      <w:r w:rsidRPr="00AB4504">
        <w:rPr>
          <w:rFonts w:ascii="Arial" w:hAnsi="Arial"/>
          <w:sz w:val="20"/>
          <w:szCs w:val="20"/>
          <w:lang w:val="en-GB"/>
        </w:rPr>
        <w:t xml:space="preserve">., 2017). These compounds are known to scavenge reactive oxygen species and maintain cellular redox balance thereby preventing oxidative DNA damage (Johnson, 2007). The observed reduction in chromosomal aberrations suggests a possible stabilization of DNA repair mechanisms and protection against oxidative strand breaks. In addition, nanoparticle formulation may enhance the bioavailability, stability and cellular uptake of these phytoconstituents thereby improving their biological efficacy (Iravani, 2011; Ahmed </w:t>
      </w:r>
      <w:r w:rsidRPr="00AB4504">
        <w:rPr>
          <w:rFonts w:ascii="Arial" w:hAnsi="Arial"/>
          <w:i/>
          <w:iCs/>
          <w:sz w:val="20"/>
          <w:szCs w:val="20"/>
          <w:lang w:val="en-GB"/>
        </w:rPr>
        <w:t>et al</w:t>
      </w:r>
      <w:r w:rsidRPr="00AB4504">
        <w:rPr>
          <w:rFonts w:ascii="Arial" w:hAnsi="Arial"/>
          <w:sz w:val="20"/>
          <w:szCs w:val="20"/>
          <w:lang w:val="en-GB"/>
        </w:rPr>
        <w:t>., 2016).</w:t>
      </w:r>
    </w:p>
    <w:p w14:paraId="5328113D" w14:textId="3A6E745F" w:rsidR="00C72D81" w:rsidRPr="00AB4504" w:rsidRDefault="00EF3C28">
      <w:pPr>
        <w:ind w:firstLine="720"/>
        <w:jc w:val="both"/>
        <w:rPr>
          <w:rFonts w:ascii="Arial" w:hAnsi="Arial"/>
          <w:sz w:val="20"/>
          <w:szCs w:val="20"/>
          <w:lang w:val="en-GB"/>
        </w:rPr>
      </w:pPr>
      <w:r w:rsidRPr="00AB4504">
        <w:rPr>
          <w:rFonts w:ascii="Arial" w:hAnsi="Arial"/>
          <w:sz w:val="20"/>
          <w:szCs w:val="20"/>
          <w:lang w:val="en-GB"/>
        </w:rPr>
        <w:t xml:space="preserve">The findings of the present study are consistent with previous reports on plant-mediated silver nanoparticles. Green synthesized AgNPs derived from </w:t>
      </w:r>
      <w:proofErr w:type="spellStart"/>
      <w:r w:rsidRPr="00AB4504">
        <w:rPr>
          <w:rFonts w:ascii="Arial" w:hAnsi="Arial"/>
          <w:i/>
          <w:iCs/>
          <w:sz w:val="20"/>
          <w:szCs w:val="20"/>
          <w:lang w:val="en-GB"/>
        </w:rPr>
        <w:t>Caesalpinia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pulcherrima</w:t>
      </w:r>
      <w:proofErr w:type="spellEnd"/>
      <w:r w:rsidRPr="00AB4504">
        <w:rPr>
          <w:rFonts w:ascii="Arial" w:hAnsi="Arial"/>
          <w:sz w:val="20"/>
          <w:szCs w:val="20"/>
          <w:lang w:val="en-GB"/>
        </w:rPr>
        <w:t xml:space="preserve"> (</w:t>
      </w:r>
      <w:proofErr w:type="spellStart"/>
      <w:r w:rsidRPr="00AB4504">
        <w:rPr>
          <w:rFonts w:ascii="Arial" w:hAnsi="Arial"/>
          <w:sz w:val="20"/>
          <w:szCs w:val="20"/>
          <w:lang w:val="en-GB"/>
        </w:rPr>
        <w:t>Moteriya</w:t>
      </w:r>
      <w:proofErr w:type="spellEnd"/>
      <w:r w:rsidRPr="00AB4504">
        <w:rPr>
          <w:rFonts w:ascii="Arial" w:hAnsi="Arial"/>
          <w:sz w:val="20"/>
          <w:szCs w:val="20"/>
          <w:lang w:val="en-GB"/>
        </w:rPr>
        <w:t xml:space="preserve"> &amp; Chanda, 2017), </w:t>
      </w:r>
      <w:r w:rsidRPr="00AB4504">
        <w:rPr>
          <w:rFonts w:ascii="Arial" w:hAnsi="Arial"/>
          <w:i/>
          <w:iCs/>
          <w:sz w:val="20"/>
          <w:szCs w:val="20"/>
          <w:lang w:val="en-GB"/>
        </w:rPr>
        <w:t>Allium cepa</w:t>
      </w:r>
      <w:r w:rsidRPr="00AB4504">
        <w:rPr>
          <w:rFonts w:ascii="Arial" w:hAnsi="Arial"/>
          <w:sz w:val="20"/>
          <w:szCs w:val="20"/>
          <w:lang w:val="en-GB"/>
        </w:rPr>
        <w:t xml:space="preserve"> (Heikal </w:t>
      </w:r>
      <w:r w:rsidRPr="00AB4504">
        <w:rPr>
          <w:rFonts w:ascii="Arial" w:hAnsi="Arial"/>
          <w:i/>
          <w:iCs/>
          <w:sz w:val="20"/>
          <w:szCs w:val="20"/>
          <w:lang w:val="en-GB"/>
        </w:rPr>
        <w:t>et al</w:t>
      </w:r>
      <w:r w:rsidRPr="00AB4504">
        <w:rPr>
          <w:rFonts w:ascii="Arial" w:hAnsi="Arial"/>
          <w:sz w:val="20"/>
          <w:szCs w:val="20"/>
          <w:lang w:val="en-GB"/>
        </w:rPr>
        <w:t xml:space="preserve">., 2020), </w:t>
      </w:r>
      <w:r w:rsidRPr="00AB4504">
        <w:rPr>
          <w:rFonts w:ascii="Arial" w:hAnsi="Arial"/>
          <w:i/>
          <w:iCs/>
          <w:sz w:val="20"/>
          <w:szCs w:val="20"/>
          <w:lang w:val="en-GB"/>
        </w:rPr>
        <w:t>Moringa oleifera</w:t>
      </w:r>
      <w:r w:rsidRPr="00AB4504">
        <w:rPr>
          <w:rFonts w:ascii="Arial" w:hAnsi="Arial"/>
          <w:sz w:val="20"/>
          <w:szCs w:val="20"/>
          <w:lang w:val="en-GB"/>
        </w:rPr>
        <w:t xml:space="preserve"> (Alkan </w:t>
      </w:r>
      <w:r w:rsidRPr="00AB4504">
        <w:rPr>
          <w:rFonts w:ascii="Arial" w:hAnsi="Arial"/>
          <w:i/>
          <w:iCs/>
          <w:sz w:val="20"/>
          <w:szCs w:val="20"/>
          <w:lang w:val="en-GB"/>
        </w:rPr>
        <w:t>et al</w:t>
      </w:r>
      <w:r w:rsidRPr="00AB4504">
        <w:rPr>
          <w:rFonts w:ascii="Arial" w:hAnsi="Arial"/>
          <w:sz w:val="20"/>
          <w:szCs w:val="20"/>
          <w:lang w:val="en-GB"/>
        </w:rPr>
        <w:t xml:space="preserve">., 2022) and </w:t>
      </w:r>
      <w:r w:rsidRPr="00AB4504">
        <w:rPr>
          <w:rFonts w:ascii="Arial" w:hAnsi="Arial"/>
          <w:i/>
          <w:iCs/>
          <w:sz w:val="20"/>
          <w:szCs w:val="20"/>
          <w:lang w:val="en-GB"/>
        </w:rPr>
        <w:t>Vicia faba</w:t>
      </w:r>
      <w:r w:rsidRPr="00AB4504">
        <w:rPr>
          <w:rFonts w:ascii="Arial" w:hAnsi="Arial"/>
          <w:sz w:val="20"/>
          <w:szCs w:val="20"/>
          <w:lang w:val="en-GB"/>
        </w:rPr>
        <w:t xml:space="preserve"> (Al-Saleh </w:t>
      </w:r>
      <w:r w:rsidRPr="00AB4504">
        <w:rPr>
          <w:rFonts w:ascii="Arial" w:hAnsi="Arial"/>
          <w:i/>
          <w:iCs/>
          <w:sz w:val="20"/>
          <w:szCs w:val="20"/>
          <w:lang w:val="en-GB"/>
        </w:rPr>
        <w:t>et al</w:t>
      </w:r>
      <w:r w:rsidRPr="00AB4504">
        <w:rPr>
          <w:rFonts w:ascii="Arial" w:hAnsi="Arial"/>
          <w:sz w:val="20"/>
          <w:szCs w:val="20"/>
          <w:lang w:val="en-GB"/>
        </w:rPr>
        <w:t xml:space="preserve">., 2025) have demonstrated significant antioxidant, cytoprotective and </w:t>
      </w:r>
      <w:proofErr w:type="spellStart"/>
      <w:r w:rsidRPr="00AB4504">
        <w:rPr>
          <w:rFonts w:ascii="Arial" w:hAnsi="Arial"/>
          <w:sz w:val="20"/>
          <w:szCs w:val="20"/>
          <w:lang w:val="en-GB"/>
        </w:rPr>
        <w:t>genoprotective</w:t>
      </w:r>
      <w:proofErr w:type="spellEnd"/>
      <w:r w:rsidRPr="00AB4504">
        <w:rPr>
          <w:rFonts w:ascii="Arial" w:hAnsi="Arial"/>
          <w:sz w:val="20"/>
          <w:szCs w:val="20"/>
          <w:lang w:val="en-GB"/>
        </w:rPr>
        <w:t xml:space="preserve"> properties. </w:t>
      </w:r>
      <w:r w:rsidRPr="00AB4504">
        <w:rPr>
          <w:rFonts w:ascii="Arial" w:hAnsi="Arial"/>
          <w:sz w:val="20"/>
          <w:szCs w:val="20"/>
          <w:lang w:val="en-GB"/>
        </w:rPr>
        <w:lastRenderedPageBreak/>
        <w:t xml:space="preserve">Similarly, biosynthesized silver nanoparticles from </w:t>
      </w:r>
      <w:r w:rsidRPr="00AB4504">
        <w:rPr>
          <w:rFonts w:ascii="Arial" w:hAnsi="Arial"/>
          <w:i/>
          <w:iCs/>
          <w:sz w:val="20"/>
          <w:szCs w:val="20"/>
          <w:lang w:val="en-GB"/>
        </w:rPr>
        <w:t>M. annua</w:t>
      </w:r>
      <w:r w:rsidRPr="00AB4504">
        <w:rPr>
          <w:rFonts w:ascii="Arial" w:hAnsi="Arial"/>
          <w:sz w:val="20"/>
          <w:szCs w:val="20"/>
          <w:lang w:val="en-GB"/>
        </w:rPr>
        <w:t xml:space="preserve"> have shown antibacterial and anticancer activities indicating their broad biological potential (</w:t>
      </w:r>
      <w:proofErr w:type="spellStart"/>
      <w:r w:rsidRPr="00AB4504">
        <w:rPr>
          <w:rFonts w:ascii="Arial" w:hAnsi="Arial"/>
          <w:sz w:val="20"/>
          <w:szCs w:val="20"/>
          <w:lang w:val="en-GB"/>
        </w:rPr>
        <w:t>Abbigeri</w:t>
      </w:r>
      <w:proofErr w:type="spellEnd"/>
      <w:r w:rsidRPr="00AB4504">
        <w:rPr>
          <w:rFonts w:ascii="Arial" w:hAnsi="Arial"/>
          <w:sz w:val="20"/>
          <w:szCs w:val="20"/>
          <w:lang w:val="en-GB"/>
        </w:rPr>
        <w:t xml:space="preserve"> </w:t>
      </w:r>
      <w:r w:rsidRPr="00AB4504">
        <w:rPr>
          <w:rFonts w:ascii="Arial" w:hAnsi="Arial"/>
          <w:i/>
          <w:iCs/>
          <w:sz w:val="20"/>
          <w:szCs w:val="20"/>
          <w:lang w:val="en-GB"/>
        </w:rPr>
        <w:t>et al</w:t>
      </w:r>
      <w:r w:rsidRPr="00AB4504">
        <w:rPr>
          <w:rFonts w:ascii="Arial" w:hAnsi="Arial"/>
          <w:sz w:val="20"/>
          <w:szCs w:val="20"/>
          <w:lang w:val="en-GB"/>
        </w:rPr>
        <w:t>., 2024).</w:t>
      </w:r>
      <w:r w:rsidR="00982943" w:rsidRPr="00AB4504">
        <w:rPr>
          <w:rFonts w:ascii="Arial" w:hAnsi="Arial"/>
          <w:sz w:val="20"/>
          <w:szCs w:val="20"/>
          <w:lang w:val="en-GB"/>
        </w:rPr>
        <w:t xml:space="preserve"> Additionally, </w:t>
      </w:r>
      <w:r w:rsidR="00161AF4" w:rsidRPr="00AB4504">
        <w:rPr>
          <w:rFonts w:ascii="Arial" w:hAnsi="Arial"/>
          <w:sz w:val="20"/>
          <w:szCs w:val="20"/>
          <w:lang w:val="en-GB"/>
        </w:rPr>
        <w:t xml:space="preserve">our earlier study in which the same MAF-AgNPs </w:t>
      </w:r>
      <w:r w:rsidR="00982943" w:rsidRPr="00AB4504">
        <w:rPr>
          <w:rFonts w:ascii="Arial" w:hAnsi="Arial"/>
          <w:sz w:val="20"/>
          <w:szCs w:val="20"/>
          <w:lang w:val="en-GB"/>
        </w:rPr>
        <w:t>have reported antioxidant</w:t>
      </w:r>
      <w:r w:rsidR="00161AF4" w:rsidRPr="00AB4504">
        <w:rPr>
          <w:rFonts w:ascii="Arial" w:hAnsi="Arial"/>
          <w:sz w:val="20"/>
          <w:szCs w:val="20"/>
          <w:lang w:val="en-GB"/>
        </w:rPr>
        <w:t xml:space="preserve"> and </w:t>
      </w:r>
      <w:r w:rsidR="00982943" w:rsidRPr="00AB4504">
        <w:rPr>
          <w:rFonts w:ascii="Arial" w:hAnsi="Arial"/>
          <w:sz w:val="20"/>
          <w:szCs w:val="20"/>
          <w:lang w:val="en-GB"/>
        </w:rPr>
        <w:t>antimicrobial properties further supporting their role in mitigating chemically induced genotoxicity</w:t>
      </w:r>
      <w:r w:rsidR="00AD16D2" w:rsidRPr="00AB4504">
        <w:rPr>
          <w:rFonts w:ascii="Arial" w:hAnsi="Arial"/>
          <w:sz w:val="20"/>
          <w:szCs w:val="20"/>
          <w:lang w:val="en-GB"/>
        </w:rPr>
        <w:t xml:space="preserve"> (</w:t>
      </w:r>
      <w:proofErr w:type="spellStart"/>
      <w:r w:rsidR="00AD16D2" w:rsidRPr="00AB4504">
        <w:rPr>
          <w:rFonts w:ascii="Arial" w:hAnsi="Arial"/>
          <w:sz w:val="20"/>
          <w:szCs w:val="20"/>
          <w:lang w:val="en-GB"/>
        </w:rPr>
        <w:t>Jeengar</w:t>
      </w:r>
      <w:proofErr w:type="spellEnd"/>
      <w:r w:rsidR="00AD16D2" w:rsidRPr="00AB4504">
        <w:rPr>
          <w:rFonts w:ascii="Arial" w:hAnsi="Arial"/>
          <w:sz w:val="20"/>
          <w:szCs w:val="20"/>
          <w:lang w:val="en-GB"/>
        </w:rPr>
        <w:t xml:space="preserve"> </w:t>
      </w:r>
      <w:r w:rsidR="00AD16D2" w:rsidRPr="00AB4504">
        <w:rPr>
          <w:rFonts w:ascii="Arial" w:hAnsi="Arial"/>
          <w:i/>
          <w:iCs/>
          <w:sz w:val="20"/>
          <w:szCs w:val="20"/>
          <w:lang w:val="en-GB"/>
        </w:rPr>
        <w:t>et al</w:t>
      </w:r>
      <w:r w:rsidR="00AD16D2" w:rsidRPr="00AB4504">
        <w:rPr>
          <w:rFonts w:ascii="Arial" w:hAnsi="Arial"/>
          <w:sz w:val="20"/>
          <w:szCs w:val="20"/>
          <w:lang w:val="en-GB"/>
        </w:rPr>
        <w:t>., 2026)</w:t>
      </w:r>
      <w:r w:rsidR="00982943" w:rsidRPr="00AB4504">
        <w:rPr>
          <w:rFonts w:ascii="Arial" w:hAnsi="Arial"/>
          <w:sz w:val="20"/>
          <w:szCs w:val="20"/>
          <w:lang w:val="en-GB"/>
        </w:rPr>
        <w:t xml:space="preserve">. </w:t>
      </w:r>
      <w:r w:rsidRPr="00AB4504">
        <w:rPr>
          <w:rFonts w:ascii="Arial" w:hAnsi="Arial"/>
          <w:sz w:val="20"/>
          <w:szCs w:val="20"/>
          <w:lang w:val="en-GB"/>
        </w:rPr>
        <w:t xml:space="preserve">The present study extends these findings by providing </w:t>
      </w:r>
      <w:r w:rsidRPr="00AB4504">
        <w:rPr>
          <w:rFonts w:ascii="Arial" w:hAnsi="Arial"/>
          <w:i/>
          <w:iCs/>
          <w:sz w:val="20"/>
          <w:szCs w:val="20"/>
          <w:lang w:val="en-GB"/>
        </w:rPr>
        <w:t>in-vivo</w:t>
      </w:r>
      <w:r w:rsidRPr="00AB4504">
        <w:rPr>
          <w:rFonts w:ascii="Arial" w:hAnsi="Arial"/>
          <w:sz w:val="20"/>
          <w:szCs w:val="20"/>
          <w:lang w:val="en-GB"/>
        </w:rPr>
        <w:t xml:space="preserve"> evidence of the antimutagenic efficacy of MAF-AgNPs in a DMBA-induced model. An important strength of this study is the consistent protective effect observed across two independent cytogenetic endpoints, namely chromosomal aberration analysis and micronucleus assay. The concordance of these results strengthens the conclusion that MAF-AgNPs play a significant role in preserving genomic integrity under chemically induced mutagenic stress. Overall, the findings indicate that green synthesized MAF-AgNPs possess promising antimutagenic potential and may serve as effective nanomedicine-based chemo preventive agents against chemical-induced genetic damage.</w:t>
      </w:r>
    </w:p>
    <w:p w14:paraId="5328113E" w14:textId="77777777" w:rsidR="00C72D81" w:rsidRPr="00AB4504" w:rsidRDefault="00C72D81">
      <w:pPr>
        <w:ind w:firstLine="720"/>
        <w:jc w:val="both"/>
        <w:rPr>
          <w:rFonts w:ascii="Arial" w:hAnsi="Arial"/>
          <w:sz w:val="20"/>
          <w:szCs w:val="20"/>
          <w:lang w:val="en-GB"/>
        </w:rPr>
      </w:pPr>
    </w:p>
    <w:p w14:paraId="5328113F"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5. Conclusion:</w:t>
      </w:r>
    </w:p>
    <w:p w14:paraId="53281140" w14:textId="02E5A232" w:rsidR="00C72D81" w:rsidRPr="00AB4504" w:rsidRDefault="00EF3C28">
      <w:pPr>
        <w:ind w:firstLine="720"/>
        <w:jc w:val="both"/>
        <w:rPr>
          <w:rFonts w:ascii="Arial" w:hAnsi="Arial"/>
          <w:sz w:val="20"/>
          <w:szCs w:val="20"/>
          <w:lang w:val="en-GB"/>
        </w:rPr>
      </w:pPr>
      <w:r w:rsidRPr="00AB4504">
        <w:rPr>
          <w:rFonts w:ascii="Arial" w:hAnsi="Arial"/>
          <w:sz w:val="20"/>
          <w:szCs w:val="20"/>
          <w:lang w:val="en-GB"/>
        </w:rPr>
        <w:t xml:space="preserve">The present </w:t>
      </w:r>
      <w:r w:rsidRPr="00AB4504">
        <w:rPr>
          <w:rFonts w:ascii="Arial" w:hAnsi="Arial"/>
          <w:i/>
          <w:iCs/>
          <w:sz w:val="20"/>
          <w:szCs w:val="20"/>
          <w:lang w:val="en-GB"/>
        </w:rPr>
        <w:t>in-vivo</w:t>
      </w:r>
      <w:r w:rsidRPr="00AB4504">
        <w:rPr>
          <w:rFonts w:ascii="Arial" w:hAnsi="Arial"/>
          <w:sz w:val="20"/>
          <w:szCs w:val="20"/>
          <w:lang w:val="en-GB"/>
        </w:rPr>
        <w:t xml:space="preserve"> study demonstrates that green synthesized MAF-AgNPs exert significant antimutagenic effects against DMBA-induced mutagenicity in Swiss albino mice. Administration of MAF-AgNPs markedly reduced chromosomal aberrations and micronuclei formation indicating effective protection against both clastogenic and </w:t>
      </w:r>
      <w:proofErr w:type="spellStart"/>
      <w:r w:rsidRPr="00AB4504">
        <w:rPr>
          <w:rFonts w:ascii="Arial" w:hAnsi="Arial"/>
          <w:sz w:val="20"/>
          <w:szCs w:val="20"/>
          <w:lang w:val="en-GB"/>
        </w:rPr>
        <w:t>aneugenic</w:t>
      </w:r>
      <w:proofErr w:type="spellEnd"/>
      <w:r w:rsidRPr="00AB4504">
        <w:rPr>
          <w:rFonts w:ascii="Arial" w:hAnsi="Arial"/>
          <w:sz w:val="20"/>
          <w:szCs w:val="20"/>
          <w:lang w:val="en-GB"/>
        </w:rPr>
        <w:t xml:space="preserve"> damage. Pretreatment and throughout-treatment regimens provided superior protection compared with post-treatment highlighting the importance of early and sustained intervention in mitigating chemically induced genetic injury.</w:t>
      </w:r>
    </w:p>
    <w:p w14:paraId="53281141" w14:textId="77777777" w:rsidR="00C72D81" w:rsidRPr="00AB4504" w:rsidRDefault="00EF3C28">
      <w:pPr>
        <w:ind w:firstLine="720"/>
        <w:jc w:val="both"/>
        <w:rPr>
          <w:rFonts w:ascii="Arial" w:hAnsi="Arial"/>
          <w:sz w:val="20"/>
          <w:szCs w:val="20"/>
          <w:lang w:val="en-GB"/>
        </w:rPr>
      </w:pPr>
      <w:r w:rsidRPr="00AB4504">
        <w:rPr>
          <w:rFonts w:ascii="Arial" w:hAnsi="Arial"/>
          <w:sz w:val="20"/>
          <w:szCs w:val="20"/>
          <w:lang w:val="en-GB"/>
        </w:rPr>
        <w:t xml:space="preserve">The observed antimutagenic activity of MAF-AgNPs is likely mediated through the combined antioxidant potential of </w:t>
      </w:r>
      <w:r w:rsidRPr="00AB4504">
        <w:rPr>
          <w:rFonts w:ascii="Arial" w:hAnsi="Arial"/>
          <w:i/>
          <w:iCs/>
          <w:sz w:val="20"/>
          <w:szCs w:val="20"/>
          <w:lang w:val="en-GB"/>
        </w:rPr>
        <w:t>M. annua</w:t>
      </w:r>
      <w:r w:rsidRPr="00AB4504">
        <w:rPr>
          <w:rFonts w:ascii="Arial" w:hAnsi="Arial"/>
          <w:sz w:val="20"/>
          <w:szCs w:val="20"/>
          <w:lang w:val="en-GB"/>
        </w:rPr>
        <w:t xml:space="preserve"> phytochemicals and the enhanced bioavailability conferred by nanoparticle formulation which together may suppress oxidative stress and stabilize chromosomal integrity. The concordant findings across two independent cytogenetic endpoints strengthen the reliability of the antimutagenic efficacy observed in this study. Although the present investigation focused on antimutagenic potential of MAF-AgNPs further studies exploring molecular mechanisms, oxidative stress biomarkers and long-term carcinogenic outcomes are warranted. Overall, these findings support the potential of green synthesized MAF-AgNPs as promising nanomedicine-based chemo-preventive drugs for protecting against chemical-induced genetic damage.</w:t>
      </w:r>
    </w:p>
    <w:p w14:paraId="53281142" w14:textId="77777777" w:rsidR="00C72D81" w:rsidRPr="00AB4504" w:rsidRDefault="00C72D81">
      <w:pPr>
        <w:ind w:firstLine="720"/>
        <w:jc w:val="both"/>
        <w:rPr>
          <w:rFonts w:ascii="Arial" w:hAnsi="Arial"/>
          <w:b/>
          <w:bCs/>
          <w:sz w:val="20"/>
          <w:szCs w:val="20"/>
          <w:lang w:val="en-GB"/>
        </w:rPr>
      </w:pPr>
    </w:p>
    <w:p w14:paraId="53281143"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6. Limitations of the study:</w:t>
      </w:r>
    </w:p>
    <w:p w14:paraId="53281144" w14:textId="016C3C63" w:rsidR="00C72D81" w:rsidRPr="00AB4504" w:rsidRDefault="00EF3C28">
      <w:pPr>
        <w:ind w:firstLine="720"/>
        <w:jc w:val="both"/>
        <w:rPr>
          <w:rFonts w:ascii="Arial" w:hAnsi="Arial"/>
          <w:sz w:val="20"/>
          <w:szCs w:val="20"/>
          <w:lang w:val="en-GB"/>
        </w:rPr>
      </w:pPr>
      <w:r w:rsidRPr="00AB4504">
        <w:rPr>
          <w:rFonts w:ascii="Arial" w:hAnsi="Arial"/>
          <w:sz w:val="20"/>
          <w:szCs w:val="20"/>
          <w:lang w:val="en-GB"/>
        </w:rPr>
        <w:t>The antimutagenic effect of MAF-AgNPs was evaluated at a single dose and only in male Swiss albino mice which limits dose-response and sex-based interpretation. The study was based mainly on chromosomal aberration and micronucleus assays without complementary molecular or biochemical markers of oxidative stress and DNA damage. In addition, long-term toxicity, carcinogenic outcome and comparison with crude fruit extract were not assessed. Therefore, further studies involving multiple doses, molecular biomarkers and long-term safety evaluation are required to confirm the full chemopreventive potential of MAF-AgNPs.</w:t>
      </w:r>
    </w:p>
    <w:p w14:paraId="53281147" w14:textId="77777777" w:rsidR="00C72D81" w:rsidRPr="00AB4504" w:rsidRDefault="00C72D81">
      <w:pPr>
        <w:spacing w:after="0"/>
        <w:jc w:val="both"/>
        <w:rPr>
          <w:rFonts w:ascii="Arial" w:eastAsia="Calibri" w:hAnsi="Arial"/>
          <w:kern w:val="0"/>
          <w:sz w:val="20"/>
          <w:szCs w:val="20"/>
          <w:lang w:val="en-GB"/>
          <w14:ligatures w14:val="none"/>
        </w:rPr>
      </w:pPr>
      <w:bookmarkStart w:id="0" w:name="_GoBack"/>
      <w:bookmarkEnd w:id="0"/>
    </w:p>
    <w:p w14:paraId="53281148" w14:textId="2E42507D" w:rsidR="00C72D81" w:rsidRPr="00AB4504" w:rsidRDefault="00EF3C28">
      <w:pPr>
        <w:spacing w:after="0"/>
        <w:jc w:val="both"/>
        <w:rPr>
          <w:rFonts w:ascii="Arial" w:eastAsia="Calibri" w:hAnsi="Arial"/>
          <w:b/>
          <w:bCs/>
          <w:kern w:val="0"/>
          <w:sz w:val="22"/>
          <w:szCs w:val="22"/>
          <w:lang w:val="en-GB"/>
          <w14:ligatures w14:val="none"/>
        </w:rPr>
      </w:pPr>
      <w:r w:rsidRPr="00AB4504">
        <w:rPr>
          <w:rFonts w:ascii="Arial" w:eastAsia="Calibri" w:hAnsi="Arial"/>
          <w:b/>
          <w:bCs/>
          <w:kern w:val="0"/>
          <w:sz w:val="22"/>
          <w:szCs w:val="22"/>
          <w:lang w:val="en-GB"/>
          <w14:ligatures w14:val="none"/>
        </w:rPr>
        <w:t>8. Approval</w:t>
      </w:r>
      <w:r w:rsidR="00A90E8F" w:rsidRPr="00AB4504">
        <w:rPr>
          <w:rFonts w:ascii="Arial" w:eastAsia="Calibri" w:hAnsi="Arial"/>
          <w:b/>
          <w:bCs/>
          <w:kern w:val="0"/>
          <w:sz w:val="22"/>
          <w:szCs w:val="22"/>
          <w:lang w:val="en-GB"/>
          <w14:ligatures w14:val="none"/>
        </w:rPr>
        <w:t>:</w:t>
      </w:r>
    </w:p>
    <w:p w14:paraId="53281149" w14:textId="2A799DF7" w:rsidR="00C72D81" w:rsidRPr="00AB4504" w:rsidRDefault="00EF3C28">
      <w:pPr>
        <w:spacing w:after="0"/>
        <w:ind w:firstLine="720"/>
        <w:jc w:val="both"/>
        <w:rPr>
          <w:rFonts w:ascii="Arial" w:eastAsia="Calibri" w:hAnsi="Arial"/>
          <w:kern w:val="0"/>
          <w:sz w:val="20"/>
          <w:szCs w:val="20"/>
          <w:lang w:val="en-GB"/>
          <w14:ligatures w14:val="none"/>
        </w:rPr>
      </w:pPr>
      <w:r w:rsidRPr="00AB4504">
        <w:rPr>
          <w:rFonts w:ascii="Arial" w:eastAsia="Calibri" w:hAnsi="Arial"/>
          <w:kern w:val="0"/>
          <w:sz w:val="20"/>
          <w:szCs w:val="20"/>
          <w:lang w:val="en-GB"/>
          <w14:ligatures w14:val="none"/>
        </w:rPr>
        <w:t xml:space="preserve">This study is part of the </w:t>
      </w:r>
      <w:r w:rsidR="006131CE" w:rsidRPr="00AB4504">
        <w:rPr>
          <w:rFonts w:ascii="Arial" w:eastAsia="Calibri" w:hAnsi="Arial"/>
          <w:kern w:val="0"/>
          <w:sz w:val="20"/>
          <w:szCs w:val="20"/>
          <w:lang w:val="en-GB"/>
          <w14:ligatures w14:val="none"/>
        </w:rPr>
        <w:t>Ph.D.</w:t>
      </w:r>
      <w:r w:rsidRPr="00AB4504">
        <w:rPr>
          <w:rFonts w:ascii="Arial" w:eastAsia="Calibri" w:hAnsi="Arial"/>
          <w:kern w:val="0"/>
          <w:sz w:val="20"/>
          <w:szCs w:val="20"/>
          <w:lang w:val="en-GB"/>
          <w14:ligatures w14:val="none"/>
        </w:rPr>
        <w:t xml:space="preserve"> thesis and approved by the Departmental Research Committee (DRC), Department of Zoology, University of Rajasthan, Jaipur.</w:t>
      </w:r>
    </w:p>
    <w:p w14:paraId="5328114A" w14:textId="77777777" w:rsidR="00C72D81" w:rsidRPr="00AB4504" w:rsidRDefault="00C72D81">
      <w:pPr>
        <w:spacing w:after="0"/>
        <w:jc w:val="both"/>
        <w:rPr>
          <w:rFonts w:ascii="Arial" w:eastAsia="Calibri" w:hAnsi="Arial"/>
          <w:kern w:val="0"/>
          <w:sz w:val="20"/>
          <w:szCs w:val="20"/>
          <w:lang w:val="en-GB"/>
          <w14:ligatures w14:val="none"/>
        </w:rPr>
      </w:pPr>
    </w:p>
    <w:p w14:paraId="5328114B" w14:textId="78F6269D" w:rsidR="00C72D81" w:rsidRPr="00AB4504" w:rsidRDefault="00EF3C28">
      <w:pPr>
        <w:spacing w:after="0"/>
        <w:jc w:val="both"/>
        <w:rPr>
          <w:rFonts w:ascii="Arial" w:eastAsia="Calibri" w:hAnsi="Arial"/>
          <w:b/>
          <w:bCs/>
          <w:kern w:val="0"/>
          <w:sz w:val="20"/>
          <w:szCs w:val="20"/>
          <w:lang w:val="en-GB"/>
          <w14:ligatures w14:val="none"/>
        </w:rPr>
      </w:pPr>
      <w:r w:rsidRPr="00AB4504">
        <w:rPr>
          <w:rFonts w:ascii="Arial" w:eastAsia="Calibri" w:hAnsi="Arial"/>
          <w:b/>
          <w:bCs/>
          <w:kern w:val="0"/>
          <w:sz w:val="22"/>
          <w:szCs w:val="22"/>
          <w:lang w:val="en-GB"/>
          <w14:ligatures w14:val="none"/>
        </w:rPr>
        <w:t>9. Ethical Declaration</w:t>
      </w:r>
      <w:r w:rsidR="00A90E8F" w:rsidRPr="00AB4504">
        <w:rPr>
          <w:rFonts w:ascii="Arial" w:eastAsia="Calibri" w:hAnsi="Arial"/>
          <w:b/>
          <w:bCs/>
          <w:kern w:val="0"/>
          <w:sz w:val="22"/>
          <w:szCs w:val="22"/>
          <w:lang w:val="en-GB"/>
          <w14:ligatures w14:val="none"/>
        </w:rPr>
        <w:t>:</w:t>
      </w:r>
    </w:p>
    <w:p w14:paraId="5328114C" w14:textId="77777777" w:rsidR="00C72D81" w:rsidRPr="00AB4504" w:rsidRDefault="00EF3C28">
      <w:pPr>
        <w:spacing w:after="0"/>
        <w:ind w:firstLine="720"/>
        <w:jc w:val="both"/>
        <w:rPr>
          <w:rFonts w:ascii="Arial" w:eastAsia="Calibri" w:hAnsi="Arial"/>
          <w:kern w:val="0"/>
          <w:sz w:val="20"/>
          <w:szCs w:val="20"/>
          <w:lang w:val="en-GB"/>
          <w14:ligatures w14:val="none"/>
        </w:rPr>
      </w:pPr>
      <w:r w:rsidRPr="00AB4504">
        <w:rPr>
          <w:rFonts w:ascii="Arial" w:eastAsia="Calibri" w:hAnsi="Arial"/>
          <w:kern w:val="0"/>
          <w:sz w:val="20"/>
          <w:szCs w:val="20"/>
          <w:lang w:val="en-GB"/>
          <w14:ligatures w14:val="none"/>
        </w:rPr>
        <w:t xml:space="preserve">This study was ethically approved from Institutional Animal Ethical Committee, Department of Zoology, University of Rajasthan, Jaipur (Protocol approval no. UDZ/IAE/2023-I/21 dated 11 August 2023) and management were carried out in compliance with the guidelines of Committee for Control </w:t>
      </w:r>
      <w:r w:rsidRPr="00AB4504">
        <w:rPr>
          <w:rFonts w:ascii="Arial" w:eastAsia="Calibri" w:hAnsi="Arial"/>
          <w:kern w:val="0"/>
          <w:sz w:val="20"/>
          <w:szCs w:val="20"/>
          <w:lang w:val="en-GB"/>
          <w14:ligatures w14:val="none"/>
        </w:rPr>
        <w:lastRenderedPageBreak/>
        <w:t>and Supervision of Experiments on Animals (CCSEA), Department of Animal Husbandry and Dairying, Ministry of Fisheries, Animal Husbandry and Dairying, Government of India.</w:t>
      </w:r>
    </w:p>
    <w:p w14:paraId="5328114D" w14:textId="77777777" w:rsidR="00C72D81" w:rsidRPr="00AB4504" w:rsidRDefault="00C72D81">
      <w:pPr>
        <w:spacing w:after="0"/>
        <w:jc w:val="both"/>
        <w:rPr>
          <w:rFonts w:ascii="Arial" w:eastAsia="Calibri" w:hAnsi="Arial"/>
          <w:kern w:val="0"/>
          <w:sz w:val="20"/>
          <w:szCs w:val="20"/>
          <w:lang w:val="en-GB"/>
          <w14:ligatures w14:val="none"/>
        </w:rPr>
      </w:pPr>
    </w:p>
    <w:p w14:paraId="5328114E" w14:textId="55A03C02" w:rsidR="00C72D81" w:rsidRPr="00AB4504" w:rsidRDefault="00EF3C28">
      <w:pPr>
        <w:spacing w:after="0"/>
        <w:jc w:val="both"/>
        <w:rPr>
          <w:rFonts w:ascii="Arial" w:hAnsi="Arial"/>
          <w:b/>
          <w:bCs/>
          <w:sz w:val="22"/>
          <w:szCs w:val="22"/>
          <w:lang w:val="en-GB"/>
        </w:rPr>
      </w:pPr>
      <w:r w:rsidRPr="00AB4504">
        <w:rPr>
          <w:rFonts w:ascii="Arial" w:hAnsi="Arial"/>
          <w:b/>
          <w:bCs/>
          <w:sz w:val="22"/>
          <w:szCs w:val="22"/>
          <w:lang w:val="en-GB"/>
        </w:rPr>
        <w:t>10. Conflict of Interest</w:t>
      </w:r>
      <w:r w:rsidR="00A90E8F" w:rsidRPr="00AB4504">
        <w:rPr>
          <w:rFonts w:ascii="Arial" w:hAnsi="Arial"/>
          <w:b/>
          <w:bCs/>
          <w:sz w:val="22"/>
          <w:szCs w:val="22"/>
          <w:lang w:val="en-GB"/>
        </w:rPr>
        <w:t>:</w:t>
      </w:r>
    </w:p>
    <w:p w14:paraId="5328114F" w14:textId="77777777" w:rsidR="00C72D81" w:rsidRPr="00AB4504" w:rsidRDefault="00EF3C28">
      <w:pPr>
        <w:spacing w:after="0"/>
        <w:jc w:val="both"/>
        <w:rPr>
          <w:rFonts w:ascii="Arial" w:hAnsi="Arial"/>
          <w:sz w:val="20"/>
          <w:szCs w:val="20"/>
          <w:lang w:val="en-GB"/>
        </w:rPr>
      </w:pPr>
      <w:r w:rsidRPr="00AB4504">
        <w:rPr>
          <w:rFonts w:ascii="Arial" w:hAnsi="Arial"/>
          <w:sz w:val="20"/>
          <w:szCs w:val="20"/>
          <w:lang w:val="en-GB"/>
        </w:rPr>
        <w:t>Authors declare no conflict of interest.</w:t>
      </w:r>
    </w:p>
    <w:p w14:paraId="53281150" w14:textId="77777777" w:rsidR="00C72D81" w:rsidRPr="00AB4504" w:rsidRDefault="00C72D81">
      <w:pPr>
        <w:spacing w:after="0"/>
        <w:jc w:val="both"/>
        <w:rPr>
          <w:rFonts w:ascii="Arial" w:hAnsi="Arial"/>
          <w:sz w:val="20"/>
          <w:szCs w:val="20"/>
          <w:lang w:val="en-GB"/>
        </w:rPr>
      </w:pPr>
    </w:p>
    <w:p w14:paraId="3E2AE068" w14:textId="77777777" w:rsidR="00DD3009" w:rsidRDefault="00DD3009">
      <w:pPr>
        <w:spacing w:after="0"/>
        <w:ind w:firstLine="720"/>
        <w:jc w:val="both"/>
        <w:rPr>
          <w:rFonts w:ascii="Arial" w:hAnsi="Arial"/>
          <w:sz w:val="20"/>
          <w:szCs w:val="20"/>
          <w:lang w:val="en-GB"/>
        </w:rPr>
      </w:pPr>
    </w:p>
    <w:p w14:paraId="42A9A7B2" w14:textId="77777777" w:rsidR="00DD3009" w:rsidRDefault="00DD3009">
      <w:pPr>
        <w:spacing w:after="0"/>
        <w:ind w:firstLine="720"/>
        <w:jc w:val="both"/>
        <w:rPr>
          <w:rFonts w:ascii="Arial" w:hAnsi="Arial"/>
          <w:sz w:val="20"/>
          <w:szCs w:val="20"/>
          <w:lang w:val="en-GB"/>
        </w:rPr>
      </w:pPr>
    </w:p>
    <w:p w14:paraId="0064D5D3" w14:textId="77777777" w:rsidR="00DD3009" w:rsidRPr="00DD3009" w:rsidRDefault="00DD3009" w:rsidP="00DD3009">
      <w:pPr>
        <w:spacing w:after="200" w:line="276" w:lineRule="auto"/>
        <w:rPr>
          <w:rFonts w:ascii="Arial" w:eastAsia="Times New Roman" w:hAnsi="Arial"/>
          <w:b/>
          <w:bCs/>
          <w:kern w:val="0"/>
          <w:sz w:val="22"/>
          <w:szCs w:val="22"/>
          <w:lang w:val="en-GB" w:eastAsia="en-GB"/>
          <w14:ligatures w14:val="none"/>
        </w:rPr>
      </w:pPr>
      <w:r w:rsidRPr="00DD3009">
        <w:rPr>
          <w:rFonts w:ascii="Arial" w:eastAsia="Times New Roman" w:hAnsi="Arial"/>
          <w:b/>
          <w:bCs/>
          <w:kern w:val="0"/>
          <w:sz w:val="22"/>
          <w:szCs w:val="22"/>
          <w:lang w:val="en-GB" w:eastAsia="en-GB"/>
          <w14:ligatures w14:val="none"/>
        </w:rPr>
        <w:t>COMPETING INTERESTS DISCLAIMER:</w:t>
      </w:r>
    </w:p>
    <w:p w14:paraId="376BAD96" w14:textId="77777777" w:rsidR="00DD3009" w:rsidRPr="00DD3009" w:rsidRDefault="00DD3009" w:rsidP="00DD3009">
      <w:pPr>
        <w:spacing w:after="200" w:line="276" w:lineRule="auto"/>
        <w:rPr>
          <w:rFonts w:ascii="Calibri" w:eastAsia="Times New Roman" w:hAnsi="Calibri" w:cs="Times New Roman"/>
          <w:kern w:val="0"/>
          <w:sz w:val="22"/>
          <w:szCs w:val="22"/>
          <w:lang w:val="en-GB" w:eastAsia="en-GB"/>
          <w14:ligatures w14:val="none"/>
        </w:rPr>
      </w:pPr>
      <w:r w:rsidRPr="00DD3009">
        <w:rPr>
          <w:rFonts w:ascii="Arial" w:eastAsia="Times New Roman" w:hAnsi="Arial"/>
          <w:kern w:val="0"/>
          <w:sz w:val="22"/>
          <w:szCs w:val="22"/>
          <w:lang w:val="en-GB" w:eastAsia="en-GB"/>
          <w14:ligatures w14:val="none"/>
        </w:rPr>
        <w:t>Authors have declared that they have no known competing financial interests OR non-financial interests OR personal relationships that could have appeared to influence the work reported in this paper.</w:t>
      </w:r>
    </w:p>
    <w:p w14:paraId="04F089C8" w14:textId="77777777" w:rsidR="00DD3009" w:rsidRPr="00AB4504" w:rsidRDefault="00DD3009">
      <w:pPr>
        <w:spacing w:after="0"/>
        <w:ind w:firstLine="720"/>
        <w:jc w:val="both"/>
        <w:rPr>
          <w:rFonts w:ascii="Arial" w:hAnsi="Arial"/>
          <w:sz w:val="20"/>
          <w:szCs w:val="20"/>
          <w:lang w:val="en-GB"/>
        </w:rPr>
      </w:pPr>
    </w:p>
    <w:p w14:paraId="53281153" w14:textId="77777777" w:rsidR="00C72D81" w:rsidRPr="00AB4504" w:rsidRDefault="00C72D81">
      <w:pPr>
        <w:spacing w:after="0"/>
        <w:jc w:val="both"/>
        <w:rPr>
          <w:rFonts w:ascii="Arial" w:hAnsi="Arial"/>
          <w:sz w:val="20"/>
          <w:szCs w:val="20"/>
          <w:lang w:val="en-GB"/>
        </w:rPr>
      </w:pPr>
    </w:p>
    <w:p w14:paraId="53281154" w14:textId="77777777" w:rsidR="00C72D81" w:rsidRPr="00AB4504" w:rsidRDefault="00EF3C28">
      <w:pPr>
        <w:jc w:val="both"/>
        <w:rPr>
          <w:rFonts w:ascii="Arial" w:hAnsi="Arial"/>
          <w:b/>
          <w:bCs/>
          <w:sz w:val="22"/>
          <w:szCs w:val="22"/>
          <w:lang w:val="en-GB"/>
        </w:rPr>
      </w:pPr>
      <w:r w:rsidRPr="00AB4504">
        <w:rPr>
          <w:rFonts w:ascii="Arial" w:hAnsi="Arial"/>
          <w:b/>
          <w:bCs/>
          <w:sz w:val="22"/>
          <w:szCs w:val="22"/>
          <w:lang w:val="en-GB"/>
        </w:rPr>
        <w:t>12. References:</w:t>
      </w:r>
    </w:p>
    <w:p w14:paraId="2BC13F30" w14:textId="7367B59F"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Abbigeri</w:t>
      </w:r>
      <w:proofErr w:type="spellEnd"/>
      <w:r w:rsidRPr="00AB4504">
        <w:rPr>
          <w:rFonts w:ascii="Arial" w:hAnsi="Arial"/>
          <w:sz w:val="20"/>
          <w:szCs w:val="20"/>
          <w:lang w:val="en-GB"/>
        </w:rPr>
        <w:t xml:space="preserve">, M., Thokchom, B., Bhavi, S. M., &amp; Singh, S. R. (2024). Potential </w:t>
      </w:r>
      <w:r w:rsidRPr="00AB4504">
        <w:rPr>
          <w:rFonts w:ascii="Arial" w:hAnsi="Arial"/>
          <w:i/>
          <w:iCs/>
          <w:sz w:val="20"/>
          <w:szCs w:val="20"/>
          <w:lang w:val="en-GB"/>
        </w:rPr>
        <w:t>in vitro</w:t>
      </w:r>
      <w:r w:rsidRPr="00AB4504">
        <w:rPr>
          <w:rFonts w:ascii="Arial" w:hAnsi="Arial"/>
          <w:sz w:val="20"/>
          <w:szCs w:val="20"/>
          <w:lang w:val="en-GB"/>
        </w:rPr>
        <w:t xml:space="preserve"> antibacterial and anticancer properties of biosynthesized multifunctional silver nanoparticles using </w:t>
      </w:r>
      <w:r w:rsidRPr="00AB4504">
        <w:rPr>
          <w:rFonts w:ascii="Arial" w:hAnsi="Arial"/>
          <w:i/>
          <w:iCs/>
          <w:sz w:val="20"/>
          <w:szCs w:val="20"/>
          <w:lang w:val="en-GB"/>
        </w:rPr>
        <w:t>Martynia annua</w:t>
      </w:r>
      <w:r w:rsidRPr="00AB4504">
        <w:rPr>
          <w:rFonts w:ascii="Arial" w:hAnsi="Arial"/>
          <w:sz w:val="20"/>
          <w:szCs w:val="20"/>
          <w:lang w:val="en-GB"/>
        </w:rPr>
        <w:t xml:space="preserve"> L. leaf extract. </w:t>
      </w:r>
      <w:r w:rsidRPr="00AB4504">
        <w:rPr>
          <w:rFonts w:ascii="Arial" w:hAnsi="Arial"/>
          <w:i/>
          <w:iCs/>
          <w:sz w:val="20"/>
          <w:szCs w:val="20"/>
          <w:lang w:val="en-GB"/>
        </w:rPr>
        <w:t>Nano-Structures &amp; Nano-Objects</w:t>
      </w:r>
      <w:r w:rsidRPr="00AB4504">
        <w:rPr>
          <w:rFonts w:ascii="Arial" w:hAnsi="Arial"/>
          <w:sz w:val="20"/>
          <w:szCs w:val="20"/>
          <w:lang w:val="en-GB"/>
        </w:rPr>
        <w:t xml:space="preserve">, 39, 101320. </w:t>
      </w:r>
    </w:p>
    <w:p w14:paraId="2FA1D0D5"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Ahmed, S., Ahmad, M., Swami, B. L., &amp; Ikram, S. (2016). A review on plants extract mediated synthesis of silver nanoparticles for antimicrobial applications: A green expertise. </w:t>
      </w:r>
      <w:r w:rsidRPr="00AB4504">
        <w:rPr>
          <w:rFonts w:ascii="Arial" w:hAnsi="Arial"/>
          <w:i/>
          <w:iCs/>
          <w:sz w:val="20"/>
          <w:szCs w:val="20"/>
          <w:lang w:val="en-GB"/>
        </w:rPr>
        <w:t>Journal of Advanced Research</w:t>
      </w:r>
      <w:r w:rsidRPr="00AB4504">
        <w:rPr>
          <w:rFonts w:ascii="Arial" w:hAnsi="Arial"/>
          <w:sz w:val="20"/>
          <w:szCs w:val="20"/>
          <w:lang w:val="en-GB"/>
        </w:rPr>
        <w:t xml:space="preserve">, 7(1), 17–28. </w:t>
      </w:r>
    </w:p>
    <w:p w14:paraId="6DD53E4A"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Alkan, H., </w:t>
      </w:r>
      <w:proofErr w:type="spellStart"/>
      <w:r w:rsidRPr="00AB4504">
        <w:rPr>
          <w:rFonts w:ascii="Arial" w:hAnsi="Arial"/>
          <w:sz w:val="20"/>
          <w:szCs w:val="20"/>
          <w:lang w:val="en-GB"/>
        </w:rPr>
        <w:t>Ciğerci</w:t>
      </w:r>
      <w:proofErr w:type="spellEnd"/>
      <w:r w:rsidRPr="00AB4504">
        <w:rPr>
          <w:rFonts w:ascii="Arial" w:hAnsi="Arial"/>
          <w:sz w:val="20"/>
          <w:szCs w:val="20"/>
          <w:lang w:val="en-GB"/>
        </w:rPr>
        <w:t xml:space="preserve">, İ. H., Ali, M. M., Hazman, O., Liman, R., </w:t>
      </w:r>
      <w:proofErr w:type="spellStart"/>
      <w:r w:rsidRPr="00AB4504">
        <w:rPr>
          <w:rFonts w:ascii="Arial" w:hAnsi="Arial"/>
          <w:sz w:val="20"/>
          <w:szCs w:val="20"/>
          <w:lang w:val="en-GB"/>
        </w:rPr>
        <w:t>Colă</w:t>
      </w:r>
      <w:proofErr w:type="spellEnd"/>
      <w:r w:rsidRPr="00AB4504">
        <w:rPr>
          <w:rFonts w:ascii="Arial" w:hAnsi="Arial"/>
          <w:sz w:val="20"/>
          <w:szCs w:val="20"/>
          <w:lang w:val="en-GB"/>
        </w:rPr>
        <w:t xml:space="preserve">, F., &amp; </w:t>
      </w:r>
      <w:proofErr w:type="spellStart"/>
      <w:r w:rsidRPr="00AB4504">
        <w:rPr>
          <w:rFonts w:ascii="Arial" w:hAnsi="Arial"/>
          <w:sz w:val="20"/>
          <w:szCs w:val="20"/>
          <w:lang w:val="en-GB"/>
        </w:rPr>
        <w:t>Bonciu</w:t>
      </w:r>
      <w:proofErr w:type="spellEnd"/>
      <w:r w:rsidRPr="00AB4504">
        <w:rPr>
          <w:rFonts w:ascii="Arial" w:hAnsi="Arial"/>
          <w:sz w:val="20"/>
          <w:szCs w:val="20"/>
          <w:lang w:val="en-GB"/>
        </w:rPr>
        <w:t>, E. (2022). Cytotoxic and Genotoxic Evaluation of Biosynthesized Silver Nanoparticles Using </w:t>
      </w:r>
      <w:r w:rsidRPr="00AB4504">
        <w:rPr>
          <w:rFonts w:ascii="Arial" w:hAnsi="Arial"/>
          <w:i/>
          <w:iCs/>
          <w:sz w:val="20"/>
          <w:szCs w:val="20"/>
          <w:lang w:val="en-GB"/>
        </w:rPr>
        <w:t>Moringa oleifera</w:t>
      </w:r>
      <w:r w:rsidRPr="00AB4504">
        <w:rPr>
          <w:rFonts w:ascii="Arial" w:hAnsi="Arial"/>
          <w:sz w:val="20"/>
          <w:szCs w:val="20"/>
          <w:lang w:val="en-GB"/>
        </w:rPr>
        <w:t> on MCF-7 and HUVEC Cell Lines. </w:t>
      </w:r>
      <w:r w:rsidRPr="00AB4504">
        <w:rPr>
          <w:rFonts w:ascii="Arial" w:hAnsi="Arial"/>
          <w:i/>
          <w:iCs/>
          <w:sz w:val="20"/>
          <w:szCs w:val="20"/>
          <w:lang w:val="en-GB"/>
        </w:rPr>
        <w:t>Plants</w:t>
      </w:r>
      <w:r w:rsidRPr="00AB4504">
        <w:rPr>
          <w:rFonts w:ascii="Arial" w:hAnsi="Arial"/>
          <w:sz w:val="20"/>
          <w:szCs w:val="20"/>
          <w:lang w:val="en-GB"/>
        </w:rPr>
        <w:t xml:space="preserve">, 11(10), 1293. </w:t>
      </w:r>
    </w:p>
    <w:p w14:paraId="28C37E97"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Al-Saleh, M., Al-Harbi, H., Al-Humaid, L., &amp; Awad, M. (2025). An Assessment of the Cyto-Genotoxicity Effects of Green-Synthesized Silver Nanoparticles and ATCBRA Insecticide on the Root System of </w:t>
      </w:r>
      <w:r w:rsidRPr="00AB4504">
        <w:rPr>
          <w:rFonts w:ascii="Arial" w:hAnsi="Arial"/>
          <w:i/>
          <w:iCs/>
          <w:sz w:val="20"/>
          <w:szCs w:val="20"/>
          <w:lang w:val="en-GB"/>
        </w:rPr>
        <w:t>Vicia faba</w:t>
      </w:r>
      <w:r w:rsidRPr="00AB4504">
        <w:rPr>
          <w:rFonts w:ascii="Arial" w:hAnsi="Arial"/>
          <w:sz w:val="20"/>
          <w:szCs w:val="20"/>
          <w:lang w:val="en-GB"/>
        </w:rPr>
        <w:t xml:space="preserve">. </w:t>
      </w:r>
      <w:r w:rsidRPr="00AB4504">
        <w:rPr>
          <w:rFonts w:ascii="Arial" w:hAnsi="Arial"/>
          <w:i/>
          <w:iCs/>
          <w:sz w:val="20"/>
          <w:szCs w:val="20"/>
          <w:lang w:val="en-GB"/>
        </w:rPr>
        <w:t>Nanomaterials,</w:t>
      </w:r>
      <w:r w:rsidRPr="00AB4504">
        <w:rPr>
          <w:rFonts w:ascii="Arial" w:hAnsi="Arial"/>
          <w:sz w:val="20"/>
          <w:szCs w:val="20"/>
          <w:lang w:val="en-GB"/>
        </w:rPr>
        <w:t xml:space="preserve"> 15, 77.</w:t>
      </w:r>
    </w:p>
    <w:p w14:paraId="6EDC3B4C"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Arshad, Z., Saied, S., &amp; Naz, S. (2017). Antioxidant Activities and Phytochemical Screening of </w:t>
      </w:r>
      <w:r w:rsidRPr="00AB4504">
        <w:rPr>
          <w:rFonts w:ascii="Arial" w:hAnsi="Arial"/>
          <w:i/>
          <w:iCs/>
          <w:sz w:val="20"/>
          <w:szCs w:val="20"/>
          <w:lang w:val="en-GB"/>
        </w:rPr>
        <w:t>Martynia annua</w:t>
      </w:r>
      <w:r w:rsidRPr="00AB4504">
        <w:rPr>
          <w:rFonts w:ascii="Arial" w:hAnsi="Arial"/>
          <w:sz w:val="20"/>
          <w:szCs w:val="20"/>
          <w:lang w:val="en-GB"/>
        </w:rPr>
        <w:t xml:space="preserve"> Fruit Extract. </w:t>
      </w:r>
      <w:r w:rsidRPr="00AB4504">
        <w:rPr>
          <w:rFonts w:ascii="Arial" w:hAnsi="Arial"/>
          <w:i/>
          <w:iCs/>
          <w:sz w:val="20"/>
          <w:szCs w:val="20"/>
          <w:lang w:val="en-GB"/>
        </w:rPr>
        <w:t>Biosciences biotechnology research Asia</w:t>
      </w:r>
      <w:r w:rsidRPr="00AB4504">
        <w:rPr>
          <w:rFonts w:ascii="Arial" w:hAnsi="Arial"/>
          <w:sz w:val="20"/>
          <w:szCs w:val="20"/>
          <w:lang w:val="en-GB"/>
        </w:rPr>
        <w:t>, 14(4), 1363-1369.</w:t>
      </w:r>
    </w:p>
    <w:p w14:paraId="11DBC7A7"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Awasthy K. S. (2001). Genotoxicity of a crude leaf extract of neem in male germ cells of mice. </w:t>
      </w:r>
      <w:proofErr w:type="spellStart"/>
      <w:r w:rsidRPr="00AB4504">
        <w:rPr>
          <w:rFonts w:ascii="Arial" w:hAnsi="Arial"/>
          <w:i/>
          <w:iCs/>
          <w:sz w:val="20"/>
          <w:szCs w:val="20"/>
          <w:lang w:val="en-GB"/>
        </w:rPr>
        <w:t>Cytobios</w:t>
      </w:r>
      <w:proofErr w:type="spellEnd"/>
      <w:r w:rsidRPr="00AB4504">
        <w:rPr>
          <w:rFonts w:ascii="Arial" w:hAnsi="Arial"/>
          <w:sz w:val="20"/>
          <w:szCs w:val="20"/>
          <w:lang w:val="en-GB"/>
        </w:rPr>
        <w:t xml:space="preserve">, 106 </w:t>
      </w:r>
      <w:proofErr w:type="spellStart"/>
      <w:r w:rsidRPr="00AB4504">
        <w:rPr>
          <w:rFonts w:ascii="Arial" w:hAnsi="Arial"/>
          <w:sz w:val="20"/>
          <w:szCs w:val="20"/>
          <w:lang w:val="en-GB"/>
        </w:rPr>
        <w:t>Suppl</w:t>
      </w:r>
      <w:proofErr w:type="spellEnd"/>
      <w:r w:rsidRPr="00AB4504">
        <w:rPr>
          <w:rFonts w:ascii="Arial" w:hAnsi="Arial"/>
          <w:sz w:val="20"/>
          <w:szCs w:val="20"/>
          <w:lang w:val="en-GB"/>
        </w:rPr>
        <w:t xml:space="preserve"> 2, 151–164.</w:t>
      </w:r>
    </w:p>
    <w:p w14:paraId="3786FAA8" w14:textId="0875BF5F" w:rsidR="008C1E55" w:rsidRPr="00AB4504" w:rsidRDefault="008C1E55">
      <w:pPr>
        <w:ind w:left="720" w:hanging="720"/>
        <w:jc w:val="both"/>
        <w:rPr>
          <w:rFonts w:ascii="Arial" w:hAnsi="Arial"/>
          <w:sz w:val="20"/>
          <w:szCs w:val="20"/>
          <w:lang w:val="en-GB"/>
        </w:rPr>
      </w:pPr>
      <w:r w:rsidRPr="00AB4504">
        <w:rPr>
          <w:rFonts w:ascii="Arial" w:hAnsi="Arial"/>
          <w:sz w:val="20"/>
          <w:szCs w:val="20"/>
          <w:lang w:val="en-GB"/>
        </w:rPr>
        <w:t>Castañeda-Yslas, I. Y., Torres-</w:t>
      </w:r>
      <w:proofErr w:type="spellStart"/>
      <w:r w:rsidRPr="00AB4504">
        <w:rPr>
          <w:rFonts w:ascii="Arial" w:hAnsi="Arial"/>
          <w:sz w:val="20"/>
          <w:szCs w:val="20"/>
          <w:lang w:val="en-GB"/>
        </w:rPr>
        <w:t>Bugarín</w:t>
      </w:r>
      <w:proofErr w:type="spellEnd"/>
      <w:r w:rsidRPr="00AB4504">
        <w:rPr>
          <w:rFonts w:ascii="Arial" w:hAnsi="Arial"/>
          <w:sz w:val="20"/>
          <w:szCs w:val="20"/>
          <w:lang w:val="en-GB"/>
        </w:rPr>
        <w:t xml:space="preserve">, O., Arellano-García, M. E., Ruiz-Ruiz, B., García-Ramos, J. C., Toledano-Magaña, Y., </w:t>
      </w:r>
      <w:proofErr w:type="spellStart"/>
      <w:r w:rsidRPr="00AB4504">
        <w:rPr>
          <w:rFonts w:ascii="Arial" w:hAnsi="Arial"/>
          <w:sz w:val="20"/>
          <w:szCs w:val="20"/>
          <w:lang w:val="en-GB"/>
        </w:rPr>
        <w:t>Pestryakov</w:t>
      </w:r>
      <w:proofErr w:type="spellEnd"/>
      <w:r w:rsidRPr="00AB4504">
        <w:rPr>
          <w:rFonts w:ascii="Arial" w:hAnsi="Arial"/>
          <w:sz w:val="20"/>
          <w:szCs w:val="20"/>
          <w:lang w:val="en-GB"/>
        </w:rPr>
        <w:t xml:space="preserve">, A., &amp; </w:t>
      </w:r>
      <w:proofErr w:type="spellStart"/>
      <w:r w:rsidRPr="00AB4504">
        <w:rPr>
          <w:rFonts w:ascii="Arial" w:hAnsi="Arial"/>
          <w:sz w:val="20"/>
          <w:szCs w:val="20"/>
          <w:lang w:val="en-GB"/>
        </w:rPr>
        <w:t>Bogdanchikova</w:t>
      </w:r>
      <w:proofErr w:type="spellEnd"/>
      <w:r w:rsidRPr="00AB4504">
        <w:rPr>
          <w:rFonts w:ascii="Arial" w:hAnsi="Arial"/>
          <w:sz w:val="20"/>
          <w:szCs w:val="20"/>
          <w:lang w:val="en-GB"/>
        </w:rPr>
        <w:t xml:space="preserve">, N. (2024). Protective Effect of Silver Nanoparticles Against Cytosine Arabinoside Genotoxicity: An </w:t>
      </w:r>
      <w:r w:rsidRPr="00AB4504">
        <w:rPr>
          <w:rFonts w:ascii="Arial" w:hAnsi="Arial"/>
          <w:i/>
          <w:iCs/>
          <w:sz w:val="20"/>
          <w:szCs w:val="20"/>
          <w:lang w:val="en-GB"/>
        </w:rPr>
        <w:t>In</w:t>
      </w:r>
      <w:r w:rsidR="00C34F27" w:rsidRPr="00AB4504">
        <w:rPr>
          <w:rFonts w:ascii="Arial" w:hAnsi="Arial"/>
          <w:i/>
          <w:iCs/>
          <w:sz w:val="20"/>
          <w:szCs w:val="20"/>
          <w:lang w:val="en-GB"/>
        </w:rPr>
        <w:t>-v</w:t>
      </w:r>
      <w:r w:rsidRPr="00AB4504">
        <w:rPr>
          <w:rFonts w:ascii="Arial" w:hAnsi="Arial"/>
          <w:i/>
          <w:iCs/>
          <w:sz w:val="20"/>
          <w:szCs w:val="20"/>
          <w:lang w:val="en-GB"/>
        </w:rPr>
        <w:t>ivo</w:t>
      </w:r>
      <w:r w:rsidRPr="00AB4504">
        <w:rPr>
          <w:rFonts w:ascii="Arial" w:hAnsi="Arial"/>
          <w:sz w:val="20"/>
          <w:szCs w:val="20"/>
          <w:lang w:val="en-GB"/>
        </w:rPr>
        <w:t xml:space="preserve"> Micronucleus Assay. </w:t>
      </w:r>
      <w:r w:rsidRPr="00AB4504">
        <w:rPr>
          <w:rFonts w:ascii="Arial" w:hAnsi="Arial"/>
          <w:i/>
          <w:iCs/>
          <w:sz w:val="20"/>
          <w:szCs w:val="20"/>
          <w:lang w:val="en-GB"/>
        </w:rPr>
        <w:t>International journal of environmental research and public health</w:t>
      </w:r>
      <w:r w:rsidRPr="00AB4504">
        <w:rPr>
          <w:rFonts w:ascii="Arial" w:hAnsi="Arial"/>
          <w:sz w:val="20"/>
          <w:szCs w:val="20"/>
          <w:lang w:val="en-GB"/>
        </w:rPr>
        <w:t>, 21(12), 1689.</w:t>
      </w:r>
    </w:p>
    <w:p w14:paraId="504AC038"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El </w:t>
      </w:r>
      <w:proofErr w:type="spellStart"/>
      <w:r w:rsidRPr="00AB4504">
        <w:rPr>
          <w:rFonts w:ascii="Arial" w:hAnsi="Arial"/>
          <w:sz w:val="20"/>
          <w:szCs w:val="20"/>
          <w:lang w:val="en-GB"/>
        </w:rPr>
        <w:t>Ghissassi</w:t>
      </w:r>
      <w:proofErr w:type="spellEnd"/>
      <w:r w:rsidRPr="00AB4504">
        <w:rPr>
          <w:rFonts w:ascii="Arial" w:hAnsi="Arial"/>
          <w:sz w:val="20"/>
          <w:szCs w:val="20"/>
          <w:lang w:val="en-GB"/>
        </w:rPr>
        <w:t xml:space="preserve">, F., Baan, R., Straif, K., Grosse, Y., </w:t>
      </w:r>
      <w:proofErr w:type="spellStart"/>
      <w:r w:rsidRPr="00AB4504">
        <w:rPr>
          <w:rFonts w:ascii="Arial" w:hAnsi="Arial"/>
          <w:sz w:val="20"/>
          <w:szCs w:val="20"/>
          <w:lang w:val="en-GB"/>
        </w:rPr>
        <w:t>Secretan</w:t>
      </w:r>
      <w:proofErr w:type="spellEnd"/>
      <w:r w:rsidRPr="00AB4504">
        <w:rPr>
          <w:rFonts w:ascii="Arial" w:hAnsi="Arial"/>
          <w:sz w:val="20"/>
          <w:szCs w:val="20"/>
          <w:lang w:val="en-GB"/>
        </w:rPr>
        <w:t xml:space="preserve">, B., Bouvard, V., </w:t>
      </w:r>
      <w:proofErr w:type="spellStart"/>
      <w:r w:rsidRPr="00AB4504">
        <w:rPr>
          <w:rFonts w:ascii="Arial" w:hAnsi="Arial"/>
          <w:sz w:val="20"/>
          <w:szCs w:val="20"/>
          <w:lang w:val="en-GB"/>
        </w:rPr>
        <w:t>Benbrahim-Tallaa</w:t>
      </w:r>
      <w:proofErr w:type="spellEnd"/>
      <w:r w:rsidRPr="00AB4504">
        <w:rPr>
          <w:rFonts w:ascii="Arial" w:hAnsi="Arial"/>
          <w:sz w:val="20"/>
          <w:szCs w:val="20"/>
          <w:lang w:val="en-GB"/>
        </w:rPr>
        <w:t>, L., Guha, N., Freeman, C., Galichet, L., Cogliano, V., &amp; WHO International Agency for Research on Cancer Monograph Working Group (2009). A review of human carcinogens part D: radiation. </w:t>
      </w:r>
      <w:r w:rsidRPr="00AB4504">
        <w:rPr>
          <w:rFonts w:ascii="Arial" w:hAnsi="Arial"/>
          <w:i/>
          <w:iCs/>
          <w:sz w:val="20"/>
          <w:szCs w:val="20"/>
          <w:lang w:val="en-GB"/>
        </w:rPr>
        <w:t>The Lancet. Oncology</w:t>
      </w:r>
      <w:r w:rsidRPr="00AB4504">
        <w:rPr>
          <w:rFonts w:ascii="Arial" w:hAnsi="Arial"/>
          <w:sz w:val="20"/>
          <w:szCs w:val="20"/>
          <w:lang w:val="en-GB"/>
        </w:rPr>
        <w:t xml:space="preserve">, 10(8), 751–752. </w:t>
      </w:r>
    </w:p>
    <w:p w14:paraId="5EBCFF3B"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Gupta, R., &amp; </w:t>
      </w:r>
      <w:proofErr w:type="spellStart"/>
      <w:r w:rsidRPr="00AB4504">
        <w:rPr>
          <w:rFonts w:ascii="Arial" w:hAnsi="Arial"/>
          <w:sz w:val="20"/>
          <w:szCs w:val="20"/>
          <w:lang w:val="en-GB"/>
        </w:rPr>
        <w:t>Deogadde</w:t>
      </w:r>
      <w:proofErr w:type="spellEnd"/>
      <w:r w:rsidRPr="00AB4504">
        <w:rPr>
          <w:rFonts w:ascii="Arial" w:hAnsi="Arial"/>
          <w:sz w:val="20"/>
          <w:szCs w:val="20"/>
          <w:lang w:val="en-GB"/>
        </w:rPr>
        <w:t xml:space="preserve">, R. (2018). Phytochemical screening and antioxidant activity of </w:t>
      </w:r>
      <w:r w:rsidRPr="00AB4504">
        <w:rPr>
          <w:rFonts w:ascii="Arial" w:hAnsi="Arial"/>
          <w:i/>
          <w:iCs/>
          <w:sz w:val="20"/>
          <w:szCs w:val="20"/>
          <w:lang w:val="en-GB"/>
        </w:rPr>
        <w:t>Martynia annua</w:t>
      </w:r>
      <w:r w:rsidRPr="00AB4504">
        <w:rPr>
          <w:rFonts w:ascii="Arial" w:hAnsi="Arial"/>
          <w:sz w:val="20"/>
          <w:szCs w:val="20"/>
          <w:lang w:val="en-GB"/>
        </w:rPr>
        <w:t xml:space="preserve">. </w:t>
      </w:r>
      <w:r w:rsidRPr="00AB4504">
        <w:rPr>
          <w:rFonts w:ascii="Arial" w:hAnsi="Arial"/>
          <w:i/>
          <w:iCs/>
          <w:sz w:val="20"/>
          <w:szCs w:val="20"/>
          <w:lang w:val="en-GB"/>
        </w:rPr>
        <w:t>International Journal of Green Pharmacy</w:t>
      </w:r>
      <w:r w:rsidRPr="00AB4504">
        <w:rPr>
          <w:rFonts w:ascii="Arial" w:hAnsi="Arial"/>
          <w:sz w:val="20"/>
          <w:szCs w:val="20"/>
          <w:lang w:val="en-GB"/>
        </w:rPr>
        <w:t>, 12(3), 189–194.</w:t>
      </w:r>
    </w:p>
    <w:p w14:paraId="139860F0"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Gurunathan, S., Park, J. H., Han, J. W., &amp; Kim, J. (2015). Comparative assessment of the apoptotic potential of silver nanoparticles synthesized by </w:t>
      </w:r>
      <w:r w:rsidRPr="00AB4504">
        <w:rPr>
          <w:rFonts w:ascii="Arial" w:hAnsi="Arial"/>
          <w:i/>
          <w:iCs/>
          <w:sz w:val="20"/>
          <w:szCs w:val="20"/>
          <w:lang w:val="en-GB"/>
        </w:rPr>
        <w:t xml:space="preserve">Bacillus </w:t>
      </w:r>
      <w:proofErr w:type="spellStart"/>
      <w:r w:rsidRPr="00AB4504">
        <w:rPr>
          <w:rFonts w:ascii="Arial" w:hAnsi="Arial"/>
          <w:i/>
          <w:iCs/>
          <w:sz w:val="20"/>
          <w:szCs w:val="20"/>
          <w:lang w:val="en-GB"/>
        </w:rPr>
        <w:t>tequilensis</w:t>
      </w:r>
      <w:proofErr w:type="spellEnd"/>
      <w:r w:rsidRPr="00AB4504">
        <w:rPr>
          <w:rFonts w:ascii="Arial" w:hAnsi="Arial"/>
          <w:sz w:val="20"/>
          <w:szCs w:val="20"/>
          <w:lang w:val="en-GB"/>
        </w:rPr>
        <w:t xml:space="preserve"> and </w:t>
      </w:r>
      <w:proofErr w:type="spellStart"/>
      <w:r w:rsidRPr="00AB4504">
        <w:rPr>
          <w:rFonts w:ascii="Arial" w:hAnsi="Arial"/>
          <w:i/>
          <w:iCs/>
          <w:sz w:val="20"/>
          <w:szCs w:val="20"/>
          <w:lang w:val="en-GB"/>
        </w:rPr>
        <w:t>Calocybe</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indica</w:t>
      </w:r>
      <w:proofErr w:type="spellEnd"/>
      <w:r w:rsidRPr="00AB4504">
        <w:rPr>
          <w:rFonts w:ascii="Arial" w:hAnsi="Arial"/>
          <w:sz w:val="20"/>
          <w:szCs w:val="20"/>
          <w:lang w:val="en-GB"/>
        </w:rPr>
        <w:t xml:space="preserve"> in </w:t>
      </w:r>
      <w:r w:rsidRPr="00AB4504">
        <w:rPr>
          <w:rFonts w:ascii="Arial" w:hAnsi="Arial"/>
          <w:sz w:val="20"/>
          <w:szCs w:val="20"/>
          <w:lang w:val="en-GB"/>
        </w:rPr>
        <w:lastRenderedPageBreak/>
        <w:t xml:space="preserve">MDA-MB-231 human breast cancer cells: Targeting p53 for anticancer therapy. </w:t>
      </w:r>
      <w:r w:rsidRPr="00AB4504">
        <w:rPr>
          <w:rFonts w:ascii="Arial" w:hAnsi="Arial"/>
          <w:i/>
          <w:iCs/>
          <w:sz w:val="20"/>
          <w:szCs w:val="20"/>
          <w:lang w:val="en-GB"/>
        </w:rPr>
        <w:t>International Journal of Nanomedicine</w:t>
      </w:r>
      <w:r w:rsidRPr="00AB4504">
        <w:rPr>
          <w:rFonts w:ascii="Arial" w:hAnsi="Arial"/>
          <w:sz w:val="20"/>
          <w:szCs w:val="20"/>
          <w:lang w:val="en-GB"/>
        </w:rPr>
        <w:t xml:space="preserve">, 10, 4203–4223. </w:t>
      </w:r>
    </w:p>
    <w:p w14:paraId="57CB9D3F"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Heikal, Y. M., </w:t>
      </w:r>
      <w:proofErr w:type="spellStart"/>
      <w:r w:rsidRPr="00AB4504">
        <w:rPr>
          <w:rFonts w:ascii="Arial" w:hAnsi="Arial"/>
          <w:sz w:val="20"/>
          <w:szCs w:val="20"/>
          <w:lang w:val="en-GB"/>
        </w:rPr>
        <w:t>Şuţan</w:t>
      </w:r>
      <w:proofErr w:type="spellEnd"/>
      <w:r w:rsidRPr="00AB4504">
        <w:rPr>
          <w:rFonts w:ascii="Arial" w:hAnsi="Arial"/>
          <w:sz w:val="20"/>
          <w:szCs w:val="20"/>
          <w:lang w:val="en-GB"/>
        </w:rPr>
        <w:t xml:space="preserve">, N. A., Rizwan, M., &amp; Elsayed, A. (2020). Green synthesized silver nanoparticles induced </w:t>
      </w:r>
      <w:proofErr w:type="spellStart"/>
      <w:r w:rsidRPr="00AB4504">
        <w:rPr>
          <w:rFonts w:ascii="Arial" w:hAnsi="Arial"/>
          <w:sz w:val="20"/>
          <w:szCs w:val="20"/>
          <w:lang w:val="en-GB"/>
        </w:rPr>
        <w:t>cytogenotoxic</w:t>
      </w:r>
      <w:proofErr w:type="spellEnd"/>
      <w:r w:rsidRPr="00AB4504">
        <w:rPr>
          <w:rFonts w:ascii="Arial" w:hAnsi="Arial"/>
          <w:sz w:val="20"/>
          <w:szCs w:val="20"/>
          <w:lang w:val="en-GB"/>
        </w:rPr>
        <w:t xml:space="preserve"> and genotoxic changes in </w:t>
      </w:r>
      <w:r w:rsidRPr="00AB4504">
        <w:rPr>
          <w:rFonts w:ascii="Arial" w:hAnsi="Arial"/>
          <w:i/>
          <w:iCs/>
          <w:sz w:val="20"/>
          <w:szCs w:val="20"/>
          <w:lang w:val="en-GB"/>
        </w:rPr>
        <w:t>Allium cepa</w:t>
      </w:r>
      <w:r w:rsidRPr="00AB4504">
        <w:rPr>
          <w:rFonts w:ascii="Arial" w:hAnsi="Arial"/>
          <w:sz w:val="20"/>
          <w:szCs w:val="20"/>
          <w:lang w:val="en-GB"/>
        </w:rPr>
        <w:t xml:space="preserve"> L. varies with nanoparticles doses and duration of exposure. </w:t>
      </w:r>
      <w:r w:rsidRPr="00AB4504">
        <w:rPr>
          <w:rFonts w:ascii="Arial" w:hAnsi="Arial"/>
          <w:i/>
          <w:iCs/>
          <w:sz w:val="20"/>
          <w:szCs w:val="20"/>
          <w:lang w:val="en-GB"/>
        </w:rPr>
        <w:t>Chemosphere</w:t>
      </w:r>
      <w:r w:rsidRPr="00AB4504">
        <w:rPr>
          <w:rFonts w:ascii="Arial" w:hAnsi="Arial"/>
          <w:sz w:val="20"/>
          <w:szCs w:val="20"/>
          <w:lang w:val="en-GB"/>
        </w:rPr>
        <w:t xml:space="preserve">, 243, 125430. </w:t>
      </w:r>
    </w:p>
    <w:p w14:paraId="395C4D5C"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Henkler, F., Brinkmann, J., &amp; Luch, A. (2010). The role of oxidative stress in carcinogenesis induced by metals and xenobiotics. </w:t>
      </w:r>
      <w:r w:rsidRPr="00AB4504">
        <w:rPr>
          <w:rFonts w:ascii="Arial" w:hAnsi="Arial"/>
          <w:i/>
          <w:iCs/>
          <w:sz w:val="20"/>
          <w:szCs w:val="20"/>
          <w:lang w:val="en-GB"/>
        </w:rPr>
        <w:t>Cancers</w:t>
      </w:r>
      <w:r w:rsidRPr="00AB4504">
        <w:rPr>
          <w:rFonts w:ascii="Arial" w:hAnsi="Arial"/>
          <w:sz w:val="20"/>
          <w:szCs w:val="20"/>
          <w:lang w:val="en-GB"/>
        </w:rPr>
        <w:t xml:space="preserve">, 2(2), 376–396. </w:t>
      </w:r>
    </w:p>
    <w:p w14:paraId="2510833D" w14:textId="77777777" w:rsidR="008C1E55" w:rsidRPr="00AB4504" w:rsidRDefault="008C1E55">
      <w:pPr>
        <w:ind w:left="720" w:hanging="720"/>
        <w:jc w:val="both"/>
        <w:rPr>
          <w:rFonts w:ascii="Arial" w:hAnsi="Arial"/>
          <w:sz w:val="20"/>
          <w:szCs w:val="20"/>
          <w:lang w:val="en-GB"/>
        </w:rPr>
      </w:pPr>
      <w:r w:rsidRPr="00AB4504">
        <w:rPr>
          <w:rFonts w:ascii="Arial" w:hAnsi="Arial"/>
          <w:sz w:val="20"/>
          <w:szCs w:val="20"/>
          <w:lang w:val="en-GB"/>
        </w:rPr>
        <w:t xml:space="preserve">Jauregui Romo, M. d. C., Ruiz </w:t>
      </w:r>
      <w:proofErr w:type="spellStart"/>
      <w:r w:rsidRPr="00AB4504">
        <w:rPr>
          <w:rFonts w:ascii="Arial" w:hAnsi="Arial"/>
          <w:sz w:val="20"/>
          <w:szCs w:val="20"/>
          <w:lang w:val="en-GB"/>
        </w:rPr>
        <w:t>Ruiz</w:t>
      </w:r>
      <w:proofErr w:type="spellEnd"/>
      <w:r w:rsidRPr="00AB4504">
        <w:rPr>
          <w:rFonts w:ascii="Arial" w:hAnsi="Arial"/>
          <w:sz w:val="20"/>
          <w:szCs w:val="20"/>
          <w:lang w:val="en-GB"/>
        </w:rPr>
        <w:t xml:space="preserve">, B., </w:t>
      </w:r>
      <w:proofErr w:type="spellStart"/>
      <w:r w:rsidRPr="00AB4504">
        <w:rPr>
          <w:rFonts w:ascii="Arial" w:hAnsi="Arial"/>
          <w:sz w:val="20"/>
          <w:szCs w:val="20"/>
          <w:lang w:val="en-GB"/>
        </w:rPr>
        <w:t>Casilas</w:t>
      </w:r>
      <w:proofErr w:type="spellEnd"/>
      <w:r w:rsidRPr="00AB4504">
        <w:rPr>
          <w:rFonts w:ascii="Arial" w:hAnsi="Arial"/>
          <w:sz w:val="20"/>
          <w:szCs w:val="20"/>
          <w:lang w:val="en-GB"/>
        </w:rPr>
        <w:t>-Figueroa, F., Girón Vázquez, N. G., Luna Vázquez Gómez, R., Torres-</w:t>
      </w:r>
      <w:proofErr w:type="spellStart"/>
      <w:r w:rsidRPr="00AB4504">
        <w:rPr>
          <w:rFonts w:ascii="Arial" w:hAnsi="Arial"/>
          <w:sz w:val="20"/>
          <w:szCs w:val="20"/>
          <w:lang w:val="en-GB"/>
        </w:rPr>
        <w:t>Bugarín</w:t>
      </w:r>
      <w:proofErr w:type="spellEnd"/>
      <w:r w:rsidRPr="00AB4504">
        <w:rPr>
          <w:rFonts w:ascii="Arial" w:hAnsi="Arial"/>
          <w:sz w:val="20"/>
          <w:szCs w:val="20"/>
          <w:lang w:val="en-GB"/>
        </w:rPr>
        <w:t xml:space="preserve">, O., Castañeda Yslas, I. Y., </w:t>
      </w:r>
      <w:proofErr w:type="spellStart"/>
      <w:r w:rsidRPr="00AB4504">
        <w:rPr>
          <w:rFonts w:ascii="Arial" w:hAnsi="Arial"/>
          <w:sz w:val="20"/>
          <w:szCs w:val="20"/>
          <w:lang w:val="en-GB"/>
        </w:rPr>
        <w:t>Pestryakov</w:t>
      </w:r>
      <w:proofErr w:type="spellEnd"/>
      <w:r w:rsidRPr="00AB4504">
        <w:rPr>
          <w:rFonts w:ascii="Arial" w:hAnsi="Arial"/>
          <w:sz w:val="20"/>
          <w:szCs w:val="20"/>
          <w:lang w:val="en-GB"/>
        </w:rPr>
        <w:t xml:space="preserve">, A., </w:t>
      </w:r>
      <w:proofErr w:type="spellStart"/>
      <w:r w:rsidRPr="00AB4504">
        <w:rPr>
          <w:rFonts w:ascii="Arial" w:hAnsi="Arial"/>
          <w:sz w:val="20"/>
          <w:szCs w:val="20"/>
          <w:lang w:val="en-GB"/>
        </w:rPr>
        <w:t>Bogdanchikova</w:t>
      </w:r>
      <w:proofErr w:type="spellEnd"/>
      <w:r w:rsidRPr="00AB4504">
        <w:rPr>
          <w:rFonts w:ascii="Arial" w:hAnsi="Arial"/>
          <w:sz w:val="20"/>
          <w:szCs w:val="20"/>
          <w:lang w:val="en-GB"/>
        </w:rPr>
        <w:t xml:space="preserve">, N., &amp; Arellano García, M. E. (2025). </w:t>
      </w:r>
      <w:proofErr w:type="spellStart"/>
      <w:r w:rsidRPr="00AB4504">
        <w:rPr>
          <w:rFonts w:ascii="Arial" w:hAnsi="Arial"/>
          <w:sz w:val="20"/>
          <w:szCs w:val="20"/>
          <w:lang w:val="en-GB"/>
        </w:rPr>
        <w:t>Argovit</w:t>
      </w:r>
      <w:proofErr w:type="spellEnd"/>
      <w:r w:rsidRPr="00AB4504">
        <w:rPr>
          <w:rFonts w:ascii="Arial" w:hAnsi="Arial"/>
          <w:sz w:val="20"/>
          <w:szCs w:val="20"/>
          <w:lang w:val="en-GB"/>
        </w:rPr>
        <w:t xml:space="preserve">™ Silver Nanoparticles Mitigate Sodium </w:t>
      </w:r>
      <w:proofErr w:type="spellStart"/>
      <w:r w:rsidRPr="00AB4504">
        <w:rPr>
          <w:rFonts w:ascii="Arial" w:hAnsi="Arial"/>
          <w:sz w:val="20"/>
          <w:szCs w:val="20"/>
          <w:lang w:val="en-GB"/>
        </w:rPr>
        <w:t>Arsenite</w:t>
      </w:r>
      <w:proofErr w:type="spellEnd"/>
      <w:r w:rsidRPr="00AB4504">
        <w:rPr>
          <w:rFonts w:ascii="Arial" w:hAnsi="Arial"/>
          <w:sz w:val="20"/>
          <w:szCs w:val="20"/>
          <w:lang w:val="en-GB"/>
        </w:rPr>
        <w:t xml:space="preserve">-Induced </w:t>
      </w:r>
      <w:proofErr w:type="spellStart"/>
      <w:r w:rsidRPr="00AB4504">
        <w:rPr>
          <w:rFonts w:ascii="Arial" w:hAnsi="Arial"/>
          <w:sz w:val="20"/>
          <w:szCs w:val="20"/>
          <w:lang w:val="en-GB"/>
        </w:rPr>
        <w:t>Cytogenotoxicity</w:t>
      </w:r>
      <w:proofErr w:type="spellEnd"/>
      <w:r w:rsidRPr="00AB4504">
        <w:rPr>
          <w:rFonts w:ascii="Arial" w:hAnsi="Arial"/>
          <w:sz w:val="20"/>
          <w:szCs w:val="20"/>
          <w:lang w:val="en-GB"/>
        </w:rPr>
        <w:t xml:space="preserve"> Effects in Cultured Human Lymphocytes. </w:t>
      </w:r>
      <w:r w:rsidRPr="00AB4504">
        <w:rPr>
          <w:rFonts w:ascii="Arial" w:hAnsi="Arial"/>
          <w:i/>
          <w:iCs/>
          <w:sz w:val="20"/>
          <w:szCs w:val="20"/>
          <w:lang w:val="en-GB"/>
        </w:rPr>
        <w:t>Toxics</w:t>
      </w:r>
      <w:r w:rsidRPr="00AB4504">
        <w:rPr>
          <w:rFonts w:ascii="Arial" w:hAnsi="Arial"/>
          <w:sz w:val="20"/>
          <w:szCs w:val="20"/>
          <w:lang w:val="en-GB"/>
        </w:rPr>
        <w:t xml:space="preserve">, 13(7), 539. </w:t>
      </w:r>
    </w:p>
    <w:p w14:paraId="05877336" w14:textId="77777777" w:rsidR="008C1E55" w:rsidRPr="00AB4504" w:rsidRDefault="008C1E55" w:rsidP="004819AC">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Jeengar</w:t>
      </w:r>
      <w:proofErr w:type="spellEnd"/>
      <w:r w:rsidRPr="00AB4504">
        <w:rPr>
          <w:rFonts w:ascii="Arial" w:hAnsi="Arial"/>
          <w:sz w:val="20"/>
          <w:szCs w:val="20"/>
          <w:lang w:val="en-GB"/>
        </w:rPr>
        <w:t xml:space="preserve">, M. K., Sharma, K. K., Meghwal, G. P., Patel, D. D., &amp; Meena, P. (2026). Green Synthesis and Characterization of AgNPs of </w:t>
      </w:r>
      <w:r w:rsidRPr="00AB4504">
        <w:rPr>
          <w:rFonts w:ascii="Arial" w:hAnsi="Arial"/>
          <w:i/>
          <w:iCs/>
          <w:sz w:val="20"/>
          <w:szCs w:val="20"/>
          <w:lang w:val="en-GB"/>
        </w:rPr>
        <w:t>Martynia annua</w:t>
      </w:r>
      <w:r w:rsidRPr="00AB4504">
        <w:rPr>
          <w:rFonts w:ascii="Arial" w:hAnsi="Arial"/>
          <w:sz w:val="20"/>
          <w:szCs w:val="20"/>
          <w:lang w:val="en-GB"/>
        </w:rPr>
        <w:t xml:space="preserve"> Fruit Extract: Evaluation for Their Antioxidant and Antibacterial Activities. </w:t>
      </w:r>
      <w:r w:rsidRPr="00AB4504">
        <w:rPr>
          <w:rFonts w:ascii="Arial" w:hAnsi="Arial"/>
          <w:i/>
          <w:iCs/>
          <w:sz w:val="20"/>
          <w:szCs w:val="20"/>
          <w:lang w:val="en-GB"/>
        </w:rPr>
        <w:t xml:space="preserve">Journal of Advances in Microbiology, </w:t>
      </w:r>
      <w:r w:rsidRPr="00AB4504">
        <w:rPr>
          <w:rFonts w:ascii="Arial" w:hAnsi="Arial"/>
          <w:sz w:val="20"/>
          <w:szCs w:val="20"/>
          <w:lang w:val="en-GB"/>
        </w:rPr>
        <w:t xml:space="preserve">26(4), 73-88. </w:t>
      </w:r>
    </w:p>
    <w:p w14:paraId="385B8D00"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Johnson I. T. (2007). Phytochemicals and cancer. </w:t>
      </w:r>
      <w:r w:rsidRPr="00AB4504">
        <w:rPr>
          <w:rFonts w:ascii="Arial" w:hAnsi="Arial"/>
          <w:i/>
          <w:iCs/>
          <w:sz w:val="20"/>
          <w:szCs w:val="20"/>
          <w:lang w:val="en-GB"/>
        </w:rPr>
        <w:t>The Proceedings of the Nutrition Society</w:t>
      </w:r>
      <w:r w:rsidRPr="00AB4504">
        <w:rPr>
          <w:rFonts w:ascii="Arial" w:hAnsi="Arial"/>
          <w:sz w:val="20"/>
          <w:szCs w:val="20"/>
          <w:lang w:val="en-GB"/>
        </w:rPr>
        <w:t xml:space="preserve">, 66(2), 207–215. </w:t>
      </w:r>
    </w:p>
    <w:p w14:paraId="2B3CFD30" w14:textId="200C0A2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Kasamoto</w:t>
      </w:r>
      <w:proofErr w:type="spellEnd"/>
      <w:r w:rsidRPr="00AB4504">
        <w:rPr>
          <w:rFonts w:ascii="Arial" w:hAnsi="Arial"/>
          <w:sz w:val="20"/>
          <w:szCs w:val="20"/>
          <w:lang w:val="en-GB"/>
        </w:rPr>
        <w:t xml:space="preserve">, S., </w:t>
      </w:r>
      <w:proofErr w:type="spellStart"/>
      <w:r w:rsidRPr="00AB4504">
        <w:rPr>
          <w:rFonts w:ascii="Arial" w:hAnsi="Arial"/>
          <w:sz w:val="20"/>
          <w:szCs w:val="20"/>
          <w:lang w:val="en-GB"/>
        </w:rPr>
        <w:t>Masumori</w:t>
      </w:r>
      <w:proofErr w:type="spellEnd"/>
      <w:r w:rsidRPr="00AB4504">
        <w:rPr>
          <w:rFonts w:ascii="Arial" w:hAnsi="Arial"/>
          <w:sz w:val="20"/>
          <w:szCs w:val="20"/>
          <w:lang w:val="en-GB"/>
        </w:rPr>
        <w:t xml:space="preserve">, S., Hayashi, M. (2013). </w:t>
      </w:r>
      <w:r w:rsidRPr="00AB4504">
        <w:rPr>
          <w:rFonts w:ascii="Arial" w:hAnsi="Arial"/>
          <w:i/>
          <w:iCs/>
          <w:sz w:val="20"/>
          <w:szCs w:val="20"/>
          <w:lang w:val="en-GB"/>
        </w:rPr>
        <w:t xml:space="preserve">In </w:t>
      </w:r>
      <w:r w:rsidR="006D6697" w:rsidRPr="00AB4504">
        <w:rPr>
          <w:rFonts w:ascii="Arial" w:hAnsi="Arial"/>
          <w:i/>
          <w:iCs/>
          <w:sz w:val="20"/>
          <w:szCs w:val="20"/>
          <w:lang w:val="en-GB"/>
        </w:rPr>
        <w:t>v</w:t>
      </w:r>
      <w:r w:rsidRPr="00AB4504">
        <w:rPr>
          <w:rFonts w:ascii="Arial" w:hAnsi="Arial"/>
          <w:i/>
          <w:iCs/>
          <w:sz w:val="20"/>
          <w:szCs w:val="20"/>
          <w:lang w:val="en-GB"/>
        </w:rPr>
        <w:t>ivo</w:t>
      </w:r>
      <w:r w:rsidRPr="00AB4504">
        <w:rPr>
          <w:rFonts w:ascii="Arial" w:hAnsi="Arial"/>
          <w:sz w:val="20"/>
          <w:szCs w:val="20"/>
          <w:lang w:val="en-GB"/>
        </w:rPr>
        <w:t xml:space="preserve"> Micronucleus Assay in Mouse Bone Marrow and Peripheral Blood. </w:t>
      </w:r>
      <w:r w:rsidRPr="00AB4504">
        <w:rPr>
          <w:rFonts w:ascii="Arial" w:hAnsi="Arial"/>
          <w:i/>
          <w:iCs/>
          <w:sz w:val="20"/>
          <w:szCs w:val="20"/>
          <w:lang w:val="en-GB"/>
        </w:rPr>
        <w:t>Methods in molecular biology (Clifton, N.J.)</w:t>
      </w:r>
      <w:r w:rsidRPr="00AB4504">
        <w:rPr>
          <w:rFonts w:ascii="Arial" w:hAnsi="Arial"/>
          <w:sz w:val="20"/>
          <w:szCs w:val="20"/>
          <w:lang w:val="en-GB"/>
        </w:rPr>
        <w:t xml:space="preserve">, 1044, 179-89. </w:t>
      </w:r>
    </w:p>
    <w:p w14:paraId="5DC9D927"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Katare</w:t>
      </w:r>
      <w:proofErr w:type="spellEnd"/>
      <w:r w:rsidRPr="00AB4504">
        <w:rPr>
          <w:rFonts w:ascii="Arial" w:hAnsi="Arial"/>
          <w:sz w:val="20"/>
          <w:szCs w:val="20"/>
          <w:lang w:val="en-GB"/>
        </w:rPr>
        <w:t xml:space="preserve">, V. &amp; Tyagi, C. (2020). Phytochemical and Pharmacological Evaluation of </w:t>
      </w:r>
      <w:r w:rsidRPr="00AB4504">
        <w:rPr>
          <w:rFonts w:ascii="Arial" w:hAnsi="Arial"/>
          <w:i/>
          <w:iCs/>
          <w:sz w:val="20"/>
          <w:szCs w:val="20"/>
          <w:lang w:val="en-GB"/>
        </w:rPr>
        <w:t>Martynia annua</w:t>
      </w:r>
      <w:r w:rsidRPr="00AB4504">
        <w:rPr>
          <w:rFonts w:ascii="Arial" w:hAnsi="Arial"/>
          <w:sz w:val="20"/>
          <w:szCs w:val="20"/>
          <w:lang w:val="en-GB"/>
        </w:rPr>
        <w:t xml:space="preserve"> for Immunomodulatory Potential. </w:t>
      </w:r>
      <w:r w:rsidRPr="00AB4504">
        <w:rPr>
          <w:rFonts w:ascii="Arial" w:hAnsi="Arial"/>
          <w:i/>
          <w:iCs/>
          <w:sz w:val="20"/>
          <w:szCs w:val="20"/>
          <w:lang w:val="en-GB"/>
        </w:rPr>
        <w:t>Research Journal of Pharmacognosy and Phytochemistry</w:t>
      </w:r>
      <w:r w:rsidRPr="00AB4504">
        <w:rPr>
          <w:rFonts w:ascii="Arial" w:hAnsi="Arial"/>
          <w:sz w:val="20"/>
          <w:szCs w:val="20"/>
          <w:lang w:val="en-GB"/>
        </w:rPr>
        <w:t xml:space="preserve">, 12, 94. </w:t>
      </w:r>
    </w:p>
    <w:p w14:paraId="239C8848"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Klaunig</w:t>
      </w:r>
      <w:proofErr w:type="spellEnd"/>
      <w:r w:rsidRPr="00AB4504">
        <w:rPr>
          <w:rFonts w:ascii="Arial" w:hAnsi="Arial"/>
          <w:sz w:val="20"/>
          <w:szCs w:val="20"/>
          <w:lang w:val="en-GB"/>
        </w:rPr>
        <w:t xml:space="preserve">, J. E., Wang, Z., Pu, X., &amp; Zhou, S. (2011). Oxidative stress and oxidative damage in chemical carcinogenesis. </w:t>
      </w:r>
      <w:r w:rsidRPr="00AB4504">
        <w:rPr>
          <w:rFonts w:ascii="Arial" w:hAnsi="Arial"/>
          <w:i/>
          <w:iCs/>
          <w:sz w:val="20"/>
          <w:szCs w:val="20"/>
          <w:lang w:val="en-GB"/>
        </w:rPr>
        <w:t>Toxicology and Applied Pharmacology</w:t>
      </w:r>
      <w:r w:rsidRPr="00AB4504">
        <w:rPr>
          <w:rFonts w:ascii="Arial" w:hAnsi="Arial"/>
          <w:sz w:val="20"/>
          <w:szCs w:val="20"/>
          <w:lang w:val="en-GB"/>
        </w:rPr>
        <w:t xml:space="preserve">, 254(2), 86–99. </w:t>
      </w:r>
    </w:p>
    <w:p w14:paraId="47250733" w14:textId="77777777" w:rsidR="008C1E55" w:rsidRPr="00AB4504" w:rsidRDefault="008C1E55" w:rsidP="004819AC">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Krishna, G., &amp; Hayashi, M. (2000). </w:t>
      </w:r>
      <w:r w:rsidRPr="00AB4504">
        <w:rPr>
          <w:rFonts w:ascii="Arial" w:hAnsi="Arial"/>
          <w:i/>
          <w:iCs/>
          <w:sz w:val="20"/>
          <w:szCs w:val="20"/>
          <w:lang w:val="en-GB"/>
        </w:rPr>
        <w:t>In vivo</w:t>
      </w:r>
      <w:r w:rsidRPr="00AB4504">
        <w:rPr>
          <w:rFonts w:ascii="Arial" w:hAnsi="Arial"/>
          <w:sz w:val="20"/>
          <w:szCs w:val="20"/>
          <w:lang w:val="en-GB"/>
        </w:rPr>
        <w:t xml:space="preserve"> rodent micronucleus assay: protocol, conduct and data interpretation. </w:t>
      </w:r>
      <w:r w:rsidRPr="00AB4504">
        <w:rPr>
          <w:rFonts w:ascii="Arial" w:hAnsi="Arial"/>
          <w:i/>
          <w:iCs/>
          <w:sz w:val="20"/>
          <w:szCs w:val="20"/>
          <w:lang w:val="en-GB"/>
        </w:rPr>
        <w:t>Mutation research</w:t>
      </w:r>
      <w:r w:rsidRPr="00AB4504">
        <w:rPr>
          <w:rFonts w:ascii="Arial" w:hAnsi="Arial"/>
          <w:sz w:val="20"/>
          <w:szCs w:val="20"/>
          <w:lang w:val="en-GB"/>
        </w:rPr>
        <w:t xml:space="preserve">, 455(1-2), 155–166. </w:t>
      </w:r>
    </w:p>
    <w:p w14:paraId="72920F95"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Kumar, M., Meena, P., Verma, S., Kumar, M., &amp; Kumar, A. (2010). Anti-tumour, anti-mutagenic and </w:t>
      </w:r>
      <w:proofErr w:type="spellStart"/>
      <w:r w:rsidRPr="00AB4504">
        <w:rPr>
          <w:rFonts w:ascii="Arial" w:hAnsi="Arial"/>
          <w:sz w:val="20"/>
          <w:szCs w:val="20"/>
          <w:lang w:val="en-GB"/>
        </w:rPr>
        <w:t>chemomodulatory</w:t>
      </w:r>
      <w:proofErr w:type="spellEnd"/>
      <w:r w:rsidRPr="00AB4504">
        <w:rPr>
          <w:rFonts w:ascii="Arial" w:hAnsi="Arial"/>
          <w:sz w:val="20"/>
          <w:szCs w:val="20"/>
          <w:lang w:val="en-GB"/>
        </w:rPr>
        <w:t xml:space="preserve"> potential of </w:t>
      </w:r>
      <w:proofErr w:type="spellStart"/>
      <w:r w:rsidRPr="00AB4504">
        <w:rPr>
          <w:rFonts w:ascii="Arial" w:hAnsi="Arial"/>
          <w:i/>
          <w:iCs/>
          <w:sz w:val="20"/>
          <w:szCs w:val="20"/>
          <w:lang w:val="en-GB"/>
        </w:rPr>
        <w:t>Chlorophytum</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borivilianum</w:t>
      </w:r>
      <w:proofErr w:type="spellEnd"/>
      <w:r w:rsidRPr="00AB4504">
        <w:rPr>
          <w:rFonts w:ascii="Arial" w:hAnsi="Arial"/>
          <w:sz w:val="20"/>
          <w:szCs w:val="20"/>
          <w:lang w:val="en-GB"/>
        </w:rPr>
        <w:t>. </w:t>
      </w:r>
      <w:r w:rsidRPr="00AB4504">
        <w:rPr>
          <w:rFonts w:ascii="Arial" w:hAnsi="Arial"/>
          <w:i/>
          <w:iCs/>
          <w:sz w:val="20"/>
          <w:szCs w:val="20"/>
          <w:lang w:val="en-GB"/>
        </w:rPr>
        <w:t>Asian Pacific journal of cancer prevention: APJCP</w:t>
      </w:r>
      <w:r w:rsidRPr="00AB4504">
        <w:rPr>
          <w:rFonts w:ascii="Arial" w:hAnsi="Arial"/>
          <w:sz w:val="20"/>
          <w:szCs w:val="20"/>
          <w:lang w:val="en-GB"/>
        </w:rPr>
        <w:t>, 11(2), 327–334.</w:t>
      </w:r>
    </w:p>
    <w:p w14:paraId="686CC216"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Kuroda, Y., &amp; Hara, Y. (1999). Antimutagenic and anticarcinogenic activity of tea polyphenols. </w:t>
      </w:r>
      <w:r w:rsidRPr="00AB4504">
        <w:rPr>
          <w:rFonts w:ascii="Arial" w:hAnsi="Arial"/>
          <w:i/>
          <w:iCs/>
          <w:sz w:val="20"/>
          <w:szCs w:val="20"/>
          <w:lang w:val="en-GB"/>
        </w:rPr>
        <w:t>Mutation research</w:t>
      </w:r>
      <w:r w:rsidRPr="00AB4504">
        <w:rPr>
          <w:rFonts w:ascii="Arial" w:hAnsi="Arial"/>
          <w:sz w:val="20"/>
          <w:szCs w:val="20"/>
          <w:lang w:val="en-GB"/>
        </w:rPr>
        <w:t xml:space="preserve">, 436(1), 69–97. </w:t>
      </w:r>
    </w:p>
    <w:p w14:paraId="2F5EA2AE" w14:textId="77777777" w:rsidR="008C1E55" w:rsidRPr="00AB4504" w:rsidRDefault="008C1E55">
      <w:pPr>
        <w:ind w:left="720" w:hanging="720"/>
        <w:jc w:val="both"/>
        <w:rPr>
          <w:rFonts w:ascii="Arial" w:hAnsi="Arial"/>
          <w:sz w:val="20"/>
          <w:szCs w:val="20"/>
          <w:lang w:val="en-GB"/>
        </w:rPr>
      </w:pPr>
      <w:r w:rsidRPr="00AB4504">
        <w:rPr>
          <w:rFonts w:ascii="Arial" w:hAnsi="Arial"/>
          <w:sz w:val="20"/>
          <w:szCs w:val="20"/>
          <w:lang w:val="en-GB"/>
        </w:rPr>
        <w:t xml:space="preserve">Meena, P. D., Kaushik, P., Shukla, S., Soni, A. K., Kumar, M., &amp; Kumar, A. (2006). Anticancer and antimutagenic properties of </w:t>
      </w:r>
      <w:r w:rsidRPr="00AB4504">
        <w:rPr>
          <w:rFonts w:ascii="Arial" w:hAnsi="Arial"/>
          <w:i/>
          <w:iCs/>
          <w:sz w:val="20"/>
          <w:szCs w:val="20"/>
          <w:lang w:val="en-GB"/>
        </w:rPr>
        <w:t>Acacia nilotica</w:t>
      </w:r>
      <w:r w:rsidRPr="00AB4504">
        <w:rPr>
          <w:rFonts w:ascii="Arial" w:hAnsi="Arial"/>
          <w:sz w:val="20"/>
          <w:szCs w:val="20"/>
          <w:lang w:val="en-GB"/>
        </w:rPr>
        <w:t xml:space="preserve"> (Linn.) on 7,12-dimethylbenz(a)anthracene-induced skin </w:t>
      </w:r>
      <w:proofErr w:type="spellStart"/>
      <w:r w:rsidRPr="00AB4504">
        <w:rPr>
          <w:rFonts w:ascii="Arial" w:hAnsi="Arial"/>
          <w:sz w:val="20"/>
          <w:szCs w:val="20"/>
          <w:lang w:val="en-GB"/>
        </w:rPr>
        <w:t>papillomagenesis</w:t>
      </w:r>
      <w:proofErr w:type="spellEnd"/>
      <w:r w:rsidRPr="00AB4504">
        <w:rPr>
          <w:rFonts w:ascii="Arial" w:hAnsi="Arial"/>
          <w:sz w:val="20"/>
          <w:szCs w:val="20"/>
          <w:lang w:val="en-GB"/>
        </w:rPr>
        <w:t xml:space="preserve"> in Swiss albino mice. </w:t>
      </w:r>
      <w:r w:rsidRPr="00AB4504">
        <w:rPr>
          <w:rFonts w:ascii="Arial" w:hAnsi="Arial"/>
          <w:i/>
          <w:iCs/>
          <w:sz w:val="20"/>
          <w:szCs w:val="20"/>
          <w:lang w:val="en-GB"/>
        </w:rPr>
        <w:t xml:space="preserve">Asian Pacific journal of cancer </w:t>
      </w:r>
      <w:r w:rsidRPr="00AB4504" w:rsidDel="004C1886">
        <w:rPr>
          <w:rFonts w:ascii="Arial" w:hAnsi="Arial"/>
          <w:i/>
          <w:iCs/>
          <w:sz w:val="20"/>
          <w:szCs w:val="20"/>
          <w:lang w:val="en-GB"/>
        </w:rPr>
        <w:t>prevention:</w:t>
      </w:r>
      <w:r w:rsidRPr="00AB4504">
        <w:rPr>
          <w:rFonts w:ascii="Arial" w:hAnsi="Arial"/>
          <w:i/>
          <w:iCs/>
          <w:sz w:val="20"/>
          <w:szCs w:val="20"/>
          <w:lang w:val="en-GB"/>
        </w:rPr>
        <w:t xml:space="preserve"> APJCP</w:t>
      </w:r>
      <w:r w:rsidRPr="00AB4504">
        <w:rPr>
          <w:rFonts w:ascii="Arial" w:hAnsi="Arial"/>
          <w:sz w:val="20"/>
          <w:szCs w:val="20"/>
          <w:lang w:val="en-GB"/>
        </w:rPr>
        <w:t>, 7(4), 627–632.</w:t>
      </w:r>
    </w:p>
    <w:p w14:paraId="5C93BB23" w14:textId="77777777" w:rsidR="008C1E55" w:rsidRPr="00AB4504" w:rsidRDefault="008C1E55" w:rsidP="006A5A97">
      <w:pPr>
        <w:ind w:left="720" w:hanging="720"/>
        <w:jc w:val="both"/>
        <w:rPr>
          <w:rFonts w:ascii="Arial" w:hAnsi="Arial"/>
          <w:i/>
          <w:iCs/>
          <w:sz w:val="20"/>
          <w:szCs w:val="20"/>
          <w:lang w:val="en-GB"/>
        </w:rPr>
      </w:pPr>
      <w:r w:rsidRPr="00AB4504">
        <w:rPr>
          <w:rFonts w:ascii="Arial" w:hAnsi="Arial"/>
          <w:sz w:val="20"/>
          <w:szCs w:val="20"/>
          <w:lang w:val="en-GB"/>
        </w:rPr>
        <w:t xml:space="preserve">Meghwal, G. P., </w:t>
      </w:r>
      <w:proofErr w:type="spellStart"/>
      <w:r w:rsidRPr="00AB4504">
        <w:rPr>
          <w:rFonts w:ascii="Arial" w:hAnsi="Arial"/>
          <w:sz w:val="20"/>
          <w:szCs w:val="20"/>
          <w:lang w:val="en-GB"/>
        </w:rPr>
        <w:t>Jeengar</w:t>
      </w:r>
      <w:proofErr w:type="spellEnd"/>
      <w:r w:rsidRPr="00AB4504">
        <w:rPr>
          <w:rFonts w:ascii="Arial" w:hAnsi="Arial"/>
          <w:sz w:val="20"/>
          <w:szCs w:val="20"/>
          <w:lang w:val="en-GB"/>
        </w:rPr>
        <w:t xml:space="preserve">, M. K., Jangeer, S., Sharma, K. K., Patel, D. D., &amp; Meena, P. (2025). Cancer Chemo-Preventive Potential of </w:t>
      </w:r>
      <w:r w:rsidRPr="00AB4504">
        <w:rPr>
          <w:rFonts w:ascii="Arial" w:hAnsi="Arial"/>
          <w:i/>
          <w:iCs/>
          <w:sz w:val="20"/>
          <w:szCs w:val="20"/>
          <w:lang w:val="en-GB"/>
        </w:rPr>
        <w:t>Calligonum polygonoides</w:t>
      </w:r>
      <w:r w:rsidRPr="00AB4504">
        <w:rPr>
          <w:rFonts w:ascii="Arial" w:hAnsi="Arial"/>
          <w:sz w:val="20"/>
          <w:szCs w:val="20"/>
          <w:lang w:val="en-GB"/>
        </w:rPr>
        <w:t xml:space="preserve"> Stem Extract Against DMBA Induced Skin Carcinogenesis. </w:t>
      </w:r>
      <w:r w:rsidRPr="00AB4504">
        <w:rPr>
          <w:rFonts w:ascii="Arial" w:hAnsi="Arial"/>
          <w:i/>
          <w:iCs/>
          <w:sz w:val="20"/>
          <w:szCs w:val="20"/>
          <w:lang w:val="en-GB"/>
        </w:rPr>
        <w:t>Asian Pacific Journal of Cancer Prevention</w:t>
      </w:r>
      <w:r w:rsidRPr="00AB4504">
        <w:rPr>
          <w:rFonts w:ascii="Arial" w:hAnsi="Arial"/>
          <w:sz w:val="20"/>
          <w:szCs w:val="20"/>
          <w:lang w:val="en-GB"/>
        </w:rPr>
        <w:t>, 26(5), 1831-1840. </w:t>
      </w:r>
    </w:p>
    <w:p w14:paraId="2A7F03F5" w14:textId="77777777" w:rsidR="008C1E55" w:rsidRPr="00AB4504" w:rsidRDefault="008C1E55">
      <w:pPr>
        <w:spacing w:line="276" w:lineRule="auto"/>
        <w:ind w:left="720" w:hanging="720"/>
        <w:jc w:val="both"/>
        <w:rPr>
          <w:rFonts w:ascii="Arial" w:hAnsi="Arial"/>
          <w:b/>
          <w:bCs/>
          <w:i/>
          <w:iCs/>
          <w:sz w:val="20"/>
          <w:szCs w:val="20"/>
          <w:lang w:val="en-GB"/>
        </w:rPr>
      </w:pPr>
      <w:proofErr w:type="spellStart"/>
      <w:r w:rsidRPr="00AB4504">
        <w:rPr>
          <w:rFonts w:ascii="Arial" w:hAnsi="Arial"/>
          <w:sz w:val="20"/>
          <w:szCs w:val="20"/>
          <w:lang w:val="en-GB"/>
        </w:rPr>
        <w:t>Meghwal</w:t>
      </w:r>
      <w:proofErr w:type="spellEnd"/>
      <w:r w:rsidRPr="00AB4504">
        <w:rPr>
          <w:rFonts w:ascii="Arial" w:hAnsi="Arial"/>
          <w:sz w:val="20"/>
          <w:szCs w:val="20"/>
          <w:lang w:val="en-GB"/>
        </w:rPr>
        <w:t xml:space="preserve">, G.P., </w:t>
      </w:r>
      <w:proofErr w:type="spellStart"/>
      <w:r w:rsidRPr="00AB4504">
        <w:rPr>
          <w:rFonts w:ascii="Arial" w:hAnsi="Arial"/>
          <w:sz w:val="20"/>
          <w:szCs w:val="20"/>
          <w:lang w:val="en-GB"/>
        </w:rPr>
        <w:t>Jeengar</w:t>
      </w:r>
      <w:proofErr w:type="spellEnd"/>
      <w:r w:rsidRPr="00AB4504">
        <w:rPr>
          <w:rFonts w:ascii="Arial" w:hAnsi="Arial"/>
          <w:sz w:val="20"/>
          <w:szCs w:val="20"/>
          <w:lang w:val="en-GB"/>
        </w:rPr>
        <w:t>, M.K., Patel D.D., &amp; Meena P. (2024). Phog: A nutraceutical shrub of Thar desert.</w:t>
      </w:r>
      <w:r w:rsidRPr="00AB4504">
        <w:rPr>
          <w:rFonts w:ascii="Arial" w:hAnsi="Arial"/>
          <w:i/>
          <w:iCs/>
          <w:sz w:val="20"/>
          <w:szCs w:val="20"/>
          <w:lang w:val="en-GB"/>
        </w:rPr>
        <w:t xml:space="preserve"> Journal of Pharmacognosy and Phytochemistry</w:t>
      </w:r>
      <w:r w:rsidRPr="00AB4504">
        <w:rPr>
          <w:rFonts w:ascii="Arial" w:hAnsi="Arial"/>
          <w:sz w:val="20"/>
          <w:szCs w:val="20"/>
          <w:lang w:val="en-GB"/>
        </w:rPr>
        <w:t xml:space="preserve">,13(4),161-166. </w:t>
      </w:r>
    </w:p>
    <w:p w14:paraId="65C7AA77" w14:textId="77777777" w:rsidR="008C1E55" w:rsidRPr="00AB4504" w:rsidRDefault="008C1E55" w:rsidP="004819AC">
      <w:pPr>
        <w:spacing w:line="276" w:lineRule="auto"/>
        <w:ind w:left="720" w:hanging="720"/>
        <w:jc w:val="both"/>
        <w:rPr>
          <w:rFonts w:ascii="Arial" w:hAnsi="Arial"/>
          <w:sz w:val="20"/>
          <w:szCs w:val="20"/>
          <w:lang w:val="en-GB"/>
        </w:rPr>
      </w:pPr>
      <w:r w:rsidRPr="00AB4504">
        <w:rPr>
          <w:rFonts w:ascii="Arial" w:hAnsi="Arial"/>
          <w:sz w:val="20"/>
          <w:szCs w:val="20"/>
          <w:lang w:val="en-GB"/>
        </w:rPr>
        <w:t>Miller, E. C., &amp; Miller, J. A. (1981). Mechanisms of chemical carcinogenesis. </w:t>
      </w:r>
      <w:r w:rsidRPr="00AB4504">
        <w:rPr>
          <w:rFonts w:ascii="Arial" w:hAnsi="Arial"/>
          <w:i/>
          <w:iCs/>
          <w:sz w:val="20"/>
          <w:szCs w:val="20"/>
          <w:lang w:val="en-GB"/>
        </w:rPr>
        <w:t>Cancer</w:t>
      </w:r>
      <w:r w:rsidRPr="00AB4504">
        <w:rPr>
          <w:rFonts w:ascii="Arial" w:hAnsi="Arial"/>
          <w:sz w:val="20"/>
          <w:szCs w:val="20"/>
          <w:lang w:val="en-GB"/>
        </w:rPr>
        <w:t xml:space="preserve">, 47(5 </w:t>
      </w:r>
      <w:proofErr w:type="spellStart"/>
      <w:r w:rsidRPr="00AB4504">
        <w:rPr>
          <w:rFonts w:ascii="Arial" w:hAnsi="Arial"/>
          <w:sz w:val="20"/>
          <w:szCs w:val="20"/>
          <w:lang w:val="en-GB"/>
        </w:rPr>
        <w:t>Suppl</w:t>
      </w:r>
      <w:proofErr w:type="spellEnd"/>
      <w:r w:rsidRPr="00AB4504">
        <w:rPr>
          <w:rFonts w:ascii="Arial" w:hAnsi="Arial"/>
          <w:sz w:val="20"/>
          <w:szCs w:val="20"/>
          <w:lang w:val="en-GB"/>
        </w:rPr>
        <w:t xml:space="preserve">), 1055–1064. </w:t>
      </w:r>
    </w:p>
    <w:p w14:paraId="37E3769D" w14:textId="77777777" w:rsidR="008C1E55" w:rsidRPr="00AB4504" w:rsidRDefault="008C1E55">
      <w:pPr>
        <w:spacing w:line="276" w:lineRule="auto"/>
        <w:ind w:left="720" w:hanging="720"/>
        <w:jc w:val="both"/>
        <w:rPr>
          <w:rFonts w:ascii="Arial" w:hAnsi="Arial"/>
          <w:sz w:val="20"/>
          <w:szCs w:val="20"/>
          <w:lang w:val="en-GB"/>
        </w:rPr>
      </w:pPr>
      <w:proofErr w:type="spellStart"/>
      <w:r w:rsidRPr="00AB4504">
        <w:rPr>
          <w:rFonts w:ascii="Arial" w:hAnsi="Arial"/>
          <w:sz w:val="20"/>
          <w:szCs w:val="20"/>
          <w:lang w:val="en-GB"/>
        </w:rPr>
        <w:t>Moteriya</w:t>
      </w:r>
      <w:proofErr w:type="spellEnd"/>
      <w:r w:rsidRPr="00AB4504">
        <w:rPr>
          <w:rFonts w:ascii="Arial" w:hAnsi="Arial"/>
          <w:sz w:val="20"/>
          <w:szCs w:val="20"/>
          <w:lang w:val="en-GB"/>
        </w:rPr>
        <w:t xml:space="preserve">, P., &amp; Chanda, S. (2017). Synthesis and characterization of silver nanoparticles using </w:t>
      </w:r>
      <w:r w:rsidRPr="00AB4504">
        <w:rPr>
          <w:rFonts w:ascii="Arial" w:hAnsi="Arial"/>
          <w:i/>
          <w:iCs/>
          <w:sz w:val="20"/>
          <w:szCs w:val="20"/>
          <w:lang w:val="en-GB"/>
        </w:rPr>
        <w:t>Caesalpinia pulcherrima</w:t>
      </w:r>
      <w:r w:rsidRPr="00AB4504">
        <w:rPr>
          <w:rFonts w:ascii="Arial" w:hAnsi="Arial"/>
          <w:sz w:val="20"/>
          <w:szCs w:val="20"/>
          <w:lang w:val="en-GB"/>
        </w:rPr>
        <w:t xml:space="preserve"> flower extract and assessment of their </w:t>
      </w:r>
      <w:r w:rsidRPr="00AB4504">
        <w:rPr>
          <w:rFonts w:ascii="Arial" w:hAnsi="Arial"/>
          <w:i/>
          <w:iCs/>
          <w:sz w:val="20"/>
          <w:szCs w:val="20"/>
          <w:lang w:val="en-GB"/>
        </w:rPr>
        <w:t>in vitro</w:t>
      </w:r>
      <w:r w:rsidRPr="00AB4504">
        <w:rPr>
          <w:rFonts w:ascii="Arial" w:hAnsi="Arial"/>
          <w:sz w:val="20"/>
          <w:szCs w:val="20"/>
          <w:lang w:val="en-GB"/>
        </w:rPr>
        <w:t xml:space="preserve"> antimicrobial, </w:t>
      </w:r>
      <w:r w:rsidRPr="00AB4504">
        <w:rPr>
          <w:rFonts w:ascii="Arial" w:hAnsi="Arial"/>
          <w:sz w:val="20"/>
          <w:szCs w:val="20"/>
          <w:lang w:val="en-GB"/>
        </w:rPr>
        <w:lastRenderedPageBreak/>
        <w:t>antioxidant, cytotoxic, and genotoxic activities. </w:t>
      </w:r>
      <w:r w:rsidRPr="00AB4504">
        <w:rPr>
          <w:rFonts w:ascii="Arial" w:hAnsi="Arial"/>
          <w:i/>
          <w:iCs/>
          <w:sz w:val="20"/>
          <w:szCs w:val="20"/>
          <w:lang w:val="en-GB"/>
        </w:rPr>
        <w:t>Artificial cells, nanomedicine, and biotechnology</w:t>
      </w:r>
      <w:r w:rsidRPr="00AB4504">
        <w:rPr>
          <w:rFonts w:ascii="Arial" w:hAnsi="Arial"/>
          <w:sz w:val="20"/>
          <w:szCs w:val="20"/>
          <w:lang w:val="en-GB"/>
        </w:rPr>
        <w:t xml:space="preserve">, 45(8), 1556–1567. </w:t>
      </w:r>
    </w:p>
    <w:p w14:paraId="2C4A47A4"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Panwar, M., Kumar, M., Samarth, R., &amp; Kumar, A. (2005). Evaluation of chemopreventive action and antimutagenic effect of the standardized </w:t>
      </w:r>
      <w:r w:rsidRPr="00AB4504">
        <w:rPr>
          <w:rFonts w:ascii="Arial" w:hAnsi="Arial"/>
          <w:i/>
          <w:iCs/>
          <w:sz w:val="20"/>
          <w:szCs w:val="20"/>
          <w:lang w:val="en-GB"/>
        </w:rPr>
        <w:t>Panax ginseng</w:t>
      </w:r>
      <w:r w:rsidRPr="00AB4504">
        <w:rPr>
          <w:rFonts w:ascii="Arial" w:hAnsi="Arial"/>
          <w:sz w:val="20"/>
          <w:szCs w:val="20"/>
          <w:lang w:val="en-GB"/>
        </w:rPr>
        <w:t xml:space="preserve"> extract, EFLA400, in Swiss albino mice. </w:t>
      </w:r>
      <w:r w:rsidRPr="00AB4504">
        <w:rPr>
          <w:rFonts w:ascii="Arial" w:hAnsi="Arial"/>
          <w:i/>
          <w:iCs/>
          <w:sz w:val="20"/>
          <w:szCs w:val="20"/>
          <w:lang w:val="en-GB"/>
        </w:rPr>
        <w:t>Phytotherapy research: PTR</w:t>
      </w:r>
      <w:r w:rsidRPr="00AB4504">
        <w:rPr>
          <w:rFonts w:ascii="Arial" w:hAnsi="Arial"/>
          <w:sz w:val="20"/>
          <w:szCs w:val="20"/>
          <w:lang w:val="en-GB"/>
        </w:rPr>
        <w:t xml:space="preserve">, 19(1), 65–71. </w:t>
      </w:r>
    </w:p>
    <w:p w14:paraId="38AB39EB"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Phillips D. H. (1983). Fifty years of benzo(a)pyrene. </w:t>
      </w:r>
      <w:r w:rsidRPr="00AB4504">
        <w:rPr>
          <w:rFonts w:ascii="Arial" w:hAnsi="Arial"/>
          <w:i/>
          <w:iCs/>
          <w:sz w:val="20"/>
          <w:szCs w:val="20"/>
          <w:lang w:val="en-GB"/>
        </w:rPr>
        <w:t>Nature</w:t>
      </w:r>
      <w:r w:rsidRPr="00AB4504">
        <w:rPr>
          <w:rFonts w:ascii="Arial" w:hAnsi="Arial"/>
          <w:sz w:val="20"/>
          <w:szCs w:val="20"/>
          <w:lang w:val="en-GB"/>
        </w:rPr>
        <w:t xml:space="preserve">, 303(5917), 468–472. </w:t>
      </w:r>
    </w:p>
    <w:p w14:paraId="1BD9AFF5"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Preston, R. J., Dean, B. J., Galloway, S., Holden, H., McFee, A. F., &amp; Shelby, M. (1987). Mammalian </w:t>
      </w:r>
      <w:r w:rsidRPr="00AB4504">
        <w:rPr>
          <w:rFonts w:ascii="Arial" w:hAnsi="Arial"/>
          <w:i/>
          <w:iCs/>
          <w:sz w:val="20"/>
          <w:szCs w:val="20"/>
          <w:lang w:val="en-GB"/>
        </w:rPr>
        <w:t>in vivo</w:t>
      </w:r>
      <w:r w:rsidRPr="00AB4504">
        <w:rPr>
          <w:rFonts w:ascii="Arial" w:hAnsi="Arial"/>
          <w:sz w:val="20"/>
          <w:szCs w:val="20"/>
          <w:lang w:val="en-GB"/>
        </w:rPr>
        <w:t xml:space="preserve"> cytogenetic assays: Analysis of chromosome aberrations in bone marrow cells. </w:t>
      </w:r>
      <w:r w:rsidRPr="00AB4504">
        <w:rPr>
          <w:rFonts w:ascii="Arial" w:hAnsi="Arial"/>
          <w:i/>
          <w:iCs/>
          <w:sz w:val="20"/>
          <w:szCs w:val="20"/>
          <w:lang w:val="en-GB"/>
        </w:rPr>
        <w:t>Mutation Research</w:t>
      </w:r>
      <w:r w:rsidRPr="00AB4504">
        <w:rPr>
          <w:rFonts w:ascii="Arial" w:hAnsi="Arial"/>
          <w:sz w:val="20"/>
          <w:szCs w:val="20"/>
          <w:lang w:val="en-GB"/>
        </w:rPr>
        <w:t xml:space="preserve">, 189(2), 157–165. </w:t>
      </w:r>
    </w:p>
    <w:p w14:paraId="09401DB4" w14:textId="77777777" w:rsidR="008C1E55" w:rsidRPr="00AB4504" w:rsidRDefault="008C1E55" w:rsidP="00E112C9">
      <w:pPr>
        <w:ind w:left="720" w:hanging="720"/>
        <w:jc w:val="both"/>
        <w:rPr>
          <w:rFonts w:ascii="Arial" w:hAnsi="Arial"/>
          <w:sz w:val="20"/>
          <w:szCs w:val="20"/>
          <w:lang w:val="en-GB"/>
        </w:rPr>
      </w:pPr>
      <w:r w:rsidRPr="00AB4504">
        <w:rPr>
          <w:rFonts w:ascii="Arial" w:hAnsi="Arial"/>
          <w:sz w:val="20"/>
          <w:szCs w:val="20"/>
          <w:lang w:val="en-GB"/>
        </w:rPr>
        <w:t xml:space="preserve">Samarth, R. M., Panwar, M., Kumar, M., &amp; Kumar, A. (2006). Protective effects of </w:t>
      </w:r>
      <w:r w:rsidRPr="00AB4504">
        <w:rPr>
          <w:rFonts w:ascii="Arial" w:hAnsi="Arial"/>
          <w:i/>
          <w:iCs/>
          <w:sz w:val="20"/>
          <w:szCs w:val="20"/>
          <w:lang w:val="en-GB"/>
        </w:rPr>
        <w:t>Mentha piperita</w:t>
      </w:r>
      <w:r w:rsidRPr="00AB4504">
        <w:rPr>
          <w:rFonts w:ascii="Arial" w:hAnsi="Arial"/>
          <w:sz w:val="20"/>
          <w:szCs w:val="20"/>
          <w:lang w:val="en-GB"/>
        </w:rPr>
        <w:t xml:space="preserve"> Linn on benzo[a]pyrene-induced lung carcinogenicity and mutagenicity in Swiss albino mice. </w:t>
      </w:r>
      <w:r w:rsidRPr="00AB4504">
        <w:rPr>
          <w:rFonts w:ascii="Arial" w:hAnsi="Arial"/>
          <w:i/>
          <w:iCs/>
          <w:sz w:val="20"/>
          <w:szCs w:val="20"/>
          <w:lang w:val="en-GB"/>
        </w:rPr>
        <w:t>Mutagenesis</w:t>
      </w:r>
      <w:r w:rsidRPr="00AB4504">
        <w:rPr>
          <w:rFonts w:ascii="Arial" w:hAnsi="Arial"/>
          <w:sz w:val="20"/>
          <w:szCs w:val="20"/>
          <w:lang w:val="en-GB"/>
        </w:rPr>
        <w:t xml:space="preserve">, 21(1), 61–66. </w:t>
      </w:r>
    </w:p>
    <w:p w14:paraId="7BC031BE"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Sharma, K. K., </w:t>
      </w:r>
      <w:proofErr w:type="spellStart"/>
      <w:r w:rsidRPr="00AB4504">
        <w:rPr>
          <w:rFonts w:ascii="Arial" w:hAnsi="Arial"/>
          <w:sz w:val="20"/>
          <w:szCs w:val="20"/>
          <w:lang w:val="en-GB"/>
        </w:rPr>
        <w:t>Jeengar</w:t>
      </w:r>
      <w:proofErr w:type="spellEnd"/>
      <w:r w:rsidRPr="00AB4504">
        <w:rPr>
          <w:rFonts w:ascii="Arial" w:hAnsi="Arial"/>
          <w:sz w:val="20"/>
          <w:szCs w:val="20"/>
          <w:lang w:val="en-GB"/>
        </w:rPr>
        <w:t xml:space="preserve">, M. K., Meghwal, G. P., Patel, D. D., &amp; Meena, P. (2025 a). Qualitative phytochemical screening and </w:t>
      </w:r>
      <w:r w:rsidRPr="00AB4504">
        <w:rPr>
          <w:rFonts w:ascii="Arial" w:hAnsi="Arial"/>
          <w:i/>
          <w:iCs/>
          <w:sz w:val="20"/>
          <w:szCs w:val="20"/>
          <w:lang w:val="en-GB"/>
        </w:rPr>
        <w:t>in vitro</w:t>
      </w:r>
      <w:r w:rsidRPr="00AB4504">
        <w:rPr>
          <w:rFonts w:ascii="Arial" w:hAnsi="Arial"/>
          <w:sz w:val="20"/>
          <w:szCs w:val="20"/>
          <w:lang w:val="en-GB"/>
        </w:rPr>
        <w:t xml:space="preserve"> antioxidant evaluation of </w:t>
      </w:r>
      <w:r w:rsidRPr="00AB4504">
        <w:rPr>
          <w:rFonts w:ascii="Arial" w:hAnsi="Arial"/>
          <w:i/>
          <w:iCs/>
          <w:sz w:val="20"/>
          <w:szCs w:val="20"/>
          <w:lang w:val="en-GB"/>
        </w:rPr>
        <w:t>Martynia annua</w:t>
      </w:r>
      <w:r w:rsidRPr="00AB4504">
        <w:rPr>
          <w:rFonts w:ascii="Arial" w:hAnsi="Arial"/>
          <w:sz w:val="20"/>
          <w:szCs w:val="20"/>
          <w:lang w:val="en-GB"/>
        </w:rPr>
        <w:t xml:space="preserve"> leaves collected from Alwar District, Rajasthan, India. </w:t>
      </w:r>
      <w:r w:rsidRPr="00AB4504">
        <w:rPr>
          <w:rFonts w:ascii="Arial" w:hAnsi="Arial"/>
          <w:i/>
          <w:iCs/>
          <w:sz w:val="20"/>
          <w:szCs w:val="20"/>
          <w:lang w:val="en-GB"/>
        </w:rPr>
        <w:t xml:space="preserve">International Journal for Multidisciplinary Research, </w:t>
      </w:r>
      <w:r w:rsidRPr="00AB4504">
        <w:rPr>
          <w:rFonts w:ascii="Arial" w:hAnsi="Arial"/>
          <w:sz w:val="20"/>
          <w:szCs w:val="20"/>
          <w:lang w:val="en-GB"/>
        </w:rPr>
        <w:t xml:space="preserve">7(6), 1–9. </w:t>
      </w:r>
    </w:p>
    <w:p w14:paraId="17413E70" w14:textId="77777777" w:rsidR="008C1E55" w:rsidRPr="00AB4504" w:rsidRDefault="008C1E55" w:rsidP="004819AC">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Sharma, K. K., </w:t>
      </w:r>
      <w:proofErr w:type="spellStart"/>
      <w:r w:rsidRPr="00AB4504">
        <w:rPr>
          <w:rFonts w:ascii="Arial" w:hAnsi="Arial"/>
          <w:sz w:val="20"/>
          <w:szCs w:val="20"/>
          <w:lang w:val="en-GB"/>
        </w:rPr>
        <w:t>Jeengar</w:t>
      </w:r>
      <w:proofErr w:type="spellEnd"/>
      <w:r w:rsidRPr="00AB4504">
        <w:rPr>
          <w:rFonts w:ascii="Arial" w:hAnsi="Arial"/>
          <w:sz w:val="20"/>
          <w:szCs w:val="20"/>
          <w:lang w:val="en-GB"/>
        </w:rPr>
        <w:t xml:space="preserve">, M. K., Patel, D. D., &amp; Meena, P. (2024). </w:t>
      </w:r>
      <w:proofErr w:type="spellStart"/>
      <w:r w:rsidRPr="00AB4504">
        <w:rPr>
          <w:rFonts w:ascii="Arial" w:hAnsi="Arial"/>
          <w:sz w:val="20"/>
          <w:szCs w:val="20"/>
          <w:lang w:val="en-GB"/>
        </w:rPr>
        <w:t>Baghnakh</w:t>
      </w:r>
      <w:proofErr w:type="spellEnd"/>
      <w:r w:rsidRPr="00AB4504">
        <w:rPr>
          <w:rFonts w:ascii="Arial" w:hAnsi="Arial"/>
          <w:sz w:val="20"/>
          <w:szCs w:val="20"/>
          <w:lang w:val="en-GB"/>
        </w:rPr>
        <w:t xml:space="preserve"> (</w:t>
      </w:r>
      <w:proofErr w:type="spellStart"/>
      <w:r w:rsidRPr="00AB4504">
        <w:rPr>
          <w:rFonts w:ascii="Arial" w:hAnsi="Arial"/>
          <w:i/>
          <w:iCs/>
          <w:sz w:val="20"/>
          <w:szCs w:val="20"/>
          <w:lang w:val="en-GB"/>
        </w:rPr>
        <w:t>Martynia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annua</w:t>
      </w:r>
      <w:proofErr w:type="spellEnd"/>
      <w:r w:rsidRPr="00AB4504">
        <w:rPr>
          <w:rFonts w:ascii="Arial" w:hAnsi="Arial"/>
          <w:sz w:val="20"/>
          <w:szCs w:val="20"/>
          <w:lang w:val="en-GB"/>
        </w:rPr>
        <w:t>): Prehistory to contemporary medicinal value. Journal of Pharmacognosy and Phytochemistry, 13(6), 409-415.</w:t>
      </w:r>
    </w:p>
    <w:p w14:paraId="3D04FE44"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Sharma, K. K., </w:t>
      </w:r>
      <w:proofErr w:type="spellStart"/>
      <w:r w:rsidRPr="00AB4504">
        <w:rPr>
          <w:rFonts w:ascii="Arial" w:hAnsi="Arial"/>
          <w:sz w:val="20"/>
          <w:szCs w:val="20"/>
          <w:lang w:val="en-GB"/>
        </w:rPr>
        <w:t>Jeengar</w:t>
      </w:r>
      <w:proofErr w:type="spellEnd"/>
      <w:r w:rsidRPr="00AB4504">
        <w:rPr>
          <w:rFonts w:ascii="Arial" w:hAnsi="Arial"/>
          <w:sz w:val="20"/>
          <w:szCs w:val="20"/>
          <w:lang w:val="en-GB"/>
        </w:rPr>
        <w:t xml:space="preserve">, M. K., Patel, D. D., &amp; Meena, P. (2025 b). Evaluation of antioxidant and antibacterial properties of fruit and flower extracts of </w:t>
      </w:r>
      <w:r w:rsidRPr="00AB4504">
        <w:rPr>
          <w:rFonts w:ascii="Arial" w:hAnsi="Arial"/>
          <w:i/>
          <w:iCs/>
          <w:sz w:val="20"/>
          <w:szCs w:val="20"/>
          <w:lang w:val="en-GB"/>
        </w:rPr>
        <w:t>Martynia annua</w:t>
      </w:r>
      <w:r w:rsidRPr="00AB4504">
        <w:rPr>
          <w:rFonts w:ascii="Arial" w:hAnsi="Arial"/>
          <w:sz w:val="20"/>
          <w:szCs w:val="20"/>
          <w:lang w:val="en-GB"/>
        </w:rPr>
        <w:t xml:space="preserve"> from Alwar District, Rajasthan, India. </w:t>
      </w:r>
      <w:r w:rsidRPr="00AB4504">
        <w:rPr>
          <w:rFonts w:ascii="Arial" w:hAnsi="Arial"/>
          <w:i/>
          <w:iCs/>
          <w:sz w:val="20"/>
          <w:szCs w:val="20"/>
          <w:lang w:val="en-GB"/>
        </w:rPr>
        <w:t xml:space="preserve">International Journal of Innovative Research in Science, Engineering and Technology, </w:t>
      </w:r>
      <w:r w:rsidRPr="00AB4504">
        <w:rPr>
          <w:rFonts w:ascii="Arial" w:hAnsi="Arial"/>
          <w:sz w:val="20"/>
          <w:szCs w:val="20"/>
          <w:lang w:val="en-GB"/>
        </w:rPr>
        <w:t>14(9), 19669–19678.</w:t>
      </w:r>
    </w:p>
    <w:p w14:paraId="039B5DA9"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Siddique, Y. H., Ara, G., Beg, T., &amp; Afzal, M. (2007). Anti-genotoxic effect of </w:t>
      </w:r>
      <w:r w:rsidRPr="00AB4504">
        <w:rPr>
          <w:rFonts w:ascii="Arial" w:hAnsi="Arial"/>
          <w:i/>
          <w:iCs/>
          <w:sz w:val="20"/>
          <w:szCs w:val="20"/>
          <w:lang w:val="en-GB"/>
        </w:rPr>
        <w:t>Ocimum sanctum</w:t>
      </w:r>
      <w:r w:rsidRPr="00AB4504">
        <w:rPr>
          <w:rFonts w:ascii="Arial" w:hAnsi="Arial"/>
          <w:sz w:val="20"/>
          <w:szCs w:val="20"/>
          <w:lang w:val="en-GB"/>
        </w:rPr>
        <w:t xml:space="preserve"> L. extract against cyproterone acetate induced genotoxic damage in cultured mammalian cells. </w:t>
      </w:r>
      <w:r w:rsidRPr="00AB4504">
        <w:rPr>
          <w:rFonts w:ascii="Arial" w:hAnsi="Arial"/>
          <w:i/>
          <w:iCs/>
          <w:sz w:val="20"/>
          <w:szCs w:val="20"/>
          <w:lang w:val="en-GB"/>
        </w:rPr>
        <w:t xml:space="preserve">Acta </w:t>
      </w:r>
      <w:proofErr w:type="spellStart"/>
      <w:r w:rsidRPr="00AB4504">
        <w:rPr>
          <w:rFonts w:ascii="Arial" w:hAnsi="Arial"/>
          <w:i/>
          <w:iCs/>
          <w:sz w:val="20"/>
          <w:szCs w:val="20"/>
          <w:lang w:val="en-GB"/>
        </w:rPr>
        <w:t>biologica</w:t>
      </w:r>
      <w:proofErr w:type="spellEnd"/>
      <w:r w:rsidRPr="00AB4504">
        <w:rPr>
          <w:rFonts w:ascii="Arial" w:hAnsi="Arial"/>
          <w:i/>
          <w:iCs/>
          <w:sz w:val="20"/>
          <w:szCs w:val="20"/>
          <w:lang w:val="en-GB"/>
        </w:rPr>
        <w:t xml:space="preserve"> </w:t>
      </w:r>
      <w:proofErr w:type="spellStart"/>
      <w:r w:rsidRPr="00AB4504">
        <w:rPr>
          <w:rFonts w:ascii="Arial" w:hAnsi="Arial"/>
          <w:i/>
          <w:iCs/>
          <w:sz w:val="20"/>
          <w:szCs w:val="20"/>
          <w:lang w:val="en-GB"/>
        </w:rPr>
        <w:t>Hungarica</w:t>
      </w:r>
      <w:proofErr w:type="spellEnd"/>
      <w:r w:rsidRPr="00AB4504">
        <w:rPr>
          <w:rFonts w:ascii="Arial" w:hAnsi="Arial"/>
          <w:sz w:val="20"/>
          <w:szCs w:val="20"/>
          <w:lang w:val="en-GB"/>
        </w:rPr>
        <w:t xml:space="preserve">, 58(4), 397–409. </w:t>
      </w:r>
    </w:p>
    <w:p w14:paraId="7A64BF88" w14:textId="77777777" w:rsidR="008C1E55" w:rsidRPr="00AB4504" w:rsidRDefault="008C1E55">
      <w:pPr>
        <w:ind w:left="720" w:hanging="720"/>
        <w:jc w:val="both"/>
        <w:rPr>
          <w:rFonts w:ascii="Arial" w:hAnsi="Arial"/>
          <w:sz w:val="20"/>
          <w:szCs w:val="20"/>
          <w:lang w:val="en-GB"/>
        </w:rPr>
      </w:pPr>
      <w:r w:rsidRPr="00AB4504">
        <w:rPr>
          <w:rFonts w:ascii="Arial" w:hAnsi="Arial"/>
          <w:sz w:val="20"/>
          <w:szCs w:val="20"/>
          <w:lang w:val="en-GB"/>
        </w:rPr>
        <w:t>Singh, J., Kumar, A., Singh, A., Nayal, A. S., &amp; Pratap, D. (2026). Green synthesized silver and zinc oxide nanoparticles with antifungal, DNA protection, DNA cleavage, and cytotoxic activities. </w:t>
      </w:r>
      <w:r w:rsidRPr="00AB4504">
        <w:rPr>
          <w:rFonts w:ascii="Arial" w:hAnsi="Arial"/>
          <w:i/>
          <w:iCs/>
          <w:sz w:val="20"/>
          <w:szCs w:val="20"/>
          <w:lang w:val="en-GB"/>
        </w:rPr>
        <w:t>Scientific reports</w:t>
      </w:r>
      <w:r w:rsidRPr="00AB4504">
        <w:rPr>
          <w:rFonts w:ascii="Arial" w:hAnsi="Arial"/>
          <w:sz w:val="20"/>
          <w:szCs w:val="20"/>
          <w:lang w:val="en-GB"/>
        </w:rPr>
        <w:t xml:space="preserve">, 16(1), 10573. </w:t>
      </w:r>
    </w:p>
    <w:p w14:paraId="0614CBE1"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Slaga, T. J., Fischer, S. M., Weeks, C. E., Klein-Szanto, A. J., &amp; Reiners, J. (1982). Studies on the mechanisms involved in multistage carcinogenesis in mouse skin. </w:t>
      </w:r>
      <w:r w:rsidRPr="00AB4504">
        <w:rPr>
          <w:rFonts w:ascii="Arial" w:hAnsi="Arial"/>
          <w:i/>
          <w:iCs/>
          <w:sz w:val="20"/>
          <w:szCs w:val="20"/>
          <w:lang w:val="en-GB"/>
        </w:rPr>
        <w:t>Journal of Cellular Biochemistry</w:t>
      </w:r>
      <w:r w:rsidRPr="00AB4504">
        <w:rPr>
          <w:rFonts w:ascii="Arial" w:hAnsi="Arial"/>
          <w:sz w:val="20"/>
          <w:szCs w:val="20"/>
          <w:lang w:val="en-GB"/>
        </w:rPr>
        <w:t xml:space="preserve">, 18(1), 99–119. </w:t>
      </w:r>
    </w:p>
    <w:p w14:paraId="66DE39CC"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Sporn M. B. (1976). Approaches to prevention of epithelial cancer during the preneoplastic period. </w:t>
      </w:r>
      <w:r w:rsidRPr="00AB4504">
        <w:rPr>
          <w:rFonts w:ascii="Arial" w:hAnsi="Arial"/>
          <w:i/>
          <w:iCs/>
          <w:sz w:val="20"/>
          <w:szCs w:val="20"/>
          <w:lang w:val="en-GB"/>
        </w:rPr>
        <w:t>Cancer research</w:t>
      </w:r>
      <w:r w:rsidRPr="00AB4504">
        <w:rPr>
          <w:rFonts w:ascii="Arial" w:hAnsi="Arial"/>
          <w:sz w:val="20"/>
          <w:szCs w:val="20"/>
          <w:lang w:val="en-GB"/>
        </w:rPr>
        <w:t>, 36(7 PT 2), 2699–2702.</w:t>
      </w:r>
    </w:p>
    <w:p w14:paraId="765C36C0"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Surh, Y. J. (2003). Cancer chemoprevention with dietary phytochemicals. </w:t>
      </w:r>
      <w:r w:rsidRPr="00AB4504">
        <w:rPr>
          <w:rFonts w:ascii="Arial" w:hAnsi="Arial"/>
          <w:i/>
          <w:iCs/>
          <w:sz w:val="20"/>
          <w:szCs w:val="20"/>
          <w:lang w:val="en-GB"/>
        </w:rPr>
        <w:t>Nature Reviews Cancer</w:t>
      </w:r>
      <w:r w:rsidRPr="00AB4504">
        <w:rPr>
          <w:rFonts w:ascii="Arial" w:hAnsi="Arial"/>
          <w:sz w:val="20"/>
          <w:szCs w:val="20"/>
          <w:lang w:val="en-GB"/>
        </w:rPr>
        <w:t xml:space="preserve">, 3(10), 768–780. </w:t>
      </w:r>
    </w:p>
    <w:p w14:paraId="4AAD5651"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Takáč, P., Michalková, R., </w:t>
      </w:r>
      <w:proofErr w:type="spellStart"/>
      <w:r w:rsidRPr="00AB4504">
        <w:rPr>
          <w:rFonts w:ascii="Arial" w:hAnsi="Arial"/>
          <w:sz w:val="20"/>
          <w:szCs w:val="20"/>
          <w:lang w:val="en-GB"/>
        </w:rPr>
        <w:t>Čižmáriková</w:t>
      </w:r>
      <w:proofErr w:type="spellEnd"/>
      <w:r w:rsidRPr="00AB4504">
        <w:rPr>
          <w:rFonts w:ascii="Arial" w:hAnsi="Arial"/>
          <w:sz w:val="20"/>
          <w:szCs w:val="20"/>
          <w:lang w:val="en-GB"/>
        </w:rPr>
        <w:t xml:space="preserve">, M., </w:t>
      </w:r>
      <w:proofErr w:type="spellStart"/>
      <w:r w:rsidRPr="00AB4504">
        <w:rPr>
          <w:rFonts w:ascii="Arial" w:hAnsi="Arial"/>
          <w:sz w:val="20"/>
          <w:szCs w:val="20"/>
          <w:lang w:val="en-GB"/>
        </w:rPr>
        <w:t>Bedlovičová</w:t>
      </w:r>
      <w:proofErr w:type="spellEnd"/>
      <w:r w:rsidRPr="00AB4504">
        <w:rPr>
          <w:rFonts w:ascii="Arial" w:hAnsi="Arial"/>
          <w:sz w:val="20"/>
          <w:szCs w:val="20"/>
          <w:lang w:val="en-GB"/>
        </w:rPr>
        <w:t xml:space="preserve">, Z., Balážová, Ľ., &amp; </w:t>
      </w:r>
      <w:proofErr w:type="spellStart"/>
      <w:r w:rsidRPr="00AB4504">
        <w:rPr>
          <w:rFonts w:ascii="Arial" w:hAnsi="Arial"/>
          <w:sz w:val="20"/>
          <w:szCs w:val="20"/>
          <w:lang w:val="en-GB"/>
        </w:rPr>
        <w:t>Takáčová</w:t>
      </w:r>
      <w:proofErr w:type="spellEnd"/>
      <w:r w:rsidRPr="00AB4504">
        <w:rPr>
          <w:rFonts w:ascii="Arial" w:hAnsi="Arial"/>
          <w:sz w:val="20"/>
          <w:szCs w:val="20"/>
          <w:lang w:val="en-GB"/>
        </w:rPr>
        <w:t xml:space="preserve">, G. (2023). The role of silver nanoparticles in the diagnosis and treatment of cancer: Are there any perspectives for the future? </w:t>
      </w:r>
      <w:r w:rsidRPr="00AB4504">
        <w:rPr>
          <w:rFonts w:ascii="Arial" w:hAnsi="Arial"/>
          <w:i/>
          <w:iCs/>
          <w:sz w:val="20"/>
          <w:szCs w:val="20"/>
          <w:lang w:val="en-GB"/>
        </w:rPr>
        <w:t>Life</w:t>
      </w:r>
      <w:r w:rsidRPr="00AB4504">
        <w:rPr>
          <w:rFonts w:ascii="Arial" w:hAnsi="Arial"/>
          <w:sz w:val="20"/>
          <w:szCs w:val="20"/>
          <w:lang w:val="en-GB"/>
        </w:rPr>
        <w:t xml:space="preserve">, 13(2), 466. </w:t>
      </w:r>
    </w:p>
    <w:p w14:paraId="76D530EC"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t xml:space="preserve">Thresiamma, K. C., George, J., &amp; </w:t>
      </w:r>
      <w:proofErr w:type="spellStart"/>
      <w:r w:rsidRPr="00AB4504">
        <w:rPr>
          <w:rFonts w:ascii="Arial" w:hAnsi="Arial"/>
          <w:sz w:val="20"/>
          <w:szCs w:val="20"/>
          <w:lang w:val="en-GB"/>
        </w:rPr>
        <w:t>Kuttan</w:t>
      </w:r>
      <w:proofErr w:type="spellEnd"/>
      <w:r w:rsidRPr="00AB4504">
        <w:rPr>
          <w:rFonts w:ascii="Arial" w:hAnsi="Arial"/>
          <w:sz w:val="20"/>
          <w:szCs w:val="20"/>
          <w:lang w:val="en-GB"/>
        </w:rPr>
        <w:t>, R. (1998). Protective effect of curcumin, ellagic acid and bixin on radiation induced genotoxicity. </w:t>
      </w:r>
      <w:r w:rsidRPr="00AB4504">
        <w:rPr>
          <w:rFonts w:ascii="Arial" w:hAnsi="Arial"/>
          <w:i/>
          <w:iCs/>
          <w:sz w:val="20"/>
          <w:szCs w:val="20"/>
          <w:lang w:val="en-GB"/>
        </w:rPr>
        <w:t>Journal of experimental &amp; clinical cancer research: CR</w:t>
      </w:r>
      <w:r w:rsidRPr="00AB4504">
        <w:rPr>
          <w:rFonts w:ascii="Arial" w:hAnsi="Arial"/>
          <w:sz w:val="20"/>
          <w:szCs w:val="20"/>
          <w:lang w:val="en-GB"/>
        </w:rPr>
        <w:t>, </w:t>
      </w:r>
      <w:r w:rsidRPr="00AB4504">
        <w:rPr>
          <w:rFonts w:ascii="Arial" w:hAnsi="Arial"/>
          <w:i/>
          <w:iCs/>
          <w:sz w:val="20"/>
          <w:szCs w:val="20"/>
          <w:lang w:val="en-GB"/>
        </w:rPr>
        <w:t>17</w:t>
      </w:r>
      <w:r w:rsidRPr="00AB4504">
        <w:rPr>
          <w:rFonts w:ascii="Arial" w:hAnsi="Arial"/>
          <w:sz w:val="20"/>
          <w:szCs w:val="20"/>
          <w:lang w:val="en-GB"/>
        </w:rPr>
        <w:t>(4), 431–434.</w:t>
      </w:r>
    </w:p>
    <w:p w14:paraId="6BC2C338" w14:textId="77777777" w:rsidR="008C1E55" w:rsidRPr="00AB4504" w:rsidRDefault="008C1E55">
      <w:pPr>
        <w:spacing w:line="276" w:lineRule="auto"/>
        <w:ind w:left="720" w:hanging="720"/>
        <w:jc w:val="both"/>
        <w:rPr>
          <w:rFonts w:ascii="Arial" w:hAnsi="Arial"/>
          <w:sz w:val="20"/>
          <w:szCs w:val="20"/>
          <w:lang w:val="en-GB"/>
        </w:rPr>
      </w:pPr>
      <w:r w:rsidRPr="00AB4504">
        <w:rPr>
          <w:rFonts w:ascii="Arial" w:hAnsi="Arial"/>
          <w:sz w:val="20"/>
          <w:szCs w:val="20"/>
          <w:lang w:val="en-GB"/>
        </w:rPr>
        <w:lastRenderedPageBreak/>
        <w:t xml:space="preserve">Valko, M., Leibfritz, D., </w:t>
      </w:r>
      <w:proofErr w:type="spellStart"/>
      <w:r w:rsidRPr="00AB4504">
        <w:rPr>
          <w:rFonts w:ascii="Arial" w:hAnsi="Arial"/>
          <w:sz w:val="20"/>
          <w:szCs w:val="20"/>
          <w:lang w:val="en-GB"/>
        </w:rPr>
        <w:t>Moncol</w:t>
      </w:r>
      <w:proofErr w:type="spellEnd"/>
      <w:r w:rsidRPr="00AB4504">
        <w:rPr>
          <w:rFonts w:ascii="Arial" w:hAnsi="Arial"/>
          <w:sz w:val="20"/>
          <w:szCs w:val="20"/>
          <w:lang w:val="en-GB"/>
        </w:rPr>
        <w:t xml:space="preserve">, J., Cronin, M. T., Mazur, M., &amp; </w:t>
      </w:r>
      <w:proofErr w:type="spellStart"/>
      <w:r w:rsidRPr="00AB4504">
        <w:rPr>
          <w:rFonts w:ascii="Arial" w:hAnsi="Arial"/>
          <w:sz w:val="20"/>
          <w:szCs w:val="20"/>
          <w:lang w:val="en-GB"/>
        </w:rPr>
        <w:t>Telser</w:t>
      </w:r>
      <w:proofErr w:type="spellEnd"/>
      <w:r w:rsidRPr="00AB4504">
        <w:rPr>
          <w:rFonts w:ascii="Arial" w:hAnsi="Arial"/>
          <w:sz w:val="20"/>
          <w:szCs w:val="20"/>
          <w:lang w:val="en-GB"/>
        </w:rPr>
        <w:t xml:space="preserve">, J. (2007). Free radicals and antioxidants in normal physiological functions and human disease. </w:t>
      </w:r>
      <w:r w:rsidRPr="00AB4504">
        <w:rPr>
          <w:rFonts w:ascii="Arial" w:hAnsi="Arial"/>
          <w:i/>
          <w:iCs/>
          <w:sz w:val="20"/>
          <w:szCs w:val="20"/>
          <w:lang w:val="en-GB"/>
        </w:rPr>
        <w:t>The International Journal of Biochemistry &amp; Cell Biology</w:t>
      </w:r>
      <w:r w:rsidRPr="00AB4504">
        <w:rPr>
          <w:rFonts w:ascii="Arial" w:hAnsi="Arial"/>
          <w:sz w:val="20"/>
          <w:szCs w:val="20"/>
          <w:lang w:val="en-GB"/>
        </w:rPr>
        <w:t xml:space="preserve">, 39(1), 44–84. </w:t>
      </w:r>
    </w:p>
    <w:p w14:paraId="29C8345B" w14:textId="77777777" w:rsidR="008C1E55" w:rsidRPr="00AB4504" w:rsidRDefault="008C1E55" w:rsidP="006A5A97">
      <w:pPr>
        <w:ind w:left="720" w:hanging="720"/>
        <w:jc w:val="both"/>
        <w:rPr>
          <w:rFonts w:ascii="Arial" w:hAnsi="Arial"/>
          <w:sz w:val="20"/>
          <w:szCs w:val="20"/>
          <w:lang w:val="en-GB"/>
        </w:rPr>
      </w:pPr>
      <w:r w:rsidRPr="00AB4504">
        <w:rPr>
          <w:rFonts w:ascii="Arial" w:hAnsi="Arial"/>
          <w:sz w:val="20"/>
          <w:szCs w:val="20"/>
          <w:lang w:val="en-GB"/>
        </w:rPr>
        <w:t xml:space="preserve">World Health Organization. (2024). </w:t>
      </w:r>
      <w:r w:rsidRPr="00AB4504">
        <w:rPr>
          <w:rFonts w:ascii="Arial" w:hAnsi="Arial"/>
          <w:i/>
          <w:iCs/>
          <w:sz w:val="20"/>
          <w:szCs w:val="20"/>
          <w:lang w:val="en-GB"/>
        </w:rPr>
        <w:t xml:space="preserve">Global cancer burden growing, amidst mounting need for </w:t>
      </w:r>
      <w:r w:rsidRPr="00AB4504" w:rsidDel="005E5B72">
        <w:rPr>
          <w:rFonts w:ascii="Arial" w:hAnsi="Arial"/>
          <w:i/>
          <w:iCs/>
          <w:sz w:val="20"/>
          <w:szCs w:val="20"/>
          <w:lang w:val="en-GB"/>
        </w:rPr>
        <w:t>services</w:t>
      </w:r>
      <w:r w:rsidRPr="00AB4504">
        <w:rPr>
          <w:rFonts w:ascii="Arial" w:hAnsi="Arial"/>
          <w:sz w:val="20"/>
          <w:szCs w:val="20"/>
          <w:lang w:val="en-GB"/>
        </w:rPr>
        <w:t xml:space="preserve">. </w:t>
      </w:r>
      <w:hyperlink r:id="rId40" w:history="1">
        <w:r w:rsidRPr="00AB4504">
          <w:rPr>
            <w:rStyle w:val="Hyperlink"/>
            <w:rFonts w:ascii="Arial" w:hAnsi="Arial"/>
            <w:sz w:val="20"/>
            <w:szCs w:val="20"/>
            <w:lang w:val="en-GB"/>
          </w:rPr>
          <w:t>https://www.who.int/news/item/01-02-2024-global-cancer-burden-growing-amidst-mounting-need-for-services</w:t>
        </w:r>
      </w:hyperlink>
    </w:p>
    <w:p w14:paraId="2D8802E9" w14:textId="1F71404E" w:rsidR="007215E2" w:rsidRPr="00AB4504" w:rsidRDefault="007215E2">
      <w:pPr>
        <w:ind w:left="720" w:hanging="720"/>
        <w:jc w:val="both"/>
        <w:rPr>
          <w:rFonts w:ascii="Arial" w:hAnsi="Arial"/>
          <w:sz w:val="20"/>
          <w:szCs w:val="20"/>
          <w:lang w:val="en-GB"/>
        </w:rPr>
      </w:pPr>
      <w:r w:rsidRPr="00AB4504">
        <w:rPr>
          <w:rFonts w:ascii="Arial" w:hAnsi="Arial"/>
          <w:sz w:val="20"/>
          <w:szCs w:val="20"/>
          <w:lang w:val="en-GB"/>
        </w:rPr>
        <w:t xml:space="preserve"> </w:t>
      </w:r>
    </w:p>
    <w:sectPr w:rsidR="007215E2" w:rsidRPr="00AB4504">
      <w:headerReference w:type="even" r:id="rId41"/>
      <w:headerReference w:type="default" r:id="rId42"/>
      <w:footerReference w:type="even" r:id="rId43"/>
      <w:footerReference w:type="default" r:id="rId44"/>
      <w:headerReference w:type="first" r:id="rId45"/>
      <w:foot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169E1" w14:textId="77777777" w:rsidR="00367A9E" w:rsidRDefault="00367A9E">
      <w:pPr>
        <w:spacing w:after="0" w:line="240" w:lineRule="auto"/>
      </w:pPr>
      <w:r>
        <w:separator/>
      </w:r>
    </w:p>
  </w:endnote>
  <w:endnote w:type="continuationSeparator" w:id="0">
    <w:p w14:paraId="11A6512C" w14:textId="77777777" w:rsidR="00367A9E" w:rsidRDefault="00367A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8119D" w14:textId="77777777" w:rsidR="00C72D81" w:rsidRDefault="00EF3C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5328119E" w14:textId="77777777" w:rsidR="00C72D81" w:rsidRDefault="00C72D81" w:rsidP="00807A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8119F" w14:textId="77777777" w:rsidR="00C72D81" w:rsidRDefault="00EF3C2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p>
  <w:p w14:paraId="532811A0" w14:textId="77777777" w:rsidR="00C72D81" w:rsidRDefault="00C72D81" w:rsidP="00807AEC">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39DE0" w14:textId="77777777" w:rsidR="00E90F6D" w:rsidRDefault="00E90F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C8DD35" w14:textId="77777777" w:rsidR="00367A9E" w:rsidRDefault="00367A9E">
      <w:pPr>
        <w:spacing w:after="0" w:line="240" w:lineRule="auto"/>
      </w:pPr>
      <w:r>
        <w:separator/>
      </w:r>
    </w:p>
  </w:footnote>
  <w:footnote w:type="continuationSeparator" w:id="0">
    <w:p w14:paraId="38B4FF51" w14:textId="77777777" w:rsidR="00367A9E" w:rsidRDefault="00367A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53B744" w14:textId="40054416" w:rsidR="00E90F6D" w:rsidRDefault="00E90F6D">
    <w:pPr>
      <w:pStyle w:val="Header"/>
    </w:pPr>
    <w:r>
      <w:rPr>
        <w:noProof/>
      </w:rPr>
      <w:pict w14:anchorId="7F5020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334735" o:spid="_x0000_s2050"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4B7D4" w14:textId="729A1D12" w:rsidR="00E90F6D" w:rsidRDefault="00E90F6D">
    <w:pPr>
      <w:pStyle w:val="Header"/>
    </w:pPr>
    <w:r>
      <w:rPr>
        <w:noProof/>
      </w:rPr>
      <w:pict w14:anchorId="464225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334736" o:spid="_x0000_s2051"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6089AD" w14:textId="7FB77B4A" w:rsidR="00E90F6D" w:rsidRDefault="00E90F6D">
    <w:pPr>
      <w:pStyle w:val="Header"/>
    </w:pPr>
    <w:r>
      <w:rPr>
        <w:noProof/>
      </w:rPr>
      <w:pict w14:anchorId="55BAF0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6334734" o:spid="_x0000_s2049"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A9660E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15:restartNumberingAfterBreak="0">
    <w:nsid w:val="00000002"/>
    <w:multiLevelType w:val="multilevel"/>
    <w:tmpl w:val="A2145ED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 w15:restartNumberingAfterBreak="0">
    <w:nsid w:val="431135AB"/>
    <w:multiLevelType w:val="multilevel"/>
    <w:tmpl w:val="CFDA718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D81"/>
    <w:rsid w:val="00015610"/>
    <w:rsid w:val="0001624A"/>
    <w:rsid w:val="00017B6D"/>
    <w:rsid w:val="00037A5E"/>
    <w:rsid w:val="00043E5A"/>
    <w:rsid w:val="00055210"/>
    <w:rsid w:val="00057096"/>
    <w:rsid w:val="00067770"/>
    <w:rsid w:val="00083F4D"/>
    <w:rsid w:val="000A11D3"/>
    <w:rsid w:val="000C2F6F"/>
    <w:rsid w:val="000C6F63"/>
    <w:rsid w:val="000E1C99"/>
    <w:rsid w:val="000E45F7"/>
    <w:rsid w:val="000E5E7A"/>
    <w:rsid w:val="001338AF"/>
    <w:rsid w:val="00134CB5"/>
    <w:rsid w:val="00161AF4"/>
    <w:rsid w:val="001747E1"/>
    <w:rsid w:val="0017709C"/>
    <w:rsid w:val="001902E3"/>
    <w:rsid w:val="00193FCE"/>
    <w:rsid w:val="001A6A12"/>
    <w:rsid w:val="001B3729"/>
    <w:rsid w:val="001C726F"/>
    <w:rsid w:val="001E2AA1"/>
    <w:rsid w:val="00212D40"/>
    <w:rsid w:val="00220ADE"/>
    <w:rsid w:val="002566B5"/>
    <w:rsid w:val="00290D74"/>
    <w:rsid w:val="002931AC"/>
    <w:rsid w:val="002A3DBD"/>
    <w:rsid w:val="002E16DF"/>
    <w:rsid w:val="002F0B07"/>
    <w:rsid w:val="002F657E"/>
    <w:rsid w:val="003012C8"/>
    <w:rsid w:val="003018BF"/>
    <w:rsid w:val="003079A0"/>
    <w:rsid w:val="00311829"/>
    <w:rsid w:val="00316CB3"/>
    <w:rsid w:val="00320B38"/>
    <w:rsid w:val="003406E0"/>
    <w:rsid w:val="003539BE"/>
    <w:rsid w:val="00367A9E"/>
    <w:rsid w:val="003C6B18"/>
    <w:rsid w:val="003D2A8A"/>
    <w:rsid w:val="003E1FB9"/>
    <w:rsid w:val="003E639D"/>
    <w:rsid w:val="003F4B52"/>
    <w:rsid w:val="00404CA3"/>
    <w:rsid w:val="00406FF4"/>
    <w:rsid w:val="004077CE"/>
    <w:rsid w:val="004139FD"/>
    <w:rsid w:val="004175EA"/>
    <w:rsid w:val="004278E4"/>
    <w:rsid w:val="00437385"/>
    <w:rsid w:val="004558EF"/>
    <w:rsid w:val="00461AFC"/>
    <w:rsid w:val="004819AC"/>
    <w:rsid w:val="00483E9A"/>
    <w:rsid w:val="004A2A6B"/>
    <w:rsid w:val="004A2A8D"/>
    <w:rsid w:val="004A5697"/>
    <w:rsid w:val="004B5D22"/>
    <w:rsid w:val="004C04F3"/>
    <w:rsid w:val="004C1886"/>
    <w:rsid w:val="004D2C7B"/>
    <w:rsid w:val="004D68A3"/>
    <w:rsid w:val="004E0916"/>
    <w:rsid w:val="004E499F"/>
    <w:rsid w:val="00503E80"/>
    <w:rsid w:val="00554448"/>
    <w:rsid w:val="00556A06"/>
    <w:rsid w:val="00557856"/>
    <w:rsid w:val="0056583A"/>
    <w:rsid w:val="00575E2E"/>
    <w:rsid w:val="0059158A"/>
    <w:rsid w:val="005962F7"/>
    <w:rsid w:val="005C66F0"/>
    <w:rsid w:val="005D2617"/>
    <w:rsid w:val="005D6F3B"/>
    <w:rsid w:val="005E5B72"/>
    <w:rsid w:val="005F2B05"/>
    <w:rsid w:val="005F2E9A"/>
    <w:rsid w:val="0060068A"/>
    <w:rsid w:val="0060683B"/>
    <w:rsid w:val="006131CE"/>
    <w:rsid w:val="00620238"/>
    <w:rsid w:val="00641CBD"/>
    <w:rsid w:val="006770F5"/>
    <w:rsid w:val="006920B5"/>
    <w:rsid w:val="006A5A97"/>
    <w:rsid w:val="006A7078"/>
    <w:rsid w:val="006B0AFC"/>
    <w:rsid w:val="006C2464"/>
    <w:rsid w:val="006D3204"/>
    <w:rsid w:val="006D6697"/>
    <w:rsid w:val="006E30AE"/>
    <w:rsid w:val="006E74E6"/>
    <w:rsid w:val="006F65A9"/>
    <w:rsid w:val="00716706"/>
    <w:rsid w:val="007205C3"/>
    <w:rsid w:val="007215E2"/>
    <w:rsid w:val="00734BF1"/>
    <w:rsid w:val="00771FD6"/>
    <w:rsid w:val="0077715A"/>
    <w:rsid w:val="00785BA9"/>
    <w:rsid w:val="007A7894"/>
    <w:rsid w:val="007D5F00"/>
    <w:rsid w:val="007F6099"/>
    <w:rsid w:val="00803D63"/>
    <w:rsid w:val="00803EFE"/>
    <w:rsid w:val="008078E8"/>
    <w:rsid w:val="00807AEC"/>
    <w:rsid w:val="008365F3"/>
    <w:rsid w:val="00837235"/>
    <w:rsid w:val="00843C39"/>
    <w:rsid w:val="008447E3"/>
    <w:rsid w:val="00871F83"/>
    <w:rsid w:val="00890FAF"/>
    <w:rsid w:val="008C1CB0"/>
    <w:rsid w:val="008C1E55"/>
    <w:rsid w:val="008D189C"/>
    <w:rsid w:val="008D3898"/>
    <w:rsid w:val="008F230A"/>
    <w:rsid w:val="008F24B8"/>
    <w:rsid w:val="008F7950"/>
    <w:rsid w:val="00922327"/>
    <w:rsid w:val="00946CE1"/>
    <w:rsid w:val="00956054"/>
    <w:rsid w:val="00972912"/>
    <w:rsid w:val="00982943"/>
    <w:rsid w:val="009973AE"/>
    <w:rsid w:val="009A4ACB"/>
    <w:rsid w:val="00A014D5"/>
    <w:rsid w:val="00A13912"/>
    <w:rsid w:val="00A32D06"/>
    <w:rsid w:val="00A37A89"/>
    <w:rsid w:val="00A47001"/>
    <w:rsid w:val="00A76827"/>
    <w:rsid w:val="00A90E8F"/>
    <w:rsid w:val="00A9191D"/>
    <w:rsid w:val="00A938FD"/>
    <w:rsid w:val="00AA2174"/>
    <w:rsid w:val="00AA5293"/>
    <w:rsid w:val="00AB22DE"/>
    <w:rsid w:val="00AB4504"/>
    <w:rsid w:val="00AD16D2"/>
    <w:rsid w:val="00AE0BFF"/>
    <w:rsid w:val="00AE13AB"/>
    <w:rsid w:val="00AE2343"/>
    <w:rsid w:val="00AE57E5"/>
    <w:rsid w:val="00B00F52"/>
    <w:rsid w:val="00B010A4"/>
    <w:rsid w:val="00B11A1D"/>
    <w:rsid w:val="00B1557A"/>
    <w:rsid w:val="00B328DD"/>
    <w:rsid w:val="00B5612E"/>
    <w:rsid w:val="00B661F4"/>
    <w:rsid w:val="00B76396"/>
    <w:rsid w:val="00B87138"/>
    <w:rsid w:val="00B948F6"/>
    <w:rsid w:val="00BB2C2F"/>
    <w:rsid w:val="00BC197C"/>
    <w:rsid w:val="00BD0498"/>
    <w:rsid w:val="00BD6DD0"/>
    <w:rsid w:val="00BF2471"/>
    <w:rsid w:val="00C11CCB"/>
    <w:rsid w:val="00C1540E"/>
    <w:rsid w:val="00C34F27"/>
    <w:rsid w:val="00C36A16"/>
    <w:rsid w:val="00C41B1A"/>
    <w:rsid w:val="00C72D81"/>
    <w:rsid w:val="00C86EE0"/>
    <w:rsid w:val="00C9263D"/>
    <w:rsid w:val="00C973B4"/>
    <w:rsid w:val="00CB72D8"/>
    <w:rsid w:val="00CC1CA0"/>
    <w:rsid w:val="00CD2628"/>
    <w:rsid w:val="00CD29D0"/>
    <w:rsid w:val="00CD7A91"/>
    <w:rsid w:val="00CF3485"/>
    <w:rsid w:val="00CF691F"/>
    <w:rsid w:val="00D04453"/>
    <w:rsid w:val="00D15D5E"/>
    <w:rsid w:val="00D246DE"/>
    <w:rsid w:val="00D27AE8"/>
    <w:rsid w:val="00D352A4"/>
    <w:rsid w:val="00D57EC6"/>
    <w:rsid w:val="00D729CB"/>
    <w:rsid w:val="00D94DC8"/>
    <w:rsid w:val="00DB35CC"/>
    <w:rsid w:val="00DD3009"/>
    <w:rsid w:val="00DF0A92"/>
    <w:rsid w:val="00E00414"/>
    <w:rsid w:val="00E112C9"/>
    <w:rsid w:val="00E45F0F"/>
    <w:rsid w:val="00E50C24"/>
    <w:rsid w:val="00E71004"/>
    <w:rsid w:val="00E83D81"/>
    <w:rsid w:val="00E84D39"/>
    <w:rsid w:val="00E90F6D"/>
    <w:rsid w:val="00EA5A09"/>
    <w:rsid w:val="00EA7002"/>
    <w:rsid w:val="00EB72CC"/>
    <w:rsid w:val="00EC18A5"/>
    <w:rsid w:val="00ED2D49"/>
    <w:rsid w:val="00ED48A8"/>
    <w:rsid w:val="00EE069A"/>
    <w:rsid w:val="00EE28F8"/>
    <w:rsid w:val="00EE3704"/>
    <w:rsid w:val="00EF1F9A"/>
    <w:rsid w:val="00EF3C28"/>
    <w:rsid w:val="00EF5CE7"/>
    <w:rsid w:val="00EF79F1"/>
    <w:rsid w:val="00F00EAC"/>
    <w:rsid w:val="00F272AA"/>
    <w:rsid w:val="00F469F0"/>
    <w:rsid w:val="00F52904"/>
    <w:rsid w:val="00F672E9"/>
    <w:rsid w:val="00FC614E"/>
    <w:rsid w:val="00FC7FB7"/>
    <w:rsid w:val="00FD3957"/>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328109E"/>
  <w15:docId w15:val="{A38A74B3-F4CC-D846-8629-8DF39C8CF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rial"/>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Aptos Display" w:eastAsia="SimSun" w:hAnsi="Aptos Display" w:cs="Times New Roman"/>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Aptos Display" w:eastAsia="SimSun" w:hAnsi="Aptos Display" w:cs="Times New Roman"/>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SimSun" w:cs="Times New Roman"/>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SimSun" w:cs="Times New Roman"/>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SimSun" w:cs="Times New Roman"/>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SimSun" w:cs="Times New Roman"/>
      <w:i/>
      <w:iCs/>
      <w:color w:val="595959"/>
    </w:rPr>
  </w:style>
  <w:style w:type="paragraph" w:styleId="Heading7">
    <w:name w:val="heading 7"/>
    <w:basedOn w:val="Normal"/>
    <w:next w:val="Normal"/>
    <w:link w:val="Heading7Char"/>
    <w:uiPriority w:val="9"/>
    <w:qFormat/>
    <w:pPr>
      <w:keepNext/>
      <w:keepLines/>
      <w:spacing w:before="40" w:after="0"/>
      <w:outlineLvl w:val="6"/>
    </w:pPr>
    <w:rPr>
      <w:rFonts w:eastAsia="SimSun" w:cs="Times New Roman"/>
      <w:color w:val="595959"/>
    </w:rPr>
  </w:style>
  <w:style w:type="paragraph" w:styleId="Heading8">
    <w:name w:val="heading 8"/>
    <w:basedOn w:val="Normal"/>
    <w:next w:val="Normal"/>
    <w:link w:val="Heading8Char"/>
    <w:uiPriority w:val="9"/>
    <w:qFormat/>
    <w:pPr>
      <w:keepNext/>
      <w:keepLines/>
      <w:spacing w:after="0"/>
      <w:outlineLvl w:val="7"/>
    </w:pPr>
    <w:rPr>
      <w:rFonts w:eastAsia="SimSun" w:cs="Times New Roman"/>
      <w:i/>
      <w:iCs/>
      <w:color w:val="272727"/>
    </w:rPr>
  </w:style>
  <w:style w:type="paragraph" w:styleId="Heading9">
    <w:name w:val="heading 9"/>
    <w:basedOn w:val="Normal"/>
    <w:next w:val="Normal"/>
    <w:link w:val="Heading9Char"/>
    <w:uiPriority w:val="9"/>
    <w:qFormat/>
    <w:pPr>
      <w:keepNext/>
      <w:keepLines/>
      <w:spacing w:after="0"/>
      <w:outlineLvl w:val="8"/>
    </w:pPr>
    <w:rPr>
      <w:rFonts w:eastAsia="SimSu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Aptos Display" w:eastAsia="SimSun" w:hAnsi="Aptos Display" w:cs="Times New Roman"/>
      <w:color w:val="0F4761"/>
      <w:sz w:val="40"/>
      <w:szCs w:val="40"/>
    </w:rPr>
  </w:style>
  <w:style w:type="character" w:customStyle="1" w:styleId="Heading2Char">
    <w:name w:val="Heading 2 Char"/>
    <w:basedOn w:val="DefaultParagraphFont"/>
    <w:link w:val="Heading2"/>
    <w:uiPriority w:val="9"/>
    <w:rPr>
      <w:rFonts w:ascii="Aptos Display" w:eastAsia="SimSun" w:hAnsi="Aptos Display" w:cs="Times New Roman"/>
      <w:color w:val="0F4761"/>
      <w:sz w:val="32"/>
      <w:szCs w:val="32"/>
    </w:rPr>
  </w:style>
  <w:style w:type="character" w:customStyle="1" w:styleId="Heading3Char">
    <w:name w:val="Heading 3 Char"/>
    <w:basedOn w:val="DefaultParagraphFont"/>
    <w:link w:val="Heading3"/>
    <w:uiPriority w:val="9"/>
    <w:rPr>
      <w:rFonts w:eastAsia="SimSun" w:cs="Times New Roman"/>
      <w:color w:val="0F4761"/>
      <w:sz w:val="28"/>
      <w:szCs w:val="28"/>
    </w:rPr>
  </w:style>
  <w:style w:type="character" w:customStyle="1" w:styleId="Heading4Char">
    <w:name w:val="Heading 4 Char"/>
    <w:basedOn w:val="DefaultParagraphFont"/>
    <w:link w:val="Heading4"/>
    <w:uiPriority w:val="9"/>
    <w:rPr>
      <w:rFonts w:eastAsia="SimSun" w:cs="Times New Roman"/>
      <w:i/>
      <w:iCs/>
      <w:color w:val="0F4761"/>
    </w:rPr>
  </w:style>
  <w:style w:type="character" w:customStyle="1" w:styleId="Heading5Char">
    <w:name w:val="Heading 5 Char"/>
    <w:basedOn w:val="DefaultParagraphFont"/>
    <w:link w:val="Heading5"/>
    <w:uiPriority w:val="9"/>
    <w:rPr>
      <w:rFonts w:eastAsia="SimSun" w:cs="Times New Roman"/>
      <w:color w:val="0F4761"/>
    </w:rPr>
  </w:style>
  <w:style w:type="character" w:customStyle="1" w:styleId="Heading6Char">
    <w:name w:val="Heading 6 Char"/>
    <w:basedOn w:val="DefaultParagraphFont"/>
    <w:link w:val="Heading6"/>
    <w:uiPriority w:val="9"/>
    <w:rPr>
      <w:rFonts w:eastAsia="SimSun" w:cs="Times New Roman"/>
      <w:i/>
      <w:iCs/>
      <w:color w:val="595959"/>
    </w:rPr>
  </w:style>
  <w:style w:type="character" w:customStyle="1" w:styleId="Heading7Char">
    <w:name w:val="Heading 7 Char"/>
    <w:basedOn w:val="DefaultParagraphFont"/>
    <w:link w:val="Heading7"/>
    <w:uiPriority w:val="9"/>
    <w:rPr>
      <w:rFonts w:eastAsia="SimSun" w:cs="Times New Roman"/>
      <w:color w:val="595959"/>
    </w:rPr>
  </w:style>
  <w:style w:type="character" w:customStyle="1" w:styleId="Heading8Char">
    <w:name w:val="Heading 8 Char"/>
    <w:basedOn w:val="DefaultParagraphFont"/>
    <w:link w:val="Heading8"/>
    <w:uiPriority w:val="9"/>
    <w:rPr>
      <w:rFonts w:eastAsia="SimSun" w:cs="Times New Roman"/>
      <w:i/>
      <w:iCs/>
      <w:color w:val="272727"/>
    </w:rPr>
  </w:style>
  <w:style w:type="character" w:customStyle="1" w:styleId="Heading9Char">
    <w:name w:val="Heading 9 Char"/>
    <w:basedOn w:val="DefaultParagraphFont"/>
    <w:link w:val="Heading9"/>
    <w:uiPriority w:val="9"/>
    <w:rPr>
      <w:rFonts w:eastAsia="SimSun" w:cs="Times New Roman"/>
      <w:color w:val="272727"/>
    </w:rPr>
  </w:style>
  <w:style w:type="paragraph" w:styleId="Title">
    <w:name w:val="Title"/>
    <w:basedOn w:val="Normal"/>
    <w:next w:val="Normal"/>
    <w:link w:val="TitleChar"/>
    <w:uiPriority w:val="10"/>
    <w:qFormat/>
    <w:pPr>
      <w:spacing w:after="80" w:line="240" w:lineRule="auto"/>
      <w:contextualSpacing/>
    </w:pPr>
    <w:rPr>
      <w:rFonts w:ascii="Aptos Display" w:eastAsia="SimSun" w:hAnsi="Aptos Display" w:cs="Times New Roman"/>
      <w:spacing w:val="-10"/>
      <w:kern w:val="28"/>
      <w:sz w:val="56"/>
      <w:szCs w:val="56"/>
    </w:rPr>
  </w:style>
  <w:style w:type="character" w:customStyle="1" w:styleId="TitleChar">
    <w:name w:val="Title Char"/>
    <w:basedOn w:val="DefaultParagraphFont"/>
    <w:link w:val="Title"/>
    <w:uiPriority w:val="10"/>
    <w:rPr>
      <w:rFonts w:ascii="Aptos Display" w:eastAsia="SimSun" w:hAnsi="Aptos Display" w:cs="Times New Roman"/>
      <w:spacing w:val="-10"/>
      <w:kern w:val="28"/>
      <w:sz w:val="56"/>
      <w:szCs w:val="56"/>
    </w:rPr>
  </w:style>
  <w:style w:type="paragraph" w:styleId="Subtitle">
    <w:name w:val="Subtitle"/>
    <w:basedOn w:val="Normal"/>
    <w:next w:val="Normal"/>
    <w:link w:val="SubtitleChar"/>
    <w:uiPriority w:val="11"/>
    <w:qFormat/>
    <w:pPr>
      <w:numPr>
        <w:ilvl w:val="1"/>
      </w:numPr>
    </w:pPr>
    <w:rPr>
      <w:rFonts w:eastAsia="SimSun" w:cs="Times New Roman"/>
      <w:color w:val="595959"/>
      <w:spacing w:val="15"/>
      <w:sz w:val="28"/>
      <w:szCs w:val="28"/>
    </w:rPr>
  </w:style>
  <w:style w:type="character" w:customStyle="1" w:styleId="SubtitleChar">
    <w:name w:val="Subtitle Char"/>
    <w:basedOn w:val="DefaultParagraphFont"/>
    <w:link w:val="Subtitle"/>
    <w:uiPriority w:val="11"/>
    <w:rPr>
      <w:rFonts w:eastAsia="SimSun" w:cs="Times New Roman"/>
      <w:color w:val="595959"/>
      <w:spacing w:val="15"/>
      <w:sz w:val="28"/>
      <w:szCs w:val="28"/>
    </w:rPr>
  </w:style>
  <w:style w:type="paragraph" w:styleId="Quote">
    <w:name w:val="Quote"/>
    <w:basedOn w:val="Normal"/>
    <w:next w:val="Normal"/>
    <w:link w:val="QuoteChar"/>
    <w:uiPriority w:val="29"/>
    <w:qFormat/>
    <w:pPr>
      <w:spacing w:before="160"/>
      <w:jc w:val="center"/>
    </w:pPr>
    <w:rPr>
      <w:i/>
      <w:iCs/>
      <w:color w:val="404040"/>
    </w:rPr>
  </w:style>
  <w:style w:type="character" w:customStyle="1" w:styleId="QuoteChar">
    <w:name w:val="Quote Char"/>
    <w:basedOn w:val="DefaultParagraphFont"/>
    <w:link w:val="Quote"/>
    <w:uiPriority w:val="29"/>
    <w:rPr>
      <w:i/>
      <w:iCs/>
      <w:color w:val="404040"/>
    </w:rPr>
  </w:style>
  <w:style w:type="paragraph" w:styleId="ListParagraph">
    <w:name w:val="List Paragraph"/>
    <w:basedOn w:val="Normal"/>
    <w:uiPriority w:val="34"/>
    <w:qFormat/>
    <w:pPr>
      <w:ind w:left="720"/>
      <w:contextualSpacing/>
    </w:pPr>
  </w:style>
  <w:style w:type="character" w:styleId="IntenseEmphasis">
    <w:name w:val="Intense Emphasis"/>
    <w:basedOn w:val="DefaultParagraphFont"/>
    <w:uiPriority w:val="21"/>
    <w:qFormat/>
    <w:rPr>
      <w:i/>
      <w:iCs/>
      <w:color w:val="0F4761"/>
    </w:rPr>
  </w:style>
  <w:style w:type="paragraph" w:styleId="IntenseQuote">
    <w:name w:val="Intense Quote"/>
    <w:basedOn w:val="Normal"/>
    <w:next w:val="Normal"/>
    <w:link w:val="IntenseQuoteChar"/>
    <w:uiPriority w:val="30"/>
    <w:qFormat/>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Pr>
      <w:i/>
      <w:iCs/>
      <w:color w:val="0F4761"/>
    </w:rPr>
  </w:style>
  <w:style w:type="character" w:styleId="IntenseReference">
    <w:name w:val="Intense Reference"/>
    <w:basedOn w:val="DefaultParagraphFont"/>
    <w:uiPriority w:val="32"/>
    <w:qFormat/>
    <w:rPr>
      <w:b/>
      <w:bCs/>
      <w:smallCaps/>
      <w:color w:val="0F4761"/>
      <w:spacing w:val="5"/>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Hyperlink">
    <w:name w:val="Hyperlink"/>
    <w:basedOn w:val="DefaultParagraphFont"/>
    <w:uiPriority w:val="99"/>
    <w:rPr>
      <w:color w:val="467886"/>
      <w:u w:val="single"/>
    </w:rPr>
  </w:style>
  <w:style w:type="character" w:customStyle="1" w:styleId="UnresolvedMention1">
    <w:name w:val="Unresolved Mention1"/>
    <w:basedOn w:val="DefaultParagraphFont"/>
    <w:uiPriority w:val="99"/>
    <w:rPr>
      <w:color w:val="605E5C"/>
      <w:shd w:val="clear" w:color="auto" w:fill="E1DFDD"/>
    </w:rPr>
  </w:style>
  <w:style w:type="character" w:styleId="Strong">
    <w:name w:val="Strong"/>
    <w:basedOn w:val="DefaultParagraphFont"/>
    <w:uiPriority w:val="22"/>
    <w:qFormat/>
    <w:rPr>
      <w:b/>
      <w:bCs/>
    </w:rPr>
  </w:style>
  <w:style w:type="paragraph" w:customStyle="1" w:styleId="breadcrumb-item">
    <w:name w:val="breadcrumb-item"/>
    <w:basedOn w:val="Normal"/>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Normal1">
    <w:name w:val="Normal1"/>
    <w:pPr>
      <w:spacing w:after="0" w:line="240" w:lineRule="auto"/>
    </w:pPr>
    <w:rPr>
      <w:rFonts w:ascii="Calibri" w:eastAsia="Calibri" w:hAnsi="Calibri" w:cs="Calibri"/>
      <w:kern w:val="0"/>
      <w:sz w:val="21"/>
      <w:szCs w:val="21"/>
      <w:lang w:val="en-US"/>
      <w14:ligatures w14:val="none"/>
    </w:rPr>
  </w:style>
  <w:style w:type="table" w:customStyle="1" w:styleId="TableGridLight1">
    <w:name w:val="Table Grid Light1"/>
    <w:basedOn w:val="TableNormal"/>
    <w:uiPriority w:val="4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41">
    <w:name w:val="Grid Table 5 Dark - Accent 41"/>
    <w:basedOn w:val="Table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AEDFB"/>
    </w:tblPr>
    <w:tcPr>
      <w:shd w:val="clear" w:color="auto" w:fill="CAEDFB"/>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F9E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F9E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F9E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F9ED5"/>
      </w:tcPr>
    </w:tblStylePr>
    <w:tblStylePr w:type="band1Vert">
      <w:tblPr/>
      <w:tcPr>
        <w:shd w:val="clear" w:color="auto" w:fill="95DCF7"/>
      </w:tcPr>
    </w:tblStylePr>
    <w:tblStylePr w:type="band1Horz">
      <w:tblPr/>
      <w:tcPr>
        <w:shd w:val="clear" w:color="auto" w:fill="95DCF7"/>
      </w:tcPr>
    </w:tblStylePr>
  </w:style>
  <w:style w:type="table" w:customStyle="1" w:styleId="GridTable5Dark1">
    <w:name w:val="Grid Table 5 Dark1"/>
    <w:basedOn w:val="Table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CCCCC"/>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table" w:customStyle="1" w:styleId="GridTable1Light1">
    <w:name w:val="Grid Table 1 Light1"/>
    <w:basedOn w:val="TableNormal"/>
    <w:uiPriority w:val="46"/>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5Dark-Accent11">
    <w:name w:val="Grid Table 5 Dark - Accent 11"/>
    <w:basedOn w:val="TableNormal"/>
    <w:uiPriority w:val="5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C1E4F5"/>
    </w:tblPr>
    <w:tcPr>
      <w:shd w:val="clear" w:color="auto" w:fill="C1E4F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15608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15608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15608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156082"/>
      </w:tcPr>
    </w:tblStylePr>
    <w:tblStylePr w:type="band1Vert">
      <w:tblPr/>
      <w:tcPr>
        <w:shd w:val="clear" w:color="auto" w:fill="83CAEB"/>
      </w:tcPr>
    </w:tblStylePr>
    <w:tblStylePr w:type="band1Horz">
      <w:tblPr/>
      <w:tcPr>
        <w:shd w:val="clear" w:color="auto" w:fill="83CAEB"/>
      </w:tcPr>
    </w:tblStyle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customStyle="1" w:styleId="Style1">
    <w:name w:val="Style1"/>
    <w:basedOn w:val="TableNormal"/>
    <w:uiPriority w:val="99"/>
    <w:pPr>
      <w:spacing w:after="0" w:line="240" w:lineRule="auto"/>
    </w:pPr>
    <w:tblPr/>
  </w:style>
  <w:style w:type="table" w:customStyle="1" w:styleId="PlainTable51">
    <w:name w:val="Plain Table 51"/>
    <w:basedOn w:val="TableNormal"/>
    <w:uiPriority w:val="45"/>
    <w:pPr>
      <w:spacing w:after="0" w:line="240" w:lineRule="auto"/>
    </w:pPr>
    <w:tblPr>
      <w:tblStyleRowBandSize w:val="1"/>
      <w:tblStyleColBandSize w:val="1"/>
    </w:tblPr>
    <w:tblStylePr w:type="firstRow">
      <w:rPr>
        <w:rFonts w:ascii="Aptos Display" w:eastAsia="SimSun" w:hAnsi="Aptos Display" w:cs="Times New Roman"/>
        <w:i/>
        <w:iCs/>
        <w:sz w:val="26"/>
      </w:rPr>
      <w:tblPr/>
      <w:tcPr>
        <w:tcBorders>
          <w:bottom w:val="single" w:sz="4" w:space="0" w:color="7F7F7F"/>
        </w:tcBorders>
        <w:shd w:val="clear" w:color="auto" w:fill="FFFFFF"/>
      </w:tcPr>
    </w:tblStylePr>
    <w:tblStylePr w:type="lastRow">
      <w:rPr>
        <w:rFonts w:ascii="Aptos Display" w:eastAsia="SimSun" w:hAnsi="Aptos Display" w:cs="Times New Roman"/>
        <w:i/>
        <w:iCs/>
        <w:sz w:val="26"/>
      </w:rPr>
      <w:tblPr/>
      <w:tcPr>
        <w:tcBorders>
          <w:top w:val="single" w:sz="4" w:space="0" w:color="7F7F7F"/>
        </w:tcBorders>
        <w:shd w:val="clear" w:color="auto" w:fill="FFFFFF"/>
      </w:tcPr>
    </w:tblStylePr>
    <w:tblStylePr w:type="firstCol">
      <w:pPr>
        <w:jc w:val="right"/>
      </w:pPr>
      <w:rPr>
        <w:rFonts w:ascii="Aptos Display" w:eastAsia="SimSun" w:hAnsi="Aptos Display" w:cs="Times New Roman"/>
        <w:i/>
        <w:iCs/>
        <w:sz w:val="26"/>
      </w:rPr>
      <w:tblPr/>
      <w:tcPr>
        <w:tcBorders>
          <w:right w:val="single" w:sz="4" w:space="0" w:color="7F7F7F"/>
        </w:tcBorders>
        <w:shd w:val="clear" w:color="auto" w:fill="FFFFFF"/>
      </w:tcPr>
    </w:tblStylePr>
    <w:tblStylePr w:type="lastCol">
      <w:rPr>
        <w:rFonts w:ascii="Aptos Display" w:eastAsia="SimSun" w:hAnsi="Aptos Display"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uiPriority w:val="99"/>
    <w:pPr>
      <w:spacing w:after="0" w:line="240" w:lineRule="auto"/>
    </w:p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 w:val="20"/>
      <w:szCs w:val="20"/>
    </w:rPr>
  </w:style>
  <w:style w:type="character" w:styleId="PageNumber">
    <w:name w:val="page number"/>
    <w:basedOn w:val="DefaultParagraphFont"/>
    <w:uiPriority w:val="99"/>
  </w:style>
  <w:style w:type="character" w:styleId="UnresolvedMention">
    <w:name w:val="Unresolved Mention"/>
    <w:basedOn w:val="DefaultParagraphFont"/>
    <w:uiPriority w:val="99"/>
    <w:semiHidden/>
    <w:unhideWhenUsed/>
    <w:rsid w:val="007215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customXml" Target="../customXml/item18.xml"/><Relationship Id="rId26" Type="http://schemas.openxmlformats.org/officeDocument/2006/relationships/customXml" Target="../customXml/item26.xml"/><Relationship Id="rId39" Type="http://schemas.openxmlformats.org/officeDocument/2006/relationships/image" Target="media/image3.png"/><Relationship Id="rId21" Type="http://schemas.openxmlformats.org/officeDocument/2006/relationships/customXml" Target="../customXml/item21.xml"/><Relationship Id="rId34" Type="http://schemas.openxmlformats.org/officeDocument/2006/relationships/hyperlink" Target="https://BioRender.com"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customXml" Target="../customXml/item16.xml"/><Relationship Id="rId29" Type="http://schemas.openxmlformats.org/officeDocument/2006/relationships/settings" Target="settings.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customXml" Target="../customXml/item24.xml"/><Relationship Id="rId32" Type="http://schemas.openxmlformats.org/officeDocument/2006/relationships/endnotes" Target="endnotes.xml"/><Relationship Id="rId37" Type="http://schemas.openxmlformats.org/officeDocument/2006/relationships/image" Target="media/image2.png"/><Relationship Id="rId40" Type="http://schemas.openxmlformats.org/officeDocument/2006/relationships/hyperlink" Target="https://www.who.int/news/item/01-02-2024-global-cancer-burden-growing-amidst-mounting-need-for-services" TargetMode="External"/><Relationship Id="rId45"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customXml" Target="../customXml/item15.xml"/><Relationship Id="rId23" Type="http://schemas.openxmlformats.org/officeDocument/2006/relationships/customXml" Target="../customXml/item23.xml"/><Relationship Id="rId28" Type="http://schemas.openxmlformats.org/officeDocument/2006/relationships/styles" Target="styles.xml"/><Relationship Id="rId36" Type="http://schemas.openxmlformats.org/officeDocument/2006/relationships/chart" Target="charts/chart2.xml"/><Relationship Id="rId10" Type="http://schemas.openxmlformats.org/officeDocument/2006/relationships/customXml" Target="../customXml/item10.xml"/><Relationship Id="rId19" Type="http://schemas.openxmlformats.org/officeDocument/2006/relationships/customXml" Target="../customXml/item19.xml"/><Relationship Id="rId31" Type="http://schemas.openxmlformats.org/officeDocument/2006/relationships/footnotes" Target="footnotes.xml"/><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customXml" Target="../customXml/item22.xml"/><Relationship Id="rId27" Type="http://schemas.openxmlformats.org/officeDocument/2006/relationships/numbering" Target="numbering.xml"/><Relationship Id="rId30" Type="http://schemas.openxmlformats.org/officeDocument/2006/relationships/webSettings" Target="webSettings.xml"/><Relationship Id="rId35" Type="http://schemas.openxmlformats.org/officeDocument/2006/relationships/chart" Target="charts/chart1.xm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customXml" Target="../customXml/item8.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customXml" Target="../customXml/item17.xml"/><Relationship Id="rId25" Type="http://schemas.openxmlformats.org/officeDocument/2006/relationships/customXml" Target="../customXml/item25.xml"/><Relationship Id="rId33" Type="http://schemas.openxmlformats.org/officeDocument/2006/relationships/image" Target="media/image1.png"/><Relationship Id="rId38" Type="http://schemas.openxmlformats.org/officeDocument/2006/relationships/chart" Target="charts/chart3.xml"/><Relationship Id="rId46" Type="http://schemas.openxmlformats.org/officeDocument/2006/relationships/footer" Target="footer3.xml"/><Relationship Id="rId20" Type="http://schemas.openxmlformats.org/officeDocument/2006/relationships/customXml" Target="../customXml/item20.xml"/><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f9be63dde27e36ff/Desktop/My%20PhD/antimutagenic%20paramete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f9be63dde27e36ff/Desktop/My%20PhD/antimutagenic%20parameter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d.docs.live.net/f9be63dde27e36ff/Desktop/My%20PhD/antimutagenic%20parameters.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Chromosomal Aberration:</a:t>
            </a:r>
            <a:r>
              <a:rPr lang="en-US" baseline="0"/>
              <a:t> Aberrant cells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7.4229418757333396E-2"/>
          <c:y val="8.5685617571923653E-2"/>
          <c:w val="0.90655865262907753"/>
          <c:h val="0.72810504046090119"/>
        </c:manualLayout>
      </c:layout>
      <c:barChart>
        <c:barDir val="col"/>
        <c:grouping val="clustered"/>
        <c:varyColors val="0"/>
        <c:ser>
          <c:idx val="0"/>
          <c:order val="0"/>
          <c:tx>
            <c:strRef>
              <c:f>'Chromosomal Aberration (CA) Cal'!$B$75</c:f>
              <c:strCache>
                <c:ptCount val="1"/>
                <c:pt idx="0">
                  <c:v>Group 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solidFill>
                <a:schemeClr val="bg2">
                  <a:lumMod val="75000"/>
                </a:schemeClr>
              </a:solidFill>
            </a:ln>
            <a:effectLst>
              <a:outerShdw blurRad="57150" dist="19050" dir="5400000" algn="ctr" rotWithShape="0">
                <a:srgbClr val="000000">
                  <a:alpha val="63000"/>
                </a:srgbClr>
              </a:outerShdw>
            </a:effectLst>
          </c:spPr>
          <c:invertIfNegative val="0"/>
          <c:dPt>
            <c:idx val="0"/>
            <c:invertIfNegative val="0"/>
            <c:bubble3D val="0"/>
            <c:spPr>
              <a:pattFill prst="pct25">
                <a:fgClr>
                  <a:schemeClr val="accent1"/>
                </a:fgClr>
                <a:bgClr>
                  <a:schemeClr val="bg1"/>
                </a:bgClr>
              </a:pattFill>
              <a:ln>
                <a:solidFill>
                  <a:schemeClr val="bg2">
                    <a:lumMod val="75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0-BFB0-4FCB-AE53-EC8361736AA3}"/>
              </c:ext>
            </c:extLst>
          </c:dPt>
          <c:errBars>
            <c:errBarType val="both"/>
            <c:errValType val="cust"/>
            <c:noEndCap val="0"/>
            <c:plus>
              <c:numRef>
                <c:f>'Chromosomal Aberration (CA) Cal'!$C$62</c:f>
                <c:numCache>
                  <c:formatCode>General</c:formatCode>
                  <c:ptCount val="1"/>
                  <c:pt idx="0">
                    <c:v>0.54772255750516596</c:v>
                  </c:pt>
                </c:numCache>
              </c:numRef>
            </c:plus>
            <c:minus>
              <c:numRef>
                <c:f>'Chromosomal Aberration (CA) Cal'!$C$62</c:f>
                <c:numCache>
                  <c:formatCode>General</c:formatCode>
                  <c:ptCount val="1"/>
                  <c:pt idx="0">
                    <c:v>0.54772255750516596</c:v>
                  </c:pt>
                </c:numCache>
              </c:numRef>
            </c:minus>
            <c:spPr>
              <a:noFill/>
              <a:ln w="9525" cap="flat" cmpd="sng" algn="ctr">
                <a:solidFill>
                  <a:schemeClr val="tx1">
                    <a:lumMod val="65000"/>
                    <a:lumOff val="35000"/>
                  </a:schemeClr>
                </a:solidFill>
                <a:round/>
              </a:ln>
              <a:effectLst/>
            </c:spPr>
          </c:errBars>
          <c:cat>
            <c:strRef>
              <c:f>'Chromosomal Aberration (CA) Cal'!$C$74</c:f>
              <c:strCache>
                <c:ptCount val="1"/>
                <c:pt idx="0">
                  <c:v>% Aberrant cells</c:v>
                </c:pt>
              </c:strCache>
            </c:strRef>
          </c:cat>
          <c:val>
            <c:numRef>
              <c:f>'Chromosomal Aberration (CA) Cal'!$C$75</c:f>
              <c:numCache>
                <c:formatCode>General</c:formatCode>
                <c:ptCount val="1"/>
                <c:pt idx="0">
                  <c:v>4.5</c:v>
                </c:pt>
              </c:numCache>
            </c:numRef>
          </c:val>
          <c:extLst>
            <c:ext xmlns:c16="http://schemas.microsoft.com/office/drawing/2014/chart" uri="{C3380CC4-5D6E-409C-BE32-E72D297353CC}">
              <c16:uniqueId val="{00000000-FEC9-4D4E-B635-BF2085F222FA}"/>
            </c:ext>
          </c:extLst>
        </c:ser>
        <c:ser>
          <c:idx val="1"/>
          <c:order val="1"/>
          <c:tx>
            <c:strRef>
              <c:f>'Chromosomal Aberration (CA) Cal'!$B$76</c:f>
              <c:strCache>
                <c:ptCount val="1"/>
                <c:pt idx="0">
                  <c:v>Group B </c:v>
                </c:pt>
              </c:strCache>
            </c:strRef>
          </c:tx>
          <c:spPr>
            <a:pattFill prst="pct30">
              <a:fgClr>
                <a:schemeClr val="accent1"/>
              </a:fgClr>
              <a:bgClr>
                <a:schemeClr val="bg1"/>
              </a:bgClr>
            </a:pattFill>
            <a:ln>
              <a:solidFill>
                <a:schemeClr val="tx1">
                  <a:lumMod val="50000"/>
                  <a:lumOff val="50000"/>
                </a:schemeClr>
              </a:solidFill>
            </a:ln>
            <a:effectLst>
              <a:outerShdw blurRad="57150" dist="19050" dir="5400000" algn="ctr" rotWithShape="0">
                <a:srgbClr val="000000">
                  <a:alpha val="63000"/>
                </a:srgbClr>
              </a:outerShdw>
            </a:effectLst>
          </c:spPr>
          <c:invertIfNegative val="0"/>
          <c:dLbls>
            <c:dLbl>
              <c:idx val="0"/>
              <c:layout>
                <c:manualLayout>
                  <c:x val="0"/>
                  <c:y val="-4.6843763140228853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EC9-4D4E-B635-BF2085F222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'Chromosomal Aberration (CA) Cal'!$C$63</c:f>
                <c:numCache>
                  <c:formatCode>General</c:formatCode>
                  <c:ptCount val="1"/>
                  <c:pt idx="0">
                    <c:v>3.4880749227427201</c:v>
                  </c:pt>
                </c:numCache>
              </c:numRef>
            </c:plus>
            <c:minus>
              <c:numRef>
                <c:f>'Chromosomal Aberration (CA) Cal'!$C$63</c:f>
                <c:numCache>
                  <c:formatCode>General</c:formatCode>
                  <c:ptCount val="1"/>
                  <c:pt idx="0">
                    <c:v>3.4880749227427201</c:v>
                  </c:pt>
                </c:numCache>
              </c:numRef>
            </c:minus>
            <c:spPr>
              <a:noFill/>
              <a:ln w="9525" cap="flat" cmpd="sng" algn="ctr">
                <a:solidFill>
                  <a:schemeClr val="tx1">
                    <a:lumMod val="65000"/>
                    <a:lumOff val="35000"/>
                  </a:schemeClr>
                </a:solidFill>
                <a:round/>
              </a:ln>
              <a:effectLst/>
            </c:spPr>
          </c:errBars>
          <c:cat>
            <c:strRef>
              <c:f>'Chromosomal Aberration (CA) Cal'!$C$74</c:f>
              <c:strCache>
                <c:ptCount val="1"/>
                <c:pt idx="0">
                  <c:v>% Aberrant cells</c:v>
                </c:pt>
              </c:strCache>
            </c:strRef>
          </c:cat>
          <c:val>
            <c:numRef>
              <c:f>'Chromosomal Aberration (CA) Cal'!$C$76</c:f>
              <c:numCache>
                <c:formatCode>General</c:formatCode>
                <c:ptCount val="1"/>
                <c:pt idx="0">
                  <c:v>33.1666666666667</c:v>
                </c:pt>
              </c:numCache>
            </c:numRef>
          </c:val>
          <c:extLst>
            <c:ext xmlns:c16="http://schemas.microsoft.com/office/drawing/2014/chart" uri="{C3380CC4-5D6E-409C-BE32-E72D297353CC}">
              <c16:uniqueId val="{00000002-FEC9-4D4E-B635-BF2085F222FA}"/>
            </c:ext>
          </c:extLst>
        </c:ser>
        <c:ser>
          <c:idx val="2"/>
          <c:order val="2"/>
          <c:tx>
            <c:strRef>
              <c:f>'Chromosomal Aberration (CA) Cal'!$B$77</c:f>
              <c:strCache>
                <c:ptCount val="1"/>
                <c:pt idx="0">
                  <c:v>Group C </c:v>
                </c:pt>
              </c:strCache>
            </c:strRef>
          </c:tx>
          <c:spPr>
            <a:pattFill prst="pct40">
              <a:fgClr>
                <a:schemeClr val="accent1"/>
              </a:fgClr>
              <a:bgClr>
                <a:schemeClr val="bg1"/>
              </a:bgClr>
            </a:pattFill>
            <a:ln>
              <a:solidFill>
                <a:schemeClr val="bg2">
                  <a:lumMod val="75000"/>
                </a:schemeClr>
              </a:solidFill>
            </a:ln>
            <a:effectLst>
              <a:outerShdw blurRad="57150" dist="19050" dir="5400000" algn="ctr" rotWithShape="0">
                <a:srgbClr val="000000">
                  <a:alpha val="63000"/>
                </a:srgbClr>
              </a:outerShdw>
            </a:effectLst>
          </c:spPr>
          <c:invertIfNegative val="0"/>
          <c:dLbls>
            <c:dLbl>
              <c:idx val="0"/>
              <c:layout>
                <c:manualLayout>
                  <c:x val="5.2396168946152125E-3"/>
                  <c:y val="-7.4169291638695733E-2"/>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en-US" sz="1000" b="1"/>
                      <a:t>*a</a:t>
                    </a:r>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3.5795247323669697E-2"/>
                      <c:h val="7.5516203515864161E-2"/>
                    </c:manualLayout>
                  </c15:layout>
                </c:ext>
                <c:ext xmlns:c16="http://schemas.microsoft.com/office/drawing/2014/chart" uri="{C3380CC4-5D6E-409C-BE32-E72D297353CC}">
                  <c16:uniqueId val="{00000003-FEC9-4D4E-B635-BF2085F222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'Chromosomal Aberration (CA) Cal'!$C$64</c:f>
                <c:numCache>
                  <c:formatCode>General</c:formatCode>
                  <c:ptCount val="1"/>
                  <c:pt idx="0">
                    <c:v>2.8751811537130401</c:v>
                  </c:pt>
                </c:numCache>
              </c:numRef>
            </c:plus>
            <c:minus>
              <c:numRef>
                <c:f>'Chromosomal Aberration (CA) Cal'!$C$64</c:f>
                <c:numCache>
                  <c:formatCode>General</c:formatCode>
                  <c:ptCount val="1"/>
                  <c:pt idx="0">
                    <c:v>2.8751811537130401</c:v>
                  </c:pt>
                </c:numCache>
              </c:numRef>
            </c:minus>
            <c:spPr>
              <a:noFill/>
              <a:ln w="9525" cap="flat" cmpd="sng" algn="ctr">
                <a:solidFill>
                  <a:schemeClr val="tx1">
                    <a:lumMod val="65000"/>
                    <a:lumOff val="35000"/>
                  </a:schemeClr>
                </a:solidFill>
                <a:round/>
              </a:ln>
              <a:effectLst/>
            </c:spPr>
          </c:errBars>
          <c:cat>
            <c:strRef>
              <c:f>'Chromosomal Aberration (CA) Cal'!$C$74</c:f>
              <c:strCache>
                <c:ptCount val="1"/>
                <c:pt idx="0">
                  <c:v>% Aberrant cells</c:v>
                </c:pt>
              </c:strCache>
            </c:strRef>
          </c:cat>
          <c:val>
            <c:numRef>
              <c:f>'Chromosomal Aberration (CA) Cal'!$C$77</c:f>
              <c:numCache>
                <c:formatCode>General</c:formatCode>
                <c:ptCount val="1"/>
                <c:pt idx="0">
                  <c:v>11.3333333333333</c:v>
                </c:pt>
              </c:numCache>
            </c:numRef>
          </c:val>
          <c:extLst>
            <c:ext xmlns:c16="http://schemas.microsoft.com/office/drawing/2014/chart" uri="{C3380CC4-5D6E-409C-BE32-E72D297353CC}">
              <c16:uniqueId val="{00000004-FEC9-4D4E-B635-BF2085F222FA}"/>
            </c:ext>
          </c:extLst>
        </c:ser>
        <c:ser>
          <c:idx val="3"/>
          <c:order val="3"/>
          <c:tx>
            <c:strRef>
              <c:f>'Chromosomal Aberration (CA) Cal'!$B$78</c:f>
              <c:strCache>
                <c:ptCount val="1"/>
                <c:pt idx="0">
                  <c:v>Group D</c:v>
                </c:pt>
              </c:strCache>
            </c:strRef>
          </c:tx>
          <c:spPr>
            <a:pattFill prst="pct50">
              <a:fgClr>
                <a:schemeClr val="accent1"/>
              </a:fgClr>
              <a:bgClr>
                <a:schemeClr val="bg1"/>
              </a:bgClr>
            </a:pattFill>
            <a:ln>
              <a:solidFill>
                <a:schemeClr val="bg2">
                  <a:lumMod val="75000"/>
                </a:schemeClr>
              </a:solidFill>
            </a:ln>
            <a:effectLst>
              <a:outerShdw blurRad="57150" dist="19050" dir="5400000" algn="ctr" rotWithShape="0">
                <a:srgbClr val="000000">
                  <a:alpha val="63000"/>
                </a:srgbClr>
              </a:outerShdw>
            </a:effectLst>
          </c:spPr>
          <c:invertIfNegative val="0"/>
          <c:dLbls>
            <c:dLbl>
              <c:idx val="0"/>
              <c:layout>
                <c:manualLayout>
                  <c:x val="-1.7465389648718662E-3"/>
                  <c:y val="-6.2458350853638447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EC9-4D4E-B635-BF2085F222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'Chromosomal Aberration (CA) Cal'!$C$65</c:f>
                <c:numCache>
                  <c:formatCode>General</c:formatCode>
                  <c:ptCount val="1"/>
                  <c:pt idx="0">
                    <c:v>2.8577380332470401</c:v>
                  </c:pt>
                </c:numCache>
              </c:numRef>
            </c:plus>
            <c:minus>
              <c:numRef>
                <c:f>'Chromosomal Aberration (CA) Cal'!$C$65</c:f>
                <c:numCache>
                  <c:formatCode>General</c:formatCode>
                  <c:ptCount val="1"/>
                  <c:pt idx="0">
                    <c:v>2.8577380332470401</c:v>
                  </c:pt>
                </c:numCache>
              </c:numRef>
            </c:minus>
            <c:spPr>
              <a:noFill/>
              <a:ln w="9525" cap="flat" cmpd="sng" algn="ctr">
                <a:solidFill>
                  <a:schemeClr val="tx1">
                    <a:lumMod val="65000"/>
                    <a:lumOff val="35000"/>
                  </a:schemeClr>
                </a:solidFill>
                <a:round/>
              </a:ln>
              <a:effectLst/>
            </c:spPr>
          </c:errBars>
          <c:cat>
            <c:strRef>
              <c:f>'Chromosomal Aberration (CA) Cal'!$C$74</c:f>
              <c:strCache>
                <c:ptCount val="1"/>
                <c:pt idx="0">
                  <c:v>% Aberrant cells</c:v>
                </c:pt>
              </c:strCache>
            </c:strRef>
          </c:cat>
          <c:val>
            <c:numRef>
              <c:f>'Chromosomal Aberration (CA) Cal'!$C$78</c:f>
              <c:numCache>
                <c:formatCode>General</c:formatCode>
                <c:ptCount val="1"/>
                <c:pt idx="0">
                  <c:v>14.8333333333333</c:v>
                </c:pt>
              </c:numCache>
            </c:numRef>
          </c:val>
          <c:extLst>
            <c:ext xmlns:c16="http://schemas.microsoft.com/office/drawing/2014/chart" uri="{C3380CC4-5D6E-409C-BE32-E72D297353CC}">
              <c16:uniqueId val="{00000006-FEC9-4D4E-B635-BF2085F222FA}"/>
            </c:ext>
          </c:extLst>
        </c:ser>
        <c:ser>
          <c:idx val="4"/>
          <c:order val="4"/>
          <c:tx>
            <c:strRef>
              <c:f>'Chromosomal Aberration (CA) Cal'!$B$79</c:f>
              <c:strCache>
                <c:ptCount val="1"/>
                <c:pt idx="0">
                  <c:v>Group E</c:v>
                </c:pt>
              </c:strCache>
            </c:strRef>
          </c:tx>
          <c:spPr>
            <a:pattFill prst="pct60">
              <a:fgClr>
                <a:schemeClr val="accent1"/>
              </a:fgClr>
              <a:bgClr>
                <a:schemeClr val="bg1"/>
              </a:bgClr>
            </a:pattFill>
            <a:ln>
              <a:solidFill>
                <a:schemeClr val="bg2">
                  <a:lumMod val="75000"/>
                </a:schemeClr>
              </a:solidFill>
            </a:ln>
            <a:effectLst>
              <a:outerShdw blurRad="57150" dist="19050" dir="5400000" algn="ctr" rotWithShape="0">
                <a:srgbClr val="000000">
                  <a:alpha val="63000"/>
                </a:srgbClr>
              </a:outerShdw>
            </a:effectLst>
          </c:spPr>
          <c:invertIfNegative val="0"/>
          <c:dPt>
            <c:idx val="0"/>
            <c:invertIfNegative val="0"/>
            <c:bubble3D val="0"/>
            <c:spPr>
              <a:pattFill prst="pct60">
                <a:fgClr>
                  <a:schemeClr val="accent1"/>
                </a:fgClr>
                <a:bgClr>
                  <a:schemeClr val="bg1"/>
                </a:bgClr>
              </a:pattFill>
              <a:ln>
                <a:solidFill>
                  <a:schemeClr val="bg2">
                    <a:lumMod val="75000"/>
                  </a:schemeClr>
                </a:solid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FEC9-4D4E-B635-BF2085F222FA}"/>
              </c:ext>
            </c:extLst>
          </c:dPt>
          <c:dLbls>
            <c:dLbl>
              <c:idx val="0"/>
              <c:layout>
                <c:manualLayout>
                  <c:x val="-1.2807804452209447E-16"/>
                  <c:y val="-8.1976585495400531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EC9-4D4E-B635-BF2085F222F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'Chromosomal Aberration (CA) Cal'!$C$66</c:f>
                <c:numCache>
                  <c:formatCode>General</c:formatCode>
                  <c:ptCount val="1"/>
                  <c:pt idx="0">
                    <c:v>2</c:v>
                  </c:pt>
                </c:numCache>
              </c:numRef>
            </c:plus>
            <c:minus>
              <c:numRef>
                <c:f>'Chromosomal Aberration (CA) Cal'!$C$66</c:f>
                <c:numCache>
                  <c:formatCode>General</c:formatCode>
                  <c:ptCount val="1"/>
                  <c:pt idx="0">
                    <c:v>2</c:v>
                  </c:pt>
                </c:numCache>
              </c:numRef>
            </c:minus>
            <c:spPr>
              <a:noFill/>
              <a:ln w="9525" cap="flat" cmpd="sng" algn="ctr">
                <a:solidFill>
                  <a:schemeClr val="tx1">
                    <a:lumMod val="65000"/>
                    <a:lumOff val="35000"/>
                  </a:schemeClr>
                </a:solidFill>
                <a:round/>
              </a:ln>
              <a:effectLst/>
            </c:spPr>
          </c:errBars>
          <c:cat>
            <c:strRef>
              <c:f>'Chromosomal Aberration (CA) Cal'!$C$74</c:f>
              <c:strCache>
                <c:ptCount val="1"/>
                <c:pt idx="0">
                  <c:v>% Aberrant cells</c:v>
                </c:pt>
              </c:strCache>
            </c:strRef>
          </c:cat>
          <c:val>
            <c:numRef>
              <c:f>'Chromosomal Aberration (CA) Cal'!$C$79</c:f>
              <c:numCache>
                <c:formatCode>General</c:formatCode>
                <c:ptCount val="1"/>
                <c:pt idx="0">
                  <c:v>9</c:v>
                </c:pt>
              </c:numCache>
            </c:numRef>
          </c:val>
          <c:extLst>
            <c:ext xmlns:c16="http://schemas.microsoft.com/office/drawing/2014/chart" uri="{C3380CC4-5D6E-409C-BE32-E72D297353CC}">
              <c16:uniqueId val="{00000008-FEC9-4D4E-B635-BF2085F222FA}"/>
            </c:ext>
          </c:extLst>
        </c:ser>
        <c:dLbls>
          <c:showLegendKey val="0"/>
          <c:showVal val="0"/>
          <c:showCatName val="0"/>
          <c:showSerName val="0"/>
          <c:showPercent val="0"/>
          <c:showBubbleSize val="0"/>
        </c:dLbls>
        <c:gapWidth val="100"/>
        <c:overlap val="-25"/>
        <c:axId val="340421743"/>
        <c:axId val="340405423"/>
      </c:barChart>
      <c:catAx>
        <c:axId val="340421743"/>
        <c:scaling>
          <c:orientation val="minMax"/>
        </c:scaling>
        <c:delete val="1"/>
        <c:axPos val="b"/>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r>
                  <a:rPr lang="en-IN" sz="900" b="1"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Experimental Groups</a:t>
                </a: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IN"/>
              </a:p>
            </c:rich>
          </c:tx>
          <c:layout>
            <c:manualLayout>
              <c:xMode val="edge"/>
              <c:yMode val="edge"/>
              <c:x val="0.46297851700511722"/>
              <c:y val="0.88307065080857605"/>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lumMod val="65000"/>
                      <a:lumOff val="35000"/>
                    </a:sys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crossAx val="340405423"/>
        <c:crosses val="autoZero"/>
        <c:auto val="1"/>
        <c:lblAlgn val="ctr"/>
        <c:lblOffset val="100"/>
        <c:noMultiLvlLbl val="0"/>
      </c:catAx>
      <c:valAx>
        <c:axId val="34040542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 Aberrant cells</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40421743"/>
        <c:crosses val="autoZero"/>
        <c:crossBetween val="between"/>
      </c:valAx>
      <c:spPr>
        <a:noFill/>
        <a:ln>
          <a:noFill/>
        </a:ln>
        <a:effectLst/>
      </c:spPr>
    </c:plotArea>
    <c:legend>
      <c:legendPos val="b"/>
      <c:layout>
        <c:manualLayout>
          <c:xMode val="edge"/>
          <c:yMode val="edge"/>
          <c:x val="4.9530751930992011E-2"/>
          <c:y val="0.81754932383360934"/>
          <c:w val="0.89999991748634811"/>
          <c:h val="5.809541383863954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95000"/>
          <a:lumOff val="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1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Chromosomal Aberrations: Chromosome Breaks &amp; Chromatid Breaks</a:t>
            </a:r>
          </a:p>
        </c:rich>
      </c:tx>
      <c:layout>
        <c:manualLayout>
          <c:xMode val="edge"/>
          <c:yMode val="edge"/>
          <c:x val="0.14019499224462664"/>
          <c:y val="3.4559368057269807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0114838847005418E-2"/>
          <c:y val="0.12307050381666625"/>
          <c:w val="0.90747673824175479"/>
          <c:h val="0.65463481443393778"/>
        </c:manualLayout>
      </c:layout>
      <c:barChart>
        <c:barDir val="col"/>
        <c:grouping val="clustered"/>
        <c:varyColors val="0"/>
        <c:ser>
          <c:idx val="0"/>
          <c:order val="0"/>
          <c:tx>
            <c:strRef>
              <c:f>'Chromosomal Aberration (CA) Cal'!$C$99</c:f>
              <c:strCache>
                <c:ptCount val="1"/>
                <c:pt idx="0">
                  <c:v>%Chromosome Breaks</c:v>
                </c:pt>
              </c:strCache>
            </c:strRef>
          </c:tx>
          <c:spPr>
            <a:pattFill prst="pct30">
              <a:fgClr>
                <a:schemeClr val="tx2">
                  <a:lumMod val="75000"/>
                  <a:lumOff val="25000"/>
                </a:schemeClr>
              </a:fgClr>
              <a:bgClr>
                <a:schemeClr val="bg1"/>
              </a:bgClr>
            </a:pattFill>
            <a:ln>
              <a:solidFill>
                <a:schemeClr val="tx1">
                  <a:lumMod val="65000"/>
                  <a:lumOff val="35000"/>
                </a:schemeClr>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F329-430A-9341-449F76311E35}"/>
                </c:ext>
              </c:extLst>
            </c:dLbl>
            <c:dLbl>
              <c:idx val="1"/>
              <c:layout>
                <c:manualLayout>
                  <c:x val="0"/>
                  <c:y val="-5.240574187725738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29-430A-9341-449F76311E35}"/>
                </c:ext>
              </c:extLst>
            </c:dLbl>
            <c:dLbl>
              <c:idx val="2"/>
              <c:layout>
                <c:manualLayout>
                  <c:x val="-1.5833936664502695E-3"/>
                  <c:y val="-2.6202870938628827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29-430A-9341-449F76311E35}"/>
                </c:ext>
              </c:extLst>
            </c:dLbl>
            <c:dLbl>
              <c:idx val="3"/>
              <c:layout>
                <c:manualLayout>
                  <c:x val="-4.7501809993508084E-3"/>
                  <c:y val="-4.866247460031042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29-430A-9341-449F76311E35}"/>
                </c:ext>
              </c:extLst>
            </c:dLbl>
            <c:dLbl>
              <c:idx val="4"/>
              <c:layout>
                <c:manualLayout>
                  <c:x val="0"/>
                  <c:y val="-4.117594004641651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29-430A-9341-449F76311E3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'Chromosomal Aberration (CA) Cal'!$D$62:$D$66</c:f>
                <c:numCache>
                  <c:formatCode>General</c:formatCode>
                  <c:ptCount val="5"/>
                  <c:pt idx="0">
                    <c:v>0.40824829046386296</c:v>
                  </c:pt>
                  <c:pt idx="1">
                    <c:v>1.1690451944500129</c:v>
                  </c:pt>
                  <c:pt idx="2">
                    <c:v>0.40824829046386318</c:v>
                  </c:pt>
                  <c:pt idx="3">
                    <c:v>0.54772255750516607</c:v>
                  </c:pt>
                  <c:pt idx="4">
                    <c:v>0.63245553203367588</c:v>
                  </c:pt>
                </c:numCache>
              </c:numRef>
            </c:plus>
            <c:minus>
              <c:numRef>
                <c:f>'Chromosomal Aberration (CA) Cal'!$D$62:$D$66</c:f>
                <c:numCache>
                  <c:formatCode>General</c:formatCode>
                  <c:ptCount val="5"/>
                  <c:pt idx="0">
                    <c:v>0.40824829046386296</c:v>
                  </c:pt>
                  <c:pt idx="1">
                    <c:v>1.1690451944500129</c:v>
                  </c:pt>
                  <c:pt idx="2">
                    <c:v>0.40824829046386318</c:v>
                  </c:pt>
                  <c:pt idx="3">
                    <c:v>0.54772255750516607</c:v>
                  </c:pt>
                  <c:pt idx="4">
                    <c:v>0.63245553203367588</c:v>
                  </c:pt>
                </c:numCache>
              </c:numRef>
            </c:minus>
            <c:spPr>
              <a:noFill/>
              <a:ln w="9525" cap="flat" cmpd="sng" algn="ctr">
                <a:solidFill>
                  <a:schemeClr val="tx1">
                    <a:lumMod val="65000"/>
                    <a:lumOff val="35000"/>
                  </a:schemeClr>
                </a:solidFill>
                <a:round/>
              </a:ln>
              <a:effectLst/>
            </c:spPr>
          </c:errBars>
          <c:cat>
            <c:strRef>
              <c:f>'Chromosomal Aberration (CA) Cal'!$B$100:$B$104</c:f>
              <c:strCache>
                <c:ptCount val="5"/>
                <c:pt idx="0">
                  <c:v>Group A </c:v>
                </c:pt>
                <c:pt idx="1">
                  <c:v>Group B </c:v>
                </c:pt>
                <c:pt idx="2">
                  <c:v>Group C</c:v>
                </c:pt>
                <c:pt idx="3">
                  <c:v>Group D</c:v>
                </c:pt>
                <c:pt idx="4">
                  <c:v>Group E</c:v>
                </c:pt>
              </c:strCache>
            </c:strRef>
          </c:cat>
          <c:val>
            <c:numRef>
              <c:f>'Chromosomal Aberration (CA) Cal'!$C$100:$C$104</c:f>
              <c:numCache>
                <c:formatCode>General</c:formatCode>
                <c:ptCount val="5"/>
                <c:pt idx="0">
                  <c:v>0.83333333333333337</c:v>
                </c:pt>
                <c:pt idx="1">
                  <c:v>6.166666666666667</c:v>
                </c:pt>
                <c:pt idx="2">
                  <c:v>1.1666666666666667</c:v>
                </c:pt>
                <c:pt idx="3">
                  <c:v>1.5</c:v>
                </c:pt>
                <c:pt idx="4">
                  <c:v>1</c:v>
                </c:pt>
              </c:numCache>
            </c:numRef>
          </c:val>
          <c:extLst>
            <c:ext xmlns:c16="http://schemas.microsoft.com/office/drawing/2014/chart" uri="{C3380CC4-5D6E-409C-BE32-E72D297353CC}">
              <c16:uniqueId val="{00000005-F329-430A-9341-449F76311E35}"/>
            </c:ext>
          </c:extLst>
        </c:ser>
        <c:ser>
          <c:idx val="1"/>
          <c:order val="1"/>
          <c:tx>
            <c:strRef>
              <c:f>'Chromosomal Aberration (CA) Cal'!$D$99</c:f>
              <c:strCache>
                <c:ptCount val="1"/>
                <c:pt idx="0">
                  <c:v>% Chromatid Breaks</c:v>
                </c:pt>
              </c:strCache>
            </c:strRef>
          </c:tx>
          <c:spPr>
            <a:pattFill prst="pct40">
              <a:fgClr>
                <a:schemeClr val="tx2">
                  <a:lumMod val="75000"/>
                  <a:lumOff val="25000"/>
                </a:schemeClr>
              </a:fgClr>
              <a:bgClr>
                <a:schemeClr val="bg1"/>
              </a:bgClr>
            </a:pattFill>
            <a:ln>
              <a:solidFill>
                <a:schemeClr val="tx1">
                  <a:lumMod val="85000"/>
                  <a:lumOff val="15000"/>
                </a:schemeClr>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6-F329-430A-9341-449F76311E35}"/>
                </c:ext>
              </c:extLst>
            </c:dLbl>
            <c:dLbl>
              <c:idx val="1"/>
              <c:layout>
                <c:manualLayout>
                  <c:x val="0"/>
                  <c:y val="-8.0288137273386365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329-430A-9341-449F76311E35}"/>
                </c:ext>
              </c:extLst>
            </c:dLbl>
            <c:dLbl>
              <c:idx val="2"/>
              <c:layout>
                <c:manualLayout>
                  <c:x val="0"/>
                  <c:y val="-5.2405741877257453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329-430A-9341-449F76311E35}"/>
                </c:ext>
              </c:extLst>
            </c:dLbl>
            <c:dLbl>
              <c:idx val="3"/>
              <c:layout>
                <c:manualLayout>
                  <c:x val="6.3335746658010755E-3"/>
                  <c:y val="-4.4919207323363478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3.5721361115118075E-2"/>
                      <c:h val="6.7322809348618437E-2"/>
                    </c:manualLayout>
                  </c15:layout>
                </c:ext>
                <c:ext xmlns:c16="http://schemas.microsoft.com/office/drawing/2014/chart" uri="{C3380CC4-5D6E-409C-BE32-E72D297353CC}">
                  <c16:uniqueId val="{00000009-F329-430A-9341-449F76311E35}"/>
                </c:ext>
              </c:extLst>
            </c:dLbl>
            <c:dLbl>
              <c:idx val="4"/>
              <c:layout>
                <c:manualLayout>
                  <c:x val="3.1667873329004228E-3"/>
                  <c:y val="-4.491920732336354E-2"/>
                </c:manualLayout>
              </c:layout>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329-430A-9341-449F76311E35}"/>
                </c:ext>
              </c:extLst>
            </c:dLbl>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cust"/>
            <c:noEndCap val="0"/>
            <c:plus>
              <c:numRef>
                <c:f>'Chromosomal Aberration (CA) Cal'!$E$62:$E$66</c:f>
                <c:numCache>
                  <c:formatCode>General</c:formatCode>
                  <c:ptCount val="5"/>
                  <c:pt idx="0">
                    <c:v>0.83666002653407556</c:v>
                  </c:pt>
                  <c:pt idx="1">
                    <c:v>2.5884358211089569</c:v>
                  </c:pt>
                  <c:pt idx="2">
                    <c:v>0.75277265270908122</c:v>
                  </c:pt>
                  <c:pt idx="3">
                    <c:v>0.89442719099991586</c:v>
                  </c:pt>
                  <c:pt idx="4">
                    <c:v>0.75277265270908122</c:v>
                  </c:pt>
                </c:numCache>
              </c:numRef>
            </c:plus>
            <c:minus>
              <c:numRef>
                <c:f>'Chromosomal Aberration (CA) Cal'!$E$62:$E$66</c:f>
                <c:numCache>
                  <c:formatCode>General</c:formatCode>
                  <c:ptCount val="5"/>
                  <c:pt idx="0">
                    <c:v>0.83666002653407556</c:v>
                  </c:pt>
                  <c:pt idx="1">
                    <c:v>2.5884358211089569</c:v>
                  </c:pt>
                  <c:pt idx="2">
                    <c:v>0.75277265270908122</c:v>
                  </c:pt>
                  <c:pt idx="3">
                    <c:v>0.89442719099991586</c:v>
                  </c:pt>
                  <c:pt idx="4">
                    <c:v>0.75277265270908122</c:v>
                  </c:pt>
                </c:numCache>
              </c:numRef>
            </c:minus>
            <c:spPr>
              <a:noFill/>
              <a:ln w="9525" cap="flat" cmpd="sng" algn="ctr">
                <a:solidFill>
                  <a:schemeClr val="tx1">
                    <a:lumMod val="65000"/>
                    <a:lumOff val="35000"/>
                  </a:schemeClr>
                </a:solidFill>
                <a:round/>
              </a:ln>
              <a:effectLst/>
            </c:spPr>
          </c:errBars>
          <c:cat>
            <c:strRef>
              <c:f>'Chromosomal Aberration (CA) Cal'!$B$100:$B$104</c:f>
              <c:strCache>
                <c:ptCount val="5"/>
                <c:pt idx="0">
                  <c:v>Group A </c:v>
                </c:pt>
                <c:pt idx="1">
                  <c:v>Group B </c:v>
                </c:pt>
                <c:pt idx="2">
                  <c:v>Group C</c:v>
                </c:pt>
                <c:pt idx="3">
                  <c:v>Group D</c:v>
                </c:pt>
                <c:pt idx="4">
                  <c:v>Group E</c:v>
                </c:pt>
              </c:strCache>
            </c:strRef>
          </c:cat>
          <c:val>
            <c:numRef>
              <c:f>'Chromosomal Aberration (CA) Cal'!$D$100:$D$104</c:f>
              <c:numCache>
                <c:formatCode>General</c:formatCode>
                <c:ptCount val="5"/>
                <c:pt idx="0">
                  <c:v>1.5</c:v>
                </c:pt>
                <c:pt idx="1">
                  <c:v>12.5</c:v>
                </c:pt>
                <c:pt idx="2">
                  <c:v>3.1666666666666665</c:v>
                </c:pt>
                <c:pt idx="3">
                  <c:v>6</c:v>
                </c:pt>
                <c:pt idx="4">
                  <c:v>3.1666666666666665</c:v>
                </c:pt>
              </c:numCache>
            </c:numRef>
          </c:val>
          <c:extLst>
            <c:ext xmlns:c16="http://schemas.microsoft.com/office/drawing/2014/chart" uri="{C3380CC4-5D6E-409C-BE32-E72D297353CC}">
              <c16:uniqueId val="{0000000B-F329-430A-9341-449F76311E35}"/>
            </c:ext>
          </c:extLst>
        </c:ser>
        <c:dLbls>
          <c:dLblPos val="outEnd"/>
          <c:showLegendKey val="0"/>
          <c:showVal val="1"/>
          <c:showCatName val="0"/>
          <c:showSerName val="0"/>
          <c:showPercent val="0"/>
          <c:showBubbleSize val="0"/>
        </c:dLbls>
        <c:gapWidth val="219"/>
        <c:overlap val="-27"/>
        <c:axId val="1362677552"/>
        <c:axId val="1362678512"/>
      </c:barChart>
      <c:catAx>
        <c:axId val="136267755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Experimental</a:t>
                </a:r>
                <a:r>
                  <a:rPr lang="en-IN" baseline="0"/>
                  <a:t> Groups</a:t>
                </a:r>
                <a:endParaRPr lang="en-IN"/>
              </a:p>
            </c:rich>
          </c:tx>
          <c:layout>
            <c:manualLayout>
              <c:xMode val="edge"/>
              <c:yMode val="edge"/>
              <c:x val="0.42853523765988372"/>
              <c:y val="0.85083142686650715"/>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62678512"/>
        <c:crosses val="autoZero"/>
        <c:auto val="1"/>
        <c:lblAlgn val="ctr"/>
        <c:lblOffset val="100"/>
        <c:noMultiLvlLbl val="0"/>
      </c:catAx>
      <c:valAx>
        <c:axId val="1362678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a:t>
                </a:r>
                <a:r>
                  <a:rPr lang="en-IN" baseline="0"/>
                  <a:t> of Chromosomal Aberrations</a:t>
                </a:r>
                <a:endParaRPr lang="en-IN"/>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362677552"/>
        <c:crosses val="autoZero"/>
        <c:crossBetween val="between"/>
      </c:valAx>
      <c:spPr>
        <a:noFill/>
        <a:ln>
          <a:noFill/>
        </a:ln>
        <a:effectLst/>
      </c:spPr>
    </c:plotArea>
    <c:legend>
      <c:legendPos val="b"/>
      <c:layout>
        <c:manualLayout>
          <c:xMode val="edge"/>
          <c:yMode val="edge"/>
          <c:x val="0.49246481293760286"/>
          <c:y val="0.28479212870546206"/>
          <c:w val="0.50698262761471236"/>
          <c:h val="7.832808852485145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Micronucleus (MN) Assay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1548637953476543"/>
          <c:y val="0.15729842097733143"/>
          <c:w val="0.85684065900869788"/>
          <c:h val="0.50064604669514345"/>
        </c:manualLayout>
      </c:layout>
      <c:barChart>
        <c:barDir val="col"/>
        <c:grouping val="clustered"/>
        <c:varyColors val="0"/>
        <c:ser>
          <c:idx val="0"/>
          <c:order val="0"/>
          <c:spPr>
            <a:solidFill>
              <a:schemeClr val="accent1"/>
            </a:solidFill>
            <a:ln>
              <a:solidFill>
                <a:schemeClr val="accent1"/>
              </a:solidFill>
            </a:ln>
            <a:effectLst/>
          </c:spPr>
          <c:invertIfNegative val="0"/>
          <c:dPt>
            <c:idx val="0"/>
            <c:invertIfNegative val="0"/>
            <c:bubble3D val="0"/>
            <c:spPr>
              <a:pattFill prst="pct25">
                <a:fgClr>
                  <a:schemeClr val="tx2">
                    <a:lumMod val="90000"/>
                    <a:lumOff val="10000"/>
                  </a:schemeClr>
                </a:fgClr>
                <a:bgClr>
                  <a:schemeClr val="bg1"/>
                </a:bgClr>
              </a:pattFill>
              <a:ln>
                <a:solidFill>
                  <a:schemeClr val="accent1"/>
                </a:solidFill>
              </a:ln>
              <a:effectLst/>
            </c:spPr>
            <c:extLst>
              <c:ext xmlns:c16="http://schemas.microsoft.com/office/drawing/2014/chart" uri="{C3380CC4-5D6E-409C-BE32-E72D297353CC}">
                <c16:uniqueId val="{00000000-E943-BE4A-92FA-7878A90E6216}"/>
              </c:ext>
            </c:extLst>
          </c:dPt>
          <c:dPt>
            <c:idx val="1"/>
            <c:invertIfNegative val="0"/>
            <c:bubble3D val="0"/>
            <c:spPr>
              <a:pattFill prst="pct30">
                <a:fgClr>
                  <a:schemeClr val="tx2">
                    <a:lumMod val="90000"/>
                    <a:lumOff val="10000"/>
                  </a:schemeClr>
                </a:fgClr>
                <a:bgClr>
                  <a:schemeClr val="bg1"/>
                </a:bgClr>
              </a:pattFill>
              <a:ln>
                <a:solidFill>
                  <a:schemeClr val="accent1"/>
                </a:solidFill>
              </a:ln>
              <a:effectLst/>
            </c:spPr>
            <c:extLst>
              <c:ext xmlns:c16="http://schemas.microsoft.com/office/drawing/2014/chart" uri="{C3380CC4-5D6E-409C-BE32-E72D297353CC}">
                <c16:uniqueId val="{00000001-E943-BE4A-92FA-7878A90E6216}"/>
              </c:ext>
            </c:extLst>
          </c:dPt>
          <c:dPt>
            <c:idx val="2"/>
            <c:invertIfNegative val="0"/>
            <c:bubble3D val="0"/>
            <c:spPr>
              <a:pattFill prst="pct40">
                <a:fgClr>
                  <a:schemeClr val="tx2">
                    <a:lumMod val="90000"/>
                    <a:lumOff val="10000"/>
                  </a:schemeClr>
                </a:fgClr>
                <a:bgClr>
                  <a:schemeClr val="bg1"/>
                </a:bgClr>
              </a:pattFill>
              <a:ln>
                <a:solidFill>
                  <a:schemeClr val="accent1"/>
                </a:solidFill>
              </a:ln>
              <a:effectLst/>
            </c:spPr>
            <c:extLst>
              <c:ext xmlns:c16="http://schemas.microsoft.com/office/drawing/2014/chart" uri="{C3380CC4-5D6E-409C-BE32-E72D297353CC}">
                <c16:uniqueId val="{00000002-E943-BE4A-92FA-7878A90E6216}"/>
              </c:ext>
            </c:extLst>
          </c:dPt>
          <c:dPt>
            <c:idx val="3"/>
            <c:invertIfNegative val="0"/>
            <c:bubble3D val="0"/>
            <c:spPr>
              <a:pattFill prst="pct50">
                <a:fgClr>
                  <a:schemeClr val="tx2">
                    <a:lumMod val="90000"/>
                    <a:lumOff val="10000"/>
                  </a:schemeClr>
                </a:fgClr>
                <a:bgClr>
                  <a:schemeClr val="bg1"/>
                </a:bgClr>
              </a:pattFill>
              <a:ln>
                <a:solidFill>
                  <a:schemeClr val="accent1"/>
                </a:solidFill>
              </a:ln>
              <a:effectLst/>
            </c:spPr>
            <c:extLst>
              <c:ext xmlns:c16="http://schemas.microsoft.com/office/drawing/2014/chart" uri="{C3380CC4-5D6E-409C-BE32-E72D297353CC}">
                <c16:uniqueId val="{00000003-E943-BE4A-92FA-7878A90E6216}"/>
              </c:ext>
            </c:extLst>
          </c:dPt>
          <c:dPt>
            <c:idx val="4"/>
            <c:invertIfNegative val="0"/>
            <c:bubble3D val="0"/>
            <c:spPr>
              <a:pattFill prst="pct60">
                <a:fgClr>
                  <a:schemeClr val="tx2">
                    <a:lumMod val="90000"/>
                    <a:lumOff val="10000"/>
                  </a:schemeClr>
                </a:fgClr>
                <a:bgClr>
                  <a:schemeClr val="bg1"/>
                </a:bgClr>
              </a:pattFill>
              <a:ln>
                <a:solidFill>
                  <a:schemeClr val="accent1"/>
                </a:solidFill>
              </a:ln>
              <a:effectLst/>
            </c:spPr>
            <c:extLst>
              <c:ext xmlns:c16="http://schemas.microsoft.com/office/drawing/2014/chart" uri="{C3380CC4-5D6E-409C-BE32-E72D297353CC}">
                <c16:uniqueId val="{00000004-E943-BE4A-92FA-7878A90E6216}"/>
              </c:ext>
            </c:extLst>
          </c:dPt>
          <c:dLbls>
            <c:dLbl>
              <c:idx val="0"/>
              <c:delete val="1"/>
              <c:extLst>
                <c:ext xmlns:c15="http://schemas.microsoft.com/office/drawing/2012/chart" uri="{CE6537A1-D6FC-4f65-9D91-7224C49458BB}"/>
                <c:ext xmlns:c16="http://schemas.microsoft.com/office/drawing/2014/chart" uri="{C3380CC4-5D6E-409C-BE32-E72D297353CC}">
                  <c16:uniqueId val="{00000000-E943-BE4A-92FA-7878A90E6216}"/>
                </c:ext>
              </c:extLst>
            </c:dLbl>
            <c:dLbl>
              <c:idx val="1"/>
              <c:layout>
                <c:manualLayout>
                  <c:x val="-4.612106963302912E-17"/>
                  <c:y val="-9.1503236579611111E-2"/>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943-BE4A-92FA-7878A90E6216}"/>
                </c:ext>
              </c:extLst>
            </c:dLbl>
            <c:dLbl>
              <c:idx val="2"/>
              <c:layout>
                <c:manualLayout>
                  <c:x val="0"/>
                  <c:y val="-0.10457512751955551"/>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943-BE4A-92FA-7878A90E6216}"/>
                </c:ext>
              </c:extLst>
            </c:dLbl>
            <c:dLbl>
              <c:idx val="3"/>
              <c:layout>
                <c:manualLayout>
                  <c:x val="9.224213926605824E-17"/>
                  <c:y val="-0.10457495597243036"/>
                </c:manualLayout>
              </c:layout>
              <c:tx>
                <c:rich>
                  <a:bodyPr/>
                  <a:lstStyle/>
                  <a:p>
                    <a:r>
                      <a:rPr lang="en-US"/>
                      <a:t>*b</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943-BE4A-92FA-7878A90E6216}"/>
                </c:ext>
              </c:extLst>
            </c:dLbl>
            <c:dLbl>
              <c:idx val="4"/>
              <c:layout>
                <c:manualLayout>
                  <c:x val="0"/>
                  <c:y val="-0.10893242449953704"/>
                </c:manualLayout>
              </c:layout>
              <c:tx>
                <c:rich>
                  <a:bodyPr/>
                  <a:lstStyle/>
                  <a:p>
                    <a:r>
                      <a:rPr lang="en-US"/>
                      <a:t>*a</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943-BE4A-92FA-7878A90E6216}"/>
                </c:ext>
              </c:extLst>
            </c:dLbl>
            <c:numFmt formatCode="General" sourceLinked="0"/>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DataLabelsRange val="1"/>
                <c15:showLeaderLines val="0"/>
              </c:ext>
            </c:extLst>
          </c:dLbls>
          <c:errBars>
            <c:errBarType val="both"/>
            <c:errValType val="cust"/>
            <c:noEndCap val="0"/>
            <c:plus>
              <c:numRef>
                <c:f>'MN table'!$F$3:$F$7</c:f>
                <c:numCache>
                  <c:formatCode>General</c:formatCode>
                  <c:ptCount val="5"/>
                  <c:pt idx="0">
                    <c:v>0.45</c:v>
                  </c:pt>
                  <c:pt idx="1">
                    <c:v>0.57999999999999996</c:v>
                  </c:pt>
                  <c:pt idx="2">
                    <c:v>0.71</c:v>
                  </c:pt>
                  <c:pt idx="3">
                    <c:v>0.57999999999999996</c:v>
                  </c:pt>
                  <c:pt idx="4">
                    <c:v>0.5</c:v>
                  </c:pt>
                </c:numCache>
              </c:numRef>
            </c:plus>
            <c:minus>
              <c:numRef>
                <c:f>'MN table'!$F$3:$F$7</c:f>
                <c:numCache>
                  <c:formatCode>General</c:formatCode>
                  <c:ptCount val="5"/>
                  <c:pt idx="0">
                    <c:v>0.45</c:v>
                  </c:pt>
                  <c:pt idx="1">
                    <c:v>0.57999999999999996</c:v>
                  </c:pt>
                  <c:pt idx="2">
                    <c:v>0.71</c:v>
                  </c:pt>
                  <c:pt idx="3">
                    <c:v>0.57999999999999996</c:v>
                  </c:pt>
                  <c:pt idx="4">
                    <c:v>0.5</c:v>
                  </c:pt>
                </c:numCache>
              </c:numRef>
            </c:minus>
            <c:spPr>
              <a:noFill/>
              <a:ln w="9525" cap="flat" cmpd="sng" algn="ctr">
                <a:solidFill>
                  <a:schemeClr val="tx1">
                    <a:lumMod val="65000"/>
                    <a:lumOff val="35000"/>
                  </a:schemeClr>
                </a:solidFill>
                <a:round/>
              </a:ln>
              <a:effectLst/>
            </c:spPr>
          </c:errBars>
          <c:cat>
            <c:strRef>
              <c:f>'MN table'!$A$12:$A$16</c:f>
              <c:strCache>
                <c:ptCount val="5"/>
                <c:pt idx="0">
                  <c:v>Group A Normal</c:v>
                </c:pt>
                <c:pt idx="1">
                  <c:v>Group B Carcinogen control</c:v>
                </c:pt>
                <c:pt idx="2">
                  <c:v>Group C Pre treatment</c:v>
                </c:pt>
                <c:pt idx="3">
                  <c:v>Group D Post treatment</c:v>
                </c:pt>
                <c:pt idx="4">
                  <c:v>Group E Throughout treatment</c:v>
                </c:pt>
              </c:strCache>
            </c:strRef>
          </c:cat>
          <c:val>
            <c:numRef>
              <c:f>'MN table'!$B$12:$B$16</c:f>
              <c:numCache>
                <c:formatCode>General</c:formatCode>
                <c:ptCount val="5"/>
                <c:pt idx="0">
                  <c:v>1.8</c:v>
                </c:pt>
                <c:pt idx="1">
                  <c:v>3.5</c:v>
                </c:pt>
                <c:pt idx="2">
                  <c:v>1</c:v>
                </c:pt>
                <c:pt idx="3">
                  <c:v>1.67</c:v>
                </c:pt>
                <c:pt idx="4">
                  <c:v>0.75</c:v>
                </c:pt>
              </c:numCache>
            </c:numRef>
          </c:val>
          <c:extLst>
            <c:ext xmlns:c16="http://schemas.microsoft.com/office/drawing/2014/chart" uri="{C3380CC4-5D6E-409C-BE32-E72D297353CC}">
              <c16:uniqueId val="{00000005-E943-BE4A-92FA-7878A90E6216}"/>
            </c:ext>
          </c:extLst>
        </c:ser>
        <c:dLbls>
          <c:showLegendKey val="0"/>
          <c:showVal val="0"/>
          <c:showCatName val="0"/>
          <c:showSerName val="0"/>
          <c:showPercent val="0"/>
          <c:showBubbleSize val="0"/>
        </c:dLbls>
        <c:gapWidth val="219"/>
        <c:overlap val="-27"/>
        <c:axId val="1845727215"/>
        <c:axId val="1845728175"/>
      </c:barChart>
      <c:catAx>
        <c:axId val="1845727215"/>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Experimental</a:t>
                </a:r>
                <a:r>
                  <a:rPr lang="en-IN" baseline="0"/>
                  <a:t> Groups</a:t>
                </a:r>
                <a:endParaRPr lang="en-IN"/>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5728175"/>
        <c:crosses val="autoZero"/>
        <c:auto val="1"/>
        <c:lblAlgn val="ctr"/>
        <c:lblOffset val="100"/>
        <c:noMultiLvlLbl val="0"/>
      </c:catAx>
      <c:valAx>
        <c:axId val="184572817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a:t>
                </a:r>
                <a:r>
                  <a:rPr lang="en-IN" baseline="0"/>
                  <a:t> of Micronuclei</a:t>
                </a:r>
                <a:endParaRPr lang="en-IN"/>
              </a:p>
            </c:rich>
          </c:tx>
          <c:layout>
            <c:manualLayout>
              <c:xMode val="edge"/>
              <c:yMode val="edge"/>
              <c:x val="3.0555530796368361E-2"/>
              <c:y val="0.2446598910818966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84572721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FED72402-BF65-4FE9-9D6B-75CAFBB9254B}">
  <ds:schemaRefs>
    <ds:schemaRef ds:uri="http://www.wps.cn/android/officeDocument/2013/mofficeCustomData"/>
  </ds:schemaRefs>
</ds:datastoreItem>
</file>

<file path=customXml/itemProps10.xml><?xml version="1.0" encoding="utf-8"?>
<ds:datastoreItem xmlns:ds="http://schemas.openxmlformats.org/officeDocument/2006/customXml" ds:itemID="{2C3D62C6-86AC-4C8C-99EC-F6A89D273B88}">
  <ds:schemaRefs>
    <ds:schemaRef ds:uri="http://www.wps.cn/android/officeDocument/2013/mofficeCustomData"/>
  </ds:schemaRefs>
</ds:datastoreItem>
</file>

<file path=customXml/itemProps11.xml><?xml version="1.0" encoding="utf-8"?>
<ds:datastoreItem xmlns:ds="http://schemas.openxmlformats.org/officeDocument/2006/customXml" ds:itemID="{36CFE249-A31B-4F74-9D64-F436D71736C0}">
  <ds:schemaRefs>
    <ds:schemaRef ds:uri="http://www.wps.cn/android/officeDocument/2013/mofficeCustomData"/>
  </ds:schemaRefs>
</ds:datastoreItem>
</file>

<file path=customXml/itemProps12.xml><?xml version="1.0" encoding="utf-8"?>
<ds:datastoreItem xmlns:ds="http://schemas.openxmlformats.org/officeDocument/2006/customXml" ds:itemID="{B7FD4A04-D655-4C55-A8B4-D5656EC76D08}">
  <ds:schemaRefs>
    <ds:schemaRef ds:uri="http://www.wps.cn/android/officeDocument/2013/mofficeCustomData"/>
  </ds:schemaRefs>
</ds:datastoreItem>
</file>

<file path=customXml/itemProps13.xml><?xml version="1.0" encoding="utf-8"?>
<ds:datastoreItem xmlns:ds="http://schemas.openxmlformats.org/officeDocument/2006/customXml" ds:itemID="{16ED6BEC-DF08-40CC-A160-E534734F835B}">
  <ds:schemaRefs>
    <ds:schemaRef ds:uri="http://www.wps.cn/android/officeDocument/2013/mofficeCustomData"/>
  </ds:schemaRefs>
</ds:datastoreItem>
</file>

<file path=customXml/itemProps14.xml><?xml version="1.0" encoding="utf-8"?>
<ds:datastoreItem xmlns:ds="http://schemas.openxmlformats.org/officeDocument/2006/customXml" ds:itemID="{C0561E90-26EC-4B26-84A8-F2E1600662BE}">
  <ds:schemaRefs>
    <ds:schemaRef ds:uri="http://www.wps.cn/android/officeDocument/2013/mofficeCustomData"/>
  </ds:schemaRefs>
</ds:datastoreItem>
</file>

<file path=customXml/itemProps15.xml><?xml version="1.0" encoding="utf-8"?>
<ds:datastoreItem xmlns:ds="http://schemas.openxmlformats.org/officeDocument/2006/customXml" ds:itemID="{CA984230-6C1F-4827-8DAA-BD15AE770AB9}">
  <ds:schemaRefs>
    <ds:schemaRef ds:uri="http://www.wps.cn/android/officeDocument/2013/mofficeCustomData"/>
  </ds:schemaRefs>
</ds:datastoreItem>
</file>

<file path=customXml/itemProps16.xml><?xml version="1.0" encoding="utf-8"?>
<ds:datastoreItem xmlns:ds="http://schemas.openxmlformats.org/officeDocument/2006/customXml" ds:itemID="{E197E706-633C-49EC-B9DF-57F68085AD40}">
  <ds:schemaRefs>
    <ds:schemaRef ds:uri="http://www.wps.cn/android/officeDocument/2013/mofficeCustomData"/>
  </ds:schemaRefs>
</ds:datastoreItem>
</file>

<file path=customXml/itemProps17.xml><?xml version="1.0" encoding="utf-8"?>
<ds:datastoreItem xmlns:ds="http://schemas.openxmlformats.org/officeDocument/2006/customXml" ds:itemID="{CC52E958-5094-4208-AAA3-E25C01A84F57}">
  <ds:schemaRefs>
    <ds:schemaRef ds:uri="http://www.wps.cn/android/officeDocument/2013/mofficeCustomData"/>
  </ds:schemaRefs>
</ds:datastoreItem>
</file>

<file path=customXml/itemProps18.xml><?xml version="1.0" encoding="utf-8"?>
<ds:datastoreItem xmlns:ds="http://schemas.openxmlformats.org/officeDocument/2006/customXml" ds:itemID="{1BDF15B6-342B-42FE-BB65-65641737C0A3}">
  <ds:schemaRefs>
    <ds:schemaRef ds:uri="http://www.wps.cn/android/officeDocument/2013/mofficeCustomData"/>
  </ds:schemaRefs>
</ds:datastoreItem>
</file>

<file path=customXml/itemProps19.xml><?xml version="1.0" encoding="utf-8"?>
<ds:datastoreItem xmlns:ds="http://schemas.openxmlformats.org/officeDocument/2006/customXml" ds:itemID="{CAD7EA91-3B30-4E43-A2E1-B09DD994BA84}">
  <ds:schemaRefs>
    <ds:schemaRef ds:uri="http://www.wps.cn/android/officeDocument/2013/mofficeCustomData"/>
  </ds:schemaRefs>
</ds:datastoreItem>
</file>

<file path=customXml/itemProps2.xml><?xml version="1.0" encoding="utf-8"?>
<ds:datastoreItem xmlns:ds="http://schemas.openxmlformats.org/officeDocument/2006/customXml" ds:itemID="{871884EF-6E93-4103-88E9-0E3F17FEFA0B}">
  <ds:schemaRefs>
    <ds:schemaRef ds:uri="http://www.wps.cn/android/officeDocument/2013/mofficeCustomData"/>
  </ds:schemaRefs>
</ds:datastoreItem>
</file>

<file path=customXml/itemProps20.xml><?xml version="1.0" encoding="utf-8"?>
<ds:datastoreItem xmlns:ds="http://schemas.openxmlformats.org/officeDocument/2006/customXml" ds:itemID="{6FE302F8-413E-406E-98B2-87758CAB8104}">
  <ds:schemaRefs>
    <ds:schemaRef ds:uri="http://www.wps.cn/android/officeDocument/2013/mofficeCustomData"/>
  </ds:schemaRefs>
</ds:datastoreItem>
</file>

<file path=customXml/itemProps21.xml><?xml version="1.0" encoding="utf-8"?>
<ds:datastoreItem xmlns:ds="http://schemas.openxmlformats.org/officeDocument/2006/customXml" ds:itemID="{F690E908-8861-4D87-A8FE-D3A38DEDC2AA}">
  <ds:schemaRefs>
    <ds:schemaRef ds:uri="http://www.wps.cn/android/officeDocument/2013/mofficeCustomData"/>
  </ds:schemaRefs>
</ds:datastoreItem>
</file>

<file path=customXml/itemProps22.xml><?xml version="1.0" encoding="utf-8"?>
<ds:datastoreItem xmlns:ds="http://schemas.openxmlformats.org/officeDocument/2006/customXml" ds:itemID="{70BCC4A0-A765-4BC9-B45C-D1E966090FAB}">
  <ds:schemaRefs>
    <ds:schemaRef ds:uri="http://www.wps.cn/android/officeDocument/2013/mofficeCustomData"/>
  </ds:schemaRefs>
</ds:datastoreItem>
</file>

<file path=customXml/itemProps23.xml><?xml version="1.0" encoding="utf-8"?>
<ds:datastoreItem xmlns:ds="http://schemas.openxmlformats.org/officeDocument/2006/customXml" ds:itemID="{3B0BAF72-2F13-45D9-AB59-FBB070BB6D7C}">
  <ds:schemaRefs>
    <ds:schemaRef ds:uri="http://www.wps.cn/android/officeDocument/2013/mofficeCustomData"/>
  </ds:schemaRefs>
</ds:datastoreItem>
</file>

<file path=customXml/itemProps24.xml><?xml version="1.0" encoding="utf-8"?>
<ds:datastoreItem xmlns:ds="http://schemas.openxmlformats.org/officeDocument/2006/customXml" ds:itemID="{1D233298-7E07-481E-B8AE-CA8B36D0B7B0}">
  <ds:schemaRefs>
    <ds:schemaRef ds:uri="http://www.wps.cn/android/officeDocument/2013/mofficeCustomData"/>
  </ds:schemaRefs>
</ds:datastoreItem>
</file>

<file path=customXml/itemProps25.xml><?xml version="1.0" encoding="utf-8"?>
<ds:datastoreItem xmlns:ds="http://schemas.openxmlformats.org/officeDocument/2006/customXml" ds:itemID="{74ECB958-41CB-4624-824E-76D265E47B20}">
  <ds:schemaRefs>
    <ds:schemaRef ds:uri="http://www.wps.cn/android/officeDocument/2013/mofficeCustomData"/>
  </ds:schemaRefs>
</ds:datastoreItem>
</file>

<file path=customXml/itemProps26.xml><?xml version="1.0" encoding="utf-8"?>
<ds:datastoreItem xmlns:ds="http://schemas.openxmlformats.org/officeDocument/2006/customXml" ds:itemID="{82432981-1B46-48FC-8929-C186FA2DBCF4}">
  <ds:schemaRefs>
    <ds:schemaRef ds:uri="http://schemas.openxmlformats.org/officeDocument/2006/bibliography"/>
  </ds:schemaRefs>
</ds:datastoreItem>
</file>

<file path=customXml/itemProps3.xml><?xml version="1.0" encoding="utf-8"?>
<ds:datastoreItem xmlns:ds="http://schemas.openxmlformats.org/officeDocument/2006/customXml" ds:itemID="{2DA6DB34-CF6F-4280-8C48-AEAF69C424EA}">
  <ds:schemaRefs>
    <ds:schemaRef ds:uri="http://www.wps.cn/android/officeDocument/2013/mofficeCustomData"/>
  </ds:schemaRefs>
</ds:datastoreItem>
</file>

<file path=customXml/itemProps4.xml><?xml version="1.0" encoding="utf-8"?>
<ds:datastoreItem xmlns:ds="http://schemas.openxmlformats.org/officeDocument/2006/customXml" ds:itemID="{3E7DDDC5-3B7C-4DA2-9773-78BD70C3710A}">
  <ds:schemaRefs>
    <ds:schemaRef ds:uri="http://www.wps.cn/android/officeDocument/2013/mofficeCustomData"/>
  </ds:schemaRefs>
</ds:datastoreItem>
</file>

<file path=customXml/itemProps5.xml><?xml version="1.0" encoding="utf-8"?>
<ds:datastoreItem xmlns:ds="http://schemas.openxmlformats.org/officeDocument/2006/customXml" ds:itemID="{E318403B-9C83-4294-9103-3A9F586E55D1}">
  <ds:schemaRefs>
    <ds:schemaRef ds:uri="http://www.wps.cn/android/officeDocument/2013/mofficeCustomData"/>
  </ds:schemaRefs>
</ds:datastoreItem>
</file>

<file path=customXml/itemProps6.xml><?xml version="1.0" encoding="utf-8"?>
<ds:datastoreItem xmlns:ds="http://schemas.openxmlformats.org/officeDocument/2006/customXml" ds:itemID="{2FCF15DD-FE7C-4112-9FB6-4182A1C947DB}">
  <ds:schemaRefs>
    <ds:schemaRef ds:uri="http://www.wps.cn/android/officeDocument/2013/mofficeCustomData"/>
  </ds:schemaRefs>
</ds:datastoreItem>
</file>

<file path=customXml/itemProps7.xml><?xml version="1.0" encoding="utf-8"?>
<ds:datastoreItem xmlns:ds="http://schemas.openxmlformats.org/officeDocument/2006/customXml" ds:itemID="{3F6E515D-A081-477E-B8E0-6FB29898FA42}">
  <ds:schemaRefs>
    <ds:schemaRef ds:uri="http://www.wps.cn/android/officeDocument/2013/mofficeCustomData"/>
  </ds:schemaRefs>
</ds:datastoreItem>
</file>

<file path=customXml/itemProps8.xml><?xml version="1.0" encoding="utf-8"?>
<ds:datastoreItem xmlns:ds="http://schemas.openxmlformats.org/officeDocument/2006/customXml" ds:itemID="{E27A1531-F112-45F2-BD34-15B8723A3B1A}">
  <ds:schemaRefs>
    <ds:schemaRef ds:uri="http://www.wps.cn/android/officeDocument/2013/mofficeCustomData"/>
  </ds:schemaRefs>
</ds:datastoreItem>
</file>

<file path=customXml/itemProps9.xml><?xml version="1.0" encoding="utf-8"?>
<ds:datastoreItem xmlns:ds="http://schemas.openxmlformats.org/officeDocument/2006/customXml" ds:itemID="{AC2D5BA6-C9D0-4043-802B-389DDADA4CFF}">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10013</TotalTime>
  <Pages>16</Pages>
  <Words>6356</Words>
  <Characters>36230</Characters>
  <Application>Microsoft Office Word</Application>
  <DocSecurity>0</DocSecurity>
  <Lines>301</Lines>
  <Paragraphs>85</Paragraphs>
  <ScaleCrop>false</ScaleCrop>
  <Company/>
  <LinksUpToDate>false</LinksUpToDate>
  <CharactersWithSpaces>42501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mahendra kumar jeengar</dc:creator>
  <cp:lastModifiedBy>SDI 1084</cp:lastModifiedBy>
  <cp:revision>920</cp:revision>
  <cp:lastPrinted>2026-04-12T12:49:00Z</cp:lastPrinted>
  <dcterms:created xsi:type="dcterms:W3CDTF">2026-02-08T04:09:00Z</dcterms:created>
  <dcterms:modified xsi:type="dcterms:W3CDTF">2026-04-13T12:24:00Z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d96b4dddcc0c45e59df40505af3534ab</vt:lpwstr>
  </property>
</Properties>
</file>