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4CC7B" w14:textId="77777777" w:rsidR="00E0220B" w:rsidRDefault="00E0220B" w:rsidP="00ED5423">
      <w:pPr>
        <w:spacing w:line="480" w:lineRule="auto"/>
        <w:jc w:val="center"/>
        <w:rPr>
          <w:rFonts w:ascii="Times New Roman" w:hAnsi="Times New Roman" w:cs="Times New Roman"/>
          <w:b/>
          <w:bCs/>
          <w:sz w:val="28"/>
          <w:szCs w:val="28"/>
        </w:rPr>
      </w:pPr>
      <w:r w:rsidRPr="00E0220B">
        <w:rPr>
          <w:rFonts w:ascii="Times New Roman" w:hAnsi="Times New Roman" w:cs="Times New Roman"/>
          <w:b/>
          <w:bCs/>
          <w:sz w:val="28"/>
          <w:szCs w:val="28"/>
        </w:rPr>
        <w:t xml:space="preserve">Original Research Article </w:t>
      </w:r>
    </w:p>
    <w:p w14:paraId="3923B587" w14:textId="77777777" w:rsidR="00E0220B" w:rsidRDefault="00E0220B" w:rsidP="00ED5423">
      <w:pPr>
        <w:spacing w:line="480" w:lineRule="auto"/>
        <w:jc w:val="center"/>
        <w:rPr>
          <w:rFonts w:ascii="Times New Roman" w:hAnsi="Times New Roman" w:cs="Times New Roman"/>
          <w:b/>
          <w:bCs/>
          <w:sz w:val="28"/>
          <w:szCs w:val="28"/>
        </w:rPr>
      </w:pPr>
    </w:p>
    <w:p w14:paraId="61C86F20" w14:textId="01A52FB4" w:rsidR="009448C6" w:rsidRPr="00ED5423" w:rsidRDefault="00ED5423" w:rsidP="00ED5423">
      <w:pPr>
        <w:spacing w:line="480" w:lineRule="auto"/>
        <w:jc w:val="center"/>
        <w:rPr>
          <w:rFonts w:ascii="Times New Roman" w:hAnsi="Times New Roman" w:cs="Times New Roman"/>
          <w:b/>
          <w:bCs/>
          <w:sz w:val="28"/>
          <w:szCs w:val="28"/>
        </w:rPr>
      </w:pPr>
      <w:r w:rsidRPr="00ED5423">
        <w:rPr>
          <w:rFonts w:ascii="Times New Roman" w:hAnsi="Times New Roman" w:cs="Times New Roman"/>
          <w:b/>
          <w:bCs/>
          <w:sz w:val="28"/>
          <w:szCs w:val="28"/>
        </w:rPr>
        <w:t xml:space="preserve">Human skeletal remains: A comparative </w:t>
      </w:r>
      <w:proofErr w:type="spellStart"/>
      <w:r w:rsidRPr="00ED5423">
        <w:rPr>
          <w:rFonts w:ascii="Times New Roman" w:hAnsi="Times New Roman" w:cs="Times New Roman"/>
          <w:b/>
          <w:bCs/>
          <w:sz w:val="28"/>
          <w:szCs w:val="28"/>
        </w:rPr>
        <w:t>histomo</w:t>
      </w:r>
      <w:r w:rsidR="00BC4513">
        <w:rPr>
          <w:rFonts w:ascii="Times New Roman" w:hAnsi="Times New Roman" w:cs="Times New Roman"/>
          <w:b/>
          <w:bCs/>
          <w:sz w:val="28"/>
          <w:szCs w:val="28"/>
        </w:rPr>
        <w:t>r</w:t>
      </w:r>
      <w:r w:rsidRPr="00ED5423">
        <w:rPr>
          <w:rFonts w:ascii="Times New Roman" w:hAnsi="Times New Roman" w:cs="Times New Roman"/>
          <w:b/>
          <w:bCs/>
          <w:sz w:val="28"/>
          <w:szCs w:val="28"/>
        </w:rPr>
        <w:t>phometric</w:t>
      </w:r>
      <w:proofErr w:type="spellEnd"/>
      <w:r w:rsidRPr="00ED5423">
        <w:rPr>
          <w:rFonts w:ascii="Times New Roman" w:hAnsi="Times New Roman" w:cs="Times New Roman"/>
          <w:b/>
          <w:bCs/>
          <w:sz w:val="28"/>
          <w:szCs w:val="28"/>
        </w:rPr>
        <w:t xml:space="preserve"> analysis of short and flat bones</w:t>
      </w:r>
    </w:p>
    <w:p w14:paraId="0D5C53A2" w14:textId="77777777" w:rsidR="004E6F10" w:rsidRDefault="004E6F10" w:rsidP="000E09D1">
      <w:pPr>
        <w:spacing w:line="240" w:lineRule="auto"/>
        <w:jc w:val="both"/>
        <w:rPr>
          <w:rFonts w:ascii="Times New Roman" w:hAnsi="Times New Roman" w:cs="Times New Roman"/>
          <w:b/>
          <w:bCs/>
          <w:sz w:val="24"/>
          <w:szCs w:val="24"/>
        </w:rPr>
      </w:pPr>
    </w:p>
    <w:p w14:paraId="7CDBCA38" w14:textId="44690E74" w:rsidR="000E09D1" w:rsidRPr="000E09D1" w:rsidRDefault="000E09D1" w:rsidP="000E09D1">
      <w:pPr>
        <w:spacing w:line="240" w:lineRule="auto"/>
        <w:jc w:val="both"/>
        <w:rPr>
          <w:rFonts w:ascii="Times New Roman" w:hAnsi="Times New Roman" w:cs="Times New Roman"/>
          <w:b/>
          <w:bCs/>
          <w:sz w:val="24"/>
          <w:szCs w:val="24"/>
        </w:rPr>
      </w:pPr>
      <w:r w:rsidRPr="000E09D1">
        <w:rPr>
          <w:rFonts w:ascii="Times New Roman" w:hAnsi="Times New Roman" w:cs="Times New Roman"/>
          <w:b/>
          <w:bCs/>
          <w:sz w:val="24"/>
          <w:szCs w:val="24"/>
        </w:rPr>
        <w:t>Abstract</w:t>
      </w:r>
    </w:p>
    <w:p w14:paraId="10D3F60B" w14:textId="77777777" w:rsidR="008C7016" w:rsidRDefault="008C7016"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r w:rsidR="000E09D1" w:rsidRPr="000E09D1">
        <w:rPr>
          <w:rFonts w:ascii="Times New Roman" w:hAnsi="Times New Roman" w:cs="Times New Roman"/>
          <w:sz w:val="24"/>
          <w:szCs w:val="24"/>
        </w:rPr>
        <w:t xml:space="preserve">Bone histomorphometry provides valuable microstructural information for forensic identification, </w:t>
      </w:r>
      <w:r w:rsidR="00503BBA">
        <w:rPr>
          <w:rFonts w:ascii="Times New Roman" w:hAnsi="Times New Roman" w:cs="Times New Roman"/>
          <w:sz w:val="24"/>
          <w:szCs w:val="24"/>
        </w:rPr>
        <w:t xml:space="preserve">even </w:t>
      </w:r>
      <w:r w:rsidR="000E09D1" w:rsidRPr="000E09D1">
        <w:rPr>
          <w:rFonts w:ascii="Times New Roman" w:hAnsi="Times New Roman" w:cs="Times New Roman"/>
          <w:sz w:val="24"/>
          <w:szCs w:val="24"/>
        </w:rPr>
        <w:t xml:space="preserve">when skeletal remains are fragmented or morphologically compromised. However, comparative </w:t>
      </w:r>
      <w:proofErr w:type="spellStart"/>
      <w:r w:rsidR="000E09D1" w:rsidRPr="000E09D1">
        <w:rPr>
          <w:rFonts w:ascii="Times New Roman" w:hAnsi="Times New Roman" w:cs="Times New Roman"/>
          <w:sz w:val="24"/>
          <w:szCs w:val="24"/>
        </w:rPr>
        <w:t>histomorphometric</w:t>
      </w:r>
      <w:proofErr w:type="spellEnd"/>
      <w:r w:rsidR="000E09D1" w:rsidRPr="000E09D1">
        <w:rPr>
          <w:rFonts w:ascii="Times New Roman" w:hAnsi="Times New Roman" w:cs="Times New Roman"/>
          <w:sz w:val="24"/>
          <w:szCs w:val="24"/>
        </w:rPr>
        <w:t xml:space="preserve"> data across different bone types remain limited. </w:t>
      </w:r>
    </w:p>
    <w:p w14:paraId="7B7D8893" w14:textId="2B2B7733" w:rsidR="009E29DB" w:rsidRDefault="005D1548"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Aims</w:t>
      </w:r>
      <w:r w:rsidR="008C7016">
        <w:rPr>
          <w:rFonts w:ascii="Times New Roman" w:hAnsi="Times New Roman" w:cs="Times New Roman"/>
          <w:sz w:val="24"/>
          <w:szCs w:val="24"/>
        </w:rPr>
        <w:t xml:space="preserve">: </w:t>
      </w:r>
      <w:r w:rsidR="000E09D1" w:rsidRPr="000E09D1">
        <w:rPr>
          <w:rFonts w:ascii="Times New Roman" w:hAnsi="Times New Roman" w:cs="Times New Roman"/>
          <w:sz w:val="24"/>
          <w:szCs w:val="24"/>
        </w:rPr>
        <w:t xml:space="preserve">This study aimed to evaluate and compare </w:t>
      </w:r>
      <w:proofErr w:type="spellStart"/>
      <w:r w:rsidR="000E09D1" w:rsidRPr="000E09D1">
        <w:rPr>
          <w:rFonts w:ascii="Times New Roman" w:hAnsi="Times New Roman" w:cs="Times New Roman"/>
          <w:sz w:val="24"/>
          <w:szCs w:val="24"/>
        </w:rPr>
        <w:t>histomorphometric</w:t>
      </w:r>
      <w:proofErr w:type="spellEnd"/>
      <w:r w:rsidR="000E09D1" w:rsidRPr="000E09D1">
        <w:rPr>
          <w:rFonts w:ascii="Times New Roman" w:hAnsi="Times New Roman" w:cs="Times New Roman"/>
          <w:sz w:val="24"/>
          <w:szCs w:val="24"/>
        </w:rPr>
        <w:t xml:space="preserve"> parameters of short and flat bones in human skeletal remains, assess differences in bone remodeling, and identify bone types with superior histological preservation. </w:t>
      </w:r>
    </w:p>
    <w:p w14:paraId="46D0373D" w14:textId="340C1295" w:rsidR="003245D3" w:rsidRDefault="003245D3"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Study design: The study used a descriptive c</w:t>
      </w:r>
      <w:r w:rsidR="00193B59">
        <w:rPr>
          <w:rFonts w:ascii="Times New Roman" w:hAnsi="Times New Roman" w:cs="Times New Roman"/>
          <w:sz w:val="24"/>
          <w:szCs w:val="24"/>
        </w:rPr>
        <w:t xml:space="preserve">ross-sectional </w:t>
      </w:r>
      <w:r>
        <w:rPr>
          <w:rFonts w:ascii="Times New Roman" w:hAnsi="Times New Roman" w:cs="Times New Roman"/>
          <w:sz w:val="24"/>
          <w:szCs w:val="24"/>
        </w:rPr>
        <w:t>design that employed comparative anatomy</w:t>
      </w:r>
      <w:r w:rsidR="000D10A5">
        <w:rPr>
          <w:rFonts w:ascii="Times New Roman" w:hAnsi="Times New Roman" w:cs="Times New Roman"/>
          <w:sz w:val="24"/>
          <w:szCs w:val="24"/>
        </w:rPr>
        <w:t>.</w:t>
      </w:r>
    </w:p>
    <w:p w14:paraId="1274CEEF" w14:textId="68ECF4F1" w:rsidR="00A10547" w:rsidRDefault="00A10547"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Place &amp; duration of study: The study was carried out using </w:t>
      </w:r>
      <w:r w:rsidRPr="000E09D1">
        <w:rPr>
          <w:rFonts w:ascii="Times New Roman" w:hAnsi="Times New Roman" w:cs="Times New Roman"/>
          <w:sz w:val="24"/>
          <w:szCs w:val="24"/>
        </w:rPr>
        <w:t>skeletal collection</w:t>
      </w:r>
      <w:r>
        <w:rPr>
          <w:rFonts w:ascii="Times New Roman" w:hAnsi="Times New Roman" w:cs="Times New Roman"/>
          <w:sz w:val="24"/>
          <w:szCs w:val="24"/>
        </w:rPr>
        <w:t>s from the Department of Human Anatomy, Faculty of Basic Medical Sciences, Rivers State University</w:t>
      </w:r>
      <w:r w:rsidR="006E7DD3">
        <w:rPr>
          <w:rFonts w:ascii="Times New Roman" w:hAnsi="Times New Roman" w:cs="Times New Roman"/>
          <w:sz w:val="24"/>
          <w:szCs w:val="24"/>
        </w:rPr>
        <w:t xml:space="preserve"> within a period a </w:t>
      </w:r>
      <w:r w:rsidR="001F103F">
        <w:rPr>
          <w:rFonts w:ascii="Times New Roman" w:hAnsi="Times New Roman" w:cs="Times New Roman"/>
          <w:sz w:val="24"/>
          <w:szCs w:val="24"/>
        </w:rPr>
        <w:t>one-year</w:t>
      </w:r>
      <w:r w:rsidR="006E7DD3">
        <w:rPr>
          <w:rFonts w:ascii="Times New Roman" w:hAnsi="Times New Roman" w:cs="Times New Roman"/>
          <w:sz w:val="24"/>
          <w:szCs w:val="24"/>
        </w:rPr>
        <w:t xml:space="preserve"> period, spanning Feb.2025 and Feb.2026</w:t>
      </w:r>
      <w:r>
        <w:rPr>
          <w:rFonts w:ascii="Times New Roman" w:hAnsi="Times New Roman" w:cs="Times New Roman"/>
          <w:sz w:val="24"/>
          <w:szCs w:val="24"/>
        </w:rPr>
        <w:t>.</w:t>
      </w:r>
    </w:p>
    <w:p w14:paraId="6E6A7599" w14:textId="6DB10ADE" w:rsidR="009E29DB" w:rsidRDefault="009E29DB"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Method</w:t>
      </w:r>
      <w:r w:rsidR="003245D3">
        <w:rPr>
          <w:rFonts w:ascii="Times New Roman" w:hAnsi="Times New Roman" w:cs="Times New Roman"/>
          <w:sz w:val="24"/>
          <w:szCs w:val="24"/>
        </w:rPr>
        <w:t>ology</w:t>
      </w:r>
      <w:r>
        <w:rPr>
          <w:rFonts w:ascii="Times New Roman" w:hAnsi="Times New Roman" w:cs="Times New Roman"/>
          <w:sz w:val="24"/>
          <w:szCs w:val="24"/>
        </w:rPr>
        <w:t xml:space="preserve">: </w:t>
      </w:r>
      <w:r w:rsidR="000E09D1" w:rsidRPr="000E09D1">
        <w:rPr>
          <w:rFonts w:ascii="Times New Roman" w:hAnsi="Times New Roman" w:cs="Times New Roman"/>
          <w:sz w:val="24"/>
          <w:szCs w:val="24"/>
        </w:rPr>
        <w:t xml:space="preserve">30 adult bone samples comprising ribs, sternum, and calcaneus </w:t>
      </w:r>
      <w:r w:rsidR="003245D3">
        <w:rPr>
          <w:rFonts w:ascii="Times New Roman" w:hAnsi="Times New Roman" w:cs="Times New Roman"/>
          <w:sz w:val="24"/>
          <w:szCs w:val="24"/>
        </w:rPr>
        <w:t>were</w:t>
      </w:r>
      <w:r w:rsidR="00A10547">
        <w:rPr>
          <w:rFonts w:ascii="Times New Roman" w:hAnsi="Times New Roman" w:cs="Times New Roman"/>
          <w:sz w:val="24"/>
          <w:szCs w:val="24"/>
        </w:rPr>
        <w:t xml:space="preserve"> used.</w:t>
      </w:r>
      <w:r w:rsidR="000E09D1" w:rsidRPr="000E09D1">
        <w:rPr>
          <w:rFonts w:ascii="Times New Roman" w:hAnsi="Times New Roman" w:cs="Times New Roman"/>
          <w:sz w:val="24"/>
          <w:szCs w:val="24"/>
        </w:rPr>
        <w:t xml:space="preserve"> Undecalcified bone sections were prepared and analyzed using digital microscopy and image analysis software. Quantitative parameters measured included primary and secondary osteon</w:t>
      </w:r>
      <w:r w:rsidR="00503BBA">
        <w:rPr>
          <w:rFonts w:ascii="Times New Roman" w:hAnsi="Times New Roman" w:cs="Times New Roman"/>
          <w:sz w:val="24"/>
          <w:szCs w:val="24"/>
        </w:rPr>
        <w:t>s</w:t>
      </w:r>
      <w:r w:rsidR="000E09D1" w:rsidRPr="000E09D1">
        <w:rPr>
          <w:rFonts w:ascii="Times New Roman" w:hAnsi="Times New Roman" w:cs="Times New Roman"/>
          <w:sz w:val="24"/>
          <w:szCs w:val="24"/>
        </w:rPr>
        <w:t xml:space="preserve">, osteon fragments, Haversian canal diameter, and maximum osteon diameter. Statistical analyses involved descriptive statistics, independent-samples t tests, and analysis of remodeling and preservation indices. </w:t>
      </w:r>
    </w:p>
    <w:p w14:paraId="69FBC8C6" w14:textId="77777777" w:rsidR="00F25BC8" w:rsidRDefault="000E09D1" w:rsidP="000E09D1">
      <w:pPr>
        <w:spacing w:line="240" w:lineRule="auto"/>
        <w:jc w:val="both"/>
        <w:rPr>
          <w:rFonts w:ascii="Times New Roman" w:hAnsi="Times New Roman" w:cs="Times New Roman"/>
          <w:sz w:val="24"/>
          <w:szCs w:val="24"/>
        </w:rPr>
      </w:pPr>
      <w:r w:rsidRPr="000E09D1">
        <w:rPr>
          <w:rFonts w:ascii="Times New Roman" w:hAnsi="Times New Roman" w:cs="Times New Roman"/>
          <w:sz w:val="24"/>
          <w:szCs w:val="24"/>
        </w:rPr>
        <w:t>Results</w:t>
      </w:r>
      <w:r w:rsidR="009E29DB">
        <w:rPr>
          <w:rFonts w:ascii="Times New Roman" w:hAnsi="Times New Roman" w:cs="Times New Roman"/>
          <w:sz w:val="24"/>
          <w:szCs w:val="24"/>
        </w:rPr>
        <w:t>: R</w:t>
      </w:r>
      <w:r w:rsidRPr="000E09D1">
        <w:rPr>
          <w:rFonts w:ascii="Times New Roman" w:hAnsi="Times New Roman" w:cs="Times New Roman"/>
          <w:sz w:val="24"/>
          <w:szCs w:val="24"/>
        </w:rPr>
        <w:t xml:space="preserve">ibs exhibited the highest osteon </w:t>
      </w:r>
      <w:r w:rsidR="00503BBA">
        <w:rPr>
          <w:rFonts w:ascii="Times New Roman" w:hAnsi="Times New Roman" w:cs="Times New Roman"/>
          <w:sz w:val="24"/>
          <w:szCs w:val="24"/>
        </w:rPr>
        <w:t>population</w:t>
      </w:r>
      <w:r w:rsidRPr="000E09D1">
        <w:rPr>
          <w:rFonts w:ascii="Times New Roman" w:hAnsi="Times New Roman" w:cs="Times New Roman"/>
          <w:sz w:val="24"/>
          <w:szCs w:val="24"/>
        </w:rPr>
        <w:t xml:space="preserve"> and remodeling activity, with a mean secondary osteon count of 8.00 ± 1.36 and the highest OS/OF ratio (0.58). Sternum bones demonstrated intermediate remodeling patterns, while calcaneus bones displayed minimal osteon </w:t>
      </w:r>
      <w:r w:rsidR="00503BBA">
        <w:rPr>
          <w:rFonts w:ascii="Times New Roman" w:hAnsi="Times New Roman" w:cs="Times New Roman"/>
          <w:sz w:val="24"/>
          <w:szCs w:val="24"/>
        </w:rPr>
        <w:t>population</w:t>
      </w:r>
      <w:r w:rsidRPr="000E09D1">
        <w:rPr>
          <w:rFonts w:ascii="Times New Roman" w:hAnsi="Times New Roman" w:cs="Times New Roman"/>
          <w:sz w:val="24"/>
          <w:szCs w:val="24"/>
        </w:rPr>
        <w:t xml:space="preserve"> but significantly larger Haversian </w:t>
      </w:r>
      <w:r w:rsidR="00503BBA">
        <w:rPr>
          <w:rFonts w:ascii="Times New Roman" w:hAnsi="Times New Roman" w:cs="Times New Roman"/>
          <w:sz w:val="24"/>
          <w:szCs w:val="24"/>
        </w:rPr>
        <w:t>canals</w:t>
      </w:r>
      <w:r w:rsidRPr="000E09D1">
        <w:rPr>
          <w:rFonts w:ascii="Times New Roman" w:hAnsi="Times New Roman" w:cs="Times New Roman"/>
          <w:sz w:val="24"/>
          <w:szCs w:val="24"/>
        </w:rPr>
        <w:t xml:space="preserve"> and osteon diameters. </w:t>
      </w:r>
      <w:r w:rsidR="00503BBA">
        <w:rPr>
          <w:rFonts w:ascii="Times New Roman" w:hAnsi="Times New Roman" w:cs="Times New Roman"/>
          <w:sz w:val="24"/>
          <w:szCs w:val="24"/>
        </w:rPr>
        <w:t xml:space="preserve">Osteon </w:t>
      </w:r>
      <w:r w:rsidRPr="000E09D1">
        <w:rPr>
          <w:rFonts w:ascii="Times New Roman" w:hAnsi="Times New Roman" w:cs="Times New Roman"/>
          <w:sz w:val="24"/>
          <w:szCs w:val="24"/>
        </w:rPr>
        <w:t xml:space="preserve">Fragmentation </w:t>
      </w:r>
      <w:r w:rsidR="00503BBA">
        <w:rPr>
          <w:rFonts w:ascii="Times New Roman" w:hAnsi="Times New Roman" w:cs="Times New Roman"/>
          <w:sz w:val="24"/>
          <w:szCs w:val="24"/>
        </w:rPr>
        <w:t>I</w:t>
      </w:r>
      <w:r w:rsidRPr="000E09D1">
        <w:rPr>
          <w:rFonts w:ascii="Times New Roman" w:hAnsi="Times New Roman" w:cs="Times New Roman"/>
          <w:sz w:val="24"/>
          <w:szCs w:val="24"/>
        </w:rPr>
        <w:t>ndex</w:t>
      </w:r>
      <w:r w:rsidR="00503BBA">
        <w:rPr>
          <w:rFonts w:ascii="Times New Roman" w:hAnsi="Times New Roman" w:cs="Times New Roman"/>
          <w:sz w:val="24"/>
          <w:szCs w:val="24"/>
        </w:rPr>
        <w:t xml:space="preserve"> (OFI)</w:t>
      </w:r>
      <w:r w:rsidRPr="000E09D1">
        <w:rPr>
          <w:rFonts w:ascii="Times New Roman" w:hAnsi="Times New Roman" w:cs="Times New Roman"/>
          <w:sz w:val="24"/>
          <w:szCs w:val="24"/>
        </w:rPr>
        <w:t xml:space="preserve"> analysis indicated superior histological preservation in ribs </w:t>
      </w:r>
      <w:r w:rsidR="00503BBA">
        <w:rPr>
          <w:rFonts w:ascii="Times New Roman" w:hAnsi="Times New Roman" w:cs="Times New Roman"/>
          <w:sz w:val="24"/>
          <w:szCs w:val="24"/>
        </w:rPr>
        <w:t xml:space="preserve">and sternum </w:t>
      </w:r>
      <w:r w:rsidRPr="000E09D1">
        <w:rPr>
          <w:rFonts w:ascii="Times New Roman" w:hAnsi="Times New Roman" w:cs="Times New Roman"/>
          <w:sz w:val="24"/>
          <w:szCs w:val="24"/>
        </w:rPr>
        <w:t>compared wit</w:t>
      </w:r>
      <w:r w:rsidR="00503BBA">
        <w:rPr>
          <w:rFonts w:ascii="Times New Roman" w:hAnsi="Times New Roman" w:cs="Times New Roman"/>
          <w:sz w:val="24"/>
          <w:szCs w:val="24"/>
        </w:rPr>
        <w:t>h</w:t>
      </w:r>
      <w:r w:rsidRPr="000E09D1">
        <w:rPr>
          <w:rFonts w:ascii="Times New Roman" w:hAnsi="Times New Roman" w:cs="Times New Roman"/>
          <w:sz w:val="24"/>
          <w:szCs w:val="24"/>
        </w:rPr>
        <w:t xml:space="preserve"> calcaneus. These findings demonstrate </w:t>
      </w:r>
      <w:r w:rsidR="00503BBA">
        <w:rPr>
          <w:rFonts w:ascii="Times New Roman" w:hAnsi="Times New Roman" w:cs="Times New Roman"/>
          <w:sz w:val="24"/>
          <w:szCs w:val="24"/>
        </w:rPr>
        <w:t xml:space="preserve">statistically </w:t>
      </w:r>
      <w:r w:rsidRPr="000E09D1">
        <w:rPr>
          <w:rFonts w:ascii="Times New Roman" w:hAnsi="Times New Roman" w:cs="Times New Roman"/>
          <w:sz w:val="24"/>
          <w:szCs w:val="24"/>
        </w:rPr>
        <w:t>significant</w:t>
      </w:r>
      <w:r w:rsidR="00503BBA">
        <w:rPr>
          <w:rFonts w:ascii="Times New Roman" w:hAnsi="Times New Roman" w:cs="Times New Roman"/>
          <w:sz w:val="24"/>
          <w:szCs w:val="24"/>
        </w:rPr>
        <w:t xml:space="preserve"> (p≤0.05)</w:t>
      </w:r>
      <w:r w:rsidR="00BE53FF">
        <w:rPr>
          <w:rFonts w:ascii="Times New Roman" w:hAnsi="Times New Roman" w:cs="Times New Roman"/>
          <w:sz w:val="24"/>
          <w:szCs w:val="24"/>
        </w:rPr>
        <w:t xml:space="preserve"> </w:t>
      </w:r>
      <w:proofErr w:type="spellStart"/>
      <w:r w:rsidRPr="000E09D1">
        <w:rPr>
          <w:rFonts w:ascii="Times New Roman" w:hAnsi="Times New Roman" w:cs="Times New Roman"/>
          <w:sz w:val="24"/>
          <w:szCs w:val="24"/>
        </w:rPr>
        <w:t>histomorphometric</w:t>
      </w:r>
      <w:proofErr w:type="spellEnd"/>
      <w:r w:rsidRPr="000E09D1">
        <w:rPr>
          <w:rFonts w:ascii="Times New Roman" w:hAnsi="Times New Roman" w:cs="Times New Roman"/>
          <w:sz w:val="24"/>
          <w:szCs w:val="24"/>
        </w:rPr>
        <w:t xml:space="preserve"> differences between short and flat bones, highlighting the importance of bone-specific reference data in forensic histology. </w:t>
      </w:r>
    </w:p>
    <w:p w14:paraId="21085F78" w14:textId="450D48D6" w:rsidR="000E09D1" w:rsidRPr="000E09D1" w:rsidRDefault="00F25BC8"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Conclusion:</w:t>
      </w:r>
      <w:r w:rsidR="00824D36">
        <w:rPr>
          <w:rFonts w:ascii="Times New Roman" w:hAnsi="Times New Roman" w:cs="Times New Roman"/>
          <w:sz w:val="24"/>
          <w:szCs w:val="24"/>
        </w:rPr>
        <w:t xml:space="preserve"> The r</w:t>
      </w:r>
      <w:r w:rsidR="000E09D1" w:rsidRPr="000E09D1">
        <w:rPr>
          <w:rFonts w:ascii="Times New Roman" w:hAnsi="Times New Roman" w:cs="Times New Roman"/>
          <w:sz w:val="24"/>
          <w:szCs w:val="24"/>
        </w:rPr>
        <w:t xml:space="preserve">ibs appear to provide the most reliable microstructural indicators for </w:t>
      </w:r>
      <w:proofErr w:type="spellStart"/>
      <w:r w:rsidR="000E09D1" w:rsidRPr="000E09D1">
        <w:rPr>
          <w:rFonts w:ascii="Times New Roman" w:hAnsi="Times New Roman" w:cs="Times New Roman"/>
          <w:sz w:val="24"/>
          <w:szCs w:val="24"/>
        </w:rPr>
        <w:t>histomorphometric</w:t>
      </w:r>
      <w:proofErr w:type="spellEnd"/>
      <w:r w:rsidR="000E09D1" w:rsidRPr="000E09D1">
        <w:rPr>
          <w:rFonts w:ascii="Times New Roman" w:hAnsi="Times New Roman" w:cs="Times New Roman"/>
          <w:sz w:val="24"/>
          <w:szCs w:val="24"/>
        </w:rPr>
        <w:t xml:space="preserve"> assessment in fragmented skeletal remains.</w:t>
      </w:r>
    </w:p>
    <w:p w14:paraId="61F9A665" w14:textId="22628A55" w:rsidR="009448C6" w:rsidRPr="00A84B19" w:rsidRDefault="000E09D1" w:rsidP="000E09D1">
      <w:pPr>
        <w:spacing w:line="240" w:lineRule="auto"/>
        <w:jc w:val="both"/>
        <w:rPr>
          <w:rFonts w:ascii="Times New Roman" w:hAnsi="Times New Roman" w:cs="Times New Roman"/>
          <w:sz w:val="24"/>
          <w:szCs w:val="24"/>
        </w:rPr>
      </w:pPr>
      <w:r w:rsidRPr="000E09D1">
        <w:rPr>
          <w:rFonts w:ascii="Times New Roman" w:hAnsi="Times New Roman" w:cs="Times New Roman"/>
          <w:b/>
          <w:bCs/>
          <w:sz w:val="24"/>
          <w:szCs w:val="24"/>
        </w:rPr>
        <w:lastRenderedPageBreak/>
        <w:t>Keywords:</w:t>
      </w:r>
      <w:r w:rsidRPr="000E09D1">
        <w:rPr>
          <w:rFonts w:ascii="Times New Roman" w:hAnsi="Times New Roman" w:cs="Times New Roman"/>
          <w:sz w:val="24"/>
          <w:szCs w:val="24"/>
        </w:rPr>
        <w:t xml:space="preserve"> </w:t>
      </w:r>
      <w:r w:rsidR="008F1A98">
        <w:rPr>
          <w:rFonts w:ascii="Times New Roman" w:hAnsi="Times New Roman" w:cs="Times New Roman"/>
          <w:sz w:val="24"/>
          <w:szCs w:val="24"/>
        </w:rPr>
        <w:t>B</w:t>
      </w:r>
      <w:r w:rsidRPr="000E09D1">
        <w:rPr>
          <w:rFonts w:ascii="Times New Roman" w:hAnsi="Times New Roman" w:cs="Times New Roman"/>
          <w:sz w:val="24"/>
          <w:szCs w:val="24"/>
        </w:rPr>
        <w:t>one histomorphometry; forensic anthropology; osteon</w:t>
      </w:r>
      <w:r w:rsidR="00E72612">
        <w:rPr>
          <w:rFonts w:ascii="Times New Roman" w:hAnsi="Times New Roman" w:cs="Times New Roman"/>
          <w:sz w:val="24"/>
          <w:szCs w:val="24"/>
        </w:rPr>
        <w:t>s</w:t>
      </w:r>
      <w:r w:rsidRPr="000E09D1">
        <w:rPr>
          <w:rFonts w:ascii="Times New Roman" w:hAnsi="Times New Roman" w:cs="Times New Roman"/>
          <w:sz w:val="24"/>
          <w:szCs w:val="24"/>
        </w:rPr>
        <w:t>; short bones; flat bones; skeletal remains</w:t>
      </w:r>
      <w:r w:rsidR="009448C6" w:rsidRPr="00A84B19">
        <w:rPr>
          <w:rFonts w:ascii="Times New Roman" w:hAnsi="Times New Roman" w:cs="Times New Roman"/>
          <w:sz w:val="24"/>
          <w:szCs w:val="24"/>
        </w:rPr>
        <w:br w:type="page"/>
      </w:r>
    </w:p>
    <w:p w14:paraId="6E673210" w14:textId="689C364C" w:rsidR="006E192A" w:rsidRPr="00A84B19" w:rsidRDefault="00A84B19"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lastRenderedPageBreak/>
        <w:t>INTRODUCTION</w:t>
      </w:r>
    </w:p>
    <w:p w14:paraId="72FB1D15" w14:textId="7F99462E"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Bone histomorphometry</w:t>
      </w:r>
      <w:r w:rsidR="00143C99" w:rsidRPr="00A84B19">
        <w:rPr>
          <w:rFonts w:ascii="Times New Roman" w:hAnsi="Times New Roman" w:cs="Times New Roman"/>
          <w:sz w:val="24"/>
          <w:szCs w:val="24"/>
        </w:rPr>
        <w:t xml:space="preserve"> is </w:t>
      </w:r>
      <w:r w:rsidRPr="00A84B19">
        <w:rPr>
          <w:rFonts w:ascii="Times New Roman" w:hAnsi="Times New Roman" w:cs="Times New Roman"/>
          <w:sz w:val="24"/>
          <w:szCs w:val="24"/>
        </w:rPr>
        <w:t xml:space="preserve">the quantitative microscopic assessment of bone microstructure </w:t>
      </w:r>
      <w:r w:rsidR="00785023">
        <w:rPr>
          <w:rFonts w:ascii="Times New Roman" w:hAnsi="Times New Roman" w:cs="Times New Roman"/>
          <w:sz w:val="24"/>
          <w:szCs w:val="24"/>
        </w:rPr>
        <w:t xml:space="preserve">and it </w:t>
      </w:r>
      <w:r w:rsidRPr="00A84B19">
        <w:rPr>
          <w:rFonts w:ascii="Times New Roman" w:hAnsi="Times New Roman" w:cs="Times New Roman"/>
          <w:sz w:val="24"/>
          <w:szCs w:val="24"/>
        </w:rPr>
        <w:t xml:space="preserve">has become an indispensable tool in forensic anthropology and biological anthropology for </w:t>
      </w:r>
      <w:r w:rsidR="00582F04" w:rsidRPr="00A84B19">
        <w:rPr>
          <w:rFonts w:ascii="Times New Roman" w:hAnsi="Times New Roman" w:cs="Times New Roman"/>
          <w:sz w:val="24"/>
          <w:szCs w:val="24"/>
        </w:rPr>
        <w:t>analyzing</w:t>
      </w:r>
      <w:r w:rsidRPr="00A84B19">
        <w:rPr>
          <w:rFonts w:ascii="Times New Roman" w:hAnsi="Times New Roman" w:cs="Times New Roman"/>
          <w:sz w:val="24"/>
          <w:szCs w:val="24"/>
        </w:rPr>
        <w:t xml:space="preserve"> human skeletal remains, especially when gross morphology is unavailable or compromised. </w:t>
      </w:r>
      <w:proofErr w:type="spellStart"/>
      <w:r w:rsidR="00582F0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582F04"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techniques involve measuring cortical bone features such as osteon size, Haversian canal dimensions, osteon population density, and other microarchitectural parameters that provide insight into bone </w:t>
      </w:r>
      <w:r w:rsidR="00582F04" w:rsidRPr="00A84B19">
        <w:rPr>
          <w:rFonts w:ascii="Times New Roman" w:hAnsi="Times New Roman" w:cs="Times New Roman"/>
          <w:sz w:val="24"/>
          <w:szCs w:val="24"/>
        </w:rPr>
        <w:t>remodeling</w:t>
      </w:r>
      <w:r w:rsidRPr="00A84B19">
        <w:rPr>
          <w:rFonts w:ascii="Times New Roman" w:hAnsi="Times New Roman" w:cs="Times New Roman"/>
          <w:sz w:val="24"/>
          <w:szCs w:val="24"/>
        </w:rPr>
        <w:t>, species identification, and biological profiling of skeletal remains. These microscopic features reflect both developmental and biomechanical influences on bone tissue and thus vary across bone types and anatomical regions</w:t>
      </w:r>
      <w:r w:rsidR="0019562B" w:rsidRPr="00A84B19">
        <w:rPr>
          <w:rFonts w:ascii="Times New Roman" w:hAnsi="Times New Roman" w:cs="Times New Roman"/>
          <w:sz w:val="24"/>
          <w:szCs w:val="24"/>
        </w:rPr>
        <w:t xml:space="preserve"> (</w:t>
      </w:r>
      <w:proofErr w:type="spellStart"/>
      <w:r w:rsidR="0019562B" w:rsidRPr="00A84B19">
        <w:rPr>
          <w:rFonts w:ascii="Times New Roman" w:hAnsi="Times New Roman" w:cs="Times New Roman"/>
          <w:sz w:val="24"/>
          <w:szCs w:val="24"/>
        </w:rPr>
        <w:t>Cummaudo</w:t>
      </w:r>
      <w:proofErr w:type="spellEnd"/>
      <w:r w:rsidR="0019562B" w:rsidRPr="00A84B19">
        <w:rPr>
          <w:rFonts w:ascii="Times New Roman" w:hAnsi="Times New Roman" w:cs="Times New Roman"/>
          <w:sz w:val="24"/>
          <w:szCs w:val="24"/>
        </w:rPr>
        <w:t xml:space="preserve"> et al., 2020; Stan et al., 2024)</w:t>
      </w:r>
      <w:r w:rsidRPr="00A84B19">
        <w:rPr>
          <w:rFonts w:ascii="Times New Roman" w:hAnsi="Times New Roman" w:cs="Times New Roman"/>
          <w:sz w:val="24"/>
          <w:szCs w:val="24"/>
        </w:rPr>
        <w:t xml:space="preserve">. Human bones are traditionally </w:t>
      </w:r>
      <w:r w:rsidR="00582F04" w:rsidRPr="00A84B19">
        <w:rPr>
          <w:rFonts w:ascii="Times New Roman" w:hAnsi="Times New Roman" w:cs="Times New Roman"/>
          <w:sz w:val="24"/>
          <w:szCs w:val="24"/>
        </w:rPr>
        <w:t>categorized</w:t>
      </w:r>
      <w:r w:rsidRPr="00A84B19">
        <w:rPr>
          <w:rFonts w:ascii="Times New Roman" w:hAnsi="Times New Roman" w:cs="Times New Roman"/>
          <w:sz w:val="24"/>
          <w:szCs w:val="24"/>
        </w:rPr>
        <w:t xml:space="preserve"> by shape and function, with flat bones providing protection and sites for muscular attachment, and short bones offering support and limited motion, but both types differ markedly in structure from long bones and from one another in how </w:t>
      </w:r>
      <w:r w:rsidR="00582F04" w:rsidRPr="00A84B19">
        <w:rPr>
          <w:rFonts w:ascii="Times New Roman" w:hAnsi="Times New Roman" w:cs="Times New Roman"/>
          <w:sz w:val="24"/>
          <w:szCs w:val="24"/>
        </w:rPr>
        <w:t>remodeling</w:t>
      </w:r>
      <w:r w:rsidRPr="00A84B19">
        <w:rPr>
          <w:rFonts w:ascii="Times New Roman" w:hAnsi="Times New Roman" w:cs="Times New Roman"/>
          <w:sz w:val="24"/>
          <w:szCs w:val="24"/>
        </w:rPr>
        <w:t xml:space="preserve"> units are distributed. In forensic contexts where remains are fragmentary, </w:t>
      </w:r>
      <w:proofErr w:type="spellStart"/>
      <w:r w:rsidR="00582F04" w:rsidRPr="00A84B19">
        <w:rPr>
          <w:rFonts w:ascii="Times New Roman" w:hAnsi="Times New Roman" w:cs="Times New Roman"/>
          <w:sz w:val="24"/>
          <w:szCs w:val="24"/>
        </w:rPr>
        <w:t>histomo</w:t>
      </w:r>
      <w:r w:rsidR="007A3D78">
        <w:rPr>
          <w:rFonts w:ascii="Times New Roman" w:hAnsi="Times New Roman" w:cs="Times New Roman"/>
          <w:sz w:val="24"/>
          <w:szCs w:val="24"/>
        </w:rPr>
        <w:t>r</w:t>
      </w:r>
      <w:r w:rsidR="00582F04"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assessment can reveal microstructural signatures that aid in identification</w:t>
      </w:r>
      <w:r w:rsidR="00AB7727">
        <w:rPr>
          <w:rFonts w:ascii="Times New Roman" w:hAnsi="Times New Roman" w:cs="Times New Roman"/>
          <w:sz w:val="24"/>
          <w:szCs w:val="24"/>
        </w:rPr>
        <w:t xml:space="preserve"> (</w:t>
      </w:r>
      <w:r w:rsidR="00AB7727" w:rsidRPr="00AB7727">
        <w:rPr>
          <w:rFonts w:ascii="Times New Roman" w:eastAsia="Calibri" w:hAnsi="Times New Roman" w:cs="Times New Roman"/>
          <w:sz w:val="24"/>
        </w:rPr>
        <w:t>Crowder, 2013; Nor et al., 2013</w:t>
      </w:r>
      <w:r w:rsidR="00AB7727">
        <w:rPr>
          <w:rFonts w:ascii="Times New Roman" w:eastAsia="Calibri" w:hAnsi="Times New Roman" w:cs="Times New Roman"/>
          <w:sz w:val="24"/>
        </w:rPr>
        <w:t>)</w:t>
      </w:r>
      <w:r w:rsidRPr="00A84B19">
        <w:rPr>
          <w:rFonts w:ascii="Times New Roman" w:hAnsi="Times New Roman" w:cs="Times New Roman"/>
          <w:sz w:val="24"/>
          <w:szCs w:val="24"/>
        </w:rPr>
        <w:t>, age-at-death estimation</w:t>
      </w:r>
      <w:r w:rsidR="00AB7727">
        <w:rPr>
          <w:rFonts w:ascii="Times New Roman" w:hAnsi="Times New Roman" w:cs="Times New Roman"/>
          <w:sz w:val="24"/>
          <w:szCs w:val="24"/>
        </w:rPr>
        <w:t xml:space="preserve"> (</w:t>
      </w:r>
      <w:r w:rsidR="00FE2131" w:rsidRPr="00FE2131">
        <w:rPr>
          <w:rFonts w:ascii="Times New Roman" w:eastAsia="DengXian" w:hAnsi="Times New Roman" w:cs="Times New Roman"/>
          <w:sz w:val="24"/>
          <w:szCs w:val="24"/>
          <w:lang w:eastAsia="zh-CN"/>
        </w:rPr>
        <w:t>Cho et al.</w:t>
      </w:r>
      <w:r w:rsidR="00FE2131">
        <w:rPr>
          <w:rFonts w:ascii="Times New Roman" w:eastAsia="DengXian" w:hAnsi="Times New Roman" w:cs="Times New Roman"/>
          <w:sz w:val="24"/>
          <w:szCs w:val="24"/>
          <w:lang w:eastAsia="zh-CN"/>
        </w:rPr>
        <w:t xml:space="preserve">, </w:t>
      </w:r>
      <w:r w:rsidR="00FE2131" w:rsidRPr="00FE2131">
        <w:rPr>
          <w:rFonts w:ascii="Times New Roman" w:eastAsia="DengXian" w:hAnsi="Times New Roman" w:cs="Times New Roman"/>
          <w:sz w:val="24"/>
          <w:szCs w:val="24"/>
          <w:lang w:eastAsia="zh-CN"/>
        </w:rPr>
        <w:t>2002</w:t>
      </w:r>
      <w:r w:rsidR="00FE2131">
        <w:rPr>
          <w:rFonts w:ascii="Times New Roman" w:eastAsia="DengXian" w:hAnsi="Times New Roman" w:cs="Times New Roman"/>
          <w:sz w:val="24"/>
          <w:szCs w:val="24"/>
          <w:lang w:eastAsia="zh-CN"/>
        </w:rPr>
        <w:t>;</w:t>
      </w:r>
      <w:r w:rsidR="00FE2131" w:rsidRPr="00FE2131">
        <w:rPr>
          <w:rFonts w:ascii="Times New Roman" w:eastAsia="DengXian" w:hAnsi="Times New Roman" w:cs="Times New Roman"/>
          <w:sz w:val="24"/>
          <w:szCs w:val="24"/>
          <w:lang w:eastAsia="zh-CN"/>
        </w:rPr>
        <w:t xml:space="preserve"> </w:t>
      </w:r>
      <w:r w:rsidR="00AB7727" w:rsidRPr="00AB7727">
        <w:rPr>
          <w:rFonts w:ascii="Times New Roman" w:eastAsia="Calibri" w:hAnsi="Times New Roman" w:cs="Times New Roman"/>
          <w:sz w:val="24"/>
        </w:rPr>
        <w:t>Maat et al., 2003; Meltem et al., 2014; Abdullah et al., 2018</w:t>
      </w:r>
      <w:r w:rsidR="00AB7727">
        <w:rPr>
          <w:rFonts w:ascii="Times New Roman" w:hAnsi="Times New Roman" w:cs="Times New Roman"/>
          <w:sz w:val="24"/>
          <w:szCs w:val="24"/>
        </w:rPr>
        <w:t>)</w:t>
      </w:r>
      <w:r w:rsidRPr="00A84B19">
        <w:rPr>
          <w:rFonts w:ascii="Times New Roman" w:hAnsi="Times New Roman" w:cs="Times New Roman"/>
          <w:sz w:val="24"/>
          <w:szCs w:val="24"/>
        </w:rPr>
        <w:t xml:space="preserve"> and even inter-bone comparisons</w:t>
      </w:r>
      <w:r w:rsidR="00AB7727">
        <w:rPr>
          <w:rFonts w:ascii="Times New Roman" w:hAnsi="Times New Roman" w:cs="Times New Roman"/>
          <w:sz w:val="24"/>
          <w:szCs w:val="24"/>
        </w:rPr>
        <w:t xml:space="preserve"> </w:t>
      </w:r>
      <w:r w:rsidR="00AB7727">
        <w:rPr>
          <w:rFonts w:ascii="Times New Roman" w:eastAsia="Calibri" w:hAnsi="Times New Roman" w:cs="Times New Roman"/>
          <w:sz w:val="24"/>
        </w:rPr>
        <w:t>(</w:t>
      </w:r>
      <w:r w:rsidR="00E5068E">
        <w:rPr>
          <w:rFonts w:ascii="Times New Roman" w:eastAsia="Calibri" w:hAnsi="Times New Roman" w:cs="Times New Roman"/>
          <w:sz w:val="24"/>
        </w:rPr>
        <w:t xml:space="preserve">Maat et al., 2006; </w:t>
      </w:r>
      <w:r w:rsidR="00AB7727" w:rsidRPr="00AB7727">
        <w:rPr>
          <w:rFonts w:ascii="Times New Roman" w:eastAsia="Calibri" w:hAnsi="Times New Roman" w:cs="Times New Roman"/>
          <w:sz w:val="24"/>
        </w:rPr>
        <w:t xml:space="preserve">Orupabo et al., 2020; </w:t>
      </w:r>
      <w:proofErr w:type="spellStart"/>
      <w:r w:rsidR="00AB7727" w:rsidRPr="00AB7727">
        <w:rPr>
          <w:rFonts w:ascii="Times New Roman" w:eastAsia="Calibri" w:hAnsi="Times New Roman" w:cs="Times New Roman"/>
          <w:sz w:val="24"/>
        </w:rPr>
        <w:t>Oghenemavwe</w:t>
      </w:r>
      <w:proofErr w:type="spellEnd"/>
      <w:r w:rsidR="00AB7727" w:rsidRPr="00AB7727">
        <w:rPr>
          <w:rFonts w:ascii="Times New Roman" w:eastAsia="Calibri" w:hAnsi="Times New Roman" w:cs="Times New Roman"/>
          <w:sz w:val="24"/>
        </w:rPr>
        <w:t xml:space="preserve"> et al., 2022)</w:t>
      </w:r>
      <w:r w:rsidRPr="00A84B19">
        <w:rPr>
          <w:rFonts w:ascii="Times New Roman" w:hAnsi="Times New Roman" w:cs="Times New Roman"/>
          <w:sz w:val="24"/>
          <w:szCs w:val="24"/>
        </w:rPr>
        <w:t xml:space="preserve">, yet the degree to which short and flat bones differ in their </w:t>
      </w:r>
      <w:proofErr w:type="spellStart"/>
      <w:r w:rsidR="00582F04" w:rsidRPr="00A84B19">
        <w:rPr>
          <w:rFonts w:ascii="Times New Roman" w:hAnsi="Times New Roman" w:cs="Times New Roman"/>
          <w:sz w:val="24"/>
          <w:szCs w:val="24"/>
        </w:rPr>
        <w:t>histomo</w:t>
      </w:r>
      <w:r w:rsidR="007A3D78">
        <w:rPr>
          <w:rFonts w:ascii="Times New Roman" w:hAnsi="Times New Roman" w:cs="Times New Roman"/>
          <w:sz w:val="24"/>
          <w:szCs w:val="24"/>
        </w:rPr>
        <w:t>r</w:t>
      </w:r>
      <w:r w:rsidR="00582F04">
        <w:rPr>
          <w:rFonts w:ascii="Times New Roman" w:hAnsi="Times New Roman" w:cs="Times New Roman"/>
          <w:sz w:val="24"/>
          <w:szCs w:val="24"/>
        </w:rPr>
        <w:t>p</w:t>
      </w:r>
      <w:r w:rsidR="00582F04" w:rsidRPr="00A84B19">
        <w:rPr>
          <w:rFonts w:ascii="Times New Roman" w:hAnsi="Times New Roman" w:cs="Times New Roman"/>
          <w:sz w:val="24"/>
          <w:szCs w:val="24"/>
        </w:rPr>
        <w:t>hometric</w:t>
      </w:r>
      <w:proofErr w:type="spellEnd"/>
      <w:r w:rsidRPr="00A84B19">
        <w:rPr>
          <w:rFonts w:ascii="Times New Roman" w:hAnsi="Times New Roman" w:cs="Times New Roman"/>
          <w:sz w:val="24"/>
          <w:szCs w:val="24"/>
        </w:rPr>
        <w:t xml:space="preserve"> patterns has received comparatively less focused investigation.</w:t>
      </w:r>
    </w:p>
    <w:p w14:paraId="26979F06" w14:textId="3626559D"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Despite advances in histological methods, a significant problem persists in forensic anthropology and </w:t>
      </w:r>
      <w:proofErr w:type="spellStart"/>
      <w:r w:rsidRPr="00A84B19">
        <w:rPr>
          <w:rFonts w:ascii="Times New Roman" w:hAnsi="Times New Roman" w:cs="Times New Roman"/>
          <w:sz w:val="24"/>
          <w:szCs w:val="24"/>
        </w:rPr>
        <w:t>bioarchaeology</w:t>
      </w:r>
      <w:proofErr w:type="spellEnd"/>
      <w:r w:rsidRPr="00A84B19">
        <w:rPr>
          <w:rFonts w:ascii="Times New Roman" w:hAnsi="Times New Roman" w:cs="Times New Roman"/>
          <w:sz w:val="24"/>
          <w:szCs w:val="24"/>
        </w:rPr>
        <w:t xml:space="preserve">: the lack of comprehensive comparative data on </w:t>
      </w:r>
      <w:proofErr w:type="spellStart"/>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variability across different bone types within the human skeleton. Much existing research has concentrated on long bones or on differentiating human from non-human skeletal remains, but few studies have </w:t>
      </w:r>
      <w:r w:rsidRPr="00A84B19">
        <w:rPr>
          <w:rFonts w:ascii="Times New Roman" w:hAnsi="Times New Roman" w:cs="Times New Roman"/>
          <w:sz w:val="24"/>
          <w:szCs w:val="24"/>
        </w:rPr>
        <w:lastRenderedPageBreak/>
        <w:t>systematically compared microstructural parameters between short and flat bones, which could affect the accuracy of identification and biological profiling when only fragmentary elements are available</w:t>
      </w:r>
      <w:r w:rsidR="0019562B" w:rsidRPr="00A84B19">
        <w:rPr>
          <w:rFonts w:ascii="Times New Roman" w:hAnsi="Times New Roman" w:cs="Times New Roman"/>
          <w:sz w:val="24"/>
          <w:szCs w:val="24"/>
        </w:rPr>
        <w:t xml:space="preserve"> (Stan et al., 2024). </w:t>
      </w:r>
      <w:r w:rsidRPr="00A84B19">
        <w:rPr>
          <w:rFonts w:ascii="Times New Roman" w:hAnsi="Times New Roman" w:cs="Times New Roman"/>
          <w:sz w:val="24"/>
          <w:szCs w:val="24"/>
        </w:rPr>
        <w:t>This limitation hinders the development of robust forensic protocols that account for anatomical variation beyond long bones and may lead to inconsistencies in interpretation, especially in complex medico-legal contexts.</w:t>
      </w:r>
    </w:p>
    <w:p w14:paraId="21BC6E57" w14:textId="18EBDD85" w:rsidR="009448C6" w:rsidRPr="00A84B19" w:rsidRDefault="009448C6" w:rsidP="00E505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Recent literature highlights both the potential and the gaps in this area. </w:t>
      </w:r>
      <w:proofErr w:type="spellStart"/>
      <w:r w:rsidRPr="00A84B19">
        <w:rPr>
          <w:rFonts w:ascii="Times New Roman" w:hAnsi="Times New Roman" w:cs="Times New Roman"/>
          <w:sz w:val="24"/>
          <w:szCs w:val="24"/>
        </w:rPr>
        <w:t>Cummaudo</w:t>
      </w:r>
      <w:proofErr w:type="spellEnd"/>
      <w:r w:rsidRPr="00A84B19">
        <w:rPr>
          <w:rFonts w:ascii="Times New Roman" w:hAnsi="Times New Roman" w:cs="Times New Roman"/>
          <w:sz w:val="24"/>
          <w:szCs w:val="24"/>
        </w:rPr>
        <w:t xml:space="preserve"> and colleagues conducted a </w:t>
      </w:r>
      <w:proofErr w:type="spellStart"/>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analysis across multiple bone types, revealing significant differences in Haversian system and canal sizes between bone categories, noting that long and irregular bones showed larger microstructural features </w:t>
      </w:r>
      <w:r w:rsidR="00B7252A">
        <w:rPr>
          <w:rFonts w:ascii="Times New Roman" w:hAnsi="Times New Roman" w:cs="Times New Roman"/>
          <w:sz w:val="24"/>
          <w:szCs w:val="24"/>
        </w:rPr>
        <w:t xml:space="preserve">as </w:t>
      </w:r>
      <w:r w:rsidRPr="00A84B19">
        <w:rPr>
          <w:rFonts w:ascii="Times New Roman" w:hAnsi="Times New Roman" w:cs="Times New Roman"/>
          <w:sz w:val="24"/>
          <w:szCs w:val="24"/>
        </w:rPr>
        <w:t xml:space="preserve">compared to flat bones, and </w:t>
      </w:r>
      <w:r w:rsidR="002D50F4" w:rsidRPr="00A84B19">
        <w:rPr>
          <w:rFonts w:ascii="Times New Roman" w:hAnsi="Times New Roman" w:cs="Times New Roman"/>
          <w:sz w:val="24"/>
          <w:szCs w:val="24"/>
        </w:rPr>
        <w:t>emphasizing</w:t>
      </w:r>
      <w:r w:rsidRPr="00A84B19">
        <w:rPr>
          <w:rFonts w:ascii="Times New Roman" w:hAnsi="Times New Roman" w:cs="Times New Roman"/>
          <w:sz w:val="24"/>
          <w:szCs w:val="24"/>
        </w:rPr>
        <w:t xml:space="preserve"> the need for broader sampling to understand intra-skeletal variability</w:t>
      </w:r>
      <w:r w:rsidR="0019562B" w:rsidRPr="00A84B19">
        <w:rPr>
          <w:rFonts w:ascii="Times New Roman" w:hAnsi="Times New Roman" w:cs="Times New Roman"/>
          <w:sz w:val="24"/>
          <w:szCs w:val="24"/>
        </w:rPr>
        <w:t xml:space="preserve"> (</w:t>
      </w:r>
      <w:proofErr w:type="spellStart"/>
      <w:r w:rsidR="0019562B" w:rsidRPr="00A84B19">
        <w:rPr>
          <w:rFonts w:ascii="Times New Roman" w:hAnsi="Times New Roman" w:cs="Times New Roman"/>
          <w:sz w:val="24"/>
          <w:szCs w:val="24"/>
        </w:rPr>
        <w:t>Cummaudo</w:t>
      </w:r>
      <w:proofErr w:type="spellEnd"/>
      <w:r w:rsidR="0019562B" w:rsidRPr="00A84B19">
        <w:rPr>
          <w:rFonts w:ascii="Times New Roman" w:hAnsi="Times New Roman" w:cs="Times New Roman"/>
          <w:sz w:val="24"/>
          <w:szCs w:val="24"/>
        </w:rPr>
        <w:t xml:space="preserve"> et al., 2020)</w:t>
      </w:r>
      <w:r w:rsidRPr="00A84B19">
        <w:rPr>
          <w:rFonts w:ascii="Times New Roman" w:hAnsi="Times New Roman" w:cs="Times New Roman"/>
          <w:sz w:val="24"/>
          <w:szCs w:val="24"/>
        </w:rPr>
        <w:t>. Orupabo and Chijioke’s comparative analysis of long bone segments provided baseline data for forensic case diagnosis,</w:t>
      </w:r>
      <w:r w:rsidR="00BC73A5">
        <w:rPr>
          <w:rFonts w:ascii="Times New Roman" w:hAnsi="Times New Roman" w:cs="Times New Roman"/>
          <w:sz w:val="24"/>
          <w:szCs w:val="24"/>
        </w:rPr>
        <w:t xml:space="preserve"> </w:t>
      </w:r>
      <w:r w:rsidRPr="00A84B19">
        <w:rPr>
          <w:rFonts w:ascii="Times New Roman" w:hAnsi="Times New Roman" w:cs="Times New Roman"/>
          <w:sz w:val="24"/>
          <w:szCs w:val="24"/>
        </w:rPr>
        <w:t>though it was limited to long bones and did not extend to short or flat bones</w:t>
      </w:r>
      <w:r w:rsidR="0019562B" w:rsidRPr="00A84B19">
        <w:rPr>
          <w:rFonts w:ascii="Times New Roman" w:hAnsi="Times New Roman" w:cs="Times New Roman"/>
          <w:sz w:val="24"/>
          <w:szCs w:val="24"/>
        </w:rPr>
        <w:t xml:space="preserve"> (Orupabo &amp; Chijioke, 2024)</w:t>
      </w:r>
      <w:r w:rsidRPr="00A84B19">
        <w:rPr>
          <w:rFonts w:ascii="Times New Roman" w:hAnsi="Times New Roman" w:cs="Times New Roman"/>
          <w:sz w:val="24"/>
          <w:szCs w:val="24"/>
        </w:rPr>
        <w:t xml:space="preserve">. Furthermore, </w:t>
      </w:r>
      <w:proofErr w:type="spellStart"/>
      <w:r w:rsidRPr="00A84B19">
        <w:rPr>
          <w:rFonts w:ascii="Times New Roman" w:hAnsi="Times New Roman" w:cs="Times New Roman"/>
          <w:sz w:val="24"/>
          <w:szCs w:val="24"/>
        </w:rPr>
        <w:t>Bantavanou</w:t>
      </w:r>
      <w:proofErr w:type="spellEnd"/>
      <w:r w:rsidRPr="00A84B19">
        <w:rPr>
          <w:rFonts w:ascii="Times New Roman" w:hAnsi="Times New Roman" w:cs="Times New Roman"/>
          <w:sz w:val="24"/>
          <w:szCs w:val="24"/>
        </w:rPr>
        <w:t xml:space="preserve"> et al.</w:t>
      </w:r>
      <w:r w:rsidR="00325146">
        <w:rPr>
          <w:rFonts w:ascii="Times New Roman" w:hAnsi="Times New Roman" w:cs="Times New Roman"/>
          <w:sz w:val="24"/>
          <w:szCs w:val="24"/>
        </w:rPr>
        <w:t>,</w:t>
      </w:r>
      <w:r w:rsidRPr="00A84B19">
        <w:rPr>
          <w:rFonts w:ascii="Times New Roman" w:hAnsi="Times New Roman" w:cs="Times New Roman"/>
          <w:sz w:val="24"/>
          <w:szCs w:val="24"/>
        </w:rPr>
        <w:t xml:space="preserve"> (2025) advanced </w:t>
      </w:r>
      <w:proofErr w:type="spellStart"/>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methods for age-at-death estimation using femoral cross-sections, showing the value of microstructural parameter densities in forensic applications but similarly without addressing short or flat bones. </w:t>
      </w:r>
      <w:r w:rsidR="00C113FB">
        <w:rPr>
          <w:rFonts w:ascii="Times New Roman" w:hAnsi="Times New Roman" w:cs="Times New Roman"/>
          <w:sz w:val="24"/>
          <w:szCs w:val="24"/>
        </w:rPr>
        <w:t>Orupabo et al.,</w:t>
      </w:r>
      <w:r w:rsidR="00B915DC">
        <w:rPr>
          <w:rFonts w:ascii="Times New Roman" w:hAnsi="Times New Roman" w:cs="Times New Roman"/>
          <w:sz w:val="24"/>
          <w:szCs w:val="24"/>
        </w:rPr>
        <w:t xml:space="preserve"> (</w:t>
      </w:r>
      <w:r w:rsidR="00C113FB">
        <w:rPr>
          <w:rFonts w:ascii="Times New Roman" w:hAnsi="Times New Roman" w:cs="Times New Roman"/>
          <w:sz w:val="24"/>
          <w:szCs w:val="24"/>
        </w:rPr>
        <w:t>202</w:t>
      </w:r>
      <w:r w:rsidR="00140382">
        <w:rPr>
          <w:rFonts w:ascii="Times New Roman" w:hAnsi="Times New Roman" w:cs="Times New Roman"/>
          <w:sz w:val="24"/>
          <w:szCs w:val="24"/>
        </w:rPr>
        <w:t>5</w:t>
      </w:r>
      <w:r w:rsidR="00B915DC">
        <w:rPr>
          <w:rFonts w:ascii="Times New Roman" w:hAnsi="Times New Roman" w:cs="Times New Roman"/>
          <w:sz w:val="24"/>
          <w:szCs w:val="24"/>
        </w:rPr>
        <w:t>)</w:t>
      </w:r>
      <w:r w:rsidR="00C113FB">
        <w:rPr>
          <w:rFonts w:ascii="Times New Roman" w:hAnsi="Times New Roman" w:cs="Times New Roman"/>
          <w:sz w:val="24"/>
          <w:szCs w:val="24"/>
        </w:rPr>
        <w:t xml:space="preserve"> in a more recent study observed that the </w:t>
      </w:r>
      <w:r w:rsidR="00E50519">
        <w:rPr>
          <w:rFonts w:ascii="Times New Roman" w:hAnsi="Times New Roman" w:cs="Times New Roman"/>
          <w:sz w:val="24"/>
          <w:szCs w:val="24"/>
        </w:rPr>
        <w:t xml:space="preserve">tibia </w:t>
      </w:r>
      <w:r w:rsidR="00E50519" w:rsidRPr="00E50519">
        <w:rPr>
          <w:rFonts w:ascii="Times New Roman" w:hAnsi="Times New Roman" w:cs="Times New Roman"/>
          <w:sz w:val="24"/>
          <w:szCs w:val="24"/>
        </w:rPr>
        <w:t>exhibited significantly greater counts of secondary and primary osteons compared with the talus (P≤0.05)</w:t>
      </w:r>
      <w:r w:rsidR="00E50519">
        <w:rPr>
          <w:rFonts w:ascii="Times New Roman" w:hAnsi="Times New Roman" w:cs="Times New Roman"/>
          <w:sz w:val="24"/>
          <w:szCs w:val="24"/>
        </w:rPr>
        <w:t xml:space="preserve">. </w:t>
      </w:r>
      <w:r w:rsidR="00060BF2" w:rsidRPr="00A84B19">
        <w:rPr>
          <w:rFonts w:ascii="Times New Roman" w:hAnsi="Times New Roman" w:cs="Times New Roman"/>
          <w:sz w:val="24"/>
          <w:szCs w:val="24"/>
        </w:rPr>
        <w:t xml:space="preserve">Stan et al., (2024) </w:t>
      </w:r>
      <w:r w:rsidRPr="00A84B19">
        <w:rPr>
          <w:rFonts w:ascii="Times New Roman" w:hAnsi="Times New Roman" w:cs="Times New Roman"/>
          <w:sz w:val="24"/>
          <w:szCs w:val="24"/>
        </w:rPr>
        <w:t xml:space="preserve">reaffirmed the importance of microstructural variables like osteon and canal dimensions, arguing for continued validation of </w:t>
      </w:r>
      <w:proofErr w:type="spellStart"/>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approaches. However, what remains underexplored is how these metrics vary systematically between bone types of differing morphology</w:t>
      </w:r>
      <w:r w:rsidR="00060BF2" w:rsidRPr="00A84B19">
        <w:rPr>
          <w:rFonts w:ascii="Times New Roman" w:hAnsi="Times New Roman" w:cs="Times New Roman"/>
          <w:sz w:val="24"/>
          <w:szCs w:val="24"/>
        </w:rPr>
        <w:t>,</w:t>
      </w:r>
      <w:r w:rsidRPr="00A84B19">
        <w:rPr>
          <w:rFonts w:ascii="Times New Roman" w:hAnsi="Times New Roman" w:cs="Times New Roman"/>
          <w:sz w:val="24"/>
          <w:szCs w:val="24"/>
        </w:rPr>
        <w:t xml:space="preserve"> particularly short versus flat bones within human populations, an understanding that is crucial when fragmented skeletal elements are encountered.</w:t>
      </w:r>
    </w:p>
    <w:p w14:paraId="54E1CC2E" w14:textId="787C5829"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lastRenderedPageBreak/>
        <w:t xml:space="preserve">This research gap underscores the need for a targeted comparative analysis of </w:t>
      </w:r>
      <w:proofErr w:type="spellStart"/>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patterns in short and flat bones, as most forensic and anthropological models are extrapolated from long bone data with limited validation across other skeletal categories. Such gaps may lead to biases in interpretation and reduce the reliability of microstructural criteria in forensic contexts where short and flat bone fragments are encountered. Addressing this gap will enhance the forensic toolkit by providing normative data across a wider range of bone types and improve the precision of identification and biological profiling of skeletal remains. Therefore, this study aims to conduct a </w:t>
      </w:r>
      <w:proofErr w:type="spellStart"/>
      <w:r w:rsidR="00CF5C99"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CF5C99" w:rsidRPr="00A84B19">
        <w:rPr>
          <w:rFonts w:ascii="Times New Roman" w:hAnsi="Times New Roman" w:cs="Times New Roman"/>
          <w:sz w:val="24"/>
          <w:szCs w:val="24"/>
        </w:rPr>
        <w:t>phometric</w:t>
      </w:r>
      <w:proofErr w:type="spellEnd"/>
      <w:r w:rsidRPr="00A84B19">
        <w:rPr>
          <w:rFonts w:ascii="Times New Roman" w:hAnsi="Times New Roman" w:cs="Times New Roman"/>
          <w:sz w:val="24"/>
          <w:szCs w:val="24"/>
        </w:rPr>
        <w:t xml:space="preserve"> assessment of human skeletal remains, focusing on a comparative analysis of short and flat bones to </w:t>
      </w:r>
      <w:r w:rsidR="00CF5C99" w:rsidRPr="00A84B19">
        <w:rPr>
          <w:rFonts w:ascii="Times New Roman" w:hAnsi="Times New Roman" w:cs="Times New Roman"/>
          <w:sz w:val="24"/>
          <w:szCs w:val="24"/>
        </w:rPr>
        <w:t>characterize</w:t>
      </w:r>
      <w:r w:rsidRPr="00A84B19">
        <w:rPr>
          <w:rFonts w:ascii="Times New Roman" w:hAnsi="Times New Roman" w:cs="Times New Roman"/>
          <w:sz w:val="24"/>
          <w:szCs w:val="24"/>
        </w:rPr>
        <w:t xml:space="preserve"> their microstructural differences, establish reference parameters, and evaluate their forensic applicability.</w:t>
      </w:r>
    </w:p>
    <w:p w14:paraId="2A9E64CA" w14:textId="198D6776" w:rsidR="009448C6" w:rsidRPr="00A84B19" w:rsidRDefault="009448C6" w:rsidP="00A84B19">
      <w:pPr>
        <w:spacing w:line="480" w:lineRule="auto"/>
        <w:jc w:val="both"/>
        <w:rPr>
          <w:rFonts w:ascii="Times New Roman" w:hAnsi="Times New Roman" w:cs="Times New Roman"/>
          <w:sz w:val="24"/>
          <w:szCs w:val="24"/>
        </w:rPr>
      </w:pPr>
    </w:p>
    <w:p w14:paraId="494548E8" w14:textId="63399FC2" w:rsidR="006C6574" w:rsidRPr="00C43911" w:rsidRDefault="009448C6"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MATERIALS AND METHODS</w:t>
      </w:r>
    </w:p>
    <w:p w14:paraId="31095C09" w14:textId="3CBB1E13" w:rsidR="009448C6" w:rsidRPr="00A84B19" w:rsidRDefault="00F5581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This is a</w:t>
      </w:r>
      <w:r w:rsidR="009448C6" w:rsidRPr="00A84B19">
        <w:rPr>
          <w:rFonts w:ascii="Times New Roman" w:hAnsi="Times New Roman" w:cs="Times New Roman"/>
          <w:sz w:val="24"/>
          <w:szCs w:val="24"/>
        </w:rPr>
        <w:t xml:space="preserve"> comparative descriptive </w:t>
      </w:r>
      <w:r>
        <w:rPr>
          <w:rFonts w:ascii="Times New Roman" w:hAnsi="Times New Roman" w:cs="Times New Roman"/>
          <w:sz w:val="24"/>
          <w:szCs w:val="24"/>
        </w:rPr>
        <w:t>study</w:t>
      </w:r>
      <w:r w:rsidR="009448C6" w:rsidRPr="00A84B19">
        <w:rPr>
          <w:rFonts w:ascii="Times New Roman" w:hAnsi="Times New Roman" w:cs="Times New Roman"/>
          <w:sz w:val="24"/>
          <w:szCs w:val="24"/>
        </w:rPr>
        <w:t xml:space="preserve"> utilized to evaluate and compare </w:t>
      </w:r>
      <w:proofErr w:type="spellStart"/>
      <w:r w:rsidR="009448C6"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9448C6" w:rsidRPr="00A84B19">
        <w:rPr>
          <w:rFonts w:ascii="Times New Roman" w:hAnsi="Times New Roman" w:cs="Times New Roman"/>
          <w:sz w:val="24"/>
          <w:szCs w:val="24"/>
        </w:rPr>
        <w:t>phometric</w:t>
      </w:r>
      <w:proofErr w:type="spellEnd"/>
      <w:r w:rsidR="009448C6" w:rsidRPr="00A84B19">
        <w:rPr>
          <w:rFonts w:ascii="Times New Roman" w:hAnsi="Times New Roman" w:cs="Times New Roman"/>
          <w:sz w:val="24"/>
          <w:szCs w:val="24"/>
        </w:rPr>
        <w:t xml:space="preserve"> parameters of short bones (tarsal bones) and flat bones (ribs and sternum) from human skeletal remains. Quantitative microscopic measurements were conducted to determine differences in osteon </w:t>
      </w:r>
      <w:r w:rsidR="00A50C6F">
        <w:rPr>
          <w:rFonts w:ascii="Times New Roman" w:hAnsi="Times New Roman" w:cs="Times New Roman"/>
          <w:sz w:val="24"/>
          <w:szCs w:val="24"/>
        </w:rPr>
        <w:t>count</w:t>
      </w:r>
      <w:r w:rsidR="009448C6" w:rsidRPr="00A84B19">
        <w:rPr>
          <w:rFonts w:ascii="Times New Roman" w:hAnsi="Times New Roman" w:cs="Times New Roman"/>
          <w:sz w:val="24"/>
          <w:szCs w:val="24"/>
        </w:rPr>
        <w:t>, Haversian canal diameter</w:t>
      </w:r>
      <w:r w:rsidR="00A50C6F">
        <w:rPr>
          <w:rFonts w:ascii="Times New Roman" w:hAnsi="Times New Roman" w:cs="Times New Roman"/>
          <w:sz w:val="24"/>
          <w:szCs w:val="24"/>
        </w:rPr>
        <w:t xml:space="preserve"> (HCD)</w:t>
      </w:r>
      <w:r w:rsidR="009448C6" w:rsidRPr="00A84B19">
        <w:rPr>
          <w:rFonts w:ascii="Times New Roman" w:hAnsi="Times New Roman" w:cs="Times New Roman"/>
          <w:sz w:val="24"/>
          <w:szCs w:val="24"/>
        </w:rPr>
        <w:t xml:space="preserve">, osteon </w:t>
      </w:r>
      <w:r w:rsidR="00A50C6F">
        <w:rPr>
          <w:rFonts w:ascii="Times New Roman" w:hAnsi="Times New Roman" w:cs="Times New Roman"/>
          <w:sz w:val="24"/>
          <w:szCs w:val="24"/>
        </w:rPr>
        <w:t>diameter (OD)</w:t>
      </w:r>
      <w:r w:rsidR="009448C6" w:rsidRPr="00A84B19">
        <w:rPr>
          <w:rFonts w:ascii="Times New Roman" w:hAnsi="Times New Roman" w:cs="Times New Roman"/>
          <w:sz w:val="24"/>
          <w:szCs w:val="24"/>
        </w:rPr>
        <w:t xml:space="preserve">, and </w:t>
      </w:r>
      <w:r w:rsidR="00A50C6F">
        <w:rPr>
          <w:rFonts w:ascii="Times New Roman" w:hAnsi="Times New Roman" w:cs="Times New Roman"/>
          <w:sz w:val="24"/>
          <w:szCs w:val="24"/>
        </w:rPr>
        <w:t>osteon fragmentation index (OFI)</w:t>
      </w:r>
      <w:r w:rsidR="009448C6" w:rsidRPr="00A84B19">
        <w:rPr>
          <w:rFonts w:ascii="Times New Roman" w:hAnsi="Times New Roman" w:cs="Times New Roman"/>
          <w:sz w:val="24"/>
          <w:szCs w:val="24"/>
        </w:rPr>
        <w:t xml:space="preserve"> across bone categories. This design allowed for a direct assessment and statistical comparison of microstructural features between</w:t>
      </w:r>
      <w:r w:rsidR="00066453">
        <w:rPr>
          <w:rFonts w:ascii="Times New Roman" w:hAnsi="Times New Roman" w:cs="Times New Roman"/>
          <w:sz w:val="24"/>
          <w:szCs w:val="24"/>
        </w:rPr>
        <w:t xml:space="preserve"> the</w:t>
      </w:r>
      <w:r w:rsidR="009448C6" w:rsidRPr="00A84B19">
        <w:rPr>
          <w:rFonts w:ascii="Times New Roman" w:hAnsi="Times New Roman" w:cs="Times New Roman"/>
          <w:sz w:val="24"/>
          <w:szCs w:val="24"/>
        </w:rPr>
        <w:t xml:space="preserve"> bone types.</w:t>
      </w:r>
    </w:p>
    <w:p w14:paraId="0B1566F0" w14:textId="77777777"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Study Area</w:t>
      </w:r>
    </w:p>
    <w:p w14:paraId="4F1C8A6E" w14:textId="4C4FA627"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The research was carried out in the </w:t>
      </w:r>
      <w:r w:rsidR="009808DF" w:rsidRPr="00A84B19">
        <w:rPr>
          <w:rFonts w:ascii="Times New Roman" w:hAnsi="Times New Roman" w:cs="Times New Roman"/>
          <w:sz w:val="24"/>
          <w:szCs w:val="24"/>
        </w:rPr>
        <w:t xml:space="preserve">Forensic and Histology Laboratory </w:t>
      </w:r>
      <w:r w:rsidR="009808DF">
        <w:rPr>
          <w:rFonts w:ascii="Times New Roman" w:hAnsi="Times New Roman" w:cs="Times New Roman"/>
          <w:sz w:val="24"/>
          <w:szCs w:val="24"/>
        </w:rPr>
        <w:t xml:space="preserve">of the </w:t>
      </w:r>
      <w:r w:rsidRPr="00A84B19">
        <w:rPr>
          <w:rFonts w:ascii="Times New Roman" w:hAnsi="Times New Roman" w:cs="Times New Roman"/>
          <w:sz w:val="24"/>
          <w:szCs w:val="24"/>
        </w:rPr>
        <w:t xml:space="preserve">Department of </w:t>
      </w:r>
      <w:r w:rsidR="009808DF">
        <w:rPr>
          <w:rFonts w:ascii="Times New Roman" w:hAnsi="Times New Roman" w:cs="Times New Roman"/>
          <w:sz w:val="24"/>
          <w:szCs w:val="24"/>
        </w:rPr>
        <w:t xml:space="preserve">Human </w:t>
      </w:r>
      <w:r w:rsidRPr="00A84B19">
        <w:rPr>
          <w:rFonts w:ascii="Times New Roman" w:hAnsi="Times New Roman" w:cs="Times New Roman"/>
          <w:sz w:val="24"/>
          <w:szCs w:val="24"/>
        </w:rPr>
        <w:t xml:space="preserve">Anatomy, </w:t>
      </w:r>
      <w:r w:rsidR="009808DF">
        <w:rPr>
          <w:rFonts w:ascii="Times New Roman" w:hAnsi="Times New Roman" w:cs="Times New Roman"/>
          <w:sz w:val="24"/>
          <w:szCs w:val="24"/>
        </w:rPr>
        <w:t>Faculty of Basic Medical Sciences</w:t>
      </w:r>
      <w:r w:rsidRPr="00A84B19">
        <w:rPr>
          <w:rFonts w:ascii="Times New Roman" w:hAnsi="Times New Roman" w:cs="Times New Roman"/>
          <w:sz w:val="24"/>
          <w:szCs w:val="24"/>
        </w:rPr>
        <w:t xml:space="preserve">, College of Medical Sciences, Rivers State University, Port Harcourt, Nigeria. Histological processing, slide preparation, and microscopic </w:t>
      </w:r>
      <w:r w:rsidRPr="00A84B19">
        <w:rPr>
          <w:rFonts w:ascii="Times New Roman" w:hAnsi="Times New Roman" w:cs="Times New Roman"/>
          <w:sz w:val="24"/>
          <w:szCs w:val="24"/>
        </w:rPr>
        <w:lastRenderedPageBreak/>
        <w:t xml:space="preserve">analyses were performed within the </w:t>
      </w:r>
      <w:r w:rsidR="00AB4812">
        <w:rPr>
          <w:rFonts w:ascii="Times New Roman" w:hAnsi="Times New Roman" w:cs="Times New Roman"/>
          <w:sz w:val="24"/>
          <w:szCs w:val="24"/>
        </w:rPr>
        <w:t>I</w:t>
      </w:r>
      <w:r w:rsidRPr="00A84B19">
        <w:rPr>
          <w:rFonts w:ascii="Times New Roman" w:hAnsi="Times New Roman" w:cs="Times New Roman"/>
          <w:sz w:val="24"/>
          <w:szCs w:val="24"/>
        </w:rPr>
        <w:t xml:space="preserve">mage </w:t>
      </w:r>
      <w:r w:rsidR="00AB4812">
        <w:rPr>
          <w:rFonts w:ascii="Times New Roman" w:hAnsi="Times New Roman" w:cs="Times New Roman"/>
          <w:sz w:val="24"/>
          <w:szCs w:val="24"/>
        </w:rPr>
        <w:t>A</w:t>
      </w:r>
      <w:r w:rsidRPr="00A84B19">
        <w:rPr>
          <w:rFonts w:ascii="Times New Roman" w:hAnsi="Times New Roman" w:cs="Times New Roman"/>
          <w:sz w:val="24"/>
          <w:szCs w:val="24"/>
        </w:rPr>
        <w:t xml:space="preserve">nalysis </w:t>
      </w:r>
      <w:r w:rsidR="00AB4812">
        <w:rPr>
          <w:rFonts w:ascii="Times New Roman" w:hAnsi="Times New Roman" w:cs="Times New Roman"/>
          <w:sz w:val="24"/>
          <w:szCs w:val="24"/>
        </w:rPr>
        <w:t>U</w:t>
      </w:r>
      <w:r w:rsidRPr="00A84B19">
        <w:rPr>
          <w:rFonts w:ascii="Times New Roman" w:hAnsi="Times New Roman" w:cs="Times New Roman"/>
          <w:sz w:val="24"/>
          <w:szCs w:val="24"/>
        </w:rPr>
        <w:t xml:space="preserve">nit, which is equipped with advanced digital microscopy and morphometric software suitable for </w:t>
      </w:r>
      <w:proofErr w:type="spellStart"/>
      <w:r w:rsidRPr="00A84B19">
        <w:rPr>
          <w:rFonts w:ascii="Times New Roman" w:hAnsi="Times New Roman" w:cs="Times New Roman"/>
          <w:sz w:val="24"/>
          <w:szCs w:val="24"/>
        </w:rPr>
        <w:t>histomophometric</w:t>
      </w:r>
      <w:proofErr w:type="spellEnd"/>
      <w:r w:rsidRPr="00A84B19">
        <w:rPr>
          <w:rFonts w:ascii="Times New Roman" w:hAnsi="Times New Roman" w:cs="Times New Roman"/>
          <w:sz w:val="24"/>
          <w:szCs w:val="24"/>
        </w:rPr>
        <w:t xml:space="preserve"> evaluation.</w:t>
      </w:r>
    </w:p>
    <w:p w14:paraId="4AD3AD75" w14:textId="77777777" w:rsidR="00AB4812" w:rsidRDefault="00AB4812" w:rsidP="00A84B19">
      <w:pPr>
        <w:spacing w:line="480" w:lineRule="auto"/>
        <w:jc w:val="both"/>
        <w:rPr>
          <w:rFonts w:ascii="Times New Roman" w:hAnsi="Times New Roman" w:cs="Times New Roman"/>
          <w:b/>
          <w:bCs/>
          <w:sz w:val="24"/>
          <w:szCs w:val="24"/>
        </w:rPr>
      </w:pPr>
    </w:p>
    <w:p w14:paraId="2BACC711" w14:textId="26A609D3"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Sample Collection</w:t>
      </w:r>
    </w:p>
    <w:p w14:paraId="111FD634" w14:textId="77777777" w:rsidR="00AB4812"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Human skeletal remains used in this study were sourced from the approved skeletal collection maintained by the Anatomy Department. The collection consists of adult human bones preserved for academic and research purposes. Samples included short bones (selected tarsal bones such as talus and calcaneus) and flat bones (selected ribs from the 5th–7th ribs and sternum). A total of 30 bone specimens were analyzed, with 10 samples each from tarsal bones, ribs, and sternum, to ensure adequate representation for comparative analysis. </w:t>
      </w:r>
    </w:p>
    <w:p w14:paraId="29BD4F5F" w14:textId="77777777" w:rsidR="00AB4812" w:rsidRPr="006A1B65" w:rsidRDefault="009448C6" w:rsidP="00A84B19">
      <w:pPr>
        <w:spacing w:line="480" w:lineRule="auto"/>
        <w:jc w:val="both"/>
        <w:rPr>
          <w:rFonts w:ascii="Times New Roman" w:hAnsi="Times New Roman" w:cs="Times New Roman"/>
          <w:b/>
          <w:bCs/>
          <w:sz w:val="24"/>
          <w:szCs w:val="24"/>
        </w:rPr>
      </w:pPr>
      <w:r w:rsidRPr="006A1B65">
        <w:rPr>
          <w:rFonts w:ascii="Times New Roman" w:hAnsi="Times New Roman" w:cs="Times New Roman"/>
          <w:b/>
          <w:bCs/>
          <w:sz w:val="24"/>
          <w:szCs w:val="24"/>
        </w:rPr>
        <w:t xml:space="preserve">Inclusion criteria </w:t>
      </w:r>
    </w:p>
    <w:p w14:paraId="1471E2EB" w14:textId="671A0868" w:rsidR="0099055C" w:rsidRDefault="00AB4812"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9448C6" w:rsidRPr="00A84B19">
        <w:rPr>
          <w:rFonts w:ascii="Times New Roman" w:hAnsi="Times New Roman" w:cs="Times New Roman"/>
          <w:sz w:val="24"/>
          <w:szCs w:val="24"/>
        </w:rPr>
        <w:t xml:space="preserve">dult skeletal collections from 10 cadaveric specimens. </w:t>
      </w:r>
    </w:p>
    <w:p w14:paraId="606A2BB6" w14:textId="77777777" w:rsidR="002746D5" w:rsidRPr="006A1B65" w:rsidRDefault="0099055C" w:rsidP="002746D5">
      <w:pPr>
        <w:spacing w:line="480" w:lineRule="auto"/>
        <w:jc w:val="both"/>
        <w:rPr>
          <w:rFonts w:ascii="Times New Roman" w:hAnsi="Times New Roman" w:cs="Times New Roman"/>
          <w:b/>
          <w:bCs/>
          <w:sz w:val="24"/>
          <w:szCs w:val="24"/>
        </w:rPr>
      </w:pPr>
      <w:r w:rsidRPr="006A1B65">
        <w:rPr>
          <w:rFonts w:ascii="Times New Roman" w:hAnsi="Times New Roman" w:cs="Times New Roman"/>
          <w:b/>
          <w:bCs/>
          <w:sz w:val="24"/>
          <w:szCs w:val="24"/>
        </w:rPr>
        <w:t>Exclusion criteria</w:t>
      </w:r>
    </w:p>
    <w:p w14:paraId="14F76A8A" w14:textId="1A4EE9C0" w:rsidR="009448C6" w:rsidRPr="002746D5" w:rsidRDefault="0099055C" w:rsidP="002746D5">
      <w:pPr>
        <w:spacing w:line="480" w:lineRule="auto"/>
        <w:jc w:val="both"/>
        <w:rPr>
          <w:rFonts w:ascii="Times New Roman" w:hAnsi="Times New Roman" w:cs="Times New Roman"/>
          <w:sz w:val="24"/>
          <w:szCs w:val="24"/>
        </w:rPr>
      </w:pPr>
      <w:r w:rsidRPr="002746D5">
        <w:rPr>
          <w:rFonts w:ascii="Times New Roman" w:hAnsi="Times New Roman" w:cs="Times New Roman"/>
          <w:sz w:val="24"/>
          <w:szCs w:val="24"/>
        </w:rPr>
        <w:t>B</w:t>
      </w:r>
      <w:r w:rsidR="009448C6" w:rsidRPr="002746D5">
        <w:rPr>
          <w:rFonts w:ascii="Times New Roman" w:hAnsi="Times New Roman" w:cs="Times New Roman"/>
          <w:sz w:val="24"/>
          <w:szCs w:val="24"/>
        </w:rPr>
        <w:t>ones with severe postmortem damage or pathological alterations were excluded from the study.</w:t>
      </w:r>
    </w:p>
    <w:p w14:paraId="279CF029" w14:textId="77777777"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Ethical Consideration</w:t>
      </w:r>
    </w:p>
    <w:p w14:paraId="72BEFC08" w14:textId="3590AC4B"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Ethical clearance for the study was obtained from the Faculty Research and Ethics Committee, College of Medical Sciences, Rivers State University</w:t>
      </w:r>
      <w:r w:rsidR="009A61FD">
        <w:rPr>
          <w:rFonts w:ascii="Times New Roman" w:hAnsi="Times New Roman" w:cs="Times New Roman"/>
          <w:sz w:val="24"/>
          <w:szCs w:val="24"/>
        </w:rPr>
        <w:t xml:space="preserve"> (RSU/FBMS//REC/25/366)</w:t>
      </w:r>
      <w:r w:rsidR="009A61FD" w:rsidRPr="007A1490">
        <w:rPr>
          <w:rFonts w:ascii="Times New Roman" w:hAnsi="Times New Roman" w:cs="Times New Roman"/>
          <w:sz w:val="24"/>
          <w:szCs w:val="24"/>
        </w:rPr>
        <w:t>.</w:t>
      </w:r>
      <w:r w:rsidRPr="00A84B19">
        <w:rPr>
          <w:rFonts w:ascii="Times New Roman" w:hAnsi="Times New Roman" w:cs="Times New Roman"/>
          <w:sz w:val="24"/>
          <w:szCs w:val="24"/>
        </w:rPr>
        <w:t xml:space="preserve"> </w:t>
      </w:r>
      <w:r w:rsidR="00D632A5">
        <w:rPr>
          <w:rFonts w:ascii="Times New Roman" w:hAnsi="Times New Roman" w:cs="Times New Roman"/>
          <w:sz w:val="24"/>
          <w:szCs w:val="24"/>
        </w:rPr>
        <w:t>T</w:t>
      </w:r>
      <w:r w:rsidR="00D632A5" w:rsidRPr="00A84B19">
        <w:rPr>
          <w:rFonts w:ascii="Times New Roman" w:hAnsi="Times New Roman" w:cs="Times New Roman"/>
          <w:sz w:val="24"/>
          <w:szCs w:val="24"/>
        </w:rPr>
        <w:t xml:space="preserve">he </w:t>
      </w:r>
      <w:r w:rsidR="00D632A5">
        <w:rPr>
          <w:rFonts w:ascii="Times New Roman" w:hAnsi="Times New Roman" w:cs="Times New Roman"/>
          <w:sz w:val="24"/>
          <w:szCs w:val="24"/>
        </w:rPr>
        <w:t>Ethical Board</w:t>
      </w:r>
      <w:r w:rsidR="00D632A5" w:rsidRPr="00A84B19">
        <w:rPr>
          <w:rFonts w:ascii="Times New Roman" w:hAnsi="Times New Roman" w:cs="Times New Roman"/>
          <w:sz w:val="24"/>
          <w:szCs w:val="24"/>
        </w:rPr>
        <w:t xml:space="preserve"> of the Department of </w:t>
      </w:r>
      <w:r w:rsidR="00D632A5">
        <w:rPr>
          <w:rFonts w:ascii="Times New Roman" w:hAnsi="Times New Roman" w:cs="Times New Roman"/>
          <w:sz w:val="24"/>
          <w:szCs w:val="24"/>
        </w:rPr>
        <w:t xml:space="preserve">Human </w:t>
      </w:r>
      <w:r w:rsidR="00D632A5" w:rsidRPr="00A84B19">
        <w:rPr>
          <w:rFonts w:ascii="Times New Roman" w:hAnsi="Times New Roman" w:cs="Times New Roman"/>
          <w:sz w:val="24"/>
          <w:szCs w:val="24"/>
        </w:rPr>
        <w:t xml:space="preserve">Anatomy </w:t>
      </w:r>
      <w:r w:rsidR="00D632A5">
        <w:rPr>
          <w:rFonts w:ascii="Times New Roman" w:hAnsi="Times New Roman" w:cs="Times New Roman"/>
          <w:sz w:val="24"/>
          <w:szCs w:val="24"/>
        </w:rPr>
        <w:t>granted a</w:t>
      </w:r>
      <w:r w:rsidRPr="00A84B19">
        <w:rPr>
          <w:rFonts w:ascii="Times New Roman" w:hAnsi="Times New Roman" w:cs="Times New Roman"/>
          <w:sz w:val="24"/>
          <w:szCs w:val="24"/>
        </w:rPr>
        <w:t>pproval for access to and use of the skeletal remains. All procedures complied with both institutional and internationally accepted ethical standards for research involving human skeletal materials.</w:t>
      </w:r>
    </w:p>
    <w:p w14:paraId="093BE0D9" w14:textId="77777777" w:rsidR="00687B6D" w:rsidRDefault="00687B6D" w:rsidP="00A84B19">
      <w:pPr>
        <w:spacing w:line="480" w:lineRule="auto"/>
        <w:jc w:val="both"/>
        <w:rPr>
          <w:rFonts w:ascii="Times New Roman" w:hAnsi="Times New Roman" w:cs="Times New Roman"/>
          <w:b/>
          <w:bCs/>
          <w:sz w:val="24"/>
          <w:szCs w:val="24"/>
        </w:rPr>
      </w:pPr>
    </w:p>
    <w:p w14:paraId="6589293B" w14:textId="2FCA917B" w:rsidR="006C6574" w:rsidRPr="00A84B19" w:rsidRDefault="006A1B65" w:rsidP="00A84B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Bone section preparation</w:t>
      </w:r>
    </w:p>
    <w:p w14:paraId="020F18A5" w14:textId="6ABDAD7E"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Bone samples were cut into thin slices approximately 2–3 mm thick using an electric band saw.</w:t>
      </w:r>
      <w:r w:rsidR="009C32E2">
        <w:rPr>
          <w:rFonts w:ascii="Times New Roman" w:hAnsi="Times New Roman" w:cs="Times New Roman"/>
          <w:sz w:val="24"/>
          <w:szCs w:val="24"/>
        </w:rPr>
        <w:t xml:space="preserve"> </w:t>
      </w:r>
      <w:r w:rsidR="000E5F56">
        <w:rPr>
          <w:rFonts w:ascii="Times New Roman" w:hAnsi="Times New Roman" w:cs="Times New Roman"/>
          <w:sz w:val="24"/>
          <w:szCs w:val="24"/>
        </w:rPr>
        <w:t>A</w:t>
      </w:r>
      <w:r w:rsidRPr="00A84B19">
        <w:rPr>
          <w:rFonts w:ascii="Times New Roman" w:hAnsi="Times New Roman" w:cs="Times New Roman"/>
          <w:sz w:val="24"/>
          <w:szCs w:val="24"/>
        </w:rPr>
        <w:t xml:space="preserve">brasive </w:t>
      </w:r>
      <w:r w:rsidR="005E6486">
        <w:rPr>
          <w:rFonts w:ascii="Times New Roman" w:hAnsi="Times New Roman" w:cs="Times New Roman"/>
          <w:sz w:val="24"/>
          <w:szCs w:val="24"/>
        </w:rPr>
        <w:t>sand</w:t>
      </w:r>
      <w:r w:rsidRPr="00A84B19">
        <w:rPr>
          <w:rFonts w:ascii="Times New Roman" w:hAnsi="Times New Roman" w:cs="Times New Roman"/>
          <w:sz w:val="24"/>
          <w:szCs w:val="24"/>
        </w:rPr>
        <w:t>paper</w:t>
      </w:r>
      <w:r w:rsidR="005E6486">
        <w:rPr>
          <w:rFonts w:ascii="Times New Roman" w:hAnsi="Times New Roman" w:cs="Times New Roman"/>
          <w:sz w:val="24"/>
          <w:szCs w:val="24"/>
        </w:rPr>
        <w:t xml:space="preserve"> of sizes P</w:t>
      </w:r>
      <w:r w:rsidR="009C32E2">
        <w:rPr>
          <w:rFonts w:ascii="Times New Roman" w:hAnsi="Times New Roman" w:cs="Times New Roman"/>
          <w:sz w:val="24"/>
          <w:szCs w:val="24"/>
        </w:rPr>
        <w:t xml:space="preserve">220 </w:t>
      </w:r>
      <w:r w:rsidR="009C32E2" w:rsidRPr="00A84B19">
        <w:rPr>
          <w:rFonts w:ascii="Times New Roman" w:hAnsi="Times New Roman" w:cs="Times New Roman"/>
          <w:sz w:val="24"/>
          <w:szCs w:val="24"/>
        </w:rPr>
        <w:t>was</w:t>
      </w:r>
      <w:r w:rsidRPr="00A84B19">
        <w:rPr>
          <w:rFonts w:ascii="Times New Roman" w:hAnsi="Times New Roman" w:cs="Times New Roman"/>
          <w:sz w:val="24"/>
          <w:szCs w:val="24"/>
        </w:rPr>
        <w:t xml:space="preserve"> affixed to a greased glass slab to create a smooth grinding surface without bubbles or dirt to avoid damage to thin bone sections.</w:t>
      </w:r>
      <w:r w:rsidR="006A1B65">
        <w:rPr>
          <w:rFonts w:ascii="Times New Roman" w:hAnsi="Times New Roman" w:cs="Times New Roman"/>
          <w:sz w:val="24"/>
          <w:szCs w:val="24"/>
        </w:rPr>
        <w:t xml:space="preserve"> </w:t>
      </w:r>
      <w:r w:rsidR="009C32E2">
        <w:rPr>
          <w:rFonts w:ascii="Times New Roman" w:hAnsi="Times New Roman" w:cs="Times New Roman"/>
          <w:sz w:val="24"/>
          <w:szCs w:val="24"/>
        </w:rPr>
        <w:t xml:space="preserve">A P220 smoother sandpaper was required as bone specimens needed gentler grinding to avoid breaking and scattering of sections. </w:t>
      </w:r>
      <w:r w:rsidR="00EF34F0">
        <w:rPr>
          <w:rFonts w:ascii="Times New Roman" w:hAnsi="Times New Roman" w:cs="Times New Roman"/>
          <w:sz w:val="24"/>
          <w:szCs w:val="24"/>
        </w:rPr>
        <w:t>Glass s</w:t>
      </w:r>
      <w:r w:rsidR="006A1B65">
        <w:rPr>
          <w:rFonts w:ascii="Times New Roman" w:hAnsi="Times New Roman" w:cs="Times New Roman"/>
          <w:sz w:val="24"/>
          <w:szCs w:val="24"/>
        </w:rPr>
        <w:t xml:space="preserve">labs </w:t>
      </w:r>
      <w:r w:rsidR="00687B6D">
        <w:rPr>
          <w:rFonts w:ascii="Times New Roman" w:hAnsi="Times New Roman" w:cs="Times New Roman"/>
          <w:sz w:val="24"/>
          <w:szCs w:val="24"/>
        </w:rPr>
        <w:t>measur</w:t>
      </w:r>
      <w:r w:rsidR="000E5F56">
        <w:rPr>
          <w:rFonts w:ascii="Times New Roman" w:hAnsi="Times New Roman" w:cs="Times New Roman"/>
          <w:sz w:val="24"/>
          <w:szCs w:val="24"/>
        </w:rPr>
        <w:t>ed</w:t>
      </w:r>
      <w:r w:rsidR="00687B6D">
        <w:rPr>
          <w:rFonts w:ascii="Times New Roman" w:hAnsi="Times New Roman" w:cs="Times New Roman"/>
          <w:sz w:val="24"/>
          <w:szCs w:val="24"/>
        </w:rPr>
        <w:t xml:space="preserve"> 30x10cm</w:t>
      </w:r>
      <w:r w:rsidR="00745324">
        <w:rPr>
          <w:rFonts w:ascii="Times New Roman" w:hAnsi="Times New Roman" w:cs="Times New Roman"/>
          <w:sz w:val="24"/>
          <w:szCs w:val="24"/>
        </w:rPr>
        <w:t>,</w:t>
      </w:r>
      <w:r w:rsidR="00687B6D">
        <w:rPr>
          <w:rFonts w:ascii="Times New Roman" w:hAnsi="Times New Roman" w:cs="Times New Roman"/>
          <w:sz w:val="24"/>
          <w:szCs w:val="24"/>
        </w:rPr>
        <w:t xml:space="preserve"> </w:t>
      </w:r>
      <w:r w:rsidR="000E5F56">
        <w:rPr>
          <w:rFonts w:ascii="Times New Roman" w:hAnsi="Times New Roman" w:cs="Times New Roman"/>
          <w:sz w:val="24"/>
          <w:szCs w:val="24"/>
        </w:rPr>
        <w:t xml:space="preserve">and they </w:t>
      </w:r>
      <w:r w:rsidR="006A1B65">
        <w:rPr>
          <w:rFonts w:ascii="Times New Roman" w:hAnsi="Times New Roman" w:cs="Times New Roman"/>
          <w:sz w:val="24"/>
          <w:szCs w:val="24"/>
        </w:rPr>
        <w:t>were greased or coated with Vaseline ointme</w:t>
      </w:r>
      <w:r w:rsidR="000E5F56">
        <w:rPr>
          <w:rFonts w:ascii="Times New Roman" w:hAnsi="Times New Roman" w:cs="Times New Roman"/>
          <w:sz w:val="24"/>
          <w:szCs w:val="24"/>
        </w:rPr>
        <w:t>nt</w:t>
      </w:r>
      <w:r w:rsidR="006A1B65">
        <w:rPr>
          <w:rFonts w:ascii="Times New Roman" w:hAnsi="Times New Roman" w:cs="Times New Roman"/>
          <w:sz w:val="24"/>
          <w:szCs w:val="24"/>
        </w:rPr>
        <w:t>.</w:t>
      </w:r>
    </w:p>
    <w:p w14:paraId="3A7965A3" w14:textId="5435648B"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The bone slices were </w:t>
      </w:r>
      <w:r w:rsidR="00687B6D">
        <w:rPr>
          <w:rFonts w:ascii="Times New Roman" w:hAnsi="Times New Roman" w:cs="Times New Roman"/>
          <w:sz w:val="24"/>
          <w:szCs w:val="24"/>
        </w:rPr>
        <w:t xml:space="preserve">then </w:t>
      </w:r>
      <w:r w:rsidRPr="00A84B19">
        <w:rPr>
          <w:rFonts w:ascii="Times New Roman" w:hAnsi="Times New Roman" w:cs="Times New Roman"/>
          <w:sz w:val="24"/>
          <w:szCs w:val="24"/>
        </w:rPr>
        <w:t xml:space="preserve">placed on </w:t>
      </w:r>
      <w:r w:rsidR="000F33D1">
        <w:rPr>
          <w:rFonts w:ascii="Times New Roman" w:hAnsi="Times New Roman" w:cs="Times New Roman"/>
          <w:sz w:val="24"/>
          <w:szCs w:val="24"/>
        </w:rPr>
        <w:t>a</w:t>
      </w:r>
      <w:r w:rsidRPr="00A84B19">
        <w:rPr>
          <w:rFonts w:ascii="Times New Roman" w:hAnsi="Times New Roman" w:cs="Times New Roman"/>
          <w:sz w:val="24"/>
          <w:szCs w:val="24"/>
        </w:rPr>
        <w:t xml:space="preserve"> </w:t>
      </w:r>
      <w:r w:rsidR="00687B6D">
        <w:rPr>
          <w:rFonts w:ascii="Times New Roman" w:hAnsi="Times New Roman" w:cs="Times New Roman"/>
          <w:sz w:val="24"/>
          <w:szCs w:val="24"/>
        </w:rPr>
        <w:t>glass slab</w:t>
      </w:r>
      <w:r w:rsidRPr="00A84B19">
        <w:rPr>
          <w:rFonts w:ascii="Times New Roman" w:hAnsi="Times New Roman" w:cs="Times New Roman"/>
          <w:sz w:val="24"/>
          <w:szCs w:val="24"/>
        </w:rPr>
        <w:t xml:space="preserve"> and ground </w:t>
      </w:r>
      <w:r w:rsidR="000F33D1">
        <w:rPr>
          <w:rFonts w:ascii="Times New Roman" w:hAnsi="Times New Roman" w:cs="Times New Roman"/>
          <w:sz w:val="24"/>
          <w:szCs w:val="24"/>
        </w:rPr>
        <w:t>gently,</w:t>
      </w:r>
      <w:r w:rsidRPr="00A84B19">
        <w:rPr>
          <w:rFonts w:ascii="Times New Roman" w:hAnsi="Times New Roman" w:cs="Times New Roman"/>
          <w:sz w:val="24"/>
          <w:szCs w:val="24"/>
        </w:rPr>
        <w:t xml:space="preserve"> </w:t>
      </w:r>
      <w:r w:rsidR="00F26E63">
        <w:rPr>
          <w:rFonts w:ascii="Times New Roman" w:hAnsi="Times New Roman" w:cs="Times New Roman"/>
          <w:sz w:val="24"/>
          <w:szCs w:val="24"/>
        </w:rPr>
        <w:t xml:space="preserve">holding the specimen in between the pulp of the thumb and the index finger </w:t>
      </w:r>
      <w:r w:rsidRPr="00A84B19">
        <w:rPr>
          <w:rFonts w:ascii="Times New Roman" w:hAnsi="Times New Roman" w:cs="Times New Roman"/>
          <w:sz w:val="24"/>
          <w:szCs w:val="24"/>
        </w:rPr>
        <w:t>until the desired thickness for microscopy was achieved, periodically checking the thickness.</w:t>
      </w:r>
      <w:r w:rsidR="009A41EE">
        <w:rPr>
          <w:rFonts w:ascii="Times New Roman" w:hAnsi="Times New Roman" w:cs="Times New Roman"/>
          <w:sz w:val="24"/>
          <w:szCs w:val="24"/>
        </w:rPr>
        <w:t xml:space="preserve"> Grinding </w:t>
      </w:r>
      <w:r w:rsidR="00BA47AA">
        <w:rPr>
          <w:rFonts w:ascii="Times New Roman" w:hAnsi="Times New Roman" w:cs="Times New Roman"/>
          <w:sz w:val="24"/>
          <w:szCs w:val="24"/>
        </w:rPr>
        <w:t>wa</w:t>
      </w:r>
      <w:r w:rsidR="009A41EE">
        <w:rPr>
          <w:rFonts w:ascii="Times New Roman" w:hAnsi="Times New Roman" w:cs="Times New Roman"/>
          <w:sz w:val="24"/>
          <w:szCs w:val="24"/>
        </w:rPr>
        <w:t xml:space="preserve">s done until </w:t>
      </w:r>
      <w:r w:rsidR="00745324">
        <w:rPr>
          <w:rFonts w:ascii="Times New Roman" w:hAnsi="Times New Roman" w:cs="Times New Roman"/>
          <w:sz w:val="24"/>
          <w:szCs w:val="24"/>
        </w:rPr>
        <w:t xml:space="preserve">the </w:t>
      </w:r>
      <w:r w:rsidR="009A41EE">
        <w:rPr>
          <w:rFonts w:ascii="Times New Roman" w:hAnsi="Times New Roman" w:cs="Times New Roman"/>
          <w:sz w:val="24"/>
          <w:szCs w:val="24"/>
        </w:rPr>
        <w:t>specimen bec</w:t>
      </w:r>
      <w:r w:rsidR="00240D89">
        <w:rPr>
          <w:rFonts w:ascii="Times New Roman" w:hAnsi="Times New Roman" w:cs="Times New Roman"/>
          <w:sz w:val="24"/>
          <w:szCs w:val="24"/>
        </w:rPr>
        <w:t>a</w:t>
      </w:r>
      <w:r w:rsidR="009A41EE">
        <w:rPr>
          <w:rFonts w:ascii="Times New Roman" w:hAnsi="Times New Roman" w:cs="Times New Roman"/>
          <w:sz w:val="24"/>
          <w:szCs w:val="24"/>
        </w:rPr>
        <w:t>me translucent and easily bendable</w:t>
      </w:r>
      <w:r w:rsidR="00240D89">
        <w:rPr>
          <w:rFonts w:ascii="Times New Roman" w:hAnsi="Times New Roman" w:cs="Times New Roman"/>
          <w:sz w:val="24"/>
          <w:szCs w:val="24"/>
        </w:rPr>
        <w:t>,</w:t>
      </w:r>
      <w:r w:rsidR="009A41EE">
        <w:rPr>
          <w:rFonts w:ascii="Times New Roman" w:hAnsi="Times New Roman" w:cs="Times New Roman"/>
          <w:sz w:val="24"/>
          <w:szCs w:val="24"/>
        </w:rPr>
        <w:t xml:space="preserve"> simultaneously using Frost’s holder when necessary to achieve sections less than 20 to 30 microns.</w:t>
      </w:r>
    </w:p>
    <w:p w14:paraId="62302CCF" w14:textId="55516AC8"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Slides were washed regularly with water during grinding to remove debris. Ground bone slices were thoroughly cleaned with liquid soap and rinsed with </w:t>
      </w:r>
      <w:r w:rsidR="00D37C58">
        <w:rPr>
          <w:rFonts w:ascii="Times New Roman" w:hAnsi="Times New Roman" w:cs="Times New Roman"/>
          <w:sz w:val="24"/>
          <w:szCs w:val="24"/>
        </w:rPr>
        <w:t>distil</w:t>
      </w:r>
      <w:r w:rsidR="00240D89">
        <w:rPr>
          <w:rFonts w:ascii="Times New Roman" w:hAnsi="Times New Roman" w:cs="Times New Roman"/>
          <w:sz w:val="24"/>
          <w:szCs w:val="24"/>
        </w:rPr>
        <w:t>led</w:t>
      </w:r>
      <w:r w:rsidRPr="00A84B19">
        <w:rPr>
          <w:rFonts w:ascii="Times New Roman" w:hAnsi="Times New Roman" w:cs="Times New Roman"/>
          <w:sz w:val="24"/>
          <w:szCs w:val="24"/>
        </w:rPr>
        <w:t xml:space="preserve"> water to remove particles.</w:t>
      </w:r>
    </w:p>
    <w:p w14:paraId="2032809D" w14:textId="77777777" w:rsidR="00745324" w:rsidRDefault="009448C6"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 xml:space="preserve">Mounting and </w:t>
      </w:r>
      <w:r w:rsidR="00745324">
        <w:rPr>
          <w:rFonts w:ascii="Times New Roman" w:hAnsi="Times New Roman" w:cs="Times New Roman"/>
          <w:b/>
          <w:bCs/>
          <w:sz w:val="24"/>
          <w:szCs w:val="24"/>
        </w:rPr>
        <w:t>microscopy</w:t>
      </w:r>
    </w:p>
    <w:p w14:paraId="26CE46B7" w14:textId="492FB92C"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 </w:t>
      </w:r>
      <w:r w:rsidR="00745324">
        <w:rPr>
          <w:rFonts w:ascii="Times New Roman" w:hAnsi="Times New Roman" w:cs="Times New Roman"/>
          <w:sz w:val="24"/>
          <w:szCs w:val="24"/>
        </w:rPr>
        <w:t>S</w:t>
      </w:r>
      <w:r w:rsidRPr="00A84B19">
        <w:rPr>
          <w:rFonts w:ascii="Times New Roman" w:hAnsi="Times New Roman" w:cs="Times New Roman"/>
          <w:sz w:val="24"/>
          <w:szCs w:val="24"/>
        </w:rPr>
        <w:t xml:space="preserve">pecimens were mounted on clean </w:t>
      </w:r>
      <w:r w:rsidR="00D80C0F">
        <w:rPr>
          <w:rFonts w:ascii="Times New Roman" w:hAnsi="Times New Roman" w:cs="Times New Roman"/>
          <w:sz w:val="24"/>
          <w:szCs w:val="24"/>
        </w:rPr>
        <w:t xml:space="preserve">glass </w:t>
      </w:r>
      <w:r w:rsidRPr="00A84B19">
        <w:rPr>
          <w:rFonts w:ascii="Times New Roman" w:hAnsi="Times New Roman" w:cs="Times New Roman"/>
          <w:sz w:val="24"/>
          <w:szCs w:val="24"/>
        </w:rPr>
        <w:t xml:space="preserve">slides </w:t>
      </w:r>
      <w:r w:rsidR="00D80C0F">
        <w:rPr>
          <w:rFonts w:ascii="Times New Roman" w:hAnsi="Times New Roman" w:cs="Times New Roman"/>
          <w:sz w:val="24"/>
          <w:szCs w:val="24"/>
        </w:rPr>
        <w:t>using</w:t>
      </w:r>
      <w:r w:rsidRPr="00A84B19">
        <w:rPr>
          <w:rFonts w:ascii="Times New Roman" w:hAnsi="Times New Roman" w:cs="Times New Roman"/>
          <w:sz w:val="24"/>
          <w:szCs w:val="24"/>
        </w:rPr>
        <w:t xml:space="preserve"> DPX mounting medium and cover slips. </w:t>
      </w:r>
      <w:r w:rsidR="00D80C0F">
        <w:rPr>
          <w:rFonts w:ascii="Times New Roman" w:hAnsi="Times New Roman" w:cs="Times New Roman"/>
          <w:sz w:val="24"/>
          <w:szCs w:val="24"/>
        </w:rPr>
        <w:t>Specimen s</w:t>
      </w:r>
      <w:r w:rsidRPr="00A84B19">
        <w:rPr>
          <w:rFonts w:ascii="Times New Roman" w:hAnsi="Times New Roman" w:cs="Times New Roman"/>
          <w:sz w:val="24"/>
          <w:szCs w:val="24"/>
        </w:rPr>
        <w:t xml:space="preserve">lides were </w:t>
      </w:r>
      <w:r w:rsidR="00D80C0F">
        <w:rPr>
          <w:rFonts w:ascii="Times New Roman" w:hAnsi="Times New Roman" w:cs="Times New Roman"/>
          <w:sz w:val="24"/>
          <w:szCs w:val="24"/>
        </w:rPr>
        <w:t xml:space="preserve">then </w:t>
      </w:r>
      <w:r w:rsidRPr="00A84B19">
        <w:rPr>
          <w:rFonts w:ascii="Times New Roman" w:hAnsi="Times New Roman" w:cs="Times New Roman"/>
          <w:sz w:val="24"/>
          <w:szCs w:val="24"/>
        </w:rPr>
        <w:t xml:space="preserve">placed on a glass slab with a black medium beneath to enhance image contrast and allowed to dry for 48 h. Prepared slides were </w:t>
      </w:r>
      <w:r w:rsidR="00D80C0F">
        <w:rPr>
          <w:rFonts w:ascii="Times New Roman" w:hAnsi="Times New Roman" w:cs="Times New Roman"/>
          <w:sz w:val="24"/>
          <w:szCs w:val="24"/>
        </w:rPr>
        <w:t xml:space="preserve">then </w:t>
      </w:r>
      <w:r w:rsidRPr="00A84B19">
        <w:rPr>
          <w:rFonts w:ascii="Times New Roman" w:hAnsi="Times New Roman" w:cs="Times New Roman"/>
          <w:sz w:val="24"/>
          <w:szCs w:val="24"/>
        </w:rPr>
        <w:t xml:space="preserve">observed </w:t>
      </w:r>
      <w:r w:rsidR="00D80C0F">
        <w:rPr>
          <w:rFonts w:ascii="Times New Roman" w:hAnsi="Times New Roman" w:cs="Times New Roman"/>
          <w:sz w:val="24"/>
          <w:szCs w:val="24"/>
        </w:rPr>
        <w:t xml:space="preserve">and photographed </w:t>
      </w:r>
      <w:r w:rsidRPr="00A84B19">
        <w:rPr>
          <w:rFonts w:ascii="Times New Roman" w:hAnsi="Times New Roman" w:cs="Times New Roman"/>
          <w:sz w:val="24"/>
          <w:szCs w:val="24"/>
        </w:rPr>
        <w:t xml:space="preserve">under </w:t>
      </w:r>
      <w:r w:rsidR="00D80C0F">
        <w:rPr>
          <w:rFonts w:ascii="Times New Roman" w:hAnsi="Times New Roman" w:cs="Times New Roman"/>
          <w:sz w:val="24"/>
          <w:szCs w:val="24"/>
        </w:rPr>
        <w:t xml:space="preserve">Leica 50E </w:t>
      </w:r>
      <w:r w:rsidRPr="00A84B19">
        <w:rPr>
          <w:rFonts w:ascii="Times New Roman" w:hAnsi="Times New Roman" w:cs="Times New Roman"/>
          <w:sz w:val="24"/>
          <w:szCs w:val="24"/>
        </w:rPr>
        <w:t>p</w:t>
      </w:r>
      <w:r w:rsidR="00D80C0F">
        <w:rPr>
          <w:rFonts w:ascii="Times New Roman" w:hAnsi="Times New Roman" w:cs="Times New Roman"/>
          <w:sz w:val="24"/>
          <w:szCs w:val="24"/>
        </w:rPr>
        <w:t>hotomicroscope</w:t>
      </w:r>
      <w:r w:rsidRPr="00A84B19">
        <w:rPr>
          <w:rFonts w:ascii="Times New Roman" w:hAnsi="Times New Roman" w:cs="Times New Roman"/>
          <w:sz w:val="24"/>
          <w:szCs w:val="24"/>
        </w:rPr>
        <w:t>.</w:t>
      </w:r>
    </w:p>
    <w:p w14:paraId="7730920F" w14:textId="77777777" w:rsidR="001662DF" w:rsidRDefault="001662DF" w:rsidP="00A84B19">
      <w:pPr>
        <w:spacing w:line="480" w:lineRule="auto"/>
        <w:jc w:val="both"/>
        <w:rPr>
          <w:rFonts w:ascii="Times New Roman" w:hAnsi="Times New Roman" w:cs="Times New Roman"/>
          <w:b/>
          <w:bCs/>
          <w:sz w:val="24"/>
          <w:szCs w:val="24"/>
        </w:rPr>
      </w:pPr>
    </w:p>
    <w:p w14:paraId="0EAF032E" w14:textId="77777777" w:rsidR="001662DF" w:rsidRDefault="001662DF" w:rsidP="00A84B19">
      <w:pPr>
        <w:spacing w:line="480" w:lineRule="auto"/>
        <w:jc w:val="both"/>
        <w:rPr>
          <w:rFonts w:ascii="Times New Roman" w:hAnsi="Times New Roman" w:cs="Times New Roman"/>
          <w:b/>
          <w:bCs/>
          <w:sz w:val="24"/>
          <w:szCs w:val="24"/>
        </w:rPr>
      </w:pPr>
    </w:p>
    <w:p w14:paraId="5679128B" w14:textId="77777777" w:rsidR="001662DF" w:rsidRDefault="001662DF" w:rsidP="00A84B19">
      <w:pPr>
        <w:spacing w:line="480" w:lineRule="auto"/>
        <w:jc w:val="both"/>
        <w:rPr>
          <w:rFonts w:ascii="Times New Roman" w:hAnsi="Times New Roman" w:cs="Times New Roman"/>
          <w:b/>
          <w:bCs/>
          <w:sz w:val="24"/>
          <w:szCs w:val="24"/>
        </w:rPr>
      </w:pPr>
    </w:p>
    <w:p w14:paraId="5CBB57EF" w14:textId="50BB25F8" w:rsidR="006C6574" w:rsidRPr="00A84B19" w:rsidRDefault="001662DF" w:rsidP="00A84B19">
      <w:pPr>
        <w:spacing w:line="48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lastRenderedPageBreak/>
        <w:t>Histomorphometric</w:t>
      </w:r>
      <w:proofErr w:type="spellEnd"/>
      <w:r w:rsidR="009448C6" w:rsidRPr="00A84B19">
        <w:rPr>
          <w:rFonts w:ascii="Times New Roman" w:hAnsi="Times New Roman" w:cs="Times New Roman"/>
          <w:b/>
          <w:bCs/>
          <w:sz w:val="24"/>
          <w:szCs w:val="24"/>
        </w:rPr>
        <w:t xml:space="preserve"> Analysis</w:t>
      </w:r>
    </w:p>
    <w:p w14:paraId="527BAFC0" w14:textId="0EBFF3F8"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Microscopic images were analyzed using ImageJ for quantitative parameters, including primary osteon</w:t>
      </w:r>
      <w:r w:rsidR="001662DF">
        <w:rPr>
          <w:rFonts w:ascii="Times New Roman" w:hAnsi="Times New Roman" w:cs="Times New Roman"/>
          <w:sz w:val="24"/>
          <w:szCs w:val="24"/>
        </w:rPr>
        <w:t xml:space="preserve">s and </w:t>
      </w:r>
      <w:r w:rsidRPr="00A84B19">
        <w:rPr>
          <w:rFonts w:ascii="Times New Roman" w:hAnsi="Times New Roman" w:cs="Times New Roman"/>
          <w:sz w:val="24"/>
          <w:szCs w:val="24"/>
        </w:rPr>
        <w:t>secondary osteon</w:t>
      </w:r>
      <w:r w:rsidR="001662DF">
        <w:rPr>
          <w:rFonts w:ascii="Times New Roman" w:hAnsi="Times New Roman" w:cs="Times New Roman"/>
          <w:sz w:val="24"/>
          <w:szCs w:val="24"/>
        </w:rPr>
        <w:t>s</w:t>
      </w:r>
      <w:r w:rsidRPr="00A84B19">
        <w:rPr>
          <w:rFonts w:ascii="Times New Roman" w:hAnsi="Times New Roman" w:cs="Times New Roman"/>
          <w:sz w:val="24"/>
          <w:szCs w:val="24"/>
        </w:rPr>
        <w:t>, mean Haversian canal diameter (µm), osteon fragment</w:t>
      </w:r>
      <w:r w:rsidR="001662DF">
        <w:rPr>
          <w:rFonts w:ascii="Times New Roman" w:hAnsi="Times New Roman" w:cs="Times New Roman"/>
          <w:sz w:val="24"/>
          <w:szCs w:val="24"/>
        </w:rPr>
        <w:t xml:space="preserve"> count</w:t>
      </w:r>
      <w:r w:rsidRPr="00A84B19">
        <w:rPr>
          <w:rFonts w:ascii="Times New Roman" w:hAnsi="Times New Roman" w:cs="Times New Roman"/>
          <w:sz w:val="24"/>
          <w:szCs w:val="24"/>
        </w:rPr>
        <w:t xml:space="preserve">, and maximum osteon diameter (µm). Measurements </w:t>
      </w:r>
      <w:r w:rsidR="00A03292">
        <w:rPr>
          <w:rFonts w:ascii="Times New Roman" w:hAnsi="Times New Roman" w:cs="Times New Roman"/>
          <w:sz w:val="24"/>
          <w:szCs w:val="24"/>
        </w:rPr>
        <w:t xml:space="preserve">and osteon counts </w:t>
      </w:r>
      <w:r w:rsidRPr="00A84B19">
        <w:rPr>
          <w:rFonts w:ascii="Times New Roman" w:hAnsi="Times New Roman" w:cs="Times New Roman"/>
          <w:sz w:val="24"/>
          <w:szCs w:val="24"/>
        </w:rPr>
        <w:t xml:space="preserve">were taken from </w:t>
      </w:r>
      <w:r w:rsidR="00A03292">
        <w:rPr>
          <w:rFonts w:ascii="Times New Roman" w:hAnsi="Times New Roman" w:cs="Times New Roman"/>
          <w:sz w:val="24"/>
          <w:szCs w:val="24"/>
        </w:rPr>
        <w:t>four</w:t>
      </w:r>
      <w:r w:rsidRPr="00A84B19">
        <w:rPr>
          <w:rFonts w:ascii="Times New Roman" w:hAnsi="Times New Roman" w:cs="Times New Roman"/>
          <w:sz w:val="24"/>
          <w:szCs w:val="24"/>
        </w:rPr>
        <w:t xml:space="preserve"> microscopic fields</w:t>
      </w:r>
      <w:r w:rsidR="00A03292">
        <w:rPr>
          <w:rFonts w:ascii="Times New Roman" w:hAnsi="Times New Roman" w:cs="Times New Roman"/>
          <w:sz w:val="24"/>
          <w:szCs w:val="24"/>
        </w:rPr>
        <w:t xml:space="preserve"> (anterior, posterior, lateral</w:t>
      </w:r>
      <w:r w:rsidR="00910555">
        <w:rPr>
          <w:rFonts w:ascii="Times New Roman" w:hAnsi="Times New Roman" w:cs="Times New Roman"/>
          <w:sz w:val="24"/>
          <w:szCs w:val="24"/>
        </w:rPr>
        <w:t>,</w:t>
      </w:r>
      <w:r w:rsidR="00A03292">
        <w:rPr>
          <w:rFonts w:ascii="Times New Roman" w:hAnsi="Times New Roman" w:cs="Times New Roman"/>
          <w:sz w:val="24"/>
          <w:szCs w:val="24"/>
        </w:rPr>
        <w:t xml:space="preserve"> and medial)</w:t>
      </w:r>
      <w:r w:rsidRPr="00A84B19">
        <w:rPr>
          <w:rFonts w:ascii="Times New Roman" w:hAnsi="Times New Roman" w:cs="Times New Roman"/>
          <w:sz w:val="24"/>
          <w:szCs w:val="24"/>
        </w:rPr>
        <w:t xml:space="preserve"> per slide and </w:t>
      </w:r>
      <w:r w:rsidR="00A03292">
        <w:rPr>
          <w:rFonts w:ascii="Times New Roman" w:hAnsi="Times New Roman" w:cs="Times New Roman"/>
          <w:sz w:val="24"/>
          <w:szCs w:val="24"/>
        </w:rPr>
        <w:t>summed to</w:t>
      </w:r>
      <w:r w:rsidRPr="00A84B19">
        <w:rPr>
          <w:rFonts w:ascii="Times New Roman" w:hAnsi="Times New Roman" w:cs="Times New Roman"/>
          <w:sz w:val="24"/>
          <w:szCs w:val="24"/>
        </w:rPr>
        <w:t xml:space="preserve"> represent each specimen</w:t>
      </w:r>
      <w:r w:rsidR="00910555">
        <w:rPr>
          <w:rFonts w:ascii="Times New Roman" w:hAnsi="Times New Roman" w:cs="Times New Roman"/>
          <w:sz w:val="24"/>
          <w:szCs w:val="24"/>
        </w:rPr>
        <w:t>,</w:t>
      </w:r>
      <w:r w:rsidR="00A03292">
        <w:rPr>
          <w:rFonts w:ascii="Times New Roman" w:hAnsi="Times New Roman" w:cs="Times New Roman"/>
          <w:sz w:val="24"/>
          <w:szCs w:val="24"/>
        </w:rPr>
        <w:t xml:space="preserve"> except for HCD and Maximum </w:t>
      </w:r>
      <w:r w:rsidR="00AB603D">
        <w:rPr>
          <w:rFonts w:ascii="Times New Roman" w:hAnsi="Times New Roman" w:cs="Times New Roman"/>
          <w:sz w:val="24"/>
          <w:szCs w:val="24"/>
        </w:rPr>
        <w:t xml:space="preserve">osteon </w:t>
      </w:r>
      <w:r w:rsidR="00A03292">
        <w:rPr>
          <w:rFonts w:ascii="Times New Roman" w:hAnsi="Times New Roman" w:cs="Times New Roman"/>
          <w:sz w:val="24"/>
          <w:szCs w:val="24"/>
        </w:rPr>
        <w:t>diameter, where an average score was taken.</w:t>
      </w:r>
      <w:r w:rsidR="00116E8D">
        <w:rPr>
          <w:rFonts w:ascii="Times New Roman" w:hAnsi="Times New Roman" w:cs="Times New Roman"/>
          <w:sz w:val="24"/>
          <w:szCs w:val="24"/>
        </w:rPr>
        <w:t xml:space="preserve"> Other parameters</w:t>
      </w:r>
      <w:r w:rsidR="00910555">
        <w:rPr>
          <w:rFonts w:ascii="Times New Roman" w:hAnsi="Times New Roman" w:cs="Times New Roman"/>
          <w:sz w:val="24"/>
          <w:szCs w:val="24"/>
        </w:rPr>
        <w:t xml:space="preserve">, </w:t>
      </w:r>
      <w:r w:rsidR="006176B3">
        <w:rPr>
          <w:rFonts w:ascii="Times New Roman" w:hAnsi="Times New Roman" w:cs="Times New Roman"/>
          <w:sz w:val="24"/>
          <w:szCs w:val="24"/>
        </w:rPr>
        <w:t>such as</w:t>
      </w:r>
      <w:r w:rsidR="00116E8D">
        <w:rPr>
          <w:rFonts w:ascii="Times New Roman" w:hAnsi="Times New Roman" w:cs="Times New Roman"/>
          <w:sz w:val="24"/>
          <w:szCs w:val="24"/>
        </w:rPr>
        <w:t xml:space="preserve"> OS/OF ratios and Osteon Fragmentation Index (OFI) were derived from the data obtained.</w:t>
      </w:r>
      <w:r w:rsidR="00E463F5">
        <w:rPr>
          <w:rFonts w:ascii="Times New Roman" w:hAnsi="Times New Roman" w:cs="Times New Roman"/>
          <w:sz w:val="24"/>
          <w:szCs w:val="24"/>
        </w:rPr>
        <w:t xml:space="preserve"> OFI was calculated by dividing the total count of osteon fragments by the sum of the total count of secondary and primary osteons.</w:t>
      </w:r>
      <w:r w:rsidR="00A16B2F">
        <w:rPr>
          <w:rFonts w:ascii="Times New Roman" w:hAnsi="Times New Roman" w:cs="Times New Roman"/>
          <w:sz w:val="24"/>
          <w:szCs w:val="24"/>
        </w:rPr>
        <w:t xml:space="preserve"> Maximum osteon diameter (</w:t>
      </w:r>
      <w:proofErr w:type="spellStart"/>
      <w:r w:rsidR="00A16B2F">
        <w:rPr>
          <w:rFonts w:ascii="Times New Roman" w:hAnsi="Times New Roman" w:cs="Times New Roman"/>
          <w:sz w:val="24"/>
          <w:szCs w:val="24"/>
        </w:rPr>
        <w:t>MaxOD</w:t>
      </w:r>
      <w:proofErr w:type="spellEnd"/>
      <w:r w:rsidR="00A16B2F">
        <w:rPr>
          <w:rFonts w:ascii="Times New Roman" w:hAnsi="Times New Roman" w:cs="Times New Roman"/>
          <w:sz w:val="24"/>
          <w:szCs w:val="24"/>
        </w:rPr>
        <w:t xml:space="preserve">) was obtained by measuring the widest diameter across the osteons. OS/OF ratio scores </w:t>
      </w:r>
      <w:proofErr w:type="gramStart"/>
      <w:r w:rsidR="00A16B2F">
        <w:rPr>
          <w:rFonts w:ascii="Times New Roman" w:hAnsi="Times New Roman" w:cs="Times New Roman"/>
          <w:sz w:val="24"/>
          <w:szCs w:val="24"/>
        </w:rPr>
        <w:t>is</w:t>
      </w:r>
      <w:proofErr w:type="gramEnd"/>
      <w:r w:rsidR="00A16B2F">
        <w:rPr>
          <w:rFonts w:ascii="Times New Roman" w:hAnsi="Times New Roman" w:cs="Times New Roman"/>
          <w:sz w:val="24"/>
          <w:szCs w:val="24"/>
        </w:rPr>
        <w:t xml:space="preserve"> used to assess the remodeling rates across each bone.</w:t>
      </w:r>
    </w:p>
    <w:p w14:paraId="0725B613" w14:textId="77777777" w:rsidR="00EC354D" w:rsidRDefault="00EC354D" w:rsidP="00A84B19">
      <w:pPr>
        <w:spacing w:line="480" w:lineRule="auto"/>
        <w:jc w:val="both"/>
        <w:rPr>
          <w:rFonts w:ascii="Times New Roman" w:hAnsi="Times New Roman" w:cs="Times New Roman"/>
          <w:b/>
          <w:bCs/>
          <w:sz w:val="24"/>
          <w:szCs w:val="24"/>
        </w:rPr>
      </w:pPr>
    </w:p>
    <w:p w14:paraId="44070856" w14:textId="059D85E1"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Data Presentation and Analysis</w:t>
      </w:r>
    </w:p>
    <w:p w14:paraId="6E122759" w14:textId="7F1D3D90"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Data were presented as mean ± standard deviation (SD). Statistical analyses were conducted using SPSS (version 25). Independent-samples </w:t>
      </w:r>
      <w:r w:rsidRPr="00A84B19">
        <w:rPr>
          <w:rFonts w:ascii="Times New Roman" w:hAnsi="Times New Roman" w:cs="Times New Roman"/>
          <w:i/>
          <w:iCs/>
          <w:sz w:val="24"/>
          <w:szCs w:val="24"/>
        </w:rPr>
        <w:t>t</w:t>
      </w:r>
      <w:r w:rsidRPr="00A84B19">
        <w:rPr>
          <w:rFonts w:ascii="Times New Roman" w:hAnsi="Times New Roman" w:cs="Times New Roman"/>
          <w:sz w:val="24"/>
          <w:szCs w:val="24"/>
        </w:rPr>
        <w:t xml:space="preserve"> tests were used to compare mean values between short and flat bones</w:t>
      </w:r>
      <w:r w:rsidR="00EC354D">
        <w:rPr>
          <w:rFonts w:ascii="Times New Roman" w:hAnsi="Times New Roman" w:cs="Times New Roman"/>
          <w:sz w:val="24"/>
          <w:szCs w:val="24"/>
        </w:rPr>
        <w:t>,</w:t>
      </w:r>
      <w:r w:rsidR="00EC354D" w:rsidRPr="00EC354D">
        <w:t xml:space="preserve"> </w:t>
      </w:r>
      <w:r w:rsidR="00EC354D" w:rsidRPr="00EC354D">
        <w:rPr>
          <w:rFonts w:ascii="Times New Roman" w:hAnsi="Times New Roman" w:cs="Times New Roman"/>
          <w:sz w:val="24"/>
          <w:szCs w:val="24"/>
        </w:rPr>
        <w:t>with p &lt; 0.05 considered statistically significant</w:t>
      </w:r>
      <w:r w:rsidRPr="00A84B19">
        <w:rPr>
          <w:rFonts w:ascii="Times New Roman" w:hAnsi="Times New Roman" w:cs="Times New Roman"/>
          <w:sz w:val="24"/>
          <w:szCs w:val="24"/>
        </w:rPr>
        <w:t xml:space="preserve">.  </w:t>
      </w:r>
    </w:p>
    <w:p w14:paraId="0CFD17E7" w14:textId="648AAFB0" w:rsidR="009448C6" w:rsidRDefault="009448C6" w:rsidP="00A84B19">
      <w:pPr>
        <w:spacing w:line="480" w:lineRule="auto"/>
        <w:jc w:val="both"/>
        <w:rPr>
          <w:rFonts w:ascii="Times New Roman" w:hAnsi="Times New Roman" w:cs="Times New Roman"/>
          <w:sz w:val="24"/>
          <w:szCs w:val="24"/>
        </w:rPr>
      </w:pPr>
    </w:p>
    <w:p w14:paraId="00B7567E" w14:textId="77777777" w:rsidR="005E3A79" w:rsidRDefault="005E3A79" w:rsidP="00A84B19">
      <w:pPr>
        <w:spacing w:line="480" w:lineRule="auto"/>
        <w:jc w:val="both"/>
        <w:rPr>
          <w:rFonts w:ascii="Times New Roman" w:hAnsi="Times New Roman" w:cs="Times New Roman"/>
          <w:sz w:val="24"/>
          <w:szCs w:val="24"/>
        </w:rPr>
      </w:pPr>
    </w:p>
    <w:p w14:paraId="3AF5A639" w14:textId="77777777" w:rsidR="005E3A79" w:rsidRDefault="005E3A79" w:rsidP="00A84B19">
      <w:pPr>
        <w:spacing w:line="480" w:lineRule="auto"/>
        <w:jc w:val="both"/>
        <w:rPr>
          <w:rFonts w:ascii="Times New Roman" w:hAnsi="Times New Roman" w:cs="Times New Roman"/>
          <w:sz w:val="24"/>
          <w:szCs w:val="24"/>
        </w:rPr>
      </w:pPr>
    </w:p>
    <w:p w14:paraId="26A43DC0" w14:textId="77777777" w:rsidR="005E3A79" w:rsidRDefault="005E3A79" w:rsidP="00A84B19">
      <w:pPr>
        <w:spacing w:line="480" w:lineRule="auto"/>
        <w:jc w:val="both"/>
        <w:rPr>
          <w:rFonts w:ascii="Times New Roman" w:hAnsi="Times New Roman" w:cs="Times New Roman"/>
          <w:sz w:val="24"/>
          <w:szCs w:val="24"/>
        </w:rPr>
      </w:pPr>
    </w:p>
    <w:p w14:paraId="2000B6DB" w14:textId="77777777" w:rsidR="002A57ED" w:rsidRPr="00A84B19" w:rsidRDefault="002A57ED" w:rsidP="00A84B19">
      <w:pPr>
        <w:spacing w:line="480" w:lineRule="auto"/>
        <w:jc w:val="both"/>
        <w:rPr>
          <w:rFonts w:ascii="Times New Roman" w:hAnsi="Times New Roman" w:cs="Times New Roman"/>
          <w:sz w:val="24"/>
          <w:szCs w:val="24"/>
        </w:rPr>
      </w:pPr>
    </w:p>
    <w:p w14:paraId="3782EAAC" w14:textId="44201275" w:rsidR="009448C6" w:rsidRPr="00A84B19" w:rsidRDefault="00A84B19" w:rsidP="00A84B19">
      <w:pPr>
        <w:spacing w:line="480" w:lineRule="auto"/>
        <w:jc w:val="both"/>
        <w:rPr>
          <w:rFonts w:ascii="Times New Roman" w:hAnsi="Times New Roman" w:cs="Times New Roman"/>
          <w:b/>
          <w:sz w:val="24"/>
          <w:szCs w:val="24"/>
        </w:rPr>
      </w:pPr>
      <w:r w:rsidRPr="00A84B19">
        <w:rPr>
          <w:rFonts w:ascii="Times New Roman" w:hAnsi="Times New Roman" w:cs="Times New Roman"/>
          <w:b/>
          <w:sz w:val="24"/>
          <w:szCs w:val="24"/>
        </w:rPr>
        <w:lastRenderedPageBreak/>
        <w:t>RESULTS</w:t>
      </w:r>
    </w:p>
    <w:p w14:paraId="304C47CC" w14:textId="223788EB" w:rsidR="009448C6" w:rsidRPr="00A84B19" w:rsidRDefault="009448C6" w:rsidP="00686A92">
      <w:pPr>
        <w:spacing w:line="480" w:lineRule="auto"/>
        <w:jc w:val="center"/>
        <w:rPr>
          <w:rFonts w:ascii="Times New Roman" w:hAnsi="Times New Roman" w:cs="Times New Roman"/>
          <w:b/>
          <w:bCs/>
          <w:sz w:val="24"/>
          <w:szCs w:val="24"/>
        </w:rPr>
      </w:pPr>
      <w:r w:rsidRPr="00A84B19">
        <w:rPr>
          <w:rFonts w:ascii="Times New Roman" w:hAnsi="Times New Roman" w:cs="Times New Roman"/>
          <w:b/>
          <w:bCs/>
          <w:sz w:val="24"/>
          <w:szCs w:val="24"/>
        </w:rPr>
        <w:t>Table 1</w:t>
      </w:r>
      <w:r w:rsidR="00993A14" w:rsidRPr="00A84B19">
        <w:rPr>
          <w:rFonts w:ascii="Times New Roman" w:hAnsi="Times New Roman" w:cs="Times New Roman"/>
          <w:b/>
          <w:bCs/>
          <w:sz w:val="24"/>
          <w:szCs w:val="24"/>
        </w:rPr>
        <w:t xml:space="preserve">: </w:t>
      </w:r>
      <w:proofErr w:type="spellStart"/>
      <w:r w:rsidRPr="00A84B19">
        <w:rPr>
          <w:rFonts w:ascii="Times New Roman" w:hAnsi="Times New Roman" w:cs="Times New Roman"/>
          <w:sz w:val="24"/>
          <w:szCs w:val="24"/>
        </w:rPr>
        <w:t>Histomorphometric</w:t>
      </w:r>
      <w:proofErr w:type="spellEnd"/>
      <w:r w:rsidRPr="00A84B19">
        <w:rPr>
          <w:rFonts w:ascii="Times New Roman" w:hAnsi="Times New Roman" w:cs="Times New Roman"/>
          <w:sz w:val="24"/>
          <w:szCs w:val="24"/>
        </w:rPr>
        <w:t xml:space="preserve"> Parameters of Rib, Sternal </w:t>
      </w:r>
      <w:r w:rsidR="00143C99" w:rsidRPr="00A84B19">
        <w:rPr>
          <w:rFonts w:ascii="Times New Roman" w:hAnsi="Times New Roman" w:cs="Times New Roman"/>
          <w:sz w:val="24"/>
          <w:szCs w:val="24"/>
        </w:rPr>
        <w:t xml:space="preserve">and Tarsal </w:t>
      </w:r>
      <w:r w:rsidRPr="00A84B19">
        <w:rPr>
          <w:rFonts w:ascii="Times New Roman" w:hAnsi="Times New Roman" w:cs="Times New Roman"/>
          <w:sz w:val="24"/>
          <w:szCs w:val="24"/>
        </w:rPr>
        <w:t>Bones</w:t>
      </w:r>
    </w:p>
    <w:tbl>
      <w:tblPr>
        <w:tblStyle w:val="TableGrid"/>
        <w:tblW w:w="0" w:type="auto"/>
        <w:tblLook w:val="04A0" w:firstRow="1" w:lastRow="0" w:firstColumn="1" w:lastColumn="0" w:noHBand="0" w:noVBand="1"/>
      </w:tblPr>
      <w:tblGrid>
        <w:gridCol w:w="1203"/>
        <w:gridCol w:w="493"/>
        <w:gridCol w:w="1560"/>
        <w:gridCol w:w="1559"/>
        <w:gridCol w:w="1417"/>
        <w:gridCol w:w="1701"/>
        <w:gridCol w:w="1417"/>
      </w:tblGrid>
      <w:tr w:rsidR="00993A14" w:rsidRPr="00A84B19" w14:paraId="618372D5" w14:textId="77777777" w:rsidTr="00B764E9">
        <w:tc>
          <w:tcPr>
            <w:tcW w:w="1203" w:type="dxa"/>
          </w:tcPr>
          <w:p w14:paraId="1E2DE55E" w14:textId="07793D0B" w:rsidR="00993A14" w:rsidRPr="00A84B19" w:rsidRDefault="00993A14" w:rsidP="00B764E9">
            <w:pPr>
              <w:spacing w:line="276" w:lineRule="auto"/>
              <w:jc w:val="both"/>
              <w:rPr>
                <w:rFonts w:ascii="Times New Roman" w:hAnsi="Times New Roman" w:cs="Times New Roman"/>
                <w:sz w:val="24"/>
                <w:szCs w:val="24"/>
              </w:rPr>
            </w:pPr>
            <w:r w:rsidRPr="00A84B19">
              <w:rPr>
                <w:rFonts w:ascii="Times New Roman" w:hAnsi="Times New Roman" w:cs="Times New Roman"/>
                <w:b/>
                <w:bCs/>
                <w:sz w:val="24"/>
                <w:szCs w:val="24"/>
              </w:rPr>
              <w:t>Bone Type</w:t>
            </w:r>
          </w:p>
        </w:tc>
        <w:tc>
          <w:tcPr>
            <w:tcW w:w="493" w:type="dxa"/>
          </w:tcPr>
          <w:p w14:paraId="61C51260" w14:textId="512793E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N</w:t>
            </w:r>
          </w:p>
        </w:tc>
        <w:tc>
          <w:tcPr>
            <w:tcW w:w="1560" w:type="dxa"/>
          </w:tcPr>
          <w:p w14:paraId="605ED4CD" w14:textId="7662EF7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OS </w:t>
            </w:r>
            <w:r w:rsidRPr="002E1AED">
              <w:rPr>
                <w:rFonts w:ascii="Times New Roman" w:hAnsi="Times New Roman" w:cs="Times New Roman"/>
                <w:b/>
                <w:bCs/>
              </w:rPr>
              <w:t>(Mean ± SEM)</w:t>
            </w:r>
          </w:p>
        </w:tc>
        <w:tc>
          <w:tcPr>
            <w:tcW w:w="1559" w:type="dxa"/>
          </w:tcPr>
          <w:p w14:paraId="311693D7" w14:textId="4C8AB36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OP </w:t>
            </w:r>
            <w:r w:rsidRPr="002E1AED">
              <w:rPr>
                <w:rFonts w:ascii="Times New Roman" w:hAnsi="Times New Roman" w:cs="Times New Roman"/>
                <w:b/>
                <w:bCs/>
              </w:rPr>
              <w:t>(Mean ± SEM)</w:t>
            </w:r>
          </w:p>
        </w:tc>
        <w:tc>
          <w:tcPr>
            <w:tcW w:w="1417" w:type="dxa"/>
          </w:tcPr>
          <w:p w14:paraId="4A327100" w14:textId="00114F5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OF </w:t>
            </w:r>
            <w:r w:rsidRPr="002E1AED">
              <w:rPr>
                <w:rFonts w:ascii="Times New Roman" w:hAnsi="Times New Roman" w:cs="Times New Roman"/>
                <w:b/>
                <w:bCs/>
              </w:rPr>
              <w:t>(Mean ± SEM)</w:t>
            </w:r>
          </w:p>
        </w:tc>
        <w:tc>
          <w:tcPr>
            <w:tcW w:w="1701" w:type="dxa"/>
          </w:tcPr>
          <w:p w14:paraId="0C25FB4C" w14:textId="3F75CB6B" w:rsidR="00993A14" w:rsidRPr="00A84B19" w:rsidRDefault="00993A14" w:rsidP="00A84B19">
            <w:pPr>
              <w:spacing w:line="480" w:lineRule="auto"/>
              <w:jc w:val="both"/>
              <w:rPr>
                <w:rFonts w:ascii="Times New Roman" w:hAnsi="Times New Roman" w:cs="Times New Roman"/>
                <w:sz w:val="24"/>
                <w:szCs w:val="24"/>
              </w:rPr>
            </w:pPr>
            <w:proofErr w:type="gramStart"/>
            <w:r w:rsidRPr="00A84B19">
              <w:rPr>
                <w:rFonts w:ascii="Times New Roman" w:hAnsi="Times New Roman" w:cs="Times New Roman"/>
                <w:b/>
                <w:bCs/>
                <w:sz w:val="24"/>
                <w:szCs w:val="24"/>
              </w:rPr>
              <w:t>HCD(</w:t>
            </w:r>
            <w:proofErr w:type="gramEnd"/>
            <w:r w:rsidRPr="00A84B19">
              <w:rPr>
                <w:rFonts w:ascii="Times New Roman" w:hAnsi="Times New Roman" w:cs="Times New Roman"/>
                <w:b/>
                <w:bCs/>
                <w:sz w:val="24"/>
                <w:szCs w:val="24"/>
              </w:rPr>
              <w:t xml:space="preserve">µm) </w:t>
            </w:r>
            <w:r w:rsidRPr="002E1AED">
              <w:rPr>
                <w:rFonts w:ascii="Times New Roman" w:hAnsi="Times New Roman" w:cs="Times New Roman"/>
                <w:b/>
                <w:bCs/>
              </w:rPr>
              <w:t>(Mean ± SEM)</w:t>
            </w:r>
          </w:p>
        </w:tc>
        <w:tc>
          <w:tcPr>
            <w:tcW w:w="1417" w:type="dxa"/>
          </w:tcPr>
          <w:p w14:paraId="28265479" w14:textId="74C5BAA9" w:rsidR="00993A14" w:rsidRPr="00A84B19" w:rsidRDefault="00993A14" w:rsidP="00A84B19">
            <w:pPr>
              <w:spacing w:line="480" w:lineRule="auto"/>
              <w:jc w:val="both"/>
              <w:rPr>
                <w:rFonts w:ascii="Times New Roman" w:hAnsi="Times New Roman" w:cs="Times New Roman"/>
                <w:sz w:val="24"/>
                <w:szCs w:val="24"/>
              </w:rPr>
            </w:pPr>
            <w:proofErr w:type="spellStart"/>
            <w:r w:rsidRPr="00A84B19">
              <w:rPr>
                <w:rFonts w:ascii="Times New Roman" w:hAnsi="Times New Roman" w:cs="Times New Roman"/>
                <w:b/>
                <w:bCs/>
                <w:sz w:val="24"/>
                <w:szCs w:val="24"/>
              </w:rPr>
              <w:t>MaxOD</w:t>
            </w:r>
            <w:proofErr w:type="spellEnd"/>
            <w:r w:rsidRPr="00A84B19">
              <w:rPr>
                <w:rFonts w:ascii="Times New Roman" w:hAnsi="Times New Roman" w:cs="Times New Roman"/>
                <w:b/>
                <w:bCs/>
                <w:sz w:val="24"/>
                <w:szCs w:val="24"/>
              </w:rPr>
              <w:t xml:space="preserve"> (µm) </w:t>
            </w:r>
            <w:r w:rsidRPr="002E1AED">
              <w:rPr>
                <w:rFonts w:ascii="Times New Roman" w:hAnsi="Times New Roman" w:cs="Times New Roman"/>
                <w:b/>
                <w:bCs/>
              </w:rPr>
              <w:t>(Mean ± SEM)</w:t>
            </w:r>
          </w:p>
        </w:tc>
      </w:tr>
      <w:tr w:rsidR="00993A14" w:rsidRPr="00A84B19" w14:paraId="60B6F8B2" w14:textId="77777777" w:rsidTr="00B764E9">
        <w:tc>
          <w:tcPr>
            <w:tcW w:w="1203" w:type="dxa"/>
          </w:tcPr>
          <w:p w14:paraId="0AD93D28" w14:textId="7409A81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493" w:type="dxa"/>
          </w:tcPr>
          <w:p w14:paraId="4B0BF0F6" w14:textId="3182729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w:t>
            </w:r>
          </w:p>
        </w:tc>
        <w:tc>
          <w:tcPr>
            <w:tcW w:w="1560" w:type="dxa"/>
          </w:tcPr>
          <w:p w14:paraId="2427E782" w14:textId="7473DF6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8.00 ± 1.36</w:t>
            </w:r>
          </w:p>
        </w:tc>
        <w:tc>
          <w:tcPr>
            <w:tcW w:w="1559" w:type="dxa"/>
          </w:tcPr>
          <w:p w14:paraId="29E92D69" w14:textId="1C4E619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4.80 ± 1.48</w:t>
            </w:r>
          </w:p>
        </w:tc>
        <w:tc>
          <w:tcPr>
            <w:tcW w:w="1417" w:type="dxa"/>
          </w:tcPr>
          <w:p w14:paraId="717FDE0C" w14:textId="06038CC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13.80 ± 1.61</w:t>
            </w:r>
          </w:p>
        </w:tc>
        <w:tc>
          <w:tcPr>
            <w:tcW w:w="1701" w:type="dxa"/>
          </w:tcPr>
          <w:p w14:paraId="51766872" w14:textId="513D0988"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10.40 ± 1.23</w:t>
            </w:r>
          </w:p>
        </w:tc>
        <w:tc>
          <w:tcPr>
            <w:tcW w:w="1417" w:type="dxa"/>
          </w:tcPr>
          <w:p w14:paraId="4691C171" w14:textId="2DA392A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40.63 ± 2.56</w:t>
            </w:r>
          </w:p>
        </w:tc>
      </w:tr>
      <w:tr w:rsidR="00993A14" w:rsidRPr="00A84B19" w14:paraId="7E630811" w14:textId="77777777" w:rsidTr="00B764E9">
        <w:tc>
          <w:tcPr>
            <w:tcW w:w="1203" w:type="dxa"/>
          </w:tcPr>
          <w:p w14:paraId="666FAD0A" w14:textId="773EE2B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493" w:type="dxa"/>
          </w:tcPr>
          <w:p w14:paraId="654E3372" w14:textId="428D8271"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w:t>
            </w:r>
          </w:p>
        </w:tc>
        <w:tc>
          <w:tcPr>
            <w:tcW w:w="1560" w:type="dxa"/>
          </w:tcPr>
          <w:p w14:paraId="04187BF4" w14:textId="49D206C9"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2.70 ± 0.74</w:t>
            </w:r>
          </w:p>
        </w:tc>
        <w:tc>
          <w:tcPr>
            <w:tcW w:w="1559" w:type="dxa"/>
          </w:tcPr>
          <w:p w14:paraId="3A57E375" w14:textId="195B2FC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1.40 ± 0.37</w:t>
            </w:r>
          </w:p>
        </w:tc>
        <w:tc>
          <w:tcPr>
            <w:tcW w:w="1417" w:type="dxa"/>
          </w:tcPr>
          <w:p w14:paraId="58BDD299" w14:textId="5A44A834"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11.60 ± 1.94</w:t>
            </w:r>
          </w:p>
        </w:tc>
        <w:tc>
          <w:tcPr>
            <w:tcW w:w="1701" w:type="dxa"/>
          </w:tcPr>
          <w:p w14:paraId="05452249" w14:textId="16F5B49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13.05 ± 0.89</w:t>
            </w:r>
          </w:p>
        </w:tc>
        <w:tc>
          <w:tcPr>
            <w:tcW w:w="1417" w:type="dxa"/>
          </w:tcPr>
          <w:p w14:paraId="4840F0CF" w14:textId="6B1E2606"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35.63 ± 1.06</w:t>
            </w:r>
          </w:p>
        </w:tc>
      </w:tr>
      <w:tr w:rsidR="00993A14" w:rsidRPr="00A84B19" w14:paraId="10D6EEAC" w14:textId="77777777" w:rsidTr="00B764E9">
        <w:tc>
          <w:tcPr>
            <w:tcW w:w="1203" w:type="dxa"/>
          </w:tcPr>
          <w:p w14:paraId="38397055" w14:textId="7EA5A93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493" w:type="dxa"/>
          </w:tcPr>
          <w:p w14:paraId="0E9745F9" w14:textId="345998B2"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w:t>
            </w:r>
          </w:p>
        </w:tc>
        <w:tc>
          <w:tcPr>
            <w:tcW w:w="1560" w:type="dxa"/>
          </w:tcPr>
          <w:p w14:paraId="5C6413CF" w14:textId="6C43A5E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0.20 ± 0.22</w:t>
            </w:r>
          </w:p>
        </w:tc>
        <w:tc>
          <w:tcPr>
            <w:tcW w:w="1559" w:type="dxa"/>
          </w:tcPr>
          <w:p w14:paraId="0658C871" w14:textId="7A4156F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0.20 ± 0.13</w:t>
            </w:r>
          </w:p>
        </w:tc>
        <w:tc>
          <w:tcPr>
            <w:tcW w:w="1417" w:type="dxa"/>
          </w:tcPr>
          <w:p w14:paraId="170E3B2B" w14:textId="37B1B12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11.30 ± 1.54</w:t>
            </w:r>
          </w:p>
        </w:tc>
        <w:tc>
          <w:tcPr>
            <w:tcW w:w="1701" w:type="dxa"/>
          </w:tcPr>
          <w:p w14:paraId="1800A93B" w14:textId="36E6B96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17.49 ± 1.18</w:t>
            </w:r>
          </w:p>
        </w:tc>
        <w:tc>
          <w:tcPr>
            <w:tcW w:w="1417" w:type="dxa"/>
          </w:tcPr>
          <w:p w14:paraId="6C68F048" w14:textId="4C647FA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44.16 ± 1.80</w:t>
            </w:r>
          </w:p>
        </w:tc>
      </w:tr>
    </w:tbl>
    <w:p w14:paraId="6628FDA7" w14:textId="2500DAA0"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OS = secondary osteons; OP = primary osteons; OF = osteon fragments; HCD = Haversian canal diameter; Max OD = maximum osteon diameter; SEM = standard error of mean.</w:t>
      </w:r>
    </w:p>
    <w:p w14:paraId="4D97E215" w14:textId="77A8C72E"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Ribs demonstrated the highest osteon </w:t>
      </w:r>
      <w:r w:rsidR="00BE147A">
        <w:rPr>
          <w:rFonts w:ascii="Times New Roman" w:hAnsi="Times New Roman" w:cs="Times New Roman"/>
          <w:sz w:val="24"/>
          <w:szCs w:val="24"/>
        </w:rPr>
        <w:t>count</w:t>
      </w:r>
      <w:r w:rsidRPr="00A84B19">
        <w:rPr>
          <w:rFonts w:ascii="Times New Roman" w:hAnsi="Times New Roman" w:cs="Times New Roman"/>
          <w:sz w:val="24"/>
          <w:szCs w:val="24"/>
        </w:rPr>
        <w:t xml:space="preserve">, with mean secondary and primary osteon counts of 8.00 ± 1.36 and 4.80 ± 1.48, respectively, and </w:t>
      </w:r>
      <w:r w:rsidR="00BF344F" w:rsidRPr="00A84B19">
        <w:rPr>
          <w:rFonts w:ascii="Times New Roman" w:hAnsi="Times New Roman" w:cs="Times New Roman"/>
          <w:sz w:val="24"/>
          <w:szCs w:val="24"/>
        </w:rPr>
        <w:t>a</w:t>
      </w:r>
      <w:r w:rsidR="00BE147A">
        <w:rPr>
          <w:rFonts w:ascii="Times New Roman" w:hAnsi="Times New Roman" w:cs="Times New Roman"/>
          <w:sz w:val="24"/>
          <w:szCs w:val="24"/>
        </w:rPr>
        <w:t xml:space="preserve"> </w:t>
      </w:r>
      <w:r w:rsidRPr="00A84B19">
        <w:rPr>
          <w:rFonts w:ascii="Times New Roman" w:hAnsi="Times New Roman" w:cs="Times New Roman"/>
          <w:sz w:val="24"/>
          <w:szCs w:val="24"/>
        </w:rPr>
        <w:t xml:space="preserve">Haversian canal diameter of 10.40 ± 1.23 µm. Sternum showed low osteon </w:t>
      </w:r>
      <w:r w:rsidR="00BE147A">
        <w:rPr>
          <w:rFonts w:ascii="Times New Roman" w:hAnsi="Times New Roman" w:cs="Times New Roman"/>
          <w:sz w:val="24"/>
          <w:szCs w:val="24"/>
        </w:rPr>
        <w:t>population</w:t>
      </w:r>
      <w:r w:rsidRPr="00A84B19">
        <w:rPr>
          <w:rFonts w:ascii="Times New Roman" w:hAnsi="Times New Roman" w:cs="Times New Roman"/>
          <w:sz w:val="24"/>
          <w:szCs w:val="24"/>
        </w:rPr>
        <w:t xml:space="preserve"> (OS = 2.70 ± 0.74; OP = 1.40 ± 0.37) but a larger mean Haversian canal diameter of 13.05 ± 0.89 µm. Calcaneus exhibited very low intact osteon counts (OS = 0.20 ± 0.22; OP = 0.20 ± 0.13) with the largest mean Haversian canal diameter (17.49 ± 1.18 µm) and maximum osteon diameter (44.16 ± 1.80 µm).</w:t>
      </w:r>
      <w:r w:rsidR="00BE147A">
        <w:rPr>
          <w:rFonts w:ascii="Times New Roman" w:hAnsi="Times New Roman" w:cs="Times New Roman"/>
          <w:sz w:val="24"/>
          <w:szCs w:val="24"/>
        </w:rPr>
        <w:t xml:space="preserve"> Osteon fragments were higher for the ribs.</w:t>
      </w:r>
    </w:p>
    <w:p w14:paraId="794A14CF" w14:textId="77777777" w:rsidR="009448C6" w:rsidRDefault="009448C6" w:rsidP="00A84B19">
      <w:pPr>
        <w:spacing w:line="480" w:lineRule="auto"/>
        <w:jc w:val="both"/>
        <w:rPr>
          <w:rFonts w:ascii="Times New Roman" w:hAnsi="Times New Roman" w:cs="Times New Roman"/>
          <w:sz w:val="24"/>
          <w:szCs w:val="24"/>
        </w:rPr>
      </w:pPr>
    </w:p>
    <w:p w14:paraId="03781301" w14:textId="77777777" w:rsidR="00686A92" w:rsidRDefault="00686A92" w:rsidP="00A84B19">
      <w:pPr>
        <w:spacing w:line="480" w:lineRule="auto"/>
        <w:jc w:val="both"/>
        <w:rPr>
          <w:rFonts w:ascii="Times New Roman" w:hAnsi="Times New Roman" w:cs="Times New Roman"/>
          <w:sz w:val="24"/>
          <w:szCs w:val="24"/>
        </w:rPr>
      </w:pPr>
    </w:p>
    <w:p w14:paraId="630B4D66" w14:textId="77777777" w:rsidR="00686A92" w:rsidRPr="00A84B19" w:rsidRDefault="00686A92" w:rsidP="00A84B19">
      <w:pPr>
        <w:spacing w:line="480" w:lineRule="auto"/>
        <w:jc w:val="both"/>
        <w:rPr>
          <w:rFonts w:ascii="Times New Roman" w:hAnsi="Times New Roman" w:cs="Times New Roman"/>
          <w:sz w:val="24"/>
          <w:szCs w:val="24"/>
        </w:rPr>
      </w:pPr>
    </w:p>
    <w:p w14:paraId="2C45D1B7" w14:textId="59580EAB" w:rsidR="00993A14" w:rsidRPr="00A84B19" w:rsidRDefault="009448C6" w:rsidP="00686A92">
      <w:pPr>
        <w:spacing w:line="480" w:lineRule="auto"/>
        <w:jc w:val="center"/>
        <w:rPr>
          <w:rFonts w:ascii="Times New Roman" w:hAnsi="Times New Roman" w:cs="Times New Roman"/>
          <w:sz w:val="24"/>
          <w:szCs w:val="24"/>
        </w:rPr>
      </w:pPr>
      <w:r w:rsidRPr="00A84B19">
        <w:rPr>
          <w:rFonts w:ascii="Times New Roman" w:hAnsi="Times New Roman" w:cs="Times New Roman"/>
          <w:b/>
          <w:bCs/>
          <w:sz w:val="24"/>
          <w:szCs w:val="24"/>
        </w:rPr>
        <w:lastRenderedPageBreak/>
        <w:t>Table 2</w:t>
      </w:r>
      <w:r w:rsidR="00993A14" w:rsidRPr="00A84B19">
        <w:rPr>
          <w:rFonts w:ascii="Times New Roman" w:hAnsi="Times New Roman" w:cs="Times New Roman"/>
          <w:b/>
          <w:bCs/>
          <w:sz w:val="24"/>
          <w:szCs w:val="24"/>
        </w:rPr>
        <w:t xml:space="preserve">: </w:t>
      </w:r>
      <w:r w:rsidRPr="00A84B19">
        <w:rPr>
          <w:rFonts w:ascii="Times New Roman" w:hAnsi="Times New Roman" w:cs="Times New Roman"/>
          <w:sz w:val="24"/>
          <w:szCs w:val="24"/>
        </w:rPr>
        <w:t xml:space="preserve">Comparison of </w:t>
      </w:r>
      <w:proofErr w:type="spellStart"/>
      <w:r w:rsidRPr="00A84B19">
        <w:rPr>
          <w:rFonts w:ascii="Times New Roman" w:hAnsi="Times New Roman" w:cs="Times New Roman"/>
          <w:sz w:val="24"/>
          <w:szCs w:val="24"/>
        </w:rPr>
        <w:t>Histomorphometric</w:t>
      </w:r>
      <w:proofErr w:type="spellEnd"/>
      <w:r w:rsidRPr="00A84B19">
        <w:rPr>
          <w:rFonts w:ascii="Times New Roman" w:hAnsi="Times New Roman" w:cs="Times New Roman"/>
          <w:sz w:val="24"/>
          <w:szCs w:val="24"/>
        </w:rPr>
        <w:t xml:space="preserve"> Parameters </w:t>
      </w:r>
      <w:r w:rsidR="00686A92">
        <w:rPr>
          <w:rFonts w:ascii="Times New Roman" w:hAnsi="Times New Roman" w:cs="Times New Roman"/>
          <w:sz w:val="24"/>
          <w:szCs w:val="24"/>
        </w:rPr>
        <w:t>b</w:t>
      </w:r>
      <w:r w:rsidRPr="00A84B19">
        <w:rPr>
          <w:rFonts w:ascii="Times New Roman" w:hAnsi="Times New Roman" w:cs="Times New Roman"/>
          <w:sz w:val="24"/>
          <w:szCs w:val="24"/>
        </w:rPr>
        <w:t xml:space="preserve">etween Flat and Short Bones </w:t>
      </w:r>
      <w:r w:rsidR="00686A92">
        <w:rPr>
          <w:rFonts w:ascii="Times New Roman" w:hAnsi="Times New Roman" w:cs="Times New Roman"/>
          <w:sz w:val="24"/>
          <w:szCs w:val="24"/>
        </w:rPr>
        <w:t>u</w:t>
      </w:r>
      <w:r w:rsidRPr="00A84B19">
        <w:rPr>
          <w:rFonts w:ascii="Times New Roman" w:hAnsi="Times New Roman" w:cs="Times New Roman"/>
          <w:sz w:val="24"/>
          <w:szCs w:val="24"/>
        </w:rPr>
        <w:t>sing Student’s t Test</w:t>
      </w:r>
    </w:p>
    <w:tbl>
      <w:tblPr>
        <w:tblStyle w:val="TableGrid"/>
        <w:tblW w:w="0" w:type="auto"/>
        <w:tblLook w:val="04A0" w:firstRow="1" w:lastRow="0" w:firstColumn="1" w:lastColumn="0" w:noHBand="0" w:noVBand="1"/>
      </w:tblPr>
      <w:tblGrid>
        <w:gridCol w:w="1870"/>
        <w:gridCol w:w="1870"/>
        <w:gridCol w:w="1870"/>
        <w:gridCol w:w="1870"/>
        <w:gridCol w:w="1870"/>
      </w:tblGrid>
      <w:tr w:rsidR="00993A14" w:rsidRPr="00A84B19" w14:paraId="69F48580" w14:textId="77777777" w:rsidTr="00993A14">
        <w:tc>
          <w:tcPr>
            <w:tcW w:w="1870" w:type="dxa"/>
          </w:tcPr>
          <w:p w14:paraId="04B5030D" w14:textId="19158F73" w:rsidR="00993A14" w:rsidRPr="00391EED" w:rsidRDefault="00993A14" w:rsidP="00A84B19">
            <w:pPr>
              <w:spacing w:line="480" w:lineRule="auto"/>
              <w:jc w:val="both"/>
              <w:rPr>
                <w:rFonts w:ascii="Times New Roman" w:hAnsi="Times New Roman" w:cs="Times New Roman"/>
                <w:sz w:val="24"/>
                <w:szCs w:val="24"/>
              </w:rPr>
            </w:pPr>
            <w:r w:rsidRPr="00391EED">
              <w:rPr>
                <w:rFonts w:ascii="Times New Roman" w:hAnsi="Times New Roman" w:cs="Times New Roman"/>
                <w:b/>
                <w:bCs/>
                <w:sz w:val="24"/>
                <w:szCs w:val="24"/>
              </w:rPr>
              <w:t>Flat Bone</w:t>
            </w:r>
          </w:p>
        </w:tc>
        <w:tc>
          <w:tcPr>
            <w:tcW w:w="1870" w:type="dxa"/>
          </w:tcPr>
          <w:p w14:paraId="2F42C61E" w14:textId="6B2CFE20" w:rsidR="00993A14" w:rsidRPr="00391EED" w:rsidRDefault="00993A14" w:rsidP="00A84B19">
            <w:pPr>
              <w:spacing w:line="480" w:lineRule="auto"/>
              <w:jc w:val="both"/>
              <w:rPr>
                <w:rFonts w:ascii="Times New Roman" w:hAnsi="Times New Roman" w:cs="Times New Roman"/>
                <w:sz w:val="24"/>
                <w:szCs w:val="24"/>
              </w:rPr>
            </w:pPr>
            <w:r w:rsidRPr="00391EED">
              <w:rPr>
                <w:rFonts w:ascii="Times New Roman" w:hAnsi="Times New Roman" w:cs="Times New Roman"/>
                <w:b/>
                <w:bCs/>
                <w:sz w:val="24"/>
                <w:szCs w:val="24"/>
              </w:rPr>
              <w:t>Short Bone</w:t>
            </w:r>
          </w:p>
        </w:tc>
        <w:tc>
          <w:tcPr>
            <w:tcW w:w="1870" w:type="dxa"/>
          </w:tcPr>
          <w:p w14:paraId="2FB73B4F" w14:textId="381DF92D" w:rsidR="00993A14" w:rsidRPr="00391EED" w:rsidRDefault="00993A14" w:rsidP="00A84B19">
            <w:pPr>
              <w:spacing w:line="480" w:lineRule="auto"/>
              <w:jc w:val="both"/>
              <w:rPr>
                <w:rFonts w:ascii="Times New Roman" w:hAnsi="Times New Roman" w:cs="Times New Roman"/>
                <w:sz w:val="24"/>
                <w:szCs w:val="24"/>
              </w:rPr>
            </w:pPr>
            <w:r w:rsidRPr="00391EED">
              <w:rPr>
                <w:rFonts w:ascii="Times New Roman" w:hAnsi="Times New Roman" w:cs="Times New Roman"/>
                <w:b/>
                <w:bCs/>
                <w:sz w:val="24"/>
                <w:szCs w:val="24"/>
              </w:rPr>
              <w:t>Parameter</w:t>
            </w:r>
          </w:p>
        </w:tc>
        <w:tc>
          <w:tcPr>
            <w:tcW w:w="1870" w:type="dxa"/>
          </w:tcPr>
          <w:p w14:paraId="236B080D" w14:textId="2DBFAEEE" w:rsidR="00993A14" w:rsidRPr="00391EED" w:rsidRDefault="00227BB0" w:rsidP="00A84B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w:t>
            </w:r>
            <w:r w:rsidR="00391EED" w:rsidRPr="00391EED">
              <w:rPr>
                <w:rFonts w:ascii="Times New Roman" w:hAnsi="Times New Roman" w:cs="Times New Roman"/>
                <w:b/>
                <w:bCs/>
                <w:sz w:val="24"/>
                <w:szCs w:val="24"/>
              </w:rPr>
              <w:t xml:space="preserve"> value</w:t>
            </w:r>
          </w:p>
        </w:tc>
        <w:tc>
          <w:tcPr>
            <w:tcW w:w="1870" w:type="dxa"/>
          </w:tcPr>
          <w:p w14:paraId="5C209B59" w14:textId="1DD7276F" w:rsidR="00993A14" w:rsidRPr="00391EED" w:rsidRDefault="00227BB0" w:rsidP="00A84B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w:t>
            </w:r>
            <w:r w:rsidR="00DA4763">
              <w:rPr>
                <w:rFonts w:ascii="Times New Roman" w:hAnsi="Times New Roman" w:cs="Times New Roman"/>
                <w:b/>
                <w:bCs/>
                <w:sz w:val="24"/>
                <w:szCs w:val="24"/>
              </w:rPr>
              <w:t xml:space="preserve"> value</w:t>
            </w:r>
          </w:p>
        </w:tc>
      </w:tr>
      <w:tr w:rsidR="00993A14" w:rsidRPr="00A84B19" w14:paraId="4A0C5F03" w14:textId="77777777" w:rsidTr="00993A14">
        <w:tc>
          <w:tcPr>
            <w:tcW w:w="1870" w:type="dxa"/>
          </w:tcPr>
          <w:p w14:paraId="64B271B0" w14:textId="2DE6F5F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2CC0663F" w14:textId="1076C08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6C1F5BA5" w14:textId="36C4AC92" w:rsidR="00993A14" w:rsidRPr="00A84B19" w:rsidRDefault="00993A14" w:rsidP="00905972">
            <w:pPr>
              <w:spacing w:line="360" w:lineRule="auto"/>
              <w:jc w:val="both"/>
              <w:rPr>
                <w:rFonts w:ascii="Times New Roman" w:hAnsi="Times New Roman" w:cs="Times New Roman"/>
                <w:sz w:val="24"/>
                <w:szCs w:val="24"/>
              </w:rPr>
            </w:pPr>
            <w:r w:rsidRPr="00A84B19">
              <w:rPr>
                <w:rFonts w:ascii="Times New Roman" w:hAnsi="Times New Roman" w:cs="Times New Roman"/>
                <w:sz w:val="24"/>
                <w:szCs w:val="24"/>
              </w:rPr>
              <w:t>Secondary osteons</w:t>
            </w:r>
          </w:p>
        </w:tc>
        <w:tc>
          <w:tcPr>
            <w:tcW w:w="1870" w:type="dxa"/>
          </w:tcPr>
          <w:p w14:paraId="0A0BC434" w14:textId="321D395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5.52</w:t>
            </w:r>
          </w:p>
        </w:tc>
        <w:tc>
          <w:tcPr>
            <w:tcW w:w="1870" w:type="dxa"/>
          </w:tcPr>
          <w:p w14:paraId="0072AABA" w14:textId="278F0534"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&lt; </w:t>
            </w:r>
            <w:r w:rsidR="00356681">
              <w:rPr>
                <w:rFonts w:ascii="Times New Roman" w:hAnsi="Times New Roman" w:cs="Times New Roman"/>
                <w:sz w:val="24"/>
                <w:szCs w:val="24"/>
              </w:rPr>
              <w:t>0</w:t>
            </w:r>
            <w:r w:rsidRPr="00A84B19">
              <w:rPr>
                <w:rFonts w:ascii="Times New Roman" w:hAnsi="Times New Roman" w:cs="Times New Roman"/>
                <w:sz w:val="24"/>
                <w:szCs w:val="24"/>
              </w:rPr>
              <w:t>.001*</w:t>
            </w:r>
          </w:p>
        </w:tc>
      </w:tr>
      <w:tr w:rsidR="00993A14" w:rsidRPr="00A84B19" w14:paraId="1345A26B" w14:textId="77777777" w:rsidTr="00993A14">
        <w:tc>
          <w:tcPr>
            <w:tcW w:w="1870" w:type="dxa"/>
          </w:tcPr>
          <w:p w14:paraId="57A5CDD5" w14:textId="4E3B66E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0ED63E39" w14:textId="57E86CA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4C1DBC04" w14:textId="0A9E6692"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Primary osteons</w:t>
            </w:r>
          </w:p>
        </w:tc>
        <w:tc>
          <w:tcPr>
            <w:tcW w:w="1870" w:type="dxa"/>
          </w:tcPr>
          <w:p w14:paraId="2BC2BED8" w14:textId="79D19F3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3.09</w:t>
            </w:r>
          </w:p>
        </w:tc>
        <w:tc>
          <w:tcPr>
            <w:tcW w:w="1870" w:type="dxa"/>
          </w:tcPr>
          <w:p w14:paraId="692032B1" w14:textId="34C75DE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&lt; </w:t>
            </w:r>
            <w:r w:rsidR="00356681">
              <w:rPr>
                <w:rFonts w:ascii="Times New Roman" w:hAnsi="Times New Roman" w:cs="Times New Roman"/>
                <w:sz w:val="24"/>
                <w:szCs w:val="24"/>
              </w:rPr>
              <w:t>0</w:t>
            </w:r>
            <w:r w:rsidRPr="00A84B19">
              <w:rPr>
                <w:rFonts w:ascii="Times New Roman" w:hAnsi="Times New Roman" w:cs="Times New Roman"/>
                <w:sz w:val="24"/>
                <w:szCs w:val="24"/>
              </w:rPr>
              <w:t>.001*</w:t>
            </w:r>
          </w:p>
        </w:tc>
      </w:tr>
      <w:tr w:rsidR="00993A14" w:rsidRPr="00A84B19" w14:paraId="4C1E4815" w14:textId="77777777" w:rsidTr="00993A14">
        <w:tc>
          <w:tcPr>
            <w:tcW w:w="1870" w:type="dxa"/>
          </w:tcPr>
          <w:p w14:paraId="7174AED8" w14:textId="20CA677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24649BB7" w14:textId="0FF07F1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42B69013" w14:textId="1847C7E2"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Osteon fragments</w:t>
            </w:r>
          </w:p>
        </w:tc>
        <w:tc>
          <w:tcPr>
            <w:tcW w:w="1870" w:type="dxa"/>
          </w:tcPr>
          <w:p w14:paraId="70C20583" w14:textId="14CBE3A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1.11</w:t>
            </w:r>
          </w:p>
        </w:tc>
        <w:tc>
          <w:tcPr>
            <w:tcW w:w="1870" w:type="dxa"/>
          </w:tcPr>
          <w:p w14:paraId="5E5A5FE9" w14:textId="458C2AE1" w:rsidR="00993A14" w:rsidRPr="00A84B19" w:rsidRDefault="00356681"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0</w:t>
            </w:r>
            <w:r w:rsidR="00993A14" w:rsidRPr="00A84B19">
              <w:rPr>
                <w:rFonts w:ascii="Times New Roman" w:hAnsi="Times New Roman" w:cs="Times New Roman"/>
                <w:sz w:val="24"/>
                <w:szCs w:val="24"/>
              </w:rPr>
              <w:t>.14</w:t>
            </w:r>
            <w:r>
              <w:rPr>
                <w:rFonts w:ascii="Times New Roman" w:hAnsi="Times New Roman" w:cs="Times New Roman"/>
                <w:sz w:val="24"/>
                <w:szCs w:val="24"/>
              </w:rPr>
              <w:t>0</w:t>
            </w:r>
          </w:p>
        </w:tc>
      </w:tr>
      <w:tr w:rsidR="00993A14" w:rsidRPr="00A84B19" w14:paraId="00EEC4BF" w14:textId="77777777" w:rsidTr="00993A14">
        <w:tc>
          <w:tcPr>
            <w:tcW w:w="1870" w:type="dxa"/>
          </w:tcPr>
          <w:p w14:paraId="40C030AF" w14:textId="2004E2C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2818885C" w14:textId="767D9D9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503402A5" w14:textId="4C14E41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Haversian canal diameter</w:t>
            </w:r>
          </w:p>
        </w:tc>
        <w:tc>
          <w:tcPr>
            <w:tcW w:w="1870" w:type="dxa"/>
          </w:tcPr>
          <w:p w14:paraId="765649E2" w14:textId="587ED544"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−4.16</w:t>
            </w:r>
          </w:p>
        </w:tc>
        <w:tc>
          <w:tcPr>
            <w:tcW w:w="1870" w:type="dxa"/>
          </w:tcPr>
          <w:p w14:paraId="675D4A0D" w14:textId="1E06F0E3"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6A61310C" w14:textId="77777777" w:rsidTr="00993A14">
        <w:tc>
          <w:tcPr>
            <w:tcW w:w="1870" w:type="dxa"/>
          </w:tcPr>
          <w:p w14:paraId="62FE75B4" w14:textId="68AA1B7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56F65B93" w14:textId="60ECA1C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4423EBE5" w14:textId="71086C8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Maximum osteon diameter</w:t>
            </w:r>
          </w:p>
        </w:tc>
        <w:tc>
          <w:tcPr>
            <w:tcW w:w="1870" w:type="dxa"/>
          </w:tcPr>
          <w:p w14:paraId="311D93B3" w14:textId="6B3820D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w:t>
            </w:r>
          </w:p>
        </w:tc>
        <w:tc>
          <w:tcPr>
            <w:tcW w:w="1870" w:type="dxa"/>
          </w:tcPr>
          <w:p w14:paraId="56B7F5E5" w14:textId="7FE2CBD4"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0</w:t>
            </w:r>
            <w:r w:rsidR="00993A14" w:rsidRPr="00A84B19">
              <w:rPr>
                <w:rFonts w:ascii="Times New Roman" w:hAnsi="Times New Roman" w:cs="Times New Roman"/>
                <w:sz w:val="24"/>
                <w:szCs w:val="24"/>
              </w:rPr>
              <w:t>.14</w:t>
            </w:r>
            <w:r>
              <w:rPr>
                <w:rFonts w:ascii="Times New Roman" w:hAnsi="Times New Roman" w:cs="Times New Roman"/>
                <w:sz w:val="24"/>
                <w:szCs w:val="24"/>
              </w:rPr>
              <w:t>0</w:t>
            </w:r>
          </w:p>
        </w:tc>
      </w:tr>
      <w:tr w:rsidR="00993A14" w:rsidRPr="00A84B19" w14:paraId="67F38944" w14:textId="77777777" w:rsidTr="00993A14">
        <w:tc>
          <w:tcPr>
            <w:tcW w:w="1870" w:type="dxa"/>
          </w:tcPr>
          <w:p w14:paraId="2DA397EA" w14:textId="3D178439"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7807BDD4" w14:textId="4A3841B1"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5C0A5557" w14:textId="6B3D0BF9"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Secondary osteons</w:t>
            </w:r>
          </w:p>
        </w:tc>
        <w:tc>
          <w:tcPr>
            <w:tcW w:w="1870" w:type="dxa"/>
          </w:tcPr>
          <w:p w14:paraId="1378D708" w14:textId="2001462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−2.96</w:t>
            </w:r>
          </w:p>
        </w:tc>
        <w:tc>
          <w:tcPr>
            <w:tcW w:w="1870" w:type="dxa"/>
          </w:tcPr>
          <w:p w14:paraId="1DDDFB04" w14:textId="6371A442"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486A4672" w14:textId="77777777" w:rsidTr="00993A14">
        <w:tc>
          <w:tcPr>
            <w:tcW w:w="1870" w:type="dxa"/>
          </w:tcPr>
          <w:p w14:paraId="04E5D41E" w14:textId="75D4557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00073149" w14:textId="6DDF084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2EFA5B58" w14:textId="204E3EA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Primary osteons</w:t>
            </w:r>
          </w:p>
        </w:tc>
        <w:tc>
          <w:tcPr>
            <w:tcW w:w="1870" w:type="dxa"/>
          </w:tcPr>
          <w:p w14:paraId="558EFDAF" w14:textId="74C55311"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−3.04</w:t>
            </w:r>
          </w:p>
        </w:tc>
        <w:tc>
          <w:tcPr>
            <w:tcW w:w="1870" w:type="dxa"/>
          </w:tcPr>
          <w:p w14:paraId="69A70B52" w14:textId="4FD2C6AD" w:rsidR="00993A14" w:rsidRPr="00A84B19" w:rsidRDefault="00A66DFC"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sidR="0022482B">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74ED8EB1" w14:textId="77777777" w:rsidTr="00993A14">
        <w:tc>
          <w:tcPr>
            <w:tcW w:w="1870" w:type="dxa"/>
          </w:tcPr>
          <w:p w14:paraId="7143D794" w14:textId="092E7D0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52B23556" w14:textId="577EE28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19B505BA" w14:textId="39C4902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Osteon fragments</w:t>
            </w:r>
          </w:p>
        </w:tc>
        <w:tc>
          <w:tcPr>
            <w:tcW w:w="1870" w:type="dxa"/>
          </w:tcPr>
          <w:p w14:paraId="50A9701C" w14:textId="44DC37B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−0.12</w:t>
            </w:r>
          </w:p>
        </w:tc>
        <w:tc>
          <w:tcPr>
            <w:tcW w:w="1870" w:type="dxa"/>
          </w:tcPr>
          <w:p w14:paraId="0F3EBD37" w14:textId="641CB8A8"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DFC">
              <w:rPr>
                <w:rFonts w:ascii="Times New Roman" w:hAnsi="Times New Roman" w:cs="Times New Roman"/>
                <w:sz w:val="24"/>
                <w:szCs w:val="24"/>
              </w:rPr>
              <w:t xml:space="preserve"> </w:t>
            </w:r>
            <w:r>
              <w:rPr>
                <w:rFonts w:ascii="Times New Roman" w:hAnsi="Times New Roman" w:cs="Times New Roman"/>
                <w:sz w:val="24"/>
                <w:szCs w:val="24"/>
              </w:rPr>
              <w:t xml:space="preserve"> 0.</w:t>
            </w:r>
            <w:r w:rsidR="00993A14" w:rsidRPr="00A84B19">
              <w:rPr>
                <w:rFonts w:ascii="Times New Roman" w:hAnsi="Times New Roman" w:cs="Times New Roman"/>
                <w:sz w:val="24"/>
                <w:szCs w:val="24"/>
              </w:rPr>
              <w:t>45</w:t>
            </w:r>
            <w:r>
              <w:rPr>
                <w:rFonts w:ascii="Times New Roman" w:hAnsi="Times New Roman" w:cs="Times New Roman"/>
                <w:sz w:val="24"/>
                <w:szCs w:val="24"/>
              </w:rPr>
              <w:t>0</w:t>
            </w:r>
          </w:p>
        </w:tc>
      </w:tr>
      <w:tr w:rsidR="00993A14" w:rsidRPr="00A84B19" w14:paraId="503B9CD1" w14:textId="77777777" w:rsidTr="00993A14">
        <w:tc>
          <w:tcPr>
            <w:tcW w:w="1870" w:type="dxa"/>
          </w:tcPr>
          <w:p w14:paraId="2A362CCB" w14:textId="768E288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7B6129FB" w14:textId="46B6ABA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599471E7" w14:textId="68E4C876"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Haversian canal diameter</w:t>
            </w:r>
          </w:p>
        </w:tc>
        <w:tc>
          <w:tcPr>
            <w:tcW w:w="1870" w:type="dxa"/>
          </w:tcPr>
          <w:p w14:paraId="2EE27E2A" w14:textId="2BEB550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3.01</w:t>
            </w:r>
          </w:p>
        </w:tc>
        <w:tc>
          <w:tcPr>
            <w:tcW w:w="1870" w:type="dxa"/>
          </w:tcPr>
          <w:p w14:paraId="420EE387" w14:textId="3CE4EEC1" w:rsidR="00993A14" w:rsidRPr="00A84B19" w:rsidRDefault="00A66DFC"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482B">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sidR="0022482B">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2B975491" w14:textId="77777777" w:rsidTr="00993A14">
        <w:tc>
          <w:tcPr>
            <w:tcW w:w="1870" w:type="dxa"/>
          </w:tcPr>
          <w:p w14:paraId="2C93C802" w14:textId="3FE508F6"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3C6CADF9" w14:textId="509589A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305AFA9B" w14:textId="13CDAB2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Maximum osteon diameter</w:t>
            </w:r>
          </w:p>
        </w:tc>
        <w:tc>
          <w:tcPr>
            <w:tcW w:w="1870" w:type="dxa"/>
          </w:tcPr>
          <w:p w14:paraId="2D4CDB49" w14:textId="542C8DF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4.09</w:t>
            </w:r>
          </w:p>
        </w:tc>
        <w:tc>
          <w:tcPr>
            <w:tcW w:w="1870" w:type="dxa"/>
          </w:tcPr>
          <w:p w14:paraId="7885443A" w14:textId="35A84744"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DFC">
              <w:rPr>
                <w:rFonts w:ascii="Times New Roman" w:hAnsi="Times New Roman" w:cs="Times New Roman"/>
                <w:sz w:val="24"/>
                <w:szCs w:val="24"/>
              </w:rPr>
              <w:t xml:space="preserve"> </w:t>
            </w:r>
            <w:r>
              <w:rPr>
                <w:rFonts w:ascii="Times New Roman" w:hAnsi="Times New Roman" w:cs="Times New Roman"/>
                <w:sz w:val="24"/>
                <w:szCs w:val="24"/>
              </w:rPr>
              <w:t xml:space="preserve"> 0</w:t>
            </w:r>
            <w:r w:rsidR="00993A14" w:rsidRPr="00A84B19">
              <w:rPr>
                <w:rFonts w:ascii="Times New Roman" w:hAnsi="Times New Roman" w:cs="Times New Roman"/>
                <w:sz w:val="24"/>
                <w:szCs w:val="24"/>
              </w:rPr>
              <w:t>.01</w:t>
            </w:r>
            <w:r>
              <w:rPr>
                <w:rFonts w:ascii="Times New Roman" w:hAnsi="Times New Roman" w:cs="Times New Roman"/>
                <w:sz w:val="24"/>
                <w:szCs w:val="24"/>
              </w:rPr>
              <w:t>0</w:t>
            </w:r>
            <w:r w:rsidR="00993A14" w:rsidRPr="00A84B19">
              <w:rPr>
                <w:rFonts w:ascii="Times New Roman" w:hAnsi="Times New Roman" w:cs="Times New Roman"/>
                <w:sz w:val="24"/>
                <w:szCs w:val="24"/>
              </w:rPr>
              <w:t>*</w:t>
            </w:r>
          </w:p>
        </w:tc>
      </w:tr>
    </w:tbl>
    <w:p w14:paraId="28150AF4" w14:textId="35C338F1"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w:t>
      </w:r>
      <w:r w:rsidRPr="00A84B19">
        <w:rPr>
          <w:rFonts w:ascii="Times New Roman" w:hAnsi="Times New Roman" w:cs="Times New Roman"/>
          <w:i/>
          <w:iCs/>
          <w:sz w:val="24"/>
          <w:szCs w:val="24"/>
        </w:rPr>
        <w:t>p</w:t>
      </w:r>
      <w:r w:rsidRPr="00A84B19">
        <w:rPr>
          <w:rFonts w:ascii="Times New Roman" w:hAnsi="Times New Roman" w:cs="Times New Roman"/>
          <w:sz w:val="24"/>
          <w:szCs w:val="24"/>
        </w:rPr>
        <w:t xml:space="preserve"> ≤ </w:t>
      </w:r>
      <w:r w:rsidR="00A66DFC">
        <w:rPr>
          <w:rFonts w:ascii="Times New Roman" w:hAnsi="Times New Roman" w:cs="Times New Roman"/>
          <w:sz w:val="24"/>
          <w:szCs w:val="24"/>
        </w:rPr>
        <w:t>0</w:t>
      </w:r>
      <w:r w:rsidRPr="00A84B19">
        <w:rPr>
          <w:rFonts w:ascii="Times New Roman" w:hAnsi="Times New Roman" w:cs="Times New Roman"/>
          <w:sz w:val="24"/>
          <w:szCs w:val="24"/>
        </w:rPr>
        <w:t>.05 indicates statistical significance (*)</w:t>
      </w:r>
    </w:p>
    <w:p w14:paraId="729A89D9" w14:textId="55F4B929" w:rsid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lastRenderedPageBreak/>
        <w:t xml:space="preserve">Statistically significant differences were observed between flat bones and calcaneus in osteon </w:t>
      </w:r>
      <w:r w:rsidR="00646D96">
        <w:rPr>
          <w:rFonts w:ascii="Times New Roman" w:hAnsi="Times New Roman" w:cs="Times New Roman"/>
          <w:sz w:val="24"/>
          <w:szCs w:val="24"/>
        </w:rPr>
        <w:t>population</w:t>
      </w:r>
      <w:r w:rsidRPr="00A84B19">
        <w:rPr>
          <w:rFonts w:ascii="Times New Roman" w:hAnsi="Times New Roman" w:cs="Times New Roman"/>
          <w:sz w:val="24"/>
          <w:szCs w:val="24"/>
        </w:rPr>
        <w:t xml:space="preserve"> and Haversian canal diameter. Rib–calcaneus comparisons showed higher secondary osteon counts in ribs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5.52,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w:t>
      </w:r>
      <w:r w:rsidR="00646D96">
        <w:rPr>
          <w:rFonts w:ascii="Times New Roman" w:hAnsi="Times New Roman" w:cs="Times New Roman"/>
          <w:sz w:val="24"/>
          <w:szCs w:val="24"/>
        </w:rPr>
        <w:t>0</w:t>
      </w:r>
      <w:r w:rsidRPr="00A84B19">
        <w:rPr>
          <w:rFonts w:ascii="Times New Roman" w:hAnsi="Times New Roman" w:cs="Times New Roman"/>
          <w:sz w:val="24"/>
          <w:szCs w:val="24"/>
        </w:rPr>
        <w:t>.001) and larger Haversian canal diameters in calcaneus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−4.16,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.001). Sternum–calcaneus comparisons also demonstrated significantly higher osteon </w:t>
      </w:r>
      <w:r w:rsidR="00646D96">
        <w:rPr>
          <w:rFonts w:ascii="Times New Roman" w:hAnsi="Times New Roman" w:cs="Times New Roman"/>
          <w:sz w:val="24"/>
          <w:szCs w:val="24"/>
        </w:rPr>
        <w:t>population</w:t>
      </w:r>
      <w:r w:rsidRPr="00A84B19">
        <w:rPr>
          <w:rFonts w:ascii="Times New Roman" w:hAnsi="Times New Roman" w:cs="Times New Roman"/>
          <w:sz w:val="24"/>
          <w:szCs w:val="24"/>
        </w:rPr>
        <w:t xml:space="preserve"> in sternum (OS: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−2.96,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w:t>
      </w:r>
      <w:r w:rsidR="00646D96">
        <w:rPr>
          <w:rFonts w:ascii="Times New Roman" w:hAnsi="Times New Roman" w:cs="Times New Roman"/>
          <w:sz w:val="24"/>
          <w:szCs w:val="24"/>
        </w:rPr>
        <w:t>0</w:t>
      </w:r>
      <w:r w:rsidRPr="00A84B19">
        <w:rPr>
          <w:rFonts w:ascii="Times New Roman" w:hAnsi="Times New Roman" w:cs="Times New Roman"/>
          <w:sz w:val="24"/>
          <w:szCs w:val="24"/>
        </w:rPr>
        <w:t xml:space="preserve">.001; OP: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−3.04,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.001) and larger Haversian canals and osteon diameters in calcaneus (HCD: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3.01,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w:t>
      </w:r>
      <w:r w:rsidR="00646D96">
        <w:rPr>
          <w:rFonts w:ascii="Times New Roman" w:hAnsi="Times New Roman" w:cs="Times New Roman"/>
          <w:sz w:val="24"/>
          <w:szCs w:val="24"/>
        </w:rPr>
        <w:t>0</w:t>
      </w:r>
      <w:r w:rsidRPr="00A84B19">
        <w:rPr>
          <w:rFonts w:ascii="Times New Roman" w:hAnsi="Times New Roman" w:cs="Times New Roman"/>
          <w:sz w:val="24"/>
          <w:szCs w:val="24"/>
        </w:rPr>
        <w:t xml:space="preserve">.001; Max OD: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4.09,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 </w:t>
      </w:r>
      <w:r w:rsidR="00646D96">
        <w:rPr>
          <w:rFonts w:ascii="Times New Roman" w:hAnsi="Times New Roman" w:cs="Times New Roman"/>
          <w:sz w:val="24"/>
          <w:szCs w:val="24"/>
        </w:rPr>
        <w:t>0</w:t>
      </w:r>
      <w:r w:rsidRPr="00A84B19">
        <w:rPr>
          <w:rFonts w:ascii="Times New Roman" w:hAnsi="Times New Roman" w:cs="Times New Roman"/>
          <w:sz w:val="24"/>
          <w:szCs w:val="24"/>
        </w:rPr>
        <w:t>.01). Osteon fragment counts were not significantly different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&gt; </w:t>
      </w:r>
      <w:r w:rsidR="00646D96">
        <w:rPr>
          <w:rFonts w:ascii="Times New Roman" w:hAnsi="Times New Roman" w:cs="Times New Roman"/>
          <w:sz w:val="24"/>
          <w:szCs w:val="24"/>
        </w:rPr>
        <w:t>0</w:t>
      </w:r>
      <w:r w:rsidRPr="00A84B19">
        <w:rPr>
          <w:rFonts w:ascii="Times New Roman" w:hAnsi="Times New Roman" w:cs="Times New Roman"/>
          <w:sz w:val="24"/>
          <w:szCs w:val="24"/>
        </w:rPr>
        <w:t>.05).</w:t>
      </w:r>
    </w:p>
    <w:p w14:paraId="7235D3B6" w14:textId="77777777" w:rsidR="006338F2" w:rsidRPr="00A84B19" w:rsidRDefault="006338F2" w:rsidP="00A84B19">
      <w:pPr>
        <w:spacing w:line="480" w:lineRule="auto"/>
        <w:jc w:val="both"/>
        <w:rPr>
          <w:rFonts w:ascii="Times New Roman" w:hAnsi="Times New Roman" w:cs="Times New Roman"/>
          <w:sz w:val="24"/>
          <w:szCs w:val="24"/>
        </w:rPr>
      </w:pPr>
    </w:p>
    <w:p w14:paraId="3374ED1E" w14:textId="65C4BACF" w:rsidR="009448C6" w:rsidRPr="00A84B19" w:rsidRDefault="009448C6" w:rsidP="00DA4763">
      <w:pPr>
        <w:spacing w:line="480" w:lineRule="auto"/>
        <w:jc w:val="center"/>
        <w:rPr>
          <w:rFonts w:ascii="Times New Roman" w:hAnsi="Times New Roman" w:cs="Times New Roman"/>
          <w:sz w:val="24"/>
          <w:szCs w:val="24"/>
        </w:rPr>
      </w:pPr>
      <w:r w:rsidRPr="00A84B19">
        <w:rPr>
          <w:rFonts w:ascii="Times New Roman" w:hAnsi="Times New Roman" w:cs="Times New Roman"/>
          <w:b/>
          <w:bCs/>
          <w:sz w:val="24"/>
          <w:szCs w:val="24"/>
        </w:rPr>
        <w:t>Table 3</w:t>
      </w:r>
      <w:r w:rsidR="00993A14" w:rsidRPr="00A84B19">
        <w:rPr>
          <w:rFonts w:ascii="Times New Roman" w:hAnsi="Times New Roman" w:cs="Times New Roman"/>
          <w:b/>
          <w:bCs/>
          <w:sz w:val="24"/>
          <w:szCs w:val="24"/>
        </w:rPr>
        <w:t xml:space="preserve">: </w:t>
      </w:r>
      <w:r w:rsidRPr="00A84B19">
        <w:rPr>
          <w:rFonts w:ascii="Times New Roman" w:hAnsi="Times New Roman" w:cs="Times New Roman"/>
          <w:sz w:val="24"/>
          <w:szCs w:val="24"/>
        </w:rPr>
        <w:t>Quantitative Indicators of Bone Remodeling Across Bone Types</w:t>
      </w:r>
    </w:p>
    <w:tbl>
      <w:tblPr>
        <w:tblStyle w:val="TableGrid"/>
        <w:tblW w:w="0" w:type="auto"/>
        <w:tblLook w:val="04A0" w:firstRow="1" w:lastRow="0" w:firstColumn="1" w:lastColumn="0" w:noHBand="0" w:noVBand="1"/>
      </w:tblPr>
      <w:tblGrid>
        <w:gridCol w:w="1870"/>
        <w:gridCol w:w="1870"/>
        <w:gridCol w:w="1870"/>
        <w:gridCol w:w="1870"/>
        <w:gridCol w:w="1870"/>
      </w:tblGrid>
      <w:tr w:rsidR="00993A14" w:rsidRPr="00A84B19" w14:paraId="043D6E6F" w14:textId="77777777" w:rsidTr="00231C5E">
        <w:tc>
          <w:tcPr>
            <w:tcW w:w="1870" w:type="dxa"/>
            <w:vAlign w:val="center"/>
          </w:tcPr>
          <w:p w14:paraId="5CAAB33C" w14:textId="71610F88"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Bone Type</w:t>
            </w:r>
          </w:p>
        </w:tc>
        <w:tc>
          <w:tcPr>
            <w:tcW w:w="1870" w:type="dxa"/>
            <w:vAlign w:val="center"/>
          </w:tcPr>
          <w:p w14:paraId="1BAAE921" w14:textId="1013F98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Secondary </w:t>
            </w:r>
            <w:proofErr w:type="gramStart"/>
            <w:r w:rsidRPr="00A84B19">
              <w:rPr>
                <w:rFonts w:ascii="Times New Roman" w:hAnsi="Times New Roman" w:cs="Times New Roman"/>
                <w:b/>
                <w:bCs/>
                <w:sz w:val="24"/>
                <w:szCs w:val="24"/>
              </w:rPr>
              <w:t>Osteons</w:t>
            </w:r>
            <w:r w:rsidRPr="009546B7">
              <w:rPr>
                <w:rFonts w:ascii="Times New Roman" w:hAnsi="Times New Roman" w:cs="Times New Roman"/>
                <w:b/>
                <w:bCs/>
              </w:rPr>
              <w:t>(</w:t>
            </w:r>
            <w:proofErr w:type="gramEnd"/>
            <w:r w:rsidRPr="009546B7">
              <w:rPr>
                <w:rFonts w:ascii="Times New Roman" w:hAnsi="Times New Roman" w:cs="Times New Roman"/>
                <w:b/>
                <w:bCs/>
              </w:rPr>
              <w:t>OS) Mean ± SEM</w:t>
            </w:r>
          </w:p>
        </w:tc>
        <w:tc>
          <w:tcPr>
            <w:tcW w:w="1870" w:type="dxa"/>
            <w:vAlign w:val="center"/>
          </w:tcPr>
          <w:p w14:paraId="06BE52C9" w14:textId="467CB2A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Osteon Fragments (OF) </w:t>
            </w:r>
            <w:r w:rsidRPr="009546B7">
              <w:rPr>
                <w:rFonts w:ascii="Times New Roman" w:hAnsi="Times New Roman" w:cs="Times New Roman"/>
                <w:b/>
                <w:bCs/>
              </w:rPr>
              <w:t>Mean ± SEM</w:t>
            </w:r>
          </w:p>
        </w:tc>
        <w:tc>
          <w:tcPr>
            <w:tcW w:w="1870" w:type="dxa"/>
            <w:vAlign w:val="center"/>
          </w:tcPr>
          <w:p w14:paraId="4E7A9A8C" w14:textId="38DF114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OS/OF Ratio</w:t>
            </w:r>
          </w:p>
        </w:tc>
        <w:tc>
          <w:tcPr>
            <w:tcW w:w="1870" w:type="dxa"/>
            <w:vAlign w:val="center"/>
          </w:tcPr>
          <w:p w14:paraId="1BADE7D7" w14:textId="77777777" w:rsidR="009546B7" w:rsidRDefault="00993A14" w:rsidP="00A84B19">
            <w:pPr>
              <w:spacing w:line="480" w:lineRule="auto"/>
              <w:jc w:val="both"/>
              <w:rPr>
                <w:rFonts w:ascii="Times New Roman" w:hAnsi="Times New Roman" w:cs="Times New Roman"/>
                <w:b/>
                <w:bCs/>
                <w:sz w:val="24"/>
                <w:szCs w:val="24"/>
              </w:rPr>
            </w:pPr>
            <w:proofErr w:type="gramStart"/>
            <w:r w:rsidRPr="00A84B19">
              <w:rPr>
                <w:rFonts w:ascii="Times New Roman" w:hAnsi="Times New Roman" w:cs="Times New Roman"/>
                <w:b/>
                <w:bCs/>
                <w:sz w:val="24"/>
                <w:szCs w:val="24"/>
              </w:rPr>
              <w:t>HCD(</w:t>
            </w:r>
            <w:proofErr w:type="gramEnd"/>
            <w:r w:rsidRPr="00A84B19">
              <w:rPr>
                <w:rFonts w:ascii="Times New Roman" w:hAnsi="Times New Roman" w:cs="Times New Roman"/>
                <w:b/>
                <w:bCs/>
                <w:sz w:val="24"/>
                <w:szCs w:val="24"/>
              </w:rPr>
              <w:t xml:space="preserve">µm) </w:t>
            </w:r>
          </w:p>
          <w:p w14:paraId="5087C92C" w14:textId="13360D6E" w:rsidR="00993A14" w:rsidRPr="00A84B19" w:rsidRDefault="00993A14" w:rsidP="00A84B19">
            <w:pPr>
              <w:spacing w:line="480" w:lineRule="auto"/>
              <w:jc w:val="both"/>
              <w:rPr>
                <w:rFonts w:ascii="Times New Roman" w:hAnsi="Times New Roman" w:cs="Times New Roman"/>
                <w:sz w:val="24"/>
                <w:szCs w:val="24"/>
              </w:rPr>
            </w:pPr>
            <w:r w:rsidRPr="009546B7">
              <w:rPr>
                <w:rFonts w:ascii="Times New Roman" w:hAnsi="Times New Roman" w:cs="Times New Roman"/>
                <w:b/>
                <w:bCs/>
              </w:rPr>
              <w:t>Mean ± SEM</w:t>
            </w:r>
          </w:p>
        </w:tc>
      </w:tr>
      <w:tr w:rsidR="00993A14" w:rsidRPr="00A84B19" w14:paraId="0CEA01B5" w14:textId="77777777" w:rsidTr="00231C5E">
        <w:tc>
          <w:tcPr>
            <w:tcW w:w="1870" w:type="dxa"/>
            <w:vAlign w:val="center"/>
          </w:tcPr>
          <w:p w14:paraId="43C25CCF" w14:textId="1AA1684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vAlign w:val="center"/>
          </w:tcPr>
          <w:p w14:paraId="126F4BCA" w14:textId="3D291CE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8.00 ± 1.36</w:t>
            </w:r>
          </w:p>
        </w:tc>
        <w:tc>
          <w:tcPr>
            <w:tcW w:w="1870" w:type="dxa"/>
            <w:vAlign w:val="center"/>
          </w:tcPr>
          <w:p w14:paraId="52BB4F03" w14:textId="6D4729A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13.80 ± 1.61</w:t>
            </w:r>
          </w:p>
        </w:tc>
        <w:tc>
          <w:tcPr>
            <w:tcW w:w="1870" w:type="dxa"/>
            <w:vAlign w:val="center"/>
          </w:tcPr>
          <w:p w14:paraId="76D2FCA1" w14:textId="5E15D40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0.58</w:t>
            </w:r>
          </w:p>
        </w:tc>
        <w:tc>
          <w:tcPr>
            <w:tcW w:w="1870" w:type="dxa"/>
            <w:vAlign w:val="center"/>
          </w:tcPr>
          <w:p w14:paraId="1732A4D3" w14:textId="067484E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10.40 ± 1.23</w:t>
            </w:r>
          </w:p>
        </w:tc>
      </w:tr>
      <w:tr w:rsidR="00993A14" w:rsidRPr="00A84B19" w14:paraId="429E8A4F" w14:textId="77777777" w:rsidTr="00231C5E">
        <w:tc>
          <w:tcPr>
            <w:tcW w:w="1870" w:type="dxa"/>
            <w:vAlign w:val="center"/>
          </w:tcPr>
          <w:p w14:paraId="08502212" w14:textId="3F1AB89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vAlign w:val="center"/>
          </w:tcPr>
          <w:p w14:paraId="0537D18D" w14:textId="7F28D85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2.70 ± 0.74</w:t>
            </w:r>
          </w:p>
        </w:tc>
        <w:tc>
          <w:tcPr>
            <w:tcW w:w="1870" w:type="dxa"/>
            <w:vAlign w:val="center"/>
          </w:tcPr>
          <w:p w14:paraId="496ECCDD" w14:textId="5D01619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11.60 ± 1.94</w:t>
            </w:r>
          </w:p>
        </w:tc>
        <w:tc>
          <w:tcPr>
            <w:tcW w:w="1870" w:type="dxa"/>
            <w:vAlign w:val="center"/>
          </w:tcPr>
          <w:p w14:paraId="3AB60E6E" w14:textId="190AD1B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0.23</w:t>
            </w:r>
          </w:p>
        </w:tc>
        <w:tc>
          <w:tcPr>
            <w:tcW w:w="1870" w:type="dxa"/>
            <w:vAlign w:val="center"/>
          </w:tcPr>
          <w:p w14:paraId="75546B1F" w14:textId="4F1C928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13.05 ± 0.89</w:t>
            </w:r>
          </w:p>
        </w:tc>
      </w:tr>
      <w:tr w:rsidR="00993A14" w:rsidRPr="00A84B19" w14:paraId="55C0E0B6" w14:textId="77777777" w:rsidTr="00231C5E">
        <w:tc>
          <w:tcPr>
            <w:tcW w:w="1870" w:type="dxa"/>
            <w:vAlign w:val="center"/>
          </w:tcPr>
          <w:p w14:paraId="572CD0E4" w14:textId="162F1E1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vAlign w:val="center"/>
          </w:tcPr>
          <w:p w14:paraId="6D568CA6" w14:textId="28A21D4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0.20 ± 0.22</w:t>
            </w:r>
          </w:p>
        </w:tc>
        <w:tc>
          <w:tcPr>
            <w:tcW w:w="1870" w:type="dxa"/>
            <w:vAlign w:val="center"/>
          </w:tcPr>
          <w:p w14:paraId="2C5EA3A2" w14:textId="6E4A7DE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11.30 ± 1.54</w:t>
            </w:r>
          </w:p>
        </w:tc>
        <w:tc>
          <w:tcPr>
            <w:tcW w:w="1870" w:type="dxa"/>
            <w:vAlign w:val="center"/>
          </w:tcPr>
          <w:p w14:paraId="45B843E9" w14:textId="3ACD78A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0.02</w:t>
            </w:r>
          </w:p>
        </w:tc>
        <w:tc>
          <w:tcPr>
            <w:tcW w:w="1870" w:type="dxa"/>
            <w:vAlign w:val="center"/>
          </w:tcPr>
          <w:p w14:paraId="4912151D" w14:textId="7799DE2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17.49 ± 1.18</w:t>
            </w:r>
          </w:p>
        </w:tc>
      </w:tr>
    </w:tbl>
    <w:p w14:paraId="2FD5D95A" w14:textId="77777777" w:rsidR="00C3240D" w:rsidRPr="00A84B19" w:rsidRDefault="00C3240D" w:rsidP="00C3240D">
      <w:pPr>
        <w:spacing w:line="36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Higher OS/OF ratios indicate increased remodeling activity through secondary osteon formation.</w:t>
      </w:r>
    </w:p>
    <w:p w14:paraId="1AC45837" w14:textId="14072259" w:rsidR="00116E8D" w:rsidRPr="00A84B19" w:rsidRDefault="00116E8D" w:rsidP="00116E8D">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 = secondary osteons; OP = primary osteons; OF = osteon fragments; HCD = Haversian canal diameter; Max OD = maximum osteon diameter; SEM = standard error of mean.</w:t>
      </w:r>
    </w:p>
    <w:p w14:paraId="3E2719B8" w14:textId="6CD935EA"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Rib bones showed the highest remodeling activity, with a secondary osteon mean of 8.00 ± 1.36 and an OS/OF ratio of 0.58. Sternum bones demonstrated intermediate remodeling, with OS = 2.70 ± 0.74 and an OS/OF ratio of 0.23. Calcaneus bones exhibited minimal remodeling activity, with </w:t>
      </w:r>
      <w:r w:rsidRPr="00A84B19">
        <w:rPr>
          <w:rFonts w:ascii="Times New Roman" w:hAnsi="Times New Roman" w:cs="Times New Roman"/>
          <w:sz w:val="24"/>
          <w:szCs w:val="24"/>
        </w:rPr>
        <w:lastRenderedPageBreak/>
        <w:t>a very low secondary osteon count (0.20 ± 0.22), an OS/OF ratio of 0.02, and the largest mean Haversian canal diameter (17.49 ± 1.18 µm).</w:t>
      </w:r>
    </w:p>
    <w:p w14:paraId="577D1873" w14:textId="77777777" w:rsidR="009448C6" w:rsidRPr="00A84B19" w:rsidRDefault="009448C6" w:rsidP="00A84B19">
      <w:pPr>
        <w:spacing w:line="480" w:lineRule="auto"/>
        <w:jc w:val="both"/>
        <w:rPr>
          <w:rFonts w:ascii="Times New Roman" w:hAnsi="Times New Roman" w:cs="Times New Roman"/>
          <w:sz w:val="24"/>
          <w:szCs w:val="24"/>
        </w:rPr>
      </w:pPr>
    </w:p>
    <w:p w14:paraId="6D281B16" w14:textId="61080FBB" w:rsidR="00993A14" w:rsidRPr="00A84B19" w:rsidRDefault="009448C6" w:rsidP="00F12497">
      <w:pPr>
        <w:spacing w:line="480" w:lineRule="auto"/>
        <w:jc w:val="center"/>
        <w:rPr>
          <w:rFonts w:ascii="Times New Roman" w:hAnsi="Times New Roman" w:cs="Times New Roman"/>
          <w:sz w:val="24"/>
          <w:szCs w:val="24"/>
        </w:rPr>
      </w:pPr>
      <w:r w:rsidRPr="00A84B19">
        <w:rPr>
          <w:rFonts w:ascii="Times New Roman" w:hAnsi="Times New Roman" w:cs="Times New Roman"/>
          <w:b/>
          <w:bCs/>
          <w:sz w:val="24"/>
          <w:szCs w:val="24"/>
        </w:rPr>
        <w:t>Table 4</w:t>
      </w:r>
      <w:r w:rsidR="00993A14" w:rsidRPr="00A84B19">
        <w:rPr>
          <w:rFonts w:ascii="Times New Roman" w:hAnsi="Times New Roman" w:cs="Times New Roman"/>
          <w:b/>
          <w:bCs/>
          <w:sz w:val="24"/>
          <w:szCs w:val="24"/>
        </w:rPr>
        <w:t xml:space="preserve">: </w:t>
      </w:r>
      <w:r w:rsidRPr="00A84B19">
        <w:rPr>
          <w:rFonts w:ascii="Times New Roman" w:hAnsi="Times New Roman" w:cs="Times New Roman"/>
          <w:sz w:val="24"/>
          <w:szCs w:val="24"/>
        </w:rPr>
        <w:t xml:space="preserve">Quantitative Indicators of Histological Preservation </w:t>
      </w:r>
      <w:r w:rsidR="00633B53">
        <w:rPr>
          <w:rFonts w:ascii="Times New Roman" w:hAnsi="Times New Roman" w:cs="Times New Roman"/>
          <w:sz w:val="24"/>
          <w:szCs w:val="24"/>
        </w:rPr>
        <w:t>a</w:t>
      </w:r>
      <w:r w:rsidRPr="00A84B19">
        <w:rPr>
          <w:rFonts w:ascii="Times New Roman" w:hAnsi="Times New Roman" w:cs="Times New Roman"/>
          <w:sz w:val="24"/>
          <w:szCs w:val="24"/>
        </w:rPr>
        <w:t xml:space="preserve">cross Bone </w:t>
      </w:r>
      <w:r w:rsidR="00633B53">
        <w:rPr>
          <w:rFonts w:ascii="Times New Roman" w:hAnsi="Times New Roman" w:cs="Times New Roman"/>
          <w:sz w:val="24"/>
          <w:szCs w:val="24"/>
        </w:rPr>
        <w:t>Types</w:t>
      </w:r>
    </w:p>
    <w:tbl>
      <w:tblPr>
        <w:tblStyle w:val="TableGrid"/>
        <w:tblW w:w="0" w:type="auto"/>
        <w:tblLook w:val="04A0" w:firstRow="1" w:lastRow="0" w:firstColumn="1" w:lastColumn="0" w:noHBand="0" w:noVBand="1"/>
      </w:tblPr>
      <w:tblGrid>
        <w:gridCol w:w="1870"/>
        <w:gridCol w:w="1870"/>
        <w:gridCol w:w="1870"/>
        <w:gridCol w:w="1870"/>
        <w:gridCol w:w="1870"/>
      </w:tblGrid>
      <w:tr w:rsidR="002F3E1C" w:rsidRPr="00A84B19" w14:paraId="453FF751" w14:textId="77777777" w:rsidTr="00637666">
        <w:tc>
          <w:tcPr>
            <w:tcW w:w="1870" w:type="dxa"/>
            <w:vAlign w:val="center"/>
          </w:tcPr>
          <w:p w14:paraId="0F65B89A" w14:textId="7A612503"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Bone Type</w:t>
            </w:r>
          </w:p>
        </w:tc>
        <w:tc>
          <w:tcPr>
            <w:tcW w:w="1870" w:type="dxa"/>
            <w:vAlign w:val="center"/>
          </w:tcPr>
          <w:p w14:paraId="2F65BFF7" w14:textId="77777777" w:rsidR="000C5FD6" w:rsidRDefault="002F3E1C" w:rsidP="00E463F5">
            <w:pPr>
              <w:spacing w:line="36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 xml:space="preserve">Intact Osteons (OS + OP) </w:t>
            </w:r>
          </w:p>
          <w:p w14:paraId="4C67B779" w14:textId="71E9BF88" w:rsidR="002F3E1C" w:rsidRPr="00A84B19" w:rsidRDefault="002F3E1C" w:rsidP="00A84B19">
            <w:pPr>
              <w:spacing w:line="480" w:lineRule="auto"/>
              <w:jc w:val="both"/>
              <w:rPr>
                <w:rFonts w:ascii="Times New Roman" w:hAnsi="Times New Roman" w:cs="Times New Roman"/>
                <w:sz w:val="24"/>
                <w:szCs w:val="24"/>
              </w:rPr>
            </w:pPr>
            <w:r w:rsidRPr="000C5FD6">
              <w:rPr>
                <w:rFonts w:ascii="Times New Roman" w:hAnsi="Times New Roman" w:cs="Times New Roman"/>
                <w:b/>
                <w:bCs/>
              </w:rPr>
              <w:t>Mean ± SEM</w:t>
            </w:r>
          </w:p>
        </w:tc>
        <w:tc>
          <w:tcPr>
            <w:tcW w:w="1870" w:type="dxa"/>
            <w:vAlign w:val="center"/>
          </w:tcPr>
          <w:p w14:paraId="41F67A65" w14:textId="54B8849E" w:rsidR="002F3E1C" w:rsidRPr="00A84B19" w:rsidRDefault="002F3E1C" w:rsidP="00E463F5">
            <w:pPr>
              <w:spacing w:line="36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Osteon Fragments (OF) </w:t>
            </w:r>
            <w:r w:rsidRPr="000C5FD6">
              <w:rPr>
                <w:rFonts w:ascii="Times New Roman" w:hAnsi="Times New Roman" w:cs="Times New Roman"/>
                <w:b/>
                <w:bCs/>
              </w:rPr>
              <w:t>Mean ± SEM</w:t>
            </w:r>
          </w:p>
        </w:tc>
        <w:tc>
          <w:tcPr>
            <w:tcW w:w="1870" w:type="dxa"/>
            <w:vAlign w:val="center"/>
          </w:tcPr>
          <w:p w14:paraId="773ADADE" w14:textId="77777777" w:rsidR="00E463F5" w:rsidRDefault="00B704DC" w:rsidP="00E463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Osteon </w:t>
            </w:r>
            <w:r w:rsidR="002F3E1C" w:rsidRPr="00A84B19">
              <w:rPr>
                <w:rFonts w:ascii="Times New Roman" w:hAnsi="Times New Roman" w:cs="Times New Roman"/>
                <w:b/>
                <w:bCs/>
                <w:sz w:val="24"/>
                <w:szCs w:val="24"/>
              </w:rPr>
              <w:t xml:space="preserve">Fragmentation Index </w:t>
            </w:r>
          </w:p>
          <w:p w14:paraId="27C23B93" w14:textId="74BC4F4B" w:rsidR="002F3E1C" w:rsidRPr="00A84B19" w:rsidRDefault="002F3E1C" w:rsidP="00E463F5">
            <w:pPr>
              <w:spacing w:line="360" w:lineRule="auto"/>
              <w:jc w:val="both"/>
              <w:rPr>
                <w:rFonts w:ascii="Times New Roman" w:hAnsi="Times New Roman" w:cs="Times New Roman"/>
                <w:sz w:val="24"/>
                <w:szCs w:val="24"/>
              </w:rPr>
            </w:pPr>
            <w:r w:rsidRPr="00E463F5">
              <w:rPr>
                <w:rFonts w:ascii="Times New Roman" w:hAnsi="Times New Roman" w:cs="Times New Roman"/>
                <w:b/>
                <w:bCs/>
              </w:rPr>
              <w:t>(OF / [OS + OP])</w:t>
            </w:r>
          </w:p>
        </w:tc>
        <w:tc>
          <w:tcPr>
            <w:tcW w:w="1870" w:type="dxa"/>
            <w:vAlign w:val="center"/>
          </w:tcPr>
          <w:p w14:paraId="617449CC" w14:textId="75716526" w:rsidR="002F3E1C" w:rsidRPr="00A84B19" w:rsidRDefault="002F3E1C" w:rsidP="00A84B19">
            <w:pPr>
              <w:spacing w:line="480" w:lineRule="auto"/>
              <w:jc w:val="both"/>
              <w:rPr>
                <w:rFonts w:ascii="Times New Roman" w:hAnsi="Times New Roman" w:cs="Times New Roman"/>
                <w:sz w:val="24"/>
                <w:szCs w:val="24"/>
              </w:rPr>
            </w:pPr>
            <w:proofErr w:type="spellStart"/>
            <w:r w:rsidRPr="00A84B19">
              <w:rPr>
                <w:rFonts w:ascii="Times New Roman" w:hAnsi="Times New Roman" w:cs="Times New Roman"/>
                <w:b/>
                <w:bCs/>
                <w:sz w:val="24"/>
                <w:szCs w:val="24"/>
              </w:rPr>
              <w:t>MaxOD</w:t>
            </w:r>
            <w:proofErr w:type="spellEnd"/>
            <w:r w:rsidRPr="00A84B19">
              <w:rPr>
                <w:rFonts w:ascii="Times New Roman" w:hAnsi="Times New Roman" w:cs="Times New Roman"/>
                <w:b/>
                <w:bCs/>
                <w:sz w:val="24"/>
                <w:szCs w:val="24"/>
              </w:rPr>
              <w:t xml:space="preserve"> (µm) </w:t>
            </w:r>
            <w:r w:rsidRPr="000C5FD6">
              <w:rPr>
                <w:rFonts w:ascii="Times New Roman" w:hAnsi="Times New Roman" w:cs="Times New Roman"/>
                <w:b/>
                <w:bCs/>
              </w:rPr>
              <w:t>Mean ± SEM</w:t>
            </w:r>
          </w:p>
        </w:tc>
      </w:tr>
      <w:tr w:rsidR="002F3E1C" w:rsidRPr="00A84B19" w14:paraId="12F9CD2F" w14:textId="77777777" w:rsidTr="00637666">
        <w:tc>
          <w:tcPr>
            <w:tcW w:w="1870" w:type="dxa"/>
            <w:vAlign w:val="center"/>
          </w:tcPr>
          <w:p w14:paraId="41FFC0F5" w14:textId="35E5DB15"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vAlign w:val="center"/>
          </w:tcPr>
          <w:p w14:paraId="0B9A4B60" w14:textId="4E129656"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12.80 ± 1.98</w:t>
            </w:r>
          </w:p>
        </w:tc>
        <w:tc>
          <w:tcPr>
            <w:tcW w:w="1870" w:type="dxa"/>
            <w:vAlign w:val="center"/>
          </w:tcPr>
          <w:p w14:paraId="394A6995" w14:textId="3A1E35B0"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13.80 ± 1.61</w:t>
            </w:r>
          </w:p>
        </w:tc>
        <w:tc>
          <w:tcPr>
            <w:tcW w:w="1870" w:type="dxa"/>
            <w:vAlign w:val="center"/>
          </w:tcPr>
          <w:p w14:paraId="76C14C72" w14:textId="33FE6F9D"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1.08</w:t>
            </w:r>
          </w:p>
        </w:tc>
        <w:tc>
          <w:tcPr>
            <w:tcW w:w="1870" w:type="dxa"/>
            <w:vAlign w:val="center"/>
          </w:tcPr>
          <w:p w14:paraId="709EB104" w14:textId="430CA93C"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40.63 ± 2.56</w:t>
            </w:r>
          </w:p>
        </w:tc>
      </w:tr>
      <w:tr w:rsidR="002F3E1C" w:rsidRPr="00A84B19" w14:paraId="17C21D0C" w14:textId="77777777" w:rsidTr="00637666">
        <w:tc>
          <w:tcPr>
            <w:tcW w:w="1870" w:type="dxa"/>
            <w:vAlign w:val="center"/>
          </w:tcPr>
          <w:p w14:paraId="144138C0" w14:textId="57C53C69"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vAlign w:val="center"/>
          </w:tcPr>
          <w:p w14:paraId="252AEBD4" w14:textId="44AB6B46"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4.10 ± 0.81</w:t>
            </w:r>
          </w:p>
        </w:tc>
        <w:tc>
          <w:tcPr>
            <w:tcW w:w="1870" w:type="dxa"/>
            <w:vAlign w:val="center"/>
          </w:tcPr>
          <w:p w14:paraId="7AA5E1D4" w14:textId="7F3F422E"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11.60 ± 1.94</w:t>
            </w:r>
          </w:p>
        </w:tc>
        <w:tc>
          <w:tcPr>
            <w:tcW w:w="1870" w:type="dxa"/>
            <w:vAlign w:val="center"/>
          </w:tcPr>
          <w:p w14:paraId="48D57C99" w14:textId="38DAD22D"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2.83</w:t>
            </w:r>
          </w:p>
        </w:tc>
        <w:tc>
          <w:tcPr>
            <w:tcW w:w="1870" w:type="dxa"/>
            <w:vAlign w:val="center"/>
          </w:tcPr>
          <w:p w14:paraId="4119D9B7" w14:textId="3DBDDEBE"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35.63 ± 1.06</w:t>
            </w:r>
          </w:p>
        </w:tc>
      </w:tr>
      <w:tr w:rsidR="002F3E1C" w:rsidRPr="00A84B19" w14:paraId="4C7196E1" w14:textId="77777777" w:rsidTr="00637666">
        <w:tc>
          <w:tcPr>
            <w:tcW w:w="1870" w:type="dxa"/>
            <w:vAlign w:val="center"/>
          </w:tcPr>
          <w:p w14:paraId="0CE1077D" w14:textId="3816E30F"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vAlign w:val="center"/>
          </w:tcPr>
          <w:p w14:paraId="2FE90DBE" w14:textId="61118D97"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0.40 ± 0.25</w:t>
            </w:r>
          </w:p>
        </w:tc>
        <w:tc>
          <w:tcPr>
            <w:tcW w:w="1870" w:type="dxa"/>
            <w:vAlign w:val="center"/>
          </w:tcPr>
          <w:p w14:paraId="1AC108DE" w14:textId="7971BD35"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11.30 ± 1.54</w:t>
            </w:r>
          </w:p>
        </w:tc>
        <w:tc>
          <w:tcPr>
            <w:tcW w:w="1870" w:type="dxa"/>
            <w:vAlign w:val="center"/>
          </w:tcPr>
          <w:p w14:paraId="7A7DF420" w14:textId="1B7494EA"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28.25</w:t>
            </w:r>
          </w:p>
        </w:tc>
        <w:tc>
          <w:tcPr>
            <w:tcW w:w="1870" w:type="dxa"/>
            <w:vAlign w:val="center"/>
          </w:tcPr>
          <w:p w14:paraId="4D0B7AC4" w14:textId="628195D2"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44.16 ± 1.80</w:t>
            </w:r>
          </w:p>
        </w:tc>
      </w:tr>
    </w:tbl>
    <w:p w14:paraId="06231126" w14:textId="6B33B77E" w:rsidR="009448C6" w:rsidRDefault="009448C6" w:rsidP="00C3240D">
      <w:pPr>
        <w:spacing w:line="36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Lower fragmentation index values indicate better histological preservation. </w:t>
      </w:r>
    </w:p>
    <w:p w14:paraId="20CAF9FB" w14:textId="77777777" w:rsidR="00C3240D" w:rsidRPr="00A84B19" w:rsidRDefault="00C3240D" w:rsidP="00C3240D">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 = secondary osteons; OP = primary osteons; OF = osteon fragments; HCD = Haversian canal diameter; Max OD = maximum osteon diameter; SEM = standard error of mean.</w:t>
      </w:r>
    </w:p>
    <w:p w14:paraId="4C257CAA" w14:textId="77777777" w:rsidR="00C3240D" w:rsidRPr="00A84B19" w:rsidRDefault="00C3240D" w:rsidP="00A84B19">
      <w:pPr>
        <w:spacing w:line="480" w:lineRule="auto"/>
        <w:jc w:val="both"/>
        <w:rPr>
          <w:rFonts w:ascii="Times New Roman" w:hAnsi="Times New Roman" w:cs="Times New Roman"/>
          <w:sz w:val="24"/>
          <w:szCs w:val="24"/>
        </w:rPr>
      </w:pPr>
    </w:p>
    <w:p w14:paraId="777F1E92" w14:textId="1F2AD21F"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Rib bones displayed the best histological preservation, with the highest intact osteon count (OS + OP = 12.80 ± 1.98) and the lowest </w:t>
      </w:r>
      <w:r w:rsidR="008128C0">
        <w:rPr>
          <w:rFonts w:ascii="Times New Roman" w:hAnsi="Times New Roman" w:cs="Times New Roman"/>
          <w:sz w:val="24"/>
          <w:szCs w:val="24"/>
        </w:rPr>
        <w:t>OFI</w:t>
      </w:r>
      <w:r w:rsidRPr="00A84B19">
        <w:rPr>
          <w:rFonts w:ascii="Times New Roman" w:hAnsi="Times New Roman" w:cs="Times New Roman"/>
          <w:sz w:val="24"/>
          <w:szCs w:val="24"/>
        </w:rPr>
        <w:t xml:space="preserve"> (1.08). Sternum bones showed moderate preservation (intact osteons = 4.10 ± 0.81; </w:t>
      </w:r>
      <w:r w:rsidR="008128C0">
        <w:rPr>
          <w:rFonts w:ascii="Times New Roman" w:hAnsi="Times New Roman" w:cs="Times New Roman"/>
          <w:sz w:val="24"/>
          <w:szCs w:val="24"/>
        </w:rPr>
        <w:t>OFI</w:t>
      </w:r>
      <w:r w:rsidRPr="00A84B19">
        <w:rPr>
          <w:rFonts w:ascii="Times New Roman" w:hAnsi="Times New Roman" w:cs="Times New Roman"/>
          <w:sz w:val="24"/>
          <w:szCs w:val="24"/>
        </w:rPr>
        <w:t xml:space="preserve"> = 2.83). Calcaneus bones demonstrated poor preservation, characterized by very low intact osteon counts (0.40 ± 0.25) and a markedly </w:t>
      </w:r>
      <w:r w:rsidR="008128C0">
        <w:rPr>
          <w:rFonts w:ascii="Times New Roman" w:hAnsi="Times New Roman" w:cs="Times New Roman"/>
          <w:sz w:val="24"/>
          <w:szCs w:val="24"/>
        </w:rPr>
        <w:t>OFI</w:t>
      </w:r>
      <w:r w:rsidRPr="00A84B19">
        <w:rPr>
          <w:rFonts w:ascii="Times New Roman" w:hAnsi="Times New Roman" w:cs="Times New Roman"/>
          <w:sz w:val="24"/>
          <w:szCs w:val="24"/>
        </w:rPr>
        <w:t xml:space="preserve"> (28.25), despite having the largest mean osteon diameter (44.16 ± 1.80 µm).</w:t>
      </w:r>
    </w:p>
    <w:p w14:paraId="3DBB3473" w14:textId="12184C07" w:rsidR="009448C6" w:rsidRDefault="009448C6" w:rsidP="00A84B19">
      <w:pPr>
        <w:spacing w:line="480" w:lineRule="auto"/>
        <w:jc w:val="both"/>
        <w:rPr>
          <w:rFonts w:ascii="Times New Roman" w:hAnsi="Times New Roman" w:cs="Times New Roman"/>
          <w:sz w:val="24"/>
          <w:szCs w:val="24"/>
        </w:rPr>
      </w:pPr>
    </w:p>
    <w:p w14:paraId="4F0EC682" w14:textId="77777777" w:rsidR="009C39A6" w:rsidRPr="00A84B19" w:rsidRDefault="009C39A6" w:rsidP="00A84B19">
      <w:pPr>
        <w:spacing w:line="480" w:lineRule="auto"/>
        <w:jc w:val="both"/>
        <w:rPr>
          <w:rFonts w:ascii="Times New Roman" w:hAnsi="Times New Roman" w:cs="Times New Roman"/>
          <w:sz w:val="24"/>
          <w:szCs w:val="24"/>
        </w:rPr>
      </w:pPr>
    </w:p>
    <w:p w14:paraId="680417C9" w14:textId="13B30D5C" w:rsidR="00750A3F" w:rsidRDefault="00750A3F" w:rsidP="00A84B19">
      <w:pPr>
        <w:spacing w:line="480" w:lineRule="auto"/>
        <w:jc w:val="both"/>
        <w:rPr>
          <w:rFonts w:ascii="Times New Roman" w:hAnsi="Times New Roman" w:cs="Times New Roman"/>
          <w:b/>
          <w:bCs/>
          <w:sz w:val="24"/>
          <w:szCs w:val="24"/>
        </w:rPr>
      </w:pPr>
      <w:r>
        <w:rPr>
          <w:noProof/>
        </w:rPr>
        <w:lastRenderedPageBreak/>
        <mc:AlternateContent>
          <mc:Choice Requires="wpg">
            <w:drawing>
              <wp:anchor distT="0" distB="0" distL="114300" distR="114300" simplePos="0" relativeHeight="251665408" behindDoc="0" locked="0" layoutInCell="1" allowOverlap="1" wp14:anchorId="57144F13" wp14:editId="01FD4F61">
                <wp:simplePos x="0" y="0"/>
                <wp:positionH relativeFrom="column">
                  <wp:posOffset>714375</wp:posOffset>
                </wp:positionH>
                <wp:positionV relativeFrom="paragraph">
                  <wp:posOffset>838200</wp:posOffset>
                </wp:positionV>
                <wp:extent cx="1609725" cy="1085850"/>
                <wp:effectExtent l="0" t="0" r="28575" b="19050"/>
                <wp:wrapNone/>
                <wp:docPr id="1995896752" name="Group 6"/>
                <wp:cNvGraphicFramePr/>
                <a:graphic xmlns:a="http://schemas.openxmlformats.org/drawingml/2006/main">
                  <a:graphicData uri="http://schemas.microsoft.com/office/word/2010/wordprocessingGroup">
                    <wpg:wgp>
                      <wpg:cNvGrpSpPr/>
                      <wpg:grpSpPr>
                        <a:xfrm>
                          <a:off x="0" y="0"/>
                          <a:ext cx="1609725" cy="1085850"/>
                          <a:chOff x="0" y="0"/>
                          <a:chExt cx="1609725" cy="1085850"/>
                        </a:xfrm>
                      </wpg:grpSpPr>
                      <wps:wsp>
                        <wps:cNvPr id="935960131" name="Text Box 5"/>
                        <wps:cNvSpPr txBox="1"/>
                        <wps:spPr>
                          <a:xfrm>
                            <a:off x="0" y="0"/>
                            <a:ext cx="419100" cy="276225"/>
                          </a:xfrm>
                          <a:prstGeom prst="rect">
                            <a:avLst/>
                          </a:prstGeom>
                          <a:solidFill>
                            <a:schemeClr val="lt1"/>
                          </a:solidFill>
                          <a:ln w="6350">
                            <a:solidFill>
                              <a:prstClr val="black"/>
                            </a:solidFill>
                          </a:ln>
                        </wps:spPr>
                        <wps:txbx>
                          <w:txbxContent>
                            <w:p w14:paraId="220C38B8" w14:textId="567D07AC" w:rsidR="00750A3F" w:rsidRDefault="00750A3F">
                              <w: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7360371" name="Text Box 5"/>
                        <wps:cNvSpPr txBox="1"/>
                        <wps:spPr>
                          <a:xfrm>
                            <a:off x="828675" y="342900"/>
                            <a:ext cx="419100" cy="276225"/>
                          </a:xfrm>
                          <a:prstGeom prst="rect">
                            <a:avLst/>
                          </a:prstGeom>
                          <a:solidFill>
                            <a:schemeClr val="lt1"/>
                          </a:solidFill>
                          <a:ln w="6350">
                            <a:solidFill>
                              <a:prstClr val="black"/>
                            </a:solidFill>
                          </a:ln>
                        </wps:spPr>
                        <wps:txbx>
                          <w:txbxContent>
                            <w:p w14:paraId="722F466B" w14:textId="6296F5D8" w:rsidR="00750A3F" w:rsidRDefault="00750A3F">
                              <w: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2134271" name="Text Box 5"/>
                        <wps:cNvSpPr txBox="1"/>
                        <wps:spPr>
                          <a:xfrm>
                            <a:off x="1190625" y="809625"/>
                            <a:ext cx="419100" cy="276225"/>
                          </a:xfrm>
                          <a:prstGeom prst="rect">
                            <a:avLst/>
                          </a:prstGeom>
                          <a:solidFill>
                            <a:schemeClr val="lt1"/>
                          </a:solidFill>
                          <a:ln w="6350">
                            <a:solidFill>
                              <a:prstClr val="black"/>
                            </a:solidFill>
                          </a:ln>
                        </wps:spPr>
                        <wps:txbx>
                          <w:txbxContent>
                            <w:p w14:paraId="2D92C582" w14:textId="5BA70A8B" w:rsidR="00750A3F" w:rsidRDefault="00750A3F">
                              <w:r>
                                <w:t>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144F13" id="Group 6" o:spid="_x0000_s1026" style="position:absolute;left:0;text-align:left;margin-left:56.25pt;margin-top:66pt;width:126.75pt;height:85.5pt;z-index:251665408" coordsize="16097,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">
                <v:shapetype id="_x0000_t202" coordsize="21600,21600" o:spt="202" path="m,l,21600r21600,l21600,xe">
                  <v:stroke joinstyle="miter"/>
                  <v:path gradientshapeok="t" o:connecttype="rect"/>
                </v:shapetype>
                <v:shape id="Text Box 5" o:spid="_x0000_s1027" type="#_x0000_t202" style="position:absolute;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" fillcolor="white [3201]" strokeweight=".5pt">
                  <v:textbox>
                    <w:txbxContent>
                      <w:p w14:paraId="220C38B8" w14:textId="567D07AC" w:rsidR="00750A3F" w:rsidRDefault="00750A3F">
                        <w:r>
                          <w:t>OS</w:t>
                        </w:r>
                      </w:p>
                    </w:txbxContent>
                  </v:textbox>
                </v:shape>
                <v:shape id="Text Box 5" o:spid="_x0000_s1028" type="#_x0000_t202" style="position:absolute;left:8286;top:3429;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" fillcolor="white [3201]" strokeweight=".5pt">
                  <v:textbox>
                    <w:txbxContent>
                      <w:p w14:paraId="722F466B" w14:textId="6296F5D8" w:rsidR="00750A3F" w:rsidRDefault="00750A3F">
                        <w:r>
                          <w:t>OP</w:t>
                        </w:r>
                      </w:p>
                    </w:txbxContent>
                  </v:textbox>
                </v:shape>
                <v:shape id="Text Box 5" o:spid="_x0000_s1029" type="#_x0000_t202" style="position:absolute;left:11906;top:8096;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" fillcolor="white [3201]" strokeweight=".5pt">
                  <v:textbox>
                    <w:txbxContent>
                      <w:p w14:paraId="2D92C582" w14:textId="5BA70A8B" w:rsidR="00750A3F" w:rsidRDefault="00750A3F">
                        <w:r>
                          <w:t>OF</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59A36AF6" wp14:editId="5FBD734E">
                <wp:simplePos x="0" y="0"/>
                <wp:positionH relativeFrom="column">
                  <wp:posOffset>2314575</wp:posOffset>
                </wp:positionH>
                <wp:positionV relativeFrom="paragraph">
                  <wp:posOffset>1362075</wp:posOffset>
                </wp:positionV>
                <wp:extent cx="523875" cy="381000"/>
                <wp:effectExtent l="0" t="38100" r="47625" b="19050"/>
                <wp:wrapNone/>
                <wp:docPr id="888883926" name="Straight Arrow Connector 4"/>
                <wp:cNvGraphicFramePr/>
                <a:graphic xmlns:a="http://schemas.openxmlformats.org/drawingml/2006/main">
                  <a:graphicData uri="http://schemas.microsoft.com/office/word/2010/wordprocessingShape">
                    <wps:wsp>
                      <wps:cNvCnPr/>
                      <wps:spPr>
                        <a:xfrm flipV="1">
                          <a:off x="0" y="0"/>
                          <a:ext cx="52387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AE2765" id="_x0000_t32" coordsize="21600,21600" o:spt="32" o:oned="t" path="m,l21600,21600e" filled="f">
                <v:path arrowok="t" fillok="f" o:connecttype="none"/>
                <o:lock v:ext="edit" shapetype="t"/>
              </v:shapetype>
              <v:shape id="Straight Arrow Connector 4" o:spid="_x0000_s1026" type="#_x0000_t32" style="position:absolute;margin-left:182.25pt;margin-top:107.25pt;width:41.25pt;height:30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49494D4E" wp14:editId="5502993C">
                <wp:simplePos x="0" y="0"/>
                <wp:positionH relativeFrom="column">
                  <wp:posOffset>1819275</wp:posOffset>
                </wp:positionH>
                <wp:positionV relativeFrom="paragraph">
                  <wp:posOffset>647700</wp:posOffset>
                </wp:positionV>
                <wp:extent cx="457200" cy="581025"/>
                <wp:effectExtent l="0" t="38100" r="57150" b="28575"/>
                <wp:wrapNone/>
                <wp:docPr id="1267996676" name="Straight Arrow Connector 3"/>
                <wp:cNvGraphicFramePr/>
                <a:graphic xmlns:a="http://schemas.openxmlformats.org/drawingml/2006/main">
                  <a:graphicData uri="http://schemas.microsoft.com/office/word/2010/wordprocessingShape">
                    <wps:wsp>
                      <wps:cNvCnPr/>
                      <wps:spPr>
                        <a:xfrm flipV="1">
                          <a:off x="0" y="0"/>
                          <a:ext cx="45720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087D28" id="Straight Arrow Connector 3" o:spid="_x0000_s1026" type="#_x0000_t32" style="position:absolute;margin-left:143.25pt;margin-top:51pt;width:36pt;height:45.7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" strokecolor="#4472c4 [3204]" strokeweight=".5pt">
                <v:stroke endarrow="block" joinstyle="miter"/>
              </v:shape>
            </w:pict>
          </mc:Fallback>
        </mc:AlternateContent>
      </w:r>
      <w:r>
        <w:rPr>
          <w:noProof/>
        </w:rPr>
        <mc:AlternateContent>
          <mc:Choice Requires="wps">
            <w:drawing>
              <wp:anchor distT="0" distB="0" distL="114300" distR="114300" simplePos="0" relativeHeight="251657216" behindDoc="0" locked="0" layoutInCell="1" allowOverlap="1" wp14:anchorId="6616BFB8" wp14:editId="479FB57F">
                <wp:simplePos x="0" y="0"/>
                <wp:positionH relativeFrom="column">
                  <wp:posOffset>1047750</wp:posOffset>
                </wp:positionH>
                <wp:positionV relativeFrom="paragraph">
                  <wp:posOffset>600075</wp:posOffset>
                </wp:positionV>
                <wp:extent cx="476250" cy="314325"/>
                <wp:effectExtent l="0" t="38100" r="57150" b="28575"/>
                <wp:wrapNone/>
                <wp:docPr id="1287443876" name="Straight Arrow Connector 2"/>
                <wp:cNvGraphicFramePr/>
                <a:graphic xmlns:a="http://schemas.openxmlformats.org/drawingml/2006/main">
                  <a:graphicData uri="http://schemas.microsoft.com/office/word/2010/wordprocessingShape">
                    <wps:wsp>
                      <wps:cNvCnPr/>
                      <wps:spPr>
                        <a:xfrm flipV="1">
                          <a:off x="0" y="0"/>
                          <a:ext cx="4762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FE5564" id="Straight Arrow Connector 2" o:spid="_x0000_s1026" type="#_x0000_t32" style="position:absolute;margin-left:82.5pt;margin-top:47.25pt;width:37.5pt;height:24.7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" strokecolor="#4472c4 [3204]" strokeweight=".5pt">
                <v:stroke endarrow="block" joinstyle="miter"/>
              </v:shape>
            </w:pict>
          </mc:Fallback>
        </mc:AlternateContent>
      </w:r>
      <w:r>
        <w:rPr>
          <w:noProof/>
        </w:rPr>
        <w:drawing>
          <wp:inline distT="0" distB="0" distL="0" distR="0" wp14:anchorId="0A695430" wp14:editId="3B42873B">
            <wp:extent cx="3790950" cy="2990850"/>
            <wp:effectExtent l="0" t="0" r="0" b="0"/>
            <wp:docPr id="41483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950" cy="2990850"/>
                    </a:xfrm>
                    <a:prstGeom prst="rect">
                      <a:avLst/>
                    </a:prstGeom>
                    <a:noFill/>
                    <a:ln>
                      <a:noFill/>
                    </a:ln>
                  </pic:spPr>
                </pic:pic>
              </a:graphicData>
            </a:graphic>
          </wp:inline>
        </w:drawing>
      </w:r>
    </w:p>
    <w:p w14:paraId="773BCA4B" w14:textId="7A515B64" w:rsidR="005D4E0C" w:rsidRPr="005D4E0C" w:rsidRDefault="005D4E0C" w:rsidP="005D4E0C">
      <w:pPr>
        <w:spacing w:line="360" w:lineRule="auto"/>
        <w:jc w:val="both"/>
        <w:rPr>
          <w:rFonts w:ascii="Times New Roman" w:hAnsi="Times New Roman" w:cs="Times New Roman"/>
        </w:rPr>
      </w:pPr>
      <w:r>
        <w:rPr>
          <w:rFonts w:ascii="Times New Roman" w:hAnsi="Times New Roman" w:cs="Times New Roman"/>
          <w:b/>
          <w:bCs/>
          <w:sz w:val="24"/>
          <w:szCs w:val="24"/>
        </w:rPr>
        <w:t xml:space="preserve">Fig 1: </w:t>
      </w:r>
      <w:r w:rsidRPr="005D4E0C">
        <w:rPr>
          <w:rFonts w:ascii="Times New Roman" w:hAnsi="Times New Roman" w:cs="Times New Roman"/>
        </w:rPr>
        <w:t>Transverse section of a rib. X100. OS-Secondary osteon, OP-Primary osteon, OF-Osteon fragment</w:t>
      </w:r>
    </w:p>
    <w:p w14:paraId="0E7194F2" w14:textId="77777777" w:rsidR="005D4E0C" w:rsidRDefault="005D4E0C" w:rsidP="00A84B19">
      <w:pPr>
        <w:spacing w:line="480" w:lineRule="auto"/>
        <w:jc w:val="both"/>
        <w:rPr>
          <w:rFonts w:ascii="Times New Roman" w:hAnsi="Times New Roman" w:cs="Times New Roman"/>
          <w:b/>
          <w:bCs/>
          <w:sz w:val="24"/>
          <w:szCs w:val="24"/>
        </w:rPr>
      </w:pPr>
    </w:p>
    <w:p w14:paraId="2665D6A5" w14:textId="2215A01F" w:rsidR="007A6212" w:rsidRDefault="007A6212" w:rsidP="00A84B19">
      <w:pPr>
        <w:spacing w:line="480" w:lineRule="auto"/>
        <w:jc w:val="both"/>
        <w:rPr>
          <w:rFonts w:ascii="Times New Roman" w:hAnsi="Times New Roman" w:cs="Times New Roman"/>
          <w:b/>
          <w:bCs/>
          <w:sz w:val="24"/>
          <w:szCs w:val="24"/>
        </w:rPr>
      </w:pPr>
      <w:r>
        <w:rPr>
          <w:noProof/>
        </w:rPr>
        <mc:AlternateContent>
          <mc:Choice Requires="wpg">
            <w:drawing>
              <wp:anchor distT="0" distB="0" distL="114300" distR="114300" simplePos="0" relativeHeight="251669504" behindDoc="0" locked="0" layoutInCell="1" allowOverlap="1" wp14:anchorId="32AC870D" wp14:editId="227D6FED">
                <wp:simplePos x="0" y="0"/>
                <wp:positionH relativeFrom="column">
                  <wp:posOffset>1162050</wp:posOffset>
                </wp:positionH>
                <wp:positionV relativeFrom="paragraph">
                  <wp:posOffset>578485</wp:posOffset>
                </wp:positionV>
                <wp:extent cx="1200150" cy="714375"/>
                <wp:effectExtent l="0" t="19050" r="38100" b="47625"/>
                <wp:wrapNone/>
                <wp:docPr id="1215227621" name="Group 14"/>
                <wp:cNvGraphicFramePr/>
                <a:graphic xmlns:a="http://schemas.openxmlformats.org/drawingml/2006/main">
                  <a:graphicData uri="http://schemas.microsoft.com/office/word/2010/wordprocessingGroup">
                    <wpg:wgp>
                      <wpg:cNvGrpSpPr/>
                      <wpg:grpSpPr>
                        <a:xfrm>
                          <a:off x="0" y="0"/>
                          <a:ext cx="1200150" cy="714375"/>
                          <a:chOff x="0" y="0"/>
                          <a:chExt cx="1200150" cy="714375"/>
                        </a:xfrm>
                      </wpg:grpSpPr>
                      <wps:wsp>
                        <wps:cNvPr id="1911573341" name="Straight Arrow Connector 11"/>
                        <wps:cNvCnPr/>
                        <wps:spPr>
                          <a:xfrm>
                            <a:off x="209550" y="266700"/>
                            <a:ext cx="2952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0446265" name="Straight Arrow Connector 12"/>
                        <wps:cNvCnPr/>
                        <wps:spPr>
                          <a:xfrm flipV="1">
                            <a:off x="333375" y="47625"/>
                            <a:ext cx="866775"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6538308" name="Text Box 13"/>
                        <wps:cNvSpPr txBox="1"/>
                        <wps:spPr>
                          <a:xfrm>
                            <a:off x="0" y="0"/>
                            <a:ext cx="381000" cy="285750"/>
                          </a:xfrm>
                          <a:prstGeom prst="rect">
                            <a:avLst/>
                          </a:prstGeom>
                          <a:solidFill>
                            <a:schemeClr val="lt1"/>
                          </a:solidFill>
                          <a:ln w="6350">
                            <a:solidFill>
                              <a:prstClr val="black"/>
                            </a:solidFill>
                          </a:ln>
                        </wps:spPr>
                        <wps:txbx>
                          <w:txbxContent>
                            <w:p w14:paraId="6A5FE15D" w14:textId="0947598C" w:rsidR="007A6212" w:rsidRDefault="007A6212">
                              <w:r>
                                <w:t>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AC870D" id="Group 14" o:spid="_x0000_s1030" style="position:absolute;left:0;text-align:left;margin-left:91.5pt;margin-top:45.55pt;width:94.5pt;height:56.25pt;z-index:251669504" coordsize="12001,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">
                <v:shapetype id="_x0000_t32" coordsize="21600,21600" o:spt="32" o:oned="t" path="m,l21600,21600e" filled="f">
                  <v:path arrowok="t" fillok="f" o:connecttype="none"/>
                  <o:lock v:ext="edit" shapetype="t"/>
                </v:shapetype>
                <v:shape id="Straight Arrow Connector 11" o:spid="_x0000_s1031" type="#_x0000_t32" style="position:absolute;left:2095;top:2667;width:2953;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" strokecolor="#4472c4 [3204]" strokeweight=".5pt">
                  <v:stroke endarrow="block" joinstyle="miter"/>
                </v:shape>
                <v:shape id="Straight Arrow Connector 12" o:spid="_x0000_s1032" type="#_x0000_t32" style="position:absolute;left:3333;top:476;width:8668;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" strokecolor="#4472c4 [3204]" strokeweight=".5pt">
                  <v:stroke endarrow="block" joinstyle="miter"/>
                </v:shape>
                <v:shape id="Text Box 13" o:spid="_x0000_s1033" type="#_x0000_t202" style="position:absolute;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" fillcolor="white [3201]" strokeweight=".5pt">
                  <v:textbox>
                    <w:txbxContent>
                      <w:p w14:paraId="6A5FE15D" w14:textId="0947598C" w:rsidR="007A6212" w:rsidRDefault="007A6212">
                        <w:r>
                          <w:t>HC</w:t>
                        </w:r>
                      </w:p>
                    </w:txbxContent>
                  </v:textbox>
                </v:shape>
              </v:group>
            </w:pict>
          </mc:Fallback>
        </mc:AlternateContent>
      </w:r>
      <w:r>
        <w:rPr>
          <w:noProof/>
        </w:rPr>
        <w:drawing>
          <wp:inline distT="0" distB="0" distL="0" distR="0" wp14:anchorId="52F81ABA" wp14:editId="4206797C">
            <wp:extent cx="4152900" cy="2895600"/>
            <wp:effectExtent l="0" t="0" r="0" b="0"/>
            <wp:docPr id="3015573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2900" cy="2895600"/>
                    </a:xfrm>
                    <a:prstGeom prst="rect">
                      <a:avLst/>
                    </a:prstGeom>
                    <a:noFill/>
                    <a:ln>
                      <a:noFill/>
                    </a:ln>
                  </pic:spPr>
                </pic:pic>
              </a:graphicData>
            </a:graphic>
          </wp:inline>
        </w:drawing>
      </w:r>
    </w:p>
    <w:p w14:paraId="14C8C524" w14:textId="47D5495F" w:rsidR="007A6212" w:rsidRPr="005D4E0C" w:rsidRDefault="007A6212" w:rsidP="007A6212">
      <w:pPr>
        <w:spacing w:line="360" w:lineRule="auto"/>
        <w:jc w:val="both"/>
        <w:rPr>
          <w:rFonts w:ascii="Times New Roman" w:hAnsi="Times New Roman" w:cs="Times New Roman"/>
        </w:rPr>
      </w:pPr>
      <w:r>
        <w:rPr>
          <w:rFonts w:ascii="Times New Roman" w:hAnsi="Times New Roman" w:cs="Times New Roman"/>
          <w:b/>
          <w:bCs/>
          <w:sz w:val="24"/>
          <w:szCs w:val="24"/>
        </w:rPr>
        <w:t xml:space="preserve">Fig 2: </w:t>
      </w:r>
      <w:r w:rsidRPr="005D4E0C">
        <w:rPr>
          <w:rFonts w:ascii="Times New Roman" w:hAnsi="Times New Roman" w:cs="Times New Roman"/>
        </w:rPr>
        <w:t xml:space="preserve">Transverse section of </w:t>
      </w:r>
      <w:r w:rsidR="005A69C9">
        <w:rPr>
          <w:rFonts w:ascii="Times New Roman" w:hAnsi="Times New Roman" w:cs="Times New Roman"/>
        </w:rPr>
        <w:t>c</w:t>
      </w:r>
      <w:r>
        <w:rPr>
          <w:rFonts w:ascii="Times New Roman" w:hAnsi="Times New Roman" w:cs="Times New Roman"/>
        </w:rPr>
        <w:t>alcaneus</w:t>
      </w:r>
      <w:r w:rsidRPr="005D4E0C">
        <w:rPr>
          <w:rFonts w:ascii="Times New Roman" w:hAnsi="Times New Roman" w:cs="Times New Roman"/>
        </w:rPr>
        <w:t xml:space="preserve">. X100. </w:t>
      </w:r>
      <w:r>
        <w:rPr>
          <w:rFonts w:ascii="Times New Roman" w:hAnsi="Times New Roman" w:cs="Times New Roman"/>
        </w:rPr>
        <w:t>HC- Haversian canal</w:t>
      </w:r>
    </w:p>
    <w:p w14:paraId="5D06A840" w14:textId="77777777" w:rsidR="005D4E0C" w:rsidRDefault="005D4E0C" w:rsidP="00A84B19">
      <w:pPr>
        <w:spacing w:line="480" w:lineRule="auto"/>
        <w:jc w:val="both"/>
        <w:rPr>
          <w:rFonts w:ascii="Times New Roman" w:hAnsi="Times New Roman" w:cs="Times New Roman"/>
          <w:b/>
          <w:bCs/>
          <w:sz w:val="24"/>
          <w:szCs w:val="24"/>
        </w:rPr>
      </w:pPr>
    </w:p>
    <w:p w14:paraId="35D619A8" w14:textId="366BB4DF" w:rsidR="002F3E1C" w:rsidRPr="00A84B19" w:rsidRDefault="00A84B19"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lastRenderedPageBreak/>
        <w:t>DISCUSSION</w:t>
      </w:r>
    </w:p>
    <w:p w14:paraId="03A31601" w14:textId="3105D71A"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The d</w:t>
      </w:r>
      <w:r w:rsidR="000A5B71">
        <w:rPr>
          <w:rFonts w:ascii="Times New Roman" w:hAnsi="Times New Roman" w:cs="Times New Roman"/>
          <w:sz w:val="24"/>
          <w:szCs w:val="24"/>
        </w:rPr>
        <w:t>ata from the study</w:t>
      </w:r>
      <w:r w:rsidRPr="00A84B19">
        <w:rPr>
          <w:rFonts w:ascii="Times New Roman" w:hAnsi="Times New Roman" w:cs="Times New Roman"/>
          <w:sz w:val="24"/>
          <w:szCs w:val="24"/>
        </w:rPr>
        <w:t xml:space="preserve"> show clear intra-skeletal microstructural differences among ribs, sternum, and calcaneus. Ribs recorded the highest intact osteon counts (secondary osteons = 8.00 ± 1.36; primary osteons = 4.80 ± 1.48) with a moderate mean Haversian canal diameter (10.40 ± 1.23 µm), whereas sternum sections exhibited lower osteon counts (OS = 2.70 ± 0.74; OP = 1.40 ± 0.37) but larger mean </w:t>
      </w:r>
      <w:r w:rsidR="00AD3141">
        <w:rPr>
          <w:rFonts w:ascii="Times New Roman" w:hAnsi="Times New Roman" w:cs="Times New Roman"/>
          <w:sz w:val="24"/>
          <w:szCs w:val="24"/>
        </w:rPr>
        <w:t xml:space="preserve">haversian </w:t>
      </w:r>
      <w:r w:rsidRPr="00A84B19">
        <w:rPr>
          <w:rFonts w:ascii="Times New Roman" w:hAnsi="Times New Roman" w:cs="Times New Roman"/>
          <w:sz w:val="24"/>
          <w:szCs w:val="24"/>
        </w:rPr>
        <w:t>canal diameters (13.05 ± 0.89 µm). Calcaneus samples displayed very low intact osteon numbers (OS = 0.20 ± 0.22; OP = 0.20 ± 0.13) alongside the largest mean Haversian canal diameter (17.49 ± 1.18 µm) and maximum osteon diameter (44.16 ± 1.80 µm) (Table 1). These numerical differences indicate systematic anatomical variation in cortical remodeling and microarchitecture that</w:t>
      </w:r>
      <w:r w:rsidR="00BD2B87">
        <w:rPr>
          <w:rFonts w:ascii="Times New Roman" w:hAnsi="Times New Roman" w:cs="Times New Roman"/>
          <w:sz w:val="24"/>
          <w:szCs w:val="24"/>
        </w:rPr>
        <w:t xml:space="preserve"> </w:t>
      </w:r>
      <w:r w:rsidRPr="00A84B19">
        <w:rPr>
          <w:rFonts w:ascii="Times New Roman" w:hAnsi="Times New Roman" w:cs="Times New Roman"/>
          <w:sz w:val="24"/>
          <w:szCs w:val="24"/>
        </w:rPr>
        <w:t xml:space="preserve">is consistent with recent work emphasizing strong intraskeletal heterogeneity in osteon population density and geometrical features. In particular, ribs frequently show relatively high remodeling indices and are widely used in histological age-estimation studies because of their consistent </w:t>
      </w:r>
      <w:proofErr w:type="spellStart"/>
      <w:r w:rsidRPr="00A84B19">
        <w:rPr>
          <w:rFonts w:ascii="Times New Roman" w:hAnsi="Times New Roman" w:cs="Times New Roman"/>
          <w:sz w:val="24"/>
          <w:szCs w:val="24"/>
        </w:rPr>
        <w:t>osteonal</w:t>
      </w:r>
      <w:proofErr w:type="spellEnd"/>
      <w:r w:rsidRPr="00A84B19">
        <w:rPr>
          <w:rFonts w:ascii="Times New Roman" w:hAnsi="Times New Roman" w:cs="Times New Roman"/>
          <w:sz w:val="24"/>
          <w:szCs w:val="24"/>
        </w:rPr>
        <w:t xml:space="preserve"> signatures across samples</w:t>
      </w:r>
      <w:r w:rsidR="00060BF2" w:rsidRPr="00A84B19">
        <w:rPr>
          <w:rFonts w:ascii="Times New Roman" w:hAnsi="Times New Roman" w:cs="Times New Roman"/>
          <w:sz w:val="24"/>
          <w:szCs w:val="24"/>
        </w:rPr>
        <w:t xml:space="preserve"> (</w:t>
      </w:r>
      <w:bookmarkStart w:id="0" w:name="_Hlk218694612"/>
      <w:r w:rsidR="00060BF2" w:rsidRPr="00A84B19">
        <w:rPr>
          <w:rFonts w:ascii="Times New Roman" w:hAnsi="Times New Roman" w:cs="Times New Roman"/>
          <w:sz w:val="24"/>
          <w:szCs w:val="24"/>
        </w:rPr>
        <w:t>García-Donas et al., 2022</w:t>
      </w:r>
      <w:bookmarkEnd w:id="0"/>
      <w:r w:rsidR="00060BF2" w:rsidRPr="00A84B19">
        <w:rPr>
          <w:rFonts w:ascii="Times New Roman" w:hAnsi="Times New Roman" w:cs="Times New Roman"/>
          <w:sz w:val="24"/>
          <w:szCs w:val="24"/>
        </w:rPr>
        <w:t>)</w:t>
      </w:r>
      <w:r w:rsidRPr="00A84B19">
        <w:rPr>
          <w:rFonts w:ascii="Times New Roman" w:hAnsi="Times New Roman" w:cs="Times New Roman"/>
          <w:sz w:val="24"/>
          <w:szCs w:val="24"/>
        </w:rPr>
        <w:t xml:space="preserve">. </w:t>
      </w:r>
    </w:p>
    <w:p w14:paraId="228FD0DF" w14:textId="7DD9DA28"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The inferential comparisons </w:t>
      </w:r>
      <w:r w:rsidR="00A40E11">
        <w:rPr>
          <w:rFonts w:ascii="Times New Roman" w:hAnsi="Times New Roman" w:cs="Times New Roman"/>
          <w:sz w:val="24"/>
          <w:szCs w:val="24"/>
        </w:rPr>
        <w:t xml:space="preserve">as reported in the study </w:t>
      </w:r>
      <w:r w:rsidRPr="00A84B19">
        <w:rPr>
          <w:rFonts w:ascii="Times New Roman" w:hAnsi="Times New Roman" w:cs="Times New Roman"/>
          <w:sz w:val="24"/>
          <w:szCs w:val="24"/>
        </w:rPr>
        <w:t>confirm that many of the observed contrasts are statistically robust</w:t>
      </w:r>
      <w:r w:rsidR="00A40E11">
        <w:rPr>
          <w:rFonts w:ascii="Times New Roman" w:hAnsi="Times New Roman" w:cs="Times New Roman"/>
          <w:sz w:val="24"/>
          <w:szCs w:val="24"/>
        </w:rPr>
        <w:t xml:space="preserve"> (Table 2)</w:t>
      </w:r>
      <w:r w:rsidRPr="00A84B19">
        <w:rPr>
          <w:rFonts w:ascii="Times New Roman" w:hAnsi="Times New Roman" w:cs="Times New Roman"/>
          <w:sz w:val="24"/>
          <w:szCs w:val="24"/>
        </w:rPr>
        <w:t xml:space="preserve">. Student’s </w:t>
      </w:r>
      <w:r w:rsidRPr="00A84B19">
        <w:rPr>
          <w:rFonts w:ascii="Times New Roman" w:hAnsi="Times New Roman" w:cs="Times New Roman"/>
          <w:i/>
          <w:iCs/>
          <w:sz w:val="24"/>
          <w:szCs w:val="24"/>
        </w:rPr>
        <w:t>t</w:t>
      </w:r>
      <w:r w:rsidRPr="00A84B19">
        <w:rPr>
          <w:rFonts w:ascii="Times New Roman" w:hAnsi="Times New Roman" w:cs="Times New Roman"/>
          <w:sz w:val="24"/>
          <w:szCs w:val="24"/>
        </w:rPr>
        <w:t xml:space="preserve"> tests indicated significantly higher secondary and primary osteon counts in flat bones (rib and sternum)</w:t>
      </w:r>
      <w:r w:rsidR="009C1119">
        <w:rPr>
          <w:rFonts w:ascii="Times New Roman" w:hAnsi="Times New Roman" w:cs="Times New Roman"/>
          <w:sz w:val="24"/>
          <w:szCs w:val="24"/>
        </w:rPr>
        <w:t xml:space="preserve"> (Fig.1)</w:t>
      </w:r>
      <w:r w:rsidRPr="00A84B19">
        <w:rPr>
          <w:rFonts w:ascii="Times New Roman" w:hAnsi="Times New Roman" w:cs="Times New Roman"/>
          <w:sz w:val="24"/>
          <w:szCs w:val="24"/>
        </w:rPr>
        <w:t xml:space="preserve"> compared with the calcaneus (</w:t>
      </w:r>
      <w:r w:rsidRPr="00A84B19">
        <w:rPr>
          <w:rFonts w:ascii="Times New Roman" w:hAnsi="Times New Roman" w:cs="Times New Roman"/>
          <w:i/>
          <w:iCs/>
          <w:sz w:val="24"/>
          <w:szCs w:val="24"/>
        </w:rPr>
        <w:t>p</w:t>
      </w:r>
      <w:r w:rsidRPr="00A84B19">
        <w:rPr>
          <w:rFonts w:ascii="Times New Roman" w:hAnsi="Times New Roman" w:cs="Times New Roman"/>
          <w:sz w:val="24"/>
          <w:szCs w:val="24"/>
        </w:rPr>
        <w:t xml:space="preserve"> &lt; </w:t>
      </w:r>
      <w:r w:rsidR="00A40E11">
        <w:rPr>
          <w:rFonts w:ascii="Times New Roman" w:hAnsi="Times New Roman" w:cs="Times New Roman"/>
          <w:sz w:val="24"/>
          <w:szCs w:val="24"/>
        </w:rPr>
        <w:t>0</w:t>
      </w:r>
      <w:r w:rsidRPr="00A84B19">
        <w:rPr>
          <w:rFonts w:ascii="Times New Roman" w:hAnsi="Times New Roman" w:cs="Times New Roman"/>
          <w:sz w:val="24"/>
          <w:szCs w:val="24"/>
        </w:rPr>
        <w:t xml:space="preserve">.001 for several </w:t>
      </w:r>
      <w:r w:rsidR="00A40E11">
        <w:rPr>
          <w:rFonts w:ascii="Times New Roman" w:hAnsi="Times New Roman" w:cs="Times New Roman"/>
          <w:sz w:val="24"/>
          <w:szCs w:val="24"/>
        </w:rPr>
        <w:t>parameters studied</w:t>
      </w:r>
      <w:r w:rsidRPr="00A84B19">
        <w:rPr>
          <w:rFonts w:ascii="Times New Roman" w:hAnsi="Times New Roman" w:cs="Times New Roman"/>
          <w:sz w:val="24"/>
          <w:szCs w:val="24"/>
        </w:rPr>
        <w:t>), while calcanei demonstrated significantly larger Haversian canals</w:t>
      </w:r>
      <w:r w:rsidR="009C1119">
        <w:rPr>
          <w:rFonts w:ascii="Times New Roman" w:hAnsi="Times New Roman" w:cs="Times New Roman"/>
          <w:sz w:val="24"/>
          <w:szCs w:val="24"/>
        </w:rPr>
        <w:t xml:space="preserve"> (Fig.2)</w:t>
      </w:r>
      <w:r w:rsidRPr="00A84B19">
        <w:rPr>
          <w:rFonts w:ascii="Times New Roman" w:hAnsi="Times New Roman" w:cs="Times New Roman"/>
          <w:sz w:val="24"/>
          <w:szCs w:val="24"/>
        </w:rPr>
        <w:t xml:space="preserve"> and, in some comparisons, larger osteon diameters (Table 2). Osteon fragment counts did not differ significantly between bone types, suggesting that fragment accumulation alone does not explain the differing intact osteon counts. This pattern </w:t>
      </w:r>
      <w:r w:rsidR="00060BF2" w:rsidRPr="00A84B19">
        <w:rPr>
          <w:rFonts w:ascii="Times New Roman" w:hAnsi="Times New Roman" w:cs="Times New Roman"/>
          <w:sz w:val="24"/>
          <w:szCs w:val="24"/>
        </w:rPr>
        <w:t xml:space="preserve">of </w:t>
      </w:r>
      <w:r w:rsidRPr="00A84B19">
        <w:rPr>
          <w:rFonts w:ascii="Times New Roman" w:hAnsi="Times New Roman" w:cs="Times New Roman"/>
          <w:sz w:val="24"/>
          <w:szCs w:val="24"/>
        </w:rPr>
        <w:t xml:space="preserve">higher osteon </w:t>
      </w:r>
      <w:r w:rsidR="00A40E11">
        <w:rPr>
          <w:rFonts w:ascii="Times New Roman" w:hAnsi="Times New Roman" w:cs="Times New Roman"/>
          <w:sz w:val="24"/>
          <w:szCs w:val="24"/>
        </w:rPr>
        <w:t>population</w:t>
      </w:r>
      <w:r w:rsidRPr="00A84B19">
        <w:rPr>
          <w:rFonts w:ascii="Times New Roman" w:hAnsi="Times New Roman" w:cs="Times New Roman"/>
          <w:sz w:val="24"/>
          <w:szCs w:val="24"/>
        </w:rPr>
        <w:t xml:space="preserve"> </w:t>
      </w:r>
      <w:r w:rsidR="006B631B">
        <w:rPr>
          <w:rFonts w:ascii="Times New Roman" w:hAnsi="Times New Roman" w:cs="Times New Roman"/>
          <w:sz w:val="24"/>
          <w:szCs w:val="24"/>
        </w:rPr>
        <w:t>at</w:t>
      </w:r>
      <w:r w:rsidRPr="00A84B19">
        <w:rPr>
          <w:rFonts w:ascii="Times New Roman" w:hAnsi="Times New Roman" w:cs="Times New Roman"/>
          <w:sz w:val="24"/>
          <w:szCs w:val="24"/>
        </w:rPr>
        <w:t xml:space="preserve"> some anatomical sites with correspondingly smaller canal/osteon sizes in others agrees with published interpretations that local loading environment, bone geometry, and turnover history drive microstructural trade-offs across the skeleton</w:t>
      </w:r>
      <w:r w:rsidR="00B20FBC">
        <w:rPr>
          <w:rFonts w:ascii="Times New Roman" w:hAnsi="Times New Roman" w:cs="Times New Roman"/>
          <w:sz w:val="24"/>
          <w:szCs w:val="24"/>
        </w:rPr>
        <w:t xml:space="preserve"> (Orupabo et al., 2025)</w:t>
      </w:r>
      <w:r w:rsidRPr="00A84B19">
        <w:rPr>
          <w:rFonts w:ascii="Times New Roman" w:hAnsi="Times New Roman" w:cs="Times New Roman"/>
          <w:sz w:val="24"/>
          <w:szCs w:val="24"/>
        </w:rPr>
        <w:t xml:space="preserve">. </w:t>
      </w:r>
      <w:r w:rsidR="00B20FBC">
        <w:rPr>
          <w:rFonts w:ascii="Times New Roman" w:hAnsi="Times New Roman" w:cs="Times New Roman"/>
          <w:sz w:val="24"/>
          <w:szCs w:val="24"/>
        </w:rPr>
        <w:t>Also</w:t>
      </w:r>
      <w:r w:rsidR="009C1119">
        <w:rPr>
          <w:rFonts w:ascii="Times New Roman" w:hAnsi="Times New Roman" w:cs="Times New Roman"/>
          <w:sz w:val="24"/>
          <w:szCs w:val="24"/>
        </w:rPr>
        <w:t>,</w:t>
      </w:r>
      <w:r w:rsidR="00B20FBC">
        <w:rPr>
          <w:rFonts w:ascii="Times New Roman" w:hAnsi="Times New Roman" w:cs="Times New Roman"/>
          <w:sz w:val="24"/>
          <w:szCs w:val="24"/>
        </w:rPr>
        <w:t xml:space="preserve"> some r</w:t>
      </w:r>
      <w:r w:rsidRPr="00A84B19">
        <w:rPr>
          <w:rFonts w:ascii="Times New Roman" w:hAnsi="Times New Roman" w:cs="Times New Roman"/>
          <w:sz w:val="24"/>
          <w:szCs w:val="24"/>
        </w:rPr>
        <w:t xml:space="preserve">ecent </w:t>
      </w:r>
      <w:r w:rsidRPr="00A84B19">
        <w:rPr>
          <w:rFonts w:ascii="Times New Roman" w:hAnsi="Times New Roman" w:cs="Times New Roman"/>
          <w:sz w:val="24"/>
          <w:szCs w:val="24"/>
        </w:rPr>
        <w:lastRenderedPageBreak/>
        <w:t>histological and biomechanical studies have documented similar inverse relationships between osteon density and osteon/canal size across anatomical regions</w:t>
      </w:r>
      <w:r w:rsidR="00060BF2" w:rsidRPr="00A84B19">
        <w:rPr>
          <w:rFonts w:ascii="Times New Roman" w:hAnsi="Times New Roman" w:cs="Times New Roman"/>
          <w:sz w:val="24"/>
          <w:szCs w:val="24"/>
        </w:rPr>
        <w:t xml:space="preserve"> (Cooke et al., 2021</w:t>
      </w:r>
      <w:r w:rsidR="00394C91" w:rsidRPr="00A84B19">
        <w:rPr>
          <w:rFonts w:ascii="Times New Roman" w:hAnsi="Times New Roman" w:cs="Times New Roman"/>
          <w:sz w:val="24"/>
          <w:szCs w:val="24"/>
        </w:rPr>
        <w:t>; Pedersen et al., 2024)</w:t>
      </w:r>
      <w:r w:rsidRPr="00A84B19">
        <w:rPr>
          <w:rFonts w:ascii="Times New Roman" w:hAnsi="Times New Roman" w:cs="Times New Roman"/>
          <w:sz w:val="24"/>
          <w:szCs w:val="24"/>
        </w:rPr>
        <w:t xml:space="preserve">. </w:t>
      </w:r>
    </w:p>
    <w:p w14:paraId="024CD0CF" w14:textId="5784A97C"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w:t>
      </w:r>
      <w:r w:rsidR="009C1119">
        <w:rPr>
          <w:rFonts w:ascii="Times New Roman" w:hAnsi="Times New Roman" w:cs="Times New Roman"/>
          <w:sz w:val="24"/>
          <w:szCs w:val="24"/>
        </w:rPr>
        <w:t>he present study demonstrated</w:t>
      </w:r>
      <w:r w:rsidRPr="00A84B19">
        <w:rPr>
          <w:rFonts w:ascii="Times New Roman" w:hAnsi="Times New Roman" w:cs="Times New Roman"/>
          <w:sz w:val="24"/>
          <w:szCs w:val="24"/>
        </w:rPr>
        <w:t xml:space="preserve"> quantitative indicators of remodeling (OS, OF, OS/OF ratio, and HCD) that help translate descriptive counts into an index of turnover</w:t>
      </w:r>
      <w:r w:rsidR="009C1119">
        <w:rPr>
          <w:rFonts w:ascii="Times New Roman" w:hAnsi="Times New Roman" w:cs="Times New Roman"/>
          <w:sz w:val="24"/>
          <w:szCs w:val="24"/>
        </w:rPr>
        <w:t xml:space="preserve"> (Table 3)</w:t>
      </w:r>
      <w:r w:rsidRPr="00A84B19">
        <w:rPr>
          <w:rFonts w:ascii="Times New Roman" w:hAnsi="Times New Roman" w:cs="Times New Roman"/>
          <w:sz w:val="24"/>
          <w:szCs w:val="24"/>
        </w:rPr>
        <w:t>. Ribs showed the highest OS/OF ratio (0.58), indicating relatively abundant intact secondary osteons per fragment and thus an active and ongoing remodeling regime. Sternum sections were intermediate (OS/OF = 0.23), while the calcaneus presented a negligible OS/OF ratio (0.02) despite moderate fragment counts</w:t>
      </w:r>
      <w:r w:rsidR="00A84B19">
        <w:rPr>
          <w:rFonts w:ascii="Times New Roman" w:hAnsi="Times New Roman" w:cs="Times New Roman"/>
          <w:sz w:val="24"/>
          <w:szCs w:val="24"/>
        </w:rPr>
        <w:t>.</w:t>
      </w:r>
      <w:r w:rsidRPr="00A84B19">
        <w:rPr>
          <w:rFonts w:ascii="Times New Roman" w:hAnsi="Times New Roman" w:cs="Times New Roman"/>
          <w:sz w:val="24"/>
          <w:szCs w:val="24"/>
        </w:rPr>
        <w:t xml:space="preserve"> Using a combined intact/fragment metric reduces misinterpretation due to fragmentation alone and aligns with contemporary recommendations to use multi-metric indices when assessing remodeling intensity in forensic and </w:t>
      </w:r>
      <w:proofErr w:type="spellStart"/>
      <w:r w:rsidRPr="00A84B19">
        <w:rPr>
          <w:rFonts w:ascii="Times New Roman" w:hAnsi="Times New Roman" w:cs="Times New Roman"/>
          <w:sz w:val="24"/>
          <w:szCs w:val="24"/>
        </w:rPr>
        <w:t>bioarchaeological</w:t>
      </w:r>
      <w:proofErr w:type="spellEnd"/>
      <w:r w:rsidRPr="00A84B19">
        <w:rPr>
          <w:rFonts w:ascii="Times New Roman" w:hAnsi="Times New Roman" w:cs="Times New Roman"/>
          <w:sz w:val="24"/>
          <w:szCs w:val="24"/>
        </w:rPr>
        <w:t xml:space="preserve"> samples. Recent intra-skeletal studies similarly argue for composite indices (rather than single counts) to capture cumulative remodeling versus recent turnover</w:t>
      </w:r>
      <w:r w:rsidR="00394C91" w:rsidRPr="00A84B19">
        <w:rPr>
          <w:rFonts w:ascii="Times New Roman" w:hAnsi="Times New Roman" w:cs="Times New Roman"/>
          <w:sz w:val="24"/>
          <w:szCs w:val="24"/>
        </w:rPr>
        <w:t xml:space="preserve"> (García-Donas et al., 2022; Pedersen et al., 2024)</w:t>
      </w:r>
      <w:r w:rsidRPr="00A84B19">
        <w:rPr>
          <w:rFonts w:ascii="Times New Roman" w:hAnsi="Times New Roman" w:cs="Times New Roman"/>
          <w:sz w:val="24"/>
          <w:szCs w:val="24"/>
        </w:rPr>
        <w:t xml:space="preserve">. </w:t>
      </w:r>
    </w:p>
    <w:p w14:paraId="57F347DA" w14:textId="5ABAAE7B"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w:t>
      </w:r>
      <w:r w:rsidR="00BD7721">
        <w:rPr>
          <w:rFonts w:ascii="Times New Roman" w:hAnsi="Times New Roman" w:cs="Times New Roman"/>
          <w:sz w:val="24"/>
          <w:szCs w:val="24"/>
        </w:rPr>
        <w:t>he study</w:t>
      </w:r>
      <w:r w:rsidRPr="00A84B19">
        <w:rPr>
          <w:rFonts w:ascii="Times New Roman" w:hAnsi="Times New Roman" w:cs="Times New Roman"/>
          <w:sz w:val="24"/>
          <w:szCs w:val="24"/>
        </w:rPr>
        <w:t xml:space="preserve"> quantifie</w:t>
      </w:r>
      <w:r w:rsidR="00BD7721">
        <w:rPr>
          <w:rFonts w:ascii="Times New Roman" w:hAnsi="Times New Roman" w:cs="Times New Roman"/>
          <w:sz w:val="24"/>
          <w:szCs w:val="24"/>
        </w:rPr>
        <w:t>d</w:t>
      </w:r>
      <w:r w:rsidRPr="00A84B19">
        <w:rPr>
          <w:rFonts w:ascii="Times New Roman" w:hAnsi="Times New Roman" w:cs="Times New Roman"/>
          <w:sz w:val="24"/>
          <w:szCs w:val="24"/>
        </w:rPr>
        <w:t xml:space="preserve"> histological preservation through intact osteon</w:t>
      </w:r>
      <w:r w:rsidR="00BD7721">
        <w:rPr>
          <w:rFonts w:ascii="Times New Roman" w:hAnsi="Times New Roman" w:cs="Times New Roman"/>
          <w:sz w:val="24"/>
          <w:szCs w:val="24"/>
        </w:rPr>
        <w:t xml:space="preserve"> counts</w:t>
      </w:r>
      <w:r w:rsidRPr="00A84B19">
        <w:rPr>
          <w:rFonts w:ascii="Times New Roman" w:hAnsi="Times New Roman" w:cs="Times New Roman"/>
          <w:sz w:val="24"/>
          <w:szCs w:val="24"/>
        </w:rPr>
        <w:t>, fragmentation index (OF ÷ [OS + OP]), and Max OD</w:t>
      </w:r>
      <w:r w:rsidR="00BD7721">
        <w:rPr>
          <w:rFonts w:ascii="Times New Roman" w:hAnsi="Times New Roman" w:cs="Times New Roman"/>
          <w:sz w:val="24"/>
          <w:szCs w:val="24"/>
        </w:rPr>
        <w:t xml:space="preserve"> (Table 4)</w:t>
      </w:r>
      <w:r w:rsidRPr="00A84B19">
        <w:rPr>
          <w:rFonts w:ascii="Times New Roman" w:hAnsi="Times New Roman" w:cs="Times New Roman"/>
          <w:sz w:val="24"/>
          <w:szCs w:val="24"/>
        </w:rPr>
        <w:t xml:space="preserve">. Ribs displayed the highest intact osteon counts (12.80 ± 1.98) and the lowest fragmentation index (1.08), consistent with comparatively superior microstructural preservation. Sternum sections had lower intact osteon </w:t>
      </w:r>
      <w:r w:rsidR="00BD7721">
        <w:rPr>
          <w:rFonts w:ascii="Times New Roman" w:hAnsi="Times New Roman" w:cs="Times New Roman"/>
          <w:sz w:val="24"/>
          <w:szCs w:val="24"/>
        </w:rPr>
        <w:t>counts</w:t>
      </w:r>
      <w:r w:rsidRPr="00A84B19">
        <w:rPr>
          <w:rFonts w:ascii="Times New Roman" w:hAnsi="Times New Roman" w:cs="Times New Roman"/>
          <w:sz w:val="24"/>
          <w:szCs w:val="24"/>
        </w:rPr>
        <w:t xml:space="preserve"> (4.10 ± 0.81) and a higher fragmentation index (2.83), whereas calcanei exhibited markedly poor preservation as indicated by very low intact osteon counts (0.40 ± 0.25) and a high fragmentation index (28.25) despite large osteon diameters (44.16 ± 1.80 µm). </w:t>
      </w:r>
      <w:r w:rsidR="00BD7721">
        <w:rPr>
          <w:rFonts w:ascii="Times New Roman" w:hAnsi="Times New Roman" w:cs="Times New Roman"/>
          <w:sz w:val="24"/>
          <w:szCs w:val="24"/>
        </w:rPr>
        <w:t xml:space="preserve">This is in consent with the activity exposure for ribs and sternum compared to the calcaneus, as the calcaneus is subject to more rapid destructive mechanisms and stressors. </w:t>
      </w:r>
      <w:r w:rsidR="000978EF">
        <w:rPr>
          <w:rFonts w:ascii="Times New Roman" w:hAnsi="Times New Roman" w:cs="Times New Roman"/>
          <w:sz w:val="24"/>
          <w:szCs w:val="24"/>
        </w:rPr>
        <w:t xml:space="preserve">Hence it is not surprising that calcanei exhibited poorer osteon preservation. </w:t>
      </w:r>
      <w:r w:rsidRPr="00A84B19">
        <w:rPr>
          <w:rFonts w:ascii="Times New Roman" w:hAnsi="Times New Roman" w:cs="Times New Roman"/>
          <w:sz w:val="24"/>
          <w:szCs w:val="24"/>
        </w:rPr>
        <w:t xml:space="preserve">These quantitative preservation metrics support the practical conclusion that ribs </w:t>
      </w:r>
      <w:r w:rsidRPr="00A84B19">
        <w:rPr>
          <w:rFonts w:ascii="Times New Roman" w:hAnsi="Times New Roman" w:cs="Times New Roman"/>
          <w:sz w:val="24"/>
          <w:szCs w:val="24"/>
        </w:rPr>
        <w:lastRenderedPageBreak/>
        <w:t xml:space="preserve">offer more reliable microstructural targets for </w:t>
      </w:r>
      <w:proofErr w:type="spellStart"/>
      <w:r w:rsidRPr="00A84B19">
        <w:rPr>
          <w:rFonts w:ascii="Times New Roman" w:hAnsi="Times New Roman" w:cs="Times New Roman"/>
          <w:sz w:val="24"/>
          <w:szCs w:val="24"/>
        </w:rPr>
        <w:t>histomorphometric</w:t>
      </w:r>
      <w:proofErr w:type="spellEnd"/>
      <w:r w:rsidRPr="00A84B19">
        <w:rPr>
          <w:rFonts w:ascii="Times New Roman" w:hAnsi="Times New Roman" w:cs="Times New Roman"/>
          <w:sz w:val="24"/>
          <w:szCs w:val="24"/>
        </w:rPr>
        <w:t xml:space="preserve"> analyses used in forensic contexts, while calcaneal samples may be less suitable for osteon-based age or remodeling estimation without additional contextual information. This inference is concordant with </w:t>
      </w:r>
      <w:r w:rsidR="00394C91" w:rsidRPr="00A84B19">
        <w:rPr>
          <w:rFonts w:ascii="Times New Roman" w:hAnsi="Times New Roman" w:cs="Times New Roman"/>
          <w:sz w:val="24"/>
          <w:szCs w:val="24"/>
        </w:rPr>
        <w:t>García-Donas et al.</w:t>
      </w:r>
      <w:r w:rsidR="00E75B57">
        <w:rPr>
          <w:rFonts w:ascii="Times New Roman" w:hAnsi="Times New Roman" w:cs="Times New Roman"/>
          <w:sz w:val="24"/>
          <w:szCs w:val="24"/>
        </w:rPr>
        <w:t>,</w:t>
      </w:r>
      <w:r w:rsidR="00394C91" w:rsidRPr="00A84B19">
        <w:rPr>
          <w:rFonts w:ascii="Times New Roman" w:hAnsi="Times New Roman" w:cs="Times New Roman"/>
          <w:sz w:val="24"/>
          <w:szCs w:val="24"/>
        </w:rPr>
        <w:t xml:space="preserve"> (2022)</w:t>
      </w:r>
      <w:r w:rsidRPr="00A84B19">
        <w:rPr>
          <w:rFonts w:ascii="Times New Roman" w:hAnsi="Times New Roman" w:cs="Times New Roman"/>
          <w:sz w:val="24"/>
          <w:szCs w:val="24"/>
        </w:rPr>
        <w:t xml:space="preserve"> validation that prioritize ribs for histological age estimation and caution about intraskeletal variability in preservation and interpretability. </w:t>
      </w:r>
      <w:r w:rsidR="00DC70F1">
        <w:rPr>
          <w:rFonts w:ascii="Times New Roman" w:hAnsi="Times New Roman" w:cs="Times New Roman"/>
          <w:sz w:val="24"/>
          <w:szCs w:val="24"/>
        </w:rPr>
        <w:t xml:space="preserve">Studies </w:t>
      </w:r>
      <w:r w:rsidR="004938EC">
        <w:rPr>
          <w:rFonts w:ascii="Times New Roman" w:hAnsi="Times New Roman" w:cs="Times New Roman"/>
          <w:sz w:val="24"/>
          <w:szCs w:val="24"/>
        </w:rPr>
        <w:t>using the ribs have been conducted by most authors (Stout et al., 1994; Oettle &amp; Steyn, 2000), supporting the present study's finding that the ribs are more accurate, even for</w:t>
      </w:r>
      <w:r w:rsidR="00DC70F1">
        <w:rPr>
          <w:rFonts w:ascii="Times New Roman" w:hAnsi="Times New Roman" w:cs="Times New Roman"/>
          <w:sz w:val="24"/>
          <w:szCs w:val="24"/>
        </w:rPr>
        <w:t xml:space="preserve"> microstructural parameters. </w:t>
      </w:r>
    </w:p>
    <w:p w14:paraId="2B1847F2" w14:textId="07271673" w:rsidR="00143C99" w:rsidRPr="00A84B19" w:rsidRDefault="003E3184"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143C99" w:rsidRPr="00A84B19">
        <w:rPr>
          <w:rFonts w:ascii="Times New Roman" w:hAnsi="Times New Roman" w:cs="Times New Roman"/>
          <w:sz w:val="24"/>
          <w:szCs w:val="24"/>
        </w:rPr>
        <w:t xml:space="preserve">he inverse association observed </w:t>
      </w:r>
      <w:r>
        <w:rPr>
          <w:rFonts w:ascii="Times New Roman" w:hAnsi="Times New Roman" w:cs="Times New Roman"/>
          <w:sz w:val="24"/>
          <w:szCs w:val="24"/>
        </w:rPr>
        <w:t>in the study</w:t>
      </w:r>
      <w:r w:rsidR="004938EC">
        <w:rPr>
          <w:rFonts w:ascii="Times New Roman" w:hAnsi="Times New Roman" w:cs="Times New Roman"/>
          <w:sz w:val="24"/>
          <w:szCs w:val="24"/>
        </w:rPr>
        <w:t xml:space="preserve"> (Tables 3 and 4)</w:t>
      </w:r>
      <w:r w:rsidR="00143C99" w:rsidRPr="00A84B19">
        <w:rPr>
          <w:rFonts w:ascii="Times New Roman" w:hAnsi="Times New Roman" w:cs="Times New Roman"/>
          <w:sz w:val="24"/>
          <w:szCs w:val="24"/>
        </w:rPr>
        <w:t xml:space="preserve"> between osteon </w:t>
      </w:r>
      <w:r w:rsidR="00227864">
        <w:rPr>
          <w:rFonts w:ascii="Times New Roman" w:hAnsi="Times New Roman" w:cs="Times New Roman"/>
          <w:sz w:val="24"/>
          <w:szCs w:val="24"/>
        </w:rPr>
        <w:t>population</w:t>
      </w:r>
      <w:r w:rsidR="004938EC">
        <w:rPr>
          <w:rFonts w:ascii="Times New Roman" w:hAnsi="Times New Roman" w:cs="Times New Roman"/>
          <w:sz w:val="24"/>
          <w:szCs w:val="24"/>
        </w:rPr>
        <w:t xml:space="preserve"> (OS and OP)</w:t>
      </w:r>
      <w:r w:rsidR="00143C99" w:rsidRPr="00A84B19">
        <w:rPr>
          <w:rFonts w:ascii="Times New Roman" w:hAnsi="Times New Roman" w:cs="Times New Roman"/>
          <w:sz w:val="24"/>
          <w:szCs w:val="24"/>
        </w:rPr>
        <w:t xml:space="preserve"> and canal/osteon size</w:t>
      </w:r>
      <w:r w:rsidR="004938EC">
        <w:rPr>
          <w:rFonts w:ascii="Times New Roman" w:hAnsi="Times New Roman" w:cs="Times New Roman"/>
          <w:sz w:val="24"/>
          <w:szCs w:val="24"/>
        </w:rPr>
        <w:t xml:space="preserve"> (HCD and </w:t>
      </w:r>
      <w:proofErr w:type="spellStart"/>
      <w:r w:rsidR="004938EC">
        <w:rPr>
          <w:rFonts w:ascii="Times New Roman" w:hAnsi="Times New Roman" w:cs="Times New Roman"/>
          <w:sz w:val="24"/>
          <w:szCs w:val="24"/>
        </w:rPr>
        <w:t>MaxOD</w:t>
      </w:r>
      <w:proofErr w:type="spellEnd"/>
      <w:r w:rsidR="004938EC">
        <w:rPr>
          <w:rFonts w:ascii="Times New Roman" w:hAnsi="Times New Roman" w:cs="Times New Roman"/>
          <w:sz w:val="24"/>
          <w:szCs w:val="24"/>
        </w:rPr>
        <w:t xml:space="preserve">) </w:t>
      </w:r>
      <w:r>
        <w:rPr>
          <w:rFonts w:ascii="Times New Roman" w:hAnsi="Times New Roman" w:cs="Times New Roman"/>
          <w:sz w:val="24"/>
          <w:szCs w:val="24"/>
        </w:rPr>
        <w:t>between the flat bones (ribs and sternum) and short bones</w:t>
      </w:r>
      <w:r w:rsidR="004938EC">
        <w:rPr>
          <w:rFonts w:ascii="Times New Roman" w:hAnsi="Times New Roman" w:cs="Times New Roman"/>
          <w:sz w:val="24"/>
          <w:szCs w:val="24"/>
        </w:rPr>
        <w:t xml:space="preserve"> (calcanei)</w:t>
      </w:r>
      <w:r w:rsidR="00143C99" w:rsidRPr="00A84B19">
        <w:rPr>
          <w:rFonts w:ascii="Times New Roman" w:hAnsi="Times New Roman" w:cs="Times New Roman"/>
          <w:sz w:val="24"/>
          <w:szCs w:val="24"/>
        </w:rPr>
        <w:t xml:space="preserve"> may reflect distinct remodeling dynamics and/or original bone formation patterns shaped by biomechanical loading. High remodeling rates typically produce multiple, smaller secondary osteons over time; conversely, </w:t>
      </w:r>
      <w:r w:rsidR="00F472DF">
        <w:rPr>
          <w:rFonts w:ascii="Times New Roman" w:hAnsi="Times New Roman" w:cs="Times New Roman"/>
          <w:sz w:val="24"/>
          <w:szCs w:val="24"/>
        </w:rPr>
        <w:t xml:space="preserve">low-turnover regions can retain fewer, larger </w:t>
      </w:r>
      <w:proofErr w:type="spellStart"/>
      <w:r w:rsidR="00F472DF">
        <w:rPr>
          <w:rFonts w:ascii="Times New Roman" w:hAnsi="Times New Roman" w:cs="Times New Roman"/>
          <w:sz w:val="24"/>
          <w:szCs w:val="24"/>
        </w:rPr>
        <w:t>osteonal</w:t>
      </w:r>
      <w:proofErr w:type="spellEnd"/>
      <w:r w:rsidR="00F472DF">
        <w:rPr>
          <w:rFonts w:ascii="Times New Roman" w:hAnsi="Times New Roman" w:cs="Times New Roman"/>
          <w:sz w:val="24"/>
          <w:szCs w:val="24"/>
        </w:rPr>
        <w:t xml:space="preserve"> structures and wider canals. </w:t>
      </w:r>
      <w:r w:rsidR="00B25715">
        <w:rPr>
          <w:rFonts w:ascii="Times New Roman" w:hAnsi="Times New Roman" w:cs="Times New Roman"/>
          <w:sz w:val="24"/>
          <w:szCs w:val="24"/>
        </w:rPr>
        <w:t>Hence, t</w:t>
      </w:r>
      <w:r w:rsidR="00F472DF">
        <w:rPr>
          <w:rFonts w:ascii="Times New Roman" w:hAnsi="Times New Roman" w:cs="Times New Roman"/>
          <w:sz w:val="24"/>
          <w:szCs w:val="24"/>
        </w:rPr>
        <w:t>hese reports have been supported by the findings of this</w:t>
      </w:r>
      <w:r w:rsidR="00143C99" w:rsidRPr="00A84B19">
        <w:rPr>
          <w:rFonts w:ascii="Times New Roman" w:hAnsi="Times New Roman" w:cs="Times New Roman"/>
          <w:sz w:val="24"/>
          <w:szCs w:val="24"/>
        </w:rPr>
        <w:t xml:space="preserve"> comparative </w:t>
      </w:r>
      <w:proofErr w:type="spellStart"/>
      <w:r w:rsidR="00143C99" w:rsidRPr="00A84B19">
        <w:rPr>
          <w:rFonts w:ascii="Times New Roman" w:hAnsi="Times New Roman" w:cs="Times New Roman"/>
          <w:sz w:val="24"/>
          <w:szCs w:val="24"/>
        </w:rPr>
        <w:t>histomorphometric</w:t>
      </w:r>
      <w:proofErr w:type="spellEnd"/>
      <w:r w:rsidR="00F472DF">
        <w:rPr>
          <w:rFonts w:ascii="Times New Roman" w:hAnsi="Times New Roman" w:cs="Times New Roman"/>
          <w:sz w:val="24"/>
          <w:szCs w:val="24"/>
        </w:rPr>
        <w:t xml:space="preserve"> </w:t>
      </w:r>
      <w:r w:rsidR="00143C99" w:rsidRPr="00A84B19">
        <w:rPr>
          <w:rFonts w:ascii="Times New Roman" w:hAnsi="Times New Roman" w:cs="Times New Roman"/>
          <w:sz w:val="24"/>
          <w:szCs w:val="24"/>
        </w:rPr>
        <w:t>stud</w:t>
      </w:r>
      <w:r w:rsidR="00F472DF">
        <w:rPr>
          <w:rFonts w:ascii="Times New Roman" w:hAnsi="Times New Roman" w:cs="Times New Roman"/>
          <w:sz w:val="24"/>
          <w:szCs w:val="24"/>
        </w:rPr>
        <w:t>y</w:t>
      </w:r>
      <w:r w:rsidR="00143C99" w:rsidRPr="00A84B19">
        <w:rPr>
          <w:rFonts w:ascii="Times New Roman" w:hAnsi="Times New Roman" w:cs="Times New Roman"/>
          <w:sz w:val="24"/>
          <w:szCs w:val="24"/>
        </w:rPr>
        <w:t>. The calcaneus, as a weight-bearing, impact-resistant tarsal bone, experiences loading regimes unlike those of ribs and sternum; such mechanical differences plausibly contribute to the observed microstructural signature of large osteon/canal sizes but few intact secondary osteons. These biomechanical and developmental explanations for intraskeletal differences have been highlighted in recent literature examining bone adaptation, osteon geometry, and regional remodeling</w:t>
      </w:r>
      <w:r w:rsidR="000A1209" w:rsidRPr="00A84B19">
        <w:rPr>
          <w:rFonts w:ascii="Times New Roman" w:hAnsi="Times New Roman" w:cs="Times New Roman"/>
          <w:sz w:val="24"/>
          <w:szCs w:val="24"/>
        </w:rPr>
        <w:t xml:space="preserve"> (Cooke et al., 2021; Figus et al., 2025)</w:t>
      </w:r>
      <w:r w:rsidR="00143C99" w:rsidRPr="00A84B19">
        <w:rPr>
          <w:rFonts w:ascii="Times New Roman" w:hAnsi="Times New Roman" w:cs="Times New Roman"/>
          <w:sz w:val="24"/>
          <w:szCs w:val="24"/>
        </w:rPr>
        <w:t xml:space="preserve">. </w:t>
      </w:r>
    </w:p>
    <w:p w14:paraId="6A6B8E61" w14:textId="576C1103" w:rsidR="00A84B1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Practical implications follow directly from the data</w:t>
      </w:r>
      <w:r w:rsidR="00FA5014">
        <w:rPr>
          <w:rFonts w:ascii="Times New Roman" w:hAnsi="Times New Roman" w:cs="Times New Roman"/>
          <w:sz w:val="24"/>
          <w:szCs w:val="24"/>
        </w:rPr>
        <w:t xml:space="preserve"> f</w:t>
      </w:r>
      <w:r w:rsidRPr="00A84B19">
        <w:rPr>
          <w:rFonts w:ascii="Times New Roman" w:hAnsi="Times New Roman" w:cs="Times New Roman"/>
          <w:sz w:val="24"/>
          <w:szCs w:val="24"/>
        </w:rPr>
        <w:t>or forensic practitioners applying histomorphometry to fragmented remains</w:t>
      </w:r>
      <w:r w:rsidR="00FA5014">
        <w:rPr>
          <w:rFonts w:ascii="Times New Roman" w:hAnsi="Times New Roman" w:cs="Times New Roman"/>
          <w:sz w:val="24"/>
          <w:szCs w:val="24"/>
        </w:rPr>
        <w:t>;</w:t>
      </w:r>
      <w:r w:rsidRPr="00A84B19">
        <w:rPr>
          <w:rFonts w:ascii="Times New Roman" w:hAnsi="Times New Roman" w:cs="Times New Roman"/>
          <w:sz w:val="24"/>
          <w:szCs w:val="24"/>
        </w:rPr>
        <w:t xml:space="preserve"> ribs appear to provide the most consistent and well-preserved microstructural information for estimating remodeling activity and, by extension, age-related signals. Calcaneal sections, while informative for canal and osteon size metrics, may be </w:t>
      </w:r>
      <w:r w:rsidRPr="00A84B19">
        <w:rPr>
          <w:rFonts w:ascii="Times New Roman" w:hAnsi="Times New Roman" w:cs="Times New Roman"/>
          <w:sz w:val="24"/>
          <w:szCs w:val="24"/>
        </w:rPr>
        <w:lastRenderedPageBreak/>
        <w:t xml:space="preserve">less reliable for osteon-count based approaches unless supplemented by other skeletal indicators or contextual </w:t>
      </w:r>
      <w:proofErr w:type="spellStart"/>
      <w:r w:rsidRPr="00A84B19">
        <w:rPr>
          <w:rFonts w:ascii="Times New Roman" w:hAnsi="Times New Roman" w:cs="Times New Roman"/>
          <w:sz w:val="24"/>
          <w:szCs w:val="24"/>
        </w:rPr>
        <w:t>taphonomic</w:t>
      </w:r>
      <w:proofErr w:type="spellEnd"/>
      <w:r w:rsidRPr="00A84B19">
        <w:rPr>
          <w:rFonts w:ascii="Times New Roman" w:hAnsi="Times New Roman" w:cs="Times New Roman"/>
          <w:sz w:val="24"/>
          <w:szCs w:val="24"/>
        </w:rPr>
        <w:t xml:space="preserve"> data. Finally, the OS/OF and fragmentation indices presented </w:t>
      </w:r>
      <w:r w:rsidR="00DB0D7A">
        <w:rPr>
          <w:rFonts w:ascii="Times New Roman" w:hAnsi="Times New Roman" w:cs="Times New Roman"/>
          <w:sz w:val="24"/>
          <w:szCs w:val="24"/>
        </w:rPr>
        <w:t xml:space="preserve">in this study </w:t>
      </w:r>
      <w:r w:rsidRPr="00A84B19">
        <w:rPr>
          <w:rFonts w:ascii="Times New Roman" w:hAnsi="Times New Roman" w:cs="Times New Roman"/>
          <w:sz w:val="24"/>
          <w:szCs w:val="24"/>
        </w:rPr>
        <w:t>are straightforward</w:t>
      </w:r>
      <w:r w:rsidR="00DB0D7A">
        <w:rPr>
          <w:rFonts w:ascii="Times New Roman" w:hAnsi="Times New Roman" w:cs="Times New Roman"/>
          <w:sz w:val="24"/>
          <w:szCs w:val="24"/>
        </w:rPr>
        <w:t xml:space="preserve"> and </w:t>
      </w:r>
      <w:r w:rsidRPr="00A84B19">
        <w:rPr>
          <w:rFonts w:ascii="Times New Roman" w:hAnsi="Times New Roman" w:cs="Times New Roman"/>
          <w:sz w:val="24"/>
          <w:szCs w:val="24"/>
        </w:rPr>
        <w:t>reproducible numeric measures that merit validation across larger</w:t>
      </w:r>
      <w:r w:rsidR="00DB0D7A">
        <w:rPr>
          <w:rFonts w:ascii="Times New Roman" w:hAnsi="Times New Roman" w:cs="Times New Roman"/>
          <w:sz w:val="24"/>
          <w:szCs w:val="24"/>
        </w:rPr>
        <w:t xml:space="preserve">, </w:t>
      </w:r>
      <w:r w:rsidRPr="00A84B19">
        <w:rPr>
          <w:rFonts w:ascii="Times New Roman" w:hAnsi="Times New Roman" w:cs="Times New Roman"/>
          <w:sz w:val="24"/>
          <w:szCs w:val="24"/>
        </w:rPr>
        <w:t xml:space="preserve">more varied </w:t>
      </w:r>
      <w:r w:rsidR="00DB0D7A">
        <w:rPr>
          <w:rFonts w:ascii="Times New Roman" w:hAnsi="Times New Roman" w:cs="Times New Roman"/>
          <w:sz w:val="24"/>
          <w:szCs w:val="24"/>
        </w:rPr>
        <w:t>skeletal collections</w:t>
      </w:r>
      <w:r w:rsidRPr="00A84B19">
        <w:rPr>
          <w:rFonts w:ascii="Times New Roman" w:hAnsi="Times New Roman" w:cs="Times New Roman"/>
          <w:sz w:val="24"/>
          <w:szCs w:val="24"/>
        </w:rPr>
        <w:t xml:space="preserve"> as potential standard tools for assessing remodeling intensity and preservation before applying age or identification models. </w:t>
      </w:r>
    </w:p>
    <w:p w14:paraId="2B2DE16B" w14:textId="5566D010" w:rsidR="00A84B19" w:rsidRPr="00A84B19" w:rsidRDefault="00A84B19"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CONCLUSION</w:t>
      </w:r>
    </w:p>
    <w:p w14:paraId="69D7FA4F" w14:textId="3134C89C" w:rsidR="00143C99" w:rsidRDefault="00A84B1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w:t>
      </w:r>
      <w:r w:rsidR="00143C99" w:rsidRPr="00A84B19">
        <w:rPr>
          <w:rFonts w:ascii="Times New Roman" w:hAnsi="Times New Roman" w:cs="Times New Roman"/>
          <w:sz w:val="24"/>
          <w:szCs w:val="24"/>
        </w:rPr>
        <w:t xml:space="preserve">he quantitative findings document statistically significant and biologically meaningful microstructural differences between flat (rib, sternum) and short (calcaneus) human bones, clarify relative remodeling intensities, and provide numeric indices of preservation that can guide forensic sampling strategy. These results underscore the necessity of bone-specific reference data in </w:t>
      </w:r>
      <w:proofErr w:type="spellStart"/>
      <w:r w:rsidR="00143C99" w:rsidRPr="00A84B19">
        <w:rPr>
          <w:rFonts w:ascii="Times New Roman" w:hAnsi="Times New Roman" w:cs="Times New Roman"/>
          <w:sz w:val="24"/>
          <w:szCs w:val="24"/>
        </w:rPr>
        <w:t>histomorphometric</w:t>
      </w:r>
      <w:proofErr w:type="spellEnd"/>
      <w:r w:rsidR="00143C99" w:rsidRPr="00A84B19">
        <w:rPr>
          <w:rFonts w:ascii="Times New Roman" w:hAnsi="Times New Roman" w:cs="Times New Roman"/>
          <w:sz w:val="24"/>
          <w:szCs w:val="24"/>
        </w:rPr>
        <w:t xml:space="preserve"> practice and point to ribs as preferred targets for osteon-based analyses in many forensic</w:t>
      </w:r>
      <w:r w:rsidR="00BA769C">
        <w:rPr>
          <w:rFonts w:ascii="Times New Roman" w:hAnsi="Times New Roman" w:cs="Times New Roman"/>
          <w:sz w:val="24"/>
          <w:szCs w:val="24"/>
        </w:rPr>
        <w:t xml:space="preserve"> investigation</w:t>
      </w:r>
      <w:r w:rsidR="00143C99" w:rsidRPr="00A84B19">
        <w:rPr>
          <w:rFonts w:ascii="Times New Roman" w:hAnsi="Times New Roman" w:cs="Times New Roman"/>
          <w:sz w:val="24"/>
          <w:szCs w:val="24"/>
        </w:rPr>
        <w:t>s. Future studies should extend the present approach with larger, demographically characterized samples</w:t>
      </w:r>
      <w:r w:rsidR="00BA769C">
        <w:rPr>
          <w:rFonts w:ascii="Times New Roman" w:hAnsi="Times New Roman" w:cs="Times New Roman"/>
          <w:sz w:val="24"/>
          <w:szCs w:val="24"/>
        </w:rPr>
        <w:t xml:space="preserve"> </w:t>
      </w:r>
      <w:r w:rsidR="00143C99" w:rsidRPr="00A84B19">
        <w:rPr>
          <w:rFonts w:ascii="Times New Roman" w:hAnsi="Times New Roman" w:cs="Times New Roman"/>
          <w:sz w:val="24"/>
          <w:szCs w:val="24"/>
        </w:rPr>
        <w:t>and multi-site validation to establish broadly applicable forensic guidelines.</w:t>
      </w:r>
    </w:p>
    <w:p w14:paraId="5570129F" w14:textId="118AC779" w:rsidR="00A84B19" w:rsidRPr="00A84B19" w:rsidRDefault="00A84B19" w:rsidP="00A84B19">
      <w:pPr>
        <w:spacing w:line="480" w:lineRule="auto"/>
        <w:jc w:val="both"/>
        <w:rPr>
          <w:rFonts w:ascii="Times New Roman" w:hAnsi="Times New Roman" w:cs="Times New Roman"/>
          <w:sz w:val="24"/>
          <w:szCs w:val="24"/>
        </w:rPr>
      </w:pPr>
      <w:bookmarkStart w:id="1" w:name="_GoBack"/>
      <w:bookmarkEnd w:id="1"/>
    </w:p>
    <w:p w14:paraId="28B7C8C4" w14:textId="7ED1A0EF" w:rsidR="00A84B19" w:rsidRPr="00A84B19" w:rsidRDefault="00A84B1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REFERENCES</w:t>
      </w:r>
    </w:p>
    <w:p w14:paraId="4D975E4B" w14:textId="66E223D3" w:rsidR="00897873" w:rsidRDefault="00897873" w:rsidP="00157A07">
      <w:pPr>
        <w:pStyle w:val="NormalWeb"/>
        <w:spacing w:before="0" w:beforeAutospacing="0" w:after="0" w:afterAutospacing="0" w:line="276" w:lineRule="auto"/>
        <w:ind w:left="720" w:hanging="720"/>
        <w:rPr>
          <w:rStyle w:val="url"/>
        </w:rPr>
      </w:pPr>
      <w:proofErr w:type="spellStart"/>
      <w:r>
        <w:t>Cummaudo</w:t>
      </w:r>
      <w:proofErr w:type="spellEnd"/>
      <w:r>
        <w:t xml:space="preserve">, M., Raffone, C., Cappella, A., Márquez-Grant, N., &amp; Cattaneo, C. (2020). </w:t>
      </w:r>
      <w:proofErr w:type="spellStart"/>
      <w:r>
        <w:t>Histomorphometric</w:t>
      </w:r>
      <w:proofErr w:type="spellEnd"/>
      <w:r>
        <w:t xml:space="preserve"> analysis of the variability of the human skeleton: Forensic implications. </w:t>
      </w:r>
      <w:r>
        <w:rPr>
          <w:i/>
          <w:iCs/>
        </w:rPr>
        <w:t>Legal Medicine</w:t>
      </w:r>
      <w:r>
        <w:t xml:space="preserve">, </w:t>
      </w:r>
      <w:r>
        <w:rPr>
          <w:i/>
          <w:iCs/>
        </w:rPr>
        <w:t>45</w:t>
      </w:r>
      <w:r>
        <w:t xml:space="preserve">, 101711. </w:t>
      </w:r>
      <w:hyperlink r:id="rId9" w:history="1">
        <w:r w:rsidRPr="008C79DD">
          <w:rPr>
            <w:rStyle w:val="Hyperlink"/>
          </w:rPr>
          <w:t>https://doi.org/10.1016/j.legalmed.2020.101711</w:t>
        </w:r>
      </w:hyperlink>
    </w:p>
    <w:p w14:paraId="0C06515D" w14:textId="77777777" w:rsidR="00157A07" w:rsidRDefault="00157A07" w:rsidP="00897873">
      <w:pPr>
        <w:pStyle w:val="NormalWeb"/>
        <w:spacing w:before="0" w:beforeAutospacing="0" w:after="0" w:afterAutospacing="0" w:line="480" w:lineRule="auto"/>
        <w:ind w:left="720" w:hanging="720"/>
      </w:pPr>
    </w:p>
    <w:p w14:paraId="01431AF7" w14:textId="0842F6E5" w:rsidR="00897873" w:rsidRDefault="00897873" w:rsidP="00157A07">
      <w:pPr>
        <w:pStyle w:val="NormalWeb"/>
        <w:spacing w:before="0" w:beforeAutospacing="0" w:after="0" w:afterAutospacing="0" w:line="276" w:lineRule="auto"/>
        <w:ind w:left="720" w:hanging="720"/>
        <w:rPr>
          <w:rStyle w:val="url"/>
        </w:rPr>
      </w:pPr>
      <w:r>
        <w:t xml:space="preserve">Stan, E., Muresan, C., Daescu, E., </w:t>
      </w:r>
      <w:proofErr w:type="spellStart"/>
      <w:r>
        <w:t>Dumache</w:t>
      </w:r>
      <w:proofErr w:type="spellEnd"/>
      <w:r>
        <w:t xml:space="preserve">, R., Ciocan, V., Ungureanu, S., </w:t>
      </w:r>
      <w:proofErr w:type="spellStart"/>
      <w:r>
        <w:t>Costachescu</w:t>
      </w:r>
      <w:proofErr w:type="spellEnd"/>
      <w:r>
        <w:t xml:space="preserve">, D., &amp; Enache, A. (2024). A Review of Histological Techniques for Differentiating Human Bone from Animal Bone. </w:t>
      </w:r>
      <w:r>
        <w:rPr>
          <w:i/>
          <w:iCs/>
        </w:rPr>
        <w:t>Methods and Protocols</w:t>
      </w:r>
      <w:r>
        <w:t xml:space="preserve">, </w:t>
      </w:r>
      <w:r>
        <w:rPr>
          <w:i/>
          <w:iCs/>
        </w:rPr>
        <w:t>7</w:t>
      </w:r>
      <w:r>
        <w:t xml:space="preserve">(4), 51. </w:t>
      </w:r>
      <w:hyperlink r:id="rId10" w:history="1">
        <w:r w:rsidRPr="00020558">
          <w:rPr>
            <w:rStyle w:val="Hyperlink"/>
          </w:rPr>
          <w:t>https://doi.org/10.3390/mps7040051</w:t>
        </w:r>
      </w:hyperlink>
    </w:p>
    <w:p w14:paraId="501FC16C" w14:textId="77777777" w:rsidR="00157A07" w:rsidRDefault="00157A07" w:rsidP="00C826FE">
      <w:pPr>
        <w:spacing w:line="480" w:lineRule="auto"/>
        <w:jc w:val="both"/>
        <w:rPr>
          <w:rFonts w:ascii="Times New Roman" w:eastAsia="Calibri" w:hAnsi="Times New Roman" w:cs="Times New Roman"/>
          <w:sz w:val="24"/>
          <w:szCs w:val="24"/>
        </w:rPr>
      </w:pPr>
    </w:p>
    <w:p w14:paraId="6F476214" w14:textId="4723E862" w:rsidR="00157A07" w:rsidRDefault="00C826FE" w:rsidP="00157A07">
      <w:pPr>
        <w:spacing w:line="276" w:lineRule="auto"/>
        <w:jc w:val="both"/>
        <w:rPr>
          <w:rFonts w:ascii="Times New Roman" w:eastAsia="Calibri" w:hAnsi="Times New Roman" w:cs="Times New Roman"/>
          <w:sz w:val="24"/>
          <w:szCs w:val="24"/>
        </w:rPr>
      </w:pPr>
      <w:r w:rsidRPr="00FB3E5B">
        <w:rPr>
          <w:rFonts w:ascii="Times New Roman" w:eastAsia="Calibri" w:hAnsi="Times New Roman" w:cs="Times New Roman"/>
          <w:sz w:val="24"/>
          <w:szCs w:val="24"/>
        </w:rPr>
        <w:t>Crowder, C. (2013). Estimation of Age at Death Using Cortical Bone Histomorphometry. Submitted to the U.S. Department of Justice Office of Justice Programs, National Institute of Justice, Award no.240692 2010-DN-BX- K035.</w:t>
      </w:r>
    </w:p>
    <w:p w14:paraId="0101A150" w14:textId="77777777" w:rsidR="00157A07" w:rsidRDefault="00157A07" w:rsidP="00157A07">
      <w:pPr>
        <w:spacing w:line="276" w:lineRule="auto"/>
        <w:jc w:val="both"/>
        <w:rPr>
          <w:rFonts w:ascii="Times New Roman" w:eastAsia="Calibri" w:hAnsi="Times New Roman" w:cs="Times New Roman"/>
          <w:sz w:val="24"/>
          <w:szCs w:val="24"/>
        </w:rPr>
      </w:pPr>
    </w:p>
    <w:p w14:paraId="57956604" w14:textId="4796D8A2" w:rsidR="00157A07" w:rsidRPr="00157A07" w:rsidRDefault="00AD5AFA" w:rsidP="00157A07">
      <w:pPr>
        <w:spacing w:line="276" w:lineRule="auto"/>
        <w:jc w:val="both"/>
        <w:rPr>
          <w:rFonts w:ascii="Times New Roman" w:eastAsia="Calibri" w:hAnsi="Times New Roman" w:cs="Times New Roman"/>
          <w:sz w:val="24"/>
          <w:szCs w:val="24"/>
        </w:rPr>
      </w:pPr>
      <w:r w:rsidRPr="00F055C7">
        <w:rPr>
          <w:rFonts w:ascii="Times New Roman" w:eastAsia="Calibri" w:hAnsi="Times New Roman" w:cs="Times New Roman"/>
          <w:sz w:val="24"/>
          <w:szCs w:val="24"/>
        </w:rPr>
        <w:t>Nor, F.M, Pastor, R.F, Schutkowski, H. (2013). Age at death estimation from bone histology in Malaysian males. Medicine, Science and the Law. 0(0): 1-6.</w:t>
      </w:r>
    </w:p>
    <w:p w14:paraId="3880AE46" w14:textId="77777777" w:rsidR="00157A07" w:rsidRDefault="00157A07" w:rsidP="00157A07">
      <w:pPr>
        <w:spacing w:after="240" w:line="276" w:lineRule="auto"/>
        <w:ind w:left="720" w:hanging="720"/>
        <w:jc w:val="both"/>
        <w:rPr>
          <w:rFonts w:ascii="Times New Roman" w:eastAsia="DengXian" w:hAnsi="Times New Roman" w:cs="Times New Roman"/>
          <w:sz w:val="24"/>
          <w:szCs w:val="24"/>
          <w:lang w:eastAsia="zh-CN"/>
        </w:rPr>
      </w:pPr>
    </w:p>
    <w:p w14:paraId="0582900F" w14:textId="3696211A" w:rsidR="00AD5AFA" w:rsidRPr="00D925F3" w:rsidRDefault="00AD5AFA" w:rsidP="00157A07">
      <w:pPr>
        <w:spacing w:after="240" w:line="276" w:lineRule="auto"/>
        <w:ind w:left="720" w:hanging="720"/>
        <w:jc w:val="both"/>
        <w:rPr>
          <w:rFonts w:ascii="Times New Roman" w:eastAsia="DengXian" w:hAnsi="Times New Roman" w:cs="Times New Roman"/>
          <w:sz w:val="24"/>
          <w:szCs w:val="24"/>
          <w:lang w:eastAsia="zh-CN"/>
        </w:rPr>
      </w:pPr>
      <w:r w:rsidRPr="00D925F3">
        <w:rPr>
          <w:rFonts w:ascii="Times New Roman" w:eastAsia="DengXian" w:hAnsi="Times New Roman" w:cs="Times New Roman"/>
          <w:sz w:val="24"/>
          <w:szCs w:val="24"/>
          <w:lang w:eastAsia="zh-CN"/>
        </w:rPr>
        <w:t xml:space="preserve">Cho, H., Stout, S. D., &amp; Madsen, R. W. (2002). </w:t>
      </w:r>
      <w:proofErr w:type="spellStart"/>
      <w:r w:rsidRPr="00D925F3">
        <w:rPr>
          <w:rFonts w:ascii="Times New Roman" w:eastAsia="DengXian" w:hAnsi="Times New Roman" w:cs="Times New Roman"/>
          <w:sz w:val="24"/>
          <w:szCs w:val="24"/>
          <w:lang w:eastAsia="zh-CN"/>
        </w:rPr>
        <w:t>Histomorphological</w:t>
      </w:r>
      <w:proofErr w:type="spellEnd"/>
      <w:r w:rsidRPr="00D925F3">
        <w:rPr>
          <w:rFonts w:ascii="Times New Roman" w:eastAsia="DengXian" w:hAnsi="Times New Roman" w:cs="Times New Roman"/>
          <w:sz w:val="24"/>
          <w:szCs w:val="24"/>
          <w:lang w:eastAsia="zh-CN"/>
        </w:rPr>
        <w:t xml:space="preserve"> analysis of the human midshaft femur: A validation study of the rib </w:t>
      </w:r>
      <w:proofErr w:type="spellStart"/>
      <w:r w:rsidRPr="00D925F3">
        <w:rPr>
          <w:rFonts w:ascii="Times New Roman" w:eastAsia="DengXian" w:hAnsi="Times New Roman" w:cs="Times New Roman"/>
          <w:sz w:val="24"/>
          <w:szCs w:val="24"/>
          <w:lang w:eastAsia="zh-CN"/>
        </w:rPr>
        <w:t>age</w:t>
      </w:r>
      <w:proofErr w:type="spellEnd"/>
      <w:r w:rsidRPr="00D925F3">
        <w:rPr>
          <w:rFonts w:ascii="Times New Roman" w:eastAsia="DengXian" w:hAnsi="Times New Roman" w:cs="Times New Roman"/>
          <w:sz w:val="24"/>
          <w:szCs w:val="24"/>
          <w:lang w:eastAsia="zh-CN"/>
        </w:rPr>
        <w:t xml:space="preserve"> estimation technique. Journal of Forensic Sciences, 47(1), 12–18. https://doi.org/10.1520/JFS15259J</w:t>
      </w:r>
    </w:p>
    <w:p w14:paraId="19A9B9DA" w14:textId="77777777" w:rsidR="00157A07" w:rsidRDefault="00157A07" w:rsidP="00157A07">
      <w:pPr>
        <w:spacing w:line="276" w:lineRule="auto"/>
        <w:jc w:val="both"/>
        <w:rPr>
          <w:rFonts w:ascii="Times New Roman" w:eastAsia="Calibri" w:hAnsi="Times New Roman" w:cs="Times New Roman"/>
          <w:sz w:val="24"/>
          <w:szCs w:val="24"/>
        </w:rPr>
      </w:pPr>
    </w:p>
    <w:p w14:paraId="6A1864DC" w14:textId="3BAA91D7" w:rsidR="006B0DA9" w:rsidRPr="00844F9C" w:rsidRDefault="006B0DA9" w:rsidP="00157A07">
      <w:pPr>
        <w:spacing w:line="276" w:lineRule="auto"/>
        <w:jc w:val="both"/>
        <w:rPr>
          <w:rFonts w:ascii="Times New Roman" w:eastAsia="Calibri" w:hAnsi="Times New Roman" w:cs="Times New Roman"/>
          <w:sz w:val="24"/>
          <w:szCs w:val="24"/>
        </w:rPr>
      </w:pPr>
      <w:r w:rsidRPr="00844F9C">
        <w:rPr>
          <w:rFonts w:ascii="Times New Roman" w:eastAsia="Calibri" w:hAnsi="Times New Roman" w:cs="Times New Roman"/>
          <w:sz w:val="24"/>
          <w:szCs w:val="24"/>
        </w:rPr>
        <w:t xml:space="preserve">Maat, G. J. R, </w:t>
      </w:r>
      <w:proofErr w:type="spellStart"/>
      <w:r w:rsidRPr="00844F9C">
        <w:rPr>
          <w:rFonts w:ascii="Times New Roman" w:eastAsia="Calibri" w:hAnsi="Times New Roman" w:cs="Times New Roman"/>
          <w:sz w:val="24"/>
          <w:szCs w:val="24"/>
        </w:rPr>
        <w:t>Aarents</w:t>
      </w:r>
      <w:proofErr w:type="spellEnd"/>
      <w:r w:rsidRPr="00844F9C">
        <w:rPr>
          <w:rFonts w:ascii="Times New Roman" w:eastAsia="Calibri" w:hAnsi="Times New Roman" w:cs="Times New Roman"/>
          <w:sz w:val="24"/>
          <w:szCs w:val="24"/>
        </w:rPr>
        <w:t xml:space="preserve">, M. J, Nagelkerke, N. J. D. (2003). Age prediction from bone replacement: Remodeling of circumferential lamellar bone tissue in the anterior cortex of the femoral shaft of the present Dutch population. Barge's </w:t>
      </w:r>
      <w:proofErr w:type="spellStart"/>
      <w:r w:rsidRPr="00844F9C">
        <w:rPr>
          <w:rFonts w:ascii="Times New Roman" w:eastAsia="Calibri" w:hAnsi="Times New Roman" w:cs="Times New Roman"/>
          <w:sz w:val="24"/>
          <w:szCs w:val="24"/>
        </w:rPr>
        <w:t>Anthropologica</w:t>
      </w:r>
      <w:proofErr w:type="spellEnd"/>
      <w:r w:rsidRPr="00844F9C">
        <w:rPr>
          <w:rFonts w:ascii="Times New Roman" w:eastAsia="Calibri" w:hAnsi="Times New Roman" w:cs="Times New Roman"/>
          <w:sz w:val="24"/>
          <w:szCs w:val="24"/>
        </w:rPr>
        <w:t xml:space="preserve"> Leiden, Leiden University Medical Centre. 10:1-19.</w:t>
      </w:r>
    </w:p>
    <w:p w14:paraId="33EE0251" w14:textId="77777777" w:rsidR="00157A07" w:rsidRDefault="00157A07" w:rsidP="006B0DA9">
      <w:pPr>
        <w:spacing w:line="480" w:lineRule="auto"/>
        <w:jc w:val="both"/>
        <w:rPr>
          <w:rFonts w:ascii="Times New Roman" w:eastAsia="Calibri" w:hAnsi="Times New Roman" w:cs="Times New Roman"/>
          <w:sz w:val="24"/>
          <w:szCs w:val="24"/>
        </w:rPr>
      </w:pPr>
    </w:p>
    <w:p w14:paraId="6831A0F1" w14:textId="74D1FCA9" w:rsidR="006B0DA9" w:rsidRPr="009E3002" w:rsidRDefault="006B0DA9" w:rsidP="00157A07">
      <w:pPr>
        <w:spacing w:line="276" w:lineRule="auto"/>
        <w:jc w:val="both"/>
        <w:rPr>
          <w:rFonts w:ascii="Times New Roman" w:eastAsia="Calibri" w:hAnsi="Times New Roman" w:cs="Times New Roman"/>
          <w:sz w:val="24"/>
          <w:szCs w:val="24"/>
        </w:rPr>
      </w:pPr>
      <w:r w:rsidRPr="009E3002">
        <w:rPr>
          <w:rFonts w:ascii="Times New Roman" w:eastAsia="Calibri" w:hAnsi="Times New Roman" w:cs="Times New Roman"/>
          <w:sz w:val="24"/>
          <w:szCs w:val="24"/>
        </w:rPr>
        <w:t xml:space="preserve">Meltem, K, Dincer, A. (2014). Age determination and long bone histology in </w:t>
      </w:r>
      <w:proofErr w:type="spellStart"/>
      <w:r w:rsidRPr="009E3002">
        <w:rPr>
          <w:rFonts w:ascii="Times New Roman" w:eastAsia="Calibri" w:hAnsi="Times New Roman" w:cs="Times New Roman"/>
          <w:sz w:val="24"/>
          <w:szCs w:val="24"/>
        </w:rPr>
        <w:t>Stellagama</w:t>
      </w:r>
      <w:proofErr w:type="spellEnd"/>
      <w:r w:rsidRPr="009E3002">
        <w:rPr>
          <w:rFonts w:ascii="Times New Roman" w:eastAsia="Calibri" w:hAnsi="Times New Roman" w:cs="Times New Roman"/>
          <w:sz w:val="24"/>
          <w:szCs w:val="24"/>
        </w:rPr>
        <w:t xml:space="preserve"> </w:t>
      </w:r>
      <w:proofErr w:type="spellStart"/>
      <w:r w:rsidRPr="009E3002">
        <w:rPr>
          <w:rFonts w:ascii="Times New Roman" w:eastAsia="Calibri" w:hAnsi="Times New Roman" w:cs="Times New Roman"/>
          <w:sz w:val="24"/>
          <w:szCs w:val="24"/>
        </w:rPr>
        <w:t>stellio</w:t>
      </w:r>
      <w:proofErr w:type="spellEnd"/>
      <w:r w:rsidRPr="009E3002">
        <w:rPr>
          <w:rFonts w:ascii="Times New Roman" w:eastAsia="Calibri" w:hAnsi="Times New Roman" w:cs="Times New Roman"/>
          <w:sz w:val="24"/>
          <w:szCs w:val="24"/>
        </w:rPr>
        <w:t xml:space="preserve"> (Linnaeus, 1758) (Squamata: Sauria:</w:t>
      </w:r>
      <w:r w:rsidR="00A24E70">
        <w:rPr>
          <w:rFonts w:ascii="Times New Roman" w:eastAsia="Calibri" w:hAnsi="Times New Roman" w:cs="Times New Roman"/>
          <w:sz w:val="24"/>
          <w:szCs w:val="24"/>
        </w:rPr>
        <w:t xml:space="preserve"> </w:t>
      </w:r>
      <w:r w:rsidRPr="009E3002">
        <w:rPr>
          <w:rFonts w:ascii="Times New Roman" w:eastAsia="Calibri" w:hAnsi="Times New Roman" w:cs="Times New Roman"/>
          <w:sz w:val="24"/>
          <w:szCs w:val="24"/>
        </w:rPr>
        <w:t xml:space="preserve">Agamidae) populations in Turkey, </w:t>
      </w:r>
      <w:proofErr w:type="spellStart"/>
      <w:proofErr w:type="gramStart"/>
      <w:r w:rsidRPr="009E3002">
        <w:rPr>
          <w:rFonts w:ascii="Times New Roman" w:eastAsia="Calibri" w:hAnsi="Times New Roman" w:cs="Times New Roman"/>
          <w:sz w:val="24"/>
          <w:szCs w:val="24"/>
        </w:rPr>
        <w:t>Senckenberg</w:t>
      </w:r>
      <w:proofErr w:type="spellEnd"/>
      <w:r w:rsidRPr="009E3002">
        <w:rPr>
          <w:rFonts w:ascii="Times New Roman" w:eastAsia="Calibri" w:hAnsi="Times New Roman" w:cs="Times New Roman"/>
          <w:sz w:val="24"/>
          <w:szCs w:val="24"/>
        </w:rPr>
        <w:t xml:space="preserve">  Gesellschaft</w:t>
      </w:r>
      <w:proofErr w:type="gramEnd"/>
      <w:r w:rsidRPr="009E3002">
        <w:rPr>
          <w:rFonts w:ascii="Times New Roman" w:eastAsia="Calibri" w:hAnsi="Times New Roman" w:cs="Times New Roman"/>
          <w:sz w:val="24"/>
          <w:szCs w:val="24"/>
        </w:rPr>
        <w:t xml:space="preserve"> fur </w:t>
      </w:r>
      <w:proofErr w:type="spellStart"/>
      <w:r w:rsidRPr="009E3002">
        <w:rPr>
          <w:rFonts w:ascii="Times New Roman" w:eastAsia="Calibri" w:hAnsi="Times New Roman" w:cs="Times New Roman"/>
          <w:sz w:val="24"/>
          <w:szCs w:val="24"/>
        </w:rPr>
        <w:t>Naturforschung</w:t>
      </w:r>
      <w:proofErr w:type="spellEnd"/>
      <w:r w:rsidRPr="009E3002">
        <w:rPr>
          <w:rFonts w:ascii="Times New Roman" w:eastAsia="Calibri" w:hAnsi="Times New Roman" w:cs="Times New Roman"/>
          <w:sz w:val="24"/>
          <w:szCs w:val="24"/>
        </w:rPr>
        <w:t>, 64 (1): 113- 126.</w:t>
      </w:r>
    </w:p>
    <w:p w14:paraId="4E2529F0" w14:textId="77777777" w:rsidR="006B0DA9" w:rsidRDefault="006B0DA9" w:rsidP="00A24E70">
      <w:pPr>
        <w:spacing w:line="276" w:lineRule="auto"/>
        <w:jc w:val="both"/>
        <w:rPr>
          <w:rFonts w:ascii="Times New Roman" w:eastAsia="Calibri" w:hAnsi="Times New Roman" w:cs="Times New Roman"/>
          <w:sz w:val="24"/>
          <w:szCs w:val="24"/>
        </w:rPr>
      </w:pPr>
      <w:r w:rsidRPr="00FB3E5B">
        <w:rPr>
          <w:rFonts w:ascii="Times New Roman" w:eastAsia="Calibri" w:hAnsi="Times New Roman" w:cs="Times New Roman"/>
          <w:sz w:val="24"/>
          <w:szCs w:val="24"/>
        </w:rPr>
        <w:t xml:space="preserve">Abdullah, H, Jamil, M.M.A, Nor, F.M. (2018a). </w:t>
      </w:r>
      <w:proofErr w:type="spellStart"/>
      <w:r w:rsidRPr="00FB3E5B">
        <w:rPr>
          <w:rFonts w:ascii="Times New Roman" w:eastAsia="Calibri" w:hAnsi="Times New Roman" w:cs="Times New Roman"/>
          <w:sz w:val="24"/>
          <w:szCs w:val="24"/>
        </w:rPr>
        <w:t>Histomorphometric</w:t>
      </w:r>
      <w:proofErr w:type="spellEnd"/>
      <w:r w:rsidRPr="00FB3E5B">
        <w:rPr>
          <w:rFonts w:ascii="Times New Roman" w:eastAsia="Calibri" w:hAnsi="Times New Roman" w:cs="Times New Roman"/>
          <w:sz w:val="24"/>
          <w:szCs w:val="24"/>
        </w:rPr>
        <w:t xml:space="preserve"> variance of Haversian canal in cortical bone of Malaysian ethnic group. Journal of Physics conference series. 1019 (1): 012009.</w:t>
      </w:r>
    </w:p>
    <w:p w14:paraId="5871ECDF" w14:textId="77777777" w:rsidR="00A24E70" w:rsidRDefault="00A24E70" w:rsidP="005D47F2">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0F399CFC" w14:textId="3600D180" w:rsidR="005D47F2" w:rsidRDefault="005D47F2" w:rsidP="00A24E70">
      <w:pPr>
        <w:autoSpaceDE w:val="0"/>
        <w:autoSpaceDN w:val="0"/>
        <w:adjustRightInd w:val="0"/>
        <w:spacing w:after="0" w:line="276" w:lineRule="auto"/>
        <w:contextualSpacing/>
        <w:jc w:val="both"/>
        <w:rPr>
          <w:rFonts w:ascii="Times New Roman" w:eastAsia="Calibri" w:hAnsi="Times New Roman" w:cs="Times New Roman"/>
          <w:sz w:val="24"/>
          <w:szCs w:val="24"/>
        </w:rPr>
      </w:pPr>
      <w:r w:rsidRPr="00844F9C">
        <w:rPr>
          <w:rFonts w:ascii="Times New Roman" w:eastAsia="Calibri" w:hAnsi="Times New Roman" w:cs="Times New Roman"/>
          <w:sz w:val="24"/>
          <w:szCs w:val="24"/>
        </w:rPr>
        <w:t xml:space="preserve">Maat, G.J.R, </w:t>
      </w:r>
      <w:proofErr w:type="spellStart"/>
      <w:r w:rsidRPr="00844F9C">
        <w:rPr>
          <w:rFonts w:ascii="Times New Roman" w:eastAsia="Calibri" w:hAnsi="Times New Roman" w:cs="Times New Roman"/>
          <w:sz w:val="24"/>
          <w:szCs w:val="24"/>
        </w:rPr>
        <w:t>Maes</w:t>
      </w:r>
      <w:proofErr w:type="spellEnd"/>
      <w:r w:rsidRPr="00844F9C">
        <w:rPr>
          <w:rFonts w:ascii="Times New Roman" w:eastAsia="Calibri" w:hAnsi="Times New Roman" w:cs="Times New Roman"/>
          <w:sz w:val="24"/>
          <w:szCs w:val="24"/>
        </w:rPr>
        <w:t xml:space="preserve">, A, </w:t>
      </w:r>
      <w:proofErr w:type="spellStart"/>
      <w:r w:rsidRPr="00844F9C">
        <w:rPr>
          <w:rFonts w:ascii="Times New Roman" w:eastAsia="Calibri" w:hAnsi="Times New Roman" w:cs="Times New Roman"/>
          <w:sz w:val="24"/>
          <w:szCs w:val="24"/>
        </w:rPr>
        <w:t>Aarents</w:t>
      </w:r>
      <w:proofErr w:type="spellEnd"/>
      <w:r w:rsidRPr="00844F9C">
        <w:rPr>
          <w:rFonts w:ascii="Times New Roman" w:eastAsia="Calibri" w:hAnsi="Times New Roman" w:cs="Times New Roman"/>
          <w:sz w:val="24"/>
          <w:szCs w:val="24"/>
        </w:rPr>
        <w:t xml:space="preserve">, M.J, </w:t>
      </w:r>
      <w:proofErr w:type="spellStart"/>
      <w:r w:rsidRPr="00844F9C">
        <w:rPr>
          <w:rFonts w:ascii="Times New Roman" w:eastAsia="Calibri" w:hAnsi="Times New Roman" w:cs="Times New Roman"/>
          <w:sz w:val="24"/>
          <w:szCs w:val="24"/>
        </w:rPr>
        <w:t>Nagelkerke</w:t>
      </w:r>
      <w:proofErr w:type="spellEnd"/>
      <w:r w:rsidRPr="00844F9C">
        <w:rPr>
          <w:rFonts w:ascii="Times New Roman" w:eastAsia="Calibri" w:hAnsi="Times New Roman" w:cs="Times New Roman"/>
          <w:sz w:val="24"/>
          <w:szCs w:val="24"/>
        </w:rPr>
        <w:t>, N.J.D. (2006). Histological age at death prediction from the femur in a contemporary Dutch sample* The decrease of non-remodeled bone in the anterior cortex. Journal of Forensic Sciences. 2006; 51:230-237.</w:t>
      </w:r>
    </w:p>
    <w:p w14:paraId="5FC3943C" w14:textId="77777777" w:rsidR="00A24E70" w:rsidRDefault="00A24E70" w:rsidP="0040643F">
      <w:pPr>
        <w:spacing w:line="480" w:lineRule="auto"/>
        <w:jc w:val="both"/>
        <w:rPr>
          <w:rFonts w:ascii="Times New Roman" w:eastAsia="Calibri" w:hAnsi="Times New Roman" w:cs="Times New Roman"/>
          <w:sz w:val="24"/>
          <w:szCs w:val="24"/>
        </w:rPr>
      </w:pPr>
    </w:p>
    <w:p w14:paraId="5D994FDC" w14:textId="4D2356BE" w:rsidR="0040643F" w:rsidRPr="00793945" w:rsidRDefault="0040643F" w:rsidP="00A24E70">
      <w:pPr>
        <w:spacing w:line="276" w:lineRule="auto"/>
        <w:jc w:val="both"/>
        <w:rPr>
          <w:rFonts w:ascii="Times New Roman" w:eastAsia="Calibri" w:hAnsi="Times New Roman" w:cs="Times New Roman"/>
          <w:sz w:val="24"/>
          <w:szCs w:val="24"/>
        </w:rPr>
      </w:pPr>
      <w:proofErr w:type="spellStart"/>
      <w:r w:rsidRPr="00793945">
        <w:rPr>
          <w:rFonts w:ascii="Times New Roman" w:eastAsia="Calibri" w:hAnsi="Times New Roman" w:cs="Times New Roman"/>
          <w:sz w:val="24"/>
          <w:szCs w:val="24"/>
        </w:rPr>
        <w:t>Orupabo</w:t>
      </w:r>
      <w:proofErr w:type="spellEnd"/>
      <w:r w:rsidRPr="00793945">
        <w:rPr>
          <w:rFonts w:ascii="Times New Roman" w:eastAsia="Calibri" w:hAnsi="Times New Roman" w:cs="Times New Roman"/>
          <w:sz w:val="24"/>
          <w:szCs w:val="24"/>
        </w:rPr>
        <w:t xml:space="preserve">, C.D, </w:t>
      </w:r>
      <w:proofErr w:type="spellStart"/>
      <w:r w:rsidRPr="00793945">
        <w:rPr>
          <w:rFonts w:ascii="Times New Roman" w:eastAsia="Calibri" w:hAnsi="Times New Roman" w:cs="Times New Roman"/>
          <w:sz w:val="24"/>
          <w:szCs w:val="24"/>
        </w:rPr>
        <w:t>Oghenemavwe</w:t>
      </w:r>
      <w:proofErr w:type="spellEnd"/>
      <w:r w:rsidRPr="00793945">
        <w:rPr>
          <w:rFonts w:ascii="Times New Roman" w:eastAsia="Calibri" w:hAnsi="Times New Roman" w:cs="Times New Roman"/>
          <w:sz w:val="24"/>
          <w:szCs w:val="24"/>
        </w:rPr>
        <w:t xml:space="preserve">, L.E, Diamond, T.E. (2020). </w:t>
      </w:r>
      <w:proofErr w:type="spellStart"/>
      <w:r w:rsidRPr="00793945">
        <w:rPr>
          <w:rFonts w:ascii="Times New Roman" w:eastAsia="Calibri" w:hAnsi="Times New Roman" w:cs="Times New Roman"/>
          <w:sz w:val="24"/>
          <w:szCs w:val="24"/>
        </w:rPr>
        <w:t>Histomorphometric</w:t>
      </w:r>
      <w:proofErr w:type="spellEnd"/>
      <w:r w:rsidRPr="00793945">
        <w:rPr>
          <w:rFonts w:ascii="Times New Roman" w:eastAsia="Calibri" w:hAnsi="Times New Roman" w:cs="Times New Roman"/>
          <w:sz w:val="24"/>
          <w:szCs w:val="24"/>
        </w:rPr>
        <w:t xml:space="preserve"> estimation of age from bone samples of Nigerians. International Journal of Medicine and Medical Research.  6(2): 67-76.</w:t>
      </w:r>
    </w:p>
    <w:p w14:paraId="0A682AB5" w14:textId="77777777" w:rsidR="00A24E70" w:rsidRDefault="00A24E70" w:rsidP="0040643F">
      <w:pPr>
        <w:spacing w:line="480" w:lineRule="auto"/>
        <w:jc w:val="both"/>
        <w:rPr>
          <w:rFonts w:ascii="Times New Roman" w:eastAsia="Calibri" w:hAnsi="Times New Roman" w:cs="Times New Roman"/>
          <w:sz w:val="24"/>
          <w:szCs w:val="24"/>
        </w:rPr>
      </w:pPr>
    </w:p>
    <w:p w14:paraId="35A299C2" w14:textId="777CD0EE" w:rsidR="0040643F" w:rsidRDefault="0040643F" w:rsidP="00A24E70">
      <w:pPr>
        <w:spacing w:line="276" w:lineRule="auto"/>
        <w:jc w:val="both"/>
        <w:rPr>
          <w:rFonts w:ascii="Times New Roman" w:eastAsia="Calibri" w:hAnsi="Times New Roman" w:cs="Times New Roman"/>
          <w:sz w:val="24"/>
          <w:szCs w:val="24"/>
        </w:rPr>
      </w:pPr>
      <w:proofErr w:type="spellStart"/>
      <w:r w:rsidRPr="001D0703">
        <w:rPr>
          <w:rFonts w:ascii="Times New Roman" w:eastAsia="Calibri" w:hAnsi="Times New Roman" w:cs="Times New Roman"/>
          <w:sz w:val="24"/>
          <w:szCs w:val="24"/>
        </w:rPr>
        <w:t>Oghenemavwe</w:t>
      </w:r>
      <w:proofErr w:type="spellEnd"/>
      <w:r w:rsidRPr="001D0703">
        <w:rPr>
          <w:rFonts w:ascii="Times New Roman" w:eastAsia="Calibri" w:hAnsi="Times New Roman" w:cs="Times New Roman"/>
          <w:sz w:val="24"/>
          <w:szCs w:val="24"/>
        </w:rPr>
        <w:t xml:space="preserve">, L.E, </w:t>
      </w:r>
      <w:proofErr w:type="spellStart"/>
      <w:r w:rsidRPr="001D0703">
        <w:rPr>
          <w:rFonts w:ascii="Times New Roman" w:eastAsia="Calibri" w:hAnsi="Times New Roman" w:cs="Times New Roman"/>
          <w:sz w:val="24"/>
          <w:szCs w:val="24"/>
        </w:rPr>
        <w:t>Orupabo</w:t>
      </w:r>
      <w:proofErr w:type="spellEnd"/>
      <w:r w:rsidRPr="001D0703">
        <w:rPr>
          <w:rFonts w:ascii="Times New Roman" w:eastAsia="Calibri" w:hAnsi="Times New Roman" w:cs="Times New Roman"/>
          <w:sz w:val="24"/>
          <w:szCs w:val="24"/>
        </w:rPr>
        <w:t xml:space="preserve">, C.D. (2022). Sex Estimation from </w:t>
      </w:r>
      <w:proofErr w:type="spellStart"/>
      <w:r w:rsidRPr="001D0703">
        <w:rPr>
          <w:rFonts w:ascii="Times New Roman" w:eastAsia="Calibri" w:hAnsi="Times New Roman" w:cs="Times New Roman"/>
          <w:sz w:val="24"/>
          <w:szCs w:val="24"/>
        </w:rPr>
        <w:t>Histomorphometric</w:t>
      </w:r>
      <w:proofErr w:type="spellEnd"/>
      <w:r w:rsidRPr="001D0703">
        <w:rPr>
          <w:rFonts w:ascii="Times New Roman" w:eastAsia="Calibri" w:hAnsi="Times New Roman" w:cs="Times New Roman"/>
          <w:sz w:val="24"/>
          <w:szCs w:val="24"/>
        </w:rPr>
        <w:t xml:space="preserve"> Analysis of Cortical Bone: A Hospital-based Study. Arab Journal of Forensic Sciences and Forensic Medicine. Vol.4 Issue (1): 1-12</w:t>
      </w:r>
    </w:p>
    <w:p w14:paraId="0CD266AA" w14:textId="77777777" w:rsidR="00A24E70" w:rsidRDefault="00A24E70" w:rsidP="0040643F">
      <w:pPr>
        <w:pStyle w:val="NormalWeb"/>
        <w:spacing w:before="0" w:beforeAutospacing="0" w:after="0" w:afterAutospacing="0" w:line="480" w:lineRule="auto"/>
        <w:ind w:left="720" w:hanging="720"/>
      </w:pPr>
    </w:p>
    <w:p w14:paraId="073D28EF" w14:textId="29A3D295" w:rsidR="0040643F" w:rsidRDefault="0040643F" w:rsidP="00A24E70">
      <w:pPr>
        <w:pStyle w:val="NormalWeb"/>
        <w:spacing w:before="0" w:beforeAutospacing="0" w:after="0" w:afterAutospacing="0" w:line="276" w:lineRule="auto"/>
        <w:ind w:left="720" w:hanging="720"/>
      </w:pPr>
      <w:r>
        <w:t xml:space="preserve">Orupabo, C. D., &amp; Chijioke, J. O. (2024). A comparative analysis on the </w:t>
      </w:r>
      <w:proofErr w:type="spellStart"/>
      <w:r>
        <w:t>histomorphometric</w:t>
      </w:r>
      <w:proofErr w:type="spellEnd"/>
      <w:r>
        <w:t xml:space="preserve"> pattern of various segments of adult male long bones: Forensic implication. </w:t>
      </w:r>
      <w:r>
        <w:rPr>
          <w:i/>
          <w:iCs/>
        </w:rPr>
        <w:t>Journal of Forensic Science and Medicine</w:t>
      </w:r>
      <w:r>
        <w:t xml:space="preserve">, </w:t>
      </w:r>
      <w:r>
        <w:rPr>
          <w:i/>
          <w:iCs/>
        </w:rPr>
        <w:t>10</w:t>
      </w:r>
      <w:r>
        <w:t xml:space="preserve">(3), 171–175. </w:t>
      </w:r>
      <w:r>
        <w:rPr>
          <w:rStyle w:val="url"/>
        </w:rPr>
        <w:t>https://doi.org/10.4103/jfsm.jfsm_98_23</w:t>
      </w:r>
    </w:p>
    <w:p w14:paraId="62BFEB5D" w14:textId="77777777" w:rsidR="00A24E70" w:rsidRDefault="00A24E70" w:rsidP="0040643F">
      <w:pPr>
        <w:pStyle w:val="NormalWeb"/>
        <w:spacing w:before="0" w:beforeAutospacing="0" w:after="0" w:afterAutospacing="0" w:line="480" w:lineRule="auto"/>
        <w:ind w:left="720" w:hanging="720"/>
      </w:pPr>
    </w:p>
    <w:p w14:paraId="0E502B97" w14:textId="56CA8EFD" w:rsidR="00B36671" w:rsidRDefault="0040643F" w:rsidP="00B36671">
      <w:pPr>
        <w:pStyle w:val="NormalWeb"/>
        <w:spacing w:before="0" w:beforeAutospacing="0" w:after="0" w:afterAutospacing="0" w:line="276" w:lineRule="auto"/>
        <w:ind w:left="720" w:hanging="720"/>
      </w:pPr>
      <w:proofErr w:type="spellStart"/>
      <w:r>
        <w:t>Bantavanou</w:t>
      </w:r>
      <w:proofErr w:type="spellEnd"/>
      <w:r>
        <w:t xml:space="preserve">, P., Siegmund, F., Moraitis, K., Pavlidis, P., </w:t>
      </w:r>
      <w:proofErr w:type="spellStart"/>
      <w:r>
        <w:t>Bertsatos</w:t>
      </w:r>
      <w:proofErr w:type="spellEnd"/>
      <w:r>
        <w:t xml:space="preserve">, A., </w:t>
      </w:r>
      <w:proofErr w:type="spellStart"/>
      <w:r>
        <w:t>Valakos</w:t>
      </w:r>
      <w:proofErr w:type="spellEnd"/>
      <w:r>
        <w:t xml:space="preserve">, E., </w:t>
      </w:r>
      <w:proofErr w:type="spellStart"/>
      <w:r>
        <w:t>Karakasi</w:t>
      </w:r>
      <w:proofErr w:type="spellEnd"/>
      <w:r>
        <w:t xml:space="preserve">, M., </w:t>
      </w:r>
      <w:proofErr w:type="spellStart"/>
      <w:r>
        <w:t>Manthou</w:t>
      </w:r>
      <w:proofErr w:type="spellEnd"/>
      <w:r>
        <w:t xml:space="preserve">, M., &amp; </w:t>
      </w:r>
      <w:proofErr w:type="spellStart"/>
      <w:r>
        <w:t>Papageorgopoulou</w:t>
      </w:r>
      <w:proofErr w:type="spellEnd"/>
      <w:r>
        <w:t xml:space="preserve">, C. (2025). </w:t>
      </w:r>
      <w:proofErr w:type="spellStart"/>
      <w:r>
        <w:t>Histomorphometric</w:t>
      </w:r>
      <w:proofErr w:type="spellEnd"/>
      <w:r>
        <w:t xml:space="preserve"> method for age-at-death estimation using the anterior side of the femoral midshaft. </w:t>
      </w:r>
      <w:r>
        <w:rPr>
          <w:i/>
          <w:iCs/>
        </w:rPr>
        <w:t>Journal of</w:t>
      </w:r>
      <w:r w:rsidR="00B36671">
        <w:rPr>
          <w:i/>
          <w:iCs/>
        </w:rPr>
        <w:t xml:space="preserve"> Archaeological Science Reports</w:t>
      </w:r>
      <w:r w:rsidR="00B36671">
        <w:t xml:space="preserve">, </w:t>
      </w:r>
      <w:r w:rsidR="00B36671">
        <w:rPr>
          <w:i/>
          <w:iCs/>
        </w:rPr>
        <w:t>62</w:t>
      </w:r>
      <w:r w:rsidR="00B36671">
        <w:t>, 105012.</w:t>
      </w:r>
      <w:r w:rsidR="00B36671">
        <w:rPr>
          <w:rStyle w:val="url"/>
        </w:rPr>
        <w:t>https://doi.org/10.1016/j.jasrep.2025.105012</w:t>
      </w:r>
    </w:p>
    <w:p w14:paraId="0DA27CDB" w14:textId="34A507DD" w:rsidR="0040643F" w:rsidRDefault="0040643F" w:rsidP="00A24E70">
      <w:pPr>
        <w:pStyle w:val="NormalWeb"/>
        <w:spacing w:before="0" w:beforeAutospacing="0" w:after="0" w:afterAutospacing="0" w:line="276" w:lineRule="auto"/>
        <w:ind w:left="720" w:hanging="720"/>
      </w:pPr>
    </w:p>
    <w:p w14:paraId="5C27AE86" w14:textId="77777777" w:rsidR="00A24E70" w:rsidRDefault="00A24E70" w:rsidP="0040643F">
      <w:pPr>
        <w:pStyle w:val="NormalWeb"/>
        <w:spacing w:before="0" w:beforeAutospacing="0" w:after="0" w:afterAutospacing="0" w:line="480" w:lineRule="auto"/>
        <w:ind w:left="720" w:hanging="720"/>
      </w:pPr>
    </w:p>
    <w:p w14:paraId="5B3A6EBF" w14:textId="648CDFAB" w:rsidR="0040643F" w:rsidRPr="00140382" w:rsidRDefault="0040643F" w:rsidP="00B36671">
      <w:pPr>
        <w:pStyle w:val="NormalWeb"/>
        <w:spacing w:before="0" w:beforeAutospacing="0" w:after="0" w:afterAutospacing="0" w:line="276" w:lineRule="auto"/>
        <w:ind w:left="720" w:hanging="720"/>
      </w:pPr>
      <w:r w:rsidRPr="00140382">
        <w:t>Orupabo</w:t>
      </w:r>
      <w:r w:rsidR="00A24E70">
        <w:t>,</w:t>
      </w:r>
      <w:r w:rsidRPr="005E3999">
        <w:t xml:space="preserve"> C</w:t>
      </w:r>
      <w:r w:rsidR="00A24E70">
        <w:t>.</w:t>
      </w:r>
      <w:r w:rsidRPr="005E3999">
        <w:t xml:space="preserve"> D</w:t>
      </w:r>
      <w:r w:rsidR="00A24E70">
        <w:t>;</w:t>
      </w:r>
      <w:r w:rsidRPr="00140382">
        <w:t xml:space="preserve"> </w:t>
      </w:r>
      <w:proofErr w:type="spellStart"/>
      <w:r w:rsidRPr="00140382">
        <w:t>Echomgbe</w:t>
      </w:r>
      <w:proofErr w:type="spellEnd"/>
      <w:r w:rsidR="00A24E70">
        <w:t>,</w:t>
      </w:r>
      <w:r w:rsidRPr="00140382">
        <w:t xml:space="preserve"> J</w:t>
      </w:r>
      <w:r w:rsidR="00A24E70">
        <w:t>.</w:t>
      </w:r>
      <w:r w:rsidRPr="00140382">
        <w:t xml:space="preserve"> O</w:t>
      </w:r>
      <w:r w:rsidR="00A24E70">
        <w:t>;</w:t>
      </w:r>
      <w:r w:rsidRPr="00140382">
        <w:t xml:space="preserve"> </w:t>
      </w:r>
      <w:proofErr w:type="spellStart"/>
      <w:r w:rsidRPr="005E3999">
        <w:t>Bokoko</w:t>
      </w:r>
      <w:proofErr w:type="spellEnd"/>
      <w:r w:rsidR="00A24E70">
        <w:t>,</w:t>
      </w:r>
      <w:r w:rsidRPr="005E3999">
        <w:t xml:space="preserve"> </w:t>
      </w:r>
      <w:r w:rsidRPr="00140382">
        <w:t xml:space="preserve">H. </w:t>
      </w:r>
      <w:r>
        <w:t>(</w:t>
      </w:r>
      <w:r w:rsidRPr="00140382">
        <w:t>2025</w:t>
      </w:r>
      <w:r>
        <w:t>)</w:t>
      </w:r>
      <w:r w:rsidRPr="00140382">
        <w:t xml:space="preserve">. </w:t>
      </w:r>
      <w:proofErr w:type="spellStart"/>
      <w:r>
        <w:t>Histomorphometric</w:t>
      </w:r>
      <w:proofErr w:type="spellEnd"/>
      <w:r w:rsidRPr="00140382">
        <w:t xml:space="preserve"> Assessment of Human Skeletal Remains: Comparative Analysis of Long and Short Bones”. Archives of Current Research International 25 (12):533–542. https://doi.org/10.9734/acri/2025/v25i121691</w:t>
      </w:r>
    </w:p>
    <w:p w14:paraId="0F01195F" w14:textId="77777777" w:rsidR="0040643F" w:rsidRDefault="0040643F" w:rsidP="0040643F">
      <w:pPr>
        <w:pStyle w:val="NormalWeb"/>
        <w:spacing w:before="0" w:beforeAutospacing="0" w:after="0" w:afterAutospacing="0" w:line="480" w:lineRule="auto"/>
        <w:ind w:left="720" w:hanging="720"/>
      </w:pPr>
    </w:p>
    <w:p w14:paraId="6C3BFEC5" w14:textId="577718D9" w:rsidR="0040643F" w:rsidRDefault="0040643F" w:rsidP="00B36671">
      <w:pPr>
        <w:pStyle w:val="NormalWeb"/>
        <w:spacing w:before="0" w:beforeAutospacing="0" w:after="0" w:afterAutospacing="0" w:line="276" w:lineRule="auto"/>
        <w:ind w:left="720" w:hanging="720"/>
        <w:rPr>
          <w:rStyle w:val="url"/>
        </w:rPr>
      </w:pPr>
      <w:r>
        <w:t xml:space="preserve">García-Donas, J. G., Paine, R. R., Bonicelli, A., &amp; </w:t>
      </w:r>
      <w:proofErr w:type="spellStart"/>
      <w:r>
        <w:t>Kranioti</w:t>
      </w:r>
      <w:proofErr w:type="spellEnd"/>
      <w:r>
        <w:t xml:space="preserve">, E. F. (2022). Age estimation for two Mediterranean populations: rib histomorphometry applied to forensic identification and bone </w:t>
      </w:r>
      <w:proofErr w:type="spellStart"/>
      <w:r>
        <w:t>remodelling</w:t>
      </w:r>
      <w:proofErr w:type="spellEnd"/>
      <w:r>
        <w:t xml:space="preserve"> research. </w:t>
      </w:r>
      <w:r>
        <w:rPr>
          <w:i/>
          <w:iCs/>
        </w:rPr>
        <w:t>International Journal of Legal Medicine</w:t>
      </w:r>
      <w:r>
        <w:t xml:space="preserve">, </w:t>
      </w:r>
      <w:r>
        <w:rPr>
          <w:i/>
          <w:iCs/>
        </w:rPr>
        <w:t>136</w:t>
      </w:r>
      <w:r>
        <w:t xml:space="preserve">(5), 1469–1481. </w:t>
      </w:r>
      <w:hyperlink r:id="rId11" w:history="1">
        <w:r w:rsidRPr="002171AD">
          <w:rPr>
            <w:rStyle w:val="Hyperlink"/>
          </w:rPr>
          <w:t>https://doi.org/10.1007/s00414-022-02812-2</w:t>
        </w:r>
      </w:hyperlink>
    </w:p>
    <w:p w14:paraId="1D842D44" w14:textId="77777777" w:rsidR="0040643F" w:rsidRDefault="0040643F" w:rsidP="00B36671">
      <w:pPr>
        <w:pStyle w:val="NormalWeb"/>
        <w:spacing w:before="0" w:beforeAutospacing="0" w:after="0" w:afterAutospacing="0" w:line="276" w:lineRule="auto"/>
        <w:ind w:left="720" w:hanging="720"/>
      </w:pPr>
      <w:r>
        <w:t xml:space="preserve">Cooke, K. M., Mahoney, P., &amp; </w:t>
      </w:r>
      <w:proofErr w:type="spellStart"/>
      <w:r>
        <w:t>Miszkiewicz</w:t>
      </w:r>
      <w:proofErr w:type="spellEnd"/>
      <w:r>
        <w:t xml:space="preserve">, J. J. (2021). Secondary osteon variants and remodeling in human bone. </w:t>
      </w:r>
      <w:r>
        <w:rPr>
          <w:i/>
          <w:iCs/>
        </w:rPr>
        <w:t>The Anatomical Record</w:t>
      </w:r>
      <w:r>
        <w:t xml:space="preserve">, </w:t>
      </w:r>
      <w:r>
        <w:rPr>
          <w:i/>
          <w:iCs/>
        </w:rPr>
        <w:t>305</w:t>
      </w:r>
      <w:r>
        <w:t xml:space="preserve">(6), 1299–1315. </w:t>
      </w:r>
      <w:r>
        <w:rPr>
          <w:rStyle w:val="url"/>
        </w:rPr>
        <w:t>https://doi.org/10.1002/ar.24646</w:t>
      </w:r>
    </w:p>
    <w:p w14:paraId="72C955AD" w14:textId="77777777" w:rsidR="0040643F" w:rsidRDefault="0040643F" w:rsidP="0040643F">
      <w:pPr>
        <w:pStyle w:val="NormalWeb"/>
        <w:spacing w:before="0" w:beforeAutospacing="0" w:after="0" w:afterAutospacing="0" w:line="480" w:lineRule="auto"/>
        <w:ind w:left="720" w:hanging="720"/>
      </w:pPr>
    </w:p>
    <w:p w14:paraId="30E8D518" w14:textId="77777777" w:rsidR="0040643F" w:rsidRDefault="0040643F" w:rsidP="00B36671">
      <w:pPr>
        <w:pStyle w:val="NormalWeb"/>
        <w:spacing w:before="0" w:beforeAutospacing="0" w:after="0" w:afterAutospacing="0" w:line="276" w:lineRule="auto"/>
        <w:ind w:left="720" w:hanging="720"/>
      </w:pPr>
      <w:r>
        <w:t xml:space="preserve">Pedersen, L. T., </w:t>
      </w:r>
      <w:proofErr w:type="spellStart"/>
      <w:r>
        <w:t>Miszkiewicz</w:t>
      </w:r>
      <w:proofErr w:type="spellEnd"/>
      <w:r>
        <w:t xml:space="preserve">, J., Cheah, L. C., Willis, A., &amp; </w:t>
      </w:r>
      <w:proofErr w:type="spellStart"/>
      <w:r>
        <w:t>Domett</w:t>
      </w:r>
      <w:proofErr w:type="spellEnd"/>
      <w:r>
        <w:t xml:space="preserve">, K. M. (2024). Age‐dependent change and intraskeletal variability in secondary osteons of elderly Australians. </w:t>
      </w:r>
      <w:r>
        <w:rPr>
          <w:i/>
          <w:iCs/>
        </w:rPr>
        <w:t>Journal of Anatomy</w:t>
      </w:r>
      <w:r>
        <w:t xml:space="preserve">, </w:t>
      </w:r>
      <w:r>
        <w:rPr>
          <w:i/>
          <w:iCs/>
        </w:rPr>
        <w:t>244</w:t>
      </w:r>
      <w:r>
        <w:t xml:space="preserve">(6), 1078–1092. </w:t>
      </w:r>
      <w:r>
        <w:rPr>
          <w:rStyle w:val="url"/>
        </w:rPr>
        <w:t>https://doi.org/10.1111/joa.14010</w:t>
      </w:r>
    </w:p>
    <w:p w14:paraId="016B0A1E" w14:textId="77777777" w:rsidR="0040643F" w:rsidRDefault="0040643F" w:rsidP="0040643F">
      <w:pPr>
        <w:autoSpaceDE w:val="0"/>
        <w:autoSpaceDN w:val="0"/>
        <w:adjustRightInd w:val="0"/>
        <w:spacing w:after="0" w:line="480" w:lineRule="auto"/>
        <w:ind w:left="810" w:hanging="810"/>
        <w:jc w:val="both"/>
        <w:rPr>
          <w:rFonts w:ascii="Times New Roman" w:eastAsia="Calibri" w:hAnsi="Times New Roman" w:cs="Times New Roman"/>
          <w:sz w:val="24"/>
          <w:szCs w:val="24"/>
        </w:rPr>
      </w:pPr>
    </w:p>
    <w:p w14:paraId="11006099" w14:textId="56868361" w:rsidR="0040643F" w:rsidRDefault="0040643F" w:rsidP="00B36671">
      <w:pPr>
        <w:autoSpaceDE w:val="0"/>
        <w:autoSpaceDN w:val="0"/>
        <w:adjustRightInd w:val="0"/>
        <w:spacing w:after="0" w:line="276" w:lineRule="auto"/>
        <w:ind w:left="810" w:hanging="810"/>
        <w:jc w:val="both"/>
        <w:rPr>
          <w:rFonts w:ascii="Times New Roman" w:eastAsia="Calibri" w:hAnsi="Times New Roman" w:cs="Times New Roman"/>
          <w:sz w:val="24"/>
          <w:szCs w:val="24"/>
        </w:rPr>
      </w:pPr>
      <w:r w:rsidRPr="007B7985">
        <w:rPr>
          <w:rFonts w:ascii="Times New Roman" w:eastAsia="Calibri" w:hAnsi="Times New Roman" w:cs="Times New Roman"/>
          <w:sz w:val="24"/>
          <w:szCs w:val="24"/>
        </w:rPr>
        <w:t xml:space="preserve">Stout, S. D, Dietze, W. H, </w:t>
      </w:r>
      <w:proofErr w:type="spellStart"/>
      <w:r w:rsidRPr="007B7985">
        <w:rPr>
          <w:rFonts w:ascii="Times New Roman" w:eastAsia="Calibri" w:hAnsi="Times New Roman" w:cs="Times New Roman"/>
          <w:sz w:val="24"/>
          <w:szCs w:val="24"/>
        </w:rPr>
        <w:t>İsçan</w:t>
      </w:r>
      <w:proofErr w:type="spellEnd"/>
      <w:r w:rsidRPr="007B7985">
        <w:rPr>
          <w:rFonts w:ascii="Times New Roman" w:eastAsia="Calibri" w:hAnsi="Times New Roman" w:cs="Times New Roman"/>
          <w:sz w:val="24"/>
          <w:szCs w:val="24"/>
        </w:rPr>
        <w:t xml:space="preserve">, M. Y &amp; Loth, S. R. (1994). Estimation of age at death using the cortical histomorphometry of the sternal end of the fourth rib. </w:t>
      </w:r>
      <w:r w:rsidRPr="007B7985">
        <w:rPr>
          <w:rFonts w:ascii="Times New Roman" w:eastAsia="Calibri" w:hAnsi="Times New Roman" w:cs="Times New Roman"/>
          <w:i/>
          <w:sz w:val="24"/>
          <w:szCs w:val="24"/>
        </w:rPr>
        <w:t>Journal of Forensic Sciences</w:t>
      </w:r>
      <w:r w:rsidRPr="007B7985">
        <w:rPr>
          <w:rFonts w:ascii="Times New Roman" w:eastAsia="Calibri" w:hAnsi="Times New Roman" w:cs="Times New Roman"/>
          <w:sz w:val="24"/>
          <w:szCs w:val="24"/>
        </w:rPr>
        <w:t xml:space="preserve">. </w:t>
      </w:r>
      <w:r w:rsidRPr="007B7985">
        <w:rPr>
          <w:rFonts w:ascii="Times New Roman" w:eastAsia="Calibri" w:hAnsi="Times New Roman" w:cs="Times New Roman"/>
          <w:i/>
          <w:sz w:val="24"/>
          <w:szCs w:val="24"/>
        </w:rPr>
        <w:t>39</w:t>
      </w:r>
      <w:r w:rsidRPr="007B7985">
        <w:rPr>
          <w:rFonts w:ascii="Times New Roman" w:eastAsia="Calibri" w:hAnsi="Times New Roman" w:cs="Times New Roman"/>
          <w:sz w:val="24"/>
          <w:szCs w:val="24"/>
        </w:rPr>
        <w:t>(3):778-784.</w:t>
      </w:r>
    </w:p>
    <w:p w14:paraId="7C9ECBF3" w14:textId="77777777" w:rsidR="00B36671" w:rsidRPr="007B7985" w:rsidRDefault="00B36671" w:rsidP="00B36671">
      <w:pPr>
        <w:autoSpaceDE w:val="0"/>
        <w:autoSpaceDN w:val="0"/>
        <w:adjustRightInd w:val="0"/>
        <w:spacing w:after="0" w:line="276" w:lineRule="auto"/>
        <w:ind w:left="810" w:hanging="810"/>
        <w:jc w:val="both"/>
        <w:rPr>
          <w:rFonts w:ascii="Times New Roman" w:eastAsia="Calibri" w:hAnsi="Times New Roman" w:cs="Times New Roman"/>
          <w:sz w:val="24"/>
          <w:szCs w:val="24"/>
        </w:rPr>
      </w:pPr>
    </w:p>
    <w:p w14:paraId="369D2416" w14:textId="77777777" w:rsidR="0040643F" w:rsidRDefault="0040643F" w:rsidP="00B36671">
      <w:pPr>
        <w:autoSpaceDE w:val="0"/>
        <w:autoSpaceDN w:val="0"/>
        <w:adjustRightInd w:val="0"/>
        <w:spacing w:after="0" w:line="276" w:lineRule="auto"/>
        <w:ind w:left="810" w:hanging="810"/>
        <w:jc w:val="both"/>
        <w:rPr>
          <w:rFonts w:ascii="Times New Roman" w:eastAsia="Calibri" w:hAnsi="Times New Roman" w:cs="Times New Roman"/>
          <w:sz w:val="24"/>
          <w:szCs w:val="24"/>
        </w:rPr>
      </w:pPr>
      <w:r w:rsidRPr="007B7985">
        <w:rPr>
          <w:rFonts w:ascii="Times New Roman" w:eastAsia="Calibri" w:hAnsi="Times New Roman" w:cs="Times New Roman"/>
          <w:sz w:val="24"/>
          <w:szCs w:val="24"/>
        </w:rPr>
        <w:t xml:space="preserve">Oettle, A. C &amp; Steyn, M. (2000). Age estimation from the sternal ends of ribs by phase analysis in South African blacks. </w:t>
      </w:r>
      <w:r w:rsidRPr="007B7985">
        <w:rPr>
          <w:rFonts w:ascii="Times New Roman" w:eastAsia="Calibri" w:hAnsi="Times New Roman" w:cs="Times New Roman"/>
          <w:i/>
          <w:sz w:val="24"/>
          <w:szCs w:val="24"/>
        </w:rPr>
        <w:t>Journal of Forensic Sciences</w:t>
      </w:r>
      <w:r w:rsidRPr="007B7985">
        <w:rPr>
          <w:rFonts w:ascii="Times New Roman" w:eastAsia="Calibri" w:hAnsi="Times New Roman" w:cs="Times New Roman"/>
          <w:sz w:val="24"/>
          <w:szCs w:val="24"/>
        </w:rPr>
        <w:t xml:space="preserve">. </w:t>
      </w:r>
      <w:r w:rsidRPr="007B7985">
        <w:rPr>
          <w:rFonts w:ascii="Times New Roman" w:eastAsia="Calibri" w:hAnsi="Times New Roman" w:cs="Times New Roman"/>
          <w:i/>
          <w:sz w:val="24"/>
          <w:szCs w:val="24"/>
        </w:rPr>
        <w:t>45</w:t>
      </w:r>
      <w:r w:rsidRPr="007B7985">
        <w:rPr>
          <w:rFonts w:ascii="Times New Roman" w:eastAsia="Calibri" w:hAnsi="Times New Roman" w:cs="Times New Roman"/>
          <w:sz w:val="24"/>
          <w:szCs w:val="24"/>
        </w:rPr>
        <w:t>(5):1071-1079.</w:t>
      </w:r>
    </w:p>
    <w:p w14:paraId="13F6C24E" w14:textId="77777777" w:rsidR="00897873" w:rsidRDefault="00897873" w:rsidP="00897873">
      <w:pPr>
        <w:pStyle w:val="NormalWeb"/>
        <w:spacing w:before="0" w:beforeAutospacing="0" w:after="0" w:afterAutospacing="0" w:line="480" w:lineRule="auto"/>
        <w:ind w:left="720" w:hanging="720"/>
      </w:pPr>
    </w:p>
    <w:p w14:paraId="43093F09" w14:textId="77777777" w:rsidR="00897873" w:rsidRDefault="00897873" w:rsidP="00B36671">
      <w:pPr>
        <w:pStyle w:val="NormalWeb"/>
        <w:spacing w:before="0" w:beforeAutospacing="0" w:after="0" w:afterAutospacing="0" w:line="276" w:lineRule="auto"/>
        <w:ind w:left="720" w:hanging="720"/>
      </w:pPr>
      <w:r>
        <w:t xml:space="preserve">Figus, C., Carlson, K. J., Bortolini, E., </w:t>
      </w:r>
      <w:proofErr w:type="spellStart"/>
      <w:r>
        <w:t>Saers</w:t>
      </w:r>
      <w:proofErr w:type="spellEnd"/>
      <w:r>
        <w:t xml:space="preserve">, J., Seghi, F., Sorrentino, R., Bernardini, F., Vazzana, A., Erjavec, I., Novak, M., </w:t>
      </w:r>
      <w:proofErr w:type="spellStart"/>
      <w:r>
        <w:t>Tuniz</w:t>
      </w:r>
      <w:proofErr w:type="spellEnd"/>
      <w:r>
        <w:t xml:space="preserve">, C., Belcastro, M. G., Stock, J., Ryan, T. M., &amp; </w:t>
      </w:r>
      <w:proofErr w:type="spellStart"/>
      <w:r>
        <w:t>Benazzi</w:t>
      </w:r>
      <w:proofErr w:type="spellEnd"/>
      <w:r>
        <w:t xml:space="preserve">, S. (2025). The Ontogeny of the human calcaneus: Insights from morphological and trabecular changes during postnatal growth. </w:t>
      </w:r>
      <w:r>
        <w:rPr>
          <w:i/>
          <w:iCs/>
        </w:rPr>
        <w:t>American Journal of Biological Anthropology</w:t>
      </w:r>
      <w:r>
        <w:t xml:space="preserve">, </w:t>
      </w:r>
      <w:r>
        <w:rPr>
          <w:i/>
          <w:iCs/>
        </w:rPr>
        <w:t>186</w:t>
      </w:r>
      <w:r>
        <w:t xml:space="preserve">(2), e70007. </w:t>
      </w:r>
      <w:r>
        <w:rPr>
          <w:rStyle w:val="url"/>
        </w:rPr>
        <w:t>https://doi.org/10.1002/ajpa.70007</w:t>
      </w:r>
    </w:p>
    <w:p w14:paraId="567CC506" w14:textId="77777777" w:rsidR="00897873" w:rsidRDefault="00897873" w:rsidP="00A84B19">
      <w:pPr>
        <w:pStyle w:val="NormalWeb"/>
        <w:spacing w:before="0" w:beforeAutospacing="0" w:after="0" w:afterAutospacing="0" w:line="480" w:lineRule="auto"/>
        <w:ind w:left="720" w:hanging="720"/>
      </w:pPr>
    </w:p>
    <w:p w14:paraId="6DB01039" w14:textId="77777777" w:rsidR="009E3002" w:rsidRDefault="009E3002" w:rsidP="00844F9C">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442C10B3" w14:textId="77777777" w:rsidR="00F055C7" w:rsidRDefault="00F055C7" w:rsidP="00844F9C">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60904797" w14:textId="77777777" w:rsidR="00793945" w:rsidRPr="001D0703" w:rsidRDefault="00793945" w:rsidP="001D0703">
      <w:pPr>
        <w:spacing w:line="480" w:lineRule="auto"/>
        <w:jc w:val="both"/>
        <w:rPr>
          <w:rFonts w:ascii="Times New Roman" w:eastAsia="Calibri" w:hAnsi="Times New Roman" w:cs="Times New Roman"/>
          <w:sz w:val="26"/>
          <w:szCs w:val="26"/>
        </w:rPr>
      </w:pPr>
    </w:p>
    <w:p w14:paraId="61EB8861" w14:textId="77777777" w:rsidR="001D0703" w:rsidRPr="00F055C7" w:rsidRDefault="001D0703" w:rsidP="00F055C7">
      <w:pPr>
        <w:spacing w:line="480" w:lineRule="auto"/>
        <w:jc w:val="both"/>
        <w:rPr>
          <w:rFonts w:ascii="Times New Roman" w:eastAsia="Calibri" w:hAnsi="Times New Roman" w:cs="Times New Roman"/>
          <w:sz w:val="24"/>
          <w:szCs w:val="24"/>
        </w:rPr>
      </w:pPr>
    </w:p>
    <w:p w14:paraId="6A166866" w14:textId="77777777" w:rsidR="00F055C7" w:rsidRPr="00844F9C" w:rsidRDefault="00F055C7" w:rsidP="00844F9C">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2A4C9496" w14:textId="0EA75317" w:rsidR="00FB3E5B" w:rsidRPr="00FB3E5B" w:rsidRDefault="00FB3E5B" w:rsidP="00FB3E5B">
      <w:pPr>
        <w:spacing w:line="480" w:lineRule="auto"/>
        <w:jc w:val="both"/>
        <w:rPr>
          <w:rFonts w:ascii="Times New Roman" w:eastAsia="Calibri" w:hAnsi="Times New Roman" w:cs="Times New Roman"/>
          <w:sz w:val="24"/>
          <w:szCs w:val="24"/>
        </w:rPr>
      </w:pPr>
    </w:p>
    <w:p w14:paraId="5C52A683" w14:textId="77777777" w:rsidR="00FB3E5B" w:rsidRPr="00FB3E5B" w:rsidRDefault="00FB3E5B" w:rsidP="00FB3E5B">
      <w:pPr>
        <w:spacing w:line="480" w:lineRule="auto"/>
        <w:jc w:val="both"/>
        <w:rPr>
          <w:rFonts w:ascii="Times New Roman" w:eastAsia="Calibri" w:hAnsi="Times New Roman" w:cs="Times New Roman"/>
          <w:sz w:val="24"/>
          <w:szCs w:val="24"/>
        </w:rPr>
      </w:pPr>
    </w:p>
    <w:p w14:paraId="0FA5A850" w14:textId="77777777" w:rsidR="002F3E1C" w:rsidRDefault="002F3E1C"/>
    <w:sectPr w:rsidR="002F3E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CA24" w14:textId="77777777" w:rsidR="00A13180" w:rsidRDefault="00A13180" w:rsidP="006B631B">
      <w:pPr>
        <w:spacing w:after="0" w:line="240" w:lineRule="auto"/>
      </w:pPr>
      <w:r>
        <w:separator/>
      </w:r>
    </w:p>
  </w:endnote>
  <w:endnote w:type="continuationSeparator" w:id="0">
    <w:p w14:paraId="5C6EEFF8" w14:textId="77777777" w:rsidR="00A13180" w:rsidRDefault="00A13180" w:rsidP="006B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7D28" w14:textId="77777777" w:rsidR="004E6F10" w:rsidRDefault="004E6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152177"/>
      <w:docPartObj>
        <w:docPartGallery w:val="Page Numbers (Bottom of Page)"/>
        <w:docPartUnique/>
      </w:docPartObj>
    </w:sdtPr>
    <w:sdtEndPr>
      <w:rPr>
        <w:noProof/>
      </w:rPr>
    </w:sdtEndPr>
    <w:sdtContent>
      <w:p w14:paraId="1C168FD2" w14:textId="2E2F5FBD" w:rsidR="006B631B" w:rsidRDefault="006B6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CBE2A" w14:textId="77777777" w:rsidR="006B631B" w:rsidRDefault="006B6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D1EB" w14:textId="77777777" w:rsidR="004E6F10" w:rsidRDefault="004E6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DA13C" w14:textId="77777777" w:rsidR="00A13180" w:rsidRDefault="00A13180" w:rsidP="006B631B">
      <w:pPr>
        <w:spacing w:after="0" w:line="240" w:lineRule="auto"/>
      </w:pPr>
      <w:r>
        <w:separator/>
      </w:r>
    </w:p>
  </w:footnote>
  <w:footnote w:type="continuationSeparator" w:id="0">
    <w:p w14:paraId="6E9FF7B5" w14:textId="77777777" w:rsidR="00A13180" w:rsidRDefault="00A13180" w:rsidP="006B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538C" w14:textId="65593B11" w:rsidR="004E6F10" w:rsidRDefault="004E6F10">
    <w:pPr>
      <w:pStyle w:val="Header"/>
    </w:pPr>
    <w:r>
      <w:rPr>
        <w:noProof/>
      </w:rPr>
      <w:pict w14:anchorId="5ABED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13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BBBD" w14:textId="3AB70D0B" w:rsidR="004E6F10" w:rsidRDefault="004E6F10">
    <w:pPr>
      <w:pStyle w:val="Header"/>
    </w:pPr>
    <w:r>
      <w:rPr>
        <w:noProof/>
      </w:rPr>
      <w:pict w14:anchorId="27928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13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DAD5" w14:textId="77AAA79D" w:rsidR="004E6F10" w:rsidRDefault="004E6F10">
    <w:pPr>
      <w:pStyle w:val="Header"/>
    </w:pPr>
    <w:r>
      <w:rPr>
        <w:noProof/>
      </w:rPr>
      <w:pict w14:anchorId="118D6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13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30973"/>
    <w:multiLevelType w:val="hybridMultilevel"/>
    <w:tmpl w:val="BF4EC3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C6"/>
    <w:rsid w:val="00023D30"/>
    <w:rsid w:val="0003088E"/>
    <w:rsid w:val="0005400D"/>
    <w:rsid w:val="00060BF2"/>
    <w:rsid w:val="00066453"/>
    <w:rsid w:val="000777BC"/>
    <w:rsid w:val="000978EF"/>
    <w:rsid w:val="000A1209"/>
    <w:rsid w:val="000A5B71"/>
    <w:rsid w:val="000B6665"/>
    <w:rsid w:val="000C5FD6"/>
    <w:rsid w:val="000D10A5"/>
    <w:rsid w:val="000E09D1"/>
    <w:rsid w:val="000E5F56"/>
    <w:rsid w:val="000F33D1"/>
    <w:rsid w:val="00116E8D"/>
    <w:rsid w:val="00140382"/>
    <w:rsid w:val="00143C99"/>
    <w:rsid w:val="00157A07"/>
    <w:rsid w:val="001662DF"/>
    <w:rsid w:val="00193B59"/>
    <w:rsid w:val="0019562B"/>
    <w:rsid w:val="001B5A50"/>
    <w:rsid w:val="001B7BC9"/>
    <w:rsid w:val="001D0703"/>
    <w:rsid w:val="001F103F"/>
    <w:rsid w:val="0022377D"/>
    <w:rsid w:val="0022482B"/>
    <w:rsid w:val="00227864"/>
    <w:rsid w:val="00227BB0"/>
    <w:rsid w:val="00232E1C"/>
    <w:rsid w:val="00240D89"/>
    <w:rsid w:val="002746D5"/>
    <w:rsid w:val="002A57ED"/>
    <w:rsid w:val="002C3749"/>
    <w:rsid w:val="002D50F4"/>
    <w:rsid w:val="002E06A3"/>
    <w:rsid w:val="002E1AED"/>
    <w:rsid w:val="002F3E1C"/>
    <w:rsid w:val="002F3F46"/>
    <w:rsid w:val="003245D3"/>
    <w:rsid w:val="00325146"/>
    <w:rsid w:val="003520AA"/>
    <w:rsid w:val="00356681"/>
    <w:rsid w:val="00385E34"/>
    <w:rsid w:val="00391EED"/>
    <w:rsid w:val="00394C91"/>
    <w:rsid w:val="003B6E96"/>
    <w:rsid w:val="003D43CC"/>
    <w:rsid w:val="003E3184"/>
    <w:rsid w:val="0040643F"/>
    <w:rsid w:val="004151B7"/>
    <w:rsid w:val="004576B9"/>
    <w:rsid w:val="00472F64"/>
    <w:rsid w:val="004938EC"/>
    <w:rsid w:val="004C4F0E"/>
    <w:rsid w:val="004C5753"/>
    <w:rsid w:val="004E6F10"/>
    <w:rsid w:val="00503BBA"/>
    <w:rsid w:val="00557E2B"/>
    <w:rsid w:val="00560A22"/>
    <w:rsid w:val="005634B9"/>
    <w:rsid w:val="00564E2A"/>
    <w:rsid w:val="00582F04"/>
    <w:rsid w:val="00584592"/>
    <w:rsid w:val="00595706"/>
    <w:rsid w:val="005A69C9"/>
    <w:rsid w:val="005D1548"/>
    <w:rsid w:val="005D47F2"/>
    <w:rsid w:val="005D4E0C"/>
    <w:rsid w:val="005E3999"/>
    <w:rsid w:val="005E3A79"/>
    <w:rsid w:val="005E6486"/>
    <w:rsid w:val="00600B6A"/>
    <w:rsid w:val="006176B3"/>
    <w:rsid w:val="006338F2"/>
    <w:rsid w:val="006339A9"/>
    <w:rsid w:val="00633B53"/>
    <w:rsid w:val="00646D96"/>
    <w:rsid w:val="00676F74"/>
    <w:rsid w:val="00686A92"/>
    <w:rsid w:val="00687B6D"/>
    <w:rsid w:val="00697CBD"/>
    <w:rsid w:val="006A1B65"/>
    <w:rsid w:val="006B0DA9"/>
    <w:rsid w:val="006B631B"/>
    <w:rsid w:val="006C6574"/>
    <w:rsid w:val="006D0D56"/>
    <w:rsid w:val="006E192A"/>
    <w:rsid w:val="006E7DD3"/>
    <w:rsid w:val="00731C87"/>
    <w:rsid w:val="00745324"/>
    <w:rsid w:val="00750A3F"/>
    <w:rsid w:val="00757614"/>
    <w:rsid w:val="00785023"/>
    <w:rsid w:val="00793945"/>
    <w:rsid w:val="007A3D78"/>
    <w:rsid w:val="007A6212"/>
    <w:rsid w:val="007B7985"/>
    <w:rsid w:val="008128C0"/>
    <w:rsid w:val="00824D36"/>
    <w:rsid w:val="00827233"/>
    <w:rsid w:val="00844F9C"/>
    <w:rsid w:val="00870A38"/>
    <w:rsid w:val="00891F43"/>
    <w:rsid w:val="00897873"/>
    <w:rsid w:val="008C7016"/>
    <w:rsid w:val="008F1A98"/>
    <w:rsid w:val="00905972"/>
    <w:rsid w:val="009104D4"/>
    <w:rsid w:val="00910555"/>
    <w:rsid w:val="00915FBA"/>
    <w:rsid w:val="009265D2"/>
    <w:rsid w:val="009448C6"/>
    <w:rsid w:val="009546B7"/>
    <w:rsid w:val="009808DF"/>
    <w:rsid w:val="00982DA4"/>
    <w:rsid w:val="0099055C"/>
    <w:rsid w:val="00991863"/>
    <w:rsid w:val="00993A14"/>
    <w:rsid w:val="009A41EE"/>
    <w:rsid w:val="009A61FD"/>
    <w:rsid w:val="009C1119"/>
    <w:rsid w:val="009C32E2"/>
    <w:rsid w:val="009C39A6"/>
    <w:rsid w:val="009E29DB"/>
    <w:rsid w:val="009E3002"/>
    <w:rsid w:val="00A03292"/>
    <w:rsid w:val="00A10547"/>
    <w:rsid w:val="00A119C0"/>
    <w:rsid w:val="00A13180"/>
    <w:rsid w:val="00A16B2F"/>
    <w:rsid w:val="00A24E70"/>
    <w:rsid w:val="00A3253B"/>
    <w:rsid w:val="00A36664"/>
    <w:rsid w:val="00A40E11"/>
    <w:rsid w:val="00A50C6F"/>
    <w:rsid w:val="00A66DFC"/>
    <w:rsid w:val="00A84B19"/>
    <w:rsid w:val="00A9445B"/>
    <w:rsid w:val="00AB4812"/>
    <w:rsid w:val="00AB603D"/>
    <w:rsid w:val="00AB7727"/>
    <w:rsid w:val="00AD3141"/>
    <w:rsid w:val="00AD5AFA"/>
    <w:rsid w:val="00B206D1"/>
    <w:rsid w:val="00B20FBC"/>
    <w:rsid w:val="00B25715"/>
    <w:rsid w:val="00B36671"/>
    <w:rsid w:val="00B4374D"/>
    <w:rsid w:val="00B704DC"/>
    <w:rsid w:val="00B7252A"/>
    <w:rsid w:val="00B764E9"/>
    <w:rsid w:val="00B915DC"/>
    <w:rsid w:val="00BA47AA"/>
    <w:rsid w:val="00BA769C"/>
    <w:rsid w:val="00BB4D29"/>
    <w:rsid w:val="00BC4513"/>
    <w:rsid w:val="00BC73A5"/>
    <w:rsid w:val="00BD2B87"/>
    <w:rsid w:val="00BD7721"/>
    <w:rsid w:val="00BE147A"/>
    <w:rsid w:val="00BE53FF"/>
    <w:rsid w:val="00BF344F"/>
    <w:rsid w:val="00C113FB"/>
    <w:rsid w:val="00C3240D"/>
    <w:rsid w:val="00C43911"/>
    <w:rsid w:val="00C64E09"/>
    <w:rsid w:val="00C826FE"/>
    <w:rsid w:val="00C97706"/>
    <w:rsid w:val="00CF5C99"/>
    <w:rsid w:val="00D37C58"/>
    <w:rsid w:val="00D620FB"/>
    <w:rsid w:val="00D632A5"/>
    <w:rsid w:val="00D80C0F"/>
    <w:rsid w:val="00D925F3"/>
    <w:rsid w:val="00DA4763"/>
    <w:rsid w:val="00DB0D7A"/>
    <w:rsid w:val="00DC70F1"/>
    <w:rsid w:val="00DD315A"/>
    <w:rsid w:val="00E0220B"/>
    <w:rsid w:val="00E1664B"/>
    <w:rsid w:val="00E20872"/>
    <w:rsid w:val="00E302FA"/>
    <w:rsid w:val="00E463F5"/>
    <w:rsid w:val="00E50519"/>
    <w:rsid w:val="00E5068E"/>
    <w:rsid w:val="00E72612"/>
    <w:rsid w:val="00E75B57"/>
    <w:rsid w:val="00E949A4"/>
    <w:rsid w:val="00EB1AC9"/>
    <w:rsid w:val="00EC354D"/>
    <w:rsid w:val="00ED5423"/>
    <w:rsid w:val="00EF34F0"/>
    <w:rsid w:val="00F055C7"/>
    <w:rsid w:val="00F12497"/>
    <w:rsid w:val="00F25BC8"/>
    <w:rsid w:val="00F26E63"/>
    <w:rsid w:val="00F31DE3"/>
    <w:rsid w:val="00F37477"/>
    <w:rsid w:val="00F472DF"/>
    <w:rsid w:val="00F5581B"/>
    <w:rsid w:val="00FA5014"/>
    <w:rsid w:val="00FB3E46"/>
    <w:rsid w:val="00FB3E5B"/>
    <w:rsid w:val="00FE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D8ED93"/>
  <w15:chartTrackingRefBased/>
  <w15:docId w15:val="{E39A47AF-EC28-4AF5-A418-8130CBC1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8C6"/>
    <w:rPr>
      <w:color w:val="0563C1" w:themeColor="hyperlink"/>
      <w:u w:val="single"/>
    </w:rPr>
  </w:style>
  <w:style w:type="character" w:styleId="UnresolvedMention">
    <w:name w:val="Unresolved Mention"/>
    <w:basedOn w:val="DefaultParagraphFont"/>
    <w:uiPriority w:val="99"/>
    <w:semiHidden/>
    <w:unhideWhenUsed/>
    <w:rsid w:val="009448C6"/>
    <w:rPr>
      <w:color w:val="605E5C"/>
      <w:shd w:val="clear" w:color="auto" w:fill="E1DFDD"/>
    </w:rPr>
  </w:style>
  <w:style w:type="character" w:styleId="Emphasis">
    <w:name w:val="Emphasis"/>
    <w:basedOn w:val="DefaultParagraphFont"/>
    <w:uiPriority w:val="20"/>
    <w:qFormat/>
    <w:rsid w:val="009448C6"/>
    <w:rPr>
      <w:i/>
      <w:iCs/>
    </w:rPr>
  </w:style>
  <w:style w:type="table" w:styleId="TableGrid">
    <w:name w:val="Table Grid"/>
    <w:basedOn w:val="TableNormal"/>
    <w:uiPriority w:val="39"/>
    <w:rsid w:val="0099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A84B19"/>
  </w:style>
  <w:style w:type="paragraph" w:styleId="ListParagraph">
    <w:name w:val="List Paragraph"/>
    <w:basedOn w:val="Normal"/>
    <w:uiPriority w:val="34"/>
    <w:qFormat/>
    <w:rsid w:val="0099055C"/>
    <w:pPr>
      <w:ind w:left="720"/>
      <w:contextualSpacing/>
    </w:pPr>
  </w:style>
  <w:style w:type="paragraph" w:styleId="Header">
    <w:name w:val="header"/>
    <w:basedOn w:val="Normal"/>
    <w:link w:val="HeaderChar"/>
    <w:uiPriority w:val="99"/>
    <w:unhideWhenUsed/>
    <w:rsid w:val="006B6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31B"/>
  </w:style>
  <w:style w:type="paragraph" w:styleId="Footer">
    <w:name w:val="footer"/>
    <w:basedOn w:val="Normal"/>
    <w:link w:val="FooterChar"/>
    <w:uiPriority w:val="99"/>
    <w:unhideWhenUsed/>
    <w:rsid w:val="006B6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8574">
      <w:bodyDiv w:val="1"/>
      <w:marLeft w:val="0"/>
      <w:marRight w:val="0"/>
      <w:marTop w:val="0"/>
      <w:marBottom w:val="0"/>
      <w:divBdr>
        <w:top w:val="none" w:sz="0" w:space="0" w:color="auto"/>
        <w:left w:val="none" w:sz="0" w:space="0" w:color="auto"/>
        <w:bottom w:val="none" w:sz="0" w:space="0" w:color="auto"/>
        <w:right w:val="none" w:sz="0" w:space="0" w:color="auto"/>
      </w:divBdr>
      <w:divsChild>
        <w:div w:id="911040977">
          <w:marLeft w:val="0"/>
          <w:marRight w:val="0"/>
          <w:marTop w:val="0"/>
          <w:marBottom w:val="0"/>
          <w:divBdr>
            <w:top w:val="none" w:sz="0" w:space="0" w:color="auto"/>
            <w:left w:val="none" w:sz="0" w:space="0" w:color="auto"/>
            <w:bottom w:val="none" w:sz="0" w:space="0" w:color="auto"/>
            <w:right w:val="none" w:sz="0" w:space="0" w:color="auto"/>
          </w:divBdr>
          <w:divsChild>
            <w:div w:id="1093164600">
              <w:marLeft w:val="0"/>
              <w:marRight w:val="0"/>
              <w:marTop w:val="0"/>
              <w:marBottom w:val="0"/>
              <w:divBdr>
                <w:top w:val="none" w:sz="0" w:space="0" w:color="auto"/>
                <w:left w:val="none" w:sz="0" w:space="0" w:color="auto"/>
                <w:bottom w:val="none" w:sz="0" w:space="0" w:color="auto"/>
                <w:right w:val="none" w:sz="0" w:space="0" w:color="auto"/>
              </w:divBdr>
            </w:div>
          </w:divsChild>
        </w:div>
        <w:div w:id="1918634574">
          <w:marLeft w:val="0"/>
          <w:marRight w:val="0"/>
          <w:marTop w:val="0"/>
          <w:marBottom w:val="0"/>
          <w:divBdr>
            <w:top w:val="none" w:sz="0" w:space="0" w:color="auto"/>
            <w:left w:val="none" w:sz="0" w:space="0" w:color="auto"/>
            <w:bottom w:val="none" w:sz="0" w:space="0" w:color="auto"/>
            <w:right w:val="none" w:sz="0" w:space="0" w:color="auto"/>
          </w:divBdr>
          <w:divsChild>
            <w:div w:id="998728167">
              <w:marLeft w:val="0"/>
              <w:marRight w:val="0"/>
              <w:marTop w:val="0"/>
              <w:marBottom w:val="0"/>
              <w:divBdr>
                <w:top w:val="none" w:sz="0" w:space="0" w:color="auto"/>
                <w:left w:val="none" w:sz="0" w:space="0" w:color="auto"/>
                <w:bottom w:val="none" w:sz="0" w:space="0" w:color="auto"/>
                <w:right w:val="none" w:sz="0" w:space="0" w:color="auto"/>
              </w:divBdr>
            </w:div>
          </w:divsChild>
        </w:div>
        <w:div w:id="310208003">
          <w:marLeft w:val="0"/>
          <w:marRight w:val="0"/>
          <w:marTop w:val="0"/>
          <w:marBottom w:val="0"/>
          <w:divBdr>
            <w:top w:val="none" w:sz="0" w:space="0" w:color="auto"/>
            <w:left w:val="none" w:sz="0" w:space="0" w:color="auto"/>
            <w:bottom w:val="none" w:sz="0" w:space="0" w:color="auto"/>
            <w:right w:val="none" w:sz="0" w:space="0" w:color="auto"/>
          </w:divBdr>
          <w:divsChild>
            <w:div w:id="1332367893">
              <w:marLeft w:val="0"/>
              <w:marRight w:val="0"/>
              <w:marTop w:val="0"/>
              <w:marBottom w:val="0"/>
              <w:divBdr>
                <w:top w:val="none" w:sz="0" w:space="0" w:color="auto"/>
                <w:left w:val="none" w:sz="0" w:space="0" w:color="auto"/>
                <w:bottom w:val="none" w:sz="0" w:space="0" w:color="auto"/>
                <w:right w:val="none" w:sz="0" w:space="0" w:color="auto"/>
              </w:divBdr>
            </w:div>
          </w:divsChild>
        </w:div>
        <w:div w:id="672533732">
          <w:marLeft w:val="0"/>
          <w:marRight w:val="0"/>
          <w:marTop w:val="0"/>
          <w:marBottom w:val="0"/>
          <w:divBdr>
            <w:top w:val="none" w:sz="0" w:space="0" w:color="auto"/>
            <w:left w:val="none" w:sz="0" w:space="0" w:color="auto"/>
            <w:bottom w:val="none" w:sz="0" w:space="0" w:color="auto"/>
            <w:right w:val="none" w:sz="0" w:space="0" w:color="auto"/>
          </w:divBdr>
          <w:divsChild>
            <w:div w:id="20128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551">
      <w:bodyDiv w:val="1"/>
      <w:marLeft w:val="0"/>
      <w:marRight w:val="0"/>
      <w:marTop w:val="0"/>
      <w:marBottom w:val="0"/>
      <w:divBdr>
        <w:top w:val="none" w:sz="0" w:space="0" w:color="auto"/>
        <w:left w:val="none" w:sz="0" w:space="0" w:color="auto"/>
        <w:bottom w:val="none" w:sz="0" w:space="0" w:color="auto"/>
        <w:right w:val="none" w:sz="0" w:space="0" w:color="auto"/>
      </w:divBdr>
      <w:divsChild>
        <w:div w:id="1387726548">
          <w:marLeft w:val="0"/>
          <w:marRight w:val="0"/>
          <w:marTop w:val="0"/>
          <w:marBottom w:val="0"/>
          <w:divBdr>
            <w:top w:val="none" w:sz="0" w:space="0" w:color="auto"/>
            <w:left w:val="none" w:sz="0" w:space="0" w:color="auto"/>
            <w:bottom w:val="none" w:sz="0" w:space="0" w:color="auto"/>
            <w:right w:val="none" w:sz="0" w:space="0" w:color="auto"/>
          </w:divBdr>
          <w:divsChild>
            <w:div w:id="388966675">
              <w:marLeft w:val="0"/>
              <w:marRight w:val="0"/>
              <w:marTop w:val="0"/>
              <w:marBottom w:val="0"/>
              <w:divBdr>
                <w:top w:val="none" w:sz="0" w:space="0" w:color="auto"/>
                <w:left w:val="none" w:sz="0" w:space="0" w:color="auto"/>
                <w:bottom w:val="none" w:sz="0" w:space="0" w:color="auto"/>
                <w:right w:val="none" w:sz="0" w:space="0" w:color="auto"/>
              </w:divBdr>
            </w:div>
          </w:divsChild>
        </w:div>
        <w:div w:id="1689021143">
          <w:marLeft w:val="0"/>
          <w:marRight w:val="0"/>
          <w:marTop w:val="0"/>
          <w:marBottom w:val="0"/>
          <w:divBdr>
            <w:top w:val="none" w:sz="0" w:space="0" w:color="auto"/>
            <w:left w:val="none" w:sz="0" w:space="0" w:color="auto"/>
            <w:bottom w:val="none" w:sz="0" w:space="0" w:color="auto"/>
            <w:right w:val="none" w:sz="0" w:space="0" w:color="auto"/>
          </w:divBdr>
          <w:divsChild>
            <w:div w:id="617685701">
              <w:marLeft w:val="0"/>
              <w:marRight w:val="0"/>
              <w:marTop w:val="0"/>
              <w:marBottom w:val="0"/>
              <w:divBdr>
                <w:top w:val="none" w:sz="0" w:space="0" w:color="auto"/>
                <w:left w:val="none" w:sz="0" w:space="0" w:color="auto"/>
                <w:bottom w:val="none" w:sz="0" w:space="0" w:color="auto"/>
                <w:right w:val="none" w:sz="0" w:space="0" w:color="auto"/>
              </w:divBdr>
            </w:div>
          </w:divsChild>
        </w:div>
        <w:div w:id="442068614">
          <w:marLeft w:val="0"/>
          <w:marRight w:val="0"/>
          <w:marTop w:val="0"/>
          <w:marBottom w:val="0"/>
          <w:divBdr>
            <w:top w:val="none" w:sz="0" w:space="0" w:color="auto"/>
            <w:left w:val="none" w:sz="0" w:space="0" w:color="auto"/>
            <w:bottom w:val="none" w:sz="0" w:space="0" w:color="auto"/>
            <w:right w:val="none" w:sz="0" w:space="0" w:color="auto"/>
          </w:divBdr>
          <w:divsChild>
            <w:div w:id="840043581">
              <w:marLeft w:val="0"/>
              <w:marRight w:val="0"/>
              <w:marTop w:val="0"/>
              <w:marBottom w:val="0"/>
              <w:divBdr>
                <w:top w:val="none" w:sz="0" w:space="0" w:color="auto"/>
                <w:left w:val="none" w:sz="0" w:space="0" w:color="auto"/>
                <w:bottom w:val="none" w:sz="0" w:space="0" w:color="auto"/>
                <w:right w:val="none" w:sz="0" w:space="0" w:color="auto"/>
              </w:divBdr>
            </w:div>
          </w:divsChild>
        </w:div>
        <w:div w:id="952592952">
          <w:marLeft w:val="0"/>
          <w:marRight w:val="0"/>
          <w:marTop w:val="0"/>
          <w:marBottom w:val="0"/>
          <w:divBdr>
            <w:top w:val="none" w:sz="0" w:space="0" w:color="auto"/>
            <w:left w:val="none" w:sz="0" w:space="0" w:color="auto"/>
            <w:bottom w:val="none" w:sz="0" w:space="0" w:color="auto"/>
            <w:right w:val="none" w:sz="0" w:space="0" w:color="auto"/>
          </w:divBdr>
          <w:divsChild>
            <w:div w:id="4942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2628">
      <w:bodyDiv w:val="1"/>
      <w:marLeft w:val="0"/>
      <w:marRight w:val="0"/>
      <w:marTop w:val="0"/>
      <w:marBottom w:val="0"/>
      <w:divBdr>
        <w:top w:val="none" w:sz="0" w:space="0" w:color="auto"/>
        <w:left w:val="none" w:sz="0" w:space="0" w:color="auto"/>
        <w:bottom w:val="none" w:sz="0" w:space="0" w:color="auto"/>
        <w:right w:val="none" w:sz="0" w:space="0" w:color="auto"/>
      </w:divBdr>
    </w:div>
    <w:div w:id="1017148571">
      <w:bodyDiv w:val="1"/>
      <w:marLeft w:val="0"/>
      <w:marRight w:val="0"/>
      <w:marTop w:val="0"/>
      <w:marBottom w:val="0"/>
      <w:divBdr>
        <w:top w:val="none" w:sz="0" w:space="0" w:color="auto"/>
        <w:left w:val="none" w:sz="0" w:space="0" w:color="auto"/>
        <w:bottom w:val="none" w:sz="0" w:space="0" w:color="auto"/>
        <w:right w:val="none" w:sz="0" w:space="0" w:color="auto"/>
      </w:divBdr>
      <w:divsChild>
        <w:div w:id="919096814">
          <w:marLeft w:val="-720"/>
          <w:marRight w:val="0"/>
          <w:marTop w:val="0"/>
          <w:marBottom w:val="0"/>
          <w:divBdr>
            <w:top w:val="none" w:sz="0" w:space="0" w:color="auto"/>
            <w:left w:val="none" w:sz="0" w:space="0" w:color="auto"/>
            <w:bottom w:val="none" w:sz="0" w:space="0" w:color="auto"/>
            <w:right w:val="none" w:sz="0" w:space="0" w:color="auto"/>
          </w:divBdr>
        </w:div>
      </w:divsChild>
    </w:div>
    <w:div w:id="1219709750">
      <w:bodyDiv w:val="1"/>
      <w:marLeft w:val="0"/>
      <w:marRight w:val="0"/>
      <w:marTop w:val="0"/>
      <w:marBottom w:val="0"/>
      <w:divBdr>
        <w:top w:val="none" w:sz="0" w:space="0" w:color="auto"/>
        <w:left w:val="none" w:sz="0" w:space="0" w:color="auto"/>
        <w:bottom w:val="none" w:sz="0" w:space="0" w:color="auto"/>
        <w:right w:val="none" w:sz="0" w:space="0" w:color="auto"/>
      </w:divBdr>
    </w:div>
    <w:div w:id="1313867852">
      <w:bodyDiv w:val="1"/>
      <w:marLeft w:val="0"/>
      <w:marRight w:val="0"/>
      <w:marTop w:val="0"/>
      <w:marBottom w:val="0"/>
      <w:divBdr>
        <w:top w:val="none" w:sz="0" w:space="0" w:color="auto"/>
        <w:left w:val="none" w:sz="0" w:space="0" w:color="auto"/>
        <w:bottom w:val="none" w:sz="0" w:space="0" w:color="auto"/>
        <w:right w:val="none" w:sz="0" w:space="0" w:color="auto"/>
      </w:divBdr>
    </w:div>
    <w:div w:id="1334727129">
      <w:bodyDiv w:val="1"/>
      <w:marLeft w:val="0"/>
      <w:marRight w:val="0"/>
      <w:marTop w:val="0"/>
      <w:marBottom w:val="0"/>
      <w:divBdr>
        <w:top w:val="none" w:sz="0" w:space="0" w:color="auto"/>
        <w:left w:val="none" w:sz="0" w:space="0" w:color="auto"/>
        <w:bottom w:val="none" w:sz="0" w:space="0" w:color="auto"/>
        <w:right w:val="none" w:sz="0" w:space="0" w:color="auto"/>
      </w:divBdr>
    </w:div>
    <w:div w:id="1452482693">
      <w:bodyDiv w:val="1"/>
      <w:marLeft w:val="0"/>
      <w:marRight w:val="0"/>
      <w:marTop w:val="0"/>
      <w:marBottom w:val="0"/>
      <w:divBdr>
        <w:top w:val="none" w:sz="0" w:space="0" w:color="auto"/>
        <w:left w:val="none" w:sz="0" w:space="0" w:color="auto"/>
        <w:bottom w:val="none" w:sz="0" w:space="0" w:color="auto"/>
        <w:right w:val="none" w:sz="0" w:space="0" w:color="auto"/>
      </w:divBdr>
    </w:div>
    <w:div w:id="1772823373">
      <w:bodyDiv w:val="1"/>
      <w:marLeft w:val="0"/>
      <w:marRight w:val="0"/>
      <w:marTop w:val="0"/>
      <w:marBottom w:val="0"/>
      <w:divBdr>
        <w:top w:val="none" w:sz="0" w:space="0" w:color="auto"/>
        <w:left w:val="none" w:sz="0" w:space="0" w:color="auto"/>
        <w:bottom w:val="none" w:sz="0" w:space="0" w:color="auto"/>
        <w:right w:val="none" w:sz="0" w:space="0" w:color="auto"/>
      </w:divBdr>
    </w:div>
    <w:div w:id="1981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414-022-0281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mps70400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legalmed.2020.1017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20</Pages>
  <Words>4425</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Ndee</dc:creator>
  <cp:keywords/>
  <dc:description/>
  <cp:lastModifiedBy>SDI 1084</cp:lastModifiedBy>
  <cp:revision>188</cp:revision>
  <dcterms:created xsi:type="dcterms:W3CDTF">2026-01-03T16:02:00Z</dcterms:created>
  <dcterms:modified xsi:type="dcterms:W3CDTF">2026-03-24T13:06:00Z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ca75dbc0-77bd-41d9-8349-3fc06df115d3</vt:lpwstr>
  </property>
</Properties>
</file>