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26D2D6" w14:textId="77777777" w:rsidR="003875B5" w:rsidRDefault="004C4BC1" w:rsidP="005723BF">
      <w:pPr>
        <w:spacing w:line="360" w:lineRule="auto"/>
        <w:rPr>
          <w:rFonts w:ascii="Times New Roman" w:hAnsi="Times New Roman" w:cs="Times New Roman"/>
          <w:b/>
          <w:sz w:val="24"/>
          <w:szCs w:val="24"/>
        </w:rPr>
      </w:pPr>
      <w:r w:rsidRPr="004C4BC1">
        <w:rPr>
          <w:rFonts w:ascii="Times New Roman" w:hAnsi="Times New Roman" w:cs="Times New Roman"/>
          <w:b/>
          <w:sz w:val="24"/>
          <w:szCs w:val="24"/>
        </w:rPr>
        <w:t>E-G</w:t>
      </w:r>
      <w:r w:rsidR="005D17E1">
        <w:rPr>
          <w:rFonts w:ascii="Times New Roman" w:hAnsi="Times New Roman" w:cs="Times New Roman"/>
          <w:b/>
          <w:sz w:val="24"/>
          <w:szCs w:val="24"/>
        </w:rPr>
        <w:t xml:space="preserve">overnance and Inclusive Growth: A </w:t>
      </w:r>
      <w:r w:rsidRPr="004C4BC1">
        <w:rPr>
          <w:rFonts w:ascii="Times New Roman" w:hAnsi="Times New Roman" w:cs="Times New Roman"/>
          <w:b/>
          <w:sz w:val="24"/>
          <w:szCs w:val="24"/>
        </w:rPr>
        <w:t>Political Analysis of India’s Digital Transformation</w:t>
      </w:r>
    </w:p>
    <w:p w14:paraId="24954EC0" w14:textId="77777777" w:rsidR="005723BF" w:rsidRDefault="005723BF" w:rsidP="00264FBD">
      <w:pPr>
        <w:spacing w:line="360" w:lineRule="auto"/>
        <w:jc w:val="both"/>
        <w:rPr>
          <w:rFonts w:ascii="Times New Roman" w:hAnsi="Times New Roman" w:cs="Times New Roman"/>
          <w:b/>
          <w:sz w:val="24"/>
          <w:szCs w:val="24"/>
        </w:rPr>
      </w:pPr>
    </w:p>
    <w:p w14:paraId="2EE4829D" w14:textId="77777777" w:rsidR="00744648" w:rsidRDefault="00744648" w:rsidP="00744648">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0F737BA2" w14:textId="77777777" w:rsidR="00744648" w:rsidRPr="00744648" w:rsidRDefault="00744648" w:rsidP="00744648">
      <w:pPr>
        <w:spacing w:line="360" w:lineRule="auto"/>
        <w:jc w:val="both"/>
        <w:rPr>
          <w:rFonts w:ascii="Times New Roman" w:hAnsi="Times New Roman" w:cs="Times New Roman"/>
          <w:b/>
          <w:sz w:val="24"/>
          <w:szCs w:val="24"/>
        </w:rPr>
      </w:pPr>
      <w:r w:rsidRPr="00744648">
        <w:rPr>
          <w:rFonts w:ascii="Times New Roman" w:hAnsi="Times New Roman" w:cs="Times New Roman"/>
          <w:sz w:val="24"/>
          <w:szCs w:val="24"/>
        </w:rPr>
        <w:t xml:space="preserve">The rapid expansion of digital technologies has significantly transformed governance structures across the globe, with India emerging as a leading example of large-scale digital integration in public administration. Under flagship initiatives such as </w:t>
      </w:r>
      <w:r w:rsidRPr="00744648">
        <w:rPr>
          <w:rStyle w:val="whitespace-normal"/>
          <w:rFonts w:ascii="Times New Roman" w:hAnsi="Times New Roman" w:cs="Times New Roman"/>
          <w:sz w:val="24"/>
          <w:szCs w:val="24"/>
        </w:rPr>
        <w:t xml:space="preserve">Digital India </w:t>
      </w:r>
      <w:proofErr w:type="spellStart"/>
      <w:r w:rsidRPr="00744648">
        <w:rPr>
          <w:rStyle w:val="whitespace-normal"/>
          <w:rFonts w:ascii="Times New Roman" w:hAnsi="Times New Roman" w:cs="Times New Roman"/>
          <w:sz w:val="24"/>
          <w:szCs w:val="24"/>
        </w:rPr>
        <w:t>Programme</w:t>
      </w:r>
      <w:proofErr w:type="spellEnd"/>
      <w:r w:rsidRPr="00744648">
        <w:rPr>
          <w:rFonts w:ascii="Times New Roman" w:hAnsi="Times New Roman" w:cs="Times New Roman"/>
          <w:sz w:val="24"/>
          <w:szCs w:val="24"/>
        </w:rPr>
        <w:t xml:space="preserve">, </w:t>
      </w:r>
      <w:r w:rsidRPr="00744648">
        <w:rPr>
          <w:rStyle w:val="whitespace-normal"/>
          <w:rFonts w:ascii="Times New Roman" w:hAnsi="Times New Roman" w:cs="Times New Roman"/>
          <w:sz w:val="24"/>
          <w:szCs w:val="24"/>
        </w:rPr>
        <w:t>Direct Benefit Transfer</w:t>
      </w:r>
      <w:r w:rsidRPr="00744648">
        <w:rPr>
          <w:rFonts w:ascii="Times New Roman" w:hAnsi="Times New Roman" w:cs="Times New Roman"/>
          <w:sz w:val="24"/>
          <w:szCs w:val="24"/>
        </w:rPr>
        <w:t xml:space="preserve">, and </w:t>
      </w:r>
      <w:r w:rsidRPr="00744648">
        <w:rPr>
          <w:rStyle w:val="whitespace-normal"/>
          <w:rFonts w:ascii="Times New Roman" w:hAnsi="Times New Roman" w:cs="Times New Roman"/>
          <w:sz w:val="24"/>
          <w:szCs w:val="24"/>
        </w:rPr>
        <w:t>Unified Payments Interface</w:t>
      </w:r>
      <w:r w:rsidRPr="00744648">
        <w:rPr>
          <w:rFonts w:ascii="Times New Roman" w:hAnsi="Times New Roman" w:cs="Times New Roman"/>
          <w:sz w:val="24"/>
          <w:szCs w:val="24"/>
        </w:rPr>
        <w:t xml:space="preserve">, the Indian state has actively leveraged e-governance to enhance service delivery, transparency, and citizen engagement. This paper examines the role of e-governance in promoting inclusive growth in India from a political science perspective. The study is based on secondary data drawn from government reports, policy documents, and institutional databases such as </w:t>
      </w:r>
      <w:r w:rsidRPr="00744648">
        <w:rPr>
          <w:rStyle w:val="whitespace-normal"/>
          <w:rFonts w:ascii="Times New Roman" w:hAnsi="Times New Roman" w:cs="Times New Roman"/>
          <w:sz w:val="24"/>
          <w:szCs w:val="24"/>
        </w:rPr>
        <w:t>NITI Aayog</w:t>
      </w:r>
      <w:r w:rsidRPr="00744648">
        <w:rPr>
          <w:rFonts w:ascii="Times New Roman" w:hAnsi="Times New Roman" w:cs="Times New Roman"/>
          <w:sz w:val="24"/>
          <w:szCs w:val="24"/>
        </w:rPr>
        <w:t xml:space="preserve">, </w:t>
      </w:r>
      <w:r w:rsidRPr="00744648">
        <w:rPr>
          <w:rStyle w:val="whitespace-normal"/>
          <w:rFonts w:ascii="Times New Roman" w:hAnsi="Times New Roman" w:cs="Times New Roman"/>
          <w:sz w:val="24"/>
          <w:szCs w:val="24"/>
        </w:rPr>
        <w:t>Reserve Bank of India</w:t>
      </w:r>
      <w:r w:rsidRPr="00744648">
        <w:rPr>
          <w:rFonts w:ascii="Times New Roman" w:hAnsi="Times New Roman" w:cs="Times New Roman"/>
          <w:sz w:val="24"/>
          <w:szCs w:val="24"/>
        </w:rPr>
        <w:t xml:space="preserve">, and </w:t>
      </w:r>
      <w:r w:rsidRPr="00744648">
        <w:rPr>
          <w:rStyle w:val="whitespace-normal"/>
          <w:rFonts w:ascii="Times New Roman" w:hAnsi="Times New Roman" w:cs="Times New Roman"/>
          <w:sz w:val="24"/>
          <w:szCs w:val="24"/>
        </w:rPr>
        <w:t>Ministry of Electronics and Information Technology</w:t>
      </w:r>
      <w:r w:rsidRPr="00744648">
        <w:rPr>
          <w:rFonts w:ascii="Times New Roman" w:hAnsi="Times New Roman" w:cs="Times New Roman"/>
          <w:sz w:val="24"/>
          <w:szCs w:val="24"/>
        </w:rPr>
        <w:t>. It analyses how digital governance initiatives have contributed to financial inclusion, reduced administrative leakages, and strengthened participatory governance mechanisms. The findings indicate that platforms such as UPI and DBT have expanded access to financial services and welfare schemes, particularly among marginalized populations, thereby fostering inclusive development. However, the paper also critically highlights persistent challenges, including the digital divide, infrastructural disparities, and concerns related to data privacy and state surveillance. These issues raise important questions regarding equity, accountability, and democratic governance in a rapidly digitalizing society. The paper argues that while e-governance has emerged as a powerful instrument for inclusive growth, its success is contingent upon a balanced policy framework that ensures digital access, institutional transparency, and protection of citizen rights. The study concludes that India’s digital transformation represents both an opportunity and a challenge for deepening democratic governance and achieving sustainable inclusive development.</w:t>
      </w:r>
    </w:p>
    <w:p w14:paraId="5C5AAAF9" w14:textId="77777777" w:rsidR="00744648" w:rsidRDefault="00AF1EF9" w:rsidP="00DC11B1">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1D5E0A58" w14:textId="77777777" w:rsidR="00B53388" w:rsidRDefault="00476606" w:rsidP="00DC11B1">
      <w:pPr>
        <w:spacing w:before="100" w:beforeAutospacing="1" w:after="100" w:afterAutospacing="1" w:line="360" w:lineRule="auto"/>
        <w:jc w:val="both"/>
        <w:rPr>
          <w:rFonts w:ascii="Times New Roman" w:eastAsia="Times New Roman" w:hAnsi="Times New Roman" w:cs="Times New Roman"/>
          <w:sz w:val="24"/>
          <w:szCs w:val="24"/>
        </w:rPr>
      </w:pPr>
      <w:r w:rsidRPr="00476606">
        <w:rPr>
          <w:rFonts w:ascii="Times New Roman" w:eastAsia="Times New Roman" w:hAnsi="Times New Roman" w:cs="Times New Roman"/>
          <w:sz w:val="24"/>
          <w:szCs w:val="24"/>
        </w:rPr>
        <w:t xml:space="preserve">In the 21st century, the rapid advancement of information and communication technologies (ICTs) has fundamentally transformed the nature of governance across the world. Governments are increasingly adopting digital tools to enhance administrative efficiency, improve </w:t>
      </w:r>
      <w:r w:rsidRPr="00476606">
        <w:rPr>
          <w:rFonts w:ascii="Times New Roman" w:eastAsia="Times New Roman" w:hAnsi="Times New Roman" w:cs="Times New Roman"/>
          <w:sz w:val="24"/>
          <w:szCs w:val="24"/>
        </w:rPr>
        <w:lastRenderedPageBreak/>
        <w:t>transparency, and ensure wider accessibility of public services. In this context, e-governance has emerged as a crucial instrument for strengthening democratic governance and promoting inclusive development, particularly in developing countries like India.</w:t>
      </w:r>
      <w:r w:rsidR="00B53388">
        <w:rPr>
          <w:rFonts w:ascii="Times New Roman" w:eastAsia="Times New Roman" w:hAnsi="Times New Roman" w:cs="Times New Roman"/>
          <w:sz w:val="24"/>
          <w:szCs w:val="24"/>
        </w:rPr>
        <w:t xml:space="preserve"> </w:t>
      </w:r>
      <w:r w:rsidRPr="00476606">
        <w:rPr>
          <w:rFonts w:ascii="Times New Roman" w:eastAsia="Times New Roman" w:hAnsi="Times New Roman" w:cs="Times New Roman"/>
          <w:sz w:val="24"/>
          <w:szCs w:val="24"/>
        </w:rPr>
        <w:t xml:space="preserve">India’s journey towards digital transformation has gained unprecedented momentum in the last decade, especially with the launch of the Digital India </w:t>
      </w:r>
      <w:proofErr w:type="spellStart"/>
      <w:r w:rsidRPr="00476606">
        <w:rPr>
          <w:rFonts w:ascii="Times New Roman" w:eastAsia="Times New Roman" w:hAnsi="Times New Roman" w:cs="Times New Roman"/>
          <w:sz w:val="24"/>
          <w:szCs w:val="24"/>
        </w:rPr>
        <w:t>Programme</w:t>
      </w:r>
      <w:proofErr w:type="spellEnd"/>
      <w:r w:rsidRPr="00476606">
        <w:rPr>
          <w:rFonts w:ascii="Times New Roman" w:eastAsia="Times New Roman" w:hAnsi="Times New Roman" w:cs="Times New Roman"/>
          <w:sz w:val="24"/>
          <w:szCs w:val="24"/>
        </w:rPr>
        <w:t xml:space="preserve"> in 2015. This flagship initiative aims to transform India into a digitally empowered society and knowledge economy by expanding digital infrastructure, delivering governance and services on demand, and promoting digital literacy. Complementing this initiative are major digital governance platforms such as the Direct Benefit Transfer (DBT) system, which facilitates direct transfer of subsidies to beneficiaries, and the Unified Payments Interface (UPI), which has revolutionized digital financial transactions. These initiatives collectively represent a shift towards a more transparent, efficient, and citizen-centric governance model.</w:t>
      </w:r>
    </w:p>
    <w:p w14:paraId="3BBF9D6C" w14:textId="77777777" w:rsidR="00476606" w:rsidRPr="00476606" w:rsidRDefault="00476606" w:rsidP="00DC11B1">
      <w:pPr>
        <w:spacing w:before="100" w:beforeAutospacing="1" w:after="100" w:afterAutospacing="1" w:line="360" w:lineRule="auto"/>
        <w:jc w:val="both"/>
        <w:rPr>
          <w:rFonts w:ascii="Times New Roman" w:eastAsia="Times New Roman" w:hAnsi="Times New Roman" w:cs="Times New Roman"/>
          <w:sz w:val="24"/>
          <w:szCs w:val="24"/>
        </w:rPr>
      </w:pPr>
      <w:r w:rsidRPr="00476606">
        <w:rPr>
          <w:rFonts w:ascii="Times New Roman" w:eastAsia="Times New Roman" w:hAnsi="Times New Roman" w:cs="Times New Roman"/>
          <w:sz w:val="24"/>
          <w:szCs w:val="24"/>
        </w:rPr>
        <w:t>From a political science perspective, e-governance is not merely a technological reform but a transformative process that redefines the relationship between the state and its citizens. It enhances state capacity, strengthens institutional accountability, and facilitates participatory governance by enabling citizens to access information and engage with public institutions more effectively. Moreover, e-governance plays a significant role in advancing inclusive growth by reducing socio-economic inequalities and ensuring equitable access to public services, particularly for marginalized and rural populations.</w:t>
      </w:r>
      <w:r w:rsidR="00B53388">
        <w:rPr>
          <w:rFonts w:ascii="Times New Roman" w:eastAsia="Times New Roman" w:hAnsi="Times New Roman" w:cs="Times New Roman"/>
          <w:sz w:val="24"/>
          <w:szCs w:val="24"/>
        </w:rPr>
        <w:t xml:space="preserve"> </w:t>
      </w:r>
      <w:r w:rsidRPr="00476606">
        <w:rPr>
          <w:rFonts w:ascii="Times New Roman" w:eastAsia="Times New Roman" w:hAnsi="Times New Roman" w:cs="Times New Roman"/>
          <w:sz w:val="24"/>
          <w:szCs w:val="24"/>
        </w:rPr>
        <w:t>However, despite these advancements, India’s digital transformation is accompanied by several structural and political challenges. The pe</w:t>
      </w:r>
      <w:r w:rsidR="00114E59">
        <w:rPr>
          <w:rFonts w:ascii="Times New Roman" w:eastAsia="Times New Roman" w:hAnsi="Times New Roman" w:cs="Times New Roman"/>
          <w:sz w:val="24"/>
          <w:szCs w:val="24"/>
        </w:rPr>
        <w:t xml:space="preserve">rsistence of the digital divide </w:t>
      </w:r>
      <w:r w:rsidRPr="00476606">
        <w:rPr>
          <w:rFonts w:ascii="Times New Roman" w:eastAsia="Times New Roman" w:hAnsi="Times New Roman" w:cs="Times New Roman"/>
          <w:sz w:val="24"/>
          <w:szCs w:val="24"/>
        </w:rPr>
        <w:t>characterized by unequal access to internet connectivity, digital devi</w:t>
      </w:r>
      <w:r w:rsidR="00114E59">
        <w:rPr>
          <w:rFonts w:ascii="Times New Roman" w:eastAsia="Times New Roman" w:hAnsi="Times New Roman" w:cs="Times New Roman"/>
          <w:sz w:val="24"/>
          <w:szCs w:val="24"/>
        </w:rPr>
        <w:t xml:space="preserve">ces, and technological literacy </w:t>
      </w:r>
      <w:r w:rsidRPr="00476606">
        <w:rPr>
          <w:rFonts w:ascii="Times New Roman" w:eastAsia="Times New Roman" w:hAnsi="Times New Roman" w:cs="Times New Roman"/>
          <w:sz w:val="24"/>
          <w:szCs w:val="24"/>
        </w:rPr>
        <w:t>poses a significant barrier to inclusive development. Furthermore, concerns related to data privacy, cyber</w:t>
      </w:r>
      <w:r w:rsidR="00114E59">
        <w:rPr>
          <w:rFonts w:ascii="Times New Roman" w:eastAsia="Times New Roman" w:hAnsi="Times New Roman" w:cs="Times New Roman"/>
          <w:sz w:val="24"/>
          <w:szCs w:val="24"/>
        </w:rPr>
        <w:t xml:space="preserve"> </w:t>
      </w:r>
      <w:r w:rsidRPr="00476606">
        <w:rPr>
          <w:rFonts w:ascii="Times New Roman" w:eastAsia="Times New Roman" w:hAnsi="Times New Roman" w:cs="Times New Roman"/>
          <w:sz w:val="24"/>
          <w:szCs w:val="24"/>
        </w:rPr>
        <w:t>security, and digital surveillance have raised critical questions about the implications of e-governance for civil liberties and democratic accountability. The absence of a robust and comprehensive data protection framework further complicates the governance landscape in the digital era.</w:t>
      </w:r>
      <w:r w:rsidR="00B53388">
        <w:rPr>
          <w:rFonts w:ascii="Times New Roman" w:eastAsia="Times New Roman" w:hAnsi="Times New Roman" w:cs="Times New Roman"/>
          <w:sz w:val="24"/>
          <w:szCs w:val="24"/>
        </w:rPr>
        <w:t xml:space="preserve"> </w:t>
      </w:r>
      <w:r w:rsidRPr="00476606">
        <w:rPr>
          <w:rFonts w:ascii="Times New Roman" w:eastAsia="Times New Roman" w:hAnsi="Times New Roman" w:cs="Times New Roman"/>
          <w:sz w:val="24"/>
          <w:szCs w:val="24"/>
        </w:rPr>
        <w:t>In addition, the increasing reliance on digital platforms has led to debates regarding the centralization of power, algorithmic governance, and the potential exclusion of vulnerable groups who lack digital access or skills. These issues highlight the need for a balanced and inclusive policy approach that integrates technological innovation with social justice and democratic principles.</w:t>
      </w:r>
    </w:p>
    <w:p w14:paraId="41070EB4" w14:textId="77777777" w:rsidR="00476606" w:rsidRDefault="00476606" w:rsidP="00DC11B1">
      <w:pPr>
        <w:spacing w:before="100" w:beforeAutospacing="1" w:after="100" w:afterAutospacing="1" w:line="360" w:lineRule="auto"/>
        <w:jc w:val="both"/>
        <w:rPr>
          <w:rFonts w:ascii="Times New Roman" w:eastAsia="Times New Roman" w:hAnsi="Times New Roman" w:cs="Times New Roman"/>
          <w:sz w:val="24"/>
          <w:szCs w:val="24"/>
        </w:rPr>
      </w:pPr>
      <w:r w:rsidRPr="00476606">
        <w:rPr>
          <w:rFonts w:ascii="Times New Roman" w:eastAsia="Times New Roman" w:hAnsi="Times New Roman" w:cs="Times New Roman"/>
          <w:sz w:val="24"/>
          <w:szCs w:val="24"/>
        </w:rPr>
        <w:lastRenderedPageBreak/>
        <w:t xml:space="preserve">Against this backdrop, the present study seeks to critically examine the role of e-governance in promoting inclusive growth in India. By </w:t>
      </w:r>
      <w:r w:rsidR="00114E59" w:rsidRPr="00476606">
        <w:rPr>
          <w:rFonts w:ascii="Times New Roman" w:eastAsia="Times New Roman" w:hAnsi="Times New Roman" w:cs="Times New Roman"/>
          <w:sz w:val="24"/>
          <w:szCs w:val="24"/>
        </w:rPr>
        <w:t>analyzing</w:t>
      </w:r>
      <w:r w:rsidRPr="00476606">
        <w:rPr>
          <w:rFonts w:ascii="Times New Roman" w:eastAsia="Times New Roman" w:hAnsi="Times New Roman" w:cs="Times New Roman"/>
          <w:sz w:val="24"/>
          <w:szCs w:val="24"/>
        </w:rPr>
        <w:t xml:space="preserve"> key digital initiatives and their socio-political implications through secondary data, the paper aims to assess both the opportunities and challenges associated with India’s digital transformation. It further attempts to contribute to the broader discourse on governance, development, and democracy in the context of a rapidly globalizing and digitizing world.</w:t>
      </w:r>
    </w:p>
    <w:p w14:paraId="46CBDA65" w14:textId="77777777" w:rsidR="00A2338B" w:rsidRPr="00A2338B" w:rsidRDefault="00A2338B" w:rsidP="00A2338B">
      <w:pPr>
        <w:pStyle w:val="Heading2"/>
        <w:rPr>
          <w:b w:val="0"/>
          <w:color w:val="auto"/>
        </w:rPr>
      </w:pPr>
      <w:r w:rsidRPr="00A2338B">
        <w:rPr>
          <w:rStyle w:val="Strong"/>
          <w:b/>
          <w:bCs/>
          <w:color w:val="auto"/>
        </w:rPr>
        <w:t>Objectives of the Study</w:t>
      </w:r>
    </w:p>
    <w:p w14:paraId="158627B7" w14:textId="77777777" w:rsidR="00A2338B" w:rsidRPr="00A2338B" w:rsidRDefault="00A2338B" w:rsidP="00A2338B">
      <w:pPr>
        <w:pStyle w:val="NormalWeb"/>
        <w:numPr>
          <w:ilvl w:val="0"/>
          <w:numId w:val="1"/>
        </w:numPr>
        <w:spacing w:line="360" w:lineRule="auto"/>
        <w:jc w:val="both"/>
      </w:pPr>
      <w:r w:rsidRPr="00A2338B">
        <w:rPr>
          <w:rStyle w:val="Strong"/>
          <w:b w:val="0"/>
        </w:rPr>
        <w:t xml:space="preserve">To examine the role of e-governance initiatives in transforming public service delivery and governance structures in </w:t>
      </w:r>
      <w:r w:rsidRPr="00A2338B">
        <w:rPr>
          <w:rStyle w:val="whitespace-normal"/>
          <w:rFonts w:eastAsiaTheme="majorEastAsia"/>
          <w:bCs/>
        </w:rPr>
        <w:t>India</w:t>
      </w:r>
      <w:r w:rsidRPr="00A2338B">
        <w:rPr>
          <w:rStyle w:val="Strong"/>
          <w:b w:val="0"/>
        </w:rPr>
        <w:t>.</w:t>
      </w:r>
    </w:p>
    <w:p w14:paraId="56AE54D8" w14:textId="77777777" w:rsidR="00A2338B" w:rsidRPr="00A2338B" w:rsidRDefault="00A2338B" w:rsidP="00A2338B">
      <w:pPr>
        <w:pStyle w:val="NormalWeb"/>
        <w:numPr>
          <w:ilvl w:val="0"/>
          <w:numId w:val="1"/>
        </w:numPr>
        <w:spacing w:line="360" w:lineRule="auto"/>
        <w:jc w:val="both"/>
      </w:pPr>
      <w:r w:rsidRPr="00A2338B">
        <w:rPr>
          <w:rStyle w:val="Strong"/>
          <w:b w:val="0"/>
        </w:rPr>
        <w:t xml:space="preserve">To </w:t>
      </w:r>
      <w:proofErr w:type="spellStart"/>
      <w:r w:rsidRPr="00A2338B">
        <w:rPr>
          <w:rStyle w:val="Strong"/>
          <w:b w:val="0"/>
        </w:rPr>
        <w:t>analyse</w:t>
      </w:r>
      <w:proofErr w:type="spellEnd"/>
      <w:r w:rsidRPr="00A2338B">
        <w:rPr>
          <w:rStyle w:val="Strong"/>
          <w:b w:val="0"/>
        </w:rPr>
        <w:t xml:space="preserve"> the impact of digital governance on promoting inclusive growth, particularly in terms of financial inclusion, accessibility, and citizen participation.</w:t>
      </w:r>
    </w:p>
    <w:p w14:paraId="78F9D99A" w14:textId="77777777" w:rsidR="004D6235" w:rsidRPr="004D6235" w:rsidRDefault="004D6235" w:rsidP="004D6235">
      <w:pPr>
        <w:pStyle w:val="Heading2"/>
        <w:spacing w:line="360" w:lineRule="auto"/>
        <w:jc w:val="both"/>
        <w:rPr>
          <w:rFonts w:ascii="Times New Roman" w:hAnsi="Times New Roman" w:cs="Times New Roman"/>
          <w:b w:val="0"/>
          <w:color w:val="auto"/>
          <w:sz w:val="24"/>
          <w:szCs w:val="24"/>
        </w:rPr>
      </w:pPr>
      <w:r w:rsidRPr="004D6235">
        <w:rPr>
          <w:rStyle w:val="Strong"/>
          <w:rFonts w:ascii="Times New Roman" w:hAnsi="Times New Roman" w:cs="Times New Roman"/>
          <w:b/>
          <w:bCs/>
          <w:color w:val="auto"/>
          <w:sz w:val="24"/>
          <w:szCs w:val="24"/>
        </w:rPr>
        <w:t>Research Methodology</w:t>
      </w:r>
    </w:p>
    <w:p w14:paraId="241DE1CF" w14:textId="77777777" w:rsidR="004D6235" w:rsidRDefault="004D6235" w:rsidP="004D6235">
      <w:pPr>
        <w:pStyle w:val="NormalWeb"/>
        <w:spacing w:line="360" w:lineRule="auto"/>
        <w:jc w:val="both"/>
      </w:pPr>
      <w:r>
        <w:t xml:space="preserve">The present study adopts a qualitative and analytical research design based exclusively on secondary data to examine the role of e-governance in promoting inclusive growth in </w:t>
      </w:r>
      <w:r>
        <w:rPr>
          <w:rStyle w:val="whitespace-normal"/>
          <w:rFonts w:eastAsiaTheme="majorEastAsia"/>
        </w:rPr>
        <w:t>India</w:t>
      </w:r>
      <w:r>
        <w:t xml:space="preserve">. The study relies on a wide range of credible secondary sources, including government reports and policy documents from the </w:t>
      </w:r>
      <w:r>
        <w:rPr>
          <w:rStyle w:val="whitespace-normal"/>
          <w:rFonts w:eastAsiaTheme="majorEastAsia"/>
        </w:rPr>
        <w:t>Ministry of Electronics and Information Technology</w:t>
      </w:r>
      <w:r>
        <w:t xml:space="preserve">, </w:t>
      </w:r>
      <w:r>
        <w:rPr>
          <w:rStyle w:val="whitespace-normal"/>
          <w:rFonts w:eastAsiaTheme="majorEastAsia"/>
        </w:rPr>
        <w:t>NITI Aayog</w:t>
      </w:r>
      <w:r>
        <w:t xml:space="preserve">, and the </w:t>
      </w:r>
      <w:r>
        <w:rPr>
          <w:rStyle w:val="whitespace-normal"/>
          <w:rFonts w:eastAsiaTheme="majorEastAsia"/>
        </w:rPr>
        <w:t>Reserve Bank of India</w:t>
      </w:r>
      <w:r>
        <w:t xml:space="preserve">, along with statistical databases such as data.gov.in, DBT dashboards, and digital payment records. In addition, reports from international organizations such as the </w:t>
      </w:r>
      <w:r>
        <w:rPr>
          <w:rStyle w:val="whitespace-normal"/>
          <w:rFonts w:eastAsiaTheme="majorEastAsia"/>
        </w:rPr>
        <w:t>World Bank</w:t>
      </w:r>
      <w:r>
        <w:t xml:space="preserve"> and the </w:t>
      </w:r>
      <w:r>
        <w:rPr>
          <w:rStyle w:val="whitespace-normal"/>
          <w:rFonts w:eastAsiaTheme="majorEastAsia"/>
        </w:rPr>
        <w:t xml:space="preserve">United Nations Development </w:t>
      </w:r>
      <w:proofErr w:type="spellStart"/>
      <w:r>
        <w:rPr>
          <w:rStyle w:val="whitespace-normal"/>
          <w:rFonts w:eastAsiaTheme="majorEastAsia"/>
        </w:rPr>
        <w:t>Programme</w:t>
      </w:r>
      <w:proofErr w:type="spellEnd"/>
      <w:r>
        <w:t xml:space="preserve"> are utilized to provide a comparative and global perspective. The study employs </w:t>
      </w:r>
      <w:r w:rsidRPr="004D6235">
        <w:rPr>
          <w:rStyle w:val="Strong"/>
          <w:b w:val="0"/>
        </w:rPr>
        <w:t>qualitative content analysis</w:t>
      </w:r>
      <w:r>
        <w:t xml:space="preserve"> to systematically interpret policy frameworks, institutional reports, and governance models, while </w:t>
      </w:r>
      <w:r w:rsidRPr="00AC7768">
        <w:rPr>
          <w:rStyle w:val="Strong"/>
          <w:b w:val="0"/>
        </w:rPr>
        <w:t>trend analysis</w:t>
      </w:r>
      <w:r>
        <w:t xml:space="preserve"> is used to examine patterns in digital transactions, financial inclusion, and service delivery over time. Furthermore, a </w:t>
      </w:r>
      <w:r w:rsidRPr="004D6235">
        <w:rPr>
          <w:rStyle w:val="Strong"/>
          <w:b w:val="0"/>
        </w:rPr>
        <w:t>comparative analytical approach</w:t>
      </w:r>
      <w:r>
        <w:t xml:space="preserve"> is applied to assess the effectiveness of key e-governance initiatives such as Digital India, DBT, and UPI in fostering inclusive development. The methodological framework is guided by core political science concepts, including good governance, state capacity, and participatory democracy, enabling a critical evaluation of both the opportunities and limitations of digital governance. The use of secondary data is justified by the availability of large-scale, reliable, and longitudinal datasets, which allow for macro-level policy analysis and enhance the validity and generalizability of the </w:t>
      </w:r>
      <w:r>
        <w:lastRenderedPageBreak/>
        <w:t>findings, although the study acknowledges limitations related to the absence of primary data and potential inconsistencies across data sources.</w:t>
      </w:r>
    </w:p>
    <w:p w14:paraId="296C753A" w14:textId="77777777" w:rsidR="0054007C" w:rsidRPr="0054007C" w:rsidRDefault="0054007C" w:rsidP="0054007C">
      <w:pPr>
        <w:pStyle w:val="Heading1"/>
        <w:rPr>
          <w:sz w:val="24"/>
          <w:szCs w:val="24"/>
        </w:rPr>
      </w:pPr>
      <w:r w:rsidRPr="0054007C">
        <w:rPr>
          <w:rStyle w:val="Strong"/>
          <w:b/>
          <w:bCs/>
          <w:sz w:val="24"/>
          <w:szCs w:val="24"/>
        </w:rPr>
        <w:t>3. Data Analysis and Discussion</w:t>
      </w:r>
    </w:p>
    <w:p w14:paraId="40DA004C" w14:textId="77777777" w:rsidR="0054007C" w:rsidRPr="0054007C" w:rsidRDefault="0054007C" w:rsidP="0054007C">
      <w:pPr>
        <w:pStyle w:val="Heading2"/>
        <w:rPr>
          <w:rFonts w:ascii="Times New Roman" w:hAnsi="Times New Roman" w:cs="Times New Roman"/>
          <w:b w:val="0"/>
          <w:color w:val="auto"/>
        </w:rPr>
      </w:pPr>
      <w:r w:rsidRPr="0054007C">
        <w:rPr>
          <w:rStyle w:val="Strong"/>
          <w:rFonts w:ascii="Times New Roman" w:hAnsi="Times New Roman" w:cs="Times New Roman"/>
          <w:b/>
          <w:bCs/>
          <w:color w:val="auto"/>
        </w:rPr>
        <w:t xml:space="preserve">3.1 Growth of Digital Infrastructure in </w:t>
      </w:r>
      <w:r w:rsidRPr="0054007C">
        <w:rPr>
          <w:rStyle w:val="whitespace-normal"/>
          <w:rFonts w:ascii="Times New Roman" w:hAnsi="Times New Roman" w:cs="Times New Roman"/>
          <w:b w:val="0"/>
          <w:color w:val="auto"/>
        </w:rPr>
        <w:t>India</w:t>
      </w:r>
    </w:p>
    <w:p w14:paraId="064A2F5E" w14:textId="77777777" w:rsidR="0054007C" w:rsidRDefault="0054007C" w:rsidP="0054007C">
      <w:pPr>
        <w:pStyle w:val="NormalWeb"/>
        <w:spacing w:line="360" w:lineRule="auto"/>
      </w:pPr>
      <w:r>
        <w:t xml:space="preserve">India’s digital transformation has been driven by the rapid expansion of internet connectivity and digital infrastructure under initiatives such as the </w:t>
      </w:r>
      <w:r>
        <w:rPr>
          <w:rStyle w:val="whitespace-normal"/>
          <w:rFonts w:eastAsiaTheme="majorEastAsia"/>
        </w:rPr>
        <w:t xml:space="preserve">Digital India </w:t>
      </w:r>
      <w:proofErr w:type="spellStart"/>
      <w:r>
        <w:rPr>
          <w:rStyle w:val="whitespace-normal"/>
          <w:rFonts w:eastAsiaTheme="majorEastAsia"/>
        </w:rPr>
        <w:t>Programme</w:t>
      </w:r>
      <w:proofErr w:type="spellEnd"/>
      <w:r>
        <w:t>. Over the past decade, the number of internet users and digital service access points has increased significantly, enabling broader participation in digital governance.</w:t>
      </w:r>
    </w:p>
    <w:p w14:paraId="6707CEC3" w14:textId="6DF22881" w:rsidR="00344D0B" w:rsidRDefault="00344D0B" w:rsidP="00344D0B">
      <w:pPr>
        <w:pStyle w:val="NormalWeb"/>
        <w:spacing w:line="360" w:lineRule="auto"/>
        <w:jc w:val="center"/>
        <w:rPr>
          <w:b/>
        </w:rPr>
      </w:pPr>
      <w:r w:rsidRPr="001E732D">
        <w:rPr>
          <w:b/>
        </w:rPr>
        <w:t>Table 1: Growth of Internet Users in India</w:t>
      </w:r>
    </w:p>
    <w:tbl>
      <w:tblPr>
        <w:tblStyle w:val="TableGrid"/>
        <w:tblW w:w="0" w:type="auto"/>
        <w:tblInd w:w="468" w:type="dxa"/>
        <w:tblLook w:val="04A0" w:firstRow="1" w:lastRow="0" w:firstColumn="1" w:lastColumn="0" w:noHBand="0" w:noVBand="1"/>
      </w:tblPr>
      <w:tblGrid>
        <w:gridCol w:w="4087"/>
        <w:gridCol w:w="4555"/>
      </w:tblGrid>
      <w:tr w:rsidR="007726C2" w14:paraId="736B9536" w14:textId="77777777" w:rsidTr="00807BBA">
        <w:trPr>
          <w:trHeight w:val="546"/>
        </w:trPr>
        <w:tc>
          <w:tcPr>
            <w:tcW w:w="4087" w:type="dxa"/>
          </w:tcPr>
          <w:p w14:paraId="3193EFB9" w14:textId="77777777" w:rsidR="007726C2" w:rsidRPr="007726C2" w:rsidRDefault="007726C2" w:rsidP="001E732D">
            <w:pPr>
              <w:pStyle w:val="NormalWeb"/>
              <w:spacing w:line="360" w:lineRule="auto"/>
              <w:jc w:val="both"/>
              <w:rPr>
                <w:b/>
              </w:rPr>
            </w:pPr>
            <w:r w:rsidRPr="007726C2">
              <w:rPr>
                <w:b/>
              </w:rPr>
              <w:t>Year</w:t>
            </w:r>
          </w:p>
        </w:tc>
        <w:tc>
          <w:tcPr>
            <w:tcW w:w="4555" w:type="dxa"/>
          </w:tcPr>
          <w:p w14:paraId="136060BB" w14:textId="77777777" w:rsidR="007726C2" w:rsidRPr="007726C2" w:rsidRDefault="007726C2" w:rsidP="001E732D">
            <w:pPr>
              <w:pStyle w:val="NormalWeb"/>
              <w:spacing w:line="360" w:lineRule="auto"/>
              <w:jc w:val="both"/>
              <w:rPr>
                <w:b/>
              </w:rPr>
            </w:pPr>
            <w:r w:rsidRPr="007726C2">
              <w:rPr>
                <w:b/>
              </w:rPr>
              <w:t>Internet Users (in millions)</w:t>
            </w:r>
          </w:p>
        </w:tc>
      </w:tr>
      <w:tr w:rsidR="007726C2" w14:paraId="4C00770A" w14:textId="77777777" w:rsidTr="00807BBA">
        <w:trPr>
          <w:trHeight w:val="546"/>
        </w:trPr>
        <w:tc>
          <w:tcPr>
            <w:tcW w:w="4087" w:type="dxa"/>
          </w:tcPr>
          <w:p w14:paraId="01482A10" w14:textId="77777777" w:rsidR="007726C2" w:rsidRPr="007258CC" w:rsidRDefault="007258CC" w:rsidP="001E732D">
            <w:pPr>
              <w:pStyle w:val="NormalWeb"/>
              <w:spacing w:line="360" w:lineRule="auto"/>
              <w:jc w:val="both"/>
            </w:pPr>
            <w:r w:rsidRPr="007258CC">
              <w:t>2015</w:t>
            </w:r>
          </w:p>
        </w:tc>
        <w:tc>
          <w:tcPr>
            <w:tcW w:w="4555" w:type="dxa"/>
          </w:tcPr>
          <w:p w14:paraId="48825B96" w14:textId="77777777" w:rsidR="007726C2" w:rsidRPr="001867DA" w:rsidRDefault="001867DA" w:rsidP="001E732D">
            <w:pPr>
              <w:pStyle w:val="NormalWeb"/>
              <w:spacing w:line="360" w:lineRule="auto"/>
              <w:jc w:val="both"/>
            </w:pPr>
            <w:r w:rsidRPr="001867DA">
              <w:t>302</w:t>
            </w:r>
          </w:p>
        </w:tc>
      </w:tr>
      <w:tr w:rsidR="007726C2" w14:paraId="465442DC" w14:textId="77777777" w:rsidTr="00807BBA">
        <w:trPr>
          <w:trHeight w:val="546"/>
        </w:trPr>
        <w:tc>
          <w:tcPr>
            <w:tcW w:w="4087" w:type="dxa"/>
          </w:tcPr>
          <w:p w14:paraId="48E38F00" w14:textId="77777777" w:rsidR="007726C2" w:rsidRPr="007258CC" w:rsidRDefault="007258CC" w:rsidP="001E732D">
            <w:pPr>
              <w:pStyle w:val="NormalWeb"/>
              <w:spacing w:line="360" w:lineRule="auto"/>
              <w:jc w:val="both"/>
            </w:pPr>
            <w:r w:rsidRPr="007258CC">
              <w:t>2018</w:t>
            </w:r>
          </w:p>
        </w:tc>
        <w:tc>
          <w:tcPr>
            <w:tcW w:w="4555" w:type="dxa"/>
          </w:tcPr>
          <w:p w14:paraId="5CF1E111" w14:textId="77777777" w:rsidR="007726C2" w:rsidRPr="001867DA" w:rsidRDefault="001867DA" w:rsidP="001E732D">
            <w:pPr>
              <w:pStyle w:val="NormalWeb"/>
              <w:spacing w:line="360" w:lineRule="auto"/>
              <w:jc w:val="both"/>
            </w:pPr>
            <w:r w:rsidRPr="001867DA">
              <w:t>483</w:t>
            </w:r>
          </w:p>
        </w:tc>
      </w:tr>
      <w:tr w:rsidR="007726C2" w14:paraId="772A30DA" w14:textId="77777777" w:rsidTr="00807BBA">
        <w:trPr>
          <w:trHeight w:val="546"/>
        </w:trPr>
        <w:tc>
          <w:tcPr>
            <w:tcW w:w="4087" w:type="dxa"/>
          </w:tcPr>
          <w:p w14:paraId="2995CB2A" w14:textId="77777777" w:rsidR="007726C2" w:rsidRPr="007258CC" w:rsidRDefault="007258CC" w:rsidP="001E732D">
            <w:pPr>
              <w:pStyle w:val="NormalWeb"/>
              <w:spacing w:line="360" w:lineRule="auto"/>
              <w:jc w:val="both"/>
            </w:pPr>
            <w:r w:rsidRPr="007258CC">
              <w:t>2020</w:t>
            </w:r>
          </w:p>
        </w:tc>
        <w:tc>
          <w:tcPr>
            <w:tcW w:w="4555" w:type="dxa"/>
          </w:tcPr>
          <w:p w14:paraId="729FCA8B" w14:textId="77777777" w:rsidR="007726C2" w:rsidRPr="001867DA" w:rsidRDefault="001867DA" w:rsidP="001E732D">
            <w:pPr>
              <w:pStyle w:val="NormalWeb"/>
              <w:spacing w:line="360" w:lineRule="auto"/>
              <w:jc w:val="both"/>
            </w:pPr>
            <w:r w:rsidRPr="001867DA">
              <w:t>622</w:t>
            </w:r>
          </w:p>
        </w:tc>
      </w:tr>
      <w:tr w:rsidR="007726C2" w14:paraId="0B4DFF0C" w14:textId="77777777" w:rsidTr="00807BBA">
        <w:trPr>
          <w:trHeight w:val="566"/>
        </w:trPr>
        <w:tc>
          <w:tcPr>
            <w:tcW w:w="4087" w:type="dxa"/>
          </w:tcPr>
          <w:p w14:paraId="28A10CDD" w14:textId="77777777" w:rsidR="007726C2" w:rsidRPr="007258CC" w:rsidRDefault="007258CC" w:rsidP="001E732D">
            <w:pPr>
              <w:pStyle w:val="NormalWeb"/>
              <w:spacing w:line="360" w:lineRule="auto"/>
              <w:jc w:val="both"/>
            </w:pPr>
            <w:r w:rsidRPr="007258CC">
              <w:t>2023</w:t>
            </w:r>
          </w:p>
        </w:tc>
        <w:tc>
          <w:tcPr>
            <w:tcW w:w="4555" w:type="dxa"/>
          </w:tcPr>
          <w:p w14:paraId="457742E4" w14:textId="77777777" w:rsidR="007726C2" w:rsidRPr="001867DA" w:rsidRDefault="001867DA" w:rsidP="001E732D">
            <w:pPr>
              <w:pStyle w:val="NormalWeb"/>
              <w:spacing w:line="360" w:lineRule="auto"/>
              <w:jc w:val="both"/>
            </w:pPr>
            <w:r w:rsidRPr="001867DA">
              <w:t>850+</w:t>
            </w:r>
          </w:p>
        </w:tc>
      </w:tr>
    </w:tbl>
    <w:p w14:paraId="4A3E1725" w14:textId="77777777" w:rsidR="00522006" w:rsidRDefault="001867DA" w:rsidP="001E732D">
      <w:pPr>
        <w:pStyle w:val="NormalWeb"/>
        <w:spacing w:line="360" w:lineRule="auto"/>
        <w:jc w:val="both"/>
      </w:pPr>
      <w:r>
        <w:rPr>
          <w:rStyle w:val="Strong"/>
        </w:rPr>
        <w:t>Source:</w:t>
      </w:r>
      <w:r>
        <w:t xml:space="preserve"> </w:t>
      </w:r>
      <w:r>
        <w:rPr>
          <w:rStyle w:val="whitespace-normal"/>
        </w:rPr>
        <w:t>Telecom Regulatory Authority of India</w:t>
      </w:r>
      <w:r>
        <w:t xml:space="preserve"> (TRAI), </w:t>
      </w:r>
      <w:r>
        <w:rPr>
          <w:rStyle w:val="whitespace-normal"/>
        </w:rPr>
        <w:t>International Telecommunication Union</w:t>
      </w:r>
      <w:r>
        <w:t xml:space="preserve"> (ITU)</w:t>
      </w:r>
    </w:p>
    <w:p w14:paraId="4B0AD197" w14:textId="38CEB4B4" w:rsidR="00522006" w:rsidRDefault="00522006" w:rsidP="00522006">
      <w:pPr>
        <w:pStyle w:val="NormalWeb"/>
        <w:spacing w:line="360" w:lineRule="auto"/>
        <w:jc w:val="both"/>
      </w:pPr>
      <w:r w:rsidRPr="00610C4F">
        <w:rPr>
          <w:rStyle w:val="Strong"/>
          <w:b w:val="0"/>
        </w:rPr>
        <w:t>Table 1 shows that</w:t>
      </w:r>
      <w:r>
        <w:t xml:space="preserve"> internet users in India have increased significantly from 302 million in 2015 to over 850 million in 2023, indicating rapid digital expansion. This growth has strengthened the outreach of the state and improved accessibility to digital governance services, particularly in urban areas. However, the uneven distribution of digital infrastructure between urban and rural regions continues to reflect the persistence of the digital divide. While the table presents data up to 2023, </w:t>
      </w:r>
      <w:r w:rsidRPr="00610C4F">
        <w:rPr>
          <w:rStyle w:val="Strong"/>
          <w:b w:val="0"/>
        </w:rPr>
        <w:t>provisional estimates for 2024–25 suggest that internet users in India are approaching 900 million</w:t>
      </w:r>
      <w:r>
        <w:t>, indicating continued expansion of digital connectivity.</w:t>
      </w:r>
    </w:p>
    <w:p w14:paraId="79175DF3" w14:textId="77777777" w:rsidR="00F20171" w:rsidRPr="00F20171" w:rsidRDefault="00F20171" w:rsidP="00F20171">
      <w:pPr>
        <w:pStyle w:val="Heading2"/>
        <w:rPr>
          <w:rFonts w:ascii="Times New Roman" w:hAnsi="Times New Roman" w:cs="Times New Roman"/>
          <w:b w:val="0"/>
          <w:color w:val="auto"/>
        </w:rPr>
      </w:pPr>
      <w:r w:rsidRPr="00F20171">
        <w:rPr>
          <w:rStyle w:val="Strong"/>
          <w:rFonts w:ascii="Times New Roman" w:hAnsi="Times New Roman" w:cs="Times New Roman"/>
          <w:b/>
          <w:bCs/>
          <w:color w:val="auto"/>
        </w:rPr>
        <w:lastRenderedPageBreak/>
        <w:t>3.2 Financial Inclusion through Digital Platforms</w:t>
      </w:r>
    </w:p>
    <w:p w14:paraId="107C3A27" w14:textId="77777777" w:rsidR="00F20171" w:rsidRDefault="00F20171" w:rsidP="00F20171">
      <w:pPr>
        <w:pStyle w:val="NormalWeb"/>
        <w:spacing w:line="360" w:lineRule="auto"/>
        <w:jc w:val="both"/>
      </w:pPr>
      <w:r>
        <w:t xml:space="preserve">Digital payment innovations, particularly the </w:t>
      </w:r>
      <w:r>
        <w:rPr>
          <w:rStyle w:val="whitespace-normal"/>
          <w:rFonts w:eastAsiaTheme="majorEastAsia"/>
        </w:rPr>
        <w:t>Unified Payments Interface</w:t>
      </w:r>
      <w:r>
        <w:t xml:space="preserve"> (UPI), have significantly transformed financial inclusion in India.</w:t>
      </w:r>
    </w:p>
    <w:p w14:paraId="2E5D8B08" w14:textId="03862B2D" w:rsidR="00D12FF1" w:rsidRDefault="00D12FF1" w:rsidP="00F20171">
      <w:pPr>
        <w:pStyle w:val="NormalWeb"/>
        <w:spacing w:line="360" w:lineRule="auto"/>
        <w:jc w:val="both"/>
      </w:pPr>
      <w:r>
        <w:t>Table 2.</w:t>
      </w:r>
      <w:r w:rsidR="00DA1834">
        <w:t xml:space="preserve"> Growth of UPI transactions </w:t>
      </w:r>
    </w:p>
    <w:tbl>
      <w:tblPr>
        <w:tblStyle w:val="TableGrid"/>
        <w:tblW w:w="0" w:type="auto"/>
        <w:tblLook w:val="04A0" w:firstRow="1" w:lastRow="0" w:firstColumn="1" w:lastColumn="0" w:noHBand="0" w:noVBand="1"/>
      </w:tblPr>
      <w:tblGrid>
        <w:gridCol w:w="3192"/>
        <w:gridCol w:w="3192"/>
        <w:gridCol w:w="3192"/>
      </w:tblGrid>
      <w:tr w:rsidR="00AE356E" w14:paraId="113BB2F6" w14:textId="77777777" w:rsidTr="00AE356E">
        <w:tc>
          <w:tcPr>
            <w:tcW w:w="3192" w:type="dxa"/>
          </w:tcPr>
          <w:p w14:paraId="08CF9BD9" w14:textId="77777777" w:rsidR="00AE356E" w:rsidRDefault="00B31B1D" w:rsidP="00F20171">
            <w:pPr>
              <w:pStyle w:val="NormalWeb"/>
              <w:spacing w:line="360" w:lineRule="auto"/>
              <w:jc w:val="both"/>
            </w:pPr>
            <w:r>
              <w:t>Years</w:t>
            </w:r>
          </w:p>
        </w:tc>
        <w:tc>
          <w:tcPr>
            <w:tcW w:w="3192" w:type="dxa"/>
          </w:tcPr>
          <w:p w14:paraId="1F9A97B8" w14:textId="77777777" w:rsidR="00AE356E" w:rsidRDefault="00B31B1D" w:rsidP="00F20171">
            <w:pPr>
              <w:pStyle w:val="NormalWeb"/>
              <w:spacing w:line="360" w:lineRule="auto"/>
              <w:jc w:val="both"/>
            </w:pPr>
            <w:r>
              <w:t>Volume (Billion Transactions)</w:t>
            </w:r>
          </w:p>
        </w:tc>
        <w:tc>
          <w:tcPr>
            <w:tcW w:w="3192" w:type="dxa"/>
          </w:tcPr>
          <w:p w14:paraId="08BB370D" w14:textId="77777777" w:rsidR="00AE356E" w:rsidRDefault="00B31B1D" w:rsidP="00F20171">
            <w:pPr>
              <w:pStyle w:val="NormalWeb"/>
              <w:spacing w:line="360" w:lineRule="auto"/>
              <w:jc w:val="both"/>
            </w:pPr>
            <w:r>
              <w:t>Value (</w:t>
            </w:r>
            <w:r>
              <w:rPr>
                <w:rFonts w:ascii="Calibri" w:hAnsi="Calibri" w:cs="Calibri"/>
              </w:rPr>
              <w:t>Lakh Crore</w:t>
            </w:r>
            <w:r>
              <w:t>)</w:t>
            </w:r>
          </w:p>
        </w:tc>
      </w:tr>
      <w:tr w:rsidR="00AE356E" w14:paraId="5AA5D0C9" w14:textId="77777777" w:rsidTr="00AE356E">
        <w:tc>
          <w:tcPr>
            <w:tcW w:w="3192" w:type="dxa"/>
          </w:tcPr>
          <w:p w14:paraId="3A4D348D" w14:textId="77777777" w:rsidR="00AE356E" w:rsidRDefault="004D79EB" w:rsidP="00F20171">
            <w:pPr>
              <w:pStyle w:val="NormalWeb"/>
              <w:spacing w:line="360" w:lineRule="auto"/>
              <w:jc w:val="both"/>
            </w:pPr>
            <w:r>
              <w:t>2017</w:t>
            </w:r>
          </w:p>
        </w:tc>
        <w:tc>
          <w:tcPr>
            <w:tcW w:w="3192" w:type="dxa"/>
          </w:tcPr>
          <w:p w14:paraId="3EE5CD01" w14:textId="77777777" w:rsidR="00AE356E" w:rsidRDefault="00116C46" w:rsidP="00F20171">
            <w:pPr>
              <w:pStyle w:val="NormalWeb"/>
              <w:spacing w:line="360" w:lineRule="auto"/>
              <w:jc w:val="both"/>
            </w:pPr>
            <w:r>
              <w:t>0.02</w:t>
            </w:r>
          </w:p>
        </w:tc>
        <w:tc>
          <w:tcPr>
            <w:tcW w:w="3192" w:type="dxa"/>
          </w:tcPr>
          <w:p w14:paraId="10F679A8" w14:textId="77777777" w:rsidR="00AE356E" w:rsidRDefault="00116C46" w:rsidP="00F20171">
            <w:pPr>
              <w:pStyle w:val="NormalWeb"/>
              <w:spacing w:line="360" w:lineRule="auto"/>
              <w:jc w:val="both"/>
            </w:pPr>
            <w:r>
              <w:t>0.01</w:t>
            </w:r>
          </w:p>
        </w:tc>
      </w:tr>
      <w:tr w:rsidR="00AE356E" w14:paraId="5A49EB95" w14:textId="77777777" w:rsidTr="00AE356E">
        <w:tc>
          <w:tcPr>
            <w:tcW w:w="3192" w:type="dxa"/>
          </w:tcPr>
          <w:p w14:paraId="2647960C" w14:textId="77777777" w:rsidR="00AE356E" w:rsidRDefault="004D79EB" w:rsidP="00F20171">
            <w:pPr>
              <w:pStyle w:val="NormalWeb"/>
              <w:spacing w:line="360" w:lineRule="auto"/>
              <w:jc w:val="both"/>
            </w:pPr>
            <w:r>
              <w:t>2019</w:t>
            </w:r>
          </w:p>
        </w:tc>
        <w:tc>
          <w:tcPr>
            <w:tcW w:w="3192" w:type="dxa"/>
          </w:tcPr>
          <w:p w14:paraId="23541AD6" w14:textId="77777777" w:rsidR="00AE356E" w:rsidRDefault="00116C46" w:rsidP="00F20171">
            <w:pPr>
              <w:pStyle w:val="NormalWeb"/>
              <w:spacing w:line="360" w:lineRule="auto"/>
              <w:jc w:val="both"/>
            </w:pPr>
            <w:r>
              <w:t>5.35</w:t>
            </w:r>
          </w:p>
        </w:tc>
        <w:tc>
          <w:tcPr>
            <w:tcW w:w="3192" w:type="dxa"/>
          </w:tcPr>
          <w:p w14:paraId="6C963A5D" w14:textId="77777777" w:rsidR="00AE356E" w:rsidRDefault="00116C46" w:rsidP="00F20171">
            <w:pPr>
              <w:pStyle w:val="NormalWeb"/>
              <w:spacing w:line="360" w:lineRule="auto"/>
              <w:jc w:val="both"/>
            </w:pPr>
            <w:r>
              <w:t>8.77</w:t>
            </w:r>
          </w:p>
        </w:tc>
      </w:tr>
      <w:tr w:rsidR="00AE356E" w14:paraId="55D12DFE" w14:textId="77777777" w:rsidTr="00AE356E">
        <w:tc>
          <w:tcPr>
            <w:tcW w:w="3192" w:type="dxa"/>
          </w:tcPr>
          <w:p w14:paraId="60DF9F40" w14:textId="77777777" w:rsidR="00AE356E" w:rsidRDefault="004D79EB" w:rsidP="00F20171">
            <w:pPr>
              <w:pStyle w:val="NormalWeb"/>
              <w:spacing w:line="360" w:lineRule="auto"/>
              <w:jc w:val="both"/>
            </w:pPr>
            <w:r>
              <w:t>2021</w:t>
            </w:r>
          </w:p>
        </w:tc>
        <w:tc>
          <w:tcPr>
            <w:tcW w:w="3192" w:type="dxa"/>
          </w:tcPr>
          <w:p w14:paraId="7DED3835" w14:textId="77777777" w:rsidR="00AE356E" w:rsidRDefault="00116C46" w:rsidP="00F20171">
            <w:pPr>
              <w:pStyle w:val="NormalWeb"/>
              <w:spacing w:line="360" w:lineRule="auto"/>
              <w:jc w:val="both"/>
            </w:pPr>
            <w:r>
              <w:t>38.74</w:t>
            </w:r>
          </w:p>
        </w:tc>
        <w:tc>
          <w:tcPr>
            <w:tcW w:w="3192" w:type="dxa"/>
          </w:tcPr>
          <w:p w14:paraId="109240EB" w14:textId="77777777" w:rsidR="00AE356E" w:rsidRDefault="00116C46" w:rsidP="00F20171">
            <w:pPr>
              <w:pStyle w:val="NormalWeb"/>
              <w:spacing w:line="360" w:lineRule="auto"/>
              <w:jc w:val="both"/>
            </w:pPr>
            <w:r>
              <w:t>71.54</w:t>
            </w:r>
          </w:p>
        </w:tc>
      </w:tr>
      <w:tr w:rsidR="00AE356E" w14:paraId="0E58EE82" w14:textId="77777777" w:rsidTr="00AE356E">
        <w:tc>
          <w:tcPr>
            <w:tcW w:w="3192" w:type="dxa"/>
          </w:tcPr>
          <w:p w14:paraId="54DE5312" w14:textId="77777777" w:rsidR="00AE356E" w:rsidRDefault="004D79EB" w:rsidP="00F20171">
            <w:pPr>
              <w:pStyle w:val="NormalWeb"/>
              <w:spacing w:line="360" w:lineRule="auto"/>
              <w:jc w:val="both"/>
            </w:pPr>
            <w:r>
              <w:t>2023</w:t>
            </w:r>
          </w:p>
        </w:tc>
        <w:tc>
          <w:tcPr>
            <w:tcW w:w="3192" w:type="dxa"/>
          </w:tcPr>
          <w:p w14:paraId="7025C5A8" w14:textId="77777777" w:rsidR="00AE356E" w:rsidRDefault="00116C46" w:rsidP="00F20171">
            <w:pPr>
              <w:pStyle w:val="NormalWeb"/>
              <w:spacing w:line="360" w:lineRule="auto"/>
              <w:jc w:val="both"/>
            </w:pPr>
            <w:r>
              <w:t>117.6</w:t>
            </w:r>
          </w:p>
        </w:tc>
        <w:tc>
          <w:tcPr>
            <w:tcW w:w="3192" w:type="dxa"/>
          </w:tcPr>
          <w:p w14:paraId="741CC25A" w14:textId="77777777" w:rsidR="00AE356E" w:rsidRDefault="00116C46" w:rsidP="00F20171">
            <w:pPr>
              <w:pStyle w:val="NormalWeb"/>
              <w:spacing w:line="360" w:lineRule="auto"/>
              <w:jc w:val="both"/>
            </w:pPr>
            <w:r>
              <w:t>182+</w:t>
            </w:r>
          </w:p>
        </w:tc>
      </w:tr>
    </w:tbl>
    <w:p w14:paraId="04C2B5CA" w14:textId="77777777" w:rsidR="002201B9" w:rsidRDefault="00B31B1D" w:rsidP="002201B9">
      <w:pPr>
        <w:pStyle w:val="NormalWeb"/>
        <w:spacing w:line="360" w:lineRule="auto"/>
        <w:jc w:val="both"/>
      </w:pPr>
      <w:r>
        <w:rPr>
          <w:rStyle w:val="Strong"/>
        </w:rPr>
        <w:t>Source:</w:t>
      </w:r>
      <w:r>
        <w:t xml:space="preserve"> </w:t>
      </w:r>
      <w:r>
        <w:rPr>
          <w:rStyle w:val="whitespace-normal"/>
        </w:rPr>
        <w:t>National Payments Corporation of India</w:t>
      </w:r>
      <w:r>
        <w:t xml:space="preserve"> (NPCI), </w:t>
      </w:r>
      <w:r>
        <w:rPr>
          <w:rStyle w:val="whitespace-normal"/>
        </w:rPr>
        <w:t>Reserve Bank of India</w:t>
      </w:r>
    </w:p>
    <w:p w14:paraId="3CC4C194" w14:textId="63B27CBB" w:rsidR="002201B9" w:rsidRDefault="002201B9" w:rsidP="002201B9">
      <w:pPr>
        <w:pStyle w:val="NormalWeb"/>
        <w:spacing w:line="360" w:lineRule="auto"/>
        <w:jc w:val="both"/>
      </w:pPr>
      <w:r w:rsidRPr="002201B9">
        <w:rPr>
          <w:rStyle w:val="Strong"/>
          <w:b w:val="0"/>
        </w:rPr>
        <w:t>Table 2 indicates that</w:t>
      </w:r>
      <w:r>
        <w:t xml:space="preserve"> UPI transactions have grown exponentially in both volume and value, particularly after 2019. This trend highlights the increasing reliance on digital payment systems and their role in expanding financial inclusion. The widespread adoption of UPI has enabled seamless transactions, reduced dependency on cash, and integrated marginalized populations into the formal financial system. From a political perspective, this enhances economic participation and strengthens the legitimacy of governance structures. Provisional data for 2024–25 suggests that </w:t>
      </w:r>
      <w:r w:rsidRPr="002201B9">
        <w:rPr>
          <w:rStyle w:val="Strong"/>
          <w:b w:val="0"/>
        </w:rPr>
        <w:t>UPI transactions have crossed 150 billion annually</w:t>
      </w:r>
      <w:r>
        <w:t>, reinforcing its role as a key driver of India’s digital economy.</w:t>
      </w:r>
    </w:p>
    <w:p w14:paraId="63431145" w14:textId="77777777" w:rsidR="00144B81" w:rsidRPr="00144B81" w:rsidRDefault="00144B81" w:rsidP="00144B81">
      <w:pPr>
        <w:pStyle w:val="Heading2"/>
        <w:rPr>
          <w:b w:val="0"/>
          <w:color w:val="auto"/>
        </w:rPr>
      </w:pPr>
      <w:r w:rsidRPr="00144B81">
        <w:rPr>
          <w:rStyle w:val="Strong"/>
          <w:b/>
          <w:bCs/>
          <w:color w:val="auto"/>
        </w:rPr>
        <w:t>3.3 Welfare Delivery and Transparency</w:t>
      </w:r>
    </w:p>
    <w:p w14:paraId="1EFA8159" w14:textId="77777777" w:rsidR="00144B81" w:rsidRDefault="00144B81" w:rsidP="00144B81">
      <w:pPr>
        <w:pStyle w:val="NormalWeb"/>
        <w:spacing w:line="360" w:lineRule="auto"/>
        <w:jc w:val="both"/>
      </w:pPr>
      <w:r>
        <w:t xml:space="preserve">The </w:t>
      </w:r>
      <w:r>
        <w:rPr>
          <w:rStyle w:val="whitespace-normal"/>
          <w:rFonts w:eastAsiaTheme="majorEastAsia"/>
        </w:rPr>
        <w:t>Direct Benefit Transfer</w:t>
      </w:r>
      <w:r>
        <w:t xml:space="preserve"> (DBT) mechanism has revolutionized welfare distribution by ensuring direct and transparent transfer of benefits.</w:t>
      </w:r>
    </w:p>
    <w:p w14:paraId="0B4101C9" w14:textId="04E48788" w:rsidR="00144B81" w:rsidRPr="00392F2B" w:rsidRDefault="00452818" w:rsidP="00452818">
      <w:pPr>
        <w:pStyle w:val="NormalWeb"/>
        <w:spacing w:line="360" w:lineRule="auto"/>
        <w:jc w:val="center"/>
        <w:rPr>
          <w:b/>
        </w:rPr>
      </w:pPr>
      <w:r w:rsidRPr="00392F2B">
        <w:rPr>
          <w:b/>
        </w:rPr>
        <w:t>Table 3: Direct Benefit Transfer (DBT) Trends in India</w:t>
      </w:r>
    </w:p>
    <w:tbl>
      <w:tblPr>
        <w:tblStyle w:val="TableGrid"/>
        <w:tblW w:w="0" w:type="auto"/>
        <w:tblLook w:val="04A0" w:firstRow="1" w:lastRow="0" w:firstColumn="1" w:lastColumn="0" w:noHBand="0" w:noVBand="1"/>
      </w:tblPr>
      <w:tblGrid>
        <w:gridCol w:w="3192"/>
        <w:gridCol w:w="3192"/>
        <w:gridCol w:w="3192"/>
      </w:tblGrid>
      <w:tr w:rsidR="00392F2B" w:rsidRPr="00392F2B" w14:paraId="68BCE388" w14:textId="77777777" w:rsidTr="00392F2B">
        <w:tc>
          <w:tcPr>
            <w:tcW w:w="3192" w:type="dxa"/>
          </w:tcPr>
          <w:p w14:paraId="57EE3650" w14:textId="77777777" w:rsidR="00392F2B" w:rsidRPr="00392F2B" w:rsidRDefault="00392F2B" w:rsidP="00A2338B">
            <w:pPr>
              <w:spacing w:before="100" w:beforeAutospacing="1" w:after="100" w:afterAutospacing="1" w:line="360" w:lineRule="auto"/>
              <w:jc w:val="both"/>
              <w:rPr>
                <w:rFonts w:ascii="Times New Roman" w:eastAsia="Times New Roman" w:hAnsi="Times New Roman" w:cs="Times New Roman"/>
                <w:b/>
                <w:sz w:val="24"/>
                <w:szCs w:val="24"/>
              </w:rPr>
            </w:pPr>
            <w:r w:rsidRPr="00392F2B">
              <w:rPr>
                <w:rFonts w:ascii="Times New Roman" w:eastAsia="Times New Roman" w:hAnsi="Times New Roman" w:cs="Times New Roman"/>
                <w:b/>
                <w:sz w:val="24"/>
                <w:szCs w:val="24"/>
              </w:rPr>
              <w:t>Years</w:t>
            </w:r>
          </w:p>
        </w:tc>
        <w:tc>
          <w:tcPr>
            <w:tcW w:w="3192" w:type="dxa"/>
          </w:tcPr>
          <w:p w14:paraId="68A6810A" w14:textId="77777777" w:rsidR="00392F2B" w:rsidRPr="00392F2B" w:rsidRDefault="00392F2B" w:rsidP="00A2338B">
            <w:pPr>
              <w:spacing w:before="100" w:beforeAutospacing="1" w:after="100" w:afterAutospacing="1" w:line="360" w:lineRule="auto"/>
              <w:jc w:val="both"/>
              <w:rPr>
                <w:rFonts w:ascii="Times New Roman" w:eastAsia="Times New Roman" w:hAnsi="Times New Roman" w:cs="Times New Roman"/>
                <w:b/>
                <w:sz w:val="24"/>
                <w:szCs w:val="24"/>
              </w:rPr>
            </w:pPr>
            <w:r w:rsidRPr="00392F2B">
              <w:rPr>
                <w:rFonts w:ascii="Times New Roman" w:hAnsi="Times New Roman" w:cs="Times New Roman"/>
                <w:b/>
                <w:sz w:val="24"/>
                <w:szCs w:val="24"/>
              </w:rPr>
              <w:t>Total Transfers (Lakh Crore)</w:t>
            </w:r>
          </w:p>
        </w:tc>
        <w:tc>
          <w:tcPr>
            <w:tcW w:w="3192" w:type="dxa"/>
          </w:tcPr>
          <w:p w14:paraId="56B13EA3" w14:textId="77777777" w:rsidR="00392F2B" w:rsidRPr="00392F2B" w:rsidRDefault="00392F2B" w:rsidP="00A2338B">
            <w:pPr>
              <w:spacing w:before="100" w:beforeAutospacing="1" w:after="100" w:afterAutospacing="1" w:line="360" w:lineRule="auto"/>
              <w:jc w:val="both"/>
              <w:rPr>
                <w:rFonts w:ascii="Times New Roman" w:eastAsia="Times New Roman" w:hAnsi="Times New Roman" w:cs="Times New Roman"/>
                <w:b/>
                <w:sz w:val="24"/>
                <w:szCs w:val="24"/>
              </w:rPr>
            </w:pPr>
            <w:r w:rsidRPr="00392F2B">
              <w:rPr>
                <w:rFonts w:ascii="Times New Roman" w:hAnsi="Times New Roman" w:cs="Times New Roman"/>
                <w:b/>
                <w:sz w:val="24"/>
                <w:szCs w:val="24"/>
              </w:rPr>
              <w:t>Beneficiaries (Crore)</w:t>
            </w:r>
          </w:p>
        </w:tc>
      </w:tr>
      <w:tr w:rsidR="00392F2B" w:rsidRPr="00392F2B" w14:paraId="5634BBD3" w14:textId="77777777" w:rsidTr="00392F2B">
        <w:tc>
          <w:tcPr>
            <w:tcW w:w="3192" w:type="dxa"/>
          </w:tcPr>
          <w:p w14:paraId="3171BCF6" w14:textId="77777777" w:rsidR="00392F2B" w:rsidRPr="00392F2B" w:rsidRDefault="00392F2B" w:rsidP="00A2338B">
            <w:pPr>
              <w:spacing w:before="100" w:beforeAutospacing="1" w:after="100" w:afterAutospacing="1" w:line="360" w:lineRule="auto"/>
              <w:jc w:val="both"/>
              <w:rPr>
                <w:rFonts w:ascii="Times New Roman" w:eastAsia="Times New Roman" w:hAnsi="Times New Roman" w:cs="Times New Roman"/>
                <w:sz w:val="24"/>
                <w:szCs w:val="24"/>
              </w:rPr>
            </w:pPr>
            <w:r w:rsidRPr="00392F2B">
              <w:rPr>
                <w:rFonts w:ascii="Times New Roman" w:eastAsia="Times New Roman" w:hAnsi="Times New Roman" w:cs="Times New Roman"/>
                <w:sz w:val="24"/>
                <w:szCs w:val="24"/>
              </w:rPr>
              <w:t>2016</w:t>
            </w:r>
          </w:p>
        </w:tc>
        <w:tc>
          <w:tcPr>
            <w:tcW w:w="3192" w:type="dxa"/>
          </w:tcPr>
          <w:p w14:paraId="736AFA10" w14:textId="77777777" w:rsidR="00392F2B" w:rsidRPr="00830AF4" w:rsidRDefault="00830AF4" w:rsidP="00A2338B">
            <w:pPr>
              <w:spacing w:before="100" w:beforeAutospacing="1" w:after="100" w:afterAutospacing="1" w:line="360" w:lineRule="auto"/>
              <w:jc w:val="both"/>
              <w:rPr>
                <w:rFonts w:ascii="Times New Roman" w:eastAsia="Times New Roman" w:hAnsi="Times New Roman" w:cs="Times New Roman"/>
                <w:sz w:val="24"/>
                <w:szCs w:val="24"/>
              </w:rPr>
            </w:pPr>
            <w:r w:rsidRPr="00830AF4">
              <w:rPr>
                <w:rFonts w:ascii="Times New Roman" w:eastAsia="Times New Roman" w:hAnsi="Times New Roman" w:cs="Times New Roman"/>
                <w:sz w:val="24"/>
                <w:szCs w:val="24"/>
              </w:rPr>
              <w:t>1.5</w:t>
            </w:r>
          </w:p>
        </w:tc>
        <w:tc>
          <w:tcPr>
            <w:tcW w:w="3192" w:type="dxa"/>
          </w:tcPr>
          <w:p w14:paraId="6A0829B4" w14:textId="77777777" w:rsidR="00392F2B" w:rsidRPr="00AC695B" w:rsidRDefault="00AC695B" w:rsidP="00A2338B">
            <w:pPr>
              <w:spacing w:before="100" w:beforeAutospacing="1" w:after="100" w:afterAutospacing="1" w:line="360" w:lineRule="auto"/>
              <w:jc w:val="both"/>
              <w:rPr>
                <w:rFonts w:ascii="Times New Roman" w:eastAsia="Times New Roman" w:hAnsi="Times New Roman" w:cs="Times New Roman"/>
                <w:sz w:val="24"/>
                <w:szCs w:val="24"/>
              </w:rPr>
            </w:pPr>
            <w:r w:rsidRPr="00AC695B">
              <w:rPr>
                <w:rFonts w:ascii="Times New Roman" w:eastAsia="Times New Roman" w:hAnsi="Times New Roman" w:cs="Times New Roman"/>
                <w:sz w:val="24"/>
                <w:szCs w:val="24"/>
              </w:rPr>
              <w:t>30</w:t>
            </w:r>
          </w:p>
        </w:tc>
      </w:tr>
      <w:tr w:rsidR="00392F2B" w:rsidRPr="00392F2B" w14:paraId="2286D594" w14:textId="77777777" w:rsidTr="00392F2B">
        <w:tc>
          <w:tcPr>
            <w:tcW w:w="3192" w:type="dxa"/>
          </w:tcPr>
          <w:p w14:paraId="40167AE6" w14:textId="77777777" w:rsidR="00392F2B" w:rsidRPr="00392F2B" w:rsidRDefault="00392F2B" w:rsidP="00A2338B">
            <w:pPr>
              <w:spacing w:before="100" w:beforeAutospacing="1" w:after="100" w:afterAutospacing="1" w:line="360" w:lineRule="auto"/>
              <w:jc w:val="both"/>
              <w:rPr>
                <w:rFonts w:ascii="Times New Roman" w:eastAsia="Times New Roman" w:hAnsi="Times New Roman" w:cs="Times New Roman"/>
                <w:sz w:val="24"/>
                <w:szCs w:val="24"/>
              </w:rPr>
            </w:pPr>
            <w:r w:rsidRPr="00392F2B">
              <w:rPr>
                <w:rFonts w:ascii="Times New Roman" w:eastAsia="Times New Roman" w:hAnsi="Times New Roman" w:cs="Times New Roman"/>
                <w:sz w:val="24"/>
                <w:szCs w:val="24"/>
              </w:rPr>
              <w:lastRenderedPageBreak/>
              <w:t>2019</w:t>
            </w:r>
          </w:p>
        </w:tc>
        <w:tc>
          <w:tcPr>
            <w:tcW w:w="3192" w:type="dxa"/>
          </w:tcPr>
          <w:p w14:paraId="39759CF3" w14:textId="77777777" w:rsidR="00392F2B" w:rsidRPr="00830AF4" w:rsidRDefault="00830AF4" w:rsidP="00A2338B">
            <w:pPr>
              <w:spacing w:before="100" w:beforeAutospacing="1" w:after="100" w:afterAutospacing="1" w:line="360" w:lineRule="auto"/>
              <w:jc w:val="both"/>
              <w:rPr>
                <w:rFonts w:ascii="Times New Roman" w:eastAsia="Times New Roman" w:hAnsi="Times New Roman" w:cs="Times New Roman"/>
                <w:sz w:val="24"/>
                <w:szCs w:val="24"/>
              </w:rPr>
            </w:pPr>
            <w:r w:rsidRPr="00830AF4">
              <w:rPr>
                <w:rFonts w:ascii="Times New Roman" w:eastAsia="Times New Roman" w:hAnsi="Times New Roman" w:cs="Times New Roman"/>
                <w:sz w:val="24"/>
                <w:szCs w:val="24"/>
              </w:rPr>
              <w:t>3.8</w:t>
            </w:r>
          </w:p>
        </w:tc>
        <w:tc>
          <w:tcPr>
            <w:tcW w:w="3192" w:type="dxa"/>
          </w:tcPr>
          <w:p w14:paraId="7012F67C" w14:textId="77777777" w:rsidR="00392F2B" w:rsidRPr="00AC695B" w:rsidRDefault="00AC695B" w:rsidP="00A2338B">
            <w:pPr>
              <w:spacing w:before="100" w:beforeAutospacing="1" w:after="100" w:afterAutospacing="1" w:line="360" w:lineRule="auto"/>
              <w:jc w:val="both"/>
              <w:rPr>
                <w:rFonts w:ascii="Times New Roman" w:eastAsia="Times New Roman" w:hAnsi="Times New Roman" w:cs="Times New Roman"/>
                <w:sz w:val="24"/>
                <w:szCs w:val="24"/>
              </w:rPr>
            </w:pPr>
            <w:r w:rsidRPr="00AC695B">
              <w:rPr>
                <w:rFonts w:ascii="Times New Roman" w:eastAsia="Times New Roman" w:hAnsi="Times New Roman" w:cs="Times New Roman"/>
                <w:sz w:val="24"/>
                <w:szCs w:val="24"/>
              </w:rPr>
              <w:t>60</w:t>
            </w:r>
          </w:p>
        </w:tc>
      </w:tr>
      <w:tr w:rsidR="00392F2B" w:rsidRPr="00392F2B" w14:paraId="66DED007" w14:textId="77777777" w:rsidTr="00392F2B">
        <w:tc>
          <w:tcPr>
            <w:tcW w:w="3192" w:type="dxa"/>
          </w:tcPr>
          <w:p w14:paraId="29BC6336" w14:textId="77777777" w:rsidR="00392F2B" w:rsidRPr="00392F2B" w:rsidRDefault="00392F2B" w:rsidP="00A2338B">
            <w:pPr>
              <w:spacing w:before="100" w:beforeAutospacing="1" w:after="100" w:afterAutospacing="1" w:line="360" w:lineRule="auto"/>
              <w:jc w:val="both"/>
              <w:rPr>
                <w:rFonts w:ascii="Times New Roman" w:eastAsia="Times New Roman" w:hAnsi="Times New Roman" w:cs="Times New Roman"/>
                <w:sz w:val="24"/>
                <w:szCs w:val="24"/>
              </w:rPr>
            </w:pPr>
            <w:r w:rsidRPr="00392F2B">
              <w:rPr>
                <w:rFonts w:ascii="Times New Roman" w:eastAsia="Times New Roman" w:hAnsi="Times New Roman" w:cs="Times New Roman"/>
                <w:sz w:val="24"/>
                <w:szCs w:val="24"/>
              </w:rPr>
              <w:t>2021</w:t>
            </w:r>
          </w:p>
        </w:tc>
        <w:tc>
          <w:tcPr>
            <w:tcW w:w="3192" w:type="dxa"/>
          </w:tcPr>
          <w:p w14:paraId="3B36DD4B" w14:textId="77777777" w:rsidR="00392F2B" w:rsidRPr="00830AF4" w:rsidRDefault="00830AF4" w:rsidP="00A2338B">
            <w:pPr>
              <w:spacing w:before="100" w:beforeAutospacing="1" w:after="100" w:afterAutospacing="1" w:line="360" w:lineRule="auto"/>
              <w:jc w:val="both"/>
              <w:rPr>
                <w:rFonts w:ascii="Times New Roman" w:eastAsia="Times New Roman" w:hAnsi="Times New Roman" w:cs="Times New Roman"/>
                <w:sz w:val="24"/>
                <w:szCs w:val="24"/>
              </w:rPr>
            </w:pPr>
            <w:r w:rsidRPr="00830AF4">
              <w:rPr>
                <w:rFonts w:ascii="Times New Roman" w:eastAsia="Times New Roman" w:hAnsi="Times New Roman" w:cs="Times New Roman"/>
                <w:sz w:val="24"/>
                <w:szCs w:val="24"/>
              </w:rPr>
              <w:t>5.5</w:t>
            </w:r>
          </w:p>
        </w:tc>
        <w:tc>
          <w:tcPr>
            <w:tcW w:w="3192" w:type="dxa"/>
          </w:tcPr>
          <w:p w14:paraId="42D45572" w14:textId="77777777" w:rsidR="00392F2B" w:rsidRPr="00AC695B" w:rsidRDefault="00AC695B" w:rsidP="00A2338B">
            <w:pPr>
              <w:spacing w:before="100" w:beforeAutospacing="1" w:after="100" w:afterAutospacing="1" w:line="360" w:lineRule="auto"/>
              <w:jc w:val="both"/>
              <w:rPr>
                <w:rFonts w:ascii="Times New Roman" w:eastAsia="Times New Roman" w:hAnsi="Times New Roman" w:cs="Times New Roman"/>
                <w:sz w:val="24"/>
                <w:szCs w:val="24"/>
              </w:rPr>
            </w:pPr>
            <w:r w:rsidRPr="00AC695B">
              <w:rPr>
                <w:rFonts w:ascii="Times New Roman" w:eastAsia="Times New Roman" w:hAnsi="Times New Roman" w:cs="Times New Roman"/>
                <w:sz w:val="24"/>
                <w:szCs w:val="24"/>
              </w:rPr>
              <w:t>90</w:t>
            </w:r>
          </w:p>
        </w:tc>
      </w:tr>
      <w:tr w:rsidR="00392F2B" w:rsidRPr="00392F2B" w14:paraId="6EC3F4BB" w14:textId="77777777" w:rsidTr="00392F2B">
        <w:tc>
          <w:tcPr>
            <w:tcW w:w="3192" w:type="dxa"/>
          </w:tcPr>
          <w:p w14:paraId="0CDF7FAD" w14:textId="77777777" w:rsidR="00392F2B" w:rsidRPr="00392F2B" w:rsidRDefault="00392F2B" w:rsidP="00A2338B">
            <w:pPr>
              <w:spacing w:before="100" w:beforeAutospacing="1" w:after="100" w:afterAutospacing="1" w:line="360" w:lineRule="auto"/>
              <w:jc w:val="both"/>
              <w:rPr>
                <w:rFonts w:ascii="Times New Roman" w:eastAsia="Times New Roman" w:hAnsi="Times New Roman" w:cs="Times New Roman"/>
                <w:sz w:val="24"/>
                <w:szCs w:val="24"/>
              </w:rPr>
            </w:pPr>
            <w:r w:rsidRPr="00392F2B">
              <w:rPr>
                <w:rFonts w:ascii="Times New Roman" w:eastAsia="Times New Roman" w:hAnsi="Times New Roman" w:cs="Times New Roman"/>
                <w:sz w:val="24"/>
                <w:szCs w:val="24"/>
              </w:rPr>
              <w:t>2023</w:t>
            </w:r>
          </w:p>
        </w:tc>
        <w:tc>
          <w:tcPr>
            <w:tcW w:w="3192" w:type="dxa"/>
          </w:tcPr>
          <w:p w14:paraId="7531CF3C" w14:textId="77777777" w:rsidR="00392F2B" w:rsidRPr="00830AF4" w:rsidRDefault="00830AF4" w:rsidP="00A2338B">
            <w:pPr>
              <w:spacing w:before="100" w:beforeAutospacing="1" w:after="100" w:afterAutospacing="1" w:line="360" w:lineRule="auto"/>
              <w:jc w:val="both"/>
              <w:rPr>
                <w:rFonts w:ascii="Times New Roman" w:eastAsia="Times New Roman" w:hAnsi="Times New Roman" w:cs="Times New Roman"/>
                <w:sz w:val="24"/>
                <w:szCs w:val="24"/>
              </w:rPr>
            </w:pPr>
            <w:r w:rsidRPr="00830AF4">
              <w:rPr>
                <w:rFonts w:ascii="Times New Roman" w:eastAsia="Times New Roman" w:hAnsi="Times New Roman" w:cs="Times New Roman"/>
                <w:sz w:val="24"/>
                <w:szCs w:val="24"/>
              </w:rPr>
              <w:t>7.5</w:t>
            </w:r>
          </w:p>
        </w:tc>
        <w:tc>
          <w:tcPr>
            <w:tcW w:w="3192" w:type="dxa"/>
          </w:tcPr>
          <w:p w14:paraId="12E82444" w14:textId="77777777" w:rsidR="00392F2B" w:rsidRPr="00AC695B" w:rsidRDefault="00AC695B" w:rsidP="00A2338B">
            <w:pPr>
              <w:spacing w:before="100" w:beforeAutospacing="1" w:after="100" w:afterAutospacing="1" w:line="360" w:lineRule="auto"/>
              <w:jc w:val="both"/>
              <w:rPr>
                <w:rFonts w:ascii="Times New Roman" w:eastAsia="Times New Roman" w:hAnsi="Times New Roman" w:cs="Times New Roman"/>
                <w:sz w:val="24"/>
                <w:szCs w:val="24"/>
              </w:rPr>
            </w:pPr>
            <w:r w:rsidRPr="00AC695B">
              <w:rPr>
                <w:rFonts w:ascii="Times New Roman" w:eastAsia="Times New Roman" w:hAnsi="Times New Roman" w:cs="Times New Roman"/>
                <w:sz w:val="24"/>
                <w:szCs w:val="24"/>
              </w:rPr>
              <w:t>100</w:t>
            </w:r>
          </w:p>
        </w:tc>
      </w:tr>
    </w:tbl>
    <w:p w14:paraId="6E909454" w14:textId="77777777" w:rsidR="00A2338B" w:rsidRDefault="00487BF6" w:rsidP="00A2338B">
      <w:pPr>
        <w:spacing w:before="100" w:beforeAutospacing="1" w:after="100" w:afterAutospacing="1" w:line="360" w:lineRule="auto"/>
        <w:jc w:val="both"/>
        <w:rPr>
          <w:rStyle w:val="whitespace-normal"/>
          <w:rFonts w:ascii="Times New Roman" w:hAnsi="Times New Roman" w:cs="Times New Roman"/>
          <w:sz w:val="24"/>
          <w:szCs w:val="24"/>
        </w:rPr>
      </w:pPr>
      <w:r w:rsidRPr="00487BF6">
        <w:rPr>
          <w:rStyle w:val="Strong"/>
          <w:rFonts w:ascii="Times New Roman" w:hAnsi="Times New Roman" w:cs="Times New Roman"/>
          <w:sz w:val="24"/>
          <w:szCs w:val="24"/>
        </w:rPr>
        <w:t>Source:</w:t>
      </w:r>
      <w:r w:rsidRPr="00487BF6">
        <w:rPr>
          <w:rFonts w:ascii="Times New Roman" w:hAnsi="Times New Roman" w:cs="Times New Roman"/>
          <w:sz w:val="24"/>
          <w:szCs w:val="24"/>
        </w:rPr>
        <w:t xml:space="preserve"> </w:t>
      </w:r>
      <w:r w:rsidRPr="00487BF6">
        <w:rPr>
          <w:rStyle w:val="whitespace-normal"/>
          <w:rFonts w:ascii="Times New Roman" w:hAnsi="Times New Roman" w:cs="Times New Roman"/>
          <w:sz w:val="24"/>
          <w:szCs w:val="24"/>
        </w:rPr>
        <w:t>DBT Mission Government of India</w:t>
      </w:r>
      <w:r w:rsidRPr="00487BF6">
        <w:rPr>
          <w:rFonts w:ascii="Times New Roman" w:hAnsi="Times New Roman" w:cs="Times New Roman"/>
          <w:sz w:val="24"/>
          <w:szCs w:val="24"/>
        </w:rPr>
        <w:t xml:space="preserve">, </w:t>
      </w:r>
      <w:r w:rsidRPr="00487BF6">
        <w:rPr>
          <w:rStyle w:val="whitespace-normal"/>
          <w:rFonts w:ascii="Times New Roman" w:hAnsi="Times New Roman" w:cs="Times New Roman"/>
          <w:sz w:val="24"/>
          <w:szCs w:val="24"/>
        </w:rPr>
        <w:t>NITI Aayog</w:t>
      </w:r>
    </w:p>
    <w:p w14:paraId="3B975805" w14:textId="1FC9232F" w:rsidR="00CF5A61" w:rsidRDefault="00CF5A61" w:rsidP="00CF5A61">
      <w:pPr>
        <w:pStyle w:val="NormalWeb"/>
        <w:spacing w:line="360" w:lineRule="auto"/>
        <w:jc w:val="both"/>
      </w:pPr>
      <w:r w:rsidRPr="00CF5A61">
        <w:rPr>
          <w:rStyle w:val="Strong"/>
          <w:b w:val="0"/>
        </w:rPr>
        <w:t>Table 3.shows that</w:t>
      </w:r>
      <w:r>
        <w:t xml:space="preserve"> both the volume of transfers and the number of beneficiaries under DBT have increased consistently over time. This demonstrates the effectiveness of digital governance in reducing leakages, eliminating intermediaries, and improving the efficiency of welfare delivery. Politically, DBT enhances transparency and accountability, thereby strengthening public trust in government institutions. Recent provisional estimates for 2024–25 indicate that </w:t>
      </w:r>
      <w:r w:rsidRPr="00CF5A61">
        <w:rPr>
          <w:rStyle w:val="Strong"/>
          <w:b w:val="0"/>
        </w:rPr>
        <w:t>DBT transfers have exceeded 8 lakh crore</w:t>
      </w:r>
      <w:r w:rsidRPr="00CF5A61">
        <w:rPr>
          <w:b/>
        </w:rPr>
        <w:t>,</w:t>
      </w:r>
      <w:r>
        <w:t xml:space="preserve"> reflecting the continued expansion of digital welfare governance.</w:t>
      </w:r>
    </w:p>
    <w:p w14:paraId="38189B3F" w14:textId="77777777" w:rsidR="005D218C" w:rsidRPr="005D218C" w:rsidRDefault="005D218C" w:rsidP="005D218C">
      <w:pPr>
        <w:pStyle w:val="Heading2"/>
        <w:rPr>
          <w:rFonts w:ascii="Times New Roman" w:hAnsi="Times New Roman" w:cs="Times New Roman"/>
          <w:b w:val="0"/>
          <w:color w:val="auto"/>
          <w:sz w:val="24"/>
          <w:szCs w:val="24"/>
        </w:rPr>
      </w:pPr>
      <w:r w:rsidRPr="005D218C">
        <w:rPr>
          <w:rStyle w:val="Strong"/>
          <w:rFonts w:ascii="Times New Roman" w:hAnsi="Times New Roman" w:cs="Times New Roman"/>
          <w:b/>
          <w:bCs/>
          <w:color w:val="auto"/>
          <w:sz w:val="24"/>
          <w:szCs w:val="24"/>
        </w:rPr>
        <w:t>3.4 Citizen Participation and Digital Governance</w:t>
      </w:r>
    </w:p>
    <w:p w14:paraId="23089B27" w14:textId="77777777" w:rsidR="005D218C" w:rsidRDefault="005D218C" w:rsidP="005D218C">
      <w:pPr>
        <w:pStyle w:val="NormalWeb"/>
      </w:pPr>
      <w:r>
        <w:t>Digital platforms have expanded the scope of citizen engagement and participatory governance.</w:t>
      </w:r>
    </w:p>
    <w:p w14:paraId="1C34E3CA" w14:textId="0462F05A" w:rsidR="005D218C" w:rsidRDefault="005D218C" w:rsidP="005D218C">
      <w:pPr>
        <w:pStyle w:val="Heading3"/>
        <w:jc w:val="center"/>
        <w:rPr>
          <w:rStyle w:val="Strong"/>
          <w:rFonts w:ascii="Times New Roman" w:hAnsi="Times New Roman" w:cs="Times New Roman"/>
          <w:b/>
          <w:bCs/>
          <w:color w:val="auto"/>
          <w:sz w:val="24"/>
          <w:szCs w:val="24"/>
        </w:rPr>
      </w:pPr>
      <w:r w:rsidRPr="005D218C">
        <w:rPr>
          <w:rStyle w:val="Strong"/>
          <w:rFonts w:ascii="Times New Roman" w:hAnsi="Times New Roman" w:cs="Times New Roman"/>
          <w:b/>
          <w:bCs/>
          <w:color w:val="auto"/>
          <w:sz w:val="24"/>
          <w:szCs w:val="24"/>
        </w:rPr>
        <w:t>Table 4: Growth of Digital Governance Platforms</w:t>
      </w:r>
    </w:p>
    <w:tbl>
      <w:tblPr>
        <w:tblStyle w:val="TableGrid"/>
        <w:tblW w:w="9606" w:type="dxa"/>
        <w:tblLook w:val="04A0" w:firstRow="1" w:lastRow="0" w:firstColumn="1" w:lastColumn="0" w:noHBand="0" w:noVBand="1"/>
      </w:tblPr>
      <w:tblGrid>
        <w:gridCol w:w="4803"/>
        <w:gridCol w:w="4803"/>
      </w:tblGrid>
      <w:tr w:rsidR="00061043" w14:paraId="3339D56C" w14:textId="77777777" w:rsidTr="00061043">
        <w:trPr>
          <w:trHeight w:val="898"/>
        </w:trPr>
        <w:tc>
          <w:tcPr>
            <w:tcW w:w="4803" w:type="dxa"/>
          </w:tcPr>
          <w:p w14:paraId="34136DD6" w14:textId="77777777" w:rsidR="00061043" w:rsidRPr="00061043" w:rsidRDefault="00061043" w:rsidP="00061043">
            <w:pPr>
              <w:rPr>
                <w:rFonts w:ascii="Times New Roman" w:hAnsi="Times New Roman" w:cs="Times New Roman"/>
                <w:b/>
                <w:bCs/>
                <w:sz w:val="24"/>
                <w:szCs w:val="24"/>
              </w:rPr>
            </w:pPr>
            <w:r w:rsidRPr="00061043">
              <w:rPr>
                <w:rFonts w:ascii="Times New Roman" w:hAnsi="Times New Roman" w:cs="Times New Roman"/>
                <w:b/>
                <w:bCs/>
                <w:sz w:val="24"/>
                <w:szCs w:val="24"/>
              </w:rPr>
              <w:t>Platform</w:t>
            </w:r>
          </w:p>
          <w:p w14:paraId="68698015" w14:textId="77777777" w:rsidR="00061043" w:rsidRDefault="00061043" w:rsidP="005D218C"/>
        </w:tc>
        <w:tc>
          <w:tcPr>
            <w:tcW w:w="4803" w:type="dxa"/>
          </w:tcPr>
          <w:p w14:paraId="3263A190" w14:textId="77777777" w:rsidR="00061043" w:rsidRPr="00061043" w:rsidRDefault="00061043" w:rsidP="005D218C">
            <w:pPr>
              <w:rPr>
                <w:rFonts w:ascii="Times New Roman" w:hAnsi="Times New Roman" w:cs="Times New Roman"/>
                <w:b/>
                <w:sz w:val="24"/>
                <w:szCs w:val="24"/>
              </w:rPr>
            </w:pPr>
            <w:r w:rsidRPr="00061043">
              <w:rPr>
                <w:rFonts w:ascii="Times New Roman" w:hAnsi="Times New Roman" w:cs="Times New Roman"/>
                <w:b/>
                <w:sz w:val="24"/>
                <w:szCs w:val="24"/>
              </w:rPr>
              <w:t>Services/Users</w:t>
            </w:r>
          </w:p>
        </w:tc>
      </w:tr>
      <w:tr w:rsidR="00061043" w14:paraId="7EB7708E" w14:textId="77777777" w:rsidTr="00061043">
        <w:trPr>
          <w:trHeight w:val="449"/>
        </w:trPr>
        <w:tc>
          <w:tcPr>
            <w:tcW w:w="4803" w:type="dxa"/>
          </w:tcPr>
          <w:p w14:paraId="4CBD6E58" w14:textId="77777777" w:rsidR="00061043" w:rsidRPr="00061043" w:rsidRDefault="00061043" w:rsidP="005D218C">
            <w:pPr>
              <w:rPr>
                <w:rFonts w:ascii="Times New Roman" w:hAnsi="Times New Roman" w:cs="Times New Roman"/>
                <w:sz w:val="24"/>
                <w:szCs w:val="24"/>
              </w:rPr>
            </w:pPr>
            <w:r w:rsidRPr="00061043">
              <w:rPr>
                <w:rFonts w:ascii="Times New Roman" w:hAnsi="Times New Roman" w:cs="Times New Roman"/>
                <w:sz w:val="24"/>
                <w:szCs w:val="24"/>
              </w:rPr>
              <w:t>UMANG App</w:t>
            </w:r>
          </w:p>
        </w:tc>
        <w:tc>
          <w:tcPr>
            <w:tcW w:w="4803" w:type="dxa"/>
          </w:tcPr>
          <w:p w14:paraId="1A3F0535" w14:textId="77777777" w:rsidR="00061043" w:rsidRPr="00061043" w:rsidRDefault="00061043" w:rsidP="005D218C">
            <w:pPr>
              <w:rPr>
                <w:rFonts w:ascii="Times New Roman" w:hAnsi="Times New Roman" w:cs="Times New Roman"/>
                <w:sz w:val="24"/>
                <w:szCs w:val="24"/>
              </w:rPr>
            </w:pPr>
            <w:r w:rsidRPr="00061043">
              <w:rPr>
                <w:rFonts w:ascii="Times New Roman" w:hAnsi="Times New Roman" w:cs="Times New Roman"/>
                <w:sz w:val="24"/>
                <w:szCs w:val="24"/>
              </w:rPr>
              <w:t>1500+ services</w:t>
            </w:r>
          </w:p>
        </w:tc>
      </w:tr>
      <w:tr w:rsidR="00061043" w14:paraId="0D4EE223" w14:textId="77777777" w:rsidTr="00061043">
        <w:trPr>
          <w:trHeight w:val="424"/>
        </w:trPr>
        <w:tc>
          <w:tcPr>
            <w:tcW w:w="4803" w:type="dxa"/>
          </w:tcPr>
          <w:p w14:paraId="5E660187" w14:textId="77777777" w:rsidR="00061043" w:rsidRPr="00061043" w:rsidRDefault="00061043" w:rsidP="005D218C">
            <w:pPr>
              <w:rPr>
                <w:rFonts w:ascii="Times New Roman" w:hAnsi="Times New Roman" w:cs="Times New Roman"/>
                <w:sz w:val="24"/>
                <w:szCs w:val="24"/>
              </w:rPr>
            </w:pPr>
            <w:proofErr w:type="spellStart"/>
            <w:r w:rsidRPr="00061043">
              <w:rPr>
                <w:rFonts w:ascii="Times New Roman" w:hAnsi="Times New Roman" w:cs="Times New Roman"/>
                <w:sz w:val="24"/>
                <w:szCs w:val="24"/>
              </w:rPr>
              <w:t>DigiLocker</w:t>
            </w:r>
            <w:proofErr w:type="spellEnd"/>
          </w:p>
        </w:tc>
        <w:tc>
          <w:tcPr>
            <w:tcW w:w="4803" w:type="dxa"/>
          </w:tcPr>
          <w:p w14:paraId="0A558152" w14:textId="77777777" w:rsidR="00061043" w:rsidRPr="00061043" w:rsidRDefault="00061043" w:rsidP="005D218C">
            <w:pPr>
              <w:rPr>
                <w:rFonts w:ascii="Times New Roman" w:hAnsi="Times New Roman" w:cs="Times New Roman"/>
                <w:sz w:val="24"/>
                <w:szCs w:val="24"/>
              </w:rPr>
            </w:pPr>
            <w:r w:rsidRPr="00061043">
              <w:rPr>
                <w:rFonts w:ascii="Times New Roman" w:hAnsi="Times New Roman" w:cs="Times New Roman"/>
                <w:sz w:val="24"/>
                <w:szCs w:val="24"/>
              </w:rPr>
              <w:t>11+ crore users</w:t>
            </w:r>
          </w:p>
        </w:tc>
      </w:tr>
      <w:tr w:rsidR="00061043" w14:paraId="23958439" w14:textId="77777777" w:rsidTr="00061043">
        <w:trPr>
          <w:trHeight w:val="449"/>
        </w:trPr>
        <w:tc>
          <w:tcPr>
            <w:tcW w:w="4803" w:type="dxa"/>
          </w:tcPr>
          <w:p w14:paraId="264606CC" w14:textId="77777777" w:rsidR="00061043" w:rsidRPr="00061043" w:rsidRDefault="00061043" w:rsidP="005D218C">
            <w:pPr>
              <w:rPr>
                <w:rFonts w:ascii="Times New Roman" w:hAnsi="Times New Roman" w:cs="Times New Roman"/>
                <w:sz w:val="24"/>
                <w:szCs w:val="24"/>
              </w:rPr>
            </w:pPr>
            <w:r w:rsidRPr="00061043">
              <w:rPr>
                <w:rFonts w:ascii="Times New Roman" w:hAnsi="Times New Roman" w:cs="Times New Roman"/>
                <w:sz w:val="24"/>
                <w:szCs w:val="24"/>
              </w:rPr>
              <w:t xml:space="preserve">Common Service </w:t>
            </w:r>
            <w:proofErr w:type="spellStart"/>
            <w:r w:rsidRPr="00061043">
              <w:rPr>
                <w:rFonts w:ascii="Times New Roman" w:hAnsi="Times New Roman" w:cs="Times New Roman"/>
                <w:sz w:val="24"/>
                <w:szCs w:val="24"/>
              </w:rPr>
              <w:t>Centres</w:t>
            </w:r>
            <w:proofErr w:type="spellEnd"/>
            <w:r w:rsidRPr="00061043">
              <w:rPr>
                <w:rFonts w:ascii="Times New Roman" w:hAnsi="Times New Roman" w:cs="Times New Roman"/>
                <w:sz w:val="24"/>
                <w:szCs w:val="24"/>
              </w:rPr>
              <w:t xml:space="preserve"> (CSCs)</w:t>
            </w:r>
          </w:p>
        </w:tc>
        <w:tc>
          <w:tcPr>
            <w:tcW w:w="4803" w:type="dxa"/>
          </w:tcPr>
          <w:p w14:paraId="677F8EC8" w14:textId="77777777" w:rsidR="00061043" w:rsidRPr="00061043" w:rsidRDefault="00061043" w:rsidP="005D218C">
            <w:pPr>
              <w:rPr>
                <w:rFonts w:ascii="Times New Roman" w:hAnsi="Times New Roman" w:cs="Times New Roman"/>
                <w:sz w:val="24"/>
                <w:szCs w:val="24"/>
              </w:rPr>
            </w:pPr>
            <w:r w:rsidRPr="00061043">
              <w:rPr>
                <w:rFonts w:ascii="Times New Roman" w:hAnsi="Times New Roman" w:cs="Times New Roman"/>
                <w:sz w:val="24"/>
                <w:szCs w:val="24"/>
              </w:rPr>
              <w:t xml:space="preserve">5+ lakh </w:t>
            </w:r>
            <w:proofErr w:type="spellStart"/>
            <w:r w:rsidRPr="00061043">
              <w:rPr>
                <w:rFonts w:ascii="Times New Roman" w:hAnsi="Times New Roman" w:cs="Times New Roman"/>
                <w:sz w:val="24"/>
                <w:szCs w:val="24"/>
              </w:rPr>
              <w:t>centres</w:t>
            </w:r>
            <w:proofErr w:type="spellEnd"/>
          </w:p>
        </w:tc>
      </w:tr>
    </w:tbl>
    <w:p w14:paraId="39FE31F5" w14:textId="77777777" w:rsidR="005D218C" w:rsidRPr="005D218C" w:rsidRDefault="007D146E" w:rsidP="005D218C">
      <w:r>
        <w:rPr>
          <w:rStyle w:val="Strong"/>
        </w:rPr>
        <w:t>Source:</w:t>
      </w:r>
      <w:r>
        <w:t xml:space="preserve"> </w:t>
      </w:r>
      <w:r>
        <w:rPr>
          <w:rStyle w:val="whitespace-normal"/>
        </w:rPr>
        <w:t>Ministry of Electronics and Information Technology</w:t>
      </w:r>
    </w:p>
    <w:p w14:paraId="67CF6722" w14:textId="71F4A07E" w:rsidR="005D218C" w:rsidRDefault="003D09C8" w:rsidP="00CF5A61">
      <w:pPr>
        <w:pStyle w:val="NormalWeb"/>
        <w:spacing w:line="360" w:lineRule="auto"/>
        <w:jc w:val="both"/>
      </w:pPr>
      <w:r w:rsidRPr="003D09C8">
        <w:rPr>
          <w:rStyle w:val="Strong"/>
          <w:b w:val="0"/>
        </w:rPr>
        <w:t>Table 4 shows that</w:t>
      </w:r>
      <w:r>
        <w:t xml:space="preserve"> digital platforms have significantly expanded in terms of service delivery and user base. These platforms have improved accessibility to public services and enabled greater citizen participation in governance processes. Common Service </w:t>
      </w:r>
      <w:proofErr w:type="spellStart"/>
      <w:r>
        <w:t>Centres</w:t>
      </w:r>
      <w:proofErr w:type="spellEnd"/>
      <w:r>
        <w:t>, in particular, have played a crucial role in bridging the rural-urban divide. However, disparities in digital literacy and access continue to limit their full potential.</w:t>
      </w:r>
    </w:p>
    <w:p w14:paraId="1AB4691B" w14:textId="77777777" w:rsidR="006E7B0E" w:rsidRDefault="006E7B0E" w:rsidP="00CF5A61">
      <w:pPr>
        <w:pStyle w:val="NormalWeb"/>
        <w:spacing w:line="360" w:lineRule="auto"/>
        <w:jc w:val="both"/>
      </w:pPr>
    </w:p>
    <w:p w14:paraId="1630FDEA" w14:textId="77777777" w:rsidR="00DA50AD" w:rsidRPr="00DA50AD" w:rsidRDefault="00DA50AD" w:rsidP="00DA50AD">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DA50AD">
        <w:rPr>
          <w:rFonts w:ascii="Times New Roman" w:eastAsia="Times New Roman" w:hAnsi="Times New Roman" w:cs="Times New Roman"/>
          <w:b/>
          <w:bCs/>
          <w:kern w:val="36"/>
          <w:sz w:val="24"/>
          <w:szCs w:val="24"/>
        </w:rPr>
        <w:t>4. Findings of the Study</w:t>
      </w:r>
      <w:r>
        <w:rPr>
          <w:rFonts w:ascii="Times New Roman" w:eastAsia="Times New Roman" w:hAnsi="Times New Roman" w:cs="Times New Roman"/>
          <w:b/>
          <w:bCs/>
          <w:kern w:val="36"/>
          <w:sz w:val="24"/>
          <w:szCs w:val="24"/>
        </w:rPr>
        <w:t>:</w:t>
      </w:r>
    </w:p>
    <w:p w14:paraId="7089A9F6" w14:textId="77777777" w:rsidR="00DA50AD" w:rsidRDefault="00DA50AD" w:rsidP="00DA50AD">
      <w:pPr>
        <w:spacing w:before="100" w:beforeAutospacing="1" w:after="100" w:afterAutospacing="1" w:line="360" w:lineRule="auto"/>
        <w:jc w:val="both"/>
        <w:rPr>
          <w:rFonts w:ascii="Times New Roman" w:eastAsia="Times New Roman" w:hAnsi="Times New Roman" w:cs="Times New Roman"/>
          <w:sz w:val="24"/>
          <w:szCs w:val="24"/>
        </w:rPr>
      </w:pPr>
      <w:r w:rsidRPr="00DA50AD">
        <w:rPr>
          <w:rFonts w:ascii="Times New Roman" w:eastAsia="Times New Roman" w:hAnsi="Times New Roman" w:cs="Times New Roman"/>
          <w:sz w:val="24"/>
          <w:szCs w:val="24"/>
        </w:rPr>
        <w:lastRenderedPageBreak/>
        <w:t xml:space="preserve">The analysis of secondary data reveals that e-governance has played a significant role in promoting inclusive growth in India. The study finds that the expansion of digital infrastructure under initiatives such as the Digital India </w:t>
      </w:r>
      <w:proofErr w:type="spellStart"/>
      <w:r w:rsidRPr="00DA50AD">
        <w:rPr>
          <w:rFonts w:ascii="Times New Roman" w:eastAsia="Times New Roman" w:hAnsi="Times New Roman" w:cs="Times New Roman"/>
          <w:sz w:val="24"/>
          <w:szCs w:val="24"/>
        </w:rPr>
        <w:t>Programme</w:t>
      </w:r>
      <w:proofErr w:type="spellEnd"/>
      <w:r w:rsidRPr="00DA50AD">
        <w:rPr>
          <w:rFonts w:ascii="Times New Roman" w:eastAsia="Times New Roman" w:hAnsi="Times New Roman" w:cs="Times New Roman"/>
          <w:sz w:val="24"/>
          <w:szCs w:val="24"/>
        </w:rPr>
        <w:t xml:space="preserve"> has substantially increased internet penetration, thereby enhancing access to digital governance services. Furthermore, the rapid growth of digital payment systems, particularly the </w:t>
      </w:r>
      <w:bookmarkStart w:id="0" w:name="_GoBack"/>
      <w:r w:rsidRPr="00DA50AD">
        <w:rPr>
          <w:rFonts w:ascii="Times New Roman" w:eastAsia="Times New Roman" w:hAnsi="Times New Roman" w:cs="Times New Roman"/>
          <w:sz w:val="24"/>
          <w:szCs w:val="24"/>
        </w:rPr>
        <w:t xml:space="preserve">Unified Payments Interface </w:t>
      </w:r>
      <w:bookmarkEnd w:id="0"/>
      <w:r w:rsidRPr="00DA50AD">
        <w:rPr>
          <w:rFonts w:ascii="Times New Roman" w:eastAsia="Times New Roman" w:hAnsi="Times New Roman" w:cs="Times New Roman"/>
          <w:sz w:val="24"/>
          <w:szCs w:val="24"/>
        </w:rPr>
        <w:t>(UPI), has strengthened financial inclusion by integrating a large section of the population into the formal financial system. The implementation of the Direct Benefit Transfer (DBT) mechanism has also improved transparency and efficiency in welfare delivery by reducing leakages and minimizing corruption. In addition, digital platforms have contributed to strengthening citizen participation and engagement in governance processes. However, the study also highlights several persistent challenges, including the digital divide, disparities in digital literacy, and unequal access to technological resources, which continue to limit the inclusiveness of e-governance initiatives. Moreover, emerging concerns related to data privacy, cyber</w:t>
      </w:r>
      <w:r>
        <w:rPr>
          <w:rFonts w:ascii="Times New Roman" w:eastAsia="Times New Roman" w:hAnsi="Times New Roman" w:cs="Times New Roman"/>
          <w:sz w:val="24"/>
          <w:szCs w:val="24"/>
        </w:rPr>
        <w:t xml:space="preserve"> </w:t>
      </w:r>
      <w:r w:rsidRPr="00DA50AD">
        <w:rPr>
          <w:rFonts w:ascii="Times New Roman" w:eastAsia="Times New Roman" w:hAnsi="Times New Roman" w:cs="Times New Roman"/>
          <w:sz w:val="24"/>
          <w:szCs w:val="24"/>
        </w:rPr>
        <w:t>security, and state surveillance raise critical questions about democratic accountability in the digital era. Overall, the findings suggest that while e-governance has significantly contributed to inclusive growth, its benefits remain unevenly distributed, necessitating a more balanced and inclusive policy approach.</w:t>
      </w:r>
    </w:p>
    <w:p w14:paraId="6C4A25CB" w14:textId="77777777" w:rsidR="005A142C" w:rsidRPr="005A142C" w:rsidRDefault="005A142C" w:rsidP="005A142C">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5A142C">
        <w:rPr>
          <w:rFonts w:ascii="Times New Roman" w:eastAsia="Times New Roman" w:hAnsi="Times New Roman" w:cs="Times New Roman"/>
          <w:b/>
          <w:bCs/>
          <w:kern w:val="36"/>
          <w:sz w:val="24"/>
          <w:szCs w:val="24"/>
        </w:rPr>
        <w:t>5. Conclusion</w:t>
      </w:r>
      <w:r>
        <w:rPr>
          <w:rFonts w:ascii="Times New Roman" w:eastAsia="Times New Roman" w:hAnsi="Times New Roman" w:cs="Times New Roman"/>
          <w:b/>
          <w:bCs/>
          <w:kern w:val="36"/>
          <w:sz w:val="24"/>
          <w:szCs w:val="24"/>
        </w:rPr>
        <w:t>:</w:t>
      </w:r>
    </w:p>
    <w:p w14:paraId="7398DE72" w14:textId="77777777" w:rsidR="005A142C" w:rsidRPr="005A142C" w:rsidRDefault="005A142C" w:rsidP="005A142C">
      <w:pPr>
        <w:spacing w:before="100" w:beforeAutospacing="1" w:after="100" w:afterAutospacing="1" w:line="360" w:lineRule="auto"/>
        <w:jc w:val="both"/>
        <w:rPr>
          <w:rFonts w:ascii="Times New Roman" w:eastAsia="Times New Roman" w:hAnsi="Times New Roman" w:cs="Times New Roman"/>
          <w:sz w:val="24"/>
          <w:szCs w:val="24"/>
        </w:rPr>
      </w:pPr>
      <w:r w:rsidRPr="005A142C">
        <w:rPr>
          <w:rFonts w:ascii="Times New Roman" w:eastAsia="Times New Roman" w:hAnsi="Times New Roman" w:cs="Times New Roman"/>
          <w:sz w:val="24"/>
          <w:szCs w:val="24"/>
        </w:rPr>
        <w:t xml:space="preserve">The present study concludes that e-governance has emerged as a transformative force in reshaping governance and development processes in India. The integration of digital technologies into public administration, particularly through initiatives such as the Digital India </w:t>
      </w:r>
      <w:proofErr w:type="spellStart"/>
      <w:r w:rsidRPr="005A142C">
        <w:rPr>
          <w:rFonts w:ascii="Times New Roman" w:eastAsia="Times New Roman" w:hAnsi="Times New Roman" w:cs="Times New Roman"/>
          <w:sz w:val="24"/>
          <w:szCs w:val="24"/>
        </w:rPr>
        <w:t>Programme</w:t>
      </w:r>
      <w:proofErr w:type="spellEnd"/>
      <w:r w:rsidRPr="005A142C">
        <w:rPr>
          <w:rFonts w:ascii="Times New Roman" w:eastAsia="Times New Roman" w:hAnsi="Times New Roman" w:cs="Times New Roman"/>
          <w:sz w:val="24"/>
          <w:szCs w:val="24"/>
        </w:rPr>
        <w:t>, Unified Payments Interface, and Direct Benefit Transfer, has significantly enhanced the efficiency, transparency, and accessibility of governance. These initiatives have played a crucial role in promoting financial inclusion, improving welfare delivery, and strengthening citizen participation, thereby contributing to the broader objective of inclusive growth.</w:t>
      </w:r>
      <w:r w:rsidR="00AD2162">
        <w:rPr>
          <w:rFonts w:ascii="Times New Roman" w:eastAsia="Times New Roman" w:hAnsi="Times New Roman" w:cs="Times New Roman"/>
          <w:sz w:val="24"/>
          <w:szCs w:val="24"/>
        </w:rPr>
        <w:t xml:space="preserve"> </w:t>
      </w:r>
      <w:r w:rsidRPr="005A142C">
        <w:rPr>
          <w:rFonts w:ascii="Times New Roman" w:eastAsia="Times New Roman" w:hAnsi="Times New Roman" w:cs="Times New Roman"/>
          <w:sz w:val="24"/>
          <w:szCs w:val="24"/>
        </w:rPr>
        <w:t>However, the study also highlights that the benefits of digital transformation are not uniformly distributed across all sections of society. Persistent challenges such as the digital divide, lack of digital literacy, infrastructural disparities, and concerns related to data privacy and cyber</w:t>
      </w:r>
      <w:r w:rsidR="00AD2162">
        <w:rPr>
          <w:rFonts w:ascii="Times New Roman" w:eastAsia="Times New Roman" w:hAnsi="Times New Roman" w:cs="Times New Roman"/>
          <w:sz w:val="24"/>
          <w:szCs w:val="24"/>
        </w:rPr>
        <w:t xml:space="preserve"> </w:t>
      </w:r>
      <w:r w:rsidRPr="005A142C">
        <w:rPr>
          <w:rFonts w:ascii="Times New Roman" w:eastAsia="Times New Roman" w:hAnsi="Times New Roman" w:cs="Times New Roman"/>
          <w:sz w:val="24"/>
          <w:szCs w:val="24"/>
        </w:rPr>
        <w:t>security continue to limit the full potential of e-governance. From a political perspective, these issues raise important questions regarding equity, democratic accountability, and the balance between technological advancement and civil liberties.</w:t>
      </w:r>
    </w:p>
    <w:p w14:paraId="4A9AA570" w14:textId="77777777" w:rsidR="005A142C" w:rsidRPr="005A142C" w:rsidRDefault="005A142C" w:rsidP="005A142C">
      <w:pPr>
        <w:spacing w:before="100" w:beforeAutospacing="1" w:after="100" w:afterAutospacing="1" w:line="360" w:lineRule="auto"/>
        <w:jc w:val="both"/>
        <w:rPr>
          <w:rFonts w:ascii="Times New Roman" w:eastAsia="Times New Roman" w:hAnsi="Times New Roman" w:cs="Times New Roman"/>
          <w:sz w:val="24"/>
          <w:szCs w:val="24"/>
        </w:rPr>
      </w:pPr>
      <w:r w:rsidRPr="005A142C">
        <w:rPr>
          <w:rFonts w:ascii="Times New Roman" w:eastAsia="Times New Roman" w:hAnsi="Times New Roman" w:cs="Times New Roman"/>
          <w:sz w:val="24"/>
          <w:szCs w:val="24"/>
        </w:rPr>
        <w:lastRenderedPageBreak/>
        <w:t>In this context, the study emphasizes the need for a more inclusive and rights-based approach to digital governance. Policymakers must focus on bridging the digital divide, enhancing digital literacy, strengthening data protection frameworks, and ensuring equitable access to digital resources. Such measures are essential to ensure that e-governance not only enhances administrative efficiency but also promotes social justice and democratic deepening.</w:t>
      </w:r>
    </w:p>
    <w:p w14:paraId="29C9946D" w14:textId="77777777" w:rsidR="005A142C" w:rsidRDefault="005A142C" w:rsidP="005A142C">
      <w:pPr>
        <w:spacing w:before="100" w:beforeAutospacing="1" w:after="100" w:afterAutospacing="1" w:line="360" w:lineRule="auto"/>
        <w:jc w:val="both"/>
        <w:rPr>
          <w:rFonts w:ascii="Times New Roman" w:eastAsia="Times New Roman" w:hAnsi="Times New Roman" w:cs="Times New Roman"/>
          <w:sz w:val="24"/>
          <w:szCs w:val="24"/>
        </w:rPr>
      </w:pPr>
      <w:r w:rsidRPr="005A142C">
        <w:rPr>
          <w:rFonts w:ascii="Times New Roman" w:eastAsia="Times New Roman" w:hAnsi="Times New Roman" w:cs="Times New Roman"/>
          <w:sz w:val="24"/>
          <w:szCs w:val="24"/>
        </w:rPr>
        <w:t>In conclusion, while India’s digital transformation represents a significant step towards modern governance and inclusive development, its long-term success depends on the effective integration of technological innovation with inclusive policies and democratic values. Only through a balanced and holistic approach can e-governance truly realize its potential as an instrument of sustainable and equitable growth.</w:t>
      </w:r>
    </w:p>
    <w:p w14:paraId="354FF22A" w14:textId="77777777" w:rsidR="008D5590" w:rsidRPr="008D5590" w:rsidRDefault="008D5590" w:rsidP="008D5590">
      <w:pPr>
        <w:spacing w:before="100" w:beforeAutospacing="1" w:after="100" w:afterAutospacing="1" w:line="240" w:lineRule="auto"/>
        <w:outlineLvl w:val="0"/>
        <w:rPr>
          <w:rFonts w:ascii="Times New Roman" w:eastAsia="Times New Roman" w:hAnsi="Times New Roman" w:cs="Times New Roman"/>
          <w:b/>
          <w:bCs/>
          <w:kern w:val="36"/>
          <w:sz w:val="24"/>
          <w:szCs w:val="24"/>
        </w:rPr>
      </w:pPr>
      <w:r w:rsidRPr="008D5590">
        <w:rPr>
          <w:rFonts w:ascii="Times New Roman" w:eastAsia="Times New Roman" w:hAnsi="Times New Roman" w:cs="Times New Roman"/>
          <w:b/>
          <w:bCs/>
          <w:kern w:val="36"/>
          <w:sz w:val="24"/>
          <w:szCs w:val="24"/>
        </w:rPr>
        <w:t>6. Policy Recommendations</w:t>
      </w:r>
      <w:r>
        <w:rPr>
          <w:rFonts w:ascii="Times New Roman" w:eastAsia="Times New Roman" w:hAnsi="Times New Roman" w:cs="Times New Roman"/>
          <w:b/>
          <w:bCs/>
          <w:kern w:val="36"/>
          <w:sz w:val="24"/>
          <w:szCs w:val="24"/>
        </w:rPr>
        <w:t>:</w:t>
      </w:r>
    </w:p>
    <w:p w14:paraId="570A038F" w14:textId="77777777" w:rsidR="008D5590" w:rsidRDefault="008D5590" w:rsidP="008D5590">
      <w:pPr>
        <w:spacing w:before="100" w:beforeAutospacing="1" w:after="100" w:afterAutospacing="1" w:line="360" w:lineRule="auto"/>
        <w:jc w:val="both"/>
        <w:rPr>
          <w:rFonts w:ascii="Times New Roman" w:eastAsia="Times New Roman" w:hAnsi="Times New Roman" w:cs="Times New Roman"/>
          <w:sz w:val="24"/>
          <w:szCs w:val="24"/>
        </w:rPr>
      </w:pPr>
      <w:r w:rsidRPr="008D5590">
        <w:rPr>
          <w:rFonts w:ascii="Times New Roman" w:eastAsia="Times New Roman" w:hAnsi="Times New Roman" w:cs="Times New Roman"/>
          <w:sz w:val="24"/>
          <w:szCs w:val="24"/>
        </w:rPr>
        <w:t>In light of the findings, the study suggests that a comprehensive and inclusive policy framework is essential to maximize the potential of e-governance in promoting equitable development in India. First, there is an urgent need to bridge the digital divide by expanding digital infrastructure, particularly in rural and remote areas, and ensuring affordable internet access for all sections of society. Second, the government should prioritize digital literacy initiatives to enhance citizens’ ability to effectively utilize e-governance services. Third, strengthening data protection and cyber</w:t>
      </w:r>
      <w:r w:rsidR="00D12495">
        <w:rPr>
          <w:rFonts w:ascii="Times New Roman" w:eastAsia="Times New Roman" w:hAnsi="Times New Roman" w:cs="Times New Roman"/>
          <w:sz w:val="24"/>
          <w:szCs w:val="24"/>
        </w:rPr>
        <w:t xml:space="preserve"> </w:t>
      </w:r>
      <w:r w:rsidRPr="008D5590">
        <w:rPr>
          <w:rFonts w:ascii="Times New Roman" w:eastAsia="Times New Roman" w:hAnsi="Times New Roman" w:cs="Times New Roman"/>
          <w:sz w:val="24"/>
          <w:szCs w:val="24"/>
        </w:rPr>
        <w:t xml:space="preserve">security frameworks is crucial to address concerns related to privacy and surveillance and to build public trust in digital systems. In this regard, robust regulatory mechanisms and transparent governance practices must be ensured. Fourth, efforts should be made to design user-friendly and accessible digital platforms that cater to marginalized and technologically disadvantaged groups, thereby enhancing inclusiveness. Additionally, promoting decentralization and strengthening local governance institutions can ensure more participatory and accountable digital governance. Finally, continuous monitoring and evaluation of key initiatives such as the Digital India </w:t>
      </w:r>
      <w:proofErr w:type="spellStart"/>
      <w:r w:rsidRPr="008D5590">
        <w:rPr>
          <w:rFonts w:ascii="Times New Roman" w:eastAsia="Times New Roman" w:hAnsi="Times New Roman" w:cs="Times New Roman"/>
          <w:sz w:val="24"/>
          <w:szCs w:val="24"/>
        </w:rPr>
        <w:t>Programme</w:t>
      </w:r>
      <w:proofErr w:type="spellEnd"/>
      <w:r w:rsidRPr="008D5590">
        <w:rPr>
          <w:rFonts w:ascii="Times New Roman" w:eastAsia="Times New Roman" w:hAnsi="Times New Roman" w:cs="Times New Roman"/>
          <w:sz w:val="24"/>
          <w:szCs w:val="24"/>
        </w:rPr>
        <w:t>, Unified Payments Interface, and Direct Benefit Transfer are necessary to assess their impact and ensure their alignment with the broader goals of sustainable and inclusive growth.</w:t>
      </w:r>
    </w:p>
    <w:p w14:paraId="61E33D2F" w14:textId="77777777" w:rsidR="004D4FD8" w:rsidRDefault="004D4FD8" w:rsidP="008D5590">
      <w:pPr>
        <w:spacing w:before="100" w:beforeAutospacing="1" w:after="100" w:afterAutospacing="1" w:line="360" w:lineRule="auto"/>
        <w:jc w:val="both"/>
        <w:rPr>
          <w:rFonts w:ascii="Times New Roman" w:eastAsia="Times New Roman" w:hAnsi="Times New Roman" w:cs="Times New Roman"/>
          <w:sz w:val="24"/>
          <w:szCs w:val="24"/>
        </w:rPr>
      </w:pPr>
    </w:p>
    <w:p w14:paraId="537A2E27" w14:textId="77777777" w:rsidR="004D4FD8" w:rsidRPr="004D4FD8" w:rsidRDefault="004D4FD8" w:rsidP="004D4FD8">
      <w:pPr>
        <w:spacing w:before="100" w:beforeAutospacing="1" w:after="100" w:afterAutospacing="1" w:line="360" w:lineRule="auto"/>
        <w:jc w:val="both"/>
        <w:rPr>
          <w:rFonts w:ascii="Times New Roman" w:eastAsia="Times New Roman" w:hAnsi="Times New Roman" w:cs="Times New Roman"/>
          <w:sz w:val="24"/>
          <w:szCs w:val="24"/>
        </w:rPr>
      </w:pPr>
      <w:r w:rsidRPr="004D4FD8">
        <w:rPr>
          <w:rFonts w:ascii="Times New Roman" w:eastAsia="Times New Roman" w:hAnsi="Times New Roman" w:cs="Times New Roman"/>
          <w:sz w:val="24"/>
          <w:szCs w:val="24"/>
        </w:rPr>
        <w:lastRenderedPageBreak/>
        <w:t>COMPETING INTERESTS DISCLAIMER:</w:t>
      </w:r>
    </w:p>
    <w:p w14:paraId="08E92DD8" w14:textId="11497BF1" w:rsidR="004D4FD8" w:rsidRDefault="004D4FD8" w:rsidP="004D4FD8">
      <w:pPr>
        <w:spacing w:before="100" w:beforeAutospacing="1" w:after="100" w:afterAutospacing="1" w:line="360" w:lineRule="auto"/>
        <w:jc w:val="both"/>
        <w:rPr>
          <w:rFonts w:ascii="Times New Roman" w:eastAsia="Times New Roman" w:hAnsi="Times New Roman" w:cs="Times New Roman"/>
          <w:sz w:val="24"/>
          <w:szCs w:val="24"/>
        </w:rPr>
      </w:pPr>
      <w:r w:rsidRPr="004D4FD8">
        <w:rPr>
          <w:rFonts w:ascii="Times New Roman" w:eastAsia="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363757AC" w14:textId="77777777" w:rsidR="001F31E0" w:rsidRDefault="001F31E0" w:rsidP="008D5590">
      <w:pPr>
        <w:spacing w:before="100" w:beforeAutospacing="1" w:after="100" w:afterAutospacing="1" w:line="360" w:lineRule="auto"/>
        <w:jc w:val="both"/>
        <w:rPr>
          <w:rFonts w:ascii="Times New Roman" w:eastAsia="Times New Roman" w:hAnsi="Times New Roman" w:cs="Times New Roman"/>
          <w:sz w:val="24"/>
          <w:szCs w:val="24"/>
        </w:rPr>
      </w:pPr>
    </w:p>
    <w:p w14:paraId="042B2958" w14:textId="77777777" w:rsidR="0005610F" w:rsidRPr="0005610F" w:rsidRDefault="0005610F" w:rsidP="008D5590">
      <w:pPr>
        <w:spacing w:before="100" w:beforeAutospacing="1" w:after="100" w:afterAutospacing="1" w:line="360" w:lineRule="auto"/>
        <w:jc w:val="both"/>
        <w:rPr>
          <w:rFonts w:ascii="Times New Roman" w:eastAsia="Times New Roman" w:hAnsi="Times New Roman" w:cs="Times New Roman"/>
          <w:b/>
          <w:sz w:val="24"/>
          <w:szCs w:val="24"/>
        </w:rPr>
      </w:pPr>
      <w:r w:rsidRPr="0005610F">
        <w:rPr>
          <w:rFonts w:ascii="Times New Roman" w:eastAsia="Times New Roman" w:hAnsi="Times New Roman" w:cs="Times New Roman"/>
          <w:b/>
          <w:sz w:val="24"/>
          <w:szCs w:val="24"/>
        </w:rPr>
        <w:t>References:</w:t>
      </w:r>
    </w:p>
    <w:p w14:paraId="06DDCFDE" w14:textId="77777777" w:rsidR="0005610F" w:rsidRDefault="0005610F" w:rsidP="00735F8F">
      <w:pPr>
        <w:pStyle w:val="NormalWeb"/>
        <w:numPr>
          <w:ilvl w:val="0"/>
          <w:numId w:val="2"/>
        </w:numPr>
      </w:pPr>
      <w:r>
        <w:t xml:space="preserve">Gupta, K. P., Singh, S., &amp; Bhaskar, P. (2020). Citizen adoption of e-government: A literature review and conceptual framework. </w:t>
      </w:r>
      <w:r>
        <w:rPr>
          <w:rStyle w:val="Emphasis"/>
        </w:rPr>
        <w:t>Electronic Government, an International Journal, 16</w:t>
      </w:r>
      <w:r>
        <w:t>(1), 1–24.</w:t>
      </w:r>
    </w:p>
    <w:p w14:paraId="067C2249" w14:textId="77777777" w:rsidR="0005610F" w:rsidRDefault="0005610F" w:rsidP="00735F8F">
      <w:pPr>
        <w:pStyle w:val="NormalWeb"/>
        <w:numPr>
          <w:ilvl w:val="0"/>
          <w:numId w:val="2"/>
        </w:numPr>
      </w:pPr>
      <w:r>
        <w:t xml:space="preserve">Kumar, R., &amp; Best, M. L. (2021). Impact of e-governance on public service delivery in India. </w:t>
      </w:r>
      <w:r>
        <w:rPr>
          <w:rStyle w:val="Emphasis"/>
        </w:rPr>
        <w:t>Government Information Quarterly, 38</w:t>
      </w:r>
      <w:r>
        <w:t>(4), 101–112.</w:t>
      </w:r>
    </w:p>
    <w:p w14:paraId="633C0B8E" w14:textId="77777777" w:rsidR="0005610F" w:rsidRDefault="0005610F" w:rsidP="00735F8F">
      <w:pPr>
        <w:pStyle w:val="NormalWeb"/>
        <w:numPr>
          <w:ilvl w:val="0"/>
          <w:numId w:val="2"/>
        </w:numPr>
      </w:pPr>
      <w:r>
        <w:t xml:space="preserve">Bhatnagar, S. (2019). E-government and corruption reduction: Empirical evidence from India. </w:t>
      </w:r>
      <w:r>
        <w:rPr>
          <w:rStyle w:val="Emphasis"/>
        </w:rPr>
        <w:t>World Development, 108</w:t>
      </w:r>
      <w:r>
        <w:t>, 100–115.</w:t>
      </w:r>
    </w:p>
    <w:p w14:paraId="119439E7" w14:textId="77777777" w:rsidR="0005610F" w:rsidRDefault="0005610F" w:rsidP="00735F8F">
      <w:pPr>
        <w:pStyle w:val="NormalWeb"/>
        <w:numPr>
          <w:ilvl w:val="0"/>
          <w:numId w:val="2"/>
        </w:numPr>
      </w:pPr>
      <w:r>
        <w:t xml:space="preserve">Misra, D. C. (2020). Digital governance in India: Issues and challenges. </w:t>
      </w:r>
      <w:r>
        <w:rPr>
          <w:rStyle w:val="Emphasis"/>
        </w:rPr>
        <w:t>International Journal of Public Administration, 43</w:t>
      </w:r>
      <w:r>
        <w:t>(4), 295–306.</w:t>
      </w:r>
    </w:p>
    <w:p w14:paraId="7E7E1B4C" w14:textId="77777777" w:rsidR="0005610F" w:rsidRDefault="0005610F" w:rsidP="00735F8F">
      <w:pPr>
        <w:pStyle w:val="NormalWeb"/>
        <w:numPr>
          <w:ilvl w:val="0"/>
          <w:numId w:val="2"/>
        </w:numPr>
      </w:pPr>
      <w:r>
        <w:t xml:space="preserve">Saxena, K. B. C. (2018). Improving public service delivery through e-governance: Challenges and opportunities. </w:t>
      </w:r>
      <w:r>
        <w:rPr>
          <w:rStyle w:val="Emphasis"/>
        </w:rPr>
        <w:t>Indian Journal of Public Administration, 64</w:t>
      </w:r>
      <w:r>
        <w:t>(2), 223–236.</w:t>
      </w:r>
    </w:p>
    <w:p w14:paraId="46EA1E48" w14:textId="77777777" w:rsidR="0005610F" w:rsidRDefault="0005610F" w:rsidP="00735F8F">
      <w:pPr>
        <w:pStyle w:val="NormalWeb"/>
        <w:numPr>
          <w:ilvl w:val="0"/>
          <w:numId w:val="2"/>
        </w:numPr>
      </w:pPr>
      <w:r w:rsidRPr="00DA1834">
        <w:rPr>
          <w:lang w:val="es-US"/>
        </w:rPr>
        <w:t xml:space="preserve">Sharma, S. K., &amp; Gupta, J. N. D. (2022). </w:t>
      </w:r>
      <w:r>
        <w:t xml:space="preserve">E-government implementation and citizen trust: Evidence from developing countries. </w:t>
      </w:r>
      <w:r>
        <w:rPr>
          <w:rStyle w:val="Emphasis"/>
        </w:rPr>
        <w:t>Information Technology for Development, 28</w:t>
      </w:r>
      <w:r>
        <w:t>(2), 345–362.</w:t>
      </w:r>
    </w:p>
    <w:p w14:paraId="1E988ABF" w14:textId="77777777" w:rsidR="0005610F" w:rsidRDefault="0005610F" w:rsidP="00735F8F">
      <w:pPr>
        <w:pStyle w:val="NormalWeb"/>
        <w:numPr>
          <w:ilvl w:val="0"/>
          <w:numId w:val="2"/>
        </w:numPr>
      </w:pPr>
      <w:r>
        <w:t xml:space="preserve">Kumar, V., Mukerji, B., Butt, I., &amp; Persaud, A. (2021). Factors influencing e-government adoption in India: A citizen-centric approach. </w:t>
      </w:r>
      <w:r>
        <w:rPr>
          <w:rStyle w:val="Emphasis"/>
        </w:rPr>
        <w:t>Electronic Commerce Research, 21</w:t>
      </w:r>
      <w:r>
        <w:t>(3), 689–715.</w:t>
      </w:r>
    </w:p>
    <w:p w14:paraId="5D0F8C04" w14:textId="77777777" w:rsidR="00735F8F" w:rsidRDefault="00735F8F" w:rsidP="00735F8F">
      <w:pPr>
        <w:pStyle w:val="NormalWeb"/>
        <w:numPr>
          <w:ilvl w:val="0"/>
          <w:numId w:val="2"/>
        </w:numPr>
      </w:pPr>
      <w:r>
        <w:t xml:space="preserve">Government of India. (2023). </w:t>
      </w:r>
      <w:r>
        <w:rPr>
          <w:rStyle w:val="Emphasis"/>
        </w:rPr>
        <w:t xml:space="preserve">Digital India </w:t>
      </w:r>
      <w:proofErr w:type="spellStart"/>
      <w:r>
        <w:rPr>
          <w:rStyle w:val="Emphasis"/>
        </w:rPr>
        <w:t>programme</w:t>
      </w:r>
      <w:proofErr w:type="spellEnd"/>
      <w:r>
        <w:rPr>
          <w:rStyle w:val="Emphasis"/>
        </w:rPr>
        <w:t>: Transforming India into a digitally empowered society</w:t>
      </w:r>
      <w:r>
        <w:t xml:space="preserve">. </w:t>
      </w:r>
      <w:r>
        <w:rPr>
          <w:rStyle w:val="whitespace-normal"/>
        </w:rPr>
        <w:t>Ministry of Electronics and Information Technology</w:t>
      </w:r>
      <w:r>
        <w:t>.</w:t>
      </w:r>
    </w:p>
    <w:p w14:paraId="387B4BFF" w14:textId="77777777" w:rsidR="00735F8F" w:rsidRDefault="00735F8F" w:rsidP="00735F8F">
      <w:pPr>
        <w:pStyle w:val="NormalWeb"/>
        <w:numPr>
          <w:ilvl w:val="0"/>
          <w:numId w:val="2"/>
        </w:numPr>
      </w:pPr>
      <w:r>
        <w:t xml:space="preserve">Government of India. (2023). </w:t>
      </w:r>
      <w:r>
        <w:rPr>
          <w:rStyle w:val="Emphasis"/>
        </w:rPr>
        <w:t>Direct Benefit Transfer (DBT) mission report</w:t>
      </w:r>
      <w:r>
        <w:t xml:space="preserve">. </w:t>
      </w:r>
      <w:r>
        <w:rPr>
          <w:rStyle w:val="whitespace-normal"/>
        </w:rPr>
        <w:t>DBT Mission Government of India</w:t>
      </w:r>
      <w:r>
        <w:t>.</w:t>
      </w:r>
    </w:p>
    <w:p w14:paraId="6D1F479B" w14:textId="77777777" w:rsidR="00735F8F" w:rsidRDefault="00735F8F" w:rsidP="00735F8F">
      <w:pPr>
        <w:pStyle w:val="NormalWeb"/>
        <w:numPr>
          <w:ilvl w:val="0"/>
          <w:numId w:val="2"/>
        </w:numPr>
      </w:pPr>
      <w:r>
        <w:rPr>
          <w:rStyle w:val="whitespace-normal"/>
        </w:rPr>
        <w:t>National Payments Corporation of India</w:t>
      </w:r>
      <w:r>
        <w:t xml:space="preserve">. (2023). </w:t>
      </w:r>
      <w:r>
        <w:rPr>
          <w:rStyle w:val="Emphasis"/>
        </w:rPr>
        <w:t>UPI product statistics</w:t>
      </w:r>
      <w:r>
        <w:t>.</w:t>
      </w:r>
    </w:p>
    <w:p w14:paraId="640AFA92" w14:textId="77777777" w:rsidR="00735F8F" w:rsidRDefault="00735F8F" w:rsidP="00735F8F">
      <w:pPr>
        <w:pStyle w:val="NormalWeb"/>
        <w:numPr>
          <w:ilvl w:val="0"/>
          <w:numId w:val="2"/>
        </w:numPr>
      </w:pPr>
      <w:r>
        <w:rPr>
          <w:rStyle w:val="whitespace-normal"/>
        </w:rPr>
        <w:t>Reserve Bank of India</w:t>
      </w:r>
      <w:r>
        <w:t xml:space="preserve">. (2023). </w:t>
      </w:r>
      <w:r>
        <w:rPr>
          <w:rStyle w:val="Emphasis"/>
        </w:rPr>
        <w:t>Annual report 2022–23</w:t>
      </w:r>
      <w:r>
        <w:t>.</w:t>
      </w:r>
    </w:p>
    <w:p w14:paraId="143B9739" w14:textId="77777777" w:rsidR="00735F8F" w:rsidRDefault="00735F8F" w:rsidP="00735F8F">
      <w:pPr>
        <w:pStyle w:val="NormalWeb"/>
        <w:numPr>
          <w:ilvl w:val="0"/>
          <w:numId w:val="2"/>
        </w:numPr>
      </w:pPr>
      <w:r>
        <w:rPr>
          <w:rStyle w:val="whitespace-normal"/>
        </w:rPr>
        <w:t>NITI Aayog</w:t>
      </w:r>
      <w:r>
        <w:t xml:space="preserve">. (2022). </w:t>
      </w:r>
      <w:r>
        <w:rPr>
          <w:rStyle w:val="Emphasis"/>
        </w:rPr>
        <w:t>India digital ecosystem report</w:t>
      </w:r>
      <w:r>
        <w:t>.</w:t>
      </w:r>
    </w:p>
    <w:p w14:paraId="4D251390" w14:textId="77777777" w:rsidR="00735F8F" w:rsidRDefault="00735F8F" w:rsidP="00735F8F">
      <w:pPr>
        <w:pStyle w:val="NormalWeb"/>
        <w:numPr>
          <w:ilvl w:val="0"/>
          <w:numId w:val="2"/>
        </w:numPr>
      </w:pPr>
      <w:r>
        <w:rPr>
          <w:rStyle w:val="whitespace-normal"/>
        </w:rPr>
        <w:t>Telecom Regulatory Authority of India</w:t>
      </w:r>
      <w:r>
        <w:t xml:space="preserve">. (2023). </w:t>
      </w:r>
      <w:r>
        <w:rPr>
          <w:rStyle w:val="Emphasis"/>
        </w:rPr>
        <w:t>The Indian telecom services performance indicators</w:t>
      </w:r>
      <w:r>
        <w:t>.</w:t>
      </w:r>
    </w:p>
    <w:p w14:paraId="226C5B73" w14:textId="77777777" w:rsidR="00735F8F" w:rsidRDefault="00735F8F" w:rsidP="00735F8F">
      <w:pPr>
        <w:pStyle w:val="NormalWeb"/>
        <w:numPr>
          <w:ilvl w:val="0"/>
          <w:numId w:val="2"/>
        </w:numPr>
      </w:pPr>
      <w:r>
        <w:rPr>
          <w:rStyle w:val="whitespace-normal"/>
        </w:rPr>
        <w:t>International Telecommunication Union</w:t>
      </w:r>
      <w:r>
        <w:t xml:space="preserve">. (2022). </w:t>
      </w:r>
      <w:r>
        <w:rPr>
          <w:rStyle w:val="Emphasis"/>
        </w:rPr>
        <w:t>Measuring digital development: Facts and figures</w:t>
      </w:r>
      <w:r>
        <w:t>.</w:t>
      </w:r>
    </w:p>
    <w:p w14:paraId="31FCFFFA" w14:textId="77777777" w:rsidR="00735F8F" w:rsidRDefault="00735F8F" w:rsidP="00735F8F">
      <w:pPr>
        <w:pStyle w:val="NormalWeb"/>
        <w:numPr>
          <w:ilvl w:val="0"/>
          <w:numId w:val="2"/>
        </w:numPr>
      </w:pPr>
      <w:r>
        <w:rPr>
          <w:rStyle w:val="whitespace-normal"/>
        </w:rPr>
        <w:t>World Bank</w:t>
      </w:r>
      <w:r>
        <w:t xml:space="preserve">. (2021). </w:t>
      </w:r>
      <w:r>
        <w:rPr>
          <w:rStyle w:val="Emphasis"/>
        </w:rPr>
        <w:t>World development report: Data for better lives</w:t>
      </w:r>
      <w:r>
        <w:t>.</w:t>
      </w:r>
    </w:p>
    <w:p w14:paraId="51F4F24F" w14:textId="77777777" w:rsidR="00735F8F" w:rsidRDefault="00735F8F" w:rsidP="00735F8F">
      <w:pPr>
        <w:pStyle w:val="NormalWeb"/>
        <w:numPr>
          <w:ilvl w:val="0"/>
          <w:numId w:val="2"/>
        </w:numPr>
      </w:pPr>
      <w:r>
        <w:rPr>
          <w:rStyle w:val="whitespace-normal"/>
        </w:rPr>
        <w:t xml:space="preserve">United Nations Development </w:t>
      </w:r>
      <w:proofErr w:type="spellStart"/>
      <w:r>
        <w:rPr>
          <w:rStyle w:val="whitespace-normal"/>
        </w:rPr>
        <w:t>Programme</w:t>
      </w:r>
      <w:proofErr w:type="spellEnd"/>
      <w:r>
        <w:t xml:space="preserve">. (2022). </w:t>
      </w:r>
      <w:r>
        <w:rPr>
          <w:rStyle w:val="Emphasis"/>
        </w:rPr>
        <w:t>Human development report</w:t>
      </w:r>
      <w:r>
        <w:t>.</w:t>
      </w:r>
    </w:p>
    <w:p w14:paraId="3D00AE65" w14:textId="77777777" w:rsidR="00735F8F" w:rsidRDefault="00735F8F" w:rsidP="00735F8F">
      <w:pPr>
        <w:pStyle w:val="NormalWeb"/>
        <w:numPr>
          <w:ilvl w:val="0"/>
          <w:numId w:val="2"/>
        </w:numPr>
      </w:pPr>
      <w:r>
        <w:t xml:space="preserve">Sen, A. (1999). </w:t>
      </w:r>
      <w:r>
        <w:rPr>
          <w:rStyle w:val="Emphasis"/>
        </w:rPr>
        <w:t>Development as freedom</w:t>
      </w:r>
      <w:r>
        <w:t>. Oxford University Press.</w:t>
      </w:r>
    </w:p>
    <w:p w14:paraId="5E2F2F88" w14:textId="77777777" w:rsidR="00735F8F" w:rsidRDefault="00735F8F" w:rsidP="00735F8F">
      <w:pPr>
        <w:pStyle w:val="NormalWeb"/>
        <w:numPr>
          <w:ilvl w:val="0"/>
          <w:numId w:val="2"/>
        </w:numPr>
      </w:pPr>
      <w:r>
        <w:t xml:space="preserve">Castells, M. (2000). </w:t>
      </w:r>
      <w:r>
        <w:rPr>
          <w:rStyle w:val="Emphasis"/>
        </w:rPr>
        <w:t>The rise of the network society</w:t>
      </w:r>
      <w:r>
        <w:t>. Blackwell Publishers.</w:t>
      </w:r>
    </w:p>
    <w:p w14:paraId="533F6240" w14:textId="77777777" w:rsidR="00735F8F" w:rsidRDefault="00735F8F" w:rsidP="00735F8F">
      <w:pPr>
        <w:pStyle w:val="NormalWeb"/>
        <w:numPr>
          <w:ilvl w:val="0"/>
          <w:numId w:val="2"/>
        </w:numPr>
      </w:pPr>
      <w:r>
        <w:t xml:space="preserve">Van Dijk, J. (2006). </w:t>
      </w:r>
      <w:r>
        <w:rPr>
          <w:rStyle w:val="Emphasis"/>
        </w:rPr>
        <w:t>The network society: Social aspects of new media</w:t>
      </w:r>
      <w:r>
        <w:t>. Sage Publications.</w:t>
      </w:r>
    </w:p>
    <w:p w14:paraId="41A91607" w14:textId="77777777" w:rsidR="0005610F" w:rsidRDefault="0005610F" w:rsidP="008D5590">
      <w:pPr>
        <w:spacing w:before="100" w:beforeAutospacing="1" w:after="100" w:afterAutospacing="1" w:line="360" w:lineRule="auto"/>
        <w:jc w:val="both"/>
        <w:rPr>
          <w:rFonts w:ascii="Times New Roman" w:eastAsia="Times New Roman" w:hAnsi="Times New Roman" w:cs="Times New Roman"/>
          <w:sz w:val="24"/>
          <w:szCs w:val="24"/>
        </w:rPr>
      </w:pPr>
    </w:p>
    <w:p w14:paraId="0EBEF026" w14:textId="77777777" w:rsidR="00D12495" w:rsidRPr="008D5590" w:rsidRDefault="00D12495" w:rsidP="008D5590">
      <w:pPr>
        <w:spacing w:before="100" w:beforeAutospacing="1" w:after="100" w:afterAutospacing="1" w:line="360" w:lineRule="auto"/>
        <w:jc w:val="both"/>
        <w:rPr>
          <w:rFonts w:ascii="Times New Roman" w:eastAsia="Times New Roman" w:hAnsi="Times New Roman" w:cs="Times New Roman"/>
          <w:sz w:val="24"/>
          <w:szCs w:val="24"/>
        </w:rPr>
      </w:pPr>
    </w:p>
    <w:p w14:paraId="4E0FA0F8" w14:textId="77777777" w:rsidR="008D5590" w:rsidRPr="005A142C" w:rsidRDefault="008D5590" w:rsidP="005A142C">
      <w:pPr>
        <w:spacing w:before="100" w:beforeAutospacing="1" w:after="100" w:afterAutospacing="1" w:line="360" w:lineRule="auto"/>
        <w:jc w:val="both"/>
        <w:rPr>
          <w:rFonts w:ascii="Times New Roman" w:eastAsia="Times New Roman" w:hAnsi="Times New Roman" w:cs="Times New Roman"/>
          <w:sz w:val="24"/>
          <w:szCs w:val="24"/>
        </w:rPr>
      </w:pPr>
    </w:p>
    <w:p w14:paraId="489F28A7" w14:textId="77777777" w:rsidR="005A142C" w:rsidRPr="00DA50AD" w:rsidRDefault="005A142C" w:rsidP="005A142C">
      <w:pPr>
        <w:spacing w:before="100" w:beforeAutospacing="1" w:after="100" w:afterAutospacing="1" w:line="360" w:lineRule="auto"/>
        <w:jc w:val="both"/>
        <w:rPr>
          <w:rFonts w:ascii="Times New Roman" w:eastAsia="Times New Roman" w:hAnsi="Times New Roman" w:cs="Times New Roman"/>
          <w:sz w:val="24"/>
          <w:szCs w:val="24"/>
        </w:rPr>
      </w:pPr>
    </w:p>
    <w:p w14:paraId="1CE7715A" w14:textId="77777777" w:rsidR="00DA50AD" w:rsidRDefault="00DA50AD" w:rsidP="005A142C">
      <w:pPr>
        <w:pStyle w:val="NormalWeb"/>
        <w:spacing w:line="360" w:lineRule="auto"/>
        <w:jc w:val="both"/>
      </w:pPr>
    </w:p>
    <w:p w14:paraId="75F445A3" w14:textId="77777777" w:rsidR="00CF5A61" w:rsidRPr="00487BF6" w:rsidRDefault="00CF5A61" w:rsidP="00A2338B">
      <w:pPr>
        <w:spacing w:before="100" w:beforeAutospacing="1" w:after="100" w:afterAutospacing="1" w:line="360" w:lineRule="auto"/>
        <w:jc w:val="both"/>
        <w:rPr>
          <w:rFonts w:ascii="Times New Roman" w:eastAsia="Times New Roman" w:hAnsi="Times New Roman" w:cs="Times New Roman"/>
          <w:b/>
          <w:sz w:val="24"/>
          <w:szCs w:val="24"/>
        </w:rPr>
      </w:pPr>
    </w:p>
    <w:p w14:paraId="3720640B" w14:textId="77777777" w:rsidR="00476606" w:rsidRPr="00452818" w:rsidRDefault="00476606" w:rsidP="00DC11B1">
      <w:pPr>
        <w:spacing w:line="360" w:lineRule="auto"/>
        <w:jc w:val="both"/>
        <w:rPr>
          <w:rFonts w:ascii="Times New Roman" w:hAnsi="Times New Roman" w:cs="Times New Roman"/>
          <w:b/>
          <w:sz w:val="24"/>
          <w:szCs w:val="24"/>
        </w:rPr>
      </w:pPr>
    </w:p>
    <w:sectPr w:rsidR="00476606" w:rsidRPr="00452818" w:rsidSect="003875B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CE97B" w14:textId="77777777" w:rsidR="0027381E" w:rsidRDefault="0027381E" w:rsidP="0084235F">
      <w:pPr>
        <w:spacing w:after="0" w:line="240" w:lineRule="auto"/>
      </w:pPr>
      <w:r>
        <w:separator/>
      </w:r>
    </w:p>
  </w:endnote>
  <w:endnote w:type="continuationSeparator" w:id="0">
    <w:p w14:paraId="6C45321A" w14:textId="77777777" w:rsidR="0027381E" w:rsidRDefault="0027381E" w:rsidP="00842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3FEDF" w14:textId="77777777" w:rsidR="0084235F" w:rsidRDefault="00842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6821B" w14:textId="77777777" w:rsidR="0084235F" w:rsidRDefault="00842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8607E" w14:textId="77777777" w:rsidR="0084235F" w:rsidRDefault="00842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B2AA0" w14:textId="77777777" w:rsidR="0027381E" w:rsidRDefault="0027381E" w:rsidP="0084235F">
      <w:pPr>
        <w:spacing w:after="0" w:line="240" w:lineRule="auto"/>
      </w:pPr>
      <w:r>
        <w:separator/>
      </w:r>
    </w:p>
  </w:footnote>
  <w:footnote w:type="continuationSeparator" w:id="0">
    <w:p w14:paraId="38342FE1" w14:textId="77777777" w:rsidR="0027381E" w:rsidRDefault="0027381E" w:rsidP="00842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4F383" w14:textId="574D8312" w:rsidR="0084235F" w:rsidRDefault="0027381E">
    <w:pPr>
      <w:pStyle w:val="Header"/>
    </w:pPr>
    <w:r>
      <w:rPr>
        <w:noProof/>
      </w:rPr>
      <w:pict w14:anchorId="7E4279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713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9E0A7" w14:textId="7F845497" w:rsidR="0084235F" w:rsidRDefault="0027381E">
    <w:pPr>
      <w:pStyle w:val="Header"/>
    </w:pPr>
    <w:r>
      <w:rPr>
        <w:noProof/>
      </w:rPr>
      <w:pict w14:anchorId="107F5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713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A525" w14:textId="6265E3FE" w:rsidR="0084235F" w:rsidRDefault="0027381E">
    <w:pPr>
      <w:pStyle w:val="Header"/>
    </w:pPr>
    <w:r>
      <w:rPr>
        <w:noProof/>
      </w:rPr>
      <w:pict w14:anchorId="018EE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1713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48280B"/>
    <w:multiLevelType w:val="multilevel"/>
    <w:tmpl w:val="8BE8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197FD8"/>
    <w:multiLevelType w:val="hybridMultilevel"/>
    <w:tmpl w:val="B6F45D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xtDA1MzcHEhaWZkaGpko6SsGpxcWZ+XkgBUa1AF10kWUsAAAA"/>
  </w:docVars>
  <w:rsids>
    <w:rsidRoot w:val="00951063"/>
    <w:rsid w:val="00026C4D"/>
    <w:rsid w:val="0005610F"/>
    <w:rsid w:val="00061043"/>
    <w:rsid w:val="0008758D"/>
    <w:rsid w:val="00114E59"/>
    <w:rsid w:val="00116C46"/>
    <w:rsid w:val="00144B81"/>
    <w:rsid w:val="00167074"/>
    <w:rsid w:val="001867DA"/>
    <w:rsid w:val="001E732D"/>
    <w:rsid w:val="001F31E0"/>
    <w:rsid w:val="002175DF"/>
    <w:rsid w:val="002201B9"/>
    <w:rsid w:val="00264FBD"/>
    <w:rsid w:val="0027381E"/>
    <w:rsid w:val="00344D0B"/>
    <w:rsid w:val="003875B5"/>
    <w:rsid w:val="00392F2B"/>
    <w:rsid w:val="003C4A5B"/>
    <w:rsid w:val="003D09C8"/>
    <w:rsid w:val="00452818"/>
    <w:rsid w:val="00476606"/>
    <w:rsid w:val="00487BF6"/>
    <w:rsid w:val="004A46F3"/>
    <w:rsid w:val="004C4BC1"/>
    <w:rsid w:val="004D4FD8"/>
    <w:rsid w:val="004D6235"/>
    <w:rsid w:val="004D79EB"/>
    <w:rsid w:val="00522006"/>
    <w:rsid w:val="0054007C"/>
    <w:rsid w:val="005723BF"/>
    <w:rsid w:val="005A142C"/>
    <w:rsid w:val="005A7F8A"/>
    <w:rsid w:val="005D17E1"/>
    <w:rsid w:val="005D218C"/>
    <w:rsid w:val="00610C4F"/>
    <w:rsid w:val="00611CBC"/>
    <w:rsid w:val="0061613B"/>
    <w:rsid w:val="00644E85"/>
    <w:rsid w:val="006E7B0E"/>
    <w:rsid w:val="007258CC"/>
    <w:rsid w:val="00735F8F"/>
    <w:rsid w:val="00744648"/>
    <w:rsid w:val="007726C2"/>
    <w:rsid w:val="007D146E"/>
    <w:rsid w:val="007D4E5F"/>
    <w:rsid w:val="00807BBA"/>
    <w:rsid w:val="00830AF4"/>
    <w:rsid w:val="0084235F"/>
    <w:rsid w:val="008A1196"/>
    <w:rsid w:val="008D5590"/>
    <w:rsid w:val="00951063"/>
    <w:rsid w:val="009948ED"/>
    <w:rsid w:val="00A2338B"/>
    <w:rsid w:val="00A240C3"/>
    <w:rsid w:val="00A6312C"/>
    <w:rsid w:val="00A91956"/>
    <w:rsid w:val="00AC695B"/>
    <w:rsid w:val="00AC7768"/>
    <w:rsid w:val="00AD2162"/>
    <w:rsid w:val="00AE356E"/>
    <w:rsid w:val="00AF1EF9"/>
    <w:rsid w:val="00B31B1D"/>
    <w:rsid w:val="00B424E4"/>
    <w:rsid w:val="00B53388"/>
    <w:rsid w:val="00C81CBB"/>
    <w:rsid w:val="00CA3C54"/>
    <w:rsid w:val="00CF5A61"/>
    <w:rsid w:val="00D12495"/>
    <w:rsid w:val="00D12FF1"/>
    <w:rsid w:val="00DA1834"/>
    <w:rsid w:val="00DA50AD"/>
    <w:rsid w:val="00DC11B1"/>
    <w:rsid w:val="00DC6732"/>
    <w:rsid w:val="00E131BE"/>
    <w:rsid w:val="00F01CC2"/>
    <w:rsid w:val="00F20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5C27F1D"/>
  <w15:docId w15:val="{35451847-5664-4604-BB3D-6E214BBB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5B5"/>
  </w:style>
  <w:style w:type="paragraph" w:styleId="Heading1">
    <w:name w:val="heading 1"/>
    <w:basedOn w:val="Normal"/>
    <w:link w:val="Heading1Char"/>
    <w:uiPriority w:val="9"/>
    <w:qFormat/>
    <w:rsid w:val="004766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A2338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D21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744648"/>
  </w:style>
  <w:style w:type="character" w:customStyle="1" w:styleId="Heading1Char">
    <w:name w:val="Heading 1 Char"/>
    <w:basedOn w:val="DefaultParagraphFont"/>
    <w:link w:val="Heading1"/>
    <w:uiPriority w:val="9"/>
    <w:rsid w:val="00476606"/>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476606"/>
    <w:rPr>
      <w:b/>
      <w:bCs/>
    </w:rPr>
  </w:style>
  <w:style w:type="character" w:customStyle="1" w:styleId="Heading2Char">
    <w:name w:val="Heading 2 Char"/>
    <w:basedOn w:val="DefaultParagraphFont"/>
    <w:link w:val="Heading2"/>
    <w:uiPriority w:val="9"/>
    <w:semiHidden/>
    <w:rsid w:val="00A2338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64FBD"/>
    <w:rPr>
      <w:color w:val="0000FF" w:themeColor="hyperlink"/>
      <w:u w:val="single"/>
    </w:rPr>
  </w:style>
  <w:style w:type="table" w:styleId="TableGrid">
    <w:name w:val="Table Grid"/>
    <w:basedOn w:val="TableNormal"/>
    <w:uiPriority w:val="59"/>
    <w:rsid w:val="007726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5D218C"/>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05610F"/>
    <w:rPr>
      <w:i/>
      <w:iCs/>
    </w:rPr>
  </w:style>
  <w:style w:type="character" w:customStyle="1" w:styleId="UnresolvedMention">
    <w:name w:val="Unresolved Mention"/>
    <w:basedOn w:val="DefaultParagraphFont"/>
    <w:uiPriority w:val="99"/>
    <w:semiHidden/>
    <w:unhideWhenUsed/>
    <w:rsid w:val="002175DF"/>
    <w:rPr>
      <w:color w:val="605E5C"/>
      <w:shd w:val="clear" w:color="auto" w:fill="E1DFDD"/>
    </w:rPr>
  </w:style>
  <w:style w:type="paragraph" w:styleId="Header">
    <w:name w:val="header"/>
    <w:basedOn w:val="Normal"/>
    <w:link w:val="HeaderChar"/>
    <w:uiPriority w:val="99"/>
    <w:unhideWhenUsed/>
    <w:rsid w:val="00842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235F"/>
  </w:style>
  <w:style w:type="paragraph" w:styleId="Footer">
    <w:name w:val="footer"/>
    <w:basedOn w:val="Normal"/>
    <w:link w:val="FooterChar"/>
    <w:uiPriority w:val="99"/>
    <w:unhideWhenUsed/>
    <w:rsid w:val="00842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2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5430">
      <w:bodyDiv w:val="1"/>
      <w:marLeft w:val="0"/>
      <w:marRight w:val="0"/>
      <w:marTop w:val="0"/>
      <w:marBottom w:val="0"/>
      <w:divBdr>
        <w:top w:val="none" w:sz="0" w:space="0" w:color="auto"/>
        <w:left w:val="none" w:sz="0" w:space="0" w:color="auto"/>
        <w:bottom w:val="none" w:sz="0" w:space="0" w:color="auto"/>
        <w:right w:val="none" w:sz="0" w:space="0" w:color="auto"/>
      </w:divBdr>
    </w:div>
    <w:div w:id="114639421">
      <w:bodyDiv w:val="1"/>
      <w:marLeft w:val="0"/>
      <w:marRight w:val="0"/>
      <w:marTop w:val="0"/>
      <w:marBottom w:val="0"/>
      <w:divBdr>
        <w:top w:val="none" w:sz="0" w:space="0" w:color="auto"/>
        <w:left w:val="none" w:sz="0" w:space="0" w:color="auto"/>
        <w:bottom w:val="none" w:sz="0" w:space="0" w:color="auto"/>
        <w:right w:val="none" w:sz="0" w:space="0" w:color="auto"/>
      </w:divBdr>
    </w:div>
    <w:div w:id="196159730">
      <w:bodyDiv w:val="1"/>
      <w:marLeft w:val="0"/>
      <w:marRight w:val="0"/>
      <w:marTop w:val="0"/>
      <w:marBottom w:val="0"/>
      <w:divBdr>
        <w:top w:val="none" w:sz="0" w:space="0" w:color="auto"/>
        <w:left w:val="none" w:sz="0" w:space="0" w:color="auto"/>
        <w:bottom w:val="none" w:sz="0" w:space="0" w:color="auto"/>
        <w:right w:val="none" w:sz="0" w:space="0" w:color="auto"/>
      </w:divBdr>
    </w:div>
    <w:div w:id="312218148">
      <w:bodyDiv w:val="1"/>
      <w:marLeft w:val="0"/>
      <w:marRight w:val="0"/>
      <w:marTop w:val="0"/>
      <w:marBottom w:val="0"/>
      <w:divBdr>
        <w:top w:val="none" w:sz="0" w:space="0" w:color="auto"/>
        <w:left w:val="none" w:sz="0" w:space="0" w:color="auto"/>
        <w:bottom w:val="none" w:sz="0" w:space="0" w:color="auto"/>
        <w:right w:val="none" w:sz="0" w:space="0" w:color="auto"/>
      </w:divBdr>
    </w:div>
    <w:div w:id="486746741">
      <w:bodyDiv w:val="1"/>
      <w:marLeft w:val="0"/>
      <w:marRight w:val="0"/>
      <w:marTop w:val="0"/>
      <w:marBottom w:val="0"/>
      <w:divBdr>
        <w:top w:val="none" w:sz="0" w:space="0" w:color="auto"/>
        <w:left w:val="none" w:sz="0" w:space="0" w:color="auto"/>
        <w:bottom w:val="none" w:sz="0" w:space="0" w:color="auto"/>
        <w:right w:val="none" w:sz="0" w:space="0" w:color="auto"/>
      </w:divBdr>
    </w:div>
    <w:div w:id="539633169">
      <w:bodyDiv w:val="1"/>
      <w:marLeft w:val="0"/>
      <w:marRight w:val="0"/>
      <w:marTop w:val="0"/>
      <w:marBottom w:val="0"/>
      <w:divBdr>
        <w:top w:val="none" w:sz="0" w:space="0" w:color="auto"/>
        <w:left w:val="none" w:sz="0" w:space="0" w:color="auto"/>
        <w:bottom w:val="none" w:sz="0" w:space="0" w:color="auto"/>
        <w:right w:val="none" w:sz="0" w:space="0" w:color="auto"/>
      </w:divBdr>
    </w:div>
    <w:div w:id="587033770">
      <w:bodyDiv w:val="1"/>
      <w:marLeft w:val="0"/>
      <w:marRight w:val="0"/>
      <w:marTop w:val="0"/>
      <w:marBottom w:val="0"/>
      <w:divBdr>
        <w:top w:val="none" w:sz="0" w:space="0" w:color="auto"/>
        <w:left w:val="none" w:sz="0" w:space="0" w:color="auto"/>
        <w:bottom w:val="none" w:sz="0" w:space="0" w:color="auto"/>
        <w:right w:val="none" w:sz="0" w:space="0" w:color="auto"/>
      </w:divBdr>
    </w:div>
    <w:div w:id="788669904">
      <w:bodyDiv w:val="1"/>
      <w:marLeft w:val="0"/>
      <w:marRight w:val="0"/>
      <w:marTop w:val="0"/>
      <w:marBottom w:val="0"/>
      <w:divBdr>
        <w:top w:val="none" w:sz="0" w:space="0" w:color="auto"/>
        <w:left w:val="none" w:sz="0" w:space="0" w:color="auto"/>
        <w:bottom w:val="none" w:sz="0" w:space="0" w:color="auto"/>
        <w:right w:val="none" w:sz="0" w:space="0" w:color="auto"/>
      </w:divBdr>
    </w:div>
    <w:div w:id="850025865">
      <w:bodyDiv w:val="1"/>
      <w:marLeft w:val="0"/>
      <w:marRight w:val="0"/>
      <w:marTop w:val="0"/>
      <w:marBottom w:val="0"/>
      <w:divBdr>
        <w:top w:val="none" w:sz="0" w:space="0" w:color="auto"/>
        <w:left w:val="none" w:sz="0" w:space="0" w:color="auto"/>
        <w:bottom w:val="none" w:sz="0" w:space="0" w:color="auto"/>
        <w:right w:val="none" w:sz="0" w:space="0" w:color="auto"/>
      </w:divBdr>
    </w:div>
    <w:div w:id="987827544">
      <w:bodyDiv w:val="1"/>
      <w:marLeft w:val="0"/>
      <w:marRight w:val="0"/>
      <w:marTop w:val="0"/>
      <w:marBottom w:val="0"/>
      <w:divBdr>
        <w:top w:val="none" w:sz="0" w:space="0" w:color="auto"/>
        <w:left w:val="none" w:sz="0" w:space="0" w:color="auto"/>
        <w:bottom w:val="none" w:sz="0" w:space="0" w:color="auto"/>
        <w:right w:val="none" w:sz="0" w:space="0" w:color="auto"/>
      </w:divBdr>
    </w:div>
    <w:div w:id="1158352012">
      <w:bodyDiv w:val="1"/>
      <w:marLeft w:val="0"/>
      <w:marRight w:val="0"/>
      <w:marTop w:val="0"/>
      <w:marBottom w:val="0"/>
      <w:divBdr>
        <w:top w:val="none" w:sz="0" w:space="0" w:color="auto"/>
        <w:left w:val="none" w:sz="0" w:space="0" w:color="auto"/>
        <w:bottom w:val="none" w:sz="0" w:space="0" w:color="auto"/>
        <w:right w:val="none" w:sz="0" w:space="0" w:color="auto"/>
      </w:divBdr>
    </w:div>
    <w:div w:id="1173641167">
      <w:bodyDiv w:val="1"/>
      <w:marLeft w:val="0"/>
      <w:marRight w:val="0"/>
      <w:marTop w:val="0"/>
      <w:marBottom w:val="0"/>
      <w:divBdr>
        <w:top w:val="none" w:sz="0" w:space="0" w:color="auto"/>
        <w:left w:val="none" w:sz="0" w:space="0" w:color="auto"/>
        <w:bottom w:val="none" w:sz="0" w:space="0" w:color="auto"/>
        <w:right w:val="none" w:sz="0" w:space="0" w:color="auto"/>
      </w:divBdr>
    </w:div>
    <w:div w:id="1353074670">
      <w:bodyDiv w:val="1"/>
      <w:marLeft w:val="0"/>
      <w:marRight w:val="0"/>
      <w:marTop w:val="0"/>
      <w:marBottom w:val="0"/>
      <w:divBdr>
        <w:top w:val="none" w:sz="0" w:space="0" w:color="auto"/>
        <w:left w:val="none" w:sz="0" w:space="0" w:color="auto"/>
        <w:bottom w:val="none" w:sz="0" w:space="0" w:color="auto"/>
        <w:right w:val="none" w:sz="0" w:space="0" w:color="auto"/>
      </w:divBdr>
    </w:div>
    <w:div w:id="1369141283">
      <w:bodyDiv w:val="1"/>
      <w:marLeft w:val="0"/>
      <w:marRight w:val="0"/>
      <w:marTop w:val="0"/>
      <w:marBottom w:val="0"/>
      <w:divBdr>
        <w:top w:val="none" w:sz="0" w:space="0" w:color="auto"/>
        <w:left w:val="none" w:sz="0" w:space="0" w:color="auto"/>
        <w:bottom w:val="none" w:sz="0" w:space="0" w:color="auto"/>
        <w:right w:val="none" w:sz="0" w:space="0" w:color="auto"/>
      </w:divBdr>
    </w:div>
    <w:div w:id="1572809098">
      <w:bodyDiv w:val="1"/>
      <w:marLeft w:val="0"/>
      <w:marRight w:val="0"/>
      <w:marTop w:val="0"/>
      <w:marBottom w:val="0"/>
      <w:divBdr>
        <w:top w:val="none" w:sz="0" w:space="0" w:color="auto"/>
        <w:left w:val="none" w:sz="0" w:space="0" w:color="auto"/>
        <w:bottom w:val="none" w:sz="0" w:space="0" w:color="auto"/>
        <w:right w:val="none" w:sz="0" w:space="0" w:color="auto"/>
      </w:divBdr>
    </w:div>
    <w:div w:id="1718164192">
      <w:bodyDiv w:val="1"/>
      <w:marLeft w:val="0"/>
      <w:marRight w:val="0"/>
      <w:marTop w:val="0"/>
      <w:marBottom w:val="0"/>
      <w:divBdr>
        <w:top w:val="none" w:sz="0" w:space="0" w:color="auto"/>
        <w:left w:val="none" w:sz="0" w:space="0" w:color="auto"/>
        <w:bottom w:val="none" w:sz="0" w:space="0" w:color="auto"/>
        <w:right w:val="none" w:sz="0" w:space="0" w:color="auto"/>
      </w:divBdr>
    </w:div>
    <w:div w:id="2016104116">
      <w:bodyDiv w:val="1"/>
      <w:marLeft w:val="0"/>
      <w:marRight w:val="0"/>
      <w:marTop w:val="0"/>
      <w:marBottom w:val="0"/>
      <w:divBdr>
        <w:top w:val="none" w:sz="0" w:space="0" w:color="auto"/>
        <w:left w:val="none" w:sz="0" w:space="0" w:color="auto"/>
        <w:bottom w:val="none" w:sz="0" w:space="0" w:color="auto"/>
        <w:right w:val="none" w:sz="0" w:space="0" w:color="auto"/>
      </w:divBdr>
    </w:div>
    <w:div w:id="20381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10</Pages>
  <Words>2877</Words>
  <Characters>16405</Characters>
  <Application>Microsoft Office Word</Application>
  <DocSecurity>0</DocSecurity>
  <Lines>136</Lines>
  <Paragraphs>38</Paragraphs>
  <ScaleCrop>false</ScaleCrop>
  <Company/>
  <LinksUpToDate>false</LinksUpToDate>
  <CharactersWithSpaces>19244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CPU 1023</cp:lastModifiedBy>
  <cp:revision>93</cp:revision>
  <dcterms:created xsi:type="dcterms:W3CDTF">2026-03-20T09:12:00Z</dcterms:created>
  <dcterms:modified xsi:type="dcterms:W3CDTF">2026-04-03T05:00:00Z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203c0a24-b428-48ca-ac2c-dde6a6c601a1</vt:lpwstr>
  </property>
</Properties>
</file>