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221A" w14:textId="5BC8E3C0" w:rsidR="008A00BF" w:rsidRPr="00426CF0" w:rsidRDefault="005C056A" w:rsidP="005C056A">
      <w:pPr>
        <w:spacing w:after="0" w:line="240" w:lineRule="auto"/>
        <w:jc w:val="center"/>
        <w:rPr>
          <w:rFonts w:ascii="Calibri" w:hAnsi="Calibri" w:cs="Calibri"/>
          <w:b/>
          <w:sz w:val="30"/>
          <w:szCs w:val="30"/>
        </w:rPr>
      </w:pPr>
      <w:r w:rsidRPr="00426CF0">
        <w:rPr>
          <w:rFonts w:ascii="Calibri" w:hAnsi="Calibri" w:cs="Calibri"/>
          <w:b/>
          <w:sz w:val="30"/>
          <w:szCs w:val="30"/>
        </w:rPr>
        <w:t>Smallholder Farmers' Participation in the Agricultural Market Systems in Rangpur District, Bangladesh: Challenges and Opportunities</w:t>
      </w:r>
    </w:p>
    <w:p w14:paraId="149AF2D5" w14:textId="48DE44E8" w:rsidR="00AF58F1" w:rsidRDefault="00AF58F1" w:rsidP="00426CF0">
      <w:pPr>
        <w:pStyle w:val="SSEAUTHORS"/>
        <w:jc w:val="left"/>
        <w:rPr>
          <w:rFonts w:cs="Calibri"/>
          <w:b w:val="0"/>
          <w:kern w:val="2"/>
          <w:szCs w:val="22"/>
          <w14:ligatures w14:val="standardContextual"/>
        </w:rPr>
      </w:pPr>
    </w:p>
    <w:p w14:paraId="12065139" w14:textId="77777777" w:rsidR="00C45B68" w:rsidRPr="00426CF0" w:rsidRDefault="00C45B68" w:rsidP="00426CF0">
      <w:pPr>
        <w:pStyle w:val="SSEAUTHORS"/>
        <w:jc w:val="left"/>
        <w:rPr>
          <w:rFonts w:cs="Calibri"/>
          <w:b w:val="0"/>
          <w:kern w:val="2"/>
          <w:szCs w:val="22"/>
          <w14:ligatures w14:val="standardContextual"/>
        </w:rPr>
      </w:pPr>
    </w:p>
    <w:p w14:paraId="23EA23F4" w14:textId="77777777" w:rsidR="00AF58F1" w:rsidRPr="00426CF0" w:rsidRDefault="00AF58F1" w:rsidP="00426CF0">
      <w:pPr>
        <w:spacing w:after="0" w:line="240" w:lineRule="auto"/>
        <w:rPr>
          <w:rFonts w:ascii="Calibri" w:hAnsi="Calibri" w:cs="Calibri"/>
          <w:b/>
          <w:bCs/>
        </w:rPr>
      </w:pPr>
    </w:p>
    <w:p w14:paraId="1E7E4EAA" w14:textId="40E0FB43" w:rsidR="003E2B63" w:rsidRPr="00060257" w:rsidRDefault="003E2B63" w:rsidP="00426CF0">
      <w:pPr>
        <w:spacing w:after="0" w:line="240" w:lineRule="auto"/>
        <w:rPr>
          <w:rFonts w:ascii="Calibri" w:hAnsi="Calibri" w:cs="Calibri"/>
          <w:b/>
          <w:bCs/>
        </w:rPr>
      </w:pPr>
      <w:r w:rsidRPr="00060257">
        <w:rPr>
          <w:rFonts w:ascii="Calibri" w:hAnsi="Calibri" w:cs="Calibri"/>
          <w:b/>
          <w:bCs/>
        </w:rPr>
        <w:t>Abstract</w:t>
      </w:r>
    </w:p>
    <w:p w14:paraId="180158B7" w14:textId="6009287F" w:rsidR="003A5AA3" w:rsidRDefault="003A5AA3" w:rsidP="00426CF0">
      <w:pPr>
        <w:spacing w:after="0" w:line="240" w:lineRule="auto"/>
        <w:jc w:val="both"/>
        <w:rPr>
          <w:rFonts w:ascii="Calibri" w:hAnsi="Calibri" w:cs="Calibri"/>
        </w:rPr>
      </w:pPr>
      <w:r w:rsidRPr="00060257">
        <w:rPr>
          <w:rFonts w:ascii="Calibri" w:hAnsi="Calibri" w:cs="Calibri"/>
        </w:rPr>
        <w:t xml:space="preserve">This study examines the demographic characteristics, production patterns, post-harvest practices, market participation, income outcomes, challenges, and opportunities within agricultural market systems for livelihood </w:t>
      </w:r>
      <w:r w:rsidR="00060257">
        <w:rPr>
          <w:rFonts w:ascii="Calibri" w:hAnsi="Calibri" w:cs="Calibri"/>
        </w:rPr>
        <w:t>diversification</w:t>
      </w:r>
      <w:r w:rsidRPr="00060257">
        <w:rPr>
          <w:rFonts w:ascii="Calibri" w:hAnsi="Calibri" w:cs="Calibri"/>
        </w:rPr>
        <w:t xml:space="preserve"> among smallholder farmers in Rangpur district, Bangladesh. The study employed a mixed-methods approach, combining household surveys</w:t>
      </w:r>
      <w:r w:rsidR="00EE39C4" w:rsidRPr="00060257">
        <w:rPr>
          <w:rFonts w:ascii="Calibri" w:hAnsi="Calibri" w:cs="Calibri"/>
        </w:rPr>
        <w:t xml:space="preserve"> (n= 120),</w:t>
      </w:r>
      <w:r w:rsidRPr="00060257">
        <w:rPr>
          <w:rFonts w:ascii="Calibri" w:hAnsi="Calibri" w:cs="Calibri"/>
        </w:rPr>
        <w:t xml:space="preserve"> focus group discussions</w:t>
      </w:r>
      <w:r w:rsidR="00EE39C4" w:rsidRPr="00060257">
        <w:rPr>
          <w:rFonts w:ascii="Calibri" w:hAnsi="Calibri" w:cs="Calibri"/>
        </w:rPr>
        <w:t xml:space="preserve"> (n=6),</w:t>
      </w:r>
      <w:r w:rsidRPr="00060257">
        <w:rPr>
          <w:rFonts w:ascii="Calibri" w:hAnsi="Calibri" w:cs="Calibri"/>
        </w:rPr>
        <w:t xml:space="preserve"> and key informant interviews</w:t>
      </w:r>
      <w:r w:rsidR="00EE39C4" w:rsidRPr="00060257">
        <w:rPr>
          <w:rFonts w:ascii="Calibri" w:hAnsi="Calibri" w:cs="Calibri"/>
        </w:rPr>
        <w:t xml:space="preserve"> (n=9)</w:t>
      </w:r>
      <w:r w:rsidRPr="00060257">
        <w:rPr>
          <w:rFonts w:ascii="Calibri" w:hAnsi="Calibri" w:cs="Calibri"/>
        </w:rPr>
        <w:t xml:space="preserve"> with stakeholders and market actors. Findings were triangulated with secondary sources to ensure reliability. The results show notable variation in landholding size, with medium and large landholders comprising the majority, while agriculture remains the dominant source of household income. Rice is the principal crop, cultivated by 89.17% of farmers, alongside diversified vegetable production. </w:t>
      </w:r>
      <w:r w:rsidR="00EE39C4" w:rsidRPr="00060257">
        <w:rPr>
          <w:rFonts w:ascii="Calibri" w:eastAsia="Times New Roman" w:hAnsi="Calibri" w:cs="Calibri"/>
          <w:kern w:val="0"/>
          <w14:ligatures w14:val="none"/>
        </w:rPr>
        <w:t xml:space="preserve">Post-harvest practices are partially adopted, with many farmers conducting basic activities such as cleaning and sorting, but improved practices like packaging and pre-cooling remain limited. Most farmers depend primarily on </w:t>
      </w:r>
      <w:r w:rsidR="00EE39C4" w:rsidRPr="00060257">
        <w:rPr>
          <w:rFonts w:ascii="Calibri" w:eastAsia="Times New Roman" w:hAnsi="Calibri" w:cs="Calibri"/>
          <w:bCs/>
          <w:kern w:val="0"/>
          <w14:ligatures w14:val="none"/>
        </w:rPr>
        <w:t>local markets (69.17%)</w:t>
      </w:r>
      <w:r w:rsidR="00EE39C4" w:rsidRPr="00060257">
        <w:rPr>
          <w:rFonts w:ascii="Calibri" w:eastAsia="Times New Roman" w:hAnsi="Calibri" w:cs="Calibri"/>
          <w:kern w:val="0"/>
          <w14:ligatures w14:val="none"/>
        </w:rPr>
        <w:t xml:space="preserve">, with limited access to wider regional or national markets. In addition, </w:t>
      </w:r>
      <w:r w:rsidR="00EE39C4" w:rsidRPr="00060257">
        <w:rPr>
          <w:rFonts w:ascii="Calibri" w:eastAsia="Times New Roman" w:hAnsi="Calibri" w:cs="Calibri"/>
          <w:bCs/>
          <w:kern w:val="0"/>
          <w14:ligatures w14:val="none"/>
        </w:rPr>
        <w:t>62.50% of farmers rely on intermediaries (Paikers)</w:t>
      </w:r>
      <w:r w:rsidR="00EE39C4" w:rsidRPr="00060257">
        <w:rPr>
          <w:rFonts w:ascii="Calibri" w:eastAsia="Times New Roman" w:hAnsi="Calibri" w:cs="Calibri"/>
          <w:kern w:val="0"/>
          <w14:ligatures w14:val="none"/>
        </w:rPr>
        <w:t xml:space="preserve"> to sell their produce, which often reduces their bargaining power and farm-gate prices. Farmers also face several market-related challenges, including weak collective marketing, price volatility, and limited storage and market information. Despite these constraints, the agricultural sector shows strong potential for growth. </w:t>
      </w:r>
      <w:r w:rsidRPr="00060257">
        <w:rPr>
          <w:rFonts w:ascii="Calibri" w:hAnsi="Calibri" w:cs="Calibri"/>
        </w:rPr>
        <w:t xml:space="preserve">Despite these </w:t>
      </w:r>
      <w:r w:rsidR="0062377E" w:rsidRPr="00060257">
        <w:rPr>
          <w:rFonts w:ascii="Calibri" w:hAnsi="Calibri" w:cs="Calibri"/>
        </w:rPr>
        <w:t>challenges</w:t>
      </w:r>
      <w:r w:rsidRPr="00060257">
        <w:rPr>
          <w:rFonts w:ascii="Calibri" w:hAnsi="Calibri" w:cs="Calibri"/>
        </w:rPr>
        <w:t>, 84.17% report high demand for high-value crops, 80</w:t>
      </w:r>
      <w:r w:rsidR="0062377E" w:rsidRPr="00060257">
        <w:rPr>
          <w:rFonts w:ascii="Calibri" w:hAnsi="Calibri" w:cs="Calibri"/>
        </w:rPr>
        <w:t>.00</w:t>
      </w:r>
      <w:r w:rsidRPr="00060257">
        <w:rPr>
          <w:rFonts w:ascii="Calibri" w:hAnsi="Calibri" w:cs="Calibri"/>
        </w:rPr>
        <w:t>% have access to quality inputs, and 82.5</w:t>
      </w:r>
      <w:r w:rsidR="0062377E" w:rsidRPr="00060257">
        <w:rPr>
          <w:rFonts w:ascii="Calibri" w:hAnsi="Calibri" w:cs="Calibri"/>
        </w:rPr>
        <w:t>0</w:t>
      </w:r>
      <w:r w:rsidRPr="00060257">
        <w:rPr>
          <w:rFonts w:ascii="Calibri" w:hAnsi="Calibri" w:cs="Calibri"/>
        </w:rPr>
        <w:t>% of youth and women participate. The findings emphasize that integrated market system approaches</w:t>
      </w:r>
      <w:r w:rsidR="00060257" w:rsidRPr="00060257">
        <w:rPr>
          <w:rFonts w:ascii="Calibri" w:hAnsi="Calibri" w:cs="Calibri"/>
        </w:rPr>
        <w:t xml:space="preserve">, </w:t>
      </w:r>
      <w:r w:rsidR="00060257" w:rsidRPr="00060257">
        <w:rPr>
          <w:rFonts w:ascii="Calibri" w:eastAsia="Times New Roman" w:hAnsi="Calibri" w:cs="Calibri"/>
          <w:kern w:val="0"/>
          <w14:ligatures w14:val="none"/>
        </w:rPr>
        <w:t>improv</w:t>
      </w:r>
      <w:r w:rsidR="00060257">
        <w:rPr>
          <w:rFonts w:ascii="Calibri" w:eastAsia="Times New Roman" w:hAnsi="Calibri" w:cs="Calibri"/>
          <w:kern w:val="0"/>
          <w14:ligatures w14:val="none"/>
        </w:rPr>
        <w:t>ed</w:t>
      </w:r>
      <w:r w:rsidR="00060257" w:rsidRPr="00060257">
        <w:rPr>
          <w:rFonts w:ascii="Calibri" w:eastAsia="Times New Roman" w:hAnsi="Calibri" w:cs="Calibri"/>
          <w:kern w:val="0"/>
          <w14:ligatures w14:val="none"/>
        </w:rPr>
        <w:t xml:space="preserve"> post-harvest management, and promoti</w:t>
      </w:r>
      <w:r w:rsidR="00060257">
        <w:rPr>
          <w:rFonts w:ascii="Calibri" w:eastAsia="Times New Roman" w:hAnsi="Calibri" w:cs="Calibri"/>
          <w:kern w:val="0"/>
          <w14:ligatures w14:val="none"/>
        </w:rPr>
        <w:t>on of</w:t>
      </w:r>
      <w:r w:rsidR="00060257" w:rsidRPr="00060257">
        <w:rPr>
          <w:rFonts w:ascii="Calibri" w:eastAsia="Times New Roman" w:hAnsi="Calibri" w:cs="Calibri"/>
          <w:kern w:val="0"/>
          <w14:ligatures w14:val="none"/>
        </w:rPr>
        <w:t xml:space="preserve"> collective marketing</w:t>
      </w:r>
      <w:r w:rsidRPr="00060257">
        <w:rPr>
          <w:rFonts w:ascii="Calibri" w:hAnsi="Calibri" w:cs="Calibri"/>
        </w:rPr>
        <w:t xml:space="preserve"> can enhance farmer income, strengthen livelihoods, and support sustainable agricultural development.</w:t>
      </w:r>
      <w:r w:rsidR="00060257" w:rsidRPr="00060257">
        <w:rPr>
          <w:rFonts w:ascii="Calibri" w:hAnsi="Calibri" w:cs="Calibri"/>
        </w:rPr>
        <w:t xml:space="preserve"> </w:t>
      </w:r>
    </w:p>
    <w:p w14:paraId="22E7B080" w14:textId="2D6AE515" w:rsidR="00060257" w:rsidRDefault="00060257" w:rsidP="00426CF0">
      <w:pPr>
        <w:spacing w:after="0" w:line="240" w:lineRule="auto"/>
        <w:jc w:val="both"/>
        <w:rPr>
          <w:rFonts w:ascii="Calibri" w:hAnsi="Calibri" w:cs="Calibri"/>
        </w:rPr>
      </w:pPr>
    </w:p>
    <w:p w14:paraId="1F2E5BE0" w14:textId="6B0BA8DA" w:rsidR="00324E44" w:rsidRPr="00426CF0" w:rsidRDefault="00324E44" w:rsidP="00426CF0">
      <w:pPr>
        <w:spacing w:after="0" w:line="240" w:lineRule="auto"/>
        <w:jc w:val="both"/>
        <w:rPr>
          <w:rFonts w:ascii="Calibri" w:hAnsi="Calibri" w:cs="Calibri"/>
        </w:rPr>
      </w:pPr>
      <w:r w:rsidRPr="00426CF0">
        <w:rPr>
          <w:rFonts w:ascii="Calibri" w:hAnsi="Calibri" w:cs="Calibri"/>
          <w:b/>
          <w:bCs/>
        </w:rPr>
        <w:t>Keywords:</w:t>
      </w:r>
      <w:r w:rsidRPr="00426CF0">
        <w:rPr>
          <w:rFonts w:ascii="Calibri" w:hAnsi="Calibri" w:cs="Calibri"/>
        </w:rPr>
        <w:t xml:space="preserve"> </w:t>
      </w:r>
      <w:r w:rsidR="00D51D8E" w:rsidRPr="00426CF0">
        <w:rPr>
          <w:rFonts w:ascii="Calibri" w:hAnsi="Calibri" w:cs="Calibri"/>
        </w:rPr>
        <w:t>Agriculture</w:t>
      </w:r>
      <w:r w:rsidRPr="00426CF0">
        <w:rPr>
          <w:rFonts w:ascii="Calibri" w:hAnsi="Calibri" w:cs="Calibri"/>
        </w:rPr>
        <w:t xml:space="preserve">, </w:t>
      </w:r>
      <w:r w:rsidR="00426CF0" w:rsidRPr="00426CF0">
        <w:rPr>
          <w:rFonts w:ascii="Calibri" w:hAnsi="Calibri" w:cs="Calibri"/>
        </w:rPr>
        <w:t xml:space="preserve">smallholders, </w:t>
      </w:r>
      <w:r w:rsidR="00D51D8E" w:rsidRPr="00426CF0">
        <w:rPr>
          <w:rFonts w:ascii="Calibri" w:hAnsi="Calibri" w:cs="Calibri"/>
        </w:rPr>
        <w:t xml:space="preserve">market systems, </w:t>
      </w:r>
      <w:r w:rsidR="00426CF0">
        <w:rPr>
          <w:rFonts w:ascii="Calibri" w:hAnsi="Calibri" w:cs="Calibri"/>
        </w:rPr>
        <w:t>participations</w:t>
      </w:r>
      <w:r w:rsidR="00D51D8E" w:rsidRPr="00426CF0">
        <w:rPr>
          <w:rFonts w:ascii="Calibri" w:hAnsi="Calibri" w:cs="Calibri"/>
        </w:rPr>
        <w:t>, challenges, opportunities</w:t>
      </w:r>
      <w:r w:rsidR="00426CF0">
        <w:rPr>
          <w:rFonts w:ascii="Calibri" w:hAnsi="Calibri" w:cs="Calibri"/>
        </w:rPr>
        <w:t xml:space="preserve"> </w:t>
      </w:r>
    </w:p>
    <w:p w14:paraId="589D9FA2" w14:textId="77777777" w:rsidR="00324E44" w:rsidRPr="00426CF0" w:rsidRDefault="00324E44" w:rsidP="00426CF0">
      <w:pPr>
        <w:spacing w:after="0" w:line="240" w:lineRule="auto"/>
        <w:jc w:val="both"/>
        <w:rPr>
          <w:rFonts w:ascii="Calibri" w:hAnsi="Calibri" w:cs="Calibri"/>
        </w:rPr>
      </w:pPr>
    </w:p>
    <w:p w14:paraId="6EAF3EA5" w14:textId="16020D95" w:rsidR="00571BC0" w:rsidRPr="00426CF0" w:rsidRDefault="00571BC0" w:rsidP="00426CF0">
      <w:pPr>
        <w:spacing w:after="0" w:line="240" w:lineRule="auto"/>
        <w:jc w:val="both"/>
        <w:rPr>
          <w:rFonts w:ascii="Calibri" w:hAnsi="Calibri" w:cs="Calibri"/>
          <w:b/>
          <w:bCs/>
        </w:rPr>
      </w:pPr>
      <w:r w:rsidRPr="00426CF0">
        <w:rPr>
          <w:rFonts w:ascii="Calibri" w:hAnsi="Calibri" w:cs="Calibri"/>
          <w:b/>
          <w:bCs/>
        </w:rPr>
        <w:t>INTRODUCTION</w:t>
      </w:r>
    </w:p>
    <w:p w14:paraId="45354DD5" w14:textId="4BB4D39B" w:rsidR="00D52104"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Agriculture remains the backbone of rural livelihoods in Bangladesh, particularly among smallholder farmers in Rangpur </w:t>
      </w:r>
      <w:r w:rsidR="002A4F2E" w:rsidRPr="00426CF0">
        <w:rPr>
          <w:rFonts w:ascii="Calibri" w:eastAsia="Times New Roman" w:hAnsi="Calibri" w:cs="Calibri"/>
          <w:kern w:val="0"/>
          <w14:ligatures w14:val="none"/>
        </w:rPr>
        <w:t xml:space="preserve">District, where it significantly contributes </w:t>
      </w:r>
      <w:r w:rsidRPr="00426CF0">
        <w:rPr>
          <w:rFonts w:ascii="Calibri" w:eastAsia="Times New Roman" w:hAnsi="Calibri" w:cs="Calibri"/>
          <w:kern w:val="0"/>
          <w14:ligatures w14:val="none"/>
        </w:rPr>
        <w:t xml:space="preserve">to household income, employment, and overall well-being. The sector plays a fundamental role in economic growth, encompassing both agricultural production and marketing. In the broader northern region, agriculture </w:t>
      </w:r>
      <w:r w:rsidR="00DA313A" w:rsidRPr="00426CF0">
        <w:rPr>
          <w:rFonts w:ascii="Calibri" w:eastAsia="Times New Roman" w:hAnsi="Calibri" w:cs="Calibri"/>
          <w:kern w:val="0"/>
          <w14:ligatures w14:val="none"/>
        </w:rPr>
        <w:t>is</w:t>
      </w:r>
      <w:r w:rsidRPr="00426CF0">
        <w:rPr>
          <w:rFonts w:ascii="Calibri" w:eastAsia="Times New Roman" w:hAnsi="Calibri" w:cs="Calibri"/>
          <w:kern w:val="0"/>
          <w14:ligatures w14:val="none"/>
        </w:rPr>
        <w:t xml:space="preserve"> the primary contributor to household income, highlighting its central role in sustaining livelihoods, food security, and income, with smallholder farmers as key contributors to </w:t>
      </w:r>
      <w:r w:rsidR="00DA313A" w:rsidRPr="00426CF0">
        <w:rPr>
          <w:rFonts w:ascii="Calibri" w:eastAsia="Times New Roman" w:hAnsi="Calibri" w:cs="Calibri"/>
          <w:kern w:val="0"/>
          <w14:ligatures w14:val="none"/>
        </w:rPr>
        <w:t>enhancements in farm management, leading to 8% and 9% increases in their productivity </w:t>
      </w:r>
      <w:r w:rsidRPr="00426CF0">
        <w:rPr>
          <w:rFonts w:ascii="Calibri" w:eastAsia="Times New Roman" w:hAnsi="Calibri" w:cs="Calibri"/>
          <w:kern w:val="0"/>
          <w14:ligatures w14:val="none"/>
        </w:rPr>
        <w:t xml:space="preserve">and marketing </w:t>
      </w:r>
      <w:r w:rsidR="007A2A91" w:rsidRPr="00426CF0">
        <w:rPr>
          <w:rFonts w:ascii="Calibri" w:eastAsia="Times New Roman" w:hAnsi="Calibri" w:cs="Calibri"/>
          <w:kern w:val="0"/>
          <w14:ligatures w14:val="none"/>
        </w:rPr>
        <w:t>(</w:t>
      </w:r>
      <w:r w:rsidR="00DA313A" w:rsidRPr="00426CF0">
        <w:rPr>
          <w:rFonts w:ascii="Calibri" w:eastAsia="Times New Roman" w:hAnsi="Calibri" w:cs="Calibri"/>
          <w:kern w:val="0"/>
          <w14:ligatures w14:val="none"/>
        </w:rPr>
        <w:t>Paz et al</w:t>
      </w:r>
      <w:r w:rsidR="009B67A9" w:rsidRPr="00426CF0">
        <w:rPr>
          <w:rFonts w:ascii="Calibri" w:eastAsia="Times New Roman" w:hAnsi="Calibri" w:cs="Calibri"/>
          <w:kern w:val="0"/>
          <w14:ligatures w14:val="none"/>
        </w:rPr>
        <w:t>.</w:t>
      </w:r>
      <w:r w:rsidR="00DA313A" w:rsidRPr="00426CF0">
        <w:rPr>
          <w:rFonts w:ascii="Calibri" w:eastAsia="Times New Roman" w:hAnsi="Calibri" w:cs="Calibri"/>
          <w:kern w:val="0"/>
          <w14:ligatures w14:val="none"/>
        </w:rPr>
        <w:t>, 2024</w:t>
      </w:r>
      <w:r w:rsidR="00734ED3" w:rsidRPr="00426CF0">
        <w:rPr>
          <w:rFonts w:ascii="Calibri" w:eastAsia="Times New Roman" w:hAnsi="Calibri" w:cs="Calibri"/>
          <w:kern w:val="0"/>
          <w14:ligatures w14:val="none"/>
        </w:rPr>
        <w:t>; Emran et al</w:t>
      </w:r>
      <w:r w:rsidR="009B67A9" w:rsidRPr="00426CF0">
        <w:rPr>
          <w:rFonts w:ascii="Calibri" w:eastAsia="Times New Roman" w:hAnsi="Calibri" w:cs="Calibri"/>
          <w:kern w:val="0"/>
          <w14:ligatures w14:val="none"/>
        </w:rPr>
        <w:t>.</w:t>
      </w:r>
      <w:r w:rsidR="00734ED3" w:rsidRPr="00426CF0">
        <w:rPr>
          <w:rFonts w:ascii="Calibri" w:eastAsia="Times New Roman" w:hAnsi="Calibri" w:cs="Calibri"/>
          <w:kern w:val="0"/>
          <w14:ligatures w14:val="none"/>
        </w:rPr>
        <w:t xml:space="preserve">, 2021; </w:t>
      </w:r>
      <w:proofErr w:type="spellStart"/>
      <w:r w:rsidR="00734ED3" w:rsidRPr="00426CF0">
        <w:rPr>
          <w:rFonts w:ascii="Calibri" w:hAnsi="Calibri" w:cs="Calibri"/>
          <w:shd w:val="clear" w:color="auto" w:fill="FFFFFF"/>
        </w:rPr>
        <w:t>Bairagi</w:t>
      </w:r>
      <w:proofErr w:type="spellEnd"/>
      <w:r w:rsidR="00734ED3" w:rsidRPr="00426CF0">
        <w:rPr>
          <w:rFonts w:ascii="Calibri" w:hAnsi="Calibri" w:cs="Calibri"/>
          <w:shd w:val="clear" w:color="auto" w:fill="FFFFFF"/>
        </w:rPr>
        <w:t xml:space="preserve"> and </w:t>
      </w:r>
      <w:proofErr w:type="spellStart"/>
      <w:r w:rsidR="00734ED3" w:rsidRPr="00426CF0">
        <w:rPr>
          <w:rFonts w:ascii="Calibri" w:hAnsi="Calibri" w:cs="Calibri"/>
          <w:shd w:val="clear" w:color="auto" w:fill="FFFFFF"/>
        </w:rPr>
        <w:t>Mottaleb</w:t>
      </w:r>
      <w:proofErr w:type="spellEnd"/>
      <w:r w:rsidR="00734ED3" w:rsidRPr="00426CF0">
        <w:rPr>
          <w:rFonts w:ascii="Calibri" w:hAnsi="Calibri" w:cs="Calibri"/>
          <w:shd w:val="clear" w:color="auto" w:fill="FFFFFF"/>
        </w:rPr>
        <w:t>, 2021</w:t>
      </w:r>
      <w:r w:rsidRPr="00426CF0">
        <w:rPr>
          <w:rFonts w:ascii="Calibri" w:eastAsia="Times New Roman" w:hAnsi="Calibri" w:cs="Calibri"/>
          <w:kern w:val="0"/>
          <w14:ligatures w14:val="none"/>
        </w:rPr>
        <w:t xml:space="preserve">). Despite their importance, smallholder farmers face substantial challenges in accessing markets, adopting innovations, and sourcing finance for production and enterprise development. Research indicates that factors such as education, farm size, market structure, and institutional support, particularly credit, </w:t>
      </w:r>
      <w:r w:rsidR="00D52104" w:rsidRPr="00426CF0">
        <w:rPr>
          <w:rFonts w:ascii="Calibri" w:eastAsia="Times New Roman" w:hAnsi="Calibri" w:cs="Calibri"/>
          <w:kern w:val="0"/>
          <w14:ligatures w14:val="none"/>
        </w:rPr>
        <w:t xml:space="preserve">farmer </w:t>
      </w:r>
      <w:r w:rsidRPr="00426CF0">
        <w:rPr>
          <w:rFonts w:ascii="Calibri" w:eastAsia="Times New Roman" w:hAnsi="Calibri" w:cs="Calibri"/>
          <w:kern w:val="0"/>
          <w14:ligatures w14:val="none"/>
        </w:rPr>
        <w:t>cooperatives, and access to information, significantly influence farmers’ participation in market systems (</w:t>
      </w:r>
      <w:r w:rsidR="00193723" w:rsidRPr="00426CF0">
        <w:rPr>
          <w:rFonts w:ascii="Calibri" w:eastAsia="Times New Roman" w:hAnsi="Calibri" w:cs="Calibri"/>
          <w:kern w:val="0"/>
          <w14:ligatures w14:val="none"/>
        </w:rPr>
        <w:t xml:space="preserve">Alam et </w:t>
      </w:r>
      <w:r w:rsidR="00D52104" w:rsidRPr="00426CF0">
        <w:rPr>
          <w:rFonts w:ascii="Calibri" w:eastAsia="Times New Roman" w:hAnsi="Calibri" w:cs="Calibri"/>
          <w:kern w:val="0"/>
          <w14:ligatures w14:val="none"/>
        </w:rPr>
        <w:t>al., 2025; Nowfal et al., 2025; Uddin et al.</w:t>
      </w:r>
      <w:r w:rsidR="00193723" w:rsidRPr="00426CF0">
        <w:rPr>
          <w:rFonts w:ascii="Calibri" w:hAnsi="Calibri" w:cs="Calibri"/>
          <w:shd w:val="clear" w:color="auto" w:fill="FFFFFF"/>
        </w:rPr>
        <w:t>, 2025</w:t>
      </w:r>
      <w:r w:rsidRPr="00426CF0">
        <w:rPr>
          <w:rFonts w:ascii="Calibri" w:eastAsia="Times New Roman" w:hAnsi="Calibri" w:cs="Calibri"/>
          <w:kern w:val="0"/>
          <w14:ligatures w14:val="none"/>
        </w:rPr>
        <w:t>). Constraints, including limited market access, weak bargaining power, and land fragmentation, continue to restrict smallholders’ market engagement (</w:t>
      </w:r>
      <w:r w:rsidR="004F43E6" w:rsidRPr="00426CF0">
        <w:rPr>
          <w:rFonts w:ascii="Calibri" w:hAnsi="Calibri" w:cs="Calibri"/>
          <w:shd w:val="clear" w:color="auto" w:fill="FFFFFF"/>
        </w:rPr>
        <w:t>Rashid et al</w:t>
      </w:r>
      <w:r w:rsidR="009B67A9" w:rsidRPr="00426CF0">
        <w:rPr>
          <w:rFonts w:ascii="Calibri" w:hAnsi="Calibri" w:cs="Calibri"/>
          <w:shd w:val="clear" w:color="auto" w:fill="FFFFFF"/>
        </w:rPr>
        <w:t>.</w:t>
      </w:r>
      <w:r w:rsidR="004F43E6" w:rsidRPr="00426CF0">
        <w:rPr>
          <w:rFonts w:ascii="Calibri" w:hAnsi="Calibri" w:cs="Calibri"/>
          <w:shd w:val="clear" w:color="auto" w:fill="FFFFFF"/>
        </w:rPr>
        <w:t>, 2024</w:t>
      </w:r>
      <w:r w:rsidRPr="00426CF0">
        <w:rPr>
          <w:rFonts w:ascii="Calibri" w:eastAsia="Times New Roman" w:hAnsi="Calibri" w:cs="Calibri"/>
          <w:kern w:val="0"/>
          <w14:ligatures w14:val="none"/>
        </w:rPr>
        <w:t>).</w:t>
      </w:r>
      <w:r w:rsidR="00D52104"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Climate-vulnerable and economically disadvantaged smallholder</w:t>
      </w:r>
      <w:r w:rsidR="00D52104" w:rsidRPr="00426CF0">
        <w:rPr>
          <w:rFonts w:ascii="Calibri" w:eastAsia="Times New Roman" w:hAnsi="Calibri" w:cs="Calibri"/>
          <w:kern w:val="0"/>
          <w14:ligatures w14:val="none"/>
        </w:rPr>
        <w:t xml:space="preserve"> farmers face additional difficulties in cultivating high-value crops and adopting practices such as collective marketing, mechanization, and digital technologies (Islam et al., 2025; Rayhan et al., 2024; Sarker et al.</w:t>
      </w:r>
      <w:r w:rsidR="00352005" w:rsidRPr="00426CF0">
        <w:rPr>
          <w:rFonts w:ascii="Calibri" w:hAnsi="Calibri" w:cs="Calibri"/>
          <w:shd w:val="clear" w:color="auto" w:fill="FFFFFF"/>
        </w:rPr>
        <w:t>, 2025</w:t>
      </w:r>
      <w:r w:rsidRPr="00426CF0">
        <w:rPr>
          <w:rFonts w:ascii="Calibri" w:eastAsia="Times New Roman" w:hAnsi="Calibri" w:cs="Calibri"/>
          <w:kern w:val="0"/>
          <w14:ligatures w14:val="none"/>
        </w:rPr>
        <w:t xml:space="preserve">). Structural challenges, including small landholdings, weak market linkages, and inadequate infrastructure such as roads, storage facilities, and cold chains, further </w:t>
      </w:r>
      <w:r w:rsidR="008F1131" w:rsidRPr="00426CF0">
        <w:rPr>
          <w:rFonts w:ascii="Calibri" w:eastAsia="Times New Roman" w:hAnsi="Calibri" w:cs="Calibri"/>
          <w:kern w:val="0"/>
          <w14:ligatures w14:val="none"/>
        </w:rPr>
        <w:t>intensify</w:t>
      </w:r>
      <w:r w:rsidRPr="00426CF0">
        <w:rPr>
          <w:rFonts w:ascii="Calibri" w:eastAsia="Times New Roman" w:hAnsi="Calibri" w:cs="Calibri"/>
          <w:kern w:val="0"/>
          <w14:ligatures w14:val="none"/>
        </w:rPr>
        <w:t xml:space="preserve"> these issues (</w:t>
      </w:r>
      <w:r w:rsidR="00193723" w:rsidRPr="00426CF0">
        <w:rPr>
          <w:rFonts w:ascii="Calibri" w:eastAsia="Times New Roman" w:hAnsi="Calibri" w:cs="Calibri"/>
          <w:kern w:val="0"/>
          <w14:ligatures w14:val="none"/>
        </w:rPr>
        <w:t>Rana et al</w:t>
      </w:r>
      <w:r w:rsidR="009B67A9" w:rsidRPr="00426CF0">
        <w:rPr>
          <w:rFonts w:ascii="Calibri" w:eastAsia="Times New Roman" w:hAnsi="Calibri" w:cs="Calibri"/>
          <w:kern w:val="0"/>
          <w14:ligatures w14:val="none"/>
        </w:rPr>
        <w:t>.</w:t>
      </w:r>
      <w:r w:rsidR="00193723" w:rsidRPr="00426CF0">
        <w:rPr>
          <w:rFonts w:ascii="Calibri" w:eastAsia="Times New Roman" w:hAnsi="Calibri" w:cs="Calibri"/>
          <w:kern w:val="0"/>
          <w14:ligatures w14:val="none"/>
        </w:rPr>
        <w:t xml:space="preserve">, 2025; </w:t>
      </w:r>
      <w:r w:rsidR="00CE676C" w:rsidRPr="00426CF0">
        <w:rPr>
          <w:rFonts w:ascii="Calibri" w:eastAsia="Times New Roman" w:hAnsi="Calibri" w:cs="Calibri"/>
          <w:kern w:val="0"/>
          <w14:ligatures w14:val="none"/>
        </w:rPr>
        <w:t>Shanta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2025</w:t>
      </w:r>
      <w:r w:rsidRPr="00426CF0">
        <w:rPr>
          <w:rFonts w:ascii="Calibri" w:eastAsia="Times New Roman" w:hAnsi="Calibri" w:cs="Calibri"/>
          <w:kern w:val="0"/>
          <w14:ligatures w14:val="none"/>
        </w:rPr>
        <w:t xml:space="preserve">). </w:t>
      </w:r>
    </w:p>
    <w:p w14:paraId="42C501F7" w14:textId="77777777" w:rsidR="00D52104" w:rsidRPr="00426CF0" w:rsidRDefault="00D52104" w:rsidP="00426CF0">
      <w:pPr>
        <w:spacing w:after="0" w:line="240" w:lineRule="auto"/>
        <w:jc w:val="both"/>
        <w:rPr>
          <w:rFonts w:ascii="Calibri" w:hAnsi="Calibri" w:cs="Calibri"/>
        </w:rPr>
      </w:pPr>
    </w:p>
    <w:p w14:paraId="643B0AAE" w14:textId="73EF98A2" w:rsidR="001D660F" w:rsidRPr="00426CF0" w:rsidRDefault="008100EB" w:rsidP="00426CF0">
      <w:pPr>
        <w:spacing w:after="0" w:line="240" w:lineRule="auto"/>
        <w:jc w:val="both"/>
        <w:rPr>
          <w:rFonts w:ascii="Calibri" w:eastAsia="Times New Roman" w:hAnsi="Calibri" w:cs="Calibri"/>
          <w:kern w:val="0"/>
          <w14:ligatures w14:val="none"/>
        </w:rPr>
      </w:pPr>
      <w:r w:rsidRPr="00426CF0">
        <w:rPr>
          <w:rFonts w:ascii="Calibri" w:hAnsi="Calibri" w:cs="Calibri"/>
        </w:rPr>
        <w:lastRenderedPageBreak/>
        <w:t xml:space="preserve">In Bangladesh, the agricultural sector is dominated by smallholder farms, with the vast majority of farm holdings being farms of less than two hectares and often cultivating multiple crops; smallholder farms accounted for approximately </w:t>
      </w:r>
      <w:r w:rsidRPr="00426CF0">
        <w:rPr>
          <w:rStyle w:val="Strong"/>
          <w:rFonts w:ascii="Calibri" w:hAnsi="Calibri" w:cs="Calibri"/>
          <w:b w:val="0"/>
        </w:rPr>
        <w:t>92% of all farm households</w:t>
      </w:r>
      <w:r w:rsidRPr="00426CF0">
        <w:rPr>
          <w:rFonts w:ascii="Calibri" w:hAnsi="Calibri" w:cs="Calibri"/>
          <w:b/>
        </w:rPr>
        <w:t xml:space="preserve"> </w:t>
      </w:r>
      <w:r w:rsidRPr="00426CF0">
        <w:rPr>
          <w:rFonts w:ascii="Calibri" w:hAnsi="Calibri" w:cs="Calibri"/>
        </w:rPr>
        <w:t xml:space="preserve">and operated about </w:t>
      </w:r>
      <w:r w:rsidRPr="00426CF0">
        <w:rPr>
          <w:rStyle w:val="Strong"/>
          <w:rFonts w:ascii="Calibri" w:hAnsi="Calibri" w:cs="Calibri"/>
          <w:b w:val="0"/>
        </w:rPr>
        <w:t>69% of the cultivated land</w:t>
      </w:r>
      <w:r w:rsidRPr="00426CF0">
        <w:rPr>
          <w:rFonts w:ascii="Calibri" w:hAnsi="Calibri" w:cs="Calibri"/>
        </w:rPr>
        <w:t xml:space="preserve"> in recent years, while medium and large farms represented only a small minority of holdings and land area (Reddy et al</w:t>
      </w:r>
      <w:r w:rsidR="009B67A9" w:rsidRPr="00426CF0">
        <w:rPr>
          <w:rFonts w:ascii="Calibri" w:hAnsi="Calibri" w:cs="Calibri"/>
        </w:rPr>
        <w:t>.</w:t>
      </w:r>
      <w:r w:rsidRPr="00426CF0">
        <w:rPr>
          <w:rFonts w:ascii="Calibri" w:hAnsi="Calibri" w:cs="Calibri"/>
        </w:rPr>
        <w:t xml:space="preserve">, 2025). </w:t>
      </w:r>
      <w:r w:rsidR="00DC086C" w:rsidRPr="00426CF0">
        <w:rPr>
          <w:rFonts w:ascii="Calibri" w:eastAsia="Times New Roman" w:hAnsi="Calibri" w:cs="Calibri"/>
          <w:kern w:val="0"/>
          <w14:ligatures w14:val="none"/>
        </w:rPr>
        <w:t>A shift from subsistence to market-oriented farming has been observed, with an average commercialization index of 57%, which is positively associated with higher production and increased household income (Rahman &amp; Saha, 2023).</w:t>
      </w:r>
      <w:r w:rsidR="001D660F" w:rsidRPr="00426CF0">
        <w:rPr>
          <w:rFonts w:ascii="Calibri" w:eastAsia="Times New Roman" w:hAnsi="Calibri" w:cs="Calibri"/>
          <w:kern w:val="0"/>
          <w14:ligatures w14:val="none"/>
        </w:rPr>
        <w:t xml:space="preserve"> Food security and rural livelihoods in Rangpur are further challenged by high input costs, limited access to credit, poor market access, and price volatility, all of which undermine productivity, income, and livelihood security (</w:t>
      </w:r>
      <w:r w:rsidR="00E373A5" w:rsidRPr="00426CF0">
        <w:rPr>
          <w:rFonts w:ascii="Calibri" w:eastAsia="Times New Roman" w:hAnsi="Calibri" w:cs="Calibri"/>
          <w:kern w:val="0"/>
          <w14:ligatures w14:val="none"/>
        </w:rPr>
        <w:t xml:space="preserve">Rahman and </w:t>
      </w:r>
      <w:proofErr w:type="spellStart"/>
      <w:r w:rsidR="00E373A5" w:rsidRPr="00426CF0">
        <w:rPr>
          <w:rFonts w:ascii="Calibri" w:eastAsia="Times New Roman" w:hAnsi="Calibri" w:cs="Calibri"/>
          <w:kern w:val="0"/>
          <w14:ligatures w14:val="none"/>
        </w:rPr>
        <w:t>Ferdousee</w:t>
      </w:r>
      <w:proofErr w:type="spellEnd"/>
      <w:r w:rsidR="00E373A5" w:rsidRPr="00426CF0">
        <w:rPr>
          <w:rFonts w:ascii="Calibri" w:eastAsia="Times New Roman" w:hAnsi="Calibri" w:cs="Calibri"/>
          <w:kern w:val="0"/>
          <w14:ligatures w14:val="none"/>
        </w:rPr>
        <w:t>, 2023</w:t>
      </w:r>
      <w:r w:rsidR="001D660F" w:rsidRPr="00426CF0">
        <w:rPr>
          <w:rFonts w:ascii="Calibri" w:eastAsia="Times New Roman" w:hAnsi="Calibri" w:cs="Calibri"/>
          <w:kern w:val="0"/>
          <w14:ligatures w14:val="none"/>
        </w:rPr>
        <w:t>). Studies highlight trader dependency, inadequate transportation, limited market access, and insufficient storage facilities as key constraints hindering smallholders’ profitability and market participation (Shuvo, 2024</w:t>
      </w:r>
      <w:r w:rsidR="00DE7BA3" w:rsidRPr="00426CF0">
        <w:rPr>
          <w:rFonts w:ascii="Calibri" w:eastAsia="Times New Roman" w:hAnsi="Calibri" w:cs="Calibri"/>
          <w:kern w:val="0"/>
          <w14:ligatures w14:val="none"/>
        </w:rPr>
        <w:t>; Aggarwal et al., 2022</w:t>
      </w:r>
      <w:r w:rsidR="001D660F" w:rsidRPr="00426CF0">
        <w:rPr>
          <w:rFonts w:ascii="Calibri" w:eastAsia="Times New Roman" w:hAnsi="Calibri" w:cs="Calibri"/>
          <w:kern w:val="0"/>
          <w14:ligatures w14:val="none"/>
        </w:rPr>
        <w:t>). Over 85% of smallholders depend on intermediaries, while transportation and post-harvest losses reduce incomes by 15–20%, illustrating the critical need to address inefficiencies within agricultural market systems (</w:t>
      </w:r>
      <w:r w:rsidR="00C31FA9" w:rsidRPr="00426CF0">
        <w:rPr>
          <w:rFonts w:ascii="Calibri" w:hAnsi="Calibri" w:cs="Calibri"/>
          <w:shd w:val="clear" w:color="auto" w:fill="FFFFFF"/>
        </w:rPr>
        <w:t>Sharma et al</w:t>
      </w:r>
      <w:r w:rsidR="009B67A9" w:rsidRPr="00426CF0">
        <w:rPr>
          <w:rFonts w:ascii="Calibri" w:hAnsi="Calibri" w:cs="Calibri"/>
          <w:shd w:val="clear" w:color="auto" w:fill="FFFFFF"/>
        </w:rPr>
        <w:t>.</w:t>
      </w:r>
      <w:r w:rsidR="00C31FA9" w:rsidRPr="00426CF0">
        <w:rPr>
          <w:rFonts w:ascii="Calibri" w:hAnsi="Calibri" w:cs="Calibri"/>
          <w:shd w:val="clear" w:color="auto" w:fill="FFFFFF"/>
        </w:rPr>
        <w:t>, 2023</w:t>
      </w:r>
      <w:r w:rsidR="001D660F" w:rsidRPr="00426CF0">
        <w:rPr>
          <w:rFonts w:ascii="Calibri" w:eastAsia="Times New Roman" w:hAnsi="Calibri" w:cs="Calibri"/>
          <w:kern w:val="0"/>
          <w14:ligatures w14:val="none"/>
        </w:rPr>
        <w:t>).</w:t>
      </w:r>
      <w:r w:rsidR="00DC086C" w:rsidRPr="00426CF0">
        <w:rPr>
          <w:rFonts w:ascii="Calibri" w:eastAsia="Times New Roman" w:hAnsi="Calibri" w:cs="Calibri"/>
          <w:kern w:val="0"/>
          <w14:ligatures w14:val="none"/>
        </w:rPr>
        <w:t xml:space="preserve"> </w:t>
      </w:r>
    </w:p>
    <w:p w14:paraId="4815A77A" w14:textId="23506133" w:rsidR="001D660F" w:rsidRPr="00426CF0" w:rsidRDefault="001D660F" w:rsidP="00426CF0">
      <w:pPr>
        <w:spacing w:after="0" w:line="240" w:lineRule="auto"/>
        <w:jc w:val="both"/>
        <w:rPr>
          <w:rFonts w:ascii="Calibri" w:eastAsia="Times New Roman" w:hAnsi="Calibri" w:cs="Calibri"/>
          <w:kern w:val="0"/>
          <w14:ligatures w14:val="none"/>
        </w:rPr>
      </w:pPr>
    </w:p>
    <w:p w14:paraId="01C6CD3D" w14:textId="5B48ECC9" w:rsidR="001D660F"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agricultural market system in Bangladesh involves multiple actors, including input suppliers, producers, local traders, and retailers. Value addition occurs at various stages, from production to final consumption, enhancing the profitability of agricultural products (Rahman et al., 2022). However, smallholder farmers rely heavily on middlemen, limiting their share of value along the supply chain. A recent study in Rangpur identified intermediaries such as </w:t>
      </w:r>
      <w:proofErr w:type="spellStart"/>
      <w:r w:rsidRPr="00426CF0">
        <w:rPr>
          <w:rFonts w:ascii="Calibri" w:eastAsia="Times New Roman" w:hAnsi="Calibri" w:cs="Calibri"/>
          <w:kern w:val="0"/>
          <w14:ligatures w14:val="none"/>
        </w:rPr>
        <w:t>farias</w:t>
      </w:r>
      <w:proofErr w:type="spellEnd"/>
      <w:r w:rsidRPr="00426CF0">
        <w:rPr>
          <w:rFonts w:ascii="Calibri" w:eastAsia="Times New Roman" w:hAnsi="Calibri" w:cs="Calibri"/>
          <w:kern w:val="0"/>
          <w14:ligatures w14:val="none"/>
        </w:rPr>
        <w:t xml:space="preserve">, </w:t>
      </w:r>
      <w:proofErr w:type="spellStart"/>
      <w:r w:rsidRPr="00426CF0">
        <w:rPr>
          <w:rFonts w:ascii="Calibri" w:eastAsia="Times New Roman" w:hAnsi="Calibri" w:cs="Calibri"/>
          <w:kern w:val="0"/>
          <w14:ligatures w14:val="none"/>
        </w:rPr>
        <w:t>beparis</w:t>
      </w:r>
      <w:proofErr w:type="spellEnd"/>
      <w:r w:rsidRPr="00426CF0">
        <w:rPr>
          <w:rFonts w:ascii="Calibri" w:eastAsia="Times New Roman" w:hAnsi="Calibri" w:cs="Calibri"/>
          <w:kern w:val="0"/>
          <w14:ligatures w14:val="none"/>
        </w:rPr>
        <w:t>, and wholesalers as dominant actors, constraining farmers’ access to fair pricing (Ahamed et al., 2025). This fragmentation increases marketing costs, reduces income, and leads to losses, particularly when grading, sorting, and packaging are inadequate</w:t>
      </w:r>
      <w:r w:rsidR="00A502DC"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Begum et al., 2025). Farmers also face weak infrastructure, limited price control, restricted access to distant markets, high market margins, and gaps in demand and price information (Rahman &amp; Akter, 2022). Agricultural market systems remain disorganized and inefficient, highlighting the need for improvements in infrastructure, value chains, market access, and reduced reliance on intermediaries (</w:t>
      </w:r>
      <w:r w:rsidR="00D4790B" w:rsidRPr="00426CF0">
        <w:rPr>
          <w:rFonts w:ascii="Calibri" w:hAnsi="Calibri" w:cs="Calibri"/>
          <w:shd w:val="clear" w:color="auto" w:fill="FFFFFF"/>
        </w:rPr>
        <w:t xml:space="preserve">Rahaman and Amin, 2026; </w:t>
      </w:r>
      <w:r w:rsidR="00CE676C" w:rsidRPr="00426CF0">
        <w:rPr>
          <w:rFonts w:ascii="Calibri" w:eastAsia="Times New Roman" w:hAnsi="Calibri" w:cs="Calibri"/>
          <w:kern w:val="0"/>
          <w14:ligatures w14:val="none"/>
        </w:rPr>
        <w:t>Rahman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2021</w:t>
      </w:r>
      <w:r w:rsidRPr="00426CF0">
        <w:rPr>
          <w:rFonts w:ascii="Calibri" w:eastAsia="Times New Roman" w:hAnsi="Calibri" w:cs="Calibri"/>
          <w:kern w:val="0"/>
          <w14:ligatures w14:val="none"/>
        </w:rPr>
        <w:t>).</w:t>
      </w:r>
    </w:p>
    <w:p w14:paraId="38BE376F" w14:textId="77777777" w:rsidR="00CE676C" w:rsidRPr="00426CF0" w:rsidRDefault="00CE676C" w:rsidP="00426CF0">
      <w:pPr>
        <w:spacing w:after="0" w:line="240" w:lineRule="auto"/>
        <w:jc w:val="both"/>
        <w:rPr>
          <w:rFonts w:ascii="Calibri" w:eastAsia="Times New Roman" w:hAnsi="Calibri" w:cs="Calibri"/>
          <w:kern w:val="0"/>
          <w14:ligatures w14:val="none"/>
        </w:rPr>
      </w:pPr>
    </w:p>
    <w:p w14:paraId="2BE09BD7" w14:textId="3C6E601A" w:rsidR="001D660F"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The study examines marketing networks, intermediaries, production levels, and consumption patterns, highlighting key constraints that hinder agricultural production (</w:t>
      </w:r>
      <w:r w:rsidR="004F43E6" w:rsidRPr="00426CF0">
        <w:rPr>
          <w:rFonts w:ascii="Calibri" w:hAnsi="Calibri" w:cs="Calibri"/>
          <w:shd w:val="clear" w:color="auto" w:fill="FFFFFF"/>
        </w:rPr>
        <w:t>Khatun et al</w:t>
      </w:r>
      <w:r w:rsidR="009B67A9" w:rsidRPr="00426CF0">
        <w:rPr>
          <w:rFonts w:ascii="Calibri" w:hAnsi="Calibri" w:cs="Calibri"/>
          <w:shd w:val="clear" w:color="auto" w:fill="FFFFFF"/>
        </w:rPr>
        <w:t>.</w:t>
      </w:r>
      <w:r w:rsidR="004F43E6" w:rsidRPr="00426CF0">
        <w:rPr>
          <w:rFonts w:ascii="Calibri" w:hAnsi="Calibri" w:cs="Calibri"/>
          <w:shd w:val="clear" w:color="auto" w:fill="FFFFFF"/>
        </w:rPr>
        <w:t>, 2022</w:t>
      </w:r>
      <w:r w:rsidR="00337E8B" w:rsidRPr="00426CF0">
        <w:rPr>
          <w:rFonts w:ascii="Calibri" w:hAnsi="Calibri" w:cs="Calibri"/>
          <w:shd w:val="clear" w:color="auto" w:fill="FFFFFF"/>
        </w:rPr>
        <w:t>; Sarma et al</w:t>
      </w:r>
      <w:r w:rsidR="009B67A9" w:rsidRPr="00426CF0">
        <w:rPr>
          <w:rFonts w:ascii="Calibri" w:hAnsi="Calibri" w:cs="Calibri"/>
          <w:shd w:val="clear" w:color="auto" w:fill="FFFFFF"/>
        </w:rPr>
        <w:t>.</w:t>
      </w:r>
      <w:r w:rsidR="00337E8B" w:rsidRPr="00426CF0">
        <w:rPr>
          <w:rFonts w:ascii="Calibri" w:hAnsi="Calibri" w:cs="Calibri"/>
          <w:shd w:val="clear" w:color="auto" w:fill="FFFFFF"/>
        </w:rPr>
        <w:t>, 2024</w:t>
      </w:r>
      <w:r w:rsidRPr="00426CF0">
        <w:rPr>
          <w:rFonts w:ascii="Calibri" w:eastAsia="Times New Roman" w:hAnsi="Calibri" w:cs="Calibri"/>
          <w:kern w:val="0"/>
          <w14:ligatures w14:val="none"/>
        </w:rPr>
        <w:t>). These challenges, including limited market access, inefficient value chains, and resource scarcity, directly impact smallholder farmers’ income and food security, thereby constraining opportunities for sustainable livelihood improvement and economic resilience (</w:t>
      </w:r>
      <w:r w:rsidR="00193723" w:rsidRPr="00426CF0">
        <w:rPr>
          <w:rFonts w:ascii="Calibri" w:eastAsia="Times New Roman" w:hAnsi="Calibri" w:cs="Calibri"/>
          <w:kern w:val="0"/>
          <w14:ligatures w14:val="none"/>
        </w:rPr>
        <w:t>Hoque</w:t>
      </w:r>
      <w:r w:rsidRPr="00426CF0">
        <w:rPr>
          <w:rFonts w:ascii="Calibri" w:eastAsia="Times New Roman" w:hAnsi="Calibri" w:cs="Calibri"/>
          <w:kern w:val="0"/>
          <w14:ligatures w14:val="none"/>
        </w:rPr>
        <w:t xml:space="preserve"> et al., 202</w:t>
      </w:r>
      <w:r w:rsidR="00193723" w:rsidRPr="00426CF0">
        <w:rPr>
          <w:rFonts w:ascii="Calibri" w:eastAsia="Times New Roman" w:hAnsi="Calibri" w:cs="Calibri"/>
          <w:kern w:val="0"/>
          <w14:ligatures w14:val="none"/>
        </w:rPr>
        <w:t>5</w:t>
      </w:r>
      <w:r w:rsidR="00337E8B" w:rsidRPr="00426CF0">
        <w:rPr>
          <w:rFonts w:ascii="Calibri" w:eastAsia="Times New Roman" w:hAnsi="Calibri" w:cs="Calibri"/>
          <w:kern w:val="0"/>
          <w14:ligatures w14:val="none"/>
        </w:rPr>
        <w:t xml:space="preserve">; </w:t>
      </w:r>
      <w:r w:rsidR="00337E8B" w:rsidRPr="00426CF0">
        <w:rPr>
          <w:rFonts w:ascii="Calibri" w:hAnsi="Calibri" w:cs="Calibri"/>
          <w:shd w:val="clear" w:color="auto" w:fill="FFFFFF"/>
        </w:rPr>
        <w:t>Ravisankar et al</w:t>
      </w:r>
      <w:r w:rsidR="009B67A9" w:rsidRPr="00426CF0">
        <w:rPr>
          <w:rFonts w:ascii="Calibri" w:hAnsi="Calibri" w:cs="Calibri"/>
          <w:shd w:val="clear" w:color="auto" w:fill="FFFFFF"/>
        </w:rPr>
        <w:t>.</w:t>
      </w:r>
      <w:r w:rsidR="00337E8B" w:rsidRPr="00426CF0">
        <w:rPr>
          <w:rFonts w:ascii="Calibri" w:hAnsi="Calibri" w:cs="Calibri"/>
          <w:shd w:val="clear" w:color="auto" w:fill="FFFFFF"/>
        </w:rPr>
        <w:t>, 2022</w:t>
      </w:r>
      <w:r w:rsidRPr="00426CF0">
        <w:rPr>
          <w:rFonts w:ascii="Calibri" w:eastAsia="Times New Roman" w:hAnsi="Calibri" w:cs="Calibri"/>
          <w:kern w:val="0"/>
          <w14:ligatures w14:val="none"/>
        </w:rPr>
        <w:t xml:space="preserve">). Smallholder farmers in the region encounter significant barriers in accessing financial services, credit, and extension support, which are crucial for enhancing agricultural productivity. Evidence indicates that private companies supplying inputs continue to rely heavily on middlemen, limiting farmers’ direct access to quality inputs. Simultaneously, formal financial institutions remain largely inaccessible, restricting opportunities for investment, </w:t>
      </w:r>
      <w:r w:rsidR="00DD2C11" w:rsidRPr="00426CF0">
        <w:rPr>
          <w:rFonts w:ascii="Calibri" w:eastAsia="Times New Roman" w:hAnsi="Calibri" w:cs="Calibri"/>
          <w:kern w:val="0"/>
          <w14:ligatures w14:val="none"/>
        </w:rPr>
        <w:t xml:space="preserve">the </w:t>
      </w:r>
      <w:r w:rsidRPr="00426CF0">
        <w:rPr>
          <w:rFonts w:ascii="Calibri" w:eastAsia="Times New Roman" w:hAnsi="Calibri" w:cs="Calibri"/>
          <w:kern w:val="0"/>
          <w14:ligatures w14:val="none"/>
        </w:rPr>
        <w:t>adoption of improved technologies, and overall improvement</w:t>
      </w:r>
      <w:r w:rsidR="00DD2C11" w:rsidRPr="00426CF0">
        <w:rPr>
          <w:rFonts w:ascii="Calibri" w:eastAsia="Times New Roman" w:hAnsi="Calibri" w:cs="Calibri"/>
          <w:kern w:val="0"/>
          <w14:ligatures w14:val="none"/>
        </w:rPr>
        <w:t>s of livelihood</w:t>
      </w:r>
      <w:r w:rsidRPr="00426CF0">
        <w:rPr>
          <w:rFonts w:ascii="Calibri" w:eastAsia="Times New Roman" w:hAnsi="Calibri" w:cs="Calibri"/>
          <w:kern w:val="0"/>
          <w14:ligatures w14:val="none"/>
        </w:rPr>
        <w:t xml:space="preserve"> (</w:t>
      </w:r>
      <w:r w:rsidR="008216D2" w:rsidRPr="00426CF0">
        <w:rPr>
          <w:rFonts w:ascii="Calibri" w:eastAsia="Times New Roman" w:hAnsi="Calibri" w:cs="Calibri"/>
          <w:kern w:val="0"/>
          <w14:ligatures w14:val="none"/>
        </w:rPr>
        <w:t>Jamal et al</w:t>
      </w:r>
      <w:r w:rsidR="009B67A9" w:rsidRPr="00426CF0">
        <w:rPr>
          <w:rFonts w:ascii="Calibri" w:eastAsia="Times New Roman" w:hAnsi="Calibri" w:cs="Calibri"/>
          <w:kern w:val="0"/>
          <w14:ligatures w14:val="none"/>
        </w:rPr>
        <w:t>.</w:t>
      </w:r>
      <w:r w:rsidR="008216D2" w:rsidRPr="00426CF0">
        <w:rPr>
          <w:rFonts w:ascii="Calibri" w:eastAsia="Times New Roman" w:hAnsi="Calibri" w:cs="Calibri"/>
          <w:kern w:val="0"/>
          <w14:ligatures w14:val="none"/>
        </w:rPr>
        <w:t>, 2022</w:t>
      </w:r>
      <w:r w:rsidRPr="00426CF0">
        <w:rPr>
          <w:rFonts w:ascii="Calibri" w:eastAsia="Times New Roman" w:hAnsi="Calibri" w:cs="Calibri"/>
          <w:kern w:val="0"/>
          <w14:ligatures w14:val="none"/>
        </w:rPr>
        <w:t>; Rahman et al.</w:t>
      </w:r>
      <w:r w:rsidR="009B36F2" w:rsidRPr="00426CF0">
        <w:rPr>
          <w:rFonts w:ascii="Calibri" w:eastAsia="Times New Roman" w:hAnsi="Calibri" w:cs="Calibri"/>
          <w:kern w:val="0"/>
          <w14:ligatures w14:val="none"/>
        </w:rPr>
        <w:t>,</w:t>
      </w:r>
      <w:r w:rsidRPr="00426CF0">
        <w:rPr>
          <w:rFonts w:ascii="Calibri" w:eastAsia="Times New Roman" w:hAnsi="Calibri" w:cs="Calibri"/>
          <w:kern w:val="0"/>
          <w14:ligatures w14:val="none"/>
        </w:rPr>
        <w:t xml:space="preserve"> 2022). Enhancing smallholder livelihoods in Rangpur district requires leveraging opportunities within agricultural market systems to improve market access, strengthen value chains, and expand credit availability</w:t>
      </w:r>
      <w:r w:rsidR="007A409A" w:rsidRPr="00426CF0">
        <w:rPr>
          <w:rFonts w:ascii="Calibri" w:eastAsia="Times New Roman" w:hAnsi="Calibri" w:cs="Calibri"/>
          <w:kern w:val="0"/>
          <w14:ligatures w14:val="none"/>
        </w:rPr>
        <w:t xml:space="preserve"> (Ahamed et al., 2024)</w:t>
      </w:r>
      <w:r w:rsidRPr="00426CF0">
        <w:rPr>
          <w:rFonts w:ascii="Calibri" w:eastAsia="Times New Roman" w:hAnsi="Calibri" w:cs="Calibri"/>
          <w:kern w:val="0"/>
          <w14:ligatures w14:val="none"/>
        </w:rPr>
        <w:t>. These measures increase income stability, reduce reliance, and empower farmers to adopt improved practices, ultimately promoting sustainable rural development (</w:t>
      </w:r>
      <w:r w:rsidR="00E63A26" w:rsidRPr="00426CF0">
        <w:rPr>
          <w:rFonts w:ascii="Calibri" w:eastAsia="Times New Roman" w:hAnsi="Calibri" w:cs="Calibri"/>
          <w:kern w:val="0"/>
          <w14:ligatures w14:val="none"/>
        </w:rPr>
        <w:t>Jamal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xml:space="preserve">, 2023; </w:t>
      </w:r>
      <w:proofErr w:type="spellStart"/>
      <w:r w:rsidRPr="00426CF0">
        <w:rPr>
          <w:rFonts w:ascii="Calibri" w:eastAsia="Times New Roman" w:hAnsi="Calibri" w:cs="Calibri"/>
          <w:kern w:val="0"/>
          <w14:ligatures w14:val="none"/>
        </w:rPr>
        <w:t>Goffar</w:t>
      </w:r>
      <w:proofErr w:type="spellEnd"/>
      <w:r w:rsidRPr="00426CF0">
        <w:rPr>
          <w:rFonts w:ascii="Calibri" w:eastAsia="Times New Roman" w:hAnsi="Calibri" w:cs="Calibri"/>
          <w:kern w:val="0"/>
          <w14:ligatures w14:val="none"/>
        </w:rPr>
        <w:t xml:space="preserve"> et al., 2025). Establishing aggregation centers and improving market linkages can increase access to higher-value markets, reduce dependence on intermediaries, and enhance profitability (</w:t>
      </w:r>
      <w:r w:rsidR="00E63A26" w:rsidRPr="00426CF0">
        <w:rPr>
          <w:rFonts w:ascii="Calibri" w:eastAsia="Times New Roman" w:hAnsi="Calibri" w:cs="Calibri"/>
          <w:kern w:val="0"/>
          <w14:ligatures w14:val="none"/>
        </w:rPr>
        <w:t>Ali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xml:space="preserve">, 2025; </w:t>
      </w:r>
      <w:proofErr w:type="spellStart"/>
      <w:r w:rsidR="00E63A26" w:rsidRPr="00426CF0">
        <w:rPr>
          <w:rFonts w:ascii="Calibri" w:eastAsia="Times New Roman" w:hAnsi="Calibri" w:cs="Calibri"/>
          <w:kern w:val="0"/>
          <w14:ligatures w14:val="none"/>
        </w:rPr>
        <w:t>Bipu</w:t>
      </w:r>
      <w:proofErr w:type="spellEnd"/>
      <w:r w:rsidR="00E63A26" w:rsidRPr="00426CF0">
        <w:rPr>
          <w:rFonts w:ascii="Calibri" w:eastAsia="Times New Roman" w:hAnsi="Calibri" w:cs="Calibri"/>
          <w:kern w:val="0"/>
          <w14:ligatures w14:val="none"/>
        </w:rPr>
        <w:t xml:space="preserve">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2026</w:t>
      </w:r>
      <w:r w:rsidRPr="00426CF0">
        <w:rPr>
          <w:rFonts w:ascii="Calibri" w:eastAsia="Times New Roman" w:hAnsi="Calibri" w:cs="Calibri"/>
          <w:kern w:val="0"/>
          <w14:ligatures w14:val="none"/>
        </w:rPr>
        <w:t>). Inclusive market systems that actively engage women and youth foster equitable participation, empowerment, and resilience among rural communities (</w:t>
      </w:r>
      <w:r w:rsidR="00C31FA9" w:rsidRPr="00426CF0">
        <w:rPr>
          <w:rFonts w:ascii="Calibri" w:hAnsi="Calibri" w:cs="Calibri"/>
          <w:shd w:val="clear" w:color="auto" w:fill="FFFFFF"/>
        </w:rPr>
        <w:t>Tumusiime et al</w:t>
      </w:r>
      <w:r w:rsidR="009B67A9" w:rsidRPr="00426CF0">
        <w:rPr>
          <w:rFonts w:ascii="Calibri" w:hAnsi="Calibri" w:cs="Calibri"/>
          <w:shd w:val="clear" w:color="auto" w:fill="FFFFFF"/>
        </w:rPr>
        <w:t>.</w:t>
      </w:r>
      <w:r w:rsidR="00C31FA9" w:rsidRPr="00426CF0">
        <w:rPr>
          <w:rFonts w:ascii="Calibri" w:hAnsi="Calibri" w:cs="Calibri"/>
          <w:shd w:val="clear" w:color="auto" w:fill="FFFFFF"/>
        </w:rPr>
        <w:t>,</w:t>
      </w:r>
      <w:r w:rsidRPr="00426CF0">
        <w:rPr>
          <w:rFonts w:ascii="Calibri" w:eastAsia="Times New Roman" w:hAnsi="Calibri" w:cs="Calibri"/>
          <w:kern w:val="0"/>
          <w14:ligatures w14:val="none"/>
        </w:rPr>
        <w:t xml:space="preserve"> 2022; </w:t>
      </w:r>
      <w:r w:rsidR="002E2087" w:rsidRPr="00426CF0">
        <w:rPr>
          <w:rFonts w:ascii="Calibri" w:eastAsia="Times New Roman" w:hAnsi="Calibri" w:cs="Calibri"/>
          <w:kern w:val="0"/>
          <w14:ligatures w14:val="none"/>
        </w:rPr>
        <w:t>Biswas et al</w:t>
      </w:r>
      <w:r w:rsidR="009B67A9" w:rsidRPr="00426CF0">
        <w:rPr>
          <w:rFonts w:ascii="Calibri" w:eastAsia="Times New Roman" w:hAnsi="Calibri" w:cs="Calibri"/>
          <w:kern w:val="0"/>
          <w14:ligatures w14:val="none"/>
        </w:rPr>
        <w:t>.</w:t>
      </w:r>
      <w:r w:rsidR="002E2087"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202</w:t>
      </w:r>
      <w:r w:rsidR="002E2087" w:rsidRPr="00426CF0">
        <w:rPr>
          <w:rFonts w:ascii="Calibri" w:eastAsia="Times New Roman" w:hAnsi="Calibri" w:cs="Calibri"/>
          <w:kern w:val="0"/>
          <w14:ligatures w14:val="none"/>
        </w:rPr>
        <w:t>2</w:t>
      </w:r>
      <w:r w:rsidRPr="00426CF0">
        <w:rPr>
          <w:rFonts w:ascii="Calibri" w:eastAsia="Times New Roman" w:hAnsi="Calibri" w:cs="Calibri"/>
          <w:kern w:val="0"/>
          <w14:ligatures w14:val="none"/>
        </w:rPr>
        <w:t>). Additionally, adopting digital technologies for traceability and promoting crop diversification toward high-value vegetables, fruits, and horticultural crops can boost income, reduce risk, and improve overall livelihood outcomes (</w:t>
      </w:r>
      <w:r w:rsidR="002E2087" w:rsidRPr="00426CF0">
        <w:rPr>
          <w:rFonts w:ascii="Calibri" w:eastAsia="Times New Roman" w:hAnsi="Calibri" w:cs="Calibri"/>
          <w:kern w:val="0"/>
          <w14:ligatures w14:val="none"/>
        </w:rPr>
        <w:t xml:space="preserve">Nandi et </w:t>
      </w:r>
      <w:r w:rsidR="002E2087" w:rsidRPr="00426CF0">
        <w:rPr>
          <w:rFonts w:ascii="Calibri" w:eastAsia="Times New Roman" w:hAnsi="Calibri" w:cs="Calibri"/>
          <w:kern w:val="0"/>
          <w14:ligatures w14:val="none"/>
        </w:rPr>
        <w:lastRenderedPageBreak/>
        <w:t>al</w:t>
      </w:r>
      <w:r w:rsidR="009B67A9" w:rsidRPr="00426CF0">
        <w:rPr>
          <w:rFonts w:ascii="Calibri" w:eastAsia="Times New Roman" w:hAnsi="Calibri" w:cs="Calibri"/>
          <w:kern w:val="0"/>
          <w14:ligatures w14:val="none"/>
        </w:rPr>
        <w:t>.</w:t>
      </w:r>
      <w:r w:rsidR="002E2087" w:rsidRPr="00426CF0">
        <w:rPr>
          <w:rFonts w:ascii="Calibri" w:eastAsia="Times New Roman" w:hAnsi="Calibri" w:cs="Calibri"/>
          <w:kern w:val="0"/>
          <w14:ligatures w14:val="none"/>
        </w:rPr>
        <w:t xml:space="preserve">, 2024; </w:t>
      </w:r>
      <w:r w:rsidR="00CE676C" w:rsidRPr="00426CF0">
        <w:rPr>
          <w:rFonts w:ascii="Calibri" w:eastAsia="Times New Roman" w:hAnsi="Calibri" w:cs="Calibri"/>
          <w:kern w:val="0"/>
          <w14:ligatures w14:val="none"/>
        </w:rPr>
        <w:t>Kabir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2022</w:t>
      </w:r>
      <w:r w:rsidRPr="00426CF0">
        <w:rPr>
          <w:rFonts w:ascii="Calibri" w:eastAsia="Times New Roman" w:hAnsi="Calibri" w:cs="Calibri"/>
          <w:kern w:val="0"/>
          <w14:ligatures w14:val="none"/>
        </w:rPr>
        <w:t>). Together, these interventions create a more efficient, transparent, and sustainable agricultural market system that benefits smallholder farmers and local economies.</w:t>
      </w:r>
    </w:p>
    <w:p w14:paraId="00E7674E" w14:textId="77777777" w:rsidR="00C31FA9" w:rsidRPr="00426CF0" w:rsidRDefault="00C31FA9" w:rsidP="00426CF0">
      <w:pPr>
        <w:spacing w:after="0" w:line="240" w:lineRule="auto"/>
        <w:jc w:val="both"/>
        <w:rPr>
          <w:rFonts w:ascii="Calibri" w:eastAsia="Times New Roman" w:hAnsi="Calibri" w:cs="Calibri"/>
          <w:kern w:val="0"/>
          <w14:ligatures w14:val="none"/>
        </w:rPr>
      </w:pPr>
    </w:p>
    <w:p w14:paraId="4C154565" w14:textId="255F37D6" w:rsidR="00E70E0A"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Although several studies </w:t>
      </w:r>
      <w:r w:rsidR="009B67A9" w:rsidRPr="00426CF0">
        <w:rPr>
          <w:rFonts w:ascii="Calibri" w:eastAsia="Times New Roman" w:hAnsi="Calibri" w:cs="Calibri"/>
          <w:kern w:val="0"/>
          <w14:ligatures w14:val="none"/>
        </w:rPr>
        <w:t>highlight</w:t>
      </w:r>
      <w:r w:rsidRPr="00426CF0">
        <w:rPr>
          <w:rFonts w:ascii="Calibri" w:eastAsia="Times New Roman" w:hAnsi="Calibri" w:cs="Calibri"/>
          <w:kern w:val="0"/>
          <w14:ligatures w14:val="none"/>
        </w:rPr>
        <w:t xml:space="preserve"> challenges in smallholder agriculture in Rangpur, research remains limited on systematically leveraging agricultural market systems to enhance livelihoods (</w:t>
      </w:r>
      <w:r w:rsidR="004F43E6" w:rsidRPr="00426CF0">
        <w:rPr>
          <w:rFonts w:ascii="Calibri" w:eastAsia="Times New Roman" w:hAnsi="Calibri" w:cs="Calibri"/>
          <w:kern w:val="0"/>
          <w14:ligatures w14:val="none"/>
        </w:rPr>
        <w:t>Alam</w:t>
      </w:r>
      <w:r w:rsidR="004F43E6" w:rsidRPr="00426CF0">
        <w:rPr>
          <w:rFonts w:ascii="Calibri" w:hAnsi="Calibri" w:cs="Calibri"/>
          <w:shd w:val="clear" w:color="auto" w:fill="FFFFFF"/>
        </w:rPr>
        <w:t xml:space="preserve"> et al, 2022</w:t>
      </w:r>
      <w:r w:rsidR="000632B1" w:rsidRPr="00426CF0">
        <w:rPr>
          <w:rFonts w:ascii="Calibri" w:hAnsi="Calibri" w:cs="Calibri"/>
          <w:shd w:val="clear" w:color="auto" w:fill="FFFFFF"/>
        </w:rPr>
        <w:t>)</w:t>
      </w:r>
      <w:r w:rsidRPr="00426CF0">
        <w:rPr>
          <w:rFonts w:ascii="Calibri" w:eastAsia="Times New Roman" w:hAnsi="Calibri" w:cs="Calibri"/>
          <w:kern w:val="0"/>
          <w14:ligatures w14:val="none"/>
        </w:rPr>
        <w:t xml:space="preserve">. Most studies address production, climate resilience, or value chain analysis separately, with little integration of market, financial, and social dimensions. Evidence-based strategies are needed to connect smallholders to high-value markets, promote inclusive participation, and integrate crop </w:t>
      </w:r>
      <w:r w:rsidR="009B67A9" w:rsidRPr="00426CF0">
        <w:rPr>
          <w:rFonts w:ascii="Calibri" w:eastAsia="Times New Roman" w:hAnsi="Calibri" w:cs="Calibri"/>
          <w:kern w:val="0"/>
          <w14:ligatures w14:val="none"/>
        </w:rPr>
        <w:t xml:space="preserve">diversification </w:t>
      </w:r>
      <w:r w:rsidRPr="00426CF0">
        <w:rPr>
          <w:rFonts w:ascii="Calibri" w:eastAsia="Times New Roman" w:hAnsi="Calibri" w:cs="Calibri"/>
          <w:kern w:val="0"/>
          <w14:ligatures w14:val="none"/>
        </w:rPr>
        <w:t>systems within resilient market frameworks (</w:t>
      </w:r>
      <w:r w:rsidR="00A146FC" w:rsidRPr="00426CF0">
        <w:rPr>
          <w:rFonts w:ascii="Calibri" w:hAnsi="Calibri" w:cs="Calibri"/>
          <w:shd w:val="clear" w:color="auto" w:fill="FFFFFF"/>
        </w:rPr>
        <w:t>Rahman et</w:t>
      </w:r>
      <w:r w:rsidR="000632B1" w:rsidRPr="00426CF0">
        <w:rPr>
          <w:rFonts w:ascii="Calibri" w:hAnsi="Calibri" w:cs="Calibri"/>
          <w:shd w:val="clear" w:color="auto" w:fill="FFFFFF"/>
        </w:rPr>
        <w:t xml:space="preserve"> </w:t>
      </w:r>
      <w:r w:rsidR="00A146FC" w:rsidRPr="00426CF0">
        <w:rPr>
          <w:rFonts w:ascii="Calibri" w:hAnsi="Calibri" w:cs="Calibri"/>
          <w:shd w:val="clear" w:color="auto" w:fill="FFFFFF"/>
        </w:rPr>
        <w:t>al, 2022</w:t>
      </w:r>
      <w:r w:rsidR="000632B1" w:rsidRPr="00426CF0">
        <w:rPr>
          <w:rFonts w:ascii="Calibri" w:hAnsi="Calibri" w:cs="Calibri"/>
          <w:shd w:val="clear" w:color="auto" w:fill="FFFFFF"/>
        </w:rPr>
        <w:t>; Rahman and Khatun, 2020)</w:t>
      </w:r>
      <w:r w:rsidRPr="00426CF0">
        <w:rPr>
          <w:rFonts w:ascii="Calibri" w:eastAsia="Times New Roman" w:hAnsi="Calibri" w:cs="Calibri"/>
          <w:kern w:val="0"/>
          <w14:ligatures w14:val="none"/>
        </w:rPr>
        <w:t>. Critical gaps remain in understanding how market systems operate across formal and informal channels, the roles of market actors, and the availability of supporting services</w:t>
      </w:r>
      <w:r w:rsidR="0064271F" w:rsidRPr="00426CF0">
        <w:rPr>
          <w:rFonts w:ascii="Calibri" w:eastAsia="Times New Roman" w:hAnsi="Calibri" w:cs="Calibri"/>
          <w:kern w:val="0"/>
          <w14:ligatures w14:val="none"/>
        </w:rPr>
        <w:t xml:space="preserve"> </w:t>
      </w:r>
      <w:r w:rsidR="0064271F" w:rsidRPr="00426CF0">
        <w:rPr>
          <w:rFonts w:ascii="Calibri" w:hAnsi="Calibri" w:cs="Calibri"/>
        </w:rPr>
        <w:t>(</w:t>
      </w:r>
      <w:proofErr w:type="spellStart"/>
      <w:r w:rsidR="0064271F" w:rsidRPr="00426CF0">
        <w:rPr>
          <w:rFonts w:ascii="Calibri" w:hAnsi="Calibri" w:cs="Calibri"/>
        </w:rPr>
        <w:t>Mankhin</w:t>
      </w:r>
      <w:proofErr w:type="spellEnd"/>
      <w:r w:rsidR="0064271F" w:rsidRPr="00426CF0">
        <w:rPr>
          <w:rFonts w:ascii="Calibri" w:hAnsi="Calibri" w:cs="Calibri"/>
        </w:rPr>
        <w:t> et al., 2024)</w:t>
      </w:r>
      <w:r w:rsidRPr="00426CF0">
        <w:rPr>
          <w:rFonts w:ascii="Calibri" w:eastAsia="Times New Roman" w:hAnsi="Calibri" w:cs="Calibri"/>
          <w:kern w:val="0"/>
          <w14:ligatures w14:val="none"/>
        </w:rPr>
        <w:t>.</w:t>
      </w:r>
      <w:r w:rsidR="00E70E0A" w:rsidRPr="00426CF0">
        <w:rPr>
          <w:rFonts w:ascii="Calibri" w:eastAsia="Times New Roman" w:hAnsi="Calibri" w:cs="Calibri"/>
          <w:kern w:val="0"/>
          <w14:ligatures w14:val="none"/>
        </w:rPr>
        <w:t xml:space="preserve"> This study aims to examine how agricultural market systems influence smallholder livelihoods, with a particular focus on identifying key challenges and opportunities for improving market participation. By exploring the interactions among market actors</w:t>
      </w:r>
      <w:r w:rsidR="00D80C69" w:rsidRPr="00426CF0">
        <w:rPr>
          <w:rFonts w:ascii="Calibri" w:eastAsia="Times New Roman" w:hAnsi="Calibri" w:cs="Calibri"/>
          <w:kern w:val="0"/>
          <w14:ligatures w14:val="none"/>
        </w:rPr>
        <w:t xml:space="preserve"> </w:t>
      </w:r>
      <w:r w:rsidR="00E70E0A" w:rsidRPr="00426CF0">
        <w:rPr>
          <w:rFonts w:ascii="Calibri" w:eastAsia="Times New Roman" w:hAnsi="Calibri" w:cs="Calibri"/>
          <w:kern w:val="0"/>
          <w14:ligatures w14:val="none"/>
        </w:rPr>
        <w:t xml:space="preserve">and farmers’ decision-making, the </w:t>
      </w:r>
      <w:r w:rsidR="00D80C69" w:rsidRPr="00426CF0">
        <w:rPr>
          <w:rFonts w:ascii="Calibri" w:eastAsia="Times New Roman" w:hAnsi="Calibri" w:cs="Calibri"/>
          <w:kern w:val="0"/>
          <w14:ligatures w14:val="none"/>
        </w:rPr>
        <w:t>study</w:t>
      </w:r>
      <w:r w:rsidR="00E70E0A" w:rsidRPr="00426CF0">
        <w:rPr>
          <w:rFonts w:ascii="Calibri" w:eastAsia="Times New Roman" w:hAnsi="Calibri" w:cs="Calibri"/>
          <w:kern w:val="0"/>
          <w14:ligatures w14:val="none"/>
        </w:rPr>
        <w:t xml:space="preserve"> seeks to develop a comprehensive understanding of agricultural market dynamics. Although previous studies have addressed individual factors such as technology adoption, credit access, and production challenges, limited research has examined the combined effects of market system opportunities and challenges on smallholder livelihood outcomes within the local context. This study addresses this gap by analyzing smallholder engagement in agricultural market systems and assessing how market participation affects income generation, value addition, and overall livelihood improvement. </w:t>
      </w:r>
      <w:r w:rsidR="00477063" w:rsidRPr="00426CF0">
        <w:rPr>
          <w:rFonts w:ascii="Calibri" w:eastAsia="Times New Roman" w:hAnsi="Calibri" w:cs="Calibri"/>
          <w:kern w:val="0"/>
          <w14:ligatures w14:val="none"/>
        </w:rPr>
        <w:t>The findings are expected to contribute to strengthening agricultural market systems and enhancing smallholder livelihoods in Rangpur District.</w:t>
      </w:r>
    </w:p>
    <w:p w14:paraId="082F8262" w14:textId="77777777" w:rsidR="00E70E0A" w:rsidRPr="00426CF0" w:rsidRDefault="00E70E0A" w:rsidP="00426CF0">
      <w:pPr>
        <w:spacing w:after="0" w:line="240" w:lineRule="auto"/>
        <w:jc w:val="both"/>
        <w:rPr>
          <w:rFonts w:ascii="Calibri" w:eastAsia="Times New Roman" w:hAnsi="Calibri" w:cs="Calibri"/>
          <w:kern w:val="0"/>
          <w14:ligatures w14:val="none"/>
        </w:rPr>
      </w:pPr>
    </w:p>
    <w:p w14:paraId="6A679A0D" w14:textId="3A0ABB95" w:rsidR="001A5910" w:rsidRPr="00426CF0" w:rsidRDefault="00C5311A"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2. </w:t>
      </w:r>
      <w:r w:rsidR="001A5910" w:rsidRPr="00426CF0">
        <w:rPr>
          <w:rFonts w:ascii="Calibri" w:hAnsi="Calibri" w:cs="Calibri"/>
          <w:b/>
          <w:bCs/>
          <w:color w:val="auto"/>
          <w:sz w:val="22"/>
          <w:szCs w:val="22"/>
        </w:rPr>
        <w:t>METHODS AND MATERIALS</w:t>
      </w:r>
    </w:p>
    <w:p w14:paraId="3C653F17" w14:textId="77777777" w:rsidR="008B2CBC" w:rsidRPr="00426CF0" w:rsidRDefault="006B3086"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2.1 </w:t>
      </w:r>
      <w:r w:rsidR="00E12560" w:rsidRPr="00426CF0">
        <w:rPr>
          <w:rFonts w:ascii="Calibri" w:hAnsi="Calibri" w:cs="Calibri"/>
          <w:b/>
          <w:bCs/>
          <w:color w:val="auto"/>
          <w:sz w:val="22"/>
          <w:szCs w:val="22"/>
        </w:rPr>
        <w:t>Study methodology</w:t>
      </w:r>
    </w:p>
    <w:p w14:paraId="5D1624B5" w14:textId="36B4426E" w:rsidR="008B2CBC" w:rsidRPr="00426CF0" w:rsidRDefault="008B2CBC" w:rsidP="00426CF0">
      <w:pPr>
        <w:pStyle w:val="Default"/>
        <w:jc w:val="both"/>
        <w:rPr>
          <w:rFonts w:ascii="Calibri" w:hAnsi="Calibri" w:cs="Calibri"/>
          <w:b/>
          <w:bCs/>
          <w:color w:val="auto"/>
          <w:sz w:val="22"/>
          <w:szCs w:val="22"/>
        </w:rPr>
      </w:pPr>
      <w:r w:rsidRPr="00426CF0">
        <w:rPr>
          <w:rFonts w:ascii="Calibri" w:eastAsia="Times New Roman" w:hAnsi="Calibri" w:cs="Calibri"/>
          <w:color w:val="auto"/>
          <w:sz w:val="22"/>
          <w:szCs w:val="22"/>
          <w14:ligatures w14:val="none"/>
        </w:rPr>
        <w:t>The study employed a mixed-methods approach to examine smallholder livelihoods and agricultural market systems. Quantitative data were collected using a structured questionnaire from farmers across the study areas, while qualitative insights were obtained through focus group discussions with lead farmers and key informant interviews with government officials and market actors. The data were analyzed to identify key challenges, opportunities, and strategies for promoting market-driven livelihood improvement.</w:t>
      </w:r>
    </w:p>
    <w:p w14:paraId="353485DE" w14:textId="77777777" w:rsidR="006B3086" w:rsidRPr="00426CF0" w:rsidRDefault="006B3086" w:rsidP="00426CF0">
      <w:pPr>
        <w:pStyle w:val="Default"/>
        <w:jc w:val="both"/>
        <w:rPr>
          <w:rFonts w:ascii="Calibri" w:hAnsi="Calibri" w:cs="Calibri"/>
          <w:b/>
          <w:bCs/>
          <w:color w:val="auto"/>
          <w:sz w:val="22"/>
          <w:szCs w:val="22"/>
        </w:rPr>
      </w:pPr>
    </w:p>
    <w:p w14:paraId="1EBBC1AC" w14:textId="5A07EEC7" w:rsidR="001A5910" w:rsidRPr="00426CF0" w:rsidRDefault="006B3086" w:rsidP="00426CF0">
      <w:pPr>
        <w:pStyle w:val="NormalWeb"/>
        <w:spacing w:before="0" w:beforeAutospacing="0" w:after="0" w:afterAutospacing="0"/>
        <w:jc w:val="both"/>
        <w:rPr>
          <w:rFonts w:ascii="Calibri" w:hAnsi="Calibri" w:cs="Calibri"/>
          <w:sz w:val="22"/>
          <w:szCs w:val="22"/>
        </w:rPr>
      </w:pPr>
      <w:r w:rsidRPr="00426CF0">
        <w:rPr>
          <w:rFonts w:ascii="Calibri" w:hAnsi="Calibri" w:cs="Calibri"/>
          <w:b/>
          <w:sz w:val="22"/>
          <w:szCs w:val="22"/>
        </w:rPr>
        <w:t>2.</w:t>
      </w:r>
      <w:r w:rsidR="009B36F2" w:rsidRPr="00426CF0">
        <w:rPr>
          <w:rFonts w:ascii="Calibri" w:hAnsi="Calibri" w:cs="Calibri"/>
          <w:b/>
          <w:sz w:val="22"/>
          <w:szCs w:val="22"/>
        </w:rPr>
        <w:t>2</w:t>
      </w:r>
      <w:r w:rsidR="001A5910" w:rsidRPr="00426CF0">
        <w:rPr>
          <w:rFonts w:ascii="Calibri" w:hAnsi="Calibri" w:cs="Calibri"/>
          <w:b/>
          <w:sz w:val="22"/>
          <w:szCs w:val="22"/>
        </w:rPr>
        <w:t xml:space="preserve"> Sampling and sampling design</w:t>
      </w:r>
    </w:p>
    <w:p w14:paraId="55007FEF" w14:textId="19C6C3F2" w:rsidR="007E7105" w:rsidRPr="00426CF0" w:rsidRDefault="006844EA" w:rsidP="00426CF0">
      <w:pPr>
        <w:pStyle w:val="NormalWeb"/>
        <w:spacing w:before="0" w:beforeAutospacing="0" w:after="0" w:afterAutospacing="0"/>
        <w:jc w:val="both"/>
        <w:rPr>
          <w:rFonts w:ascii="Calibri" w:hAnsi="Calibri" w:cs="Calibri"/>
          <w:bCs/>
          <w:sz w:val="22"/>
          <w:szCs w:val="22"/>
        </w:rPr>
      </w:pPr>
      <w:r w:rsidRPr="00426CF0">
        <w:rPr>
          <w:rFonts w:ascii="Calibri" w:hAnsi="Calibri" w:cs="Calibri"/>
          <w:bCs/>
          <w:sz w:val="22"/>
          <w:szCs w:val="22"/>
        </w:rPr>
        <w:t xml:space="preserve">A </w:t>
      </w:r>
      <w:r w:rsidR="00476E3D" w:rsidRPr="00426CF0">
        <w:rPr>
          <w:rFonts w:ascii="Calibri" w:hAnsi="Calibri" w:cs="Calibri"/>
          <w:bCs/>
          <w:sz w:val="22"/>
          <w:szCs w:val="22"/>
        </w:rPr>
        <w:t>multistage</w:t>
      </w:r>
      <w:r w:rsidRPr="00426CF0">
        <w:rPr>
          <w:rFonts w:ascii="Calibri" w:hAnsi="Calibri" w:cs="Calibri"/>
          <w:bCs/>
          <w:sz w:val="22"/>
          <w:szCs w:val="22"/>
        </w:rPr>
        <w:t xml:space="preserve"> sampling approach was adopted to ensure reliability and representativeness in the quantitative survey. The required sample size was determined to be 120 farmers, proportionately distributed across Rangpur Sadar (40), Mithapukur (40), and Pirganj (40) in the Rangpur district. Respondents were randomly selected within each </w:t>
      </w:r>
      <w:r w:rsidR="0013184D" w:rsidRPr="00426CF0">
        <w:rPr>
          <w:rFonts w:ascii="Calibri" w:hAnsi="Calibri" w:cs="Calibri"/>
          <w:bCs/>
          <w:sz w:val="22"/>
          <w:szCs w:val="22"/>
        </w:rPr>
        <w:t>Upazila</w:t>
      </w:r>
      <w:r w:rsidRPr="00426CF0">
        <w:rPr>
          <w:rFonts w:ascii="Calibri" w:hAnsi="Calibri" w:cs="Calibri"/>
          <w:bCs/>
          <w:sz w:val="22"/>
          <w:szCs w:val="22"/>
        </w:rPr>
        <w:t xml:space="preserve"> to minimize bias. Sample villages were carefully identified to capture diverse farming contexts, ensuring fairness, objectivity, and adequate representation of local agricultural practices across the three sub-districts.</w:t>
      </w:r>
      <w:r w:rsidR="0013184D" w:rsidRPr="00426CF0">
        <w:rPr>
          <w:rFonts w:ascii="Calibri" w:hAnsi="Calibri" w:cs="Calibri"/>
          <w:bCs/>
          <w:sz w:val="22"/>
          <w:szCs w:val="22"/>
        </w:rPr>
        <w:t xml:space="preserve"> In addition, 6 Focus Group Discussions (FGDs) with </w:t>
      </w:r>
      <w:r w:rsidR="00F87D50" w:rsidRPr="00426CF0">
        <w:rPr>
          <w:rFonts w:ascii="Calibri" w:hAnsi="Calibri" w:cs="Calibri"/>
          <w:bCs/>
          <w:sz w:val="22"/>
          <w:szCs w:val="22"/>
        </w:rPr>
        <w:t xml:space="preserve">lead </w:t>
      </w:r>
      <w:r w:rsidR="0013184D" w:rsidRPr="00426CF0">
        <w:rPr>
          <w:rFonts w:ascii="Calibri" w:hAnsi="Calibri" w:cs="Calibri"/>
          <w:bCs/>
          <w:sz w:val="22"/>
          <w:szCs w:val="22"/>
        </w:rPr>
        <w:t xml:space="preserve">farmers and 9 Key Informant Interviews (KIIs) with government officials from the Department of Agricultural Extension (DAE) and market actors. </w:t>
      </w:r>
    </w:p>
    <w:p w14:paraId="7B47D6B3" w14:textId="77777777" w:rsidR="00AF58F1" w:rsidRDefault="00AF58F1" w:rsidP="00426CF0">
      <w:pPr>
        <w:spacing w:after="0" w:line="240" w:lineRule="auto"/>
        <w:jc w:val="both"/>
        <w:rPr>
          <w:rFonts w:ascii="Calibri" w:hAnsi="Calibri" w:cs="Calibri"/>
          <w:b/>
          <w:iCs/>
        </w:rPr>
      </w:pPr>
    </w:p>
    <w:p w14:paraId="6F3F480D" w14:textId="32B81CAA" w:rsidR="001A5910" w:rsidRPr="00426CF0" w:rsidRDefault="001A5910" w:rsidP="00426CF0">
      <w:pPr>
        <w:spacing w:after="0" w:line="240" w:lineRule="auto"/>
        <w:jc w:val="both"/>
        <w:rPr>
          <w:rFonts w:ascii="Calibri" w:hAnsi="Calibri" w:cs="Calibri"/>
          <w:b/>
          <w:iCs/>
        </w:rPr>
      </w:pPr>
      <w:r w:rsidRPr="00426CF0">
        <w:rPr>
          <w:rFonts w:ascii="Calibri" w:hAnsi="Calibri" w:cs="Calibri"/>
          <w:b/>
          <w:iCs/>
        </w:rPr>
        <w:t>2.</w:t>
      </w:r>
      <w:r w:rsidR="00F87D50" w:rsidRPr="00426CF0">
        <w:rPr>
          <w:rFonts w:ascii="Calibri" w:hAnsi="Calibri" w:cs="Calibri"/>
          <w:b/>
          <w:iCs/>
        </w:rPr>
        <w:t>3</w:t>
      </w:r>
      <w:r w:rsidRPr="00426CF0">
        <w:rPr>
          <w:rFonts w:ascii="Calibri" w:hAnsi="Calibri" w:cs="Calibri"/>
          <w:b/>
          <w:iCs/>
        </w:rPr>
        <w:t xml:space="preserve"> Study tools development</w:t>
      </w:r>
    </w:p>
    <w:p w14:paraId="3AFF43D4" w14:textId="21B0186A" w:rsidR="009B36F2" w:rsidRPr="00426CF0" w:rsidRDefault="00D42A11" w:rsidP="00426CF0">
      <w:pPr>
        <w:pStyle w:val="Default"/>
        <w:jc w:val="both"/>
        <w:rPr>
          <w:rFonts w:ascii="Calibri" w:hAnsi="Calibri" w:cs="Calibri"/>
          <w:bCs/>
          <w:iCs/>
          <w:color w:val="auto"/>
          <w:kern w:val="2"/>
          <w:sz w:val="22"/>
          <w:szCs w:val="22"/>
        </w:rPr>
      </w:pPr>
      <w:r w:rsidRPr="00426CF0">
        <w:rPr>
          <w:rFonts w:ascii="Calibri" w:hAnsi="Calibri" w:cs="Calibri"/>
          <w:bCs/>
          <w:iCs/>
          <w:color w:val="auto"/>
          <w:kern w:val="2"/>
          <w:sz w:val="22"/>
          <w:szCs w:val="22"/>
        </w:rPr>
        <w:t xml:space="preserve">Study tools were developed to systematically collect reliable and relevant data in alignment with the research objectives. The process began with a review of secondary documents, followed by the drafting of a survey questionnaire, which was subsequently refined based on feedback from local experts. Qualitative tools, including Focus Group Discussion (FGD) and Key Informant Interview (KII) guides, were carefully designed to reflect the local context and cultural </w:t>
      </w:r>
      <w:r w:rsidR="00F87D50" w:rsidRPr="00426CF0">
        <w:rPr>
          <w:rFonts w:ascii="Calibri" w:hAnsi="Calibri" w:cs="Calibri"/>
          <w:bCs/>
          <w:iCs/>
          <w:color w:val="auto"/>
          <w:kern w:val="2"/>
          <w:sz w:val="22"/>
          <w:szCs w:val="22"/>
        </w:rPr>
        <w:t>suitability</w:t>
      </w:r>
      <w:r w:rsidRPr="00426CF0">
        <w:rPr>
          <w:rFonts w:ascii="Calibri" w:hAnsi="Calibri" w:cs="Calibri"/>
          <w:bCs/>
          <w:iCs/>
          <w:color w:val="auto"/>
          <w:kern w:val="2"/>
          <w:sz w:val="22"/>
          <w:szCs w:val="22"/>
        </w:rPr>
        <w:t>. All tools were pre-tested to ensure clarity, reliability, and contextual relevance, thereby supporting comprehensive and accurate data collection.</w:t>
      </w:r>
    </w:p>
    <w:p w14:paraId="1948016E" w14:textId="77777777" w:rsidR="00D42A11" w:rsidRPr="00426CF0" w:rsidRDefault="00D42A11" w:rsidP="00426CF0">
      <w:pPr>
        <w:pStyle w:val="Default"/>
        <w:jc w:val="both"/>
        <w:rPr>
          <w:rFonts w:ascii="Calibri" w:hAnsi="Calibri" w:cs="Calibri"/>
          <w:b/>
          <w:bCs/>
          <w:color w:val="auto"/>
          <w:kern w:val="2"/>
          <w:sz w:val="22"/>
          <w:szCs w:val="22"/>
        </w:rPr>
      </w:pPr>
    </w:p>
    <w:p w14:paraId="535808A5" w14:textId="750CA6D6" w:rsidR="009B36F2" w:rsidRPr="00426CF0" w:rsidRDefault="009B36F2" w:rsidP="00426CF0">
      <w:pPr>
        <w:pStyle w:val="Default"/>
        <w:jc w:val="both"/>
        <w:rPr>
          <w:rFonts w:ascii="Calibri" w:hAnsi="Calibri" w:cs="Calibri"/>
          <w:b/>
          <w:bCs/>
          <w:color w:val="auto"/>
          <w:sz w:val="22"/>
          <w:szCs w:val="22"/>
        </w:rPr>
      </w:pPr>
      <w:r w:rsidRPr="00426CF0">
        <w:rPr>
          <w:rFonts w:ascii="Calibri" w:hAnsi="Calibri" w:cs="Calibri"/>
          <w:b/>
          <w:bCs/>
          <w:color w:val="auto"/>
          <w:kern w:val="2"/>
          <w:sz w:val="22"/>
          <w:szCs w:val="22"/>
        </w:rPr>
        <w:lastRenderedPageBreak/>
        <w:t>2.</w:t>
      </w:r>
      <w:r w:rsidR="00F87D50" w:rsidRPr="00426CF0">
        <w:rPr>
          <w:rFonts w:ascii="Calibri" w:hAnsi="Calibri" w:cs="Calibri"/>
          <w:b/>
          <w:bCs/>
          <w:color w:val="auto"/>
          <w:kern w:val="2"/>
          <w:sz w:val="22"/>
          <w:szCs w:val="22"/>
        </w:rPr>
        <w:t>4</w:t>
      </w:r>
      <w:r w:rsidRPr="00426CF0">
        <w:rPr>
          <w:rFonts w:ascii="Calibri" w:hAnsi="Calibri" w:cs="Calibri"/>
          <w:b/>
          <w:bCs/>
          <w:color w:val="auto"/>
          <w:kern w:val="2"/>
          <w:sz w:val="22"/>
          <w:szCs w:val="22"/>
        </w:rPr>
        <w:t xml:space="preserve"> Geographical location of the study area. </w:t>
      </w:r>
    </w:p>
    <w:p w14:paraId="7350957A" w14:textId="10AFDB05" w:rsidR="009B36F2" w:rsidRDefault="00AF58F1" w:rsidP="00426CF0">
      <w:pPr>
        <w:pStyle w:val="Default"/>
        <w:jc w:val="both"/>
        <w:rPr>
          <w:rFonts w:ascii="Calibri" w:hAnsi="Calibri" w:cs="Calibri"/>
          <w:color w:val="auto"/>
          <w:kern w:val="2"/>
          <w:sz w:val="22"/>
          <w:szCs w:val="22"/>
        </w:rPr>
      </w:pPr>
      <w:r>
        <w:rPr>
          <w:noProof/>
        </w:rPr>
        <mc:AlternateContent>
          <mc:Choice Requires="wps">
            <w:drawing>
              <wp:anchor distT="0" distB="0" distL="114300" distR="114300" simplePos="0" relativeHeight="251664384" behindDoc="0" locked="0" layoutInCell="1" allowOverlap="1" wp14:anchorId="3ABDC191" wp14:editId="63F7F2A1">
                <wp:simplePos x="0" y="0"/>
                <wp:positionH relativeFrom="column">
                  <wp:posOffset>93980</wp:posOffset>
                </wp:positionH>
                <wp:positionV relativeFrom="paragraph">
                  <wp:posOffset>4413250</wp:posOffset>
                </wp:positionV>
                <wp:extent cx="54444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44490" cy="635"/>
                        </a:xfrm>
                        <a:prstGeom prst="rect">
                          <a:avLst/>
                        </a:prstGeom>
                        <a:solidFill>
                          <a:prstClr val="white"/>
                        </a:solidFill>
                        <a:ln>
                          <a:noFill/>
                        </a:ln>
                      </wps:spPr>
                      <wps:txbx>
                        <w:txbxContent>
                          <w:p w14:paraId="0D9C5D97" w14:textId="1CD1CE54" w:rsidR="004A56EC" w:rsidRPr="004A56EC" w:rsidRDefault="004A56EC" w:rsidP="004A56EC">
                            <w:pPr>
                              <w:pStyle w:val="Caption"/>
                              <w:jc w:val="center"/>
                              <w:rPr>
                                <w:rFonts w:ascii="Calibri" w:hAnsi="Calibri" w:cs="Calibri"/>
                                <w:i w:val="0"/>
                                <w:noProof/>
                                <w:color w:val="auto"/>
                                <w:sz w:val="20"/>
                                <w:szCs w:val="20"/>
                              </w:rPr>
                            </w:pPr>
                            <w:r w:rsidRPr="004A56EC">
                              <w:rPr>
                                <w:rFonts w:ascii="Calibri" w:hAnsi="Calibri" w:cs="Calibri"/>
                                <w:i w:val="0"/>
                                <w:color w:val="auto"/>
                                <w:sz w:val="20"/>
                                <w:szCs w:val="20"/>
                              </w:rPr>
                              <w:t xml:space="preserve">Figure </w:t>
                            </w:r>
                            <w:r w:rsidRPr="004A56EC">
                              <w:rPr>
                                <w:rFonts w:ascii="Calibri" w:hAnsi="Calibri" w:cs="Calibri"/>
                                <w:i w:val="0"/>
                                <w:color w:val="auto"/>
                                <w:sz w:val="20"/>
                                <w:szCs w:val="20"/>
                              </w:rPr>
                              <w:fldChar w:fldCharType="begin"/>
                            </w:r>
                            <w:r w:rsidRPr="004A56EC">
                              <w:rPr>
                                <w:rFonts w:ascii="Calibri" w:hAnsi="Calibri" w:cs="Calibri"/>
                                <w:i w:val="0"/>
                                <w:color w:val="auto"/>
                                <w:sz w:val="20"/>
                                <w:szCs w:val="20"/>
                              </w:rPr>
                              <w:instrText xml:space="preserve"> SEQ Figure \* ARABIC </w:instrText>
                            </w:r>
                            <w:r w:rsidRPr="004A56EC">
                              <w:rPr>
                                <w:rFonts w:ascii="Calibri" w:hAnsi="Calibri" w:cs="Calibri"/>
                                <w:i w:val="0"/>
                                <w:color w:val="auto"/>
                                <w:sz w:val="20"/>
                                <w:szCs w:val="20"/>
                              </w:rPr>
                              <w:fldChar w:fldCharType="separate"/>
                            </w:r>
                            <w:r w:rsidRPr="004A56EC">
                              <w:rPr>
                                <w:rFonts w:ascii="Calibri" w:hAnsi="Calibri" w:cs="Calibri"/>
                                <w:i w:val="0"/>
                                <w:noProof/>
                                <w:color w:val="auto"/>
                                <w:sz w:val="20"/>
                                <w:szCs w:val="20"/>
                              </w:rPr>
                              <w:t>1</w:t>
                            </w:r>
                            <w:r w:rsidRPr="004A56EC">
                              <w:rPr>
                                <w:rFonts w:ascii="Calibri" w:hAnsi="Calibri" w:cs="Calibri"/>
                                <w:i w:val="0"/>
                                <w:color w:val="auto"/>
                                <w:sz w:val="20"/>
                                <w:szCs w:val="20"/>
                              </w:rPr>
                              <w:fldChar w:fldCharType="end"/>
                            </w:r>
                            <w:r w:rsidRPr="004A56EC">
                              <w:rPr>
                                <w:rFonts w:ascii="Calibri" w:hAnsi="Calibri" w:cs="Calibri"/>
                                <w:i w:val="0"/>
                                <w:color w:val="auto"/>
                                <w:sz w:val="20"/>
                                <w:szCs w:val="20"/>
                              </w:rPr>
                              <w:t>: Geographical location of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BDC191" id="_x0000_t202" coordsize="21600,21600" o:spt="202" path="m,l,21600r21600,l21600,xe">
                <v:stroke joinstyle="miter"/>
                <v:path gradientshapeok="t" o:connecttype="rect"/>
              </v:shapetype>
              <v:shape id="Text Box 1" o:spid="_x0000_s1026" type="#_x0000_t202" style="position:absolute;left:0;text-align:left;margin-left:7.4pt;margin-top:347.5pt;width:428.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" stroked="f">
                <v:textbox style="mso-fit-shape-to-text:t" inset="0,0,0,0">
                  <w:txbxContent>
                    <w:p w14:paraId="0D9C5D97" w14:textId="1CD1CE54" w:rsidR="004A56EC" w:rsidRPr="004A56EC" w:rsidRDefault="004A56EC" w:rsidP="004A56EC">
                      <w:pPr>
                        <w:pStyle w:val="Caption"/>
                        <w:jc w:val="center"/>
                        <w:rPr>
                          <w:rFonts w:ascii="Calibri" w:hAnsi="Calibri" w:cs="Calibri"/>
                          <w:i w:val="0"/>
                          <w:noProof/>
                          <w:color w:val="auto"/>
                          <w:sz w:val="20"/>
                          <w:szCs w:val="20"/>
                        </w:rPr>
                      </w:pPr>
                      <w:r w:rsidRPr="004A56EC">
                        <w:rPr>
                          <w:rFonts w:ascii="Calibri" w:hAnsi="Calibri" w:cs="Calibri"/>
                          <w:i w:val="0"/>
                          <w:color w:val="auto"/>
                          <w:sz w:val="20"/>
                          <w:szCs w:val="20"/>
                        </w:rPr>
                        <w:t xml:space="preserve">Figure </w:t>
                      </w:r>
                      <w:r w:rsidRPr="004A56EC">
                        <w:rPr>
                          <w:rFonts w:ascii="Calibri" w:hAnsi="Calibri" w:cs="Calibri"/>
                          <w:i w:val="0"/>
                          <w:color w:val="auto"/>
                          <w:sz w:val="20"/>
                          <w:szCs w:val="20"/>
                        </w:rPr>
                        <w:fldChar w:fldCharType="begin"/>
                      </w:r>
                      <w:r w:rsidRPr="004A56EC">
                        <w:rPr>
                          <w:rFonts w:ascii="Calibri" w:hAnsi="Calibri" w:cs="Calibri"/>
                          <w:i w:val="0"/>
                          <w:color w:val="auto"/>
                          <w:sz w:val="20"/>
                          <w:szCs w:val="20"/>
                        </w:rPr>
                        <w:instrText xml:space="preserve"> SEQ Figure \* ARABIC </w:instrText>
                      </w:r>
                      <w:r w:rsidRPr="004A56EC">
                        <w:rPr>
                          <w:rFonts w:ascii="Calibri" w:hAnsi="Calibri" w:cs="Calibri"/>
                          <w:i w:val="0"/>
                          <w:color w:val="auto"/>
                          <w:sz w:val="20"/>
                          <w:szCs w:val="20"/>
                        </w:rPr>
                        <w:fldChar w:fldCharType="separate"/>
                      </w:r>
                      <w:r w:rsidRPr="004A56EC">
                        <w:rPr>
                          <w:rFonts w:ascii="Calibri" w:hAnsi="Calibri" w:cs="Calibri"/>
                          <w:i w:val="0"/>
                          <w:noProof/>
                          <w:color w:val="auto"/>
                          <w:sz w:val="20"/>
                          <w:szCs w:val="20"/>
                        </w:rPr>
                        <w:t>1</w:t>
                      </w:r>
                      <w:r w:rsidRPr="004A56EC">
                        <w:rPr>
                          <w:rFonts w:ascii="Calibri" w:hAnsi="Calibri" w:cs="Calibri"/>
                          <w:i w:val="0"/>
                          <w:color w:val="auto"/>
                          <w:sz w:val="20"/>
                          <w:szCs w:val="20"/>
                        </w:rPr>
                        <w:fldChar w:fldCharType="end"/>
                      </w:r>
                      <w:r w:rsidRPr="004A56EC">
                        <w:rPr>
                          <w:rFonts w:ascii="Calibri" w:hAnsi="Calibri" w:cs="Calibri"/>
                          <w:i w:val="0"/>
                          <w:color w:val="auto"/>
                          <w:sz w:val="20"/>
                          <w:szCs w:val="20"/>
                        </w:rPr>
                        <w:t>: Geographical location of the study area.</w:t>
                      </w:r>
                    </w:p>
                  </w:txbxContent>
                </v:textbox>
                <w10:wrap type="square"/>
              </v:shape>
            </w:pict>
          </mc:Fallback>
        </mc:AlternateContent>
      </w:r>
      <w:r>
        <w:rPr>
          <w:noProof/>
        </w:rPr>
        <w:drawing>
          <wp:anchor distT="0" distB="0" distL="114300" distR="114300" simplePos="0" relativeHeight="251662336" behindDoc="0" locked="0" layoutInCell="1" allowOverlap="1" wp14:anchorId="723557BA" wp14:editId="793B066E">
            <wp:simplePos x="0" y="0"/>
            <wp:positionH relativeFrom="column">
              <wp:posOffset>196850</wp:posOffset>
            </wp:positionH>
            <wp:positionV relativeFrom="paragraph">
              <wp:posOffset>756285</wp:posOffset>
            </wp:positionV>
            <wp:extent cx="5257800" cy="365696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65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6F2" w:rsidRPr="00426CF0">
        <w:rPr>
          <w:rFonts w:ascii="Calibri" w:hAnsi="Calibri" w:cs="Calibri"/>
          <w:color w:val="auto"/>
          <w:kern w:val="2"/>
          <w:sz w:val="22"/>
          <w:szCs w:val="22"/>
        </w:rPr>
        <w:t>The study was conducted in Rangpur district</w:t>
      </w:r>
      <w:r w:rsidR="00E34217" w:rsidRPr="00426CF0">
        <w:rPr>
          <w:rFonts w:ascii="Calibri" w:hAnsi="Calibri" w:cs="Calibri"/>
          <w:color w:val="auto"/>
          <w:kern w:val="2"/>
          <w:sz w:val="22"/>
          <w:szCs w:val="22"/>
        </w:rPr>
        <w:t>,</w:t>
      </w:r>
      <w:r w:rsidR="009B36F2" w:rsidRPr="00426CF0">
        <w:rPr>
          <w:rFonts w:ascii="Calibri" w:hAnsi="Calibri" w:cs="Calibri"/>
          <w:color w:val="auto"/>
          <w:kern w:val="2"/>
          <w:sz w:val="22"/>
          <w:szCs w:val="22"/>
        </w:rPr>
        <w:t xml:space="preserve"> focusing </w:t>
      </w:r>
      <w:r w:rsidR="00E34217" w:rsidRPr="00426CF0">
        <w:rPr>
          <w:rFonts w:ascii="Calibri" w:hAnsi="Calibri" w:cs="Calibri"/>
          <w:color w:val="auto"/>
          <w:kern w:val="2"/>
          <w:sz w:val="22"/>
          <w:szCs w:val="22"/>
        </w:rPr>
        <w:t>on</w:t>
      </w:r>
      <w:r w:rsidR="009B36F2" w:rsidRPr="00426CF0">
        <w:rPr>
          <w:rFonts w:ascii="Calibri" w:hAnsi="Calibri" w:cs="Calibri"/>
          <w:color w:val="auto"/>
          <w:kern w:val="2"/>
          <w:sz w:val="22"/>
          <w:szCs w:val="22"/>
        </w:rPr>
        <w:t xml:space="preserve"> Rangpur Sadar, Mithapukur, and Pirganj</w:t>
      </w:r>
      <w:r w:rsidR="00E34217" w:rsidRPr="00426CF0">
        <w:rPr>
          <w:rFonts w:ascii="Calibri" w:hAnsi="Calibri" w:cs="Calibri"/>
          <w:color w:val="auto"/>
          <w:kern w:val="2"/>
          <w:sz w:val="22"/>
          <w:szCs w:val="22"/>
        </w:rPr>
        <w:t xml:space="preserve"> Upazila</w:t>
      </w:r>
      <w:r w:rsidR="009B36F2" w:rsidRPr="00426CF0">
        <w:rPr>
          <w:rFonts w:ascii="Calibri" w:hAnsi="Calibri" w:cs="Calibri"/>
          <w:color w:val="auto"/>
          <w:kern w:val="2"/>
          <w:sz w:val="22"/>
          <w:szCs w:val="22"/>
        </w:rPr>
        <w:t>. These areas represent diverse agro-ecological zones, supporting a variety of agricultural activities. The selected locations provide a representative sample of farming practices, socio-economic conditions, and market access within northern Bangladesh.</w:t>
      </w:r>
    </w:p>
    <w:p w14:paraId="6B5B349D" w14:textId="6922E915" w:rsidR="001A5910" w:rsidRPr="00426CF0" w:rsidRDefault="001A5910" w:rsidP="00426CF0">
      <w:pPr>
        <w:pStyle w:val="Default"/>
        <w:jc w:val="both"/>
        <w:rPr>
          <w:rFonts w:ascii="Calibri" w:eastAsia="Times New Roman" w:hAnsi="Calibri" w:cs="Calibri"/>
          <w:b/>
          <w:bCs/>
          <w:color w:val="auto"/>
          <w:sz w:val="22"/>
          <w:szCs w:val="22"/>
        </w:rPr>
      </w:pPr>
      <w:r w:rsidRPr="00426CF0">
        <w:rPr>
          <w:rFonts w:ascii="Calibri" w:eastAsia="Times New Roman" w:hAnsi="Calibri" w:cs="Calibri"/>
          <w:b/>
          <w:bCs/>
          <w:color w:val="auto"/>
          <w:sz w:val="22"/>
          <w:szCs w:val="22"/>
        </w:rPr>
        <w:t>2.</w:t>
      </w:r>
      <w:r w:rsidR="00F87D50" w:rsidRPr="00426CF0">
        <w:rPr>
          <w:rFonts w:ascii="Calibri" w:eastAsia="Times New Roman" w:hAnsi="Calibri" w:cs="Calibri"/>
          <w:b/>
          <w:bCs/>
          <w:color w:val="auto"/>
          <w:sz w:val="22"/>
          <w:szCs w:val="22"/>
        </w:rPr>
        <w:t>5</w:t>
      </w:r>
      <w:r w:rsidR="007E7105" w:rsidRPr="00426CF0">
        <w:rPr>
          <w:rFonts w:ascii="Calibri" w:eastAsia="Times New Roman" w:hAnsi="Calibri" w:cs="Calibri"/>
          <w:b/>
          <w:bCs/>
          <w:color w:val="auto"/>
          <w:sz w:val="22"/>
          <w:szCs w:val="22"/>
        </w:rPr>
        <w:t xml:space="preserve"> </w:t>
      </w:r>
      <w:r w:rsidRPr="00426CF0">
        <w:rPr>
          <w:rFonts w:ascii="Calibri" w:eastAsia="Times New Roman" w:hAnsi="Calibri" w:cs="Calibri"/>
          <w:b/>
          <w:bCs/>
          <w:color w:val="auto"/>
          <w:sz w:val="22"/>
          <w:szCs w:val="22"/>
        </w:rPr>
        <w:t>Data Collection and</w:t>
      </w:r>
      <w:r w:rsidR="009F72D3" w:rsidRPr="00426CF0">
        <w:rPr>
          <w:rFonts w:ascii="Calibri" w:eastAsia="Times New Roman" w:hAnsi="Calibri" w:cs="Calibri"/>
          <w:b/>
          <w:bCs/>
          <w:color w:val="auto"/>
          <w:sz w:val="22"/>
          <w:szCs w:val="22"/>
        </w:rPr>
        <w:t xml:space="preserve"> Analysis</w:t>
      </w:r>
    </w:p>
    <w:p w14:paraId="06F88B33" w14:textId="26791516" w:rsidR="00246583" w:rsidRPr="00426CF0" w:rsidRDefault="009F72D3" w:rsidP="00426CF0">
      <w:pPr>
        <w:pStyle w:val="NormalWeb"/>
        <w:spacing w:before="0" w:beforeAutospacing="0" w:after="0" w:afterAutospacing="0"/>
        <w:jc w:val="both"/>
        <w:rPr>
          <w:rFonts w:ascii="Calibri" w:hAnsi="Calibri" w:cs="Calibri"/>
          <w:kern w:val="2"/>
          <w:sz w:val="22"/>
          <w:szCs w:val="22"/>
          <w14:ligatures w14:val="standardContextual"/>
        </w:rPr>
      </w:pPr>
      <w:r w:rsidRPr="00426CF0">
        <w:rPr>
          <w:rFonts w:ascii="Calibri" w:hAnsi="Calibri" w:cs="Calibri"/>
          <w:kern w:val="2"/>
          <w:sz w:val="22"/>
          <w:szCs w:val="22"/>
          <w14:ligatures w14:val="standardContextual"/>
        </w:rPr>
        <w:t>Data were collected from 120 farmers across sub-districts using a semi-structured questionnaire to ensure equal representation. Qualitative methods included six FGDs with farmers and six KIIs with Upazila Agriculture Officers and market actors</w:t>
      </w:r>
      <w:r w:rsidR="00D51D8E" w:rsidRPr="00426CF0">
        <w:rPr>
          <w:rFonts w:ascii="Calibri" w:hAnsi="Calibri" w:cs="Calibri"/>
          <w:kern w:val="2"/>
          <w:sz w:val="22"/>
          <w:szCs w:val="22"/>
          <w14:ligatures w14:val="standardContextual"/>
        </w:rPr>
        <w:t xml:space="preserve"> (</w:t>
      </w:r>
      <w:r w:rsidR="003935AF" w:rsidRPr="00426CF0">
        <w:rPr>
          <w:rFonts w:ascii="Calibri" w:hAnsi="Calibri" w:cs="Calibri"/>
          <w:kern w:val="2"/>
          <w:sz w:val="22"/>
          <w:szCs w:val="22"/>
          <w14:ligatures w14:val="standardContextual"/>
        </w:rPr>
        <w:t>input</w:t>
      </w:r>
      <w:r w:rsidR="00D51D8E" w:rsidRPr="00426CF0">
        <w:rPr>
          <w:rFonts w:ascii="Calibri" w:hAnsi="Calibri" w:cs="Calibri"/>
          <w:kern w:val="2"/>
          <w:sz w:val="22"/>
          <w:szCs w:val="22"/>
          <w14:ligatures w14:val="standardContextual"/>
        </w:rPr>
        <w:t xml:space="preserve"> suppliers, traders, and aratdar)</w:t>
      </w:r>
      <w:r w:rsidRPr="00426CF0">
        <w:rPr>
          <w:rFonts w:ascii="Calibri" w:hAnsi="Calibri" w:cs="Calibri"/>
          <w:kern w:val="2"/>
          <w:sz w:val="22"/>
          <w:szCs w:val="22"/>
          <w14:ligatures w14:val="standardContextual"/>
        </w:rPr>
        <w:t xml:space="preserve">, guided by </w:t>
      </w:r>
      <w:r w:rsidR="0013184D" w:rsidRPr="00426CF0">
        <w:rPr>
          <w:rFonts w:ascii="Calibri" w:hAnsi="Calibri" w:cs="Calibri"/>
          <w:kern w:val="2"/>
          <w:sz w:val="22"/>
          <w:szCs w:val="22"/>
          <w14:ligatures w14:val="standardContextual"/>
        </w:rPr>
        <w:t xml:space="preserve">a </w:t>
      </w:r>
      <w:r w:rsidR="00D67007" w:rsidRPr="00426CF0">
        <w:rPr>
          <w:rFonts w:ascii="Calibri" w:hAnsi="Calibri" w:cs="Calibri"/>
          <w:kern w:val="2"/>
          <w:sz w:val="22"/>
          <w:szCs w:val="22"/>
          <w14:ligatures w14:val="standardContextual"/>
        </w:rPr>
        <w:t>guide questionnaire</w:t>
      </w:r>
      <w:r w:rsidRPr="00426CF0">
        <w:rPr>
          <w:rFonts w:ascii="Calibri" w:hAnsi="Calibri" w:cs="Calibri"/>
          <w:kern w:val="2"/>
          <w:sz w:val="22"/>
          <w:szCs w:val="22"/>
          <w14:ligatures w14:val="standardContextual"/>
        </w:rPr>
        <w:t>. Quantitative data were cleaned, checked for consistency, and analyzed using SPSS 26 and Excel. Thematic analysis of qualitative data complemented quantitative findings, allowing triangulation, validation, and a comprehensive understanding of smallholder agricultural practices, market participation, and livelihood outcomes in the study area.</w:t>
      </w:r>
    </w:p>
    <w:p w14:paraId="2DE563D2" w14:textId="77777777" w:rsidR="009F72D3" w:rsidRPr="00426CF0" w:rsidRDefault="009F72D3" w:rsidP="00426CF0">
      <w:pPr>
        <w:pStyle w:val="NormalWeb"/>
        <w:spacing w:before="0" w:beforeAutospacing="0" w:after="0" w:afterAutospacing="0"/>
        <w:jc w:val="both"/>
        <w:rPr>
          <w:rFonts w:ascii="Calibri" w:hAnsi="Calibri" w:cs="Calibri"/>
          <w:sz w:val="22"/>
          <w:szCs w:val="22"/>
        </w:rPr>
      </w:pPr>
    </w:p>
    <w:p w14:paraId="5016D84C" w14:textId="27F1DE1C" w:rsidR="009F72D3" w:rsidRPr="00426CF0" w:rsidRDefault="009F72D3" w:rsidP="00426CF0">
      <w:pPr>
        <w:spacing w:after="0" w:line="240" w:lineRule="auto"/>
        <w:jc w:val="both"/>
        <w:rPr>
          <w:rFonts w:ascii="Calibri" w:eastAsia="Times New Roman" w:hAnsi="Calibri" w:cs="Calibri"/>
          <w:b/>
          <w:bCs/>
        </w:rPr>
      </w:pPr>
      <w:r w:rsidRPr="00426CF0">
        <w:rPr>
          <w:rFonts w:ascii="Calibri" w:eastAsia="Times New Roman" w:hAnsi="Calibri" w:cs="Calibri"/>
          <w:b/>
          <w:bCs/>
        </w:rPr>
        <w:t>2.</w:t>
      </w:r>
      <w:r w:rsidR="00F87D50" w:rsidRPr="00426CF0">
        <w:rPr>
          <w:rFonts w:ascii="Calibri" w:eastAsia="Times New Roman" w:hAnsi="Calibri" w:cs="Calibri"/>
          <w:b/>
          <w:bCs/>
        </w:rPr>
        <w:t>6</w:t>
      </w:r>
      <w:r w:rsidRPr="00426CF0">
        <w:rPr>
          <w:rFonts w:ascii="Calibri" w:eastAsia="Times New Roman" w:hAnsi="Calibri" w:cs="Calibri"/>
          <w:b/>
          <w:bCs/>
        </w:rPr>
        <w:t xml:space="preserve"> Ethical consideration</w:t>
      </w:r>
    </w:p>
    <w:p w14:paraId="74855797" w14:textId="2F78C71F" w:rsidR="007E7105" w:rsidRPr="00426CF0" w:rsidRDefault="009F72D3" w:rsidP="00426CF0">
      <w:pPr>
        <w:spacing w:after="0" w:line="240" w:lineRule="auto"/>
        <w:jc w:val="both"/>
        <w:rPr>
          <w:rFonts w:ascii="Calibri" w:eastAsia="Times New Roman" w:hAnsi="Calibri" w:cs="Calibri"/>
          <w:bCs/>
        </w:rPr>
      </w:pPr>
      <w:r w:rsidRPr="00426CF0">
        <w:rPr>
          <w:rFonts w:ascii="Calibri" w:eastAsia="Times New Roman" w:hAnsi="Calibri" w:cs="Calibri"/>
          <w:bCs/>
        </w:rPr>
        <w:t>The study adhered to ethical standards by obtaining informed consent from all participants and ensuring their privacy and confidentiality. Participation was voluntary, and respondents could withdraw at any stage. Data collection was conducted respectfully, with attention to local cultural norms</w:t>
      </w:r>
      <w:r w:rsidR="0013184D" w:rsidRPr="00426CF0">
        <w:rPr>
          <w:rFonts w:ascii="Calibri" w:eastAsia="Times New Roman" w:hAnsi="Calibri" w:cs="Calibri"/>
          <w:bCs/>
        </w:rPr>
        <w:t>.</w:t>
      </w:r>
    </w:p>
    <w:p w14:paraId="4F92972D" w14:textId="5ADC7F00" w:rsidR="008064F7" w:rsidRPr="00426CF0" w:rsidRDefault="00010391"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3. </w:t>
      </w:r>
      <w:r w:rsidR="001A5910" w:rsidRPr="00426CF0">
        <w:rPr>
          <w:rFonts w:ascii="Calibri" w:hAnsi="Calibri" w:cs="Calibri"/>
          <w:b/>
          <w:bCs/>
          <w:color w:val="auto"/>
          <w:sz w:val="22"/>
          <w:szCs w:val="22"/>
        </w:rPr>
        <w:t>RESULT AND DISCUSSION</w:t>
      </w:r>
    </w:p>
    <w:p w14:paraId="0399ADB4" w14:textId="719CE180" w:rsidR="00EF711C" w:rsidRPr="00426CF0" w:rsidRDefault="008064F7" w:rsidP="00426CF0">
      <w:pPr>
        <w:pStyle w:val="ListParagraph"/>
        <w:numPr>
          <w:ilvl w:val="1"/>
          <w:numId w:val="23"/>
        </w:numPr>
        <w:spacing w:after="0" w:line="240" w:lineRule="auto"/>
        <w:jc w:val="both"/>
        <w:rPr>
          <w:rFonts w:ascii="Calibri" w:hAnsi="Calibri" w:cs="Calibri"/>
          <w:b/>
          <w:bCs/>
          <w:iCs/>
        </w:rPr>
      </w:pPr>
      <w:r w:rsidRPr="00426CF0">
        <w:rPr>
          <w:rFonts w:ascii="Calibri" w:hAnsi="Calibri" w:cs="Calibri"/>
          <w:b/>
          <w:bCs/>
          <w:iCs/>
        </w:rPr>
        <w:t>Demographic characteristics of sample households</w:t>
      </w:r>
      <w:r w:rsidR="00EF711C" w:rsidRPr="00426CF0">
        <w:rPr>
          <w:rFonts w:ascii="Calibri" w:hAnsi="Calibri" w:cs="Calibri"/>
          <w:b/>
          <w:bCs/>
          <w:iCs/>
        </w:rPr>
        <w:t xml:space="preserve"> </w:t>
      </w:r>
    </w:p>
    <w:p w14:paraId="1A4F5924" w14:textId="20234264" w:rsidR="00A81275" w:rsidRPr="00426CF0" w:rsidRDefault="008064F7" w:rsidP="00426CF0">
      <w:pPr>
        <w:spacing w:after="0" w:line="240" w:lineRule="auto"/>
        <w:jc w:val="both"/>
        <w:rPr>
          <w:rFonts w:ascii="Calibri" w:hAnsi="Calibri" w:cs="Calibri"/>
          <w:iCs/>
        </w:rPr>
      </w:pPr>
      <w:r w:rsidRPr="00426CF0">
        <w:rPr>
          <w:rFonts w:ascii="Calibri" w:hAnsi="Calibri" w:cs="Calibri"/>
          <w:b/>
          <w:bCs/>
          <w:iCs/>
        </w:rPr>
        <w:t xml:space="preserve"> </w:t>
      </w:r>
      <w:r w:rsidR="00D10473" w:rsidRPr="00426CF0">
        <w:rPr>
          <w:rFonts w:ascii="Calibri" w:hAnsi="Calibri" w:cs="Calibri"/>
          <w:iCs/>
        </w:rPr>
        <w:t xml:space="preserve">The study revealed </w:t>
      </w:r>
      <w:r w:rsidR="00EF711C" w:rsidRPr="00426CF0">
        <w:rPr>
          <w:rFonts w:ascii="Calibri" w:hAnsi="Calibri" w:cs="Calibri"/>
          <w:iCs/>
        </w:rPr>
        <w:t>the distribution of households by landholding size and their engagement in agricultural activities</w:t>
      </w:r>
      <w:r w:rsidR="00D07CB1" w:rsidRPr="00426CF0">
        <w:rPr>
          <w:rFonts w:ascii="Calibri" w:hAnsi="Calibri" w:cs="Calibri"/>
          <w:iCs/>
        </w:rPr>
        <w:t>,</w:t>
      </w:r>
      <w:r w:rsidR="00EF711C" w:rsidRPr="00426CF0">
        <w:rPr>
          <w:rFonts w:ascii="Calibri" w:hAnsi="Calibri" w:cs="Calibri"/>
          <w:iCs/>
        </w:rPr>
        <w:t xml:space="preserve"> notable variations in land ownership and participation </w:t>
      </w:r>
      <w:r w:rsidR="004E67B6" w:rsidRPr="00426CF0">
        <w:rPr>
          <w:rFonts w:ascii="Calibri" w:hAnsi="Calibri" w:cs="Calibri"/>
          <w:iCs/>
        </w:rPr>
        <w:t xml:space="preserve">in agricultural production </w:t>
      </w:r>
      <w:r w:rsidR="00EF711C" w:rsidRPr="00426CF0">
        <w:rPr>
          <w:rFonts w:ascii="Calibri" w:hAnsi="Calibri" w:cs="Calibri"/>
          <w:iCs/>
        </w:rPr>
        <w:t xml:space="preserve">across different household groups. Smaller landholders, owning less than </w:t>
      </w:r>
      <w:r w:rsidR="00A81275" w:rsidRPr="00426CF0">
        <w:rPr>
          <w:rFonts w:ascii="Calibri" w:hAnsi="Calibri" w:cs="Calibri"/>
          <w:iCs/>
        </w:rPr>
        <w:t>0-</w:t>
      </w:r>
      <w:r w:rsidR="00EF711C" w:rsidRPr="00426CF0">
        <w:rPr>
          <w:rFonts w:ascii="Calibri" w:hAnsi="Calibri" w:cs="Calibri"/>
          <w:iCs/>
        </w:rPr>
        <w:t xml:space="preserve">0.5 hectares of land, account for only </w:t>
      </w:r>
      <w:r w:rsidR="00A81275" w:rsidRPr="00426CF0">
        <w:rPr>
          <w:rFonts w:ascii="Calibri" w:hAnsi="Calibri" w:cs="Calibri"/>
          <w:iCs/>
        </w:rPr>
        <w:t>5.83</w:t>
      </w:r>
      <w:r w:rsidR="00EF711C" w:rsidRPr="00426CF0">
        <w:rPr>
          <w:rFonts w:ascii="Calibri" w:hAnsi="Calibri" w:cs="Calibri"/>
          <w:iCs/>
        </w:rPr>
        <w:t>% of total households</w:t>
      </w:r>
      <w:r w:rsidR="00A81275" w:rsidRPr="00426CF0">
        <w:rPr>
          <w:rFonts w:ascii="Calibri" w:hAnsi="Calibri" w:cs="Calibri"/>
          <w:iCs/>
        </w:rPr>
        <w:t xml:space="preserve">. </w:t>
      </w:r>
      <w:r w:rsidR="00A81275" w:rsidRPr="00426CF0">
        <w:rPr>
          <w:rFonts w:ascii="Calibri" w:hAnsi="Calibri" w:cs="Calibri"/>
        </w:rPr>
        <w:t xml:space="preserve">Medium landholders (0.5–1.0 ha) constitute the largest share overall, 48.33%, with particularly high representation in Mithapukur at 52.50% and Pirganj 50.00%. Larger landholders (&gt;1.0 ha) also account for 45.83%, indicating relatively better land access among surveyed households. </w:t>
      </w:r>
    </w:p>
    <w:p w14:paraId="47C4AA0A" w14:textId="77777777" w:rsidR="00A81275" w:rsidRPr="00426CF0" w:rsidRDefault="00A81275" w:rsidP="00426CF0">
      <w:pPr>
        <w:spacing w:after="0" w:line="240" w:lineRule="auto"/>
        <w:jc w:val="both"/>
        <w:rPr>
          <w:rFonts w:ascii="Calibri" w:hAnsi="Calibri" w:cs="Calibri"/>
          <w:iCs/>
        </w:rPr>
      </w:pPr>
    </w:p>
    <w:p w14:paraId="1F966C37" w14:textId="5A7A2B06" w:rsidR="00A81275" w:rsidRPr="00426CF0" w:rsidRDefault="00A81275" w:rsidP="00426CF0">
      <w:pPr>
        <w:pStyle w:val="Caption"/>
        <w:keepNext/>
        <w:spacing w:after="0"/>
        <w:rPr>
          <w:rFonts w:ascii="Calibri" w:hAnsi="Calibri" w:cs="Calibri"/>
          <w:color w:val="auto"/>
          <w:sz w:val="22"/>
          <w:szCs w:val="22"/>
        </w:rPr>
      </w:pPr>
      <w:r w:rsidRPr="00426CF0">
        <w:rPr>
          <w:rFonts w:ascii="Calibri" w:hAnsi="Calibri" w:cs="Calibri"/>
          <w:color w:val="auto"/>
          <w:sz w:val="22"/>
          <w:szCs w:val="22"/>
        </w:rPr>
        <w:t xml:space="preserve">Table </w:t>
      </w:r>
      <w:r w:rsidR="00C01EDF" w:rsidRPr="00426CF0">
        <w:rPr>
          <w:rFonts w:ascii="Calibri" w:hAnsi="Calibri" w:cs="Calibri"/>
          <w:color w:val="auto"/>
          <w:sz w:val="22"/>
          <w:szCs w:val="22"/>
        </w:rPr>
        <w:fldChar w:fldCharType="begin"/>
      </w:r>
      <w:r w:rsidR="00C01EDF" w:rsidRPr="00426CF0">
        <w:rPr>
          <w:rFonts w:ascii="Calibri" w:hAnsi="Calibri" w:cs="Calibri"/>
          <w:color w:val="auto"/>
          <w:sz w:val="22"/>
          <w:szCs w:val="22"/>
        </w:rPr>
        <w:instrText xml:space="preserve"> SEQ Table \* ARABIC </w:instrText>
      </w:r>
      <w:r w:rsidR="00C01EDF" w:rsidRPr="00426CF0">
        <w:rPr>
          <w:rFonts w:ascii="Calibri" w:hAnsi="Calibri" w:cs="Calibri"/>
          <w:color w:val="auto"/>
          <w:sz w:val="22"/>
          <w:szCs w:val="22"/>
        </w:rPr>
        <w:fldChar w:fldCharType="separate"/>
      </w:r>
      <w:r w:rsidR="0062377E" w:rsidRPr="00426CF0">
        <w:rPr>
          <w:rFonts w:ascii="Calibri" w:hAnsi="Calibri" w:cs="Calibri"/>
          <w:noProof/>
          <w:color w:val="auto"/>
          <w:sz w:val="22"/>
          <w:szCs w:val="22"/>
        </w:rPr>
        <w:t>1</w:t>
      </w:r>
      <w:r w:rsidR="00C01EDF" w:rsidRPr="00426CF0">
        <w:rPr>
          <w:rFonts w:ascii="Calibri" w:hAnsi="Calibri" w:cs="Calibri"/>
          <w:color w:val="auto"/>
          <w:sz w:val="22"/>
          <w:szCs w:val="22"/>
        </w:rPr>
        <w:fldChar w:fldCharType="end"/>
      </w:r>
      <w:r w:rsidRPr="00426CF0">
        <w:rPr>
          <w:rFonts w:ascii="Calibri" w:hAnsi="Calibri" w:cs="Calibri"/>
          <w:color w:val="auto"/>
          <w:sz w:val="22"/>
          <w:szCs w:val="22"/>
        </w:rPr>
        <w:t>: Demographic characteristics of sample households</w:t>
      </w:r>
    </w:p>
    <w:tbl>
      <w:tblPr>
        <w:tblW w:w="9248" w:type="dxa"/>
        <w:jc w:val="center"/>
        <w:tblBorders>
          <w:insideH w:val="dashSmallGap" w:sz="4" w:space="0" w:color="auto"/>
        </w:tblBorders>
        <w:tblLook w:val="04A0" w:firstRow="1" w:lastRow="0" w:firstColumn="1" w:lastColumn="0" w:noHBand="0" w:noVBand="1"/>
      </w:tblPr>
      <w:tblGrid>
        <w:gridCol w:w="3341"/>
        <w:gridCol w:w="1772"/>
        <w:gridCol w:w="1287"/>
        <w:gridCol w:w="1348"/>
        <w:gridCol w:w="1500"/>
      </w:tblGrid>
      <w:tr w:rsidR="00426CF0" w:rsidRPr="00426CF0" w14:paraId="56381686" w14:textId="77777777" w:rsidTr="00525BB4">
        <w:trPr>
          <w:trHeight w:val="423"/>
          <w:jc w:val="center"/>
        </w:trPr>
        <w:tc>
          <w:tcPr>
            <w:tcW w:w="3341" w:type="dxa"/>
            <w:tcBorders>
              <w:top w:val="single" w:sz="4" w:space="0" w:color="auto"/>
              <w:bottom w:val="single" w:sz="4" w:space="0" w:color="auto"/>
            </w:tcBorders>
            <w:noWrap/>
            <w:vAlign w:val="center"/>
            <w:hideMark/>
          </w:tcPr>
          <w:p w14:paraId="4300E0F4" w14:textId="1454B637" w:rsidR="00A81275" w:rsidRPr="00426CF0" w:rsidRDefault="00EF711C" w:rsidP="00426CF0">
            <w:pPr>
              <w:spacing w:after="0" w:line="240" w:lineRule="auto"/>
              <w:rPr>
                <w:rFonts w:ascii="Calibri" w:eastAsia="Times New Roman" w:hAnsi="Calibri" w:cs="Calibri"/>
                <w:kern w:val="0"/>
                <w14:ligatures w14:val="none"/>
              </w:rPr>
            </w:pPr>
            <w:r w:rsidRPr="00426CF0">
              <w:rPr>
                <w:rFonts w:ascii="Calibri" w:hAnsi="Calibri" w:cs="Calibri"/>
                <w:iCs/>
              </w:rPr>
              <w:t xml:space="preserve"> </w:t>
            </w:r>
            <w:r w:rsidR="00A81275" w:rsidRPr="00426CF0">
              <w:rPr>
                <w:rFonts w:ascii="Calibri" w:eastAsia="Times New Roman" w:hAnsi="Calibri" w:cs="Calibri"/>
                <w:kern w:val="0"/>
                <w14:ligatures w14:val="none"/>
              </w:rPr>
              <w:t>Household group</w:t>
            </w:r>
          </w:p>
        </w:tc>
        <w:tc>
          <w:tcPr>
            <w:tcW w:w="1772" w:type="dxa"/>
            <w:tcBorders>
              <w:top w:val="single" w:sz="4" w:space="0" w:color="auto"/>
              <w:bottom w:val="single" w:sz="4" w:space="0" w:color="auto"/>
            </w:tcBorders>
            <w:vAlign w:val="center"/>
            <w:hideMark/>
          </w:tcPr>
          <w:p w14:paraId="13C2D0A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87" w:type="dxa"/>
            <w:tcBorders>
              <w:top w:val="single" w:sz="4" w:space="0" w:color="auto"/>
              <w:bottom w:val="single" w:sz="4" w:space="0" w:color="auto"/>
            </w:tcBorders>
            <w:vAlign w:val="center"/>
            <w:hideMark/>
          </w:tcPr>
          <w:p w14:paraId="33CA57C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348" w:type="dxa"/>
            <w:tcBorders>
              <w:top w:val="single" w:sz="4" w:space="0" w:color="auto"/>
              <w:bottom w:val="single" w:sz="4" w:space="0" w:color="auto"/>
            </w:tcBorders>
            <w:vAlign w:val="center"/>
            <w:hideMark/>
          </w:tcPr>
          <w:p w14:paraId="7495417B"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500" w:type="dxa"/>
            <w:tcBorders>
              <w:top w:val="single" w:sz="4" w:space="0" w:color="auto"/>
              <w:bottom w:val="single" w:sz="4" w:space="0" w:color="auto"/>
            </w:tcBorders>
            <w:vAlign w:val="center"/>
            <w:hideMark/>
          </w:tcPr>
          <w:p w14:paraId="1CFDF8A2"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085F1B1A" w14:textId="77777777" w:rsidTr="00525BB4">
        <w:trPr>
          <w:trHeight w:val="211"/>
          <w:jc w:val="center"/>
        </w:trPr>
        <w:tc>
          <w:tcPr>
            <w:tcW w:w="3341" w:type="dxa"/>
            <w:tcBorders>
              <w:top w:val="single" w:sz="4" w:space="0" w:color="auto"/>
            </w:tcBorders>
            <w:noWrap/>
            <w:vAlign w:val="bottom"/>
            <w:hideMark/>
          </w:tcPr>
          <w:p w14:paraId="40C4EAF2"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Smalhonding (0-0.5 ha)</w:t>
            </w:r>
          </w:p>
        </w:tc>
        <w:tc>
          <w:tcPr>
            <w:tcW w:w="1772" w:type="dxa"/>
            <w:tcBorders>
              <w:top w:val="single" w:sz="4" w:space="0" w:color="auto"/>
            </w:tcBorders>
            <w:noWrap/>
            <w:vAlign w:val="center"/>
            <w:hideMark/>
          </w:tcPr>
          <w:p w14:paraId="5D761EB4"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287" w:type="dxa"/>
            <w:tcBorders>
              <w:top w:val="single" w:sz="4" w:space="0" w:color="auto"/>
            </w:tcBorders>
            <w:noWrap/>
            <w:vAlign w:val="center"/>
            <w:hideMark/>
          </w:tcPr>
          <w:p w14:paraId="1784C299" w14:textId="1B666F55"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5.00%</w:t>
            </w:r>
          </w:p>
        </w:tc>
        <w:tc>
          <w:tcPr>
            <w:tcW w:w="1348" w:type="dxa"/>
            <w:tcBorders>
              <w:top w:val="single" w:sz="4" w:space="0" w:color="auto"/>
            </w:tcBorders>
            <w:noWrap/>
            <w:vAlign w:val="center"/>
            <w:hideMark/>
          </w:tcPr>
          <w:p w14:paraId="5B2A2DF0" w14:textId="43C9D8EF"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2.50%</w:t>
            </w:r>
          </w:p>
        </w:tc>
        <w:tc>
          <w:tcPr>
            <w:tcW w:w="1500" w:type="dxa"/>
            <w:tcBorders>
              <w:top w:val="single" w:sz="4" w:space="0" w:color="auto"/>
            </w:tcBorders>
            <w:noWrap/>
            <w:vAlign w:val="center"/>
            <w:hideMark/>
          </w:tcPr>
          <w:p w14:paraId="7C313F87" w14:textId="3194267C"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5.83%</w:t>
            </w:r>
          </w:p>
        </w:tc>
      </w:tr>
      <w:tr w:rsidR="00426CF0" w:rsidRPr="00426CF0" w14:paraId="4769E8E4" w14:textId="77777777" w:rsidTr="00680F7D">
        <w:trPr>
          <w:trHeight w:val="211"/>
          <w:jc w:val="center"/>
        </w:trPr>
        <w:tc>
          <w:tcPr>
            <w:tcW w:w="3341" w:type="dxa"/>
            <w:noWrap/>
            <w:vAlign w:val="bottom"/>
            <w:hideMark/>
          </w:tcPr>
          <w:p w14:paraId="439F6E11"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Medium Landholders (0.5-1.0 ha)</w:t>
            </w:r>
          </w:p>
        </w:tc>
        <w:tc>
          <w:tcPr>
            <w:tcW w:w="1772" w:type="dxa"/>
            <w:noWrap/>
            <w:vAlign w:val="center"/>
            <w:hideMark/>
          </w:tcPr>
          <w:p w14:paraId="564E4FCD"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42.50%</w:t>
            </w:r>
          </w:p>
        </w:tc>
        <w:tc>
          <w:tcPr>
            <w:tcW w:w="1287" w:type="dxa"/>
            <w:noWrap/>
            <w:vAlign w:val="center"/>
            <w:hideMark/>
          </w:tcPr>
          <w:p w14:paraId="15584C35"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348" w:type="dxa"/>
            <w:noWrap/>
            <w:vAlign w:val="center"/>
            <w:hideMark/>
          </w:tcPr>
          <w:p w14:paraId="777053D5"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500" w:type="dxa"/>
            <w:noWrap/>
            <w:vAlign w:val="center"/>
            <w:hideMark/>
          </w:tcPr>
          <w:p w14:paraId="2B4D16A1"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48.33%</w:t>
            </w:r>
          </w:p>
        </w:tc>
      </w:tr>
      <w:tr w:rsidR="00426CF0" w:rsidRPr="00426CF0" w14:paraId="27E4C881" w14:textId="77777777" w:rsidTr="00525BB4">
        <w:trPr>
          <w:trHeight w:val="211"/>
          <w:jc w:val="center"/>
        </w:trPr>
        <w:tc>
          <w:tcPr>
            <w:tcW w:w="3341" w:type="dxa"/>
            <w:tcBorders>
              <w:bottom w:val="dashSmallGap" w:sz="4" w:space="0" w:color="auto"/>
            </w:tcBorders>
            <w:noWrap/>
            <w:vAlign w:val="bottom"/>
            <w:hideMark/>
          </w:tcPr>
          <w:p w14:paraId="45185AD4"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Larger Landholders (&gt; 1.0 ha)</w:t>
            </w:r>
          </w:p>
        </w:tc>
        <w:tc>
          <w:tcPr>
            <w:tcW w:w="1772" w:type="dxa"/>
            <w:tcBorders>
              <w:bottom w:val="dashSmallGap" w:sz="4" w:space="0" w:color="auto"/>
            </w:tcBorders>
            <w:noWrap/>
            <w:vAlign w:val="center"/>
            <w:hideMark/>
          </w:tcPr>
          <w:p w14:paraId="52615559"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7" w:type="dxa"/>
            <w:tcBorders>
              <w:bottom w:val="dashSmallGap" w:sz="4" w:space="0" w:color="auto"/>
            </w:tcBorders>
            <w:noWrap/>
            <w:vAlign w:val="center"/>
            <w:hideMark/>
          </w:tcPr>
          <w:p w14:paraId="7B142B78"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42.50%</w:t>
            </w:r>
          </w:p>
        </w:tc>
        <w:tc>
          <w:tcPr>
            <w:tcW w:w="1348" w:type="dxa"/>
            <w:tcBorders>
              <w:bottom w:val="dashSmallGap" w:sz="4" w:space="0" w:color="auto"/>
            </w:tcBorders>
            <w:noWrap/>
            <w:vAlign w:val="center"/>
            <w:hideMark/>
          </w:tcPr>
          <w:p w14:paraId="4FD48943"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500" w:type="dxa"/>
            <w:tcBorders>
              <w:bottom w:val="dashSmallGap" w:sz="4" w:space="0" w:color="auto"/>
            </w:tcBorders>
            <w:noWrap/>
            <w:vAlign w:val="center"/>
            <w:hideMark/>
          </w:tcPr>
          <w:p w14:paraId="27A2B41F"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45.83%</w:t>
            </w:r>
          </w:p>
        </w:tc>
      </w:tr>
      <w:tr w:rsidR="00426CF0" w:rsidRPr="00426CF0" w14:paraId="106DDF08" w14:textId="77777777" w:rsidTr="00525BB4">
        <w:trPr>
          <w:trHeight w:val="211"/>
          <w:jc w:val="center"/>
        </w:trPr>
        <w:tc>
          <w:tcPr>
            <w:tcW w:w="3341" w:type="dxa"/>
            <w:tcBorders>
              <w:top w:val="dashSmallGap" w:sz="4" w:space="0" w:color="auto"/>
              <w:bottom w:val="single" w:sz="4" w:space="0" w:color="auto"/>
            </w:tcBorders>
            <w:noWrap/>
            <w:vAlign w:val="bottom"/>
            <w:hideMark/>
          </w:tcPr>
          <w:p w14:paraId="0EECBC08"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Total</w:t>
            </w:r>
          </w:p>
        </w:tc>
        <w:tc>
          <w:tcPr>
            <w:tcW w:w="1772" w:type="dxa"/>
            <w:tcBorders>
              <w:top w:val="dashSmallGap" w:sz="4" w:space="0" w:color="auto"/>
              <w:bottom w:val="single" w:sz="4" w:space="0" w:color="auto"/>
            </w:tcBorders>
            <w:noWrap/>
            <w:vAlign w:val="center"/>
            <w:hideMark/>
          </w:tcPr>
          <w:p w14:paraId="2AF6371B"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287" w:type="dxa"/>
            <w:tcBorders>
              <w:top w:val="dashSmallGap" w:sz="4" w:space="0" w:color="auto"/>
              <w:bottom w:val="single" w:sz="4" w:space="0" w:color="auto"/>
            </w:tcBorders>
            <w:noWrap/>
            <w:vAlign w:val="center"/>
            <w:hideMark/>
          </w:tcPr>
          <w:p w14:paraId="42ACC32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348" w:type="dxa"/>
            <w:tcBorders>
              <w:top w:val="dashSmallGap" w:sz="4" w:space="0" w:color="auto"/>
              <w:bottom w:val="single" w:sz="4" w:space="0" w:color="auto"/>
            </w:tcBorders>
            <w:noWrap/>
            <w:vAlign w:val="center"/>
            <w:hideMark/>
          </w:tcPr>
          <w:p w14:paraId="78C684EE"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500" w:type="dxa"/>
            <w:tcBorders>
              <w:top w:val="dashSmallGap" w:sz="4" w:space="0" w:color="auto"/>
              <w:bottom w:val="single" w:sz="4" w:space="0" w:color="auto"/>
            </w:tcBorders>
            <w:noWrap/>
            <w:vAlign w:val="center"/>
            <w:hideMark/>
          </w:tcPr>
          <w:p w14:paraId="72E68449"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r>
    </w:tbl>
    <w:p w14:paraId="75AB75CA" w14:textId="77777777" w:rsidR="004A7086" w:rsidRPr="00426CF0" w:rsidRDefault="004A7086" w:rsidP="00426CF0">
      <w:pPr>
        <w:spacing w:after="0" w:line="240" w:lineRule="auto"/>
        <w:jc w:val="both"/>
        <w:rPr>
          <w:rFonts w:ascii="Calibri" w:hAnsi="Calibri" w:cs="Calibri"/>
          <w:iCs/>
        </w:rPr>
      </w:pPr>
    </w:p>
    <w:p w14:paraId="038D0BE8" w14:textId="171C0783" w:rsidR="004E67B6" w:rsidRPr="00426CF0" w:rsidRDefault="00000E5D" w:rsidP="00426CF0">
      <w:pPr>
        <w:spacing w:after="0" w:line="240" w:lineRule="auto"/>
        <w:jc w:val="both"/>
        <w:rPr>
          <w:rFonts w:ascii="Calibri" w:hAnsi="Calibri" w:cs="Calibri"/>
          <w:iCs/>
        </w:rPr>
      </w:pPr>
      <w:r w:rsidRPr="00426CF0">
        <w:rPr>
          <w:rFonts w:ascii="Calibri" w:hAnsi="Calibri" w:cs="Calibri"/>
          <w:iCs/>
        </w:rPr>
        <w:t xml:space="preserve">Overall, the data reveal a </w:t>
      </w:r>
      <w:r w:rsidR="00C62D71" w:rsidRPr="00426CF0">
        <w:rPr>
          <w:rFonts w:ascii="Calibri" w:hAnsi="Calibri" w:cs="Calibri"/>
          <w:iCs/>
        </w:rPr>
        <w:t>negative relationship between landholding size and agricultural engagement</w:t>
      </w:r>
      <w:r w:rsidR="004E67B6" w:rsidRPr="00426CF0">
        <w:rPr>
          <w:rFonts w:ascii="Calibri" w:hAnsi="Calibri" w:cs="Calibri"/>
          <w:iCs/>
        </w:rPr>
        <w:t xml:space="preserve">. Smallholder farmers remain </w:t>
      </w:r>
      <w:r w:rsidR="00C62D71" w:rsidRPr="00426CF0">
        <w:rPr>
          <w:rFonts w:ascii="Calibri" w:hAnsi="Calibri" w:cs="Calibri"/>
          <w:iCs/>
        </w:rPr>
        <w:t>most dependent on agriculture</w:t>
      </w:r>
      <w:r w:rsidR="004E67B6" w:rsidRPr="00426CF0">
        <w:rPr>
          <w:rFonts w:ascii="Calibri" w:hAnsi="Calibri" w:cs="Calibri"/>
          <w:iCs/>
        </w:rPr>
        <w:t>, whereas larger landholders are more likely to diversify their livelihoods beyond primary farming.</w:t>
      </w:r>
    </w:p>
    <w:p w14:paraId="35130934" w14:textId="77777777" w:rsidR="00F87D50" w:rsidRPr="00426CF0" w:rsidRDefault="00F87D50" w:rsidP="00426CF0">
      <w:pPr>
        <w:spacing w:after="0" w:line="240" w:lineRule="auto"/>
        <w:jc w:val="both"/>
        <w:rPr>
          <w:rFonts w:ascii="Calibri" w:hAnsi="Calibri" w:cs="Calibri"/>
          <w:b/>
          <w:bCs/>
          <w:iCs/>
        </w:rPr>
      </w:pPr>
    </w:p>
    <w:p w14:paraId="7EE07E29" w14:textId="080DB956" w:rsidR="003C5E5C" w:rsidRPr="00426CF0" w:rsidRDefault="00463B0F" w:rsidP="00426CF0">
      <w:pPr>
        <w:pStyle w:val="ListParagraph"/>
        <w:numPr>
          <w:ilvl w:val="1"/>
          <w:numId w:val="23"/>
        </w:numPr>
        <w:spacing w:after="0" w:line="240" w:lineRule="auto"/>
        <w:jc w:val="both"/>
        <w:rPr>
          <w:rFonts w:ascii="Calibri" w:hAnsi="Calibri" w:cs="Calibri"/>
          <w:b/>
          <w:bCs/>
        </w:rPr>
      </w:pPr>
      <w:r w:rsidRPr="00426CF0">
        <w:rPr>
          <w:rFonts w:ascii="Calibri" w:hAnsi="Calibri" w:cs="Calibri"/>
          <w:b/>
          <w:bCs/>
        </w:rPr>
        <w:t>Household income sources</w:t>
      </w:r>
    </w:p>
    <w:p w14:paraId="50651C4B" w14:textId="795C39BA" w:rsidR="00E41460" w:rsidRPr="00426CF0" w:rsidRDefault="00C11AC7" w:rsidP="00426CF0">
      <w:pPr>
        <w:spacing w:after="0" w:line="240" w:lineRule="auto"/>
        <w:jc w:val="both"/>
        <w:rPr>
          <w:rFonts w:ascii="Calibri" w:hAnsi="Calibri" w:cs="Calibri"/>
        </w:rPr>
      </w:pPr>
      <w:r w:rsidRPr="00426CF0">
        <w:rPr>
          <w:rFonts w:ascii="Calibri" w:hAnsi="Calibri" w:cs="Calibri"/>
        </w:rPr>
        <w:t xml:space="preserve">The study </w:t>
      </w:r>
      <w:r w:rsidR="004B5228" w:rsidRPr="00426CF0">
        <w:rPr>
          <w:rFonts w:ascii="Calibri" w:hAnsi="Calibri" w:cs="Calibri"/>
        </w:rPr>
        <w:t xml:space="preserve">highlighted </w:t>
      </w:r>
      <w:r w:rsidRPr="00426CF0">
        <w:rPr>
          <w:rFonts w:ascii="Calibri" w:hAnsi="Calibri" w:cs="Calibri"/>
        </w:rPr>
        <w:t xml:space="preserve">that agriculture remains the </w:t>
      </w:r>
      <w:r w:rsidR="004B5228" w:rsidRPr="00426CF0">
        <w:rPr>
          <w:rFonts w:ascii="Calibri" w:hAnsi="Calibri" w:cs="Calibri"/>
        </w:rPr>
        <w:t>leading</w:t>
      </w:r>
      <w:r w:rsidRPr="00426CF0">
        <w:rPr>
          <w:rFonts w:ascii="Calibri" w:hAnsi="Calibri" w:cs="Calibri"/>
        </w:rPr>
        <w:t xml:space="preserve"> source of livelihood, accounting for </w:t>
      </w:r>
      <w:r w:rsidR="00A81275" w:rsidRPr="00426CF0">
        <w:rPr>
          <w:rFonts w:ascii="Calibri" w:hAnsi="Calibri" w:cs="Calibri"/>
        </w:rPr>
        <w:t>74.17</w:t>
      </w:r>
      <w:r w:rsidRPr="00426CF0">
        <w:rPr>
          <w:rFonts w:ascii="Calibri" w:hAnsi="Calibri" w:cs="Calibri"/>
        </w:rPr>
        <w:t>% of household incomes</w:t>
      </w:r>
      <w:r w:rsidR="003C5E5C" w:rsidRPr="00426CF0">
        <w:rPr>
          <w:rFonts w:ascii="Calibri" w:hAnsi="Calibri" w:cs="Calibri"/>
        </w:rPr>
        <w:t xml:space="preserve">. This </w:t>
      </w:r>
      <w:r w:rsidR="004B5228" w:rsidRPr="00426CF0">
        <w:rPr>
          <w:rFonts w:ascii="Calibri" w:hAnsi="Calibri" w:cs="Calibri"/>
        </w:rPr>
        <w:t>indicates</w:t>
      </w:r>
      <w:r w:rsidR="003C5E5C" w:rsidRPr="00426CF0">
        <w:rPr>
          <w:rFonts w:ascii="Calibri" w:hAnsi="Calibri" w:cs="Calibri"/>
        </w:rPr>
        <w:t xml:space="preserve"> the continued </w:t>
      </w:r>
      <w:r w:rsidR="005143F0" w:rsidRPr="00426CF0">
        <w:rPr>
          <w:rFonts w:ascii="Calibri" w:hAnsi="Calibri" w:cs="Calibri"/>
        </w:rPr>
        <w:t>dependence</w:t>
      </w:r>
      <w:r w:rsidR="003C5E5C" w:rsidRPr="00426CF0">
        <w:rPr>
          <w:rFonts w:ascii="Calibri" w:hAnsi="Calibri" w:cs="Calibri"/>
        </w:rPr>
        <w:t xml:space="preserve"> of </w:t>
      </w:r>
      <w:r w:rsidR="005143F0" w:rsidRPr="00426CF0">
        <w:rPr>
          <w:rFonts w:ascii="Calibri" w:hAnsi="Calibri" w:cs="Calibri"/>
        </w:rPr>
        <w:t>smallholder farmers</w:t>
      </w:r>
      <w:r w:rsidR="003C5E5C" w:rsidRPr="00426CF0">
        <w:rPr>
          <w:rFonts w:ascii="Calibri" w:hAnsi="Calibri" w:cs="Calibri"/>
        </w:rPr>
        <w:t xml:space="preserve"> on </w:t>
      </w:r>
      <w:r w:rsidR="004B5228" w:rsidRPr="00426CF0">
        <w:rPr>
          <w:rFonts w:ascii="Calibri" w:hAnsi="Calibri" w:cs="Calibri"/>
        </w:rPr>
        <w:t>agriculture as their primary</w:t>
      </w:r>
      <w:r w:rsidR="003C5E5C" w:rsidRPr="00426CF0">
        <w:rPr>
          <w:rFonts w:ascii="Calibri" w:hAnsi="Calibri" w:cs="Calibri"/>
        </w:rPr>
        <w:t xml:space="preserve"> economic activity. Livestock production </w:t>
      </w:r>
      <w:r w:rsidR="004B5228" w:rsidRPr="00426CF0">
        <w:rPr>
          <w:rFonts w:ascii="Calibri" w:hAnsi="Calibri" w:cs="Calibri"/>
        </w:rPr>
        <w:t xml:space="preserve">accounts for </w:t>
      </w:r>
      <w:r w:rsidR="00A81275" w:rsidRPr="00426CF0">
        <w:rPr>
          <w:rFonts w:ascii="Calibri" w:hAnsi="Calibri" w:cs="Calibri"/>
        </w:rPr>
        <w:t>10.00</w:t>
      </w:r>
      <w:r w:rsidR="004B5228" w:rsidRPr="00426CF0">
        <w:rPr>
          <w:rFonts w:ascii="Calibri" w:hAnsi="Calibri" w:cs="Calibri"/>
        </w:rPr>
        <w:t>%</w:t>
      </w:r>
      <w:r w:rsidR="00000E5D" w:rsidRPr="00426CF0">
        <w:rPr>
          <w:rFonts w:ascii="Calibri" w:hAnsi="Calibri" w:cs="Calibri"/>
        </w:rPr>
        <w:t xml:space="preserve"> of household income, and employment contributes 1</w:t>
      </w:r>
      <w:r w:rsidR="00A81275" w:rsidRPr="00426CF0">
        <w:rPr>
          <w:rFonts w:ascii="Calibri" w:hAnsi="Calibri" w:cs="Calibri"/>
        </w:rPr>
        <w:t>0.83</w:t>
      </w:r>
      <w:r w:rsidR="00000E5D" w:rsidRPr="00426CF0">
        <w:rPr>
          <w:rFonts w:ascii="Calibri" w:hAnsi="Calibri" w:cs="Calibri"/>
        </w:rPr>
        <w:t>%</w:t>
      </w:r>
      <w:r w:rsidR="00D10473" w:rsidRPr="00426CF0">
        <w:rPr>
          <w:rFonts w:ascii="Calibri" w:hAnsi="Calibri" w:cs="Calibri"/>
        </w:rPr>
        <w:t xml:space="preserve">. Small businesses, such as trading and local enterprises, account for </w:t>
      </w:r>
      <w:r w:rsidR="00A81275" w:rsidRPr="00426CF0">
        <w:rPr>
          <w:rFonts w:ascii="Calibri" w:hAnsi="Calibri" w:cs="Calibri"/>
        </w:rPr>
        <w:t>5.00</w:t>
      </w:r>
      <w:r w:rsidR="00D10473" w:rsidRPr="00426CF0">
        <w:rPr>
          <w:rFonts w:ascii="Calibri" w:hAnsi="Calibri" w:cs="Calibri"/>
        </w:rPr>
        <w:t xml:space="preserve">%, reflecting limited entrepreneurship within the study area. Overall, the findings </w:t>
      </w:r>
      <w:r w:rsidRPr="00426CF0">
        <w:rPr>
          <w:rFonts w:ascii="Calibri" w:hAnsi="Calibri" w:cs="Calibri"/>
        </w:rPr>
        <w:t>emphasize</w:t>
      </w:r>
      <w:r w:rsidR="00D10473" w:rsidRPr="00426CF0">
        <w:rPr>
          <w:rFonts w:ascii="Calibri" w:hAnsi="Calibri" w:cs="Calibri"/>
        </w:rPr>
        <w:t xml:space="preserve"> the </w:t>
      </w:r>
      <w:r w:rsidR="005143F0" w:rsidRPr="00426CF0">
        <w:rPr>
          <w:rFonts w:ascii="Calibri" w:hAnsi="Calibri" w:cs="Calibri"/>
        </w:rPr>
        <w:t>prevalence</w:t>
      </w:r>
      <w:r w:rsidR="00D10473" w:rsidRPr="00426CF0">
        <w:rPr>
          <w:rFonts w:ascii="Calibri" w:hAnsi="Calibri" w:cs="Calibri"/>
        </w:rPr>
        <w:t xml:space="preserve"> of agriculture in sustaining rural livelihoods, while diversification into livestock and employment sectors </w:t>
      </w:r>
      <w:r w:rsidR="00000E5D" w:rsidRPr="00426CF0">
        <w:rPr>
          <w:rFonts w:ascii="Calibri" w:hAnsi="Calibri" w:cs="Calibri"/>
        </w:rPr>
        <w:t>supports</w:t>
      </w:r>
      <w:r w:rsidR="00D10473" w:rsidRPr="00426CF0">
        <w:rPr>
          <w:rFonts w:ascii="Calibri" w:hAnsi="Calibri" w:cs="Calibri"/>
        </w:rPr>
        <w:t xml:space="preserve"> household resilience and income stability.</w:t>
      </w:r>
    </w:p>
    <w:p w14:paraId="621F9C30" w14:textId="77777777" w:rsidR="00525BB4" w:rsidRPr="00426CF0" w:rsidRDefault="00525BB4" w:rsidP="00426CF0">
      <w:pPr>
        <w:spacing w:after="0" w:line="240" w:lineRule="auto"/>
        <w:jc w:val="both"/>
        <w:rPr>
          <w:rFonts w:ascii="Calibri" w:hAnsi="Calibri" w:cs="Calibri"/>
        </w:rPr>
      </w:pPr>
    </w:p>
    <w:p w14:paraId="0056B204" w14:textId="24BB3844" w:rsidR="00C01EDF" w:rsidRPr="004A56EC" w:rsidRDefault="00C01EDF"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00C350A9" w:rsidRPr="004A56EC">
        <w:rPr>
          <w:rFonts w:ascii="Calibri" w:hAnsi="Calibri" w:cs="Calibri"/>
          <w:i w:val="0"/>
          <w:color w:val="auto"/>
          <w:sz w:val="22"/>
          <w:szCs w:val="22"/>
        </w:rPr>
        <w:fldChar w:fldCharType="begin"/>
      </w:r>
      <w:r w:rsidR="00C350A9" w:rsidRPr="004A56EC">
        <w:rPr>
          <w:rFonts w:ascii="Calibri" w:hAnsi="Calibri" w:cs="Calibri"/>
          <w:i w:val="0"/>
          <w:color w:val="auto"/>
          <w:sz w:val="22"/>
          <w:szCs w:val="22"/>
        </w:rPr>
        <w:instrText xml:space="preserve"> SEQ Table \* ARABIC </w:instrText>
      </w:r>
      <w:r w:rsidR="00C350A9"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2</w:t>
      </w:r>
      <w:r w:rsidR="00C350A9" w:rsidRPr="004A56EC">
        <w:rPr>
          <w:rFonts w:ascii="Calibri" w:hAnsi="Calibri" w:cs="Calibri"/>
          <w:i w:val="0"/>
          <w:noProof/>
          <w:color w:val="auto"/>
          <w:sz w:val="22"/>
          <w:szCs w:val="22"/>
        </w:rPr>
        <w:fldChar w:fldCharType="end"/>
      </w:r>
      <w:r w:rsidRPr="004A56EC">
        <w:rPr>
          <w:rFonts w:ascii="Calibri" w:hAnsi="Calibri" w:cs="Calibri"/>
          <w:i w:val="0"/>
          <w:color w:val="auto"/>
          <w:sz w:val="22"/>
          <w:szCs w:val="22"/>
        </w:rPr>
        <w:t>: Household income sources</w:t>
      </w:r>
    </w:p>
    <w:tbl>
      <w:tblPr>
        <w:tblW w:w="9030" w:type="dxa"/>
        <w:tblInd w:w="-5" w:type="dxa"/>
        <w:tblBorders>
          <w:insideH w:val="dashSmallGap" w:sz="4" w:space="0" w:color="auto"/>
        </w:tblBorders>
        <w:tblLook w:val="04A0" w:firstRow="1" w:lastRow="0" w:firstColumn="1" w:lastColumn="0" w:noHBand="0" w:noVBand="1"/>
      </w:tblPr>
      <w:tblGrid>
        <w:gridCol w:w="3067"/>
        <w:gridCol w:w="1536"/>
        <w:gridCol w:w="1376"/>
        <w:gridCol w:w="1444"/>
        <w:gridCol w:w="1607"/>
      </w:tblGrid>
      <w:tr w:rsidR="00426CF0" w:rsidRPr="00426CF0" w14:paraId="1C446A89" w14:textId="77777777" w:rsidTr="006A157B">
        <w:trPr>
          <w:trHeight w:val="444"/>
        </w:trPr>
        <w:tc>
          <w:tcPr>
            <w:tcW w:w="3067" w:type="dxa"/>
            <w:tcBorders>
              <w:top w:val="single" w:sz="4" w:space="0" w:color="auto"/>
              <w:bottom w:val="single" w:sz="4" w:space="0" w:color="auto"/>
            </w:tcBorders>
            <w:noWrap/>
            <w:vAlign w:val="center"/>
            <w:hideMark/>
          </w:tcPr>
          <w:p w14:paraId="0E2FF7BE" w14:textId="42704E60"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Household main income sources</w:t>
            </w:r>
          </w:p>
        </w:tc>
        <w:tc>
          <w:tcPr>
            <w:tcW w:w="1536" w:type="dxa"/>
            <w:tcBorders>
              <w:top w:val="single" w:sz="4" w:space="0" w:color="auto"/>
              <w:bottom w:val="single" w:sz="4" w:space="0" w:color="auto"/>
            </w:tcBorders>
            <w:vAlign w:val="center"/>
            <w:hideMark/>
          </w:tcPr>
          <w:p w14:paraId="613FFDC0"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376" w:type="dxa"/>
            <w:tcBorders>
              <w:top w:val="single" w:sz="4" w:space="0" w:color="auto"/>
              <w:bottom w:val="single" w:sz="4" w:space="0" w:color="auto"/>
            </w:tcBorders>
            <w:vAlign w:val="center"/>
            <w:hideMark/>
          </w:tcPr>
          <w:p w14:paraId="6EF6A4C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444" w:type="dxa"/>
            <w:tcBorders>
              <w:top w:val="single" w:sz="4" w:space="0" w:color="auto"/>
              <w:bottom w:val="single" w:sz="4" w:space="0" w:color="auto"/>
            </w:tcBorders>
            <w:vAlign w:val="center"/>
            <w:hideMark/>
          </w:tcPr>
          <w:p w14:paraId="071BA9E8"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607" w:type="dxa"/>
            <w:tcBorders>
              <w:top w:val="single" w:sz="4" w:space="0" w:color="auto"/>
              <w:bottom w:val="single" w:sz="4" w:space="0" w:color="auto"/>
            </w:tcBorders>
            <w:vAlign w:val="center"/>
            <w:hideMark/>
          </w:tcPr>
          <w:p w14:paraId="4B51CD79"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6D4F1ABF" w14:textId="77777777" w:rsidTr="006A157B">
        <w:trPr>
          <w:trHeight w:val="222"/>
        </w:trPr>
        <w:tc>
          <w:tcPr>
            <w:tcW w:w="3067" w:type="dxa"/>
            <w:tcBorders>
              <w:top w:val="single" w:sz="4" w:space="0" w:color="auto"/>
            </w:tcBorders>
            <w:noWrap/>
            <w:vAlign w:val="center"/>
            <w:hideMark/>
          </w:tcPr>
          <w:p w14:paraId="07B7B981" w14:textId="26C69260"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Agriculture crop sells</w:t>
            </w:r>
          </w:p>
        </w:tc>
        <w:tc>
          <w:tcPr>
            <w:tcW w:w="1536" w:type="dxa"/>
            <w:tcBorders>
              <w:top w:val="single" w:sz="4" w:space="0" w:color="auto"/>
            </w:tcBorders>
            <w:noWrap/>
            <w:vAlign w:val="center"/>
            <w:hideMark/>
          </w:tcPr>
          <w:p w14:paraId="2E543207"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70.00%</w:t>
            </w:r>
          </w:p>
        </w:tc>
        <w:tc>
          <w:tcPr>
            <w:tcW w:w="1376" w:type="dxa"/>
            <w:tcBorders>
              <w:top w:val="single" w:sz="4" w:space="0" w:color="auto"/>
            </w:tcBorders>
            <w:noWrap/>
            <w:vAlign w:val="center"/>
            <w:hideMark/>
          </w:tcPr>
          <w:p w14:paraId="6F0FF7CE"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444" w:type="dxa"/>
            <w:tcBorders>
              <w:top w:val="single" w:sz="4" w:space="0" w:color="auto"/>
            </w:tcBorders>
            <w:noWrap/>
            <w:vAlign w:val="center"/>
            <w:hideMark/>
          </w:tcPr>
          <w:p w14:paraId="52A27BB1"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607" w:type="dxa"/>
            <w:tcBorders>
              <w:top w:val="single" w:sz="4" w:space="0" w:color="auto"/>
            </w:tcBorders>
            <w:noWrap/>
            <w:vAlign w:val="center"/>
            <w:hideMark/>
          </w:tcPr>
          <w:p w14:paraId="3E7017D5"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74.17%</w:t>
            </w:r>
          </w:p>
        </w:tc>
      </w:tr>
      <w:tr w:rsidR="00426CF0" w:rsidRPr="00426CF0" w14:paraId="6D88B9CE" w14:textId="77777777" w:rsidTr="00680F7D">
        <w:trPr>
          <w:trHeight w:val="222"/>
        </w:trPr>
        <w:tc>
          <w:tcPr>
            <w:tcW w:w="3067" w:type="dxa"/>
            <w:noWrap/>
            <w:vAlign w:val="center"/>
            <w:hideMark/>
          </w:tcPr>
          <w:p w14:paraId="0EC1FF76" w14:textId="77777777"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Livestock sell</w:t>
            </w:r>
          </w:p>
        </w:tc>
        <w:tc>
          <w:tcPr>
            <w:tcW w:w="1536" w:type="dxa"/>
            <w:noWrap/>
            <w:vAlign w:val="center"/>
            <w:hideMark/>
          </w:tcPr>
          <w:p w14:paraId="4371FEE6"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12.50%</w:t>
            </w:r>
          </w:p>
        </w:tc>
        <w:tc>
          <w:tcPr>
            <w:tcW w:w="1376" w:type="dxa"/>
            <w:noWrap/>
            <w:vAlign w:val="center"/>
            <w:hideMark/>
          </w:tcPr>
          <w:p w14:paraId="074C9DC4"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444" w:type="dxa"/>
            <w:noWrap/>
            <w:vAlign w:val="center"/>
            <w:hideMark/>
          </w:tcPr>
          <w:p w14:paraId="214D245F" w14:textId="5B67F8E8"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607" w:type="dxa"/>
            <w:noWrap/>
            <w:vAlign w:val="center"/>
            <w:hideMark/>
          </w:tcPr>
          <w:p w14:paraId="277924E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r>
      <w:tr w:rsidR="00426CF0" w:rsidRPr="00426CF0" w14:paraId="0706F130" w14:textId="77777777" w:rsidTr="00680F7D">
        <w:trPr>
          <w:trHeight w:val="222"/>
        </w:trPr>
        <w:tc>
          <w:tcPr>
            <w:tcW w:w="3067" w:type="dxa"/>
            <w:noWrap/>
            <w:vAlign w:val="center"/>
            <w:hideMark/>
          </w:tcPr>
          <w:p w14:paraId="314D0D85" w14:textId="77777777"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Small business</w:t>
            </w:r>
          </w:p>
        </w:tc>
        <w:tc>
          <w:tcPr>
            <w:tcW w:w="1536" w:type="dxa"/>
            <w:noWrap/>
            <w:vAlign w:val="center"/>
            <w:hideMark/>
          </w:tcPr>
          <w:p w14:paraId="740C808E" w14:textId="1DB09C3C"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2.50%</w:t>
            </w:r>
          </w:p>
        </w:tc>
        <w:tc>
          <w:tcPr>
            <w:tcW w:w="1376" w:type="dxa"/>
            <w:noWrap/>
            <w:vAlign w:val="center"/>
            <w:hideMark/>
          </w:tcPr>
          <w:p w14:paraId="1EACAE3D" w14:textId="3151FEA4"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444" w:type="dxa"/>
            <w:noWrap/>
            <w:vAlign w:val="center"/>
            <w:hideMark/>
          </w:tcPr>
          <w:p w14:paraId="61A52E4E" w14:textId="471DC053"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5.00%</w:t>
            </w:r>
          </w:p>
        </w:tc>
        <w:tc>
          <w:tcPr>
            <w:tcW w:w="1607" w:type="dxa"/>
            <w:noWrap/>
            <w:vAlign w:val="center"/>
            <w:hideMark/>
          </w:tcPr>
          <w:p w14:paraId="18EE3F81" w14:textId="3EC4C46F"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5.00%</w:t>
            </w:r>
          </w:p>
        </w:tc>
      </w:tr>
      <w:tr w:rsidR="00426CF0" w:rsidRPr="00426CF0" w14:paraId="133F1FAA" w14:textId="77777777" w:rsidTr="006A157B">
        <w:trPr>
          <w:trHeight w:val="222"/>
        </w:trPr>
        <w:tc>
          <w:tcPr>
            <w:tcW w:w="3067" w:type="dxa"/>
            <w:tcBorders>
              <w:bottom w:val="dashSmallGap" w:sz="4" w:space="0" w:color="auto"/>
            </w:tcBorders>
            <w:noWrap/>
            <w:vAlign w:val="center"/>
            <w:hideMark/>
          </w:tcPr>
          <w:p w14:paraId="305F7031" w14:textId="4C9C96BA"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Employment</w:t>
            </w:r>
          </w:p>
        </w:tc>
        <w:tc>
          <w:tcPr>
            <w:tcW w:w="1536" w:type="dxa"/>
            <w:tcBorders>
              <w:bottom w:val="dashSmallGap" w:sz="4" w:space="0" w:color="auto"/>
            </w:tcBorders>
            <w:noWrap/>
            <w:vAlign w:val="center"/>
            <w:hideMark/>
          </w:tcPr>
          <w:p w14:paraId="585FD2A7"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376" w:type="dxa"/>
            <w:tcBorders>
              <w:bottom w:val="dashSmallGap" w:sz="4" w:space="0" w:color="auto"/>
            </w:tcBorders>
            <w:noWrap/>
            <w:vAlign w:val="center"/>
            <w:hideMark/>
          </w:tcPr>
          <w:p w14:paraId="6F213C1D" w14:textId="31A2A196"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444" w:type="dxa"/>
            <w:tcBorders>
              <w:bottom w:val="dashSmallGap" w:sz="4" w:space="0" w:color="auto"/>
            </w:tcBorders>
            <w:noWrap/>
            <w:vAlign w:val="center"/>
            <w:hideMark/>
          </w:tcPr>
          <w:p w14:paraId="690C1081"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607" w:type="dxa"/>
            <w:tcBorders>
              <w:bottom w:val="dashSmallGap" w:sz="4" w:space="0" w:color="auto"/>
            </w:tcBorders>
            <w:noWrap/>
            <w:vAlign w:val="center"/>
            <w:hideMark/>
          </w:tcPr>
          <w:p w14:paraId="0EE21B54"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10.83%</w:t>
            </w:r>
          </w:p>
        </w:tc>
      </w:tr>
      <w:tr w:rsidR="00426CF0" w:rsidRPr="00426CF0" w14:paraId="7456B13D" w14:textId="77777777" w:rsidTr="006A157B">
        <w:trPr>
          <w:trHeight w:val="222"/>
        </w:trPr>
        <w:tc>
          <w:tcPr>
            <w:tcW w:w="3067" w:type="dxa"/>
            <w:tcBorders>
              <w:top w:val="dashSmallGap" w:sz="4" w:space="0" w:color="auto"/>
              <w:bottom w:val="single" w:sz="4" w:space="0" w:color="auto"/>
            </w:tcBorders>
            <w:noWrap/>
            <w:vAlign w:val="center"/>
            <w:hideMark/>
          </w:tcPr>
          <w:p w14:paraId="77AE6E6F" w14:textId="240E40C6"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Total</w:t>
            </w:r>
          </w:p>
        </w:tc>
        <w:tc>
          <w:tcPr>
            <w:tcW w:w="1536" w:type="dxa"/>
            <w:tcBorders>
              <w:top w:val="dashSmallGap" w:sz="4" w:space="0" w:color="auto"/>
              <w:bottom w:val="single" w:sz="4" w:space="0" w:color="auto"/>
            </w:tcBorders>
            <w:noWrap/>
            <w:vAlign w:val="center"/>
            <w:hideMark/>
          </w:tcPr>
          <w:p w14:paraId="79CF829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376" w:type="dxa"/>
            <w:tcBorders>
              <w:top w:val="dashSmallGap" w:sz="4" w:space="0" w:color="auto"/>
              <w:bottom w:val="single" w:sz="4" w:space="0" w:color="auto"/>
            </w:tcBorders>
            <w:noWrap/>
            <w:vAlign w:val="center"/>
            <w:hideMark/>
          </w:tcPr>
          <w:p w14:paraId="28D10AC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444" w:type="dxa"/>
            <w:tcBorders>
              <w:top w:val="dashSmallGap" w:sz="4" w:space="0" w:color="auto"/>
              <w:bottom w:val="single" w:sz="4" w:space="0" w:color="auto"/>
            </w:tcBorders>
            <w:noWrap/>
            <w:vAlign w:val="center"/>
            <w:hideMark/>
          </w:tcPr>
          <w:p w14:paraId="769687B8"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607" w:type="dxa"/>
            <w:tcBorders>
              <w:top w:val="dashSmallGap" w:sz="4" w:space="0" w:color="auto"/>
              <w:bottom w:val="single" w:sz="4" w:space="0" w:color="auto"/>
            </w:tcBorders>
            <w:noWrap/>
            <w:vAlign w:val="center"/>
            <w:hideMark/>
          </w:tcPr>
          <w:p w14:paraId="07E1967B"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r>
    </w:tbl>
    <w:p w14:paraId="6EDFD595" w14:textId="08B8DC1A" w:rsidR="00F0072F" w:rsidRPr="00426CF0" w:rsidRDefault="00F0072F" w:rsidP="00426CF0">
      <w:pPr>
        <w:keepNext/>
        <w:spacing w:after="0" w:line="240" w:lineRule="auto"/>
        <w:rPr>
          <w:rFonts w:ascii="Calibri" w:hAnsi="Calibri" w:cs="Calibri"/>
        </w:rPr>
      </w:pPr>
    </w:p>
    <w:p w14:paraId="0DED9C63" w14:textId="046AB790" w:rsidR="004B5228" w:rsidRPr="00426CF0" w:rsidRDefault="004B5228"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study highlights agriculture’s </w:t>
      </w:r>
      <w:r w:rsidR="005143F0" w:rsidRPr="00426CF0">
        <w:rPr>
          <w:rFonts w:ascii="Calibri" w:eastAsia="Times New Roman" w:hAnsi="Calibri" w:cs="Calibri"/>
          <w:kern w:val="0"/>
          <w14:ligatures w14:val="none"/>
        </w:rPr>
        <w:t>significant</w:t>
      </w:r>
      <w:r w:rsidRPr="00426CF0">
        <w:rPr>
          <w:rFonts w:ascii="Calibri" w:eastAsia="Times New Roman" w:hAnsi="Calibri" w:cs="Calibri"/>
          <w:kern w:val="0"/>
          <w14:ligatures w14:val="none"/>
        </w:rPr>
        <w:t xml:space="preserve"> role in rural livelihoods, contributing the majority of household income. While livestock and employment provide supplementary </w:t>
      </w:r>
      <w:r w:rsidR="005143F0" w:rsidRPr="00426CF0">
        <w:rPr>
          <w:rFonts w:ascii="Calibri" w:eastAsia="Times New Roman" w:hAnsi="Calibri" w:cs="Calibri"/>
          <w:kern w:val="0"/>
          <w14:ligatures w14:val="none"/>
        </w:rPr>
        <w:t>incomes</w:t>
      </w:r>
      <w:r w:rsidRPr="00426CF0">
        <w:rPr>
          <w:rFonts w:ascii="Calibri" w:eastAsia="Times New Roman" w:hAnsi="Calibri" w:cs="Calibri"/>
          <w:kern w:val="0"/>
          <w14:ligatures w14:val="none"/>
        </w:rPr>
        <w:t xml:space="preserve">, limited engagement in small businesses indicates the need for greater livelihood diversification </w:t>
      </w:r>
      <w:r w:rsidR="00AB279A" w:rsidRPr="00426CF0">
        <w:rPr>
          <w:rFonts w:ascii="Calibri" w:eastAsia="Times New Roman" w:hAnsi="Calibri" w:cs="Calibri"/>
          <w:bCs/>
          <w:kern w:val="0"/>
          <w14:ligatures w14:val="none"/>
        </w:rPr>
        <w:t>(Rashid et al., 2024)</w:t>
      </w:r>
      <w:r w:rsidR="00AB279A"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to strengthen economic resilience and reduce dependency on primary agricultural activities.</w:t>
      </w:r>
    </w:p>
    <w:p w14:paraId="6F1B63A1" w14:textId="77777777" w:rsidR="001003D4" w:rsidRPr="00426CF0" w:rsidRDefault="001003D4" w:rsidP="00426CF0">
      <w:pPr>
        <w:spacing w:after="0" w:line="240" w:lineRule="auto"/>
        <w:jc w:val="both"/>
        <w:rPr>
          <w:rFonts w:ascii="Calibri" w:eastAsia="Times New Roman" w:hAnsi="Calibri" w:cs="Calibri"/>
          <w:b/>
          <w:bCs/>
          <w:kern w:val="0"/>
          <w14:ligatures w14:val="none"/>
        </w:rPr>
      </w:pPr>
    </w:p>
    <w:p w14:paraId="0DD03CE6" w14:textId="14229653" w:rsidR="00624661"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3.3 </w:t>
      </w:r>
      <w:r w:rsidR="008C685F" w:rsidRPr="00426CF0">
        <w:rPr>
          <w:rFonts w:ascii="Calibri" w:eastAsia="Times New Roman" w:hAnsi="Calibri" w:cs="Calibri"/>
          <w:b/>
          <w:bCs/>
          <w:kern w:val="0"/>
          <w14:ligatures w14:val="none"/>
        </w:rPr>
        <w:t>Agriculture</w:t>
      </w:r>
      <w:r w:rsidR="0047498C" w:rsidRPr="00426CF0">
        <w:rPr>
          <w:rFonts w:ascii="Calibri" w:eastAsia="Times New Roman" w:hAnsi="Calibri" w:cs="Calibri"/>
          <w:b/>
          <w:bCs/>
          <w:kern w:val="0"/>
          <w14:ligatures w14:val="none"/>
        </w:rPr>
        <w:t xml:space="preserve"> production patterns</w:t>
      </w:r>
    </w:p>
    <w:p w14:paraId="0D42BA5C" w14:textId="07E0E4B4" w:rsidR="00010391" w:rsidRPr="00426CF0" w:rsidRDefault="004B5228" w:rsidP="00426CF0">
      <w:pPr>
        <w:spacing w:after="0" w:line="240" w:lineRule="auto"/>
        <w:jc w:val="both"/>
        <w:rPr>
          <w:rFonts w:ascii="Calibri" w:hAnsi="Calibri" w:cs="Calibri"/>
        </w:rPr>
      </w:pPr>
      <w:r w:rsidRPr="00426CF0">
        <w:rPr>
          <w:rFonts w:ascii="Calibri" w:hAnsi="Calibri" w:cs="Calibri"/>
        </w:rPr>
        <w:t>The study revealed the distribution of major crops cultivated by farmers in the area and the proportion of households engaged in their production. Rice remains the dominant crop, grown by 89.</w:t>
      </w:r>
      <w:r w:rsidR="008C303A" w:rsidRPr="00426CF0">
        <w:rPr>
          <w:rFonts w:ascii="Calibri" w:hAnsi="Calibri" w:cs="Calibri"/>
        </w:rPr>
        <w:t>1</w:t>
      </w:r>
      <w:r w:rsidRPr="00426CF0">
        <w:rPr>
          <w:rFonts w:ascii="Calibri" w:hAnsi="Calibri" w:cs="Calibri"/>
        </w:rPr>
        <w:t xml:space="preserve">7% of farmers, </w:t>
      </w:r>
      <w:r w:rsidR="005143F0" w:rsidRPr="00426CF0">
        <w:rPr>
          <w:rFonts w:ascii="Calibri" w:hAnsi="Calibri" w:cs="Calibri"/>
        </w:rPr>
        <w:t>emphasizing</w:t>
      </w:r>
      <w:r w:rsidRPr="00426CF0">
        <w:rPr>
          <w:rFonts w:ascii="Calibri" w:hAnsi="Calibri" w:cs="Calibri"/>
        </w:rPr>
        <w:t xml:space="preserve"> its role as the staple food and </w:t>
      </w:r>
      <w:r w:rsidR="005143F0" w:rsidRPr="00426CF0">
        <w:rPr>
          <w:rFonts w:ascii="Calibri" w:hAnsi="Calibri" w:cs="Calibri"/>
        </w:rPr>
        <w:t>foundation</w:t>
      </w:r>
      <w:r w:rsidRPr="00426CF0">
        <w:rPr>
          <w:rFonts w:ascii="Calibri" w:hAnsi="Calibri" w:cs="Calibri"/>
        </w:rPr>
        <w:t xml:space="preserve"> of local agriculture. Among vegetables, </w:t>
      </w:r>
      <w:r w:rsidR="008C303A" w:rsidRPr="00426CF0">
        <w:rPr>
          <w:rFonts w:ascii="Calibri" w:hAnsi="Calibri" w:cs="Calibri"/>
        </w:rPr>
        <w:t xml:space="preserve">bottle gourd and pointed gourd </w:t>
      </w:r>
      <w:r w:rsidRPr="00426CF0">
        <w:rPr>
          <w:rFonts w:ascii="Calibri" w:hAnsi="Calibri" w:cs="Calibri"/>
        </w:rPr>
        <w:t xml:space="preserve">produced </w:t>
      </w:r>
      <w:r w:rsidR="008C303A" w:rsidRPr="00426CF0">
        <w:rPr>
          <w:rFonts w:ascii="Calibri" w:hAnsi="Calibri" w:cs="Calibri"/>
        </w:rPr>
        <w:t>44.17%</w:t>
      </w:r>
      <w:r w:rsidRPr="00426CF0">
        <w:rPr>
          <w:rFonts w:ascii="Calibri" w:hAnsi="Calibri" w:cs="Calibri"/>
        </w:rPr>
        <w:t xml:space="preserve">, followed by potato and pumpkin at </w:t>
      </w:r>
      <w:r w:rsidR="008C303A" w:rsidRPr="00426CF0">
        <w:rPr>
          <w:rFonts w:ascii="Calibri" w:hAnsi="Calibri" w:cs="Calibri"/>
        </w:rPr>
        <w:t>55.00</w:t>
      </w:r>
      <w:r w:rsidRPr="00426CF0">
        <w:rPr>
          <w:rFonts w:ascii="Calibri" w:hAnsi="Calibri" w:cs="Calibri"/>
        </w:rPr>
        <w:t xml:space="preserve">% each, tomato at </w:t>
      </w:r>
      <w:r w:rsidR="008C303A" w:rsidRPr="00426CF0">
        <w:rPr>
          <w:rFonts w:ascii="Calibri" w:hAnsi="Calibri" w:cs="Calibri"/>
        </w:rPr>
        <w:t>41.67</w:t>
      </w:r>
      <w:r w:rsidRPr="00426CF0">
        <w:rPr>
          <w:rFonts w:ascii="Calibri" w:hAnsi="Calibri" w:cs="Calibri"/>
        </w:rPr>
        <w:t xml:space="preserve">%, and bitter gourd at </w:t>
      </w:r>
      <w:r w:rsidR="008C303A" w:rsidRPr="00426CF0">
        <w:rPr>
          <w:rFonts w:ascii="Calibri" w:hAnsi="Calibri" w:cs="Calibri"/>
        </w:rPr>
        <w:t>30.83</w:t>
      </w:r>
      <w:r w:rsidRPr="00426CF0">
        <w:rPr>
          <w:rFonts w:ascii="Calibri" w:hAnsi="Calibri" w:cs="Calibri"/>
        </w:rPr>
        <w:t xml:space="preserve">%. </w:t>
      </w:r>
      <w:r w:rsidR="005143F0" w:rsidRPr="00426CF0">
        <w:rPr>
          <w:rFonts w:ascii="Calibri" w:hAnsi="Calibri" w:cs="Calibri"/>
        </w:rPr>
        <w:t>V</w:t>
      </w:r>
      <w:r w:rsidRPr="00426CF0">
        <w:rPr>
          <w:rFonts w:ascii="Calibri" w:hAnsi="Calibri" w:cs="Calibri"/>
        </w:rPr>
        <w:t xml:space="preserve">egetables include brinjal at </w:t>
      </w:r>
      <w:r w:rsidR="008C303A" w:rsidRPr="00426CF0">
        <w:rPr>
          <w:rFonts w:ascii="Calibri" w:hAnsi="Calibri" w:cs="Calibri"/>
        </w:rPr>
        <w:t>37.50</w:t>
      </w:r>
      <w:r w:rsidRPr="00426CF0">
        <w:rPr>
          <w:rFonts w:ascii="Calibri" w:hAnsi="Calibri" w:cs="Calibri"/>
        </w:rPr>
        <w:t xml:space="preserve">%, radish at </w:t>
      </w:r>
      <w:r w:rsidR="008C303A" w:rsidRPr="00426CF0">
        <w:rPr>
          <w:rFonts w:ascii="Calibri" w:hAnsi="Calibri" w:cs="Calibri"/>
        </w:rPr>
        <w:t>23.33</w:t>
      </w:r>
      <w:r w:rsidRPr="00426CF0">
        <w:rPr>
          <w:rFonts w:ascii="Calibri" w:hAnsi="Calibri" w:cs="Calibri"/>
        </w:rPr>
        <w:t xml:space="preserve">%, and country bean at </w:t>
      </w:r>
      <w:r w:rsidR="008C303A" w:rsidRPr="00426CF0">
        <w:rPr>
          <w:rFonts w:ascii="Calibri" w:hAnsi="Calibri" w:cs="Calibri"/>
        </w:rPr>
        <w:t>24.17</w:t>
      </w:r>
      <w:r w:rsidRPr="00426CF0">
        <w:rPr>
          <w:rFonts w:ascii="Calibri" w:hAnsi="Calibri" w:cs="Calibri"/>
        </w:rPr>
        <w:t xml:space="preserve">%. Less frequently cultivated crops comprise cauliflower at </w:t>
      </w:r>
      <w:r w:rsidR="008C303A" w:rsidRPr="00426CF0">
        <w:rPr>
          <w:rFonts w:ascii="Calibri" w:hAnsi="Calibri" w:cs="Calibri"/>
        </w:rPr>
        <w:t>15.00%</w:t>
      </w:r>
      <w:r w:rsidRPr="00426CF0">
        <w:rPr>
          <w:rFonts w:ascii="Calibri" w:hAnsi="Calibri" w:cs="Calibri"/>
        </w:rPr>
        <w:t xml:space="preserve">, cabbage at </w:t>
      </w:r>
      <w:r w:rsidR="008C303A" w:rsidRPr="00426CF0">
        <w:rPr>
          <w:rFonts w:ascii="Calibri" w:hAnsi="Calibri" w:cs="Calibri"/>
        </w:rPr>
        <w:t>27.50%</w:t>
      </w:r>
      <w:r w:rsidRPr="00426CF0">
        <w:rPr>
          <w:rFonts w:ascii="Calibri" w:hAnsi="Calibri" w:cs="Calibri"/>
        </w:rPr>
        <w:t xml:space="preserve">, </w:t>
      </w:r>
      <w:r w:rsidR="004043E8" w:rsidRPr="00426CF0">
        <w:rPr>
          <w:rFonts w:ascii="Calibri" w:hAnsi="Calibri" w:cs="Calibri"/>
        </w:rPr>
        <w:t xml:space="preserve">and </w:t>
      </w:r>
      <w:r w:rsidRPr="00426CF0">
        <w:rPr>
          <w:rFonts w:ascii="Calibri" w:hAnsi="Calibri" w:cs="Calibri"/>
        </w:rPr>
        <w:t>sweet gourd at 3</w:t>
      </w:r>
      <w:r w:rsidR="008C303A" w:rsidRPr="00426CF0">
        <w:rPr>
          <w:rFonts w:ascii="Calibri" w:hAnsi="Calibri" w:cs="Calibri"/>
        </w:rPr>
        <w:t>2</w:t>
      </w:r>
      <w:r w:rsidRPr="00426CF0">
        <w:rPr>
          <w:rFonts w:ascii="Calibri" w:hAnsi="Calibri" w:cs="Calibri"/>
        </w:rPr>
        <w:t>.</w:t>
      </w:r>
      <w:r w:rsidR="008C303A" w:rsidRPr="00426CF0">
        <w:rPr>
          <w:rFonts w:ascii="Calibri" w:hAnsi="Calibri" w:cs="Calibri"/>
        </w:rPr>
        <w:t>50</w:t>
      </w:r>
      <w:r w:rsidRPr="00426CF0">
        <w:rPr>
          <w:rFonts w:ascii="Calibri" w:hAnsi="Calibri" w:cs="Calibri"/>
        </w:rPr>
        <w:t>%</w:t>
      </w:r>
      <w:r w:rsidR="004043E8" w:rsidRPr="00426CF0">
        <w:rPr>
          <w:rFonts w:ascii="Calibri" w:hAnsi="Calibri" w:cs="Calibri"/>
        </w:rPr>
        <w:t>. Among farmers in the study areas, 32.50% grow sweet gourds.</w:t>
      </w:r>
      <w:r w:rsidRPr="00426CF0">
        <w:rPr>
          <w:rFonts w:ascii="Calibri" w:hAnsi="Calibri" w:cs="Calibri"/>
        </w:rPr>
        <w:t xml:space="preserve"> </w:t>
      </w:r>
    </w:p>
    <w:p w14:paraId="59B27B65" w14:textId="77777777" w:rsidR="009757A6" w:rsidRPr="00426CF0" w:rsidRDefault="009757A6" w:rsidP="00426CF0">
      <w:pPr>
        <w:spacing w:after="0" w:line="240" w:lineRule="auto"/>
        <w:jc w:val="both"/>
        <w:rPr>
          <w:rFonts w:ascii="Calibri" w:hAnsi="Calibri" w:cs="Calibri"/>
        </w:rPr>
      </w:pPr>
    </w:p>
    <w:p w14:paraId="10FAEBF8" w14:textId="297CFD0E" w:rsidR="008C303A" w:rsidRPr="004A56EC" w:rsidRDefault="008C303A"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3</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Agriculture production patterns in Rangpur</w:t>
      </w:r>
    </w:p>
    <w:tbl>
      <w:tblPr>
        <w:tblW w:w="9146" w:type="dxa"/>
        <w:tblInd w:w="-5" w:type="dxa"/>
        <w:tblBorders>
          <w:insideH w:val="dashSmallGap" w:sz="4" w:space="0" w:color="auto"/>
        </w:tblBorders>
        <w:tblLook w:val="04A0" w:firstRow="1" w:lastRow="0" w:firstColumn="1" w:lastColumn="0" w:noHBand="0" w:noVBand="1"/>
      </w:tblPr>
      <w:tblGrid>
        <w:gridCol w:w="1539"/>
        <w:gridCol w:w="2253"/>
        <w:gridCol w:w="1630"/>
        <w:gridCol w:w="1280"/>
        <w:gridCol w:w="1073"/>
        <w:gridCol w:w="1371"/>
      </w:tblGrid>
      <w:tr w:rsidR="00426CF0" w:rsidRPr="00426CF0" w14:paraId="19521B86" w14:textId="77777777" w:rsidTr="006A157B">
        <w:trPr>
          <w:trHeight w:val="239"/>
        </w:trPr>
        <w:tc>
          <w:tcPr>
            <w:tcW w:w="1539" w:type="dxa"/>
            <w:vMerge w:val="restart"/>
            <w:tcBorders>
              <w:top w:val="single" w:sz="4" w:space="0" w:color="auto"/>
              <w:bottom w:val="single" w:sz="4" w:space="0" w:color="auto"/>
            </w:tcBorders>
            <w:vAlign w:val="center"/>
            <w:hideMark/>
          </w:tcPr>
          <w:p w14:paraId="6046F7B7"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Crop Name</w:t>
            </w:r>
          </w:p>
        </w:tc>
        <w:tc>
          <w:tcPr>
            <w:tcW w:w="2253" w:type="dxa"/>
            <w:vMerge w:val="restart"/>
            <w:tcBorders>
              <w:top w:val="single" w:sz="4" w:space="0" w:color="auto"/>
              <w:bottom w:val="single" w:sz="4" w:space="0" w:color="auto"/>
            </w:tcBorders>
            <w:vAlign w:val="center"/>
            <w:hideMark/>
          </w:tcPr>
          <w:p w14:paraId="1D9A1A7F"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Scientific Name</w:t>
            </w:r>
          </w:p>
        </w:tc>
        <w:tc>
          <w:tcPr>
            <w:tcW w:w="5354" w:type="dxa"/>
            <w:gridSpan w:val="4"/>
            <w:tcBorders>
              <w:top w:val="single" w:sz="4" w:space="0" w:color="auto"/>
              <w:bottom w:val="single" w:sz="4" w:space="0" w:color="auto"/>
            </w:tcBorders>
            <w:vAlign w:val="center"/>
            <w:hideMark/>
          </w:tcPr>
          <w:p w14:paraId="3BF74D02"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 of Farmers Producing</w:t>
            </w:r>
          </w:p>
        </w:tc>
      </w:tr>
      <w:tr w:rsidR="00426CF0" w:rsidRPr="00426CF0" w14:paraId="7B893105" w14:textId="77777777" w:rsidTr="006A157B">
        <w:trPr>
          <w:trHeight w:val="644"/>
        </w:trPr>
        <w:tc>
          <w:tcPr>
            <w:tcW w:w="1539" w:type="dxa"/>
            <w:vMerge/>
            <w:tcBorders>
              <w:top w:val="single" w:sz="4" w:space="0" w:color="auto"/>
              <w:bottom w:val="single" w:sz="4" w:space="0" w:color="auto"/>
            </w:tcBorders>
            <w:vAlign w:val="center"/>
            <w:hideMark/>
          </w:tcPr>
          <w:p w14:paraId="7DF69654" w14:textId="77777777" w:rsidR="008C303A" w:rsidRPr="00426CF0" w:rsidRDefault="008C303A" w:rsidP="00426CF0">
            <w:pPr>
              <w:spacing w:after="0" w:line="240" w:lineRule="auto"/>
              <w:rPr>
                <w:rFonts w:ascii="Calibri" w:eastAsia="Times New Roman" w:hAnsi="Calibri" w:cs="Calibri"/>
                <w:b/>
                <w:bCs/>
                <w:kern w:val="0"/>
                <w14:ligatures w14:val="none"/>
              </w:rPr>
            </w:pPr>
          </w:p>
        </w:tc>
        <w:tc>
          <w:tcPr>
            <w:tcW w:w="2253" w:type="dxa"/>
            <w:vMerge/>
            <w:tcBorders>
              <w:top w:val="single" w:sz="4" w:space="0" w:color="auto"/>
              <w:bottom w:val="single" w:sz="4" w:space="0" w:color="auto"/>
            </w:tcBorders>
            <w:vAlign w:val="center"/>
            <w:hideMark/>
          </w:tcPr>
          <w:p w14:paraId="77F20C9F" w14:textId="77777777" w:rsidR="008C303A" w:rsidRPr="00426CF0" w:rsidRDefault="008C303A" w:rsidP="00426CF0">
            <w:pPr>
              <w:spacing w:after="0" w:line="240" w:lineRule="auto"/>
              <w:rPr>
                <w:rFonts w:ascii="Calibri" w:eastAsia="Times New Roman" w:hAnsi="Calibri" w:cs="Calibri"/>
                <w:b/>
                <w:bCs/>
                <w:kern w:val="0"/>
                <w14:ligatures w14:val="none"/>
              </w:rPr>
            </w:pPr>
          </w:p>
        </w:tc>
        <w:tc>
          <w:tcPr>
            <w:tcW w:w="1630" w:type="dxa"/>
            <w:tcBorders>
              <w:top w:val="single" w:sz="4" w:space="0" w:color="auto"/>
              <w:bottom w:val="single" w:sz="4" w:space="0" w:color="auto"/>
            </w:tcBorders>
            <w:vAlign w:val="center"/>
            <w:hideMark/>
          </w:tcPr>
          <w:p w14:paraId="1BDB368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80" w:type="dxa"/>
            <w:tcBorders>
              <w:top w:val="single" w:sz="4" w:space="0" w:color="auto"/>
              <w:bottom w:val="single" w:sz="4" w:space="0" w:color="auto"/>
            </w:tcBorders>
            <w:vAlign w:val="center"/>
            <w:hideMark/>
          </w:tcPr>
          <w:p w14:paraId="43C8DD1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073" w:type="dxa"/>
            <w:tcBorders>
              <w:top w:val="single" w:sz="4" w:space="0" w:color="auto"/>
              <w:bottom w:val="single" w:sz="4" w:space="0" w:color="auto"/>
            </w:tcBorders>
            <w:vAlign w:val="center"/>
            <w:hideMark/>
          </w:tcPr>
          <w:p w14:paraId="0BD6D70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371" w:type="dxa"/>
            <w:tcBorders>
              <w:top w:val="single" w:sz="4" w:space="0" w:color="auto"/>
              <w:bottom w:val="single" w:sz="4" w:space="0" w:color="auto"/>
            </w:tcBorders>
            <w:vAlign w:val="center"/>
            <w:hideMark/>
          </w:tcPr>
          <w:p w14:paraId="4C051F2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373A36E2" w14:textId="77777777" w:rsidTr="006A157B">
        <w:trPr>
          <w:trHeight w:val="239"/>
        </w:trPr>
        <w:tc>
          <w:tcPr>
            <w:tcW w:w="1539" w:type="dxa"/>
            <w:tcBorders>
              <w:top w:val="single" w:sz="4" w:space="0" w:color="auto"/>
              <w:bottom w:val="dashSmallGap" w:sz="4" w:space="0" w:color="auto"/>
            </w:tcBorders>
            <w:noWrap/>
            <w:vAlign w:val="center"/>
            <w:hideMark/>
          </w:tcPr>
          <w:p w14:paraId="592A97CF"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Rice</w:t>
            </w:r>
          </w:p>
        </w:tc>
        <w:tc>
          <w:tcPr>
            <w:tcW w:w="2253" w:type="dxa"/>
            <w:tcBorders>
              <w:top w:val="single" w:sz="4" w:space="0" w:color="auto"/>
              <w:bottom w:val="dashSmallGap" w:sz="4" w:space="0" w:color="auto"/>
            </w:tcBorders>
            <w:vAlign w:val="center"/>
            <w:hideMark/>
          </w:tcPr>
          <w:p w14:paraId="520EB7F1"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Oryza sativa</w:t>
            </w:r>
          </w:p>
        </w:tc>
        <w:tc>
          <w:tcPr>
            <w:tcW w:w="1630" w:type="dxa"/>
            <w:tcBorders>
              <w:top w:val="single" w:sz="4" w:space="0" w:color="auto"/>
              <w:bottom w:val="dashSmallGap" w:sz="4" w:space="0" w:color="auto"/>
            </w:tcBorders>
            <w:noWrap/>
            <w:vAlign w:val="center"/>
            <w:hideMark/>
          </w:tcPr>
          <w:p w14:paraId="19B366E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280" w:type="dxa"/>
            <w:tcBorders>
              <w:top w:val="single" w:sz="4" w:space="0" w:color="auto"/>
              <w:bottom w:val="dashSmallGap" w:sz="4" w:space="0" w:color="auto"/>
            </w:tcBorders>
            <w:noWrap/>
            <w:vAlign w:val="center"/>
            <w:hideMark/>
          </w:tcPr>
          <w:p w14:paraId="12806BC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92.50%</w:t>
            </w:r>
          </w:p>
        </w:tc>
        <w:tc>
          <w:tcPr>
            <w:tcW w:w="1073" w:type="dxa"/>
            <w:tcBorders>
              <w:top w:val="single" w:sz="4" w:space="0" w:color="auto"/>
              <w:bottom w:val="dashSmallGap" w:sz="4" w:space="0" w:color="auto"/>
            </w:tcBorders>
            <w:noWrap/>
            <w:vAlign w:val="center"/>
            <w:hideMark/>
          </w:tcPr>
          <w:p w14:paraId="63B3E81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92.50%</w:t>
            </w:r>
          </w:p>
        </w:tc>
        <w:tc>
          <w:tcPr>
            <w:tcW w:w="1371" w:type="dxa"/>
            <w:tcBorders>
              <w:top w:val="single" w:sz="4" w:space="0" w:color="auto"/>
              <w:bottom w:val="dashSmallGap" w:sz="4" w:space="0" w:color="auto"/>
            </w:tcBorders>
            <w:noWrap/>
            <w:vAlign w:val="center"/>
            <w:hideMark/>
          </w:tcPr>
          <w:p w14:paraId="07DCA88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89.17%</w:t>
            </w:r>
          </w:p>
        </w:tc>
      </w:tr>
      <w:tr w:rsidR="00426CF0" w:rsidRPr="00426CF0" w14:paraId="31DDAE43" w14:textId="77777777" w:rsidTr="006A157B">
        <w:trPr>
          <w:trHeight w:val="239"/>
        </w:trPr>
        <w:tc>
          <w:tcPr>
            <w:tcW w:w="1539" w:type="dxa"/>
            <w:tcBorders>
              <w:top w:val="dashSmallGap" w:sz="4" w:space="0" w:color="auto"/>
            </w:tcBorders>
            <w:noWrap/>
            <w:vAlign w:val="center"/>
            <w:hideMark/>
          </w:tcPr>
          <w:p w14:paraId="4F584EE6"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lastRenderedPageBreak/>
              <w:t>Maize</w:t>
            </w:r>
          </w:p>
        </w:tc>
        <w:tc>
          <w:tcPr>
            <w:tcW w:w="2253" w:type="dxa"/>
            <w:tcBorders>
              <w:top w:val="dashSmallGap" w:sz="4" w:space="0" w:color="auto"/>
            </w:tcBorders>
            <w:vAlign w:val="center"/>
            <w:hideMark/>
          </w:tcPr>
          <w:p w14:paraId="09D79C62"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Zea mays</w:t>
            </w:r>
          </w:p>
        </w:tc>
        <w:tc>
          <w:tcPr>
            <w:tcW w:w="1630" w:type="dxa"/>
            <w:tcBorders>
              <w:top w:val="dashSmallGap" w:sz="4" w:space="0" w:color="auto"/>
            </w:tcBorders>
            <w:noWrap/>
            <w:vAlign w:val="center"/>
            <w:hideMark/>
          </w:tcPr>
          <w:p w14:paraId="2F97126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80" w:type="dxa"/>
            <w:tcBorders>
              <w:top w:val="dashSmallGap" w:sz="4" w:space="0" w:color="auto"/>
            </w:tcBorders>
            <w:noWrap/>
            <w:vAlign w:val="center"/>
            <w:hideMark/>
          </w:tcPr>
          <w:p w14:paraId="51A8BE3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073" w:type="dxa"/>
            <w:tcBorders>
              <w:top w:val="dashSmallGap" w:sz="4" w:space="0" w:color="auto"/>
            </w:tcBorders>
            <w:noWrap/>
            <w:vAlign w:val="center"/>
            <w:hideMark/>
          </w:tcPr>
          <w:p w14:paraId="51975AC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tcBorders>
              <w:top w:val="dashSmallGap" w:sz="4" w:space="0" w:color="auto"/>
            </w:tcBorders>
            <w:noWrap/>
            <w:vAlign w:val="center"/>
            <w:hideMark/>
          </w:tcPr>
          <w:p w14:paraId="3681EFE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r>
      <w:tr w:rsidR="00426CF0" w:rsidRPr="00426CF0" w14:paraId="0F7A3734" w14:textId="77777777" w:rsidTr="00680F7D">
        <w:trPr>
          <w:trHeight w:val="239"/>
        </w:trPr>
        <w:tc>
          <w:tcPr>
            <w:tcW w:w="1539" w:type="dxa"/>
            <w:noWrap/>
            <w:vAlign w:val="center"/>
            <w:hideMark/>
          </w:tcPr>
          <w:p w14:paraId="20731A68"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Brinjal</w:t>
            </w:r>
          </w:p>
        </w:tc>
        <w:tc>
          <w:tcPr>
            <w:tcW w:w="2253" w:type="dxa"/>
            <w:vAlign w:val="center"/>
            <w:hideMark/>
          </w:tcPr>
          <w:p w14:paraId="7AC8C7FE"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Solanum melongena</w:t>
            </w:r>
          </w:p>
        </w:tc>
        <w:tc>
          <w:tcPr>
            <w:tcW w:w="1630" w:type="dxa"/>
            <w:noWrap/>
            <w:vAlign w:val="center"/>
            <w:hideMark/>
          </w:tcPr>
          <w:p w14:paraId="03AD4EA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noWrap/>
            <w:vAlign w:val="center"/>
            <w:hideMark/>
          </w:tcPr>
          <w:p w14:paraId="2AAF9F1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073" w:type="dxa"/>
            <w:noWrap/>
            <w:vAlign w:val="center"/>
            <w:hideMark/>
          </w:tcPr>
          <w:p w14:paraId="2E77B65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419BC24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r>
      <w:tr w:rsidR="00426CF0" w:rsidRPr="00426CF0" w14:paraId="3E6F68BB" w14:textId="77777777" w:rsidTr="00680F7D">
        <w:trPr>
          <w:trHeight w:val="239"/>
        </w:trPr>
        <w:tc>
          <w:tcPr>
            <w:tcW w:w="1539" w:type="dxa"/>
            <w:noWrap/>
            <w:vAlign w:val="center"/>
            <w:hideMark/>
          </w:tcPr>
          <w:p w14:paraId="5EA48BF2"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Country bean</w:t>
            </w:r>
          </w:p>
        </w:tc>
        <w:tc>
          <w:tcPr>
            <w:tcW w:w="2253" w:type="dxa"/>
            <w:vAlign w:val="center"/>
            <w:hideMark/>
          </w:tcPr>
          <w:p w14:paraId="6999BCBF"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Lablab purpureus</w:t>
            </w:r>
          </w:p>
        </w:tc>
        <w:tc>
          <w:tcPr>
            <w:tcW w:w="1630" w:type="dxa"/>
            <w:noWrap/>
            <w:vAlign w:val="center"/>
            <w:hideMark/>
          </w:tcPr>
          <w:p w14:paraId="49EAD2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80" w:type="dxa"/>
            <w:noWrap/>
            <w:vAlign w:val="center"/>
            <w:hideMark/>
          </w:tcPr>
          <w:p w14:paraId="509CBCB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073" w:type="dxa"/>
            <w:noWrap/>
            <w:vAlign w:val="center"/>
            <w:hideMark/>
          </w:tcPr>
          <w:p w14:paraId="2800D9F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43B629D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24.17%</w:t>
            </w:r>
          </w:p>
        </w:tc>
      </w:tr>
      <w:tr w:rsidR="00426CF0" w:rsidRPr="00426CF0" w14:paraId="2D627719" w14:textId="77777777" w:rsidTr="00680F7D">
        <w:trPr>
          <w:trHeight w:val="239"/>
        </w:trPr>
        <w:tc>
          <w:tcPr>
            <w:tcW w:w="1539" w:type="dxa"/>
            <w:noWrap/>
            <w:vAlign w:val="center"/>
            <w:hideMark/>
          </w:tcPr>
          <w:p w14:paraId="5311A90C"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Sweet gourd</w:t>
            </w:r>
          </w:p>
        </w:tc>
        <w:tc>
          <w:tcPr>
            <w:tcW w:w="2253" w:type="dxa"/>
            <w:vAlign w:val="center"/>
            <w:hideMark/>
          </w:tcPr>
          <w:p w14:paraId="678F0667"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Cucurbita moschata</w:t>
            </w:r>
          </w:p>
        </w:tc>
        <w:tc>
          <w:tcPr>
            <w:tcW w:w="1630" w:type="dxa"/>
            <w:noWrap/>
            <w:vAlign w:val="center"/>
            <w:hideMark/>
          </w:tcPr>
          <w:p w14:paraId="74F57D7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280" w:type="dxa"/>
            <w:noWrap/>
            <w:vAlign w:val="center"/>
            <w:hideMark/>
          </w:tcPr>
          <w:p w14:paraId="08DB85E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073" w:type="dxa"/>
            <w:noWrap/>
            <w:vAlign w:val="center"/>
            <w:hideMark/>
          </w:tcPr>
          <w:p w14:paraId="68AD3EB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371" w:type="dxa"/>
            <w:noWrap/>
            <w:vAlign w:val="center"/>
            <w:hideMark/>
          </w:tcPr>
          <w:p w14:paraId="594B009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r>
      <w:tr w:rsidR="00426CF0" w:rsidRPr="00426CF0" w14:paraId="3EF67F71" w14:textId="77777777" w:rsidTr="00680F7D">
        <w:trPr>
          <w:trHeight w:val="239"/>
        </w:trPr>
        <w:tc>
          <w:tcPr>
            <w:tcW w:w="1539" w:type="dxa"/>
            <w:noWrap/>
            <w:vAlign w:val="center"/>
            <w:hideMark/>
          </w:tcPr>
          <w:p w14:paraId="357FD68B"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Chili</w:t>
            </w:r>
          </w:p>
        </w:tc>
        <w:tc>
          <w:tcPr>
            <w:tcW w:w="2253" w:type="dxa"/>
            <w:vAlign w:val="center"/>
            <w:hideMark/>
          </w:tcPr>
          <w:p w14:paraId="045671E2"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Capsicum annuum</w:t>
            </w:r>
          </w:p>
        </w:tc>
        <w:tc>
          <w:tcPr>
            <w:tcW w:w="1630" w:type="dxa"/>
            <w:noWrap/>
            <w:vAlign w:val="center"/>
            <w:hideMark/>
          </w:tcPr>
          <w:p w14:paraId="035BA75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80" w:type="dxa"/>
            <w:noWrap/>
            <w:vAlign w:val="center"/>
            <w:hideMark/>
          </w:tcPr>
          <w:p w14:paraId="6E2FB64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073" w:type="dxa"/>
            <w:noWrap/>
            <w:vAlign w:val="center"/>
            <w:hideMark/>
          </w:tcPr>
          <w:p w14:paraId="3771B84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371" w:type="dxa"/>
            <w:noWrap/>
            <w:vAlign w:val="center"/>
            <w:hideMark/>
          </w:tcPr>
          <w:p w14:paraId="20B79C5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33.33%</w:t>
            </w:r>
          </w:p>
        </w:tc>
      </w:tr>
      <w:tr w:rsidR="00426CF0" w:rsidRPr="00426CF0" w14:paraId="6B79B074" w14:textId="77777777" w:rsidTr="00680F7D">
        <w:trPr>
          <w:trHeight w:val="239"/>
        </w:trPr>
        <w:tc>
          <w:tcPr>
            <w:tcW w:w="1539" w:type="dxa"/>
            <w:noWrap/>
            <w:vAlign w:val="center"/>
            <w:hideMark/>
          </w:tcPr>
          <w:p w14:paraId="1183DBDC"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Bitter gourd</w:t>
            </w:r>
          </w:p>
        </w:tc>
        <w:tc>
          <w:tcPr>
            <w:tcW w:w="2253" w:type="dxa"/>
            <w:vAlign w:val="center"/>
            <w:hideMark/>
          </w:tcPr>
          <w:p w14:paraId="0A96372E"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 xml:space="preserve">Momordica </w:t>
            </w:r>
            <w:proofErr w:type="spellStart"/>
            <w:r w:rsidRPr="00426CF0">
              <w:rPr>
                <w:rFonts w:ascii="Calibri" w:eastAsia="Times New Roman" w:hAnsi="Calibri" w:cs="Calibri"/>
                <w:i/>
                <w:iCs/>
                <w:kern w:val="0"/>
                <w14:ligatures w14:val="none"/>
              </w:rPr>
              <w:t>charantia</w:t>
            </w:r>
            <w:proofErr w:type="spellEnd"/>
          </w:p>
        </w:tc>
        <w:tc>
          <w:tcPr>
            <w:tcW w:w="1630" w:type="dxa"/>
            <w:noWrap/>
            <w:vAlign w:val="center"/>
            <w:hideMark/>
          </w:tcPr>
          <w:p w14:paraId="3FCF924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280" w:type="dxa"/>
            <w:noWrap/>
            <w:vAlign w:val="center"/>
            <w:hideMark/>
          </w:tcPr>
          <w:p w14:paraId="192BEBA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073" w:type="dxa"/>
            <w:noWrap/>
            <w:vAlign w:val="center"/>
            <w:hideMark/>
          </w:tcPr>
          <w:p w14:paraId="44FC96E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2934D91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30.83%</w:t>
            </w:r>
          </w:p>
        </w:tc>
      </w:tr>
      <w:tr w:rsidR="00426CF0" w:rsidRPr="00426CF0" w14:paraId="3D13A891" w14:textId="77777777" w:rsidTr="00680F7D">
        <w:trPr>
          <w:trHeight w:val="239"/>
        </w:trPr>
        <w:tc>
          <w:tcPr>
            <w:tcW w:w="1539" w:type="dxa"/>
            <w:noWrap/>
            <w:vAlign w:val="center"/>
            <w:hideMark/>
          </w:tcPr>
          <w:p w14:paraId="36735591"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Pointed gourd</w:t>
            </w:r>
          </w:p>
        </w:tc>
        <w:tc>
          <w:tcPr>
            <w:tcW w:w="2253" w:type="dxa"/>
            <w:vAlign w:val="center"/>
            <w:hideMark/>
          </w:tcPr>
          <w:p w14:paraId="01A6663C"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Trichosanthes dioica</w:t>
            </w:r>
          </w:p>
        </w:tc>
        <w:tc>
          <w:tcPr>
            <w:tcW w:w="1630" w:type="dxa"/>
            <w:noWrap/>
            <w:vAlign w:val="center"/>
            <w:hideMark/>
          </w:tcPr>
          <w:p w14:paraId="67ACB50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80" w:type="dxa"/>
            <w:noWrap/>
            <w:vAlign w:val="center"/>
            <w:hideMark/>
          </w:tcPr>
          <w:p w14:paraId="67A8E3D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073" w:type="dxa"/>
            <w:noWrap/>
            <w:vAlign w:val="center"/>
            <w:hideMark/>
          </w:tcPr>
          <w:p w14:paraId="5538C94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371" w:type="dxa"/>
            <w:noWrap/>
            <w:vAlign w:val="center"/>
            <w:hideMark/>
          </w:tcPr>
          <w:p w14:paraId="7E8E886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1B3B7AE6" w14:textId="77777777" w:rsidTr="00680F7D">
        <w:trPr>
          <w:trHeight w:val="239"/>
        </w:trPr>
        <w:tc>
          <w:tcPr>
            <w:tcW w:w="1539" w:type="dxa"/>
            <w:noWrap/>
            <w:vAlign w:val="center"/>
            <w:hideMark/>
          </w:tcPr>
          <w:p w14:paraId="363691BA"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Ash gourd</w:t>
            </w:r>
          </w:p>
        </w:tc>
        <w:tc>
          <w:tcPr>
            <w:tcW w:w="2253" w:type="dxa"/>
            <w:vAlign w:val="center"/>
            <w:hideMark/>
          </w:tcPr>
          <w:p w14:paraId="6681583F"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Benincasa hispida</w:t>
            </w:r>
          </w:p>
        </w:tc>
        <w:tc>
          <w:tcPr>
            <w:tcW w:w="1630" w:type="dxa"/>
            <w:noWrap/>
            <w:vAlign w:val="center"/>
            <w:hideMark/>
          </w:tcPr>
          <w:p w14:paraId="0B23544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280" w:type="dxa"/>
            <w:noWrap/>
            <w:vAlign w:val="center"/>
            <w:hideMark/>
          </w:tcPr>
          <w:p w14:paraId="65644CF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73" w:type="dxa"/>
            <w:noWrap/>
            <w:vAlign w:val="center"/>
            <w:hideMark/>
          </w:tcPr>
          <w:p w14:paraId="53EA0D5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noWrap/>
            <w:vAlign w:val="center"/>
            <w:hideMark/>
          </w:tcPr>
          <w:p w14:paraId="550E28A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18.33%</w:t>
            </w:r>
          </w:p>
        </w:tc>
      </w:tr>
      <w:tr w:rsidR="00426CF0" w:rsidRPr="00426CF0" w14:paraId="69367A79" w14:textId="77777777" w:rsidTr="00680F7D">
        <w:trPr>
          <w:trHeight w:val="239"/>
        </w:trPr>
        <w:tc>
          <w:tcPr>
            <w:tcW w:w="1539" w:type="dxa"/>
            <w:noWrap/>
            <w:vAlign w:val="center"/>
            <w:hideMark/>
          </w:tcPr>
          <w:p w14:paraId="53E67B4E"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Potato</w:t>
            </w:r>
          </w:p>
        </w:tc>
        <w:tc>
          <w:tcPr>
            <w:tcW w:w="2253" w:type="dxa"/>
            <w:vAlign w:val="center"/>
            <w:hideMark/>
          </w:tcPr>
          <w:p w14:paraId="4C15508D"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Solanum tuberosum</w:t>
            </w:r>
          </w:p>
        </w:tc>
        <w:tc>
          <w:tcPr>
            <w:tcW w:w="1630" w:type="dxa"/>
            <w:noWrap/>
            <w:vAlign w:val="center"/>
            <w:hideMark/>
          </w:tcPr>
          <w:p w14:paraId="68C01CA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noWrap/>
            <w:vAlign w:val="center"/>
            <w:hideMark/>
          </w:tcPr>
          <w:p w14:paraId="2D18B81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073" w:type="dxa"/>
            <w:noWrap/>
            <w:vAlign w:val="center"/>
            <w:hideMark/>
          </w:tcPr>
          <w:p w14:paraId="285B40B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371" w:type="dxa"/>
            <w:noWrap/>
            <w:vAlign w:val="center"/>
            <w:hideMark/>
          </w:tcPr>
          <w:p w14:paraId="4FCF92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r>
      <w:tr w:rsidR="00426CF0" w:rsidRPr="00426CF0" w14:paraId="3734122B" w14:textId="77777777" w:rsidTr="00680F7D">
        <w:trPr>
          <w:trHeight w:val="239"/>
        </w:trPr>
        <w:tc>
          <w:tcPr>
            <w:tcW w:w="1539" w:type="dxa"/>
            <w:noWrap/>
            <w:vAlign w:val="center"/>
            <w:hideMark/>
          </w:tcPr>
          <w:p w14:paraId="6A055DD4"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Cauliflower</w:t>
            </w:r>
          </w:p>
        </w:tc>
        <w:tc>
          <w:tcPr>
            <w:tcW w:w="2253" w:type="dxa"/>
            <w:vAlign w:val="center"/>
            <w:hideMark/>
          </w:tcPr>
          <w:p w14:paraId="6AED811A"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Brassica oleracea</w:t>
            </w:r>
          </w:p>
        </w:tc>
        <w:tc>
          <w:tcPr>
            <w:tcW w:w="1630" w:type="dxa"/>
            <w:noWrap/>
            <w:vAlign w:val="center"/>
            <w:hideMark/>
          </w:tcPr>
          <w:p w14:paraId="347EC2A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12.50%</w:t>
            </w:r>
          </w:p>
        </w:tc>
        <w:tc>
          <w:tcPr>
            <w:tcW w:w="1280" w:type="dxa"/>
            <w:noWrap/>
            <w:vAlign w:val="center"/>
            <w:hideMark/>
          </w:tcPr>
          <w:p w14:paraId="7DFE2C0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73" w:type="dxa"/>
            <w:noWrap/>
            <w:vAlign w:val="center"/>
            <w:hideMark/>
          </w:tcPr>
          <w:p w14:paraId="1AECCF15"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371" w:type="dxa"/>
            <w:noWrap/>
            <w:vAlign w:val="center"/>
            <w:hideMark/>
          </w:tcPr>
          <w:p w14:paraId="09D122E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r>
      <w:tr w:rsidR="00426CF0" w:rsidRPr="00426CF0" w14:paraId="4D83554A" w14:textId="77777777" w:rsidTr="00680F7D">
        <w:trPr>
          <w:trHeight w:val="239"/>
        </w:trPr>
        <w:tc>
          <w:tcPr>
            <w:tcW w:w="1539" w:type="dxa"/>
            <w:noWrap/>
            <w:vAlign w:val="center"/>
            <w:hideMark/>
          </w:tcPr>
          <w:p w14:paraId="63A9BBD5"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Cabbage</w:t>
            </w:r>
          </w:p>
        </w:tc>
        <w:tc>
          <w:tcPr>
            <w:tcW w:w="2253" w:type="dxa"/>
            <w:vAlign w:val="center"/>
            <w:hideMark/>
          </w:tcPr>
          <w:p w14:paraId="0197CDC6"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Brassica oleracea</w:t>
            </w:r>
            <w:r w:rsidRPr="00426CF0">
              <w:rPr>
                <w:rFonts w:ascii="Calibri" w:eastAsia="Times New Roman" w:hAnsi="Calibri" w:cs="Calibri"/>
                <w:kern w:val="0"/>
                <w14:ligatures w14:val="none"/>
              </w:rPr>
              <w:t xml:space="preserve"> </w:t>
            </w:r>
          </w:p>
        </w:tc>
        <w:tc>
          <w:tcPr>
            <w:tcW w:w="1630" w:type="dxa"/>
            <w:noWrap/>
            <w:vAlign w:val="center"/>
            <w:hideMark/>
          </w:tcPr>
          <w:p w14:paraId="37BDCDE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80" w:type="dxa"/>
            <w:noWrap/>
            <w:vAlign w:val="center"/>
            <w:hideMark/>
          </w:tcPr>
          <w:p w14:paraId="079171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073" w:type="dxa"/>
            <w:noWrap/>
            <w:vAlign w:val="center"/>
            <w:hideMark/>
          </w:tcPr>
          <w:p w14:paraId="71BE614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371" w:type="dxa"/>
            <w:noWrap/>
            <w:vAlign w:val="center"/>
            <w:hideMark/>
          </w:tcPr>
          <w:p w14:paraId="2FA7A575"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r>
      <w:tr w:rsidR="00426CF0" w:rsidRPr="00426CF0" w14:paraId="2005BBA1" w14:textId="77777777" w:rsidTr="00680F7D">
        <w:trPr>
          <w:trHeight w:val="239"/>
        </w:trPr>
        <w:tc>
          <w:tcPr>
            <w:tcW w:w="1539" w:type="dxa"/>
            <w:noWrap/>
            <w:vAlign w:val="center"/>
            <w:hideMark/>
          </w:tcPr>
          <w:p w14:paraId="426BE547"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Tomato</w:t>
            </w:r>
          </w:p>
        </w:tc>
        <w:tc>
          <w:tcPr>
            <w:tcW w:w="2253" w:type="dxa"/>
            <w:vAlign w:val="center"/>
            <w:hideMark/>
          </w:tcPr>
          <w:p w14:paraId="4047B620"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 xml:space="preserve">Solanum </w:t>
            </w:r>
            <w:proofErr w:type="spellStart"/>
            <w:r w:rsidRPr="00426CF0">
              <w:rPr>
                <w:rFonts w:ascii="Calibri" w:eastAsia="Times New Roman" w:hAnsi="Calibri" w:cs="Calibri"/>
                <w:i/>
                <w:iCs/>
                <w:kern w:val="0"/>
                <w14:ligatures w14:val="none"/>
              </w:rPr>
              <w:t>lycopersicum</w:t>
            </w:r>
            <w:proofErr w:type="spellEnd"/>
          </w:p>
        </w:tc>
        <w:tc>
          <w:tcPr>
            <w:tcW w:w="1630" w:type="dxa"/>
            <w:noWrap/>
            <w:vAlign w:val="center"/>
            <w:hideMark/>
          </w:tcPr>
          <w:p w14:paraId="1A22C19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80" w:type="dxa"/>
            <w:noWrap/>
            <w:vAlign w:val="center"/>
            <w:hideMark/>
          </w:tcPr>
          <w:p w14:paraId="4269A12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073" w:type="dxa"/>
            <w:noWrap/>
            <w:vAlign w:val="center"/>
            <w:hideMark/>
          </w:tcPr>
          <w:p w14:paraId="6957890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371" w:type="dxa"/>
            <w:noWrap/>
            <w:vAlign w:val="center"/>
            <w:hideMark/>
          </w:tcPr>
          <w:p w14:paraId="5E312FD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r>
      <w:tr w:rsidR="00426CF0" w:rsidRPr="00426CF0" w14:paraId="6FE6479E" w14:textId="77777777" w:rsidTr="00680F7D">
        <w:trPr>
          <w:trHeight w:val="239"/>
        </w:trPr>
        <w:tc>
          <w:tcPr>
            <w:tcW w:w="1539" w:type="dxa"/>
            <w:noWrap/>
            <w:vAlign w:val="center"/>
            <w:hideMark/>
          </w:tcPr>
          <w:p w14:paraId="16FBC584"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Radish</w:t>
            </w:r>
          </w:p>
        </w:tc>
        <w:tc>
          <w:tcPr>
            <w:tcW w:w="2253" w:type="dxa"/>
            <w:vAlign w:val="center"/>
            <w:hideMark/>
          </w:tcPr>
          <w:p w14:paraId="53D50B01"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Raphanus sativus</w:t>
            </w:r>
          </w:p>
        </w:tc>
        <w:tc>
          <w:tcPr>
            <w:tcW w:w="1630" w:type="dxa"/>
            <w:noWrap/>
            <w:vAlign w:val="center"/>
            <w:hideMark/>
          </w:tcPr>
          <w:p w14:paraId="2F140C1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280" w:type="dxa"/>
            <w:noWrap/>
            <w:vAlign w:val="center"/>
            <w:hideMark/>
          </w:tcPr>
          <w:p w14:paraId="2F20A95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073" w:type="dxa"/>
            <w:noWrap/>
            <w:vAlign w:val="center"/>
            <w:hideMark/>
          </w:tcPr>
          <w:p w14:paraId="130C75E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noWrap/>
            <w:vAlign w:val="center"/>
            <w:hideMark/>
          </w:tcPr>
          <w:p w14:paraId="6013BA7D"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23.33%</w:t>
            </w:r>
          </w:p>
        </w:tc>
      </w:tr>
      <w:tr w:rsidR="00426CF0" w:rsidRPr="00426CF0" w14:paraId="2FCF519F" w14:textId="77777777" w:rsidTr="006A157B">
        <w:trPr>
          <w:trHeight w:val="239"/>
        </w:trPr>
        <w:tc>
          <w:tcPr>
            <w:tcW w:w="1539" w:type="dxa"/>
            <w:tcBorders>
              <w:bottom w:val="dashSmallGap" w:sz="4" w:space="0" w:color="auto"/>
            </w:tcBorders>
            <w:vAlign w:val="center"/>
            <w:hideMark/>
          </w:tcPr>
          <w:p w14:paraId="70565C0D"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Bottle gourd</w:t>
            </w:r>
          </w:p>
        </w:tc>
        <w:tc>
          <w:tcPr>
            <w:tcW w:w="2253" w:type="dxa"/>
            <w:tcBorders>
              <w:bottom w:val="dashSmallGap" w:sz="4" w:space="0" w:color="auto"/>
            </w:tcBorders>
            <w:vAlign w:val="center"/>
            <w:hideMark/>
          </w:tcPr>
          <w:p w14:paraId="3C164F0A"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Lagenaria siceraria</w:t>
            </w:r>
          </w:p>
        </w:tc>
        <w:tc>
          <w:tcPr>
            <w:tcW w:w="1630" w:type="dxa"/>
            <w:tcBorders>
              <w:bottom w:val="dashSmallGap" w:sz="4" w:space="0" w:color="auto"/>
            </w:tcBorders>
            <w:noWrap/>
            <w:vAlign w:val="center"/>
            <w:hideMark/>
          </w:tcPr>
          <w:p w14:paraId="3EE3174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tcBorders>
              <w:bottom w:val="dashSmallGap" w:sz="4" w:space="0" w:color="auto"/>
            </w:tcBorders>
            <w:noWrap/>
            <w:vAlign w:val="center"/>
            <w:hideMark/>
          </w:tcPr>
          <w:p w14:paraId="29003D0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073" w:type="dxa"/>
            <w:tcBorders>
              <w:bottom w:val="dashSmallGap" w:sz="4" w:space="0" w:color="auto"/>
            </w:tcBorders>
            <w:noWrap/>
            <w:vAlign w:val="center"/>
            <w:hideMark/>
          </w:tcPr>
          <w:p w14:paraId="09313D2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c>
          <w:tcPr>
            <w:tcW w:w="1371" w:type="dxa"/>
            <w:tcBorders>
              <w:bottom w:val="dashSmallGap" w:sz="4" w:space="0" w:color="auto"/>
            </w:tcBorders>
            <w:vAlign w:val="center"/>
            <w:hideMark/>
          </w:tcPr>
          <w:p w14:paraId="41031F2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5E34C986" w14:textId="77777777" w:rsidTr="006A157B">
        <w:trPr>
          <w:trHeight w:val="239"/>
        </w:trPr>
        <w:tc>
          <w:tcPr>
            <w:tcW w:w="1539" w:type="dxa"/>
            <w:tcBorders>
              <w:top w:val="dashSmallGap" w:sz="4" w:space="0" w:color="auto"/>
              <w:bottom w:val="single" w:sz="4" w:space="0" w:color="auto"/>
            </w:tcBorders>
            <w:vAlign w:val="center"/>
            <w:hideMark/>
          </w:tcPr>
          <w:p w14:paraId="3F7AFF8D"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Pumpkin</w:t>
            </w:r>
          </w:p>
        </w:tc>
        <w:tc>
          <w:tcPr>
            <w:tcW w:w="2253" w:type="dxa"/>
            <w:tcBorders>
              <w:top w:val="dashSmallGap" w:sz="4" w:space="0" w:color="auto"/>
              <w:bottom w:val="single" w:sz="4" w:space="0" w:color="auto"/>
            </w:tcBorders>
            <w:vAlign w:val="center"/>
            <w:hideMark/>
          </w:tcPr>
          <w:p w14:paraId="6CAAA64D"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Cucurbita maxima</w:t>
            </w:r>
          </w:p>
        </w:tc>
        <w:tc>
          <w:tcPr>
            <w:tcW w:w="1630" w:type="dxa"/>
            <w:tcBorders>
              <w:top w:val="dashSmallGap" w:sz="4" w:space="0" w:color="auto"/>
              <w:bottom w:val="single" w:sz="4" w:space="0" w:color="auto"/>
            </w:tcBorders>
            <w:noWrap/>
            <w:vAlign w:val="center"/>
            <w:hideMark/>
          </w:tcPr>
          <w:p w14:paraId="69BACF4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80" w:type="dxa"/>
            <w:tcBorders>
              <w:top w:val="dashSmallGap" w:sz="4" w:space="0" w:color="auto"/>
              <w:bottom w:val="single" w:sz="4" w:space="0" w:color="auto"/>
            </w:tcBorders>
            <w:noWrap/>
            <w:vAlign w:val="center"/>
            <w:hideMark/>
          </w:tcPr>
          <w:p w14:paraId="3EADF76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073" w:type="dxa"/>
            <w:tcBorders>
              <w:top w:val="dashSmallGap" w:sz="4" w:space="0" w:color="auto"/>
              <w:bottom w:val="single" w:sz="4" w:space="0" w:color="auto"/>
            </w:tcBorders>
            <w:noWrap/>
            <w:vAlign w:val="center"/>
            <w:hideMark/>
          </w:tcPr>
          <w:p w14:paraId="32F9483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371" w:type="dxa"/>
            <w:tcBorders>
              <w:top w:val="dashSmallGap" w:sz="4" w:space="0" w:color="auto"/>
              <w:bottom w:val="single" w:sz="4" w:space="0" w:color="auto"/>
            </w:tcBorders>
            <w:vAlign w:val="center"/>
            <w:hideMark/>
          </w:tcPr>
          <w:p w14:paraId="2054545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r>
    </w:tbl>
    <w:p w14:paraId="5395D3D2" w14:textId="77777777" w:rsidR="005143F0" w:rsidRPr="00426CF0" w:rsidRDefault="005143F0" w:rsidP="00426CF0">
      <w:pPr>
        <w:spacing w:after="0" w:line="240" w:lineRule="auto"/>
        <w:jc w:val="both"/>
        <w:rPr>
          <w:rFonts w:ascii="Calibri" w:hAnsi="Calibri" w:cs="Calibri"/>
        </w:rPr>
      </w:pPr>
    </w:p>
    <w:p w14:paraId="24EA9E44" w14:textId="7C6DFCEC" w:rsidR="00F228A0" w:rsidRPr="00426CF0" w:rsidRDefault="00C31FA9" w:rsidP="00426CF0">
      <w:pPr>
        <w:spacing w:after="0" w:line="240" w:lineRule="auto"/>
        <w:jc w:val="both"/>
        <w:rPr>
          <w:rFonts w:ascii="Calibri" w:hAnsi="Calibri" w:cs="Calibri"/>
        </w:rPr>
      </w:pPr>
      <w:r w:rsidRPr="00426CF0">
        <w:rPr>
          <w:rFonts w:ascii="Calibri" w:hAnsi="Calibri" w:cs="Calibri"/>
          <w:shd w:val="clear" w:color="auto" w:fill="FFFFFF"/>
        </w:rPr>
        <w:t xml:space="preserve">Sarker </w:t>
      </w:r>
      <w:r w:rsidR="00F228A0" w:rsidRPr="00426CF0">
        <w:rPr>
          <w:rFonts w:ascii="Calibri" w:hAnsi="Calibri" w:cs="Calibri"/>
          <w:bCs/>
        </w:rPr>
        <w:t>et al. (20</w:t>
      </w:r>
      <w:r w:rsidRPr="00426CF0">
        <w:rPr>
          <w:rFonts w:ascii="Calibri" w:hAnsi="Calibri" w:cs="Calibri"/>
          <w:bCs/>
        </w:rPr>
        <w:t>2</w:t>
      </w:r>
      <w:r w:rsidR="00C87B35" w:rsidRPr="00426CF0">
        <w:rPr>
          <w:rFonts w:ascii="Calibri" w:hAnsi="Calibri" w:cs="Calibri"/>
          <w:bCs/>
        </w:rPr>
        <w:t>5</w:t>
      </w:r>
      <w:r w:rsidR="00F228A0" w:rsidRPr="00426CF0">
        <w:rPr>
          <w:rFonts w:ascii="Calibri" w:hAnsi="Calibri" w:cs="Calibri"/>
          <w:bCs/>
        </w:rPr>
        <w:t>)</w:t>
      </w:r>
      <w:r w:rsidR="00F228A0" w:rsidRPr="00426CF0">
        <w:rPr>
          <w:rFonts w:ascii="Calibri" w:hAnsi="Calibri" w:cs="Calibri"/>
        </w:rPr>
        <w:t xml:space="preserve"> reported that rice-dominated cropping patterns occupy approximately 51% of arable land, with rice alone accounting for about 75% of the total cropped area. </w:t>
      </w:r>
      <w:r w:rsidR="00F228A0" w:rsidRPr="00426CF0">
        <w:rPr>
          <w:rFonts w:ascii="Calibri" w:hAnsi="Calibri" w:cs="Calibri"/>
          <w:bCs/>
        </w:rPr>
        <w:t>Rashid et al. (2024)</w:t>
      </w:r>
      <w:r w:rsidR="00F228A0" w:rsidRPr="00426CF0">
        <w:rPr>
          <w:rFonts w:ascii="Calibri" w:hAnsi="Calibri" w:cs="Calibri"/>
        </w:rPr>
        <w:t xml:space="preserve"> noted that rice remains the principal crop, covering around 75% of the total cropped area and contributing approximately 70% of the overall crop output value. Overall, the findings highlight a heavy dependence on rice, complemented by a diverse range of vegetables that contribute to household nutrition, income diversification, and resilience within the agricultural sector.</w:t>
      </w:r>
    </w:p>
    <w:p w14:paraId="75DE9ED2" w14:textId="57C65A5D" w:rsidR="00C11AC7" w:rsidRPr="00426CF0" w:rsidRDefault="00C11AC7" w:rsidP="00426CF0">
      <w:pPr>
        <w:spacing w:after="0" w:line="240" w:lineRule="auto"/>
        <w:jc w:val="both"/>
        <w:rPr>
          <w:rFonts w:ascii="Calibri" w:hAnsi="Calibri" w:cs="Calibri"/>
        </w:rPr>
      </w:pPr>
    </w:p>
    <w:p w14:paraId="173FE151" w14:textId="7A478444" w:rsidR="00235952" w:rsidRPr="00426CF0" w:rsidRDefault="00010391" w:rsidP="00426CF0">
      <w:pPr>
        <w:spacing w:after="0" w:line="240" w:lineRule="auto"/>
        <w:jc w:val="both"/>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 xml:space="preserve">3.4 </w:t>
      </w:r>
      <w:r w:rsidR="00D67007" w:rsidRPr="00426CF0">
        <w:rPr>
          <w:rFonts w:ascii="Calibri" w:eastAsia="Times New Roman" w:hAnsi="Calibri" w:cs="Calibri"/>
          <w:b/>
          <w:bCs/>
          <w:kern w:val="0"/>
          <w14:ligatures w14:val="none"/>
        </w:rPr>
        <w:t xml:space="preserve">Actors and their role in </w:t>
      </w:r>
      <w:r w:rsidR="00CE35E6" w:rsidRPr="00426CF0">
        <w:rPr>
          <w:rFonts w:ascii="Calibri" w:eastAsia="Times New Roman" w:hAnsi="Calibri" w:cs="Calibri"/>
          <w:b/>
          <w:bCs/>
          <w:kern w:val="0"/>
          <w14:ligatures w14:val="none"/>
        </w:rPr>
        <w:t>the agricultural market systems</w:t>
      </w:r>
    </w:p>
    <w:p w14:paraId="39D530AD" w14:textId="7B1B86A0" w:rsidR="00292281" w:rsidRPr="00426CF0" w:rsidRDefault="0029228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agricultural market systems involve multiple actors who collectively facilitate the </w:t>
      </w:r>
      <w:r w:rsidR="00CE35E6" w:rsidRPr="00426CF0">
        <w:rPr>
          <w:rFonts w:ascii="Calibri" w:eastAsia="Times New Roman" w:hAnsi="Calibri" w:cs="Calibri"/>
          <w:kern w:val="0"/>
          <w14:ligatures w14:val="none"/>
        </w:rPr>
        <w:t>drive</w:t>
      </w:r>
      <w:r w:rsidRPr="00426CF0">
        <w:rPr>
          <w:rFonts w:ascii="Calibri" w:eastAsia="Times New Roman" w:hAnsi="Calibri" w:cs="Calibri"/>
          <w:kern w:val="0"/>
          <w14:ligatures w14:val="none"/>
        </w:rPr>
        <w:t xml:space="preserve"> of agricultural produce from farms to consumers. These actors can be </w:t>
      </w:r>
      <w:r w:rsidR="00B01750" w:rsidRPr="00426CF0">
        <w:rPr>
          <w:rFonts w:ascii="Calibri" w:eastAsia="Times New Roman" w:hAnsi="Calibri" w:cs="Calibri"/>
          <w:kern w:val="0"/>
          <w14:ligatures w14:val="none"/>
        </w:rPr>
        <w:t>largely</w:t>
      </w:r>
      <w:r w:rsidRPr="00426CF0">
        <w:rPr>
          <w:rFonts w:ascii="Calibri" w:eastAsia="Times New Roman" w:hAnsi="Calibri" w:cs="Calibri"/>
          <w:kern w:val="0"/>
          <w14:ligatures w14:val="none"/>
        </w:rPr>
        <w:t xml:space="preserve"> categorized into primary actors, directly engaged in production and marketing, and supporting actors, who provide financial, technical, or institutional assistance, ensuring the smooth functioning of the system.</w:t>
      </w:r>
    </w:p>
    <w:p w14:paraId="52D38295" w14:textId="77777777" w:rsidR="00B01750" w:rsidRPr="00426CF0" w:rsidRDefault="00B01750" w:rsidP="00426CF0">
      <w:pPr>
        <w:spacing w:after="0" w:line="240" w:lineRule="auto"/>
        <w:jc w:val="both"/>
        <w:rPr>
          <w:rFonts w:ascii="Calibri" w:eastAsia="Times New Roman" w:hAnsi="Calibri" w:cs="Calibri"/>
          <w:b/>
          <w:bCs/>
          <w:kern w:val="0"/>
          <w14:ligatures w14:val="none"/>
        </w:rPr>
      </w:pPr>
    </w:p>
    <w:p w14:paraId="70F18AAD" w14:textId="086090B4" w:rsidR="00874A92" w:rsidRPr="00426CF0" w:rsidRDefault="00292281" w:rsidP="00426CF0">
      <w:pPr>
        <w:pStyle w:val="ListParagraph"/>
        <w:numPr>
          <w:ilvl w:val="2"/>
          <w:numId w:val="30"/>
        </w:numPr>
        <w:spacing w:after="0" w:line="240" w:lineRule="auto"/>
        <w:ind w:left="540" w:hanging="540"/>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Primary Actors</w:t>
      </w:r>
    </w:p>
    <w:p w14:paraId="79F17D56" w14:textId="0676A872" w:rsidR="00B01750" w:rsidRPr="00426CF0" w:rsidRDefault="00292281" w:rsidP="00426CF0">
      <w:pPr>
        <w:pStyle w:val="ListParagraph"/>
        <w:numPr>
          <w:ilvl w:val="3"/>
          <w:numId w:val="30"/>
        </w:numPr>
        <w:spacing w:after="0" w:line="240" w:lineRule="auto"/>
        <w:ind w:left="0" w:firstLine="0"/>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Input Suppliers:</w:t>
      </w:r>
      <w:r w:rsidRPr="00426CF0">
        <w:rPr>
          <w:rFonts w:ascii="Calibri" w:eastAsia="Times New Roman" w:hAnsi="Calibri" w:cs="Calibri"/>
          <w:kern w:val="0"/>
          <w14:ligatures w14:val="none"/>
        </w:rPr>
        <w:t xml:space="preserve"> </w:t>
      </w:r>
      <w:r w:rsidR="00B01750" w:rsidRPr="00426CF0">
        <w:rPr>
          <w:rFonts w:ascii="Calibri" w:eastAsia="Times New Roman" w:hAnsi="Calibri" w:cs="Calibri"/>
          <w:kern w:val="0"/>
          <w14:ligatures w14:val="none"/>
        </w:rPr>
        <w:t xml:space="preserve">Agricultural input suppliers play a vital role in </w:t>
      </w:r>
      <w:r w:rsidR="00CE35E6" w:rsidRPr="00426CF0">
        <w:rPr>
          <w:rFonts w:ascii="Calibri" w:eastAsia="Times New Roman" w:hAnsi="Calibri" w:cs="Calibri"/>
          <w:kern w:val="0"/>
          <w14:ligatures w14:val="none"/>
        </w:rPr>
        <w:t>agriculture market systems</w:t>
      </w:r>
      <w:r w:rsidR="00B01750" w:rsidRPr="00426CF0">
        <w:rPr>
          <w:rFonts w:ascii="Calibri" w:eastAsia="Times New Roman" w:hAnsi="Calibri" w:cs="Calibri"/>
          <w:kern w:val="0"/>
          <w14:ligatures w14:val="none"/>
        </w:rPr>
        <w:t xml:space="preserve"> by improving farmers’ access to quality seeds, fertilizers, </w:t>
      </w:r>
      <w:r w:rsidR="00F87D3F" w:rsidRPr="00426CF0">
        <w:rPr>
          <w:rFonts w:ascii="Calibri" w:eastAsia="Times New Roman" w:hAnsi="Calibri" w:cs="Calibri"/>
          <w:kern w:val="0"/>
          <w14:ligatures w14:val="none"/>
        </w:rPr>
        <w:t>pesticides, herbicides, improved technologies, and farm equipment</w:t>
      </w:r>
      <w:r w:rsidR="00B01750" w:rsidRPr="00426CF0">
        <w:rPr>
          <w:rFonts w:ascii="Calibri" w:eastAsia="Times New Roman" w:hAnsi="Calibri" w:cs="Calibri"/>
          <w:kern w:val="0"/>
          <w14:ligatures w14:val="none"/>
        </w:rPr>
        <w:t xml:space="preserve"> while promoting productivity and inclusion. Beyond product delivery, they provide technical advice, demonstrations, and linkages to markets and finance. By fostering private sector investment and knowledge transfer, input suppliers create efficient, resilient, and inclusive agricultural markets. </w:t>
      </w:r>
      <w:r w:rsidR="00F87D3F" w:rsidRPr="00426CF0">
        <w:rPr>
          <w:rFonts w:ascii="Calibri" w:eastAsia="Times New Roman" w:hAnsi="Calibri" w:cs="Calibri"/>
          <w:kern w:val="0"/>
          <w14:ligatures w14:val="none"/>
        </w:rPr>
        <w:t xml:space="preserve">Input suppliers' </w:t>
      </w:r>
      <w:r w:rsidR="00B01750" w:rsidRPr="00426CF0">
        <w:rPr>
          <w:rFonts w:ascii="Calibri" w:eastAsia="Times New Roman" w:hAnsi="Calibri" w:cs="Calibri"/>
          <w:kern w:val="0"/>
          <w14:ligatures w14:val="none"/>
        </w:rPr>
        <w:t xml:space="preserve">engagement </w:t>
      </w:r>
      <w:r w:rsidR="00F87D3F" w:rsidRPr="00426CF0">
        <w:rPr>
          <w:rFonts w:ascii="Calibri" w:eastAsia="Times New Roman" w:hAnsi="Calibri" w:cs="Calibri"/>
          <w:kern w:val="0"/>
          <w14:ligatures w14:val="none"/>
        </w:rPr>
        <w:t>enhances</w:t>
      </w:r>
      <w:r w:rsidR="00B01750" w:rsidRPr="00426CF0">
        <w:rPr>
          <w:rFonts w:ascii="Calibri" w:eastAsia="Times New Roman" w:hAnsi="Calibri" w:cs="Calibri"/>
          <w:kern w:val="0"/>
          <w14:ligatures w14:val="none"/>
        </w:rPr>
        <w:t xml:space="preserve"> competitiveness, sustainability, and income opportunities for </w:t>
      </w:r>
      <w:r w:rsidR="00CE35E6" w:rsidRPr="00426CF0">
        <w:rPr>
          <w:rFonts w:ascii="Calibri" w:eastAsia="Times New Roman" w:hAnsi="Calibri" w:cs="Calibri"/>
          <w:kern w:val="0"/>
          <w14:ligatures w14:val="none"/>
        </w:rPr>
        <w:t xml:space="preserve">smallholder </w:t>
      </w:r>
      <w:r w:rsidR="00B01750" w:rsidRPr="00426CF0">
        <w:rPr>
          <w:rFonts w:ascii="Calibri" w:eastAsia="Times New Roman" w:hAnsi="Calibri" w:cs="Calibri"/>
          <w:kern w:val="0"/>
          <w14:ligatures w14:val="none"/>
        </w:rPr>
        <w:t>farmers in developing economies.</w:t>
      </w:r>
      <w:r w:rsidR="00F87D3F" w:rsidRPr="00426CF0">
        <w:rPr>
          <w:rFonts w:ascii="Calibri" w:eastAsia="Times New Roman" w:hAnsi="Calibri" w:cs="Calibri"/>
          <w:kern w:val="0"/>
          <w14:ligatures w14:val="none"/>
        </w:rPr>
        <w:t xml:space="preserve"> Key Informant Interviews (KIIs) with agro-input suppliers in Rangpur revealed that small farmers rely heavily on local dealers for seeds and fertilizers, though supply consistency is affected by high transport costs and seasonal demand. Farmers often request inputs on credit, but suppliers face </w:t>
      </w:r>
      <w:r w:rsidR="00000E5D" w:rsidRPr="00426CF0">
        <w:rPr>
          <w:rFonts w:ascii="Calibri" w:eastAsia="Times New Roman" w:hAnsi="Calibri" w:cs="Calibri"/>
          <w:kern w:val="0"/>
          <w14:ligatures w14:val="none"/>
        </w:rPr>
        <w:t>financial</w:t>
      </w:r>
      <w:r w:rsidR="00F87D3F" w:rsidRPr="00426CF0">
        <w:rPr>
          <w:rFonts w:ascii="Calibri" w:eastAsia="Times New Roman" w:hAnsi="Calibri" w:cs="Calibri"/>
          <w:kern w:val="0"/>
          <w14:ligatures w14:val="none"/>
        </w:rPr>
        <w:t xml:space="preserve"> limitations.</w:t>
      </w:r>
    </w:p>
    <w:p w14:paraId="7628CF77" w14:textId="67ACCFDB" w:rsidR="00E41460" w:rsidRPr="00426CF0" w:rsidRDefault="00E41460" w:rsidP="00426CF0">
      <w:pPr>
        <w:keepNext/>
        <w:spacing w:after="0" w:line="240" w:lineRule="auto"/>
        <w:jc w:val="center"/>
        <w:rPr>
          <w:rFonts w:ascii="Calibri" w:hAnsi="Calibri" w:cs="Calibri"/>
        </w:rPr>
      </w:pPr>
    </w:p>
    <w:p w14:paraId="55420248" w14:textId="3D63C869" w:rsidR="00687973" w:rsidRPr="00426CF0" w:rsidRDefault="00A3209A" w:rsidP="00426CF0">
      <w:pPr>
        <w:pStyle w:val="ListParagraph"/>
        <w:numPr>
          <w:ilvl w:val="3"/>
          <w:numId w:val="30"/>
        </w:numPr>
        <w:spacing w:after="0" w:line="240" w:lineRule="auto"/>
        <w:ind w:left="0" w:firstLine="0"/>
        <w:jc w:val="both"/>
        <w:rPr>
          <w:rFonts w:ascii="Calibri" w:hAnsi="Calibri" w:cs="Calibri"/>
        </w:rPr>
      </w:pPr>
      <w:r w:rsidRPr="00426CF0">
        <w:rPr>
          <w:rFonts w:ascii="Calibri" w:eastAsia="Times New Roman" w:hAnsi="Calibri" w:cs="Calibri"/>
          <w:b/>
          <w:bCs/>
          <w:kern w:val="0"/>
          <w14:ligatures w14:val="none"/>
        </w:rPr>
        <w:t xml:space="preserve">Farmers or </w:t>
      </w:r>
      <w:r w:rsidR="00292281" w:rsidRPr="00426CF0">
        <w:rPr>
          <w:rFonts w:ascii="Calibri" w:eastAsia="Times New Roman" w:hAnsi="Calibri" w:cs="Calibri"/>
          <w:b/>
          <w:bCs/>
          <w:kern w:val="0"/>
          <w14:ligatures w14:val="none"/>
        </w:rPr>
        <w:t>Producers:</w:t>
      </w:r>
      <w:r w:rsidR="00292281" w:rsidRPr="00426CF0">
        <w:rPr>
          <w:rFonts w:ascii="Calibri" w:eastAsia="Times New Roman" w:hAnsi="Calibri" w:cs="Calibri"/>
          <w:kern w:val="0"/>
          <w14:ligatures w14:val="none"/>
        </w:rPr>
        <w:t xml:space="preserve"> Farmers are the core actors in the agricultural market system, managing all activities from land preparation to post-harvest handling and marketing. They </w:t>
      </w:r>
      <w:r w:rsidR="00F87D3F" w:rsidRPr="00426CF0">
        <w:rPr>
          <w:rFonts w:ascii="Calibri" w:eastAsia="Times New Roman" w:hAnsi="Calibri" w:cs="Calibri"/>
          <w:kern w:val="0"/>
          <w14:ligatures w14:val="none"/>
        </w:rPr>
        <w:t>managed</w:t>
      </w:r>
      <w:r w:rsidR="00292281" w:rsidRPr="00426CF0">
        <w:rPr>
          <w:rFonts w:ascii="Calibri" w:eastAsia="Times New Roman" w:hAnsi="Calibri" w:cs="Calibri"/>
          <w:kern w:val="0"/>
          <w14:ligatures w14:val="none"/>
        </w:rPr>
        <w:t xml:space="preserve"> planting, irrigation, fertilization, pest and disease management, harvesting, and storage. Despite favorable agro-climatic conditions, farmers face challenges such as low market prices, high production costs, and post-harvest losses, which limit profitability and hinder investment in production.</w:t>
      </w:r>
      <w:r w:rsidR="00687973" w:rsidRPr="00426CF0">
        <w:rPr>
          <w:rFonts w:ascii="Calibri" w:eastAsia="Times New Roman" w:hAnsi="Calibri" w:cs="Calibri"/>
          <w:kern w:val="0"/>
          <w14:ligatures w14:val="none"/>
        </w:rPr>
        <w:t xml:space="preserve"> </w:t>
      </w:r>
      <w:r w:rsidR="00687973" w:rsidRPr="00426CF0">
        <w:rPr>
          <w:rFonts w:ascii="Calibri" w:hAnsi="Calibri" w:cs="Calibri"/>
        </w:rPr>
        <w:t xml:space="preserve">Focus group discussion with farmers highlighted mostly rely on local dealers for seeds and fertilizers, often facing limited availability and high costs. Access to credit before harvest is a major constraint, while middlemen reduce their profit margins. </w:t>
      </w:r>
      <w:r w:rsidR="00CE35E6" w:rsidRPr="00426CF0">
        <w:rPr>
          <w:rFonts w:ascii="Calibri" w:hAnsi="Calibri" w:cs="Calibri"/>
        </w:rPr>
        <w:t>Farmer</w:t>
      </w:r>
      <w:r w:rsidR="00687973" w:rsidRPr="00426CF0">
        <w:rPr>
          <w:rFonts w:ascii="Calibri" w:hAnsi="Calibri" w:cs="Calibri"/>
        </w:rPr>
        <w:t xml:space="preserve"> participation in production and marketing is increasing, enhancing household income and empowerment. </w:t>
      </w:r>
      <w:r w:rsidR="00E34217" w:rsidRPr="00426CF0">
        <w:rPr>
          <w:rFonts w:ascii="Calibri" w:hAnsi="Calibri" w:cs="Calibri"/>
        </w:rPr>
        <w:t xml:space="preserve">Farmers also emphasized the potential </w:t>
      </w:r>
      <w:r w:rsidR="00E34217" w:rsidRPr="00426CF0">
        <w:rPr>
          <w:rFonts w:ascii="Calibri" w:hAnsi="Calibri" w:cs="Calibri"/>
        </w:rPr>
        <w:lastRenderedPageBreak/>
        <w:t xml:space="preserve">of digital solutions for market information and weather forecasting, which could improve efficiency, reduce losses, and strengthen market linkages within the local agricultural market system. </w:t>
      </w:r>
    </w:p>
    <w:p w14:paraId="433CB239" w14:textId="77777777" w:rsidR="00E34217" w:rsidRPr="00426CF0" w:rsidRDefault="00E34217" w:rsidP="00426CF0">
      <w:pPr>
        <w:spacing w:after="0" w:line="240" w:lineRule="auto"/>
        <w:jc w:val="both"/>
        <w:rPr>
          <w:rFonts w:ascii="Calibri" w:hAnsi="Calibri" w:cs="Calibri"/>
        </w:rPr>
      </w:pPr>
    </w:p>
    <w:p w14:paraId="214E4818" w14:textId="46F48FE6" w:rsidR="004043E8" w:rsidRPr="00426CF0" w:rsidRDefault="006A157B" w:rsidP="00426CF0">
      <w:pPr>
        <w:spacing w:after="0" w:line="240" w:lineRule="auto"/>
        <w:jc w:val="center"/>
        <w:rPr>
          <w:rFonts w:ascii="Calibri" w:eastAsia="Times New Roman" w:hAnsi="Calibri" w:cs="Calibri"/>
          <w:b/>
          <w:bCs/>
          <w:kern w:val="0"/>
          <w14:ligatures w14:val="none"/>
        </w:rPr>
      </w:pPr>
      <w:r w:rsidRPr="00426CF0">
        <w:rPr>
          <w:rFonts w:ascii="Calibri" w:hAnsi="Calibri" w:cs="Calibri"/>
          <w:noProof/>
        </w:rPr>
        <w:drawing>
          <wp:inline distT="0" distB="0" distL="0" distR="0" wp14:anchorId="2F413243" wp14:editId="2E40A876">
            <wp:extent cx="4743450" cy="4213984"/>
            <wp:effectExtent l="19050" t="19050" r="19050" b="15240"/>
            <wp:docPr id="3" name="Picture 3" descr="C:\Users\BABUL\OneDrive\Desktop\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Loc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201" cy="4375448"/>
                    </a:xfrm>
                    <a:prstGeom prst="rect">
                      <a:avLst/>
                    </a:prstGeom>
                    <a:noFill/>
                    <a:ln>
                      <a:solidFill>
                        <a:schemeClr val="tx1"/>
                      </a:solidFill>
                    </a:ln>
                  </pic:spPr>
                </pic:pic>
              </a:graphicData>
            </a:graphic>
          </wp:inline>
        </w:drawing>
      </w:r>
    </w:p>
    <w:p w14:paraId="308AEA3A" w14:textId="0C7CB9E7" w:rsidR="00D07CB1" w:rsidRPr="00426CF0" w:rsidRDefault="00D07CB1" w:rsidP="00426CF0">
      <w:pPr>
        <w:pStyle w:val="Caption"/>
        <w:spacing w:after="0"/>
        <w:jc w:val="center"/>
        <w:rPr>
          <w:rFonts w:ascii="Calibri" w:hAnsi="Calibri" w:cs="Calibri"/>
          <w:i w:val="0"/>
          <w:color w:val="auto"/>
          <w:sz w:val="22"/>
          <w:szCs w:val="22"/>
        </w:rPr>
      </w:pPr>
      <w:r w:rsidRPr="00426CF0">
        <w:rPr>
          <w:rFonts w:ascii="Calibri" w:hAnsi="Calibri" w:cs="Calibri"/>
          <w:i w:val="0"/>
          <w:color w:val="auto"/>
          <w:sz w:val="22"/>
          <w:szCs w:val="22"/>
        </w:rPr>
        <w:t xml:space="preserve">Figure </w:t>
      </w:r>
      <w:r w:rsidR="00181EC4" w:rsidRPr="00426CF0">
        <w:rPr>
          <w:rFonts w:ascii="Calibri" w:hAnsi="Calibri" w:cs="Calibri"/>
          <w:i w:val="0"/>
          <w:color w:val="auto"/>
          <w:sz w:val="22"/>
          <w:szCs w:val="22"/>
        </w:rPr>
        <w:t>2</w:t>
      </w:r>
      <w:r w:rsidRPr="00426CF0">
        <w:rPr>
          <w:rFonts w:ascii="Calibri" w:hAnsi="Calibri" w:cs="Calibri"/>
          <w:i w:val="0"/>
          <w:color w:val="auto"/>
          <w:sz w:val="22"/>
          <w:szCs w:val="22"/>
        </w:rPr>
        <w:t>: Agriculture Market Systems Map in Rangpur District, Bangladesh</w:t>
      </w:r>
    </w:p>
    <w:p w14:paraId="3CFDA894" w14:textId="77777777" w:rsidR="006A157B" w:rsidRPr="00426CF0" w:rsidRDefault="006A157B" w:rsidP="00426CF0">
      <w:pPr>
        <w:pStyle w:val="ListParagraph"/>
        <w:spacing w:after="0" w:line="240" w:lineRule="auto"/>
        <w:ind w:left="0"/>
        <w:jc w:val="both"/>
        <w:rPr>
          <w:rFonts w:ascii="Calibri" w:hAnsi="Calibri" w:cs="Calibri"/>
        </w:rPr>
      </w:pPr>
    </w:p>
    <w:p w14:paraId="63989FB7" w14:textId="615CB7A2" w:rsidR="006A157B" w:rsidRPr="00426CF0" w:rsidRDefault="006A157B" w:rsidP="00426CF0">
      <w:pPr>
        <w:pStyle w:val="ListParagraph"/>
        <w:numPr>
          <w:ilvl w:val="3"/>
          <w:numId w:val="30"/>
        </w:numPr>
        <w:spacing w:after="0" w:line="240" w:lineRule="auto"/>
        <w:ind w:left="0" w:firstLine="0"/>
        <w:jc w:val="both"/>
        <w:rPr>
          <w:rFonts w:ascii="Calibri" w:hAnsi="Calibri" w:cs="Calibri"/>
        </w:rPr>
      </w:pPr>
      <w:proofErr w:type="spellStart"/>
      <w:r w:rsidRPr="00426CF0">
        <w:rPr>
          <w:rFonts w:ascii="Calibri" w:eastAsia="Times New Roman" w:hAnsi="Calibri" w:cs="Calibri"/>
          <w:b/>
          <w:bCs/>
          <w:kern w:val="0"/>
          <w14:ligatures w14:val="none"/>
        </w:rPr>
        <w:t>Paiker</w:t>
      </w:r>
      <w:proofErr w:type="spellEnd"/>
      <w:r w:rsidRPr="00426CF0">
        <w:rPr>
          <w:rFonts w:ascii="Calibri" w:eastAsia="Times New Roman" w:hAnsi="Calibri" w:cs="Calibri"/>
          <w:b/>
          <w:bCs/>
          <w:kern w:val="0"/>
          <w14:ligatures w14:val="none"/>
        </w:rPr>
        <w:t>/</w:t>
      </w:r>
      <w:proofErr w:type="spellStart"/>
      <w:r w:rsidRPr="00426CF0">
        <w:rPr>
          <w:rFonts w:ascii="Calibri" w:eastAsia="Times New Roman" w:hAnsi="Calibri" w:cs="Calibri"/>
          <w:b/>
          <w:bCs/>
          <w:kern w:val="0"/>
          <w14:ligatures w14:val="none"/>
        </w:rPr>
        <w:t>Bepari</w:t>
      </w:r>
      <w:proofErr w:type="spellEnd"/>
      <w:r w:rsidRPr="00426CF0">
        <w:rPr>
          <w:rFonts w:ascii="Calibri" w:eastAsia="Times New Roman" w:hAnsi="Calibri" w:cs="Calibri"/>
          <w:b/>
          <w:bCs/>
          <w:kern w:val="0"/>
          <w14:ligatures w14:val="none"/>
        </w:rPr>
        <w:t xml:space="preserve"> (Assembly market traders):</w:t>
      </w:r>
      <w:r w:rsidRPr="00426CF0">
        <w:rPr>
          <w:rFonts w:ascii="Calibri" w:eastAsia="Times New Roman" w:hAnsi="Calibri" w:cs="Calibri"/>
          <w:kern w:val="0"/>
          <w14:ligatures w14:val="none"/>
        </w:rPr>
        <w:t xml:space="preserve"> These traders collect produce directly from farmers at village markets or farm gates and supply it to wholesale or retail markets. They performed activities that included sorting, repacking, aggregating, and transporting produce. They leverage local knowledge of surplus areas to ensure efficient distribution. </w:t>
      </w:r>
      <w:r w:rsidRPr="00426CF0">
        <w:rPr>
          <w:rFonts w:ascii="Calibri" w:hAnsi="Calibri" w:cs="Calibri"/>
        </w:rPr>
        <w:t xml:space="preserve">KII with </w:t>
      </w:r>
      <w:proofErr w:type="spellStart"/>
      <w:r w:rsidRPr="00426CF0">
        <w:rPr>
          <w:rFonts w:ascii="Calibri" w:hAnsi="Calibri" w:cs="Calibri"/>
        </w:rPr>
        <w:t>Paiker</w:t>
      </w:r>
      <w:proofErr w:type="spellEnd"/>
      <w:r w:rsidRPr="00426CF0">
        <w:rPr>
          <w:rFonts w:ascii="Calibri" w:hAnsi="Calibri" w:cs="Calibri"/>
        </w:rPr>
        <w:t>/</w:t>
      </w:r>
      <w:proofErr w:type="spellStart"/>
      <w:r w:rsidRPr="00426CF0">
        <w:rPr>
          <w:rFonts w:ascii="Calibri" w:hAnsi="Calibri" w:cs="Calibri"/>
        </w:rPr>
        <w:t>Bepari</w:t>
      </w:r>
      <w:proofErr w:type="spellEnd"/>
      <w:r w:rsidRPr="00426CF0">
        <w:rPr>
          <w:rFonts w:ascii="Calibri" w:hAnsi="Calibri" w:cs="Calibri"/>
        </w:rPr>
        <w:t xml:space="preserve"> revealed that buying produce directly from farmers often provides immediate payment when farmers need cash. They sort, pack, and transport crops efficiently, using local knowledge of surplus areas to reduce losses. </w:t>
      </w:r>
    </w:p>
    <w:p w14:paraId="2BA24719" w14:textId="77777777" w:rsidR="000632B1" w:rsidRPr="00426CF0" w:rsidRDefault="000632B1" w:rsidP="00426CF0">
      <w:pPr>
        <w:spacing w:after="0" w:line="240" w:lineRule="auto"/>
        <w:jc w:val="both"/>
        <w:rPr>
          <w:rFonts w:ascii="Calibri" w:eastAsia="Times New Roman" w:hAnsi="Calibri" w:cs="Calibri"/>
          <w:b/>
          <w:bCs/>
          <w:kern w:val="0"/>
          <w14:ligatures w14:val="none"/>
        </w:rPr>
      </w:pPr>
    </w:p>
    <w:p w14:paraId="14754B44" w14:textId="56E85F71" w:rsidR="00680F7D" w:rsidRPr="00426CF0" w:rsidRDefault="00680F7D"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3.4.1.4 </w:t>
      </w:r>
      <w:r w:rsidR="00525BB4" w:rsidRPr="00426CF0">
        <w:rPr>
          <w:rFonts w:ascii="Calibri" w:eastAsia="Times New Roman" w:hAnsi="Calibri" w:cs="Calibri"/>
          <w:b/>
          <w:bCs/>
          <w:kern w:val="0"/>
          <w14:ligatures w14:val="none"/>
        </w:rPr>
        <w:t>Aratdar</w:t>
      </w:r>
      <w:r w:rsidRPr="00426CF0">
        <w:rPr>
          <w:rFonts w:ascii="Calibri" w:eastAsia="Times New Roman" w:hAnsi="Calibri" w:cs="Calibri"/>
          <w:b/>
          <w:bCs/>
          <w:kern w:val="0"/>
          <w14:ligatures w14:val="none"/>
        </w:rPr>
        <w:t xml:space="preserve"> (Wholesale market operators):</w:t>
      </w:r>
      <w:r w:rsidRPr="00426CF0">
        <w:rPr>
          <w:rFonts w:ascii="Calibri" w:eastAsia="Times New Roman" w:hAnsi="Calibri" w:cs="Calibri"/>
          <w:kern w:val="0"/>
          <w14:ligatures w14:val="none"/>
        </w:rPr>
        <w:t xml:space="preserve"> </w:t>
      </w:r>
      <w:r w:rsidR="00525BB4" w:rsidRPr="00426CF0">
        <w:rPr>
          <w:rFonts w:ascii="Calibri" w:eastAsia="Times New Roman" w:hAnsi="Calibri" w:cs="Calibri"/>
          <w:kern w:val="0"/>
          <w14:ligatures w14:val="none"/>
        </w:rPr>
        <w:t>Aratdar</w:t>
      </w:r>
      <w:r w:rsidRPr="00426CF0">
        <w:rPr>
          <w:rFonts w:ascii="Calibri" w:eastAsia="Times New Roman" w:hAnsi="Calibri" w:cs="Calibri"/>
          <w:kern w:val="0"/>
          <w14:ligatures w14:val="none"/>
        </w:rPr>
        <w:t xml:space="preserve"> purchases bulk quantities from </w:t>
      </w:r>
      <w:proofErr w:type="spellStart"/>
      <w:r w:rsidRPr="00426CF0">
        <w:rPr>
          <w:rFonts w:ascii="Calibri" w:eastAsia="Times New Roman" w:hAnsi="Calibri" w:cs="Calibri"/>
          <w:kern w:val="0"/>
          <w14:ligatures w14:val="none"/>
        </w:rPr>
        <w:t>Paiker</w:t>
      </w:r>
      <w:proofErr w:type="spellEnd"/>
      <w:r w:rsidRPr="00426CF0">
        <w:rPr>
          <w:rFonts w:ascii="Calibri" w:eastAsia="Times New Roman" w:hAnsi="Calibri" w:cs="Calibri"/>
          <w:kern w:val="0"/>
          <w14:ligatures w14:val="none"/>
        </w:rPr>
        <w:t>/</w:t>
      </w:r>
      <w:proofErr w:type="spellStart"/>
      <w:r w:rsidRPr="00426CF0">
        <w:rPr>
          <w:rFonts w:ascii="Calibri" w:eastAsia="Times New Roman" w:hAnsi="Calibri" w:cs="Calibri"/>
          <w:kern w:val="0"/>
          <w14:ligatures w14:val="none"/>
        </w:rPr>
        <w:t>Bepari</w:t>
      </w:r>
      <w:proofErr w:type="spellEnd"/>
      <w:r w:rsidRPr="00426CF0">
        <w:rPr>
          <w:rFonts w:ascii="Calibri" w:eastAsia="Times New Roman" w:hAnsi="Calibri" w:cs="Calibri"/>
          <w:kern w:val="0"/>
          <w14:ligatures w14:val="none"/>
        </w:rPr>
        <w:t xml:space="preserve"> in wholesale markets and facilitates distribution to retailers and other buyers. They play an important role in determining market prices and ensuring product availability. Traders aggregate crops from farmers or Paiker to efficiently supply wholesale and urban markets. They monitor prices, ensure quality, and maintain strong supplier relationships. Facing challenges like price fluctuations, transport delays, and perishability, opportunities exist in cold storage, logistics, and market information.</w:t>
      </w:r>
    </w:p>
    <w:p w14:paraId="72D53AA1" w14:textId="77777777" w:rsidR="00680F7D" w:rsidRPr="00426CF0" w:rsidRDefault="00680F7D" w:rsidP="00426CF0">
      <w:pPr>
        <w:spacing w:after="0" w:line="240" w:lineRule="auto"/>
        <w:jc w:val="both"/>
        <w:rPr>
          <w:rFonts w:ascii="Calibri" w:eastAsia="Times New Roman" w:hAnsi="Calibri" w:cs="Calibri"/>
          <w:b/>
          <w:bCs/>
          <w:kern w:val="0"/>
          <w14:ligatures w14:val="none"/>
        </w:rPr>
      </w:pPr>
    </w:p>
    <w:p w14:paraId="793724E7" w14:textId="77777777" w:rsidR="00680F7D" w:rsidRPr="00426CF0" w:rsidRDefault="00680F7D" w:rsidP="00426CF0">
      <w:pPr>
        <w:spacing w:after="0" w:line="240" w:lineRule="auto"/>
        <w:jc w:val="both"/>
        <w:rPr>
          <w:rFonts w:ascii="Calibri" w:hAnsi="Calibri" w:cs="Calibri"/>
        </w:rPr>
      </w:pPr>
      <w:r w:rsidRPr="00426CF0">
        <w:rPr>
          <w:rFonts w:ascii="Calibri" w:eastAsia="Times New Roman" w:hAnsi="Calibri" w:cs="Calibri"/>
          <w:b/>
          <w:bCs/>
          <w:kern w:val="0"/>
          <w14:ligatures w14:val="none"/>
        </w:rPr>
        <w:t>3.4.1.5 Retailers and Consumers:</w:t>
      </w:r>
      <w:r w:rsidRPr="00426CF0">
        <w:rPr>
          <w:rFonts w:ascii="Calibri" w:eastAsia="Times New Roman" w:hAnsi="Calibri" w:cs="Calibri"/>
          <w:kern w:val="0"/>
          <w14:ligatures w14:val="none"/>
        </w:rPr>
        <w:t xml:space="preserve"> Retailers sell produce in local markets, completing the supply chain by supplying agricultural products to end consumers for household or commercial use. In agricultural market systems, retailers serve as the essential bridge between producers and consumers.  </w:t>
      </w:r>
      <w:r w:rsidRPr="00426CF0">
        <w:rPr>
          <w:rFonts w:ascii="Calibri" w:hAnsi="Calibri" w:cs="Calibri"/>
        </w:rPr>
        <w:t>KII with retailers found that they source produce from wholesalers or farmers, emphasizing timely purchase to prevent spoilage. They prioritize quality and variety to meet customer demand, navigate challenges from price fluctuations, and rely on consumer feedback to adjust stock, ensuring popular crops are available while minimizing losses and maintaining competitive margins.</w:t>
      </w:r>
    </w:p>
    <w:p w14:paraId="05EDF24E" w14:textId="77777777" w:rsidR="00680F7D" w:rsidRPr="00426CF0" w:rsidRDefault="00680F7D" w:rsidP="00426CF0">
      <w:pPr>
        <w:spacing w:after="0" w:line="240" w:lineRule="auto"/>
        <w:jc w:val="both"/>
        <w:rPr>
          <w:rFonts w:ascii="Calibri" w:hAnsi="Calibri" w:cs="Calibri"/>
          <w:b/>
          <w:bCs/>
        </w:rPr>
      </w:pPr>
    </w:p>
    <w:p w14:paraId="3A36B9FA" w14:textId="2A89DCF2" w:rsidR="001067FA" w:rsidRPr="00426CF0" w:rsidRDefault="001067FA" w:rsidP="00426CF0">
      <w:pPr>
        <w:spacing w:after="0" w:line="240" w:lineRule="auto"/>
        <w:jc w:val="both"/>
        <w:rPr>
          <w:rFonts w:ascii="Calibri" w:hAnsi="Calibri" w:cs="Calibri"/>
        </w:rPr>
      </w:pPr>
      <w:r w:rsidRPr="00426CF0">
        <w:rPr>
          <w:rFonts w:ascii="Calibri" w:hAnsi="Calibri" w:cs="Calibri"/>
          <w:b/>
          <w:bCs/>
        </w:rPr>
        <w:lastRenderedPageBreak/>
        <w:t xml:space="preserve">3.4.2 </w:t>
      </w:r>
      <w:r w:rsidR="00292281" w:rsidRPr="00426CF0">
        <w:rPr>
          <w:rFonts w:ascii="Calibri" w:eastAsia="Times New Roman" w:hAnsi="Calibri" w:cs="Calibri"/>
          <w:b/>
          <w:bCs/>
          <w:kern w:val="0"/>
          <w14:ligatures w14:val="none"/>
        </w:rPr>
        <w:t xml:space="preserve">Supporting Actors: </w:t>
      </w:r>
      <w:r w:rsidR="00334624" w:rsidRPr="00426CF0">
        <w:rPr>
          <w:rFonts w:ascii="Calibri" w:eastAsia="Times New Roman" w:hAnsi="Calibri" w:cs="Calibri"/>
          <w:kern w:val="0"/>
          <w14:ligatures w14:val="none"/>
        </w:rPr>
        <w:t>Supporting actors play an essential</w:t>
      </w:r>
      <w:r w:rsidRPr="00426CF0">
        <w:rPr>
          <w:rFonts w:ascii="Calibri" w:eastAsia="Times New Roman" w:hAnsi="Calibri" w:cs="Calibri"/>
          <w:kern w:val="0"/>
          <w14:ligatures w14:val="none"/>
        </w:rPr>
        <w:t xml:space="preserve"> role in enhancing the efficiency, sustainability, and resilience of the agricultural market system</w:t>
      </w:r>
      <w:r w:rsidR="00334624" w:rsidRPr="00426CF0">
        <w:rPr>
          <w:rFonts w:ascii="Calibri" w:eastAsia="Times New Roman" w:hAnsi="Calibri" w:cs="Calibri"/>
          <w:kern w:val="0"/>
          <w14:ligatures w14:val="none"/>
        </w:rPr>
        <w:t>s</w:t>
      </w:r>
      <w:r w:rsidRPr="00426CF0">
        <w:rPr>
          <w:rFonts w:ascii="Calibri" w:eastAsia="Times New Roman" w:hAnsi="Calibri" w:cs="Calibri"/>
          <w:kern w:val="0"/>
          <w14:ligatures w14:val="none"/>
        </w:rPr>
        <w:t xml:space="preserve">. These include private sector suppliers, government institutions such as the Department of Agricultural Extension (DAE), research institutes, NGOs, and financial organizations. Banks and microfinance institutions provide </w:t>
      </w:r>
      <w:r w:rsidR="00334624" w:rsidRPr="00426CF0">
        <w:rPr>
          <w:rFonts w:ascii="Calibri" w:eastAsia="Times New Roman" w:hAnsi="Calibri" w:cs="Calibri"/>
          <w:kern w:val="0"/>
          <w14:ligatures w14:val="none"/>
        </w:rPr>
        <w:t>necessary</w:t>
      </w:r>
      <w:r w:rsidRPr="00426CF0">
        <w:rPr>
          <w:rFonts w:ascii="Calibri" w:eastAsia="Times New Roman" w:hAnsi="Calibri" w:cs="Calibri"/>
          <w:kern w:val="0"/>
          <w14:ligatures w14:val="none"/>
        </w:rPr>
        <w:t xml:space="preserve"> credit and financial services to support production and marketing activities. Government agencies, cooperatives, and DAE deliver training, extension services, and policy guidance, while NGOs and research institutes contribute through technology transfer, capacity-building programs, input distribution, and market research. Extension agents serve as vital links, bridging research, policy, and practice by providing farmers with technical guidance and best practices. Effective collaboration between primary actors (farmers, traders) and supporting actors improves agricultural productivity, reduces post-harvest losses, and strengthens market efficiency. Strengthening linkages amon</w:t>
      </w:r>
      <w:r w:rsidR="00334624" w:rsidRPr="00426CF0">
        <w:rPr>
          <w:rFonts w:ascii="Calibri" w:eastAsia="Times New Roman" w:hAnsi="Calibri" w:cs="Calibri"/>
          <w:kern w:val="0"/>
          <w14:ligatures w14:val="none"/>
        </w:rPr>
        <w:t xml:space="preserve">g farmers, traders, and supportive </w:t>
      </w:r>
      <w:r w:rsidRPr="00426CF0">
        <w:rPr>
          <w:rFonts w:ascii="Calibri" w:eastAsia="Times New Roman" w:hAnsi="Calibri" w:cs="Calibri"/>
          <w:kern w:val="0"/>
          <w14:ligatures w14:val="none"/>
        </w:rPr>
        <w:t xml:space="preserve">institutions can increase profitability, ensure better </w:t>
      </w:r>
      <w:r w:rsidR="00D13FB6" w:rsidRPr="00426CF0">
        <w:rPr>
          <w:rFonts w:ascii="Calibri" w:eastAsia="Times New Roman" w:hAnsi="Calibri" w:cs="Calibri"/>
          <w:kern w:val="0"/>
          <w14:ligatures w14:val="none"/>
        </w:rPr>
        <w:t>prices</w:t>
      </w:r>
      <w:r w:rsidRPr="00426CF0">
        <w:rPr>
          <w:rFonts w:ascii="Calibri" w:eastAsia="Times New Roman" w:hAnsi="Calibri" w:cs="Calibri"/>
          <w:kern w:val="0"/>
          <w14:ligatures w14:val="none"/>
        </w:rPr>
        <w:t>, and sustain the agricultural market system, ultimately contributing to rural development and the livelihoods of smallholder farmers.</w:t>
      </w:r>
    </w:p>
    <w:p w14:paraId="3B3A83BB" w14:textId="7FE5926D" w:rsidR="00292281" w:rsidRPr="00426CF0" w:rsidRDefault="00292281" w:rsidP="00426CF0">
      <w:pPr>
        <w:spacing w:after="0" w:line="240" w:lineRule="auto"/>
        <w:jc w:val="both"/>
        <w:rPr>
          <w:rFonts w:ascii="Calibri" w:eastAsia="Times New Roman" w:hAnsi="Calibri" w:cs="Calibri"/>
          <w:kern w:val="0"/>
          <w14:ligatures w14:val="none"/>
        </w:rPr>
      </w:pPr>
    </w:p>
    <w:p w14:paraId="148755C4" w14:textId="60F1114C" w:rsidR="00C350A9" w:rsidRPr="00426CF0" w:rsidRDefault="00C350A9" w:rsidP="00426CF0">
      <w:pPr>
        <w:pStyle w:val="ListParagraph"/>
        <w:numPr>
          <w:ilvl w:val="1"/>
          <w:numId w:val="30"/>
        </w:numPr>
        <w:spacing w:after="0" w:line="240" w:lineRule="auto"/>
        <w:jc w:val="both"/>
        <w:rPr>
          <w:rFonts w:ascii="Calibri" w:hAnsi="Calibri" w:cs="Calibri"/>
          <w:b/>
          <w:bCs/>
        </w:rPr>
      </w:pPr>
      <w:r w:rsidRPr="00426CF0">
        <w:rPr>
          <w:rFonts w:ascii="Calibri" w:eastAsia="Times New Roman" w:hAnsi="Calibri" w:cs="Calibri"/>
          <w:b/>
          <w:bCs/>
          <w:kern w:val="0"/>
          <w14:ligatures w14:val="none"/>
        </w:rPr>
        <w:t>P</w:t>
      </w:r>
      <w:r w:rsidRPr="00426CF0">
        <w:rPr>
          <w:rFonts w:ascii="Calibri" w:hAnsi="Calibri" w:cs="Calibri"/>
          <w:b/>
          <w:bCs/>
        </w:rPr>
        <w:t>ost-harvest practices adopted by the agricultural producers</w:t>
      </w:r>
    </w:p>
    <w:p w14:paraId="76042DAB" w14:textId="10CDFF73" w:rsidR="00066376" w:rsidRPr="00426CF0" w:rsidRDefault="00066376" w:rsidP="00426CF0">
      <w:pPr>
        <w:spacing w:after="0" w:line="240" w:lineRule="auto"/>
        <w:jc w:val="both"/>
        <w:rPr>
          <w:rFonts w:ascii="Calibri" w:hAnsi="Calibri" w:cs="Calibri"/>
        </w:rPr>
      </w:pPr>
      <w:r w:rsidRPr="00426CF0">
        <w:rPr>
          <w:rFonts w:ascii="Calibri" w:hAnsi="Calibri" w:cs="Calibri"/>
        </w:rPr>
        <w:t>The study found that post-harvest practices among farmers were moderately adopted. Overall, 51.67% of farmers engage in post-harvest activities. Cleaning, sorting, and grading are the most commonly practiced activities, followed by 65.00%, 64.17%, and 53.33% of farmers, respectively. Timely harvesting is practiced by 43.33% of farmers. In contrast, adoption of pre-cooling at 19.17% and packaging at 27.50% remains low, reflecting limited access to infrastructure and technology. Appropriate storage practices are followed by 36.67% of farmers, while 57.50% practice careful transportation. Nearly half of the farmers, 49.17%, are engaged in marketing and distribution activities.</w:t>
      </w:r>
    </w:p>
    <w:p w14:paraId="2040CB99" w14:textId="77777777" w:rsidR="00ED1F8B" w:rsidRPr="00426CF0" w:rsidRDefault="00ED1F8B" w:rsidP="00426CF0">
      <w:pPr>
        <w:spacing w:after="0" w:line="240" w:lineRule="auto"/>
        <w:jc w:val="both"/>
        <w:rPr>
          <w:rFonts w:ascii="Calibri" w:hAnsi="Calibri" w:cs="Calibri"/>
          <w:b/>
          <w:bCs/>
        </w:rPr>
      </w:pPr>
    </w:p>
    <w:p w14:paraId="59909087" w14:textId="65C1FC1D" w:rsidR="00066376" w:rsidRPr="004A56EC" w:rsidRDefault="00066376"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00902F6E" w:rsidRPr="004A56EC">
        <w:rPr>
          <w:rFonts w:ascii="Calibri" w:hAnsi="Calibri" w:cs="Calibri"/>
          <w:i w:val="0"/>
          <w:color w:val="auto"/>
          <w:sz w:val="22"/>
          <w:szCs w:val="22"/>
        </w:rPr>
        <w:fldChar w:fldCharType="begin"/>
      </w:r>
      <w:r w:rsidR="00902F6E" w:rsidRPr="004A56EC">
        <w:rPr>
          <w:rFonts w:ascii="Calibri" w:hAnsi="Calibri" w:cs="Calibri"/>
          <w:i w:val="0"/>
          <w:color w:val="auto"/>
          <w:sz w:val="22"/>
          <w:szCs w:val="22"/>
        </w:rPr>
        <w:instrText xml:space="preserve"> SEQ Table \* ARABIC </w:instrText>
      </w:r>
      <w:r w:rsidR="00902F6E"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4</w:t>
      </w:r>
      <w:r w:rsidR="00902F6E" w:rsidRPr="004A56EC">
        <w:rPr>
          <w:rFonts w:ascii="Calibri" w:hAnsi="Calibri" w:cs="Calibri"/>
          <w:i w:val="0"/>
          <w:noProof/>
          <w:color w:val="auto"/>
          <w:sz w:val="22"/>
          <w:szCs w:val="22"/>
        </w:rPr>
        <w:fldChar w:fldCharType="end"/>
      </w:r>
      <w:r w:rsidRPr="004A56EC">
        <w:rPr>
          <w:rFonts w:ascii="Calibri" w:hAnsi="Calibri" w:cs="Calibri"/>
          <w:i w:val="0"/>
          <w:color w:val="auto"/>
          <w:sz w:val="22"/>
          <w:szCs w:val="22"/>
        </w:rPr>
        <w:t>: Post-harvest practices adopted by the agricultural producers</w:t>
      </w:r>
    </w:p>
    <w:tbl>
      <w:tblPr>
        <w:tblW w:w="8989" w:type="dxa"/>
        <w:tblInd w:w="-5" w:type="dxa"/>
        <w:tblBorders>
          <w:bottom w:val="dashSmallGap" w:sz="4" w:space="0" w:color="auto"/>
          <w:insideH w:val="dashSmallGap" w:sz="4" w:space="0" w:color="auto"/>
        </w:tblBorders>
        <w:tblLook w:val="04A0" w:firstRow="1" w:lastRow="0" w:firstColumn="1" w:lastColumn="0" w:noHBand="0" w:noVBand="1"/>
      </w:tblPr>
      <w:tblGrid>
        <w:gridCol w:w="2762"/>
        <w:gridCol w:w="1767"/>
        <w:gridCol w:w="1444"/>
        <w:gridCol w:w="1322"/>
        <w:gridCol w:w="1694"/>
      </w:tblGrid>
      <w:tr w:rsidR="00426CF0" w:rsidRPr="00426CF0" w14:paraId="006926BA" w14:textId="77777777" w:rsidTr="00DB03E5">
        <w:trPr>
          <w:trHeight w:val="466"/>
        </w:trPr>
        <w:tc>
          <w:tcPr>
            <w:tcW w:w="2762" w:type="dxa"/>
            <w:tcBorders>
              <w:top w:val="single" w:sz="4" w:space="0" w:color="auto"/>
              <w:bottom w:val="single" w:sz="4" w:space="0" w:color="auto"/>
            </w:tcBorders>
            <w:vAlign w:val="center"/>
            <w:hideMark/>
          </w:tcPr>
          <w:p w14:paraId="1FA804FA"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Post-harvest activities</w:t>
            </w:r>
          </w:p>
        </w:tc>
        <w:tc>
          <w:tcPr>
            <w:tcW w:w="1767" w:type="dxa"/>
            <w:tcBorders>
              <w:top w:val="single" w:sz="4" w:space="0" w:color="auto"/>
              <w:bottom w:val="single" w:sz="4" w:space="0" w:color="auto"/>
            </w:tcBorders>
            <w:vAlign w:val="center"/>
            <w:hideMark/>
          </w:tcPr>
          <w:p w14:paraId="0BD39B74"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444" w:type="dxa"/>
            <w:tcBorders>
              <w:top w:val="single" w:sz="4" w:space="0" w:color="auto"/>
              <w:bottom w:val="single" w:sz="4" w:space="0" w:color="auto"/>
            </w:tcBorders>
            <w:vAlign w:val="center"/>
            <w:hideMark/>
          </w:tcPr>
          <w:p w14:paraId="4FFF6032"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322" w:type="dxa"/>
            <w:tcBorders>
              <w:top w:val="single" w:sz="4" w:space="0" w:color="auto"/>
              <w:bottom w:val="single" w:sz="4" w:space="0" w:color="auto"/>
            </w:tcBorders>
            <w:vAlign w:val="center"/>
            <w:hideMark/>
          </w:tcPr>
          <w:p w14:paraId="131A3AB4"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694" w:type="dxa"/>
            <w:tcBorders>
              <w:top w:val="single" w:sz="4" w:space="0" w:color="auto"/>
              <w:bottom w:val="single" w:sz="4" w:space="0" w:color="auto"/>
            </w:tcBorders>
            <w:vAlign w:val="center"/>
            <w:hideMark/>
          </w:tcPr>
          <w:p w14:paraId="704ACB60"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56D48F9D" w14:textId="77777777" w:rsidTr="00DB03E5">
        <w:trPr>
          <w:trHeight w:val="233"/>
        </w:trPr>
        <w:tc>
          <w:tcPr>
            <w:tcW w:w="2762" w:type="dxa"/>
            <w:tcBorders>
              <w:top w:val="single" w:sz="4" w:space="0" w:color="auto"/>
            </w:tcBorders>
            <w:noWrap/>
            <w:vAlign w:val="center"/>
            <w:hideMark/>
          </w:tcPr>
          <w:p w14:paraId="5CFF62FE"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Post-harvest activities</w:t>
            </w:r>
          </w:p>
        </w:tc>
        <w:tc>
          <w:tcPr>
            <w:tcW w:w="1767" w:type="dxa"/>
            <w:tcBorders>
              <w:top w:val="single" w:sz="4" w:space="0" w:color="auto"/>
            </w:tcBorders>
            <w:noWrap/>
            <w:vAlign w:val="center"/>
            <w:hideMark/>
          </w:tcPr>
          <w:p w14:paraId="4C8597AB" w14:textId="0A09593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444" w:type="dxa"/>
            <w:tcBorders>
              <w:top w:val="single" w:sz="4" w:space="0" w:color="auto"/>
            </w:tcBorders>
            <w:noWrap/>
            <w:vAlign w:val="center"/>
            <w:hideMark/>
          </w:tcPr>
          <w:p w14:paraId="3C186AD7" w14:textId="1807ECBF"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55.00%</w:t>
            </w:r>
          </w:p>
        </w:tc>
        <w:tc>
          <w:tcPr>
            <w:tcW w:w="1322" w:type="dxa"/>
            <w:tcBorders>
              <w:top w:val="single" w:sz="4" w:space="0" w:color="auto"/>
            </w:tcBorders>
            <w:noWrap/>
            <w:vAlign w:val="center"/>
            <w:hideMark/>
          </w:tcPr>
          <w:p w14:paraId="0FC78D47" w14:textId="68AE307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694" w:type="dxa"/>
            <w:tcBorders>
              <w:top w:val="single" w:sz="4" w:space="0" w:color="auto"/>
            </w:tcBorders>
            <w:noWrap/>
            <w:vAlign w:val="center"/>
            <w:hideMark/>
          </w:tcPr>
          <w:p w14:paraId="7583A818" w14:textId="40C746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51.67%</w:t>
            </w:r>
          </w:p>
        </w:tc>
      </w:tr>
      <w:tr w:rsidR="00426CF0" w:rsidRPr="00426CF0" w14:paraId="04391B9E" w14:textId="77777777" w:rsidTr="00DB03E5">
        <w:trPr>
          <w:trHeight w:val="233"/>
        </w:trPr>
        <w:tc>
          <w:tcPr>
            <w:tcW w:w="2762" w:type="dxa"/>
            <w:noWrap/>
            <w:vAlign w:val="center"/>
            <w:hideMark/>
          </w:tcPr>
          <w:p w14:paraId="33964D48"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Timely harvesting</w:t>
            </w:r>
          </w:p>
        </w:tc>
        <w:tc>
          <w:tcPr>
            <w:tcW w:w="1767" w:type="dxa"/>
            <w:noWrap/>
            <w:vAlign w:val="center"/>
            <w:hideMark/>
          </w:tcPr>
          <w:p w14:paraId="281F956E" w14:textId="5FF74260"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444" w:type="dxa"/>
            <w:noWrap/>
            <w:vAlign w:val="center"/>
            <w:hideMark/>
          </w:tcPr>
          <w:p w14:paraId="5EB4615E" w14:textId="22DA504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40.00%</w:t>
            </w:r>
          </w:p>
        </w:tc>
        <w:tc>
          <w:tcPr>
            <w:tcW w:w="1322" w:type="dxa"/>
            <w:noWrap/>
            <w:vAlign w:val="center"/>
            <w:hideMark/>
          </w:tcPr>
          <w:p w14:paraId="49084D22" w14:textId="07D117D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694" w:type="dxa"/>
            <w:noWrap/>
            <w:vAlign w:val="center"/>
            <w:hideMark/>
          </w:tcPr>
          <w:p w14:paraId="5E83E01A" w14:textId="45110BD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43.33%</w:t>
            </w:r>
          </w:p>
        </w:tc>
      </w:tr>
      <w:tr w:rsidR="00426CF0" w:rsidRPr="00426CF0" w14:paraId="4B0D08B2" w14:textId="77777777" w:rsidTr="00DB03E5">
        <w:trPr>
          <w:trHeight w:val="233"/>
        </w:trPr>
        <w:tc>
          <w:tcPr>
            <w:tcW w:w="2762" w:type="dxa"/>
            <w:noWrap/>
            <w:vAlign w:val="center"/>
            <w:hideMark/>
          </w:tcPr>
          <w:p w14:paraId="1DE52B88"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Cleaning</w:t>
            </w:r>
          </w:p>
        </w:tc>
        <w:tc>
          <w:tcPr>
            <w:tcW w:w="1767" w:type="dxa"/>
            <w:noWrap/>
            <w:vAlign w:val="center"/>
            <w:hideMark/>
          </w:tcPr>
          <w:p w14:paraId="7BC3BD8B" w14:textId="0B41081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72.50%</w:t>
            </w:r>
          </w:p>
        </w:tc>
        <w:tc>
          <w:tcPr>
            <w:tcW w:w="1444" w:type="dxa"/>
            <w:noWrap/>
            <w:vAlign w:val="center"/>
            <w:hideMark/>
          </w:tcPr>
          <w:p w14:paraId="1F4B8618" w14:textId="243AD02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60.00%</w:t>
            </w:r>
          </w:p>
        </w:tc>
        <w:tc>
          <w:tcPr>
            <w:tcW w:w="1322" w:type="dxa"/>
            <w:noWrap/>
            <w:vAlign w:val="center"/>
            <w:hideMark/>
          </w:tcPr>
          <w:p w14:paraId="2F63FF4A" w14:textId="65B39FC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62.50%</w:t>
            </w:r>
          </w:p>
        </w:tc>
        <w:tc>
          <w:tcPr>
            <w:tcW w:w="1694" w:type="dxa"/>
            <w:noWrap/>
            <w:vAlign w:val="center"/>
            <w:hideMark/>
          </w:tcPr>
          <w:p w14:paraId="2A45990B" w14:textId="0A0C23D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r>
      <w:tr w:rsidR="00426CF0" w:rsidRPr="00426CF0" w14:paraId="19145820" w14:textId="77777777" w:rsidTr="00DB03E5">
        <w:trPr>
          <w:trHeight w:val="233"/>
        </w:trPr>
        <w:tc>
          <w:tcPr>
            <w:tcW w:w="2762" w:type="dxa"/>
            <w:noWrap/>
            <w:vAlign w:val="center"/>
            <w:hideMark/>
          </w:tcPr>
          <w:p w14:paraId="4E137C5D"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Sorting</w:t>
            </w:r>
          </w:p>
        </w:tc>
        <w:tc>
          <w:tcPr>
            <w:tcW w:w="1767" w:type="dxa"/>
            <w:noWrap/>
            <w:vAlign w:val="center"/>
            <w:hideMark/>
          </w:tcPr>
          <w:p w14:paraId="5C96E49C" w14:textId="1C5038D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c>
          <w:tcPr>
            <w:tcW w:w="1444" w:type="dxa"/>
            <w:noWrap/>
            <w:vAlign w:val="center"/>
            <w:hideMark/>
          </w:tcPr>
          <w:p w14:paraId="23CD12EF" w14:textId="45FFBB76"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c>
          <w:tcPr>
            <w:tcW w:w="1322" w:type="dxa"/>
            <w:noWrap/>
            <w:vAlign w:val="center"/>
            <w:hideMark/>
          </w:tcPr>
          <w:p w14:paraId="0D5C21A3" w14:textId="436B01E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70.00%</w:t>
            </w:r>
          </w:p>
        </w:tc>
        <w:tc>
          <w:tcPr>
            <w:tcW w:w="1694" w:type="dxa"/>
            <w:noWrap/>
            <w:vAlign w:val="center"/>
            <w:hideMark/>
          </w:tcPr>
          <w:p w14:paraId="22831048" w14:textId="284AF87A"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64.17%</w:t>
            </w:r>
          </w:p>
        </w:tc>
      </w:tr>
      <w:tr w:rsidR="00426CF0" w:rsidRPr="00426CF0" w14:paraId="5A6552B0" w14:textId="77777777" w:rsidTr="00DB03E5">
        <w:trPr>
          <w:trHeight w:val="233"/>
        </w:trPr>
        <w:tc>
          <w:tcPr>
            <w:tcW w:w="2762" w:type="dxa"/>
            <w:noWrap/>
            <w:vAlign w:val="center"/>
            <w:hideMark/>
          </w:tcPr>
          <w:p w14:paraId="3C857F6B"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Grading</w:t>
            </w:r>
          </w:p>
        </w:tc>
        <w:tc>
          <w:tcPr>
            <w:tcW w:w="1767" w:type="dxa"/>
            <w:noWrap/>
            <w:vAlign w:val="center"/>
            <w:hideMark/>
          </w:tcPr>
          <w:p w14:paraId="687603C3" w14:textId="17AB10D9"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444" w:type="dxa"/>
            <w:noWrap/>
            <w:vAlign w:val="center"/>
            <w:hideMark/>
          </w:tcPr>
          <w:p w14:paraId="127B2C28" w14:textId="002C596E"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322" w:type="dxa"/>
            <w:noWrap/>
            <w:vAlign w:val="center"/>
            <w:hideMark/>
          </w:tcPr>
          <w:p w14:paraId="1A59A59E" w14:textId="0E642EF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60.00%</w:t>
            </w:r>
          </w:p>
        </w:tc>
        <w:tc>
          <w:tcPr>
            <w:tcW w:w="1694" w:type="dxa"/>
            <w:noWrap/>
            <w:vAlign w:val="center"/>
            <w:hideMark/>
          </w:tcPr>
          <w:p w14:paraId="7C3362E1" w14:textId="632B45DC"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53.33%</w:t>
            </w:r>
          </w:p>
        </w:tc>
      </w:tr>
      <w:tr w:rsidR="00426CF0" w:rsidRPr="00426CF0" w14:paraId="07B69D3C" w14:textId="77777777" w:rsidTr="00DB03E5">
        <w:trPr>
          <w:trHeight w:val="233"/>
        </w:trPr>
        <w:tc>
          <w:tcPr>
            <w:tcW w:w="2762" w:type="dxa"/>
            <w:noWrap/>
            <w:vAlign w:val="center"/>
            <w:hideMark/>
          </w:tcPr>
          <w:p w14:paraId="7C221B00"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Pre-cooling</w:t>
            </w:r>
          </w:p>
        </w:tc>
        <w:tc>
          <w:tcPr>
            <w:tcW w:w="1767" w:type="dxa"/>
            <w:noWrap/>
            <w:vAlign w:val="center"/>
            <w:hideMark/>
          </w:tcPr>
          <w:p w14:paraId="4372D2E0" w14:textId="128E1B3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22.50%</w:t>
            </w:r>
          </w:p>
        </w:tc>
        <w:tc>
          <w:tcPr>
            <w:tcW w:w="1444" w:type="dxa"/>
            <w:noWrap/>
            <w:vAlign w:val="center"/>
            <w:hideMark/>
          </w:tcPr>
          <w:p w14:paraId="2710A93A" w14:textId="1E38900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20.00%</w:t>
            </w:r>
          </w:p>
        </w:tc>
        <w:tc>
          <w:tcPr>
            <w:tcW w:w="1322" w:type="dxa"/>
            <w:noWrap/>
            <w:vAlign w:val="center"/>
            <w:hideMark/>
          </w:tcPr>
          <w:p w14:paraId="4538E558" w14:textId="4F68E8CC"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15.00%</w:t>
            </w:r>
          </w:p>
        </w:tc>
        <w:tc>
          <w:tcPr>
            <w:tcW w:w="1694" w:type="dxa"/>
            <w:noWrap/>
            <w:vAlign w:val="center"/>
            <w:hideMark/>
          </w:tcPr>
          <w:p w14:paraId="32C3418D" w14:textId="4ECA569B"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19.17%</w:t>
            </w:r>
          </w:p>
        </w:tc>
      </w:tr>
      <w:tr w:rsidR="00426CF0" w:rsidRPr="00426CF0" w14:paraId="351CAC77" w14:textId="77777777" w:rsidTr="00DB03E5">
        <w:trPr>
          <w:trHeight w:val="233"/>
        </w:trPr>
        <w:tc>
          <w:tcPr>
            <w:tcW w:w="2762" w:type="dxa"/>
            <w:noWrap/>
            <w:vAlign w:val="center"/>
            <w:hideMark/>
          </w:tcPr>
          <w:p w14:paraId="03BAC691"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Packaging</w:t>
            </w:r>
          </w:p>
        </w:tc>
        <w:tc>
          <w:tcPr>
            <w:tcW w:w="1767" w:type="dxa"/>
            <w:noWrap/>
            <w:vAlign w:val="center"/>
            <w:hideMark/>
          </w:tcPr>
          <w:p w14:paraId="2F604BE5" w14:textId="3C52F88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27.50%</w:t>
            </w:r>
          </w:p>
        </w:tc>
        <w:tc>
          <w:tcPr>
            <w:tcW w:w="1444" w:type="dxa"/>
            <w:noWrap/>
            <w:vAlign w:val="center"/>
            <w:hideMark/>
          </w:tcPr>
          <w:p w14:paraId="1C4C51E8" w14:textId="0306473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32.50%</w:t>
            </w:r>
          </w:p>
        </w:tc>
        <w:tc>
          <w:tcPr>
            <w:tcW w:w="1322" w:type="dxa"/>
            <w:noWrap/>
            <w:vAlign w:val="center"/>
            <w:hideMark/>
          </w:tcPr>
          <w:p w14:paraId="36EEF039" w14:textId="6ABB410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22.50%</w:t>
            </w:r>
          </w:p>
        </w:tc>
        <w:tc>
          <w:tcPr>
            <w:tcW w:w="1694" w:type="dxa"/>
            <w:noWrap/>
            <w:vAlign w:val="center"/>
            <w:hideMark/>
          </w:tcPr>
          <w:p w14:paraId="0782845E" w14:textId="0E4B8A5E"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27.50%</w:t>
            </w:r>
          </w:p>
        </w:tc>
      </w:tr>
      <w:tr w:rsidR="00426CF0" w:rsidRPr="00426CF0" w14:paraId="2043A981" w14:textId="77777777" w:rsidTr="00DB03E5">
        <w:trPr>
          <w:trHeight w:val="233"/>
        </w:trPr>
        <w:tc>
          <w:tcPr>
            <w:tcW w:w="2762" w:type="dxa"/>
            <w:noWrap/>
            <w:vAlign w:val="center"/>
            <w:hideMark/>
          </w:tcPr>
          <w:p w14:paraId="2811326A"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Storage appropriately</w:t>
            </w:r>
          </w:p>
        </w:tc>
        <w:tc>
          <w:tcPr>
            <w:tcW w:w="1767" w:type="dxa"/>
            <w:noWrap/>
            <w:vAlign w:val="center"/>
            <w:hideMark/>
          </w:tcPr>
          <w:p w14:paraId="36C7D68A" w14:textId="610F947F"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37.50%</w:t>
            </w:r>
          </w:p>
        </w:tc>
        <w:tc>
          <w:tcPr>
            <w:tcW w:w="1444" w:type="dxa"/>
            <w:noWrap/>
            <w:vAlign w:val="center"/>
            <w:hideMark/>
          </w:tcPr>
          <w:p w14:paraId="2B7E314B" w14:textId="52EE6D8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30.00%</w:t>
            </w:r>
          </w:p>
        </w:tc>
        <w:tc>
          <w:tcPr>
            <w:tcW w:w="1322" w:type="dxa"/>
            <w:noWrap/>
            <w:vAlign w:val="center"/>
            <w:hideMark/>
          </w:tcPr>
          <w:p w14:paraId="2335D6D3" w14:textId="4BF5FA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694" w:type="dxa"/>
            <w:noWrap/>
            <w:vAlign w:val="center"/>
            <w:hideMark/>
          </w:tcPr>
          <w:p w14:paraId="637F288E" w14:textId="70977E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36.67%</w:t>
            </w:r>
          </w:p>
        </w:tc>
      </w:tr>
      <w:tr w:rsidR="00426CF0" w:rsidRPr="00426CF0" w14:paraId="28CCE40C" w14:textId="77777777" w:rsidTr="00DB03E5">
        <w:trPr>
          <w:trHeight w:val="233"/>
        </w:trPr>
        <w:tc>
          <w:tcPr>
            <w:tcW w:w="2762" w:type="dxa"/>
            <w:tcBorders>
              <w:bottom w:val="dashSmallGap" w:sz="4" w:space="0" w:color="auto"/>
            </w:tcBorders>
            <w:noWrap/>
            <w:vAlign w:val="center"/>
            <w:hideMark/>
          </w:tcPr>
          <w:p w14:paraId="5ECA6C23"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Careful transportation</w:t>
            </w:r>
          </w:p>
        </w:tc>
        <w:tc>
          <w:tcPr>
            <w:tcW w:w="1767" w:type="dxa"/>
            <w:tcBorders>
              <w:bottom w:val="dashSmallGap" w:sz="4" w:space="0" w:color="auto"/>
            </w:tcBorders>
            <w:noWrap/>
            <w:vAlign w:val="center"/>
            <w:hideMark/>
          </w:tcPr>
          <w:p w14:paraId="16A37659" w14:textId="6D40E9A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c>
          <w:tcPr>
            <w:tcW w:w="1444" w:type="dxa"/>
            <w:tcBorders>
              <w:bottom w:val="dashSmallGap" w:sz="4" w:space="0" w:color="auto"/>
            </w:tcBorders>
            <w:noWrap/>
            <w:vAlign w:val="center"/>
            <w:hideMark/>
          </w:tcPr>
          <w:p w14:paraId="180002EF" w14:textId="0D6A0C7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50.00%</w:t>
            </w:r>
          </w:p>
        </w:tc>
        <w:tc>
          <w:tcPr>
            <w:tcW w:w="1322" w:type="dxa"/>
            <w:tcBorders>
              <w:bottom w:val="dashSmallGap" w:sz="4" w:space="0" w:color="auto"/>
            </w:tcBorders>
            <w:noWrap/>
            <w:vAlign w:val="center"/>
            <w:hideMark/>
          </w:tcPr>
          <w:p w14:paraId="537D530E" w14:textId="34CAFB00"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c>
          <w:tcPr>
            <w:tcW w:w="1694" w:type="dxa"/>
            <w:tcBorders>
              <w:bottom w:val="dashSmallGap" w:sz="4" w:space="0" w:color="auto"/>
            </w:tcBorders>
            <w:noWrap/>
            <w:vAlign w:val="center"/>
            <w:hideMark/>
          </w:tcPr>
          <w:p w14:paraId="09E81DD3" w14:textId="69A23E7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r>
      <w:tr w:rsidR="00426CF0" w:rsidRPr="00426CF0" w14:paraId="781C0924" w14:textId="77777777" w:rsidTr="00DB03E5">
        <w:trPr>
          <w:trHeight w:val="233"/>
        </w:trPr>
        <w:tc>
          <w:tcPr>
            <w:tcW w:w="2762" w:type="dxa"/>
            <w:tcBorders>
              <w:top w:val="dashSmallGap" w:sz="4" w:space="0" w:color="auto"/>
              <w:bottom w:val="single" w:sz="4" w:space="0" w:color="auto"/>
            </w:tcBorders>
            <w:noWrap/>
            <w:vAlign w:val="center"/>
            <w:hideMark/>
          </w:tcPr>
          <w:p w14:paraId="57556345"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Marketing &amp; distribution</w:t>
            </w:r>
          </w:p>
        </w:tc>
        <w:tc>
          <w:tcPr>
            <w:tcW w:w="1767" w:type="dxa"/>
            <w:tcBorders>
              <w:top w:val="dashSmallGap" w:sz="4" w:space="0" w:color="auto"/>
              <w:bottom w:val="single" w:sz="4" w:space="0" w:color="auto"/>
            </w:tcBorders>
            <w:noWrap/>
            <w:vAlign w:val="center"/>
            <w:hideMark/>
          </w:tcPr>
          <w:p w14:paraId="01CE2FC7" w14:textId="694FABE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444" w:type="dxa"/>
            <w:tcBorders>
              <w:top w:val="dashSmallGap" w:sz="4" w:space="0" w:color="auto"/>
              <w:bottom w:val="single" w:sz="4" w:space="0" w:color="auto"/>
            </w:tcBorders>
            <w:noWrap/>
            <w:vAlign w:val="center"/>
            <w:hideMark/>
          </w:tcPr>
          <w:p w14:paraId="5E0B935F" w14:textId="42FA6B3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322" w:type="dxa"/>
            <w:tcBorders>
              <w:top w:val="dashSmallGap" w:sz="4" w:space="0" w:color="auto"/>
              <w:bottom w:val="single" w:sz="4" w:space="0" w:color="auto"/>
            </w:tcBorders>
            <w:noWrap/>
            <w:vAlign w:val="center"/>
            <w:hideMark/>
          </w:tcPr>
          <w:p w14:paraId="7D21988C" w14:textId="62270D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694" w:type="dxa"/>
            <w:tcBorders>
              <w:top w:val="dashSmallGap" w:sz="4" w:space="0" w:color="auto"/>
              <w:bottom w:val="single" w:sz="4" w:space="0" w:color="auto"/>
            </w:tcBorders>
            <w:noWrap/>
            <w:vAlign w:val="center"/>
            <w:hideMark/>
          </w:tcPr>
          <w:p w14:paraId="0CE63F6E" w14:textId="4297071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49.17%</w:t>
            </w:r>
          </w:p>
        </w:tc>
      </w:tr>
    </w:tbl>
    <w:p w14:paraId="4C1934E8" w14:textId="77777777" w:rsidR="00066376" w:rsidRPr="00426CF0" w:rsidRDefault="00066376" w:rsidP="00426CF0">
      <w:pPr>
        <w:spacing w:after="0" w:line="240" w:lineRule="auto"/>
        <w:jc w:val="both"/>
        <w:rPr>
          <w:rFonts w:ascii="Calibri" w:hAnsi="Calibri" w:cs="Calibri"/>
        </w:rPr>
      </w:pPr>
    </w:p>
    <w:p w14:paraId="647A7CC2" w14:textId="754708AC" w:rsidR="00066376" w:rsidRPr="00426CF0" w:rsidRDefault="00066376" w:rsidP="00426CF0">
      <w:pPr>
        <w:spacing w:after="0" w:line="240" w:lineRule="auto"/>
        <w:jc w:val="both"/>
        <w:rPr>
          <w:rFonts w:ascii="Calibri" w:eastAsia="Times New Roman" w:hAnsi="Calibri" w:cs="Calibri"/>
          <w:kern w:val="0"/>
          <w14:ligatures w14:val="none"/>
        </w:rPr>
      </w:pPr>
      <w:r w:rsidRPr="00426CF0">
        <w:rPr>
          <w:rFonts w:ascii="Calibri" w:hAnsi="Calibri" w:cs="Calibri"/>
        </w:rPr>
        <w:t>The recent study (Rahman and Khatun, 2020) found that postharvest loss was 51.79% due to complete physical damage, and the rest (48.21%) was due to partial physical damage. Sorting and grading stages accounted to 27.52% and 24.98%, respectively, and were responsible for complete physical damage and partial physical damage. </w:t>
      </w:r>
      <w:r w:rsidR="00EB3534" w:rsidRPr="00426CF0">
        <w:rPr>
          <w:rFonts w:ascii="Calibri" w:eastAsia="Times New Roman" w:hAnsi="Calibri" w:cs="Calibri"/>
          <w:kern w:val="0"/>
          <w14:ligatures w14:val="none"/>
        </w:rPr>
        <w:t xml:space="preserve">Limited storage and handling practices cause significant post-harvest losses, making the importance of education on proper sorting, packaging, and storage (Akter &amp; Sabur, 2022). </w:t>
      </w:r>
      <w:r w:rsidRPr="00426CF0">
        <w:rPr>
          <w:rFonts w:ascii="Calibri" w:hAnsi="Calibri" w:cs="Calibri"/>
        </w:rPr>
        <w:t>In conclusion, post-harvest practices showed moderate adoption, with strong performance in cleaning, sorting, and grading, but weak uptake of pre-cooling, packaging, and storage. Strengthening infrastructure, technical support, and market linkages is essential to reduce losses, improve quality, and increase farmers’ income.</w:t>
      </w:r>
    </w:p>
    <w:p w14:paraId="4AC86C1A" w14:textId="05E80FF8" w:rsidR="00C350A9" w:rsidRPr="00426CF0" w:rsidRDefault="00C350A9" w:rsidP="00426CF0">
      <w:pPr>
        <w:spacing w:after="0" w:line="240" w:lineRule="auto"/>
        <w:jc w:val="both"/>
        <w:rPr>
          <w:rFonts w:ascii="Calibri" w:eastAsia="Times New Roman" w:hAnsi="Calibri" w:cs="Calibri"/>
          <w:kern w:val="0"/>
          <w14:ligatures w14:val="none"/>
        </w:rPr>
      </w:pPr>
    </w:p>
    <w:p w14:paraId="1CF8DCC5" w14:textId="7824AEDF" w:rsidR="00403AA1" w:rsidRPr="00426CF0" w:rsidRDefault="00010391" w:rsidP="00426CF0">
      <w:pPr>
        <w:spacing w:after="0" w:line="240" w:lineRule="auto"/>
        <w:jc w:val="both"/>
        <w:rPr>
          <w:rFonts w:ascii="Calibri" w:hAnsi="Calibri" w:cs="Calibri"/>
          <w:b/>
          <w:bCs/>
        </w:rPr>
      </w:pPr>
      <w:r w:rsidRPr="00426CF0">
        <w:rPr>
          <w:rFonts w:ascii="Calibri" w:eastAsia="Times New Roman" w:hAnsi="Calibri" w:cs="Calibri"/>
          <w:b/>
          <w:bCs/>
          <w:kern w:val="0"/>
          <w14:ligatures w14:val="none"/>
        </w:rPr>
        <w:t>3.</w:t>
      </w:r>
      <w:r w:rsidR="00B5496F" w:rsidRPr="00426CF0">
        <w:rPr>
          <w:rFonts w:ascii="Calibri" w:eastAsia="Times New Roman" w:hAnsi="Calibri" w:cs="Calibri"/>
          <w:b/>
          <w:bCs/>
          <w:kern w:val="0"/>
          <w14:ligatures w14:val="none"/>
        </w:rPr>
        <w:t>6</w:t>
      </w:r>
      <w:r w:rsidRPr="00426CF0">
        <w:rPr>
          <w:rFonts w:ascii="Calibri" w:eastAsia="Times New Roman" w:hAnsi="Calibri" w:cs="Calibri"/>
          <w:b/>
          <w:bCs/>
          <w:kern w:val="0"/>
          <w14:ligatures w14:val="none"/>
        </w:rPr>
        <w:t xml:space="preserve"> </w:t>
      </w:r>
      <w:r w:rsidR="00403AA1" w:rsidRPr="00426CF0">
        <w:rPr>
          <w:rFonts w:ascii="Calibri" w:hAnsi="Calibri" w:cs="Calibri"/>
          <w:b/>
          <w:bCs/>
        </w:rPr>
        <w:t xml:space="preserve">Market </w:t>
      </w:r>
      <w:r w:rsidR="00870547" w:rsidRPr="00426CF0">
        <w:rPr>
          <w:rFonts w:ascii="Calibri" w:hAnsi="Calibri" w:cs="Calibri"/>
          <w:b/>
          <w:bCs/>
        </w:rPr>
        <w:t>p</w:t>
      </w:r>
      <w:r w:rsidR="00403AA1" w:rsidRPr="00426CF0">
        <w:rPr>
          <w:rFonts w:ascii="Calibri" w:hAnsi="Calibri" w:cs="Calibri"/>
          <w:b/>
          <w:bCs/>
        </w:rPr>
        <w:t xml:space="preserve">articipation of </w:t>
      </w:r>
      <w:r w:rsidR="00870547" w:rsidRPr="00426CF0">
        <w:rPr>
          <w:rFonts w:ascii="Calibri" w:hAnsi="Calibri" w:cs="Calibri"/>
          <w:b/>
          <w:bCs/>
        </w:rPr>
        <w:t>a</w:t>
      </w:r>
      <w:r w:rsidR="00403AA1" w:rsidRPr="00426CF0">
        <w:rPr>
          <w:rFonts w:ascii="Calibri" w:hAnsi="Calibri" w:cs="Calibri"/>
          <w:b/>
          <w:bCs/>
        </w:rPr>
        <w:t xml:space="preserve">gricultural </w:t>
      </w:r>
      <w:r w:rsidR="00870547" w:rsidRPr="00426CF0">
        <w:rPr>
          <w:rFonts w:ascii="Calibri" w:hAnsi="Calibri" w:cs="Calibri"/>
          <w:b/>
          <w:bCs/>
        </w:rPr>
        <w:t>producers</w:t>
      </w:r>
    </w:p>
    <w:p w14:paraId="3CEC14FE" w14:textId="78479AB6" w:rsidR="009757A6" w:rsidRPr="00426CF0" w:rsidRDefault="00EB3534" w:rsidP="00426CF0">
      <w:pPr>
        <w:spacing w:after="0" w:line="240" w:lineRule="auto"/>
        <w:jc w:val="both"/>
        <w:rPr>
          <w:rFonts w:ascii="Calibri" w:hAnsi="Calibri" w:cs="Calibri"/>
        </w:rPr>
      </w:pPr>
      <w:r w:rsidRPr="00426CF0">
        <w:rPr>
          <w:rFonts w:ascii="Calibri" w:hAnsi="Calibri" w:cs="Calibri"/>
        </w:rPr>
        <w:t xml:space="preserve">The study found that market participation among agricultural growers shows that most households rely on nearby markets to sell their produce. Most farmers use multiple marketing channels, with </w:t>
      </w:r>
      <w:r w:rsidRPr="00426CF0">
        <w:rPr>
          <w:rFonts w:ascii="Calibri" w:hAnsi="Calibri" w:cs="Calibri"/>
        </w:rPr>
        <w:lastRenderedPageBreak/>
        <w:t xml:space="preserve">69.17% selling in local markets, 70.00% in Upazila markets, 62.50% through Paikers, and 57.50% in district markets. However, participation in national markets remains limited at 15.00%, and collection centers are used by only 14.17% of farmers. </w:t>
      </w:r>
      <w:r w:rsidR="00D4790B" w:rsidRPr="00426CF0">
        <w:rPr>
          <w:rFonts w:ascii="Calibri" w:hAnsi="Calibri" w:cs="Calibri"/>
        </w:rPr>
        <w:t>Limited access to diversified and higher-level markets reduces farmers’ bargaining power, underscoring the need to strengthen market linkages, improve aggregation systems, and enhance support services to ensure better price realization and increased income opportunities.</w:t>
      </w:r>
    </w:p>
    <w:p w14:paraId="6E073937" w14:textId="77777777" w:rsidR="00D4790B" w:rsidRPr="00426CF0" w:rsidRDefault="00D4790B" w:rsidP="00426CF0">
      <w:pPr>
        <w:spacing w:after="0" w:line="240" w:lineRule="auto"/>
        <w:jc w:val="both"/>
        <w:rPr>
          <w:rFonts w:ascii="Calibri" w:hAnsi="Calibri" w:cs="Calibri"/>
        </w:rPr>
      </w:pPr>
    </w:p>
    <w:p w14:paraId="4F87A6BF" w14:textId="0F6FC54E" w:rsidR="00EB3534" w:rsidRPr="004A56EC" w:rsidRDefault="00EB3534"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5</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Market participation of agricultural producers</w:t>
      </w:r>
    </w:p>
    <w:tbl>
      <w:tblPr>
        <w:tblW w:w="8904" w:type="dxa"/>
        <w:tblInd w:w="-5" w:type="dxa"/>
        <w:tblLook w:val="04A0" w:firstRow="1" w:lastRow="0" w:firstColumn="1" w:lastColumn="0" w:noHBand="0" w:noVBand="1"/>
      </w:tblPr>
      <w:tblGrid>
        <w:gridCol w:w="3605"/>
        <w:gridCol w:w="1429"/>
        <w:gridCol w:w="1273"/>
        <w:gridCol w:w="1098"/>
        <w:gridCol w:w="1499"/>
      </w:tblGrid>
      <w:tr w:rsidR="00426CF0" w:rsidRPr="00426CF0" w14:paraId="16898B53" w14:textId="77777777" w:rsidTr="00DB03E5">
        <w:trPr>
          <w:trHeight w:val="444"/>
        </w:trPr>
        <w:tc>
          <w:tcPr>
            <w:tcW w:w="3605" w:type="dxa"/>
            <w:tcBorders>
              <w:top w:val="single" w:sz="4" w:space="0" w:color="auto"/>
              <w:bottom w:val="single" w:sz="4" w:space="0" w:color="auto"/>
            </w:tcBorders>
            <w:vAlign w:val="center"/>
            <w:hideMark/>
          </w:tcPr>
          <w:p w14:paraId="5FFC3FAE"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Places where households sell farm products</w:t>
            </w:r>
          </w:p>
        </w:tc>
        <w:tc>
          <w:tcPr>
            <w:tcW w:w="1429" w:type="dxa"/>
            <w:tcBorders>
              <w:top w:val="single" w:sz="4" w:space="0" w:color="auto"/>
              <w:bottom w:val="single" w:sz="4" w:space="0" w:color="auto"/>
            </w:tcBorders>
            <w:vAlign w:val="center"/>
            <w:hideMark/>
          </w:tcPr>
          <w:p w14:paraId="6B23E10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73" w:type="dxa"/>
            <w:tcBorders>
              <w:top w:val="single" w:sz="4" w:space="0" w:color="auto"/>
              <w:bottom w:val="single" w:sz="4" w:space="0" w:color="auto"/>
            </w:tcBorders>
            <w:vAlign w:val="center"/>
            <w:hideMark/>
          </w:tcPr>
          <w:p w14:paraId="5A7DEE0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098" w:type="dxa"/>
            <w:tcBorders>
              <w:top w:val="single" w:sz="4" w:space="0" w:color="auto"/>
              <w:bottom w:val="single" w:sz="4" w:space="0" w:color="auto"/>
            </w:tcBorders>
            <w:vAlign w:val="center"/>
            <w:hideMark/>
          </w:tcPr>
          <w:p w14:paraId="2C21DD8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499" w:type="dxa"/>
            <w:tcBorders>
              <w:top w:val="single" w:sz="4" w:space="0" w:color="auto"/>
              <w:bottom w:val="single" w:sz="4" w:space="0" w:color="auto"/>
            </w:tcBorders>
            <w:vAlign w:val="center"/>
            <w:hideMark/>
          </w:tcPr>
          <w:p w14:paraId="2A3D8E51"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62A8F962" w14:textId="77777777" w:rsidTr="00DB03E5">
        <w:trPr>
          <w:trHeight w:val="222"/>
        </w:trPr>
        <w:tc>
          <w:tcPr>
            <w:tcW w:w="3605" w:type="dxa"/>
            <w:tcBorders>
              <w:top w:val="single" w:sz="4" w:space="0" w:color="auto"/>
              <w:bottom w:val="dashSmallGap" w:sz="4" w:space="0" w:color="auto"/>
            </w:tcBorders>
            <w:noWrap/>
            <w:vAlign w:val="center"/>
            <w:hideMark/>
          </w:tcPr>
          <w:p w14:paraId="35B2B716" w14:textId="3D0FFB22"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w:t>
            </w:r>
            <w:r w:rsidR="00EB3534" w:rsidRPr="00426CF0">
              <w:rPr>
                <w:rFonts w:ascii="Calibri" w:eastAsia="Times New Roman" w:hAnsi="Calibri" w:cs="Calibri"/>
                <w:kern w:val="0"/>
                <w14:ligatures w14:val="none"/>
              </w:rPr>
              <w:t>a</w:t>
            </w:r>
            <w:r w:rsidRPr="00426CF0">
              <w:rPr>
                <w:rFonts w:ascii="Calibri" w:eastAsia="Times New Roman" w:hAnsi="Calibri" w:cs="Calibri"/>
                <w:kern w:val="0"/>
                <w14:ligatures w14:val="none"/>
              </w:rPr>
              <w:t>iker (from firm)</w:t>
            </w:r>
          </w:p>
        </w:tc>
        <w:tc>
          <w:tcPr>
            <w:tcW w:w="1429" w:type="dxa"/>
            <w:tcBorders>
              <w:top w:val="single" w:sz="4" w:space="0" w:color="auto"/>
              <w:bottom w:val="dashSmallGap" w:sz="4" w:space="0" w:color="auto"/>
            </w:tcBorders>
            <w:noWrap/>
            <w:vAlign w:val="center"/>
            <w:hideMark/>
          </w:tcPr>
          <w:p w14:paraId="242688DB"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65.00%</w:t>
            </w:r>
          </w:p>
        </w:tc>
        <w:tc>
          <w:tcPr>
            <w:tcW w:w="1273" w:type="dxa"/>
            <w:tcBorders>
              <w:top w:val="single" w:sz="4" w:space="0" w:color="auto"/>
              <w:bottom w:val="dashSmallGap" w:sz="4" w:space="0" w:color="auto"/>
            </w:tcBorders>
            <w:noWrap/>
            <w:vAlign w:val="center"/>
            <w:hideMark/>
          </w:tcPr>
          <w:p w14:paraId="755D066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098" w:type="dxa"/>
            <w:tcBorders>
              <w:top w:val="single" w:sz="4" w:space="0" w:color="auto"/>
              <w:bottom w:val="dashSmallGap" w:sz="4" w:space="0" w:color="auto"/>
            </w:tcBorders>
            <w:noWrap/>
            <w:vAlign w:val="center"/>
            <w:hideMark/>
          </w:tcPr>
          <w:p w14:paraId="0CCCB81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99" w:type="dxa"/>
            <w:tcBorders>
              <w:top w:val="single" w:sz="4" w:space="0" w:color="auto"/>
              <w:bottom w:val="dashSmallGap" w:sz="4" w:space="0" w:color="auto"/>
            </w:tcBorders>
            <w:noWrap/>
            <w:vAlign w:val="center"/>
            <w:hideMark/>
          </w:tcPr>
          <w:p w14:paraId="24BF86F4"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r>
      <w:tr w:rsidR="00426CF0" w:rsidRPr="00426CF0" w14:paraId="677DDC28" w14:textId="77777777" w:rsidTr="00DB03E5">
        <w:trPr>
          <w:trHeight w:val="222"/>
        </w:trPr>
        <w:tc>
          <w:tcPr>
            <w:tcW w:w="3605" w:type="dxa"/>
            <w:tcBorders>
              <w:top w:val="dashSmallGap" w:sz="4" w:space="0" w:color="auto"/>
              <w:bottom w:val="dashSmallGap" w:sz="4" w:space="0" w:color="auto"/>
            </w:tcBorders>
            <w:noWrap/>
            <w:vAlign w:val="center"/>
            <w:hideMark/>
          </w:tcPr>
          <w:p w14:paraId="07740E08"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Collection center</w:t>
            </w:r>
          </w:p>
        </w:tc>
        <w:tc>
          <w:tcPr>
            <w:tcW w:w="1429" w:type="dxa"/>
            <w:tcBorders>
              <w:top w:val="dashSmallGap" w:sz="4" w:space="0" w:color="auto"/>
              <w:bottom w:val="dashSmallGap" w:sz="4" w:space="0" w:color="auto"/>
            </w:tcBorders>
            <w:noWrap/>
            <w:vAlign w:val="center"/>
            <w:hideMark/>
          </w:tcPr>
          <w:p w14:paraId="0A4AEBD4"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273" w:type="dxa"/>
            <w:tcBorders>
              <w:top w:val="dashSmallGap" w:sz="4" w:space="0" w:color="auto"/>
              <w:bottom w:val="dashSmallGap" w:sz="4" w:space="0" w:color="auto"/>
            </w:tcBorders>
            <w:noWrap/>
            <w:vAlign w:val="center"/>
            <w:hideMark/>
          </w:tcPr>
          <w:p w14:paraId="7745C9D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98" w:type="dxa"/>
            <w:tcBorders>
              <w:top w:val="dashSmallGap" w:sz="4" w:space="0" w:color="auto"/>
              <w:bottom w:val="dashSmallGap" w:sz="4" w:space="0" w:color="auto"/>
            </w:tcBorders>
            <w:noWrap/>
            <w:vAlign w:val="center"/>
            <w:hideMark/>
          </w:tcPr>
          <w:p w14:paraId="4B5DA5FB"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499" w:type="dxa"/>
            <w:tcBorders>
              <w:top w:val="dashSmallGap" w:sz="4" w:space="0" w:color="auto"/>
              <w:bottom w:val="dashSmallGap" w:sz="4" w:space="0" w:color="auto"/>
            </w:tcBorders>
            <w:noWrap/>
            <w:vAlign w:val="center"/>
            <w:hideMark/>
          </w:tcPr>
          <w:p w14:paraId="62B57CB3"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14.17%</w:t>
            </w:r>
          </w:p>
        </w:tc>
      </w:tr>
      <w:tr w:rsidR="00426CF0" w:rsidRPr="00426CF0" w14:paraId="53D7BE6A" w14:textId="77777777" w:rsidTr="00DB03E5">
        <w:trPr>
          <w:trHeight w:val="222"/>
        </w:trPr>
        <w:tc>
          <w:tcPr>
            <w:tcW w:w="3605" w:type="dxa"/>
            <w:tcBorders>
              <w:top w:val="dashSmallGap" w:sz="4" w:space="0" w:color="auto"/>
              <w:bottom w:val="dashSmallGap" w:sz="4" w:space="0" w:color="auto"/>
            </w:tcBorders>
            <w:noWrap/>
            <w:vAlign w:val="center"/>
            <w:hideMark/>
          </w:tcPr>
          <w:p w14:paraId="6273D168"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Local Market</w:t>
            </w:r>
          </w:p>
        </w:tc>
        <w:tc>
          <w:tcPr>
            <w:tcW w:w="1429" w:type="dxa"/>
            <w:tcBorders>
              <w:top w:val="dashSmallGap" w:sz="4" w:space="0" w:color="auto"/>
              <w:bottom w:val="dashSmallGap" w:sz="4" w:space="0" w:color="auto"/>
            </w:tcBorders>
            <w:noWrap/>
            <w:vAlign w:val="center"/>
            <w:hideMark/>
          </w:tcPr>
          <w:p w14:paraId="10356BA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72.50%</w:t>
            </w:r>
          </w:p>
        </w:tc>
        <w:tc>
          <w:tcPr>
            <w:tcW w:w="1273" w:type="dxa"/>
            <w:tcBorders>
              <w:top w:val="dashSmallGap" w:sz="4" w:space="0" w:color="auto"/>
              <w:bottom w:val="dashSmallGap" w:sz="4" w:space="0" w:color="auto"/>
            </w:tcBorders>
            <w:noWrap/>
            <w:vAlign w:val="center"/>
            <w:hideMark/>
          </w:tcPr>
          <w:p w14:paraId="6C70D770"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098" w:type="dxa"/>
            <w:tcBorders>
              <w:top w:val="dashSmallGap" w:sz="4" w:space="0" w:color="auto"/>
              <w:bottom w:val="dashSmallGap" w:sz="4" w:space="0" w:color="auto"/>
            </w:tcBorders>
            <w:noWrap/>
            <w:vAlign w:val="center"/>
            <w:hideMark/>
          </w:tcPr>
          <w:p w14:paraId="4005CCB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499" w:type="dxa"/>
            <w:tcBorders>
              <w:top w:val="dashSmallGap" w:sz="4" w:space="0" w:color="auto"/>
              <w:bottom w:val="dashSmallGap" w:sz="4" w:space="0" w:color="auto"/>
            </w:tcBorders>
            <w:noWrap/>
            <w:vAlign w:val="center"/>
            <w:hideMark/>
          </w:tcPr>
          <w:p w14:paraId="398C3B9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69.17%</w:t>
            </w:r>
          </w:p>
        </w:tc>
      </w:tr>
      <w:tr w:rsidR="00426CF0" w:rsidRPr="00426CF0" w14:paraId="2E497122" w14:textId="77777777" w:rsidTr="00DB03E5">
        <w:trPr>
          <w:trHeight w:val="222"/>
        </w:trPr>
        <w:tc>
          <w:tcPr>
            <w:tcW w:w="3605" w:type="dxa"/>
            <w:tcBorders>
              <w:top w:val="dashSmallGap" w:sz="4" w:space="0" w:color="auto"/>
              <w:bottom w:val="dashSmallGap" w:sz="4" w:space="0" w:color="auto"/>
            </w:tcBorders>
            <w:noWrap/>
            <w:vAlign w:val="center"/>
            <w:hideMark/>
          </w:tcPr>
          <w:p w14:paraId="16B0D42F" w14:textId="0F23FDEE"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Upazilas Market</w:t>
            </w:r>
          </w:p>
        </w:tc>
        <w:tc>
          <w:tcPr>
            <w:tcW w:w="1429" w:type="dxa"/>
            <w:tcBorders>
              <w:top w:val="dashSmallGap" w:sz="4" w:space="0" w:color="auto"/>
              <w:bottom w:val="dashSmallGap" w:sz="4" w:space="0" w:color="auto"/>
            </w:tcBorders>
            <w:noWrap/>
            <w:vAlign w:val="center"/>
            <w:hideMark/>
          </w:tcPr>
          <w:p w14:paraId="18C8C33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273" w:type="dxa"/>
            <w:tcBorders>
              <w:top w:val="dashSmallGap" w:sz="4" w:space="0" w:color="auto"/>
              <w:bottom w:val="dashSmallGap" w:sz="4" w:space="0" w:color="auto"/>
            </w:tcBorders>
            <w:noWrap/>
            <w:vAlign w:val="center"/>
            <w:hideMark/>
          </w:tcPr>
          <w:p w14:paraId="68F64BB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098" w:type="dxa"/>
            <w:tcBorders>
              <w:top w:val="dashSmallGap" w:sz="4" w:space="0" w:color="auto"/>
              <w:bottom w:val="dashSmallGap" w:sz="4" w:space="0" w:color="auto"/>
            </w:tcBorders>
            <w:noWrap/>
            <w:vAlign w:val="center"/>
            <w:hideMark/>
          </w:tcPr>
          <w:p w14:paraId="4BC41F99"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499" w:type="dxa"/>
            <w:tcBorders>
              <w:top w:val="dashSmallGap" w:sz="4" w:space="0" w:color="auto"/>
              <w:bottom w:val="dashSmallGap" w:sz="4" w:space="0" w:color="auto"/>
            </w:tcBorders>
            <w:noWrap/>
            <w:vAlign w:val="center"/>
            <w:hideMark/>
          </w:tcPr>
          <w:p w14:paraId="3DFD022E"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70.00%</w:t>
            </w:r>
          </w:p>
        </w:tc>
      </w:tr>
      <w:tr w:rsidR="00426CF0" w:rsidRPr="00426CF0" w14:paraId="3573789E" w14:textId="77777777" w:rsidTr="00DB03E5">
        <w:trPr>
          <w:trHeight w:val="222"/>
        </w:trPr>
        <w:tc>
          <w:tcPr>
            <w:tcW w:w="3605" w:type="dxa"/>
            <w:tcBorders>
              <w:top w:val="dashSmallGap" w:sz="4" w:space="0" w:color="auto"/>
              <w:bottom w:val="dashSmallGap" w:sz="4" w:space="0" w:color="auto"/>
            </w:tcBorders>
            <w:noWrap/>
            <w:vAlign w:val="center"/>
            <w:hideMark/>
          </w:tcPr>
          <w:p w14:paraId="5285F7B2"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District Market</w:t>
            </w:r>
          </w:p>
        </w:tc>
        <w:tc>
          <w:tcPr>
            <w:tcW w:w="1429" w:type="dxa"/>
            <w:tcBorders>
              <w:top w:val="dashSmallGap" w:sz="4" w:space="0" w:color="auto"/>
              <w:bottom w:val="dashSmallGap" w:sz="4" w:space="0" w:color="auto"/>
            </w:tcBorders>
            <w:noWrap/>
            <w:vAlign w:val="center"/>
            <w:hideMark/>
          </w:tcPr>
          <w:p w14:paraId="787C596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tcBorders>
              <w:top w:val="dashSmallGap" w:sz="4" w:space="0" w:color="auto"/>
              <w:bottom w:val="dashSmallGap" w:sz="4" w:space="0" w:color="auto"/>
            </w:tcBorders>
            <w:noWrap/>
            <w:vAlign w:val="center"/>
            <w:hideMark/>
          </w:tcPr>
          <w:p w14:paraId="557EBA4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098" w:type="dxa"/>
            <w:tcBorders>
              <w:top w:val="dashSmallGap" w:sz="4" w:space="0" w:color="auto"/>
              <w:bottom w:val="dashSmallGap" w:sz="4" w:space="0" w:color="auto"/>
            </w:tcBorders>
            <w:noWrap/>
            <w:vAlign w:val="center"/>
            <w:hideMark/>
          </w:tcPr>
          <w:p w14:paraId="79BD2B5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99" w:type="dxa"/>
            <w:tcBorders>
              <w:top w:val="dashSmallGap" w:sz="4" w:space="0" w:color="auto"/>
              <w:bottom w:val="dashSmallGap" w:sz="4" w:space="0" w:color="auto"/>
            </w:tcBorders>
            <w:noWrap/>
            <w:vAlign w:val="center"/>
            <w:hideMark/>
          </w:tcPr>
          <w:p w14:paraId="69351BAC"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46B86A81" w14:textId="77777777" w:rsidTr="00DB03E5">
        <w:trPr>
          <w:trHeight w:val="222"/>
        </w:trPr>
        <w:tc>
          <w:tcPr>
            <w:tcW w:w="3605" w:type="dxa"/>
            <w:tcBorders>
              <w:top w:val="dashSmallGap" w:sz="4" w:space="0" w:color="auto"/>
              <w:bottom w:val="single" w:sz="4" w:space="0" w:color="auto"/>
            </w:tcBorders>
            <w:noWrap/>
            <w:vAlign w:val="center"/>
            <w:hideMark/>
          </w:tcPr>
          <w:p w14:paraId="29E704CA"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National Market</w:t>
            </w:r>
          </w:p>
        </w:tc>
        <w:tc>
          <w:tcPr>
            <w:tcW w:w="1429" w:type="dxa"/>
            <w:tcBorders>
              <w:top w:val="dashSmallGap" w:sz="4" w:space="0" w:color="auto"/>
              <w:bottom w:val="single" w:sz="4" w:space="0" w:color="auto"/>
            </w:tcBorders>
            <w:noWrap/>
            <w:vAlign w:val="center"/>
            <w:hideMark/>
          </w:tcPr>
          <w:p w14:paraId="1EAF867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w:t>
            </w:r>
          </w:p>
        </w:tc>
        <w:tc>
          <w:tcPr>
            <w:tcW w:w="1273" w:type="dxa"/>
            <w:tcBorders>
              <w:top w:val="dashSmallGap" w:sz="4" w:space="0" w:color="auto"/>
              <w:bottom w:val="single" w:sz="4" w:space="0" w:color="auto"/>
            </w:tcBorders>
            <w:noWrap/>
            <w:vAlign w:val="center"/>
            <w:hideMark/>
          </w:tcPr>
          <w:p w14:paraId="4EC7195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098" w:type="dxa"/>
            <w:tcBorders>
              <w:top w:val="dashSmallGap" w:sz="4" w:space="0" w:color="auto"/>
              <w:bottom w:val="single" w:sz="4" w:space="0" w:color="auto"/>
            </w:tcBorders>
            <w:noWrap/>
            <w:vAlign w:val="center"/>
            <w:hideMark/>
          </w:tcPr>
          <w:p w14:paraId="4724E83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499" w:type="dxa"/>
            <w:tcBorders>
              <w:top w:val="dashSmallGap" w:sz="4" w:space="0" w:color="auto"/>
              <w:bottom w:val="single" w:sz="4" w:space="0" w:color="auto"/>
            </w:tcBorders>
            <w:noWrap/>
            <w:vAlign w:val="center"/>
            <w:hideMark/>
          </w:tcPr>
          <w:p w14:paraId="6DED613E"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r>
    </w:tbl>
    <w:p w14:paraId="565979AB" w14:textId="77777777" w:rsidR="009757A6" w:rsidRPr="00426CF0" w:rsidRDefault="009757A6" w:rsidP="00426CF0">
      <w:pPr>
        <w:spacing w:after="0" w:line="240" w:lineRule="auto"/>
        <w:jc w:val="both"/>
        <w:rPr>
          <w:rFonts w:ascii="Calibri" w:eastAsia="Times New Roman" w:hAnsi="Calibri" w:cs="Calibri"/>
          <w:kern w:val="0"/>
          <w14:ligatures w14:val="none"/>
        </w:rPr>
      </w:pPr>
    </w:p>
    <w:p w14:paraId="15F662D7" w14:textId="1E69D758" w:rsidR="00D07CB1" w:rsidRPr="00426CF0" w:rsidRDefault="00D07CB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This emphasizes the need to strengthen linkages among farmers, traders, and supporting actors</w:t>
      </w:r>
      <w:r w:rsidR="00A3671E"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such as extension services, financial institutions, and service providers</w:t>
      </w:r>
      <w:r w:rsidR="00A3671E"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 xml:space="preserve">to enhance market efficiency and boost profitability. </w:t>
      </w:r>
      <w:r w:rsidR="00DD2C11" w:rsidRPr="00426CF0">
        <w:rPr>
          <w:rFonts w:ascii="Calibri" w:eastAsia="Times New Roman" w:hAnsi="Calibri" w:cs="Calibri"/>
          <w:kern w:val="0"/>
          <w14:ligatures w14:val="none"/>
        </w:rPr>
        <w:t>FGDs revealed persistent challenges in market participation and post-harvest management, including reliance on intermediaries, limited access to transportation, inadequate storage facilities, and price volatility, which collectively constrain smallholders’ profitability and bargaining power.</w:t>
      </w:r>
    </w:p>
    <w:p w14:paraId="5D771958" w14:textId="77777777" w:rsidR="0062377E" w:rsidRPr="00426CF0" w:rsidRDefault="0062377E" w:rsidP="00426CF0">
      <w:pPr>
        <w:spacing w:after="0" w:line="240" w:lineRule="auto"/>
        <w:jc w:val="both"/>
        <w:rPr>
          <w:rFonts w:ascii="Calibri" w:eastAsia="Times New Roman" w:hAnsi="Calibri" w:cs="Calibri"/>
          <w:kern w:val="0"/>
          <w14:ligatures w14:val="none"/>
        </w:rPr>
      </w:pPr>
    </w:p>
    <w:p w14:paraId="29692A0A" w14:textId="1A27CBF4" w:rsidR="00DD2C11" w:rsidRPr="00426CF0" w:rsidRDefault="0062377E" w:rsidP="00426CF0">
      <w:pPr>
        <w:spacing w:after="0" w:line="240" w:lineRule="auto"/>
        <w:jc w:val="both"/>
        <w:rPr>
          <w:rFonts w:ascii="Calibri" w:eastAsia="Times New Roman" w:hAnsi="Calibri" w:cs="Calibri"/>
          <w:b/>
          <w:kern w:val="0"/>
          <w14:ligatures w14:val="none"/>
        </w:rPr>
      </w:pPr>
      <w:r w:rsidRPr="00426CF0">
        <w:rPr>
          <w:rFonts w:ascii="Calibri" w:eastAsia="Times New Roman" w:hAnsi="Calibri" w:cs="Calibri"/>
          <w:b/>
          <w:bCs/>
          <w:kern w:val="0"/>
          <w14:ligatures w14:val="none"/>
        </w:rPr>
        <w:t>3.</w:t>
      </w:r>
      <w:r w:rsidR="00B5496F" w:rsidRPr="00426CF0">
        <w:rPr>
          <w:rFonts w:ascii="Calibri" w:eastAsia="Times New Roman" w:hAnsi="Calibri" w:cs="Calibri"/>
          <w:b/>
          <w:bCs/>
          <w:kern w:val="0"/>
          <w14:ligatures w14:val="none"/>
        </w:rPr>
        <w:t>7</w:t>
      </w:r>
      <w:r w:rsidRPr="00426CF0">
        <w:rPr>
          <w:rFonts w:ascii="Calibri" w:eastAsia="Times New Roman" w:hAnsi="Calibri" w:cs="Calibri"/>
          <w:b/>
          <w:bCs/>
          <w:kern w:val="0"/>
          <w14:ligatures w14:val="none"/>
        </w:rPr>
        <w:t xml:space="preserve"> </w:t>
      </w:r>
      <w:r w:rsidRPr="00426CF0">
        <w:rPr>
          <w:rFonts w:ascii="Calibri" w:eastAsia="Times New Roman" w:hAnsi="Calibri" w:cs="Calibri"/>
          <w:b/>
          <w:kern w:val="0"/>
          <w14:ligatures w14:val="none"/>
        </w:rPr>
        <w:t>Farmers’ Market Linkages and Access to Agricultural Inputs and Technologies</w:t>
      </w:r>
      <w:r w:rsidRPr="00426CF0">
        <w:rPr>
          <w:rFonts w:ascii="Calibri" w:eastAsia="Times New Roman" w:hAnsi="Calibri" w:cs="Calibri"/>
          <w:b/>
          <w:kern w:val="0"/>
          <w14:ligatures w14:val="none"/>
        </w:rPr>
        <w:tab/>
      </w:r>
    </w:p>
    <w:p w14:paraId="4F3F9915" w14:textId="77777777"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The findings on market linkages and access reveal both opportunities and critical gaps within the agricultural system. While 55.83% of farmers reported having linkages with market actors such as buyers, cooperatives, and traders, a significant 44.17% still lack these connections, limiting their bargaining power and income potential. Similarly, 58.33% indicated access to agricultural inputs and technologies; however, only 32.50% confirmed that these inputs are both available and affordable, suggesting cost and supply constraints remain major barriers. Access to finance is another concern, with only 41.67% able to utilize financial services, restricting investment in improved practices. Extension and technical support services are accessible to 45.83% of respondents, leaving more than half without essential advisory assistance. Inclusiveness remains particularly weak, as just 34.17% believe women, youth, and smallholder farmers are adequately included.</w:t>
      </w:r>
    </w:p>
    <w:p w14:paraId="2B00E39D" w14:textId="2E2EAA14"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 </w:t>
      </w:r>
    </w:p>
    <w:p w14:paraId="2D3337F4" w14:textId="522FA1A9" w:rsidR="0062377E" w:rsidRPr="004A56EC" w:rsidRDefault="0062377E"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Pr="004A56EC">
        <w:rPr>
          <w:rFonts w:ascii="Calibri" w:hAnsi="Calibri" w:cs="Calibri"/>
          <w:i w:val="0"/>
          <w:noProof/>
          <w:color w:val="auto"/>
          <w:sz w:val="22"/>
          <w:szCs w:val="22"/>
        </w:rPr>
        <w:t>6</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Farmers’ market linkages and access to agricultural inputs and technologies</w:t>
      </w:r>
    </w:p>
    <w:tbl>
      <w:tblPr>
        <w:tblW w:w="8901" w:type="dxa"/>
        <w:tblInd w:w="-5" w:type="dxa"/>
        <w:tblLook w:val="04A0" w:firstRow="1" w:lastRow="0" w:firstColumn="1" w:lastColumn="0" w:noHBand="0" w:noVBand="1"/>
      </w:tblPr>
      <w:tblGrid>
        <w:gridCol w:w="6743"/>
        <w:gridCol w:w="966"/>
        <w:gridCol w:w="1192"/>
      </w:tblGrid>
      <w:tr w:rsidR="00426CF0" w:rsidRPr="00426CF0" w14:paraId="2BC519CE" w14:textId="77777777" w:rsidTr="0057157C">
        <w:trPr>
          <w:trHeight w:val="250"/>
        </w:trPr>
        <w:tc>
          <w:tcPr>
            <w:tcW w:w="6743" w:type="dxa"/>
            <w:tcBorders>
              <w:top w:val="single" w:sz="4" w:space="0" w:color="auto"/>
              <w:bottom w:val="single" w:sz="4" w:space="0" w:color="auto"/>
            </w:tcBorders>
            <w:noWrap/>
            <w:vAlign w:val="center"/>
            <w:hideMark/>
          </w:tcPr>
          <w:p w14:paraId="47AB2B10" w14:textId="648D174E"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Market Linkages and Access</w:t>
            </w:r>
          </w:p>
        </w:tc>
        <w:tc>
          <w:tcPr>
            <w:tcW w:w="966" w:type="dxa"/>
            <w:tcBorders>
              <w:top w:val="single" w:sz="4" w:space="0" w:color="auto"/>
              <w:bottom w:val="single" w:sz="4" w:space="0" w:color="auto"/>
            </w:tcBorders>
            <w:noWrap/>
            <w:vAlign w:val="center"/>
            <w:hideMark/>
          </w:tcPr>
          <w:p w14:paraId="0C9FF2A9"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Yes</w:t>
            </w:r>
          </w:p>
        </w:tc>
        <w:tc>
          <w:tcPr>
            <w:tcW w:w="1192" w:type="dxa"/>
            <w:tcBorders>
              <w:top w:val="single" w:sz="4" w:space="0" w:color="auto"/>
              <w:bottom w:val="single" w:sz="4" w:space="0" w:color="auto"/>
            </w:tcBorders>
            <w:noWrap/>
            <w:vAlign w:val="center"/>
            <w:hideMark/>
          </w:tcPr>
          <w:p w14:paraId="6F2CFBCF"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No</w:t>
            </w:r>
          </w:p>
        </w:tc>
      </w:tr>
      <w:tr w:rsidR="00426CF0" w:rsidRPr="00426CF0" w14:paraId="6BBEDFDE" w14:textId="77777777" w:rsidTr="0057157C">
        <w:trPr>
          <w:trHeight w:val="250"/>
        </w:trPr>
        <w:tc>
          <w:tcPr>
            <w:tcW w:w="6743" w:type="dxa"/>
            <w:tcBorders>
              <w:top w:val="single" w:sz="4" w:space="0" w:color="auto"/>
              <w:bottom w:val="dotted" w:sz="4" w:space="0" w:color="auto"/>
            </w:tcBorders>
            <w:noWrap/>
            <w:vAlign w:val="center"/>
            <w:hideMark/>
          </w:tcPr>
          <w:p w14:paraId="437BB300"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Linkages with market actors (buyers, cooperatives, traders) </w:t>
            </w:r>
          </w:p>
        </w:tc>
        <w:tc>
          <w:tcPr>
            <w:tcW w:w="966" w:type="dxa"/>
            <w:tcBorders>
              <w:top w:val="single" w:sz="4" w:space="0" w:color="auto"/>
              <w:bottom w:val="dotted" w:sz="4" w:space="0" w:color="auto"/>
            </w:tcBorders>
            <w:noWrap/>
            <w:vAlign w:val="center"/>
            <w:hideMark/>
          </w:tcPr>
          <w:p w14:paraId="7B8EE58E"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55.83%</w:t>
            </w:r>
          </w:p>
        </w:tc>
        <w:tc>
          <w:tcPr>
            <w:tcW w:w="1192" w:type="dxa"/>
            <w:tcBorders>
              <w:top w:val="single" w:sz="4" w:space="0" w:color="auto"/>
              <w:bottom w:val="dotted" w:sz="4" w:space="0" w:color="auto"/>
            </w:tcBorders>
            <w:noWrap/>
            <w:vAlign w:val="center"/>
            <w:hideMark/>
          </w:tcPr>
          <w:p w14:paraId="340981A1"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47E4CE57" w14:textId="77777777" w:rsidTr="0057157C">
        <w:trPr>
          <w:trHeight w:val="250"/>
        </w:trPr>
        <w:tc>
          <w:tcPr>
            <w:tcW w:w="6743" w:type="dxa"/>
            <w:tcBorders>
              <w:top w:val="dotted" w:sz="4" w:space="0" w:color="auto"/>
              <w:bottom w:val="dotted" w:sz="4" w:space="0" w:color="auto"/>
            </w:tcBorders>
            <w:noWrap/>
            <w:vAlign w:val="center"/>
            <w:hideMark/>
          </w:tcPr>
          <w:p w14:paraId="149F3473"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agricultural inputs and technologies</w:t>
            </w:r>
          </w:p>
        </w:tc>
        <w:tc>
          <w:tcPr>
            <w:tcW w:w="966" w:type="dxa"/>
            <w:tcBorders>
              <w:top w:val="dotted" w:sz="4" w:space="0" w:color="auto"/>
              <w:bottom w:val="dotted" w:sz="4" w:space="0" w:color="auto"/>
            </w:tcBorders>
            <w:noWrap/>
            <w:vAlign w:val="center"/>
            <w:hideMark/>
          </w:tcPr>
          <w:p w14:paraId="3AABC95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58.33%</w:t>
            </w:r>
          </w:p>
        </w:tc>
        <w:tc>
          <w:tcPr>
            <w:tcW w:w="1192" w:type="dxa"/>
            <w:tcBorders>
              <w:top w:val="dotted" w:sz="4" w:space="0" w:color="auto"/>
              <w:bottom w:val="dotted" w:sz="4" w:space="0" w:color="auto"/>
            </w:tcBorders>
            <w:noWrap/>
            <w:vAlign w:val="center"/>
            <w:hideMark/>
          </w:tcPr>
          <w:p w14:paraId="6B58C75B"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r>
      <w:tr w:rsidR="00426CF0" w:rsidRPr="00426CF0" w14:paraId="1B9DB569" w14:textId="77777777" w:rsidTr="0057157C">
        <w:trPr>
          <w:trHeight w:val="250"/>
        </w:trPr>
        <w:tc>
          <w:tcPr>
            <w:tcW w:w="6743" w:type="dxa"/>
            <w:tcBorders>
              <w:top w:val="dotted" w:sz="4" w:space="0" w:color="auto"/>
              <w:bottom w:val="dotted" w:sz="4" w:space="0" w:color="auto"/>
            </w:tcBorders>
            <w:noWrap/>
            <w:vAlign w:val="center"/>
            <w:hideMark/>
          </w:tcPr>
          <w:p w14:paraId="2FCCC92E"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Availability and affordability of inputs and technologies</w:t>
            </w:r>
          </w:p>
        </w:tc>
        <w:tc>
          <w:tcPr>
            <w:tcW w:w="966" w:type="dxa"/>
            <w:tcBorders>
              <w:top w:val="dotted" w:sz="4" w:space="0" w:color="auto"/>
              <w:bottom w:val="dotted" w:sz="4" w:space="0" w:color="auto"/>
            </w:tcBorders>
            <w:noWrap/>
            <w:vAlign w:val="center"/>
            <w:hideMark/>
          </w:tcPr>
          <w:p w14:paraId="5E4EC0E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192" w:type="dxa"/>
            <w:tcBorders>
              <w:top w:val="dotted" w:sz="4" w:space="0" w:color="auto"/>
              <w:bottom w:val="dotted" w:sz="4" w:space="0" w:color="auto"/>
            </w:tcBorders>
            <w:noWrap/>
            <w:vAlign w:val="center"/>
            <w:hideMark/>
          </w:tcPr>
          <w:p w14:paraId="0E4C2E6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r>
      <w:tr w:rsidR="00426CF0" w:rsidRPr="00426CF0" w14:paraId="00D16B9D" w14:textId="77777777" w:rsidTr="0057157C">
        <w:trPr>
          <w:trHeight w:val="250"/>
        </w:trPr>
        <w:tc>
          <w:tcPr>
            <w:tcW w:w="6743" w:type="dxa"/>
            <w:tcBorders>
              <w:top w:val="dotted" w:sz="4" w:space="0" w:color="auto"/>
              <w:bottom w:val="dotted" w:sz="4" w:space="0" w:color="auto"/>
            </w:tcBorders>
            <w:noWrap/>
            <w:vAlign w:val="center"/>
            <w:hideMark/>
          </w:tcPr>
          <w:p w14:paraId="0C453E43"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finance and financial services</w:t>
            </w:r>
          </w:p>
        </w:tc>
        <w:tc>
          <w:tcPr>
            <w:tcW w:w="966" w:type="dxa"/>
            <w:tcBorders>
              <w:top w:val="dotted" w:sz="4" w:space="0" w:color="auto"/>
              <w:bottom w:val="dotted" w:sz="4" w:space="0" w:color="auto"/>
            </w:tcBorders>
            <w:noWrap/>
            <w:vAlign w:val="center"/>
            <w:hideMark/>
          </w:tcPr>
          <w:p w14:paraId="57723DE5"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c>
          <w:tcPr>
            <w:tcW w:w="1192" w:type="dxa"/>
            <w:tcBorders>
              <w:top w:val="dotted" w:sz="4" w:space="0" w:color="auto"/>
              <w:bottom w:val="dotted" w:sz="4" w:space="0" w:color="auto"/>
            </w:tcBorders>
            <w:noWrap/>
            <w:vAlign w:val="center"/>
            <w:hideMark/>
          </w:tcPr>
          <w:p w14:paraId="54BD64D0"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58.33%</w:t>
            </w:r>
          </w:p>
        </w:tc>
      </w:tr>
      <w:tr w:rsidR="00426CF0" w:rsidRPr="00426CF0" w14:paraId="5AFDD79C" w14:textId="77777777" w:rsidTr="0057157C">
        <w:trPr>
          <w:trHeight w:val="250"/>
        </w:trPr>
        <w:tc>
          <w:tcPr>
            <w:tcW w:w="6743" w:type="dxa"/>
            <w:tcBorders>
              <w:top w:val="dotted" w:sz="4" w:space="0" w:color="auto"/>
            </w:tcBorders>
            <w:noWrap/>
            <w:vAlign w:val="center"/>
            <w:hideMark/>
          </w:tcPr>
          <w:p w14:paraId="7D1A16A9"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extension and technical support services</w:t>
            </w:r>
          </w:p>
        </w:tc>
        <w:tc>
          <w:tcPr>
            <w:tcW w:w="966" w:type="dxa"/>
            <w:tcBorders>
              <w:top w:val="dotted" w:sz="4" w:space="0" w:color="auto"/>
            </w:tcBorders>
            <w:noWrap/>
            <w:vAlign w:val="center"/>
            <w:hideMark/>
          </w:tcPr>
          <w:p w14:paraId="6CE44D2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45.83%</w:t>
            </w:r>
          </w:p>
        </w:tc>
        <w:tc>
          <w:tcPr>
            <w:tcW w:w="1192" w:type="dxa"/>
            <w:tcBorders>
              <w:top w:val="dotted" w:sz="4" w:space="0" w:color="auto"/>
            </w:tcBorders>
            <w:noWrap/>
            <w:vAlign w:val="center"/>
            <w:hideMark/>
          </w:tcPr>
          <w:p w14:paraId="0D719F6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54.17%</w:t>
            </w:r>
          </w:p>
        </w:tc>
      </w:tr>
      <w:tr w:rsidR="00426CF0" w:rsidRPr="00426CF0" w14:paraId="57451E09" w14:textId="77777777" w:rsidTr="0057157C">
        <w:trPr>
          <w:trHeight w:val="250"/>
        </w:trPr>
        <w:tc>
          <w:tcPr>
            <w:tcW w:w="6743" w:type="dxa"/>
            <w:tcBorders>
              <w:bottom w:val="single" w:sz="4" w:space="0" w:color="auto"/>
            </w:tcBorders>
            <w:noWrap/>
            <w:vAlign w:val="center"/>
            <w:hideMark/>
          </w:tcPr>
          <w:p w14:paraId="574572A8"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Inclusiveness for women, youth, and smallholder farmers</w:t>
            </w:r>
          </w:p>
        </w:tc>
        <w:tc>
          <w:tcPr>
            <w:tcW w:w="966" w:type="dxa"/>
            <w:tcBorders>
              <w:bottom w:val="single" w:sz="4" w:space="0" w:color="auto"/>
            </w:tcBorders>
            <w:noWrap/>
            <w:vAlign w:val="center"/>
            <w:hideMark/>
          </w:tcPr>
          <w:p w14:paraId="1E4C81F5"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34.17%</w:t>
            </w:r>
          </w:p>
        </w:tc>
        <w:tc>
          <w:tcPr>
            <w:tcW w:w="1192" w:type="dxa"/>
            <w:tcBorders>
              <w:bottom w:val="single" w:sz="4" w:space="0" w:color="auto"/>
            </w:tcBorders>
            <w:noWrap/>
            <w:vAlign w:val="center"/>
            <w:hideMark/>
          </w:tcPr>
          <w:p w14:paraId="78224F32"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65.83%</w:t>
            </w:r>
          </w:p>
        </w:tc>
      </w:tr>
    </w:tbl>
    <w:p w14:paraId="512820FD" w14:textId="77777777" w:rsidR="00E941FA" w:rsidRPr="00426CF0" w:rsidRDefault="00E941FA" w:rsidP="00426CF0">
      <w:pPr>
        <w:spacing w:after="0" w:line="240" w:lineRule="auto"/>
        <w:jc w:val="both"/>
        <w:rPr>
          <w:rFonts w:ascii="Calibri" w:eastAsia="Times New Roman" w:hAnsi="Calibri" w:cs="Calibri"/>
          <w:kern w:val="0"/>
          <w14:ligatures w14:val="none"/>
        </w:rPr>
      </w:pPr>
    </w:p>
    <w:p w14:paraId="239898F3" w14:textId="0B7CE349"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Overall, the data highlight the need for strengthened market systems, affordable input supply chains, inclusive financing, and targeted support services to ensure equitable agricultural growth.</w:t>
      </w:r>
    </w:p>
    <w:p w14:paraId="3D345983" w14:textId="77777777" w:rsidR="0062377E" w:rsidRPr="00426CF0" w:rsidRDefault="0062377E" w:rsidP="00426CF0">
      <w:pPr>
        <w:spacing w:after="0" w:line="240" w:lineRule="auto"/>
        <w:jc w:val="both"/>
        <w:rPr>
          <w:rFonts w:ascii="Calibri" w:eastAsia="Times New Roman" w:hAnsi="Calibri" w:cs="Calibri"/>
          <w:kern w:val="0"/>
          <w14:ligatures w14:val="none"/>
        </w:rPr>
      </w:pPr>
    </w:p>
    <w:p w14:paraId="5B7C0307" w14:textId="75DE4D49" w:rsidR="0047498C" w:rsidRPr="00426CF0" w:rsidRDefault="008C685F" w:rsidP="00426CF0">
      <w:pPr>
        <w:pStyle w:val="ListParagraph"/>
        <w:numPr>
          <w:ilvl w:val="1"/>
          <w:numId w:val="25"/>
        </w:numPr>
        <w:spacing w:after="0" w:line="240" w:lineRule="auto"/>
        <w:jc w:val="both"/>
        <w:outlineLvl w:val="2"/>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C</w:t>
      </w:r>
      <w:r w:rsidR="0047498C" w:rsidRPr="00426CF0">
        <w:rPr>
          <w:rFonts w:ascii="Calibri" w:eastAsia="Times New Roman" w:hAnsi="Calibri" w:cs="Calibri"/>
          <w:b/>
          <w:bCs/>
          <w:kern w:val="0"/>
          <w14:ligatures w14:val="none"/>
        </w:rPr>
        <w:t xml:space="preserve">hallenges </w:t>
      </w:r>
      <w:r w:rsidRPr="00426CF0">
        <w:rPr>
          <w:rFonts w:ascii="Calibri" w:eastAsia="Times New Roman" w:hAnsi="Calibri" w:cs="Calibri"/>
          <w:b/>
          <w:bCs/>
          <w:kern w:val="0"/>
          <w14:ligatures w14:val="none"/>
        </w:rPr>
        <w:t xml:space="preserve">and opportunities in agricultural </w:t>
      </w:r>
      <w:r w:rsidR="0054781C" w:rsidRPr="00426CF0">
        <w:rPr>
          <w:rFonts w:ascii="Calibri" w:eastAsia="Times New Roman" w:hAnsi="Calibri" w:cs="Calibri"/>
          <w:b/>
          <w:bCs/>
          <w:kern w:val="0"/>
          <w14:ligatures w14:val="none"/>
        </w:rPr>
        <w:t>market systems</w:t>
      </w:r>
    </w:p>
    <w:p w14:paraId="7B6B1228" w14:textId="24FB5415" w:rsidR="00B2310A"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3.8.1 </w:t>
      </w:r>
      <w:r w:rsidR="008C685F" w:rsidRPr="00426CF0">
        <w:rPr>
          <w:rFonts w:ascii="Calibri" w:eastAsia="Times New Roman" w:hAnsi="Calibri" w:cs="Calibri"/>
          <w:b/>
          <w:bCs/>
          <w:kern w:val="0"/>
          <w14:ligatures w14:val="none"/>
        </w:rPr>
        <w:t>Challenges</w:t>
      </w:r>
      <w:r w:rsidR="00B2310A" w:rsidRPr="00426CF0">
        <w:rPr>
          <w:rFonts w:ascii="Calibri" w:eastAsia="Times New Roman" w:hAnsi="Calibri" w:cs="Calibri"/>
          <w:b/>
          <w:bCs/>
          <w:kern w:val="0"/>
          <w14:ligatures w14:val="none"/>
        </w:rPr>
        <w:t xml:space="preserve"> in agricultural </w:t>
      </w:r>
      <w:r w:rsidR="0054781C" w:rsidRPr="00426CF0">
        <w:rPr>
          <w:rFonts w:ascii="Calibri" w:eastAsia="Times New Roman" w:hAnsi="Calibri" w:cs="Calibri"/>
          <w:b/>
          <w:bCs/>
          <w:kern w:val="0"/>
          <w14:ligatures w14:val="none"/>
        </w:rPr>
        <w:t>market systems</w:t>
      </w:r>
    </w:p>
    <w:p w14:paraId="03E11422" w14:textId="3C6A003A" w:rsidR="00EB3534" w:rsidRPr="00426CF0" w:rsidRDefault="00EB3534" w:rsidP="00426CF0">
      <w:pPr>
        <w:spacing w:after="0" w:line="240" w:lineRule="auto"/>
        <w:jc w:val="both"/>
        <w:rPr>
          <w:rFonts w:ascii="Calibri" w:hAnsi="Calibri" w:cs="Calibri"/>
        </w:rPr>
      </w:pPr>
      <w:r w:rsidRPr="00426CF0">
        <w:rPr>
          <w:rFonts w:ascii="Calibri" w:hAnsi="Calibri" w:cs="Calibri"/>
        </w:rPr>
        <w:lastRenderedPageBreak/>
        <w:t xml:space="preserve">The study highlights multiple </w:t>
      </w:r>
      <w:r w:rsidR="00FC5B95" w:rsidRPr="00426CF0">
        <w:rPr>
          <w:rFonts w:ascii="Calibri" w:hAnsi="Calibri" w:cs="Calibri"/>
        </w:rPr>
        <w:t>challenges</w:t>
      </w:r>
      <w:r w:rsidRPr="00426CF0">
        <w:rPr>
          <w:rFonts w:ascii="Calibri" w:hAnsi="Calibri" w:cs="Calibri"/>
        </w:rPr>
        <w:t xml:space="preserve"> affecting agricultural marketing systems. Weak collective marketing at 60.83</w:t>
      </w:r>
      <w:r w:rsidR="00FC5B95" w:rsidRPr="00426CF0">
        <w:rPr>
          <w:rFonts w:ascii="Calibri" w:hAnsi="Calibri" w:cs="Calibri"/>
        </w:rPr>
        <w:t>%</w:t>
      </w:r>
      <w:r w:rsidRPr="00426CF0">
        <w:rPr>
          <w:rFonts w:ascii="Calibri" w:hAnsi="Calibri" w:cs="Calibri"/>
        </w:rPr>
        <w:t xml:space="preserve"> emerges as the most critical challenge, limiting farmers’ bargaining power and economies of scale. Market price volatility at 57.50</w:t>
      </w:r>
      <w:r w:rsidR="00FC5B95" w:rsidRPr="00426CF0">
        <w:rPr>
          <w:rFonts w:ascii="Calibri" w:hAnsi="Calibri" w:cs="Calibri"/>
        </w:rPr>
        <w:t>%</w:t>
      </w:r>
      <w:r w:rsidRPr="00426CF0">
        <w:rPr>
          <w:rFonts w:ascii="Calibri" w:hAnsi="Calibri" w:cs="Calibri"/>
        </w:rPr>
        <w:t xml:space="preserve"> and limited value addition and processing at 56.67</w:t>
      </w:r>
      <w:r w:rsidR="00FC5B95" w:rsidRPr="00426CF0">
        <w:rPr>
          <w:rFonts w:ascii="Calibri" w:hAnsi="Calibri" w:cs="Calibri"/>
        </w:rPr>
        <w:t>%</w:t>
      </w:r>
      <w:r w:rsidRPr="00426CF0">
        <w:rPr>
          <w:rFonts w:ascii="Calibri" w:hAnsi="Calibri" w:cs="Calibri"/>
        </w:rPr>
        <w:t xml:space="preserve"> further reduce income stability. Low farm-gate prices reported by 55.00</w:t>
      </w:r>
      <w:r w:rsidR="00FC5B95" w:rsidRPr="00426CF0">
        <w:rPr>
          <w:rFonts w:ascii="Calibri" w:hAnsi="Calibri" w:cs="Calibri"/>
        </w:rPr>
        <w:t>%</w:t>
      </w:r>
      <w:r w:rsidRPr="00426CF0">
        <w:rPr>
          <w:rFonts w:ascii="Calibri" w:hAnsi="Calibri" w:cs="Calibri"/>
        </w:rPr>
        <w:t xml:space="preserve"> of farmers and </w:t>
      </w:r>
      <w:r w:rsidR="00FC5B95" w:rsidRPr="00426CF0">
        <w:rPr>
          <w:rFonts w:ascii="Calibri" w:hAnsi="Calibri" w:cs="Calibri"/>
        </w:rPr>
        <w:t>poor-quality</w:t>
      </w:r>
      <w:r w:rsidRPr="00426CF0">
        <w:rPr>
          <w:rFonts w:ascii="Calibri" w:hAnsi="Calibri" w:cs="Calibri"/>
        </w:rPr>
        <w:t xml:space="preserve"> standards and grading systems affecting 52.50</w:t>
      </w:r>
      <w:r w:rsidR="00FC5B95" w:rsidRPr="00426CF0">
        <w:rPr>
          <w:rFonts w:ascii="Calibri" w:hAnsi="Calibri" w:cs="Calibri"/>
        </w:rPr>
        <w:t>%</w:t>
      </w:r>
      <w:r w:rsidRPr="00426CF0">
        <w:rPr>
          <w:rFonts w:ascii="Calibri" w:hAnsi="Calibri" w:cs="Calibri"/>
        </w:rPr>
        <w:t xml:space="preserve"> indicate structural inefficiencies in the value chain. In addition, 51.67</w:t>
      </w:r>
      <w:r w:rsidR="00FC5B95" w:rsidRPr="00426CF0">
        <w:rPr>
          <w:rFonts w:ascii="Calibri" w:hAnsi="Calibri" w:cs="Calibri"/>
        </w:rPr>
        <w:t>%</w:t>
      </w:r>
      <w:r w:rsidRPr="00426CF0">
        <w:rPr>
          <w:rFonts w:ascii="Calibri" w:hAnsi="Calibri" w:cs="Calibri"/>
        </w:rPr>
        <w:t xml:space="preserve"> of farmers experience information gaps, while 50.00</w:t>
      </w:r>
      <w:r w:rsidR="00FC5B95" w:rsidRPr="00426CF0">
        <w:rPr>
          <w:rFonts w:ascii="Calibri" w:hAnsi="Calibri" w:cs="Calibri"/>
        </w:rPr>
        <w:t>%</w:t>
      </w:r>
      <w:r w:rsidRPr="00426CF0">
        <w:rPr>
          <w:rFonts w:ascii="Calibri" w:hAnsi="Calibri" w:cs="Calibri"/>
        </w:rPr>
        <w:t xml:space="preserve"> face limited market access. Transportation constraints affect 46.67</w:t>
      </w:r>
      <w:r w:rsidR="00FC5B95" w:rsidRPr="00426CF0">
        <w:rPr>
          <w:rFonts w:ascii="Calibri" w:hAnsi="Calibri" w:cs="Calibri"/>
        </w:rPr>
        <w:t>%</w:t>
      </w:r>
      <w:r w:rsidRPr="00426CF0">
        <w:rPr>
          <w:rFonts w:ascii="Calibri" w:hAnsi="Calibri" w:cs="Calibri"/>
        </w:rPr>
        <w:t xml:space="preserve"> of respondents, and </w:t>
      </w:r>
      <w:r w:rsidR="00FC5B95" w:rsidRPr="00426CF0">
        <w:rPr>
          <w:rFonts w:ascii="Calibri" w:hAnsi="Calibri" w:cs="Calibri"/>
        </w:rPr>
        <w:t xml:space="preserve">the </w:t>
      </w:r>
      <w:r w:rsidRPr="00426CF0">
        <w:rPr>
          <w:rFonts w:ascii="Calibri" w:hAnsi="Calibri" w:cs="Calibri"/>
        </w:rPr>
        <w:t>lack of storage facilities impacts 44.17</w:t>
      </w:r>
      <w:r w:rsidR="00FC5B95" w:rsidRPr="00426CF0">
        <w:rPr>
          <w:rFonts w:ascii="Calibri" w:hAnsi="Calibri" w:cs="Calibri"/>
        </w:rPr>
        <w:t>%</w:t>
      </w:r>
      <w:r w:rsidRPr="00426CF0">
        <w:rPr>
          <w:rFonts w:ascii="Calibri" w:hAnsi="Calibri" w:cs="Calibri"/>
        </w:rPr>
        <w:t>, increasing post-harvest losses and distress sales. Weak linkages with market actors at 30.83</w:t>
      </w:r>
      <w:r w:rsidR="00FC5B95" w:rsidRPr="00426CF0">
        <w:rPr>
          <w:rFonts w:ascii="Calibri" w:hAnsi="Calibri" w:cs="Calibri"/>
        </w:rPr>
        <w:t>%</w:t>
      </w:r>
      <w:r w:rsidRPr="00426CF0">
        <w:rPr>
          <w:rFonts w:ascii="Calibri" w:hAnsi="Calibri" w:cs="Calibri"/>
        </w:rPr>
        <w:t>, unavailability of buyers at 35.00</w:t>
      </w:r>
      <w:r w:rsidR="00FC5B95" w:rsidRPr="00426CF0">
        <w:rPr>
          <w:rFonts w:ascii="Calibri" w:hAnsi="Calibri" w:cs="Calibri"/>
        </w:rPr>
        <w:t>%</w:t>
      </w:r>
      <w:r w:rsidRPr="00426CF0">
        <w:rPr>
          <w:rFonts w:ascii="Calibri" w:hAnsi="Calibri" w:cs="Calibri"/>
        </w:rPr>
        <w:t>, and limited financial access at 26.67</w:t>
      </w:r>
      <w:r w:rsidR="00FC5B95" w:rsidRPr="00426CF0">
        <w:rPr>
          <w:rFonts w:ascii="Calibri" w:hAnsi="Calibri" w:cs="Calibri"/>
        </w:rPr>
        <w:t>%</w:t>
      </w:r>
      <w:r w:rsidRPr="00426CF0">
        <w:rPr>
          <w:rFonts w:ascii="Calibri" w:hAnsi="Calibri" w:cs="Calibri"/>
        </w:rPr>
        <w:t xml:space="preserve"> further restrict effective market participation. Addressing these interconnected challenges requires strengthening farmer organizations, improving infrastructure, enhancing market information systems, and promoting value addition initiatives.</w:t>
      </w:r>
    </w:p>
    <w:p w14:paraId="341EADF3" w14:textId="18041B65" w:rsidR="00EB3534" w:rsidRPr="00426CF0" w:rsidRDefault="00EB3534" w:rsidP="00426CF0">
      <w:pPr>
        <w:spacing w:after="0" w:line="240" w:lineRule="auto"/>
        <w:jc w:val="both"/>
        <w:rPr>
          <w:rFonts w:ascii="Calibri" w:hAnsi="Calibri" w:cs="Calibri"/>
        </w:rPr>
      </w:pPr>
    </w:p>
    <w:p w14:paraId="1ED38335" w14:textId="4E7CE349" w:rsidR="00EB3534" w:rsidRPr="004A56EC" w:rsidRDefault="00EB3534"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7</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Challenges in agricultural market systems</w:t>
      </w:r>
    </w:p>
    <w:tbl>
      <w:tblPr>
        <w:tblW w:w="8896" w:type="dxa"/>
        <w:tblInd w:w="-5" w:type="dxa"/>
        <w:tblBorders>
          <w:insideH w:val="dashSmallGap" w:sz="4" w:space="0" w:color="auto"/>
        </w:tblBorders>
        <w:tblLook w:val="04A0" w:firstRow="1" w:lastRow="0" w:firstColumn="1" w:lastColumn="0" w:noHBand="0" w:noVBand="1"/>
      </w:tblPr>
      <w:tblGrid>
        <w:gridCol w:w="3875"/>
        <w:gridCol w:w="1382"/>
        <w:gridCol w:w="1273"/>
        <w:gridCol w:w="1120"/>
        <w:gridCol w:w="1246"/>
      </w:tblGrid>
      <w:tr w:rsidR="00426CF0" w:rsidRPr="00426CF0" w14:paraId="27FE03A8" w14:textId="77777777" w:rsidTr="00DB03E5">
        <w:trPr>
          <w:trHeight w:val="399"/>
        </w:trPr>
        <w:tc>
          <w:tcPr>
            <w:tcW w:w="3875" w:type="dxa"/>
            <w:tcBorders>
              <w:top w:val="single" w:sz="4" w:space="0" w:color="auto"/>
              <w:bottom w:val="single" w:sz="4" w:space="0" w:color="auto"/>
            </w:tcBorders>
            <w:vAlign w:val="center"/>
            <w:hideMark/>
          </w:tcPr>
          <w:p w14:paraId="5C10C821"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Areas of challenges</w:t>
            </w:r>
          </w:p>
        </w:tc>
        <w:tc>
          <w:tcPr>
            <w:tcW w:w="1382" w:type="dxa"/>
            <w:tcBorders>
              <w:top w:val="single" w:sz="4" w:space="0" w:color="auto"/>
              <w:bottom w:val="single" w:sz="4" w:space="0" w:color="auto"/>
            </w:tcBorders>
            <w:vAlign w:val="center"/>
            <w:hideMark/>
          </w:tcPr>
          <w:p w14:paraId="0ADA898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73" w:type="dxa"/>
            <w:tcBorders>
              <w:top w:val="single" w:sz="4" w:space="0" w:color="auto"/>
              <w:bottom w:val="single" w:sz="4" w:space="0" w:color="auto"/>
            </w:tcBorders>
            <w:vAlign w:val="center"/>
            <w:hideMark/>
          </w:tcPr>
          <w:p w14:paraId="7CDBF82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120" w:type="dxa"/>
            <w:tcBorders>
              <w:top w:val="single" w:sz="4" w:space="0" w:color="auto"/>
              <w:bottom w:val="single" w:sz="4" w:space="0" w:color="auto"/>
            </w:tcBorders>
            <w:vAlign w:val="center"/>
            <w:hideMark/>
          </w:tcPr>
          <w:p w14:paraId="1DCCF69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246" w:type="dxa"/>
            <w:tcBorders>
              <w:top w:val="single" w:sz="4" w:space="0" w:color="auto"/>
              <w:bottom w:val="single" w:sz="4" w:space="0" w:color="auto"/>
            </w:tcBorders>
            <w:vAlign w:val="center"/>
            <w:hideMark/>
          </w:tcPr>
          <w:p w14:paraId="5B1DF99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3149897F" w14:textId="77777777" w:rsidTr="00DB03E5">
        <w:trPr>
          <w:trHeight w:val="199"/>
        </w:trPr>
        <w:tc>
          <w:tcPr>
            <w:tcW w:w="3875" w:type="dxa"/>
            <w:tcBorders>
              <w:top w:val="single" w:sz="4" w:space="0" w:color="auto"/>
            </w:tcBorders>
            <w:noWrap/>
            <w:vAlign w:val="center"/>
            <w:hideMark/>
          </w:tcPr>
          <w:p w14:paraId="56DF150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Information gaps </w:t>
            </w:r>
          </w:p>
        </w:tc>
        <w:tc>
          <w:tcPr>
            <w:tcW w:w="1382" w:type="dxa"/>
            <w:tcBorders>
              <w:top w:val="single" w:sz="4" w:space="0" w:color="auto"/>
            </w:tcBorders>
            <w:noWrap/>
            <w:vAlign w:val="center"/>
            <w:hideMark/>
          </w:tcPr>
          <w:p w14:paraId="473694F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273" w:type="dxa"/>
            <w:tcBorders>
              <w:top w:val="single" w:sz="4" w:space="0" w:color="auto"/>
            </w:tcBorders>
            <w:noWrap/>
            <w:vAlign w:val="center"/>
            <w:hideMark/>
          </w:tcPr>
          <w:p w14:paraId="13FCD4D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120" w:type="dxa"/>
            <w:tcBorders>
              <w:top w:val="single" w:sz="4" w:space="0" w:color="auto"/>
            </w:tcBorders>
            <w:noWrap/>
            <w:vAlign w:val="center"/>
            <w:hideMark/>
          </w:tcPr>
          <w:p w14:paraId="657F110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246" w:type="dxa"/>
            <w:tcBorders>
              <w:top w:val="single" w:sz="4" w:space="0" w:color="auto"/>
            </w:tcBorders>
            <w:noWrap/>
            <w:vAlign w:val="center"/>
            <w:hideMark/>
          </w:tcPr>
          <w:p w14:paraId="56BD253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51.67%</w:t>
            </w:r>
          </w:p>
        </w:tc>
      </w:tr>
      <w:tr w:rsidR="00426CF0" w:rsidRPr="00426CF0" w14:paraId="029F264B" w14:textId="77777777" w:rsidTr="00DB03E5">
        <w:trPr>
          <w:trHeight w:val="199"/>
        </w:trPr>
        <w:tc>
          <w:tcPr>
            <w:tcW w:w="3875" w:type="dxa"/>
            <w:noWrap/>
            <w:vAlign w:val="center"/>
            <w:hideMark/>
          </w:tcPr>
          <w:p w14:paraId="6D2C90CB"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Weak linkage with market actors</w:t>
            </w:r>
          </w:p>
        </w:tc>
        <w:tc>
          <w:tcPr>
            <w:tcW w:w="1382" w:type="dxa"/>
            <w:noWrap/>
            <w:vAlign w:val="center"/>
            <w:hideMark/>
          </w:tcPr>
          <w:p w14:paraId="61BBBCC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30.00%</w:t>
            </w:r>
          </w:p>
        </w:tc>
        <w:tc>
          <w:tcPr>
            <w:tcW w:w="1273" w:type="dxa"/>
            <w:noWrap/>
            <w:vAlign w:val="center"/>
            <w:hideMark/>
          </w:tcPr>
          <w:p w14:paraId="7A45C9A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120" w:type="dxa"/>
            <w:noWrap/>
            <w:vAlign w:val="center"/>
            <w:hideMark/>
          </w:tcPr>
          <w:p w14:paraId="6256D23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46" w:type="dxa"/>
            <w:noWrap/>
            <w:vAlign w:val="center"/>
            <w:hideMark/>
          </w:tcPr>
          <w:p w14:paraId="37CB058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30.83%</w:t>
            </w:r>
          </w:p>
        </w:tc>
      </w:tr>
      <w:tr w:rsidR="00426CF0" w:rsidRPr="00426CF0" w14:paraId="74E5DE7C" w14:textId="77777777" w:rsidTr="00DB03E5">
        <w:trPr>
          <w:trHeight w:val="199"/>
        </w:trPr>
        <w:tc>
          <w:tcPr>
            <w:tcW w:w="3875" w:type="dxa"/>
            <w:noWrap/>
            <w:vAlign w:val="center"/>
            <w:hideMark/>
          </w:tcPr>
          <w:p w14:paraId="2E8CCB76"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Low farm-gate prices </w:t>
            </w:r>
          </w:p>
        </w:tc>
        <w:tc>
          <w:tcPr>
            <w:tcW w:w="1382" w:type="dxa"/>
            <w:noWrap/>
            <w:vAlign w:val="center"/>
            <w:hideMark/>
          </w:tcPr>
          <w:p w14:paraId="6A663AE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273" w:type="dxa"/>
            <w:noWrap/>
            <w:vAlign w:val="center"/>
            <w:hideMark/>
          </w:tcPr>
          <w:p w14:paraId="6EEE498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120" w:type="dxa"/>
            <w:noWrap/>
            <w:vAlign w:val="center"/>
            <w:hideMark/>
          </w:tcPr>
          <w:p w14:paraId="468837F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46" w:type="dxa"/>
            <w:noWrap/>
            <w:vAlign w:val="center"/>
            <w:hideMark/>
          </w:tcPr>
          <w:p w14:paraId="72D873F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r>
      <w:tr w:rsidR="00426CF0" w:rsidRPr="00426CF0" w14:paraId="301CA937" w14:textId="77777777" w:rsidTr="00DB03E5">
        <w:trPr>
          <w:trHeight w:val="199"/>
        </w:trPr>
        <w:tc>
          <w:tcPr>
            <w:tcW w:w="3875" w:type="dxa"/>
            <w:noWrap/>
            <w:vAlign w:val="center"/>
            <w:hideMark/>
          </w:tcPr>
          <w:p w14:paraId="319542BE"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Limited market access</w:t>
            </w:r>
          </w:p>
        </w:tc>
        <w:tc>
          <w:tcPr>
            <w:tcW w:w="1382" w:type="dxa"/>
            <w:noWrap/>
            <w:vAlign w:val="center"/>
            <w:hideMark/>
          </w:tcPr>
          <w:p w14:paraId="462E4B1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273" w:type="dxa"/>
            <w:noWrap/>
            <w:vAlign w:val="center"/>
            <w:hideMark/>
          </w:tcPr>
          <w:p w14:paraId="79028F0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120" w:type="dxa"/>
            <w:noWrap/>
            <w:vAlign w:val="center"/>
            <w:hideMark/>
          </w:tcPr>
          <w:p w14:paraId="7237220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46" w:type="dxa"/>
            <w:noWrap/>
            <w:vAlign w:val="center"/>
            <w:hideMark/>
          </w:tcPr>
          <w:p w14:paraId="4820DF2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r>
      <w:tr w:rsidR="00426CF0" w:rsidRPr="00426CF0" w14:paraId="5022AD69" w14:textId="77777777" w:rsidTr="00DB03E5">
        <w:trPr>
          <w:trHeight w:val="199"/>
        </w:trPr>
        <w:tc>
          <w:tcPr>
            <w:tcW w:w="3875" w:type="dxa"/>
            <w:noWrap/>
            <w:vAlign w:val="center"/>
            <w:hideMark/>
          </w:tcPr>
          <w:p w14:paraId="56946D9C"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Transportation constraints </w:t>
            </w:r>
          </w:p>
        </w:tc>
        <w:tc>
          <w:tcPr>
            <w:tcW w:w="1382" w:type="dxa"/>
            <w:noWrap/>
            <w:vAlign w:val="center"/>
            <w:hideMark/>
          </w:tcPr>
          <w:p w14:paraId="173DD03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noWrap/>
            <w:vAlign w:val="center"/>
            <w:hideMark/>
          </w:tcPr>
          <w:p w14:paraId="39699FF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120" w:type="dxa"/>
            <w:noWrap/>
            <w:vAlign w:val="center"/>
            <w:hideMark/>
          </w:tcPr>
          <w:p w14:paraId="242A228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46" w:type="dxa"/>
            <w:noWrap/>
            <w:vAlign w:val="center"/>
            <w:hideMark/>
          </w:tcPr>
          <w:p w14:paraId="7F7BEC3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46.67%</w:t>
            </w:r>
          </w:p>
        </w:tc>
      </w:tr>
      <w:tr w:rsidR="00426CF0" w:rsidRPr="00426CF0" w14:paraId="5B1F5B47" w14:textId="77777777" w:rsidTr="00DB03E5">
        <w:trPr>
          <w:trHeight w:val="199"/>
        </w:trPr>
        <w:tc>
          <w:tcPr>
            <w:tcW w:w="3875" w:type="dxa"/>
            <w:noWrap/>
            <w:vAlign w:val="center"/>
            <w:hideMark/>
          </w:tcPr>
          <w:p w14:paraId="5D637979"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Unavailability of market actors </w:t>
            </w:r>
          </w:p>
        </w:tc>
        <w:tc>
          <w:tcPr>
            <w:tcW w:w="1382" w:type="dxa"/>
            <w:noWrap/>
            <w:vAlign w:val="center"/>
            <w:hideMark/>
          </w:tcPr>
          <w:p w14:paraId="4C37F91D"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c>
          <w:tcPr>
            <w:tcW w:w="1273" w:type="dxa"/>
            <w:noWrap/>
            <w:vAlign w:val="center"/>
            <w:hideMark/>
          </w:tcPr>
          <w:p w14:paraId="1A5CA56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120" w:type="dxa"/>
            <w:noWrap/>
            <w:vAlign w:val="center"/>
            <w:hideMark/>
          </w:tcPr>
          <w:p w14:paraId="6F4322E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246" w:type="dxa"/>
            <w:noWrap/>
            <w:vAlign w:val="center"/>
            <w:hideMark/>
          </w:tcPr>
          <w:p w14:paraId="7D9F161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r>
      <w:tr w:rsidR="00426CF0" w:rsidRPr="00426CF0" w14:paraId="49054D40" w14:textId="77777777" w:rsidTr="00DB03E5">
        <w:trPr>
          <w:trHeight w:val="199"/>
        </w:trPr>
        <w:tc>
          <w:tcPr>
            <w:tcW w:w="3875" w:type="dxa"/>
            <w:noWrap/>
            <w:vAlign w:val="center"/>
            <w:hideMark/>
          </w:tcPr>
          <w:p w14:paraId="5CFD946C"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Limited financial access </w:t>
            </w:r>
          </w:p>
        </w:tc>
        <w:tc>
          <w:tcPr>
            <w:tcW w:w="1382" w:type="dxa"/>
            <w:noWrap/>
            <w:vAlign w:val="center"/>
            <w:hideMark/>
          </w:tcPr>
          <w:p w14:paraId="0733E71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273" w:type="dxa"/>
            <w:noWrap/>
            <w:vAlign w:val="center"/>
            <w:hideMark/>
          </w:tcPr>
          <w:p w14:paraId="6D3496B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120" w:type="dxa"/>
            <w:noWrap/>
            <w:vAlign w:val="center"/>
            <w:hideMark/>
          </w:tcPr>
          <w:p w14:paraId="15861FD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46" w:type="dxa"/>
            <w:noWrap/>
            <w:vAlign w:val="center"/>
            <w:hideMark/>
          </w:tcPr>
          <w:p w14:paraId="5580CB5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26.67%</w:t>
            </w:r>
          </w:p>
        </w:tc>
      </w:tr>
      <w:tr w:rsidR="00426CF0" w:rsidRPr="00426CF0" w14:paraId="65B37FA6" w14:textId="77777777" w:rsidTr="00DB03E5">
        <w:trPr>
          <w:trHeight w:val="199"/>
        </w:trPr>
        <w:tc>
          <w:tcPr>
            <w:tcW w:w="3875" w:type="dxa"/>
            <w:noWrap/>
            <w:vAlign w:val="center"/>
            <w:hideMark/>
          </w:tcPr>
          <w:p w14:paraId="6B717421"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Lack of storage facilities </w:t>
            </w:r>
          </w:p>
        </w:tc>
        <w:tc>
          <w:tcPr>
            <w:tcW w:w="1382" w:type="dxa"/>
            <w:noWrap/>
            <w:vAlign w:val="center"/>
            <w:hideMark/>
          </w:tcPr>
          <w:p w14:paraId="7A80F4B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73" w:type="dxa"/>
            <w:noWrap/>
            <w:vAlign w:val="center"/>
            <w:hideMark/>
          </w:tcPr>
          <w:p w14:paraId="4038414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120" w:type="dxa"/>
            <w:noWrap/>
            <w:vAlign w:val="center"/>
            <w:hideMark/>
          </w:tcPr>
          <w:p w14:paraId="492D414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46" w:type="dxa"/>
            <w:noWrap/>
            <w:vAlign w:val="center"/>
            <w:hideMark/>
          </w:tcPr>
          <w:p w14:paraId="682EC7C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7D7263FC" w14:textId="77777777" w:rsidTr="00DB03E5">
        <w:trPr>
          <w:trHeight w:val="199"/>
        </w:trPr>
        <w:tc>
          <w:tcPr>
            <w:tcW w:w="3875" w:type="dxa"/>
            <w:noWrap/>
            <w:vAlign w:val="center"/>
            <w:hideMark/>
          </w:tcPr>
          <w:p w14:paraId="3234F965" w14:textId="00FF6362"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Poor quality grading systems</w:t>
            </w:r>
          </w:p>
        </w:tc>
        <w:tc>
          <w:tcPr>
            <w:tcW w:w="1382" w:type="dxa"/>
            <w:noWrap/>
            <w:vAlign w:val="center"/>
            <w:hideMark/>
          </w:tcPr>
          <w:p w14:paraId="3550555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73" w:type="dxa"/>
            <w:noWrap/>
            <w:vAlign w:val="center"/>
            <w:hideMark/>
          </w:tcPr>
          <w:p w14:paraId="65E770B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120" w:type="dxa"/>
            <w:noWrap/>
            <w:vAlign w:val="center"/>
            <w:hideMark/>
          </w:tcPr>
          <w:p w14:paraId="7ADB91C3"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46" w:type="dxa"/>
            <w:noWrap/>
            <w:vAlign w:val="center"/>
            <w:hideMark/>
          </w:tcPr>
          <w:p w14:paraId="5473E70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r>
      <w:tr w:rsidR="00426CF0" w:rsidRPr="00426CF0" w14:paraId="30FCE80C" w14:textId="77777777" w:rsidTr="00DB03E5">
        <w:trPr>
          <w:trHeight w:val="199"/>
        </w:trPr>
        <w:tc>
          <w:tcPr>
            <w:tcW w:w="3875" w:type="dxa"/>
            <w:noWrap/>
            <w:vAlign w:val="center"/>
            <w:hideMark/>
          </w:tcPr>
          <w:p w14:paraId="2872AB1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Market price volatility</w:t>
            </w:r>
          </w:p>
        </w:tc>
        <w:tc>
          <w:tcPr>
            <w:tcW w:w="1382" w:type="dxa"/>
            <w:noWrap/>
            <w:vAlign w:val="center"/>
            <w:hideMark/>
          </w:tcPr>
          <w:p w14:paraId="521A649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noWrap/>
            <w:vAlign w:val="center"/>
            <w:hideMark/>
          </w:tcPr>
          <w:p w14:paraId="59923A3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120" w:type="dxa"/>
            <w:noWrap/>
            <w:vAlign w:val="center"/>
            <w:hideMark/>
          </w:tcPr>
          <w:p w14:paraId="59D03AC1"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246" w:type="dxa"/>
            <w:noWrap/>
            <w:vAlign w:val="center"/>
            <w:hideMark/>
          </w:tcPr>
          <w:p w14:paraId="246AD1B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0A8F7003" w14:textId="77777777" w:rsidTr="00DB03E5">
        <w:trPr>
          <w:trHeight w:val="199"/>
        </w:trPr>
        <w:tc>
          <w:tcPr>
            <w:tcW w:w="3875" w:type="dxa"/>
            <w:tcBorders>
              <w:bottom w:val="dashSmallGap" w:sz="4" w:space="0" w:color="auto"/>
            </w:tcBorders>
            <w:noWrap/>
            <w:vAlign w:val="center"/>
            <w:hideMark/>
          </w:tcPr>
          <w:p w14:paraId="715EEA86"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Limited value addition and processing</w:t>
            </w:r>
          </w:p>
        </w:tc>
        <w:tc>
          <w:tcPr>
            <w:tcW w:w="1382" w:type="dxa"/>
            <w:tcBorders>
              <w:bottom w:val="dashSmallGap" w:sz="4" w:space="0" w:color="auto"/>
            </w:tcBorders>
            <w:noWrap/>
            <w:vAlign w:val="center"/>
            <w:hideMark/>
          </w:tcPr>
          <w:p w14:paraId="61581289"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273" w:type="dxa"/>
            <w:tcBorders>
              <w:bottom w:val="dashSmallGap" w:sz="4" w:space="0" w:color="auto"/>
            </w:tcBorders>
            <w:noWrap/>
            <w:vAlign w:val="center"/>
            <w:hideMark/>
          </w:tcPr>
          <w:p w14:paraId="0ACBF55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120" w:type="dxa"/>
            <w:tcBorders>
              <w:bottom w:val="dashSmallGap" w:sz="4" w:space="0" w:color="auto"/>
            </w:tcBorders>
            <w:noWrap/>
            <w:vAlign w:val="center"/>
            <w:hideMark/>
          </w:tcPr>
          <w:p w14:paraId="4D90408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246" w:type="dxa"/>
            <w:tcBorders>
              <w:bottom w:val="dashSmallGap" w:sz="4" w:space="0" w:color="auto"/>
            </w:tcBorders>
            <w:noWrap/>
            <w:vAlign w:val="center"/>
            <w:hideMark/>
          </w:tcPr>
          <w:p w14:paraId="32087C2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56.67%</w:t>
            </w:r>
          </w:p>
        </w:tc>
      </w:tr>
      <w:tr w:rsidR="00426CF0" w:rsidRPr="00426CF0" w14:paraId="4DE6D5A7" w14:textId="77777777" w:rsidTr="00DB03E5">
        <w:trPr>
          <w:trHeight w:val="199"/>
        </w:trPr>
        <w:tc>
          <w:tcPr>
            <w:tcW w:w="3875" w:type="dxa"/>
            <w:tcBorders>
              <w:top w:val="dashSmallGap" w:sz="4" w:space="0" w:color="auto"/>
              <w:bottom w:val="single" w:sz="4" w:space="0" w:color="auto"/>
            </w:tcBorders>
            <w:noWrap/>
            <w:vAlign w:val="center"/>
            <w:hideMark/>
          </w:tcPr>
          <w:p w14:paraId="3BC8CB0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Weak collective marketing</w:t>
            </w:r>
          </w:p>
        </w:tc>
        <w:tc>
          <w:tcPr>
            <w:tcW w:w="1382" w:type="dxa"/>
            <w:tcBorders>
              <w:top w:val="dashSmallGap" w:sz="4" w:space="0" w:color="auto"/>
              <w:bottom w:val="single" w:sz="4" w:space="0" w:color="auto"/>
            </w:tcBorders>
            <w:noWrap/>
            <w:vAlign w:val="center"/>
            <w:hideMark/>
          </w:tcPr>
          <w:p w14:paraId="21219E4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273" w:type="dxa"/>
            <w:tcBorders>
              <w:top w:val="dashSmallGap" w:sz="4" w:space="0" w:color="auto"/>
              <w:bottom w:val="single" w:sz="4" w:space="0" w:color="auto"/>
            </w:tcBorders>
            <w:noWrap/>
            <w:vAlign w:val="center"/>
            <w:hideMark/>
          </w:tcPr>
          <w:p w14:paraId="21C15E9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120" w:type="dxa"/>
            <w:tcBorders>
              <w:top w:val="dashSmallGap" w:sz="4" w:space="0" w:color="auto"/>
              <w:bottom w:val="single" w:sz="4" w:space="0" w:color="auto"/>
            </w:tcBorders>
            <w:noWrap/>
            <w:vAlign w:val="center"/>
            <w:hideMark/>
          </w:tcPr>
          <w:p w14:paraId="12557536"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246" w:type="dxa"/>
            <w:tcBorders>
              <w:top w:val="dashSmallGap" w:sz="4" w:space="0" w:color="auto"/>
              <w:bottom w:val="single" w:sz="4" w:space="0" w:color="auto"/>
            </w:tcBorders>
            <w:noWrap/>
            <w:vAlign w:val="center"/>
            <w:hideMark/>
          </w:tcPr>
          <w:p w14:paraId="737E434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60.83%</w:t>
            </w:r>
          </w:p>
        </w:tc>
      </w:tr>
    </w:tbl>
    <w:p w14:paraId="709BBC8B" w14:textId="77777777" w:rsidR="00EB3534" w:rsidRPr="00426CF0" w:rsidRDefault="00EB3534" w:rsidP="00426CF0">
      <w:pPr>
        <w:spacing w:after="0" w:line="240" w:lineRule="auto"/>
        <w:jc w:val="both"/>
        <w:rPr>
          <w:rFonts w:ascii="Calibri" w:hAnsi="Calibri" w:cs="Calibri"/>
        </w:rPr>
      </w:pPr>
    </w:p>
    <w:p w14:paraId="20AA75B6" w14:textId="7B74F390" w:rsidR="0047498C"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3.</w:t>
      </w:r>
      <w:r w:rsidR="00B2310A" w:rsidRPr="00426CF0">
        <w:rPr>
          <w:rFonts w:ascii="Calibri" w:eastAsia="Times New Roman" w:hAnsi="Calibri" w:cs="Calibri"/>
          <w:b/>
          <w:bCs/>
          <w:kern w:val="0"/>
          <w14:ligatures w14:val="none"/>
        </w:rPr>
        <w:t xml:space="preserve">8.2 </w:t>
      </w:r>
      <w:r w:rsidR="0047498C" w:rsidRPr="00426CF0">
        <w:rPr>
          <w:rFonts w:ascii="Calibri" w:eastAsia="Times New Roman" w:hAnsi="Calibri" w:cs="Calibri"/>
          <w:b/>
          <w:bCs/>
          <w:kern w:val="0"/>
          <w14:ligatures w14:val="none"/>
        </w:rPr>
        <w:t>Opportunities</w:t>
      </w:r>
      <w:r w:rsidR="00E41460" w:rsidRPr="00426CF0">
        <w:rPr>
          <w:rFonts w:ascii="Calibri" w:eastAsia="Times New Roman" w:hAnsi="Calibri" w:cs="Calibri"/>
          <w:b/>
          <w:bCs/>
          <w:kern w:val="0"/>
          <w14:ligatures w14:val="none"/>
        </w:rPr>
        <w:t xml:space="preserve"> in agricultural market systems</w:t>
      </w:r>
    </w:p>
    <w:p w14:paraId="29F0CD15" w14:textId="708CEA37" w:rsidR="00951B24" w:rsidRPr="00426CF0" w:rsidRDefault="00951B24" w:rsidP="00426CF0">
      <w:pPr>
        <w:spacing w:after="0" w:line="240" w:lineRule="auto"/>
        <w:jc w:val="both"/>
        <w:rPr>
          <w:rFonts w:ascii="Calibri" w:hAnsi="Calibri" w:cs="Calibri"/>
        </w:rPr>
      </w:pPr>
      <w:r w:rsidRPr="00426CF0">
        <w:rPr>
          <w:rFonts w:ascii="Calibri" w:hAnsi="Calibri" w:cs="Calibri"/>
        </w:rPr>
        <w:t xml:space="preserve">The study revealed strong prospects for strengthening agricultural market systems. A high demand for high-value crops, reported by 84.17% of farmers, access to quality inputs, identified by 80.00% of farmers, and youth and women’s participation, noted by 82.50%, highlight key opportunities to improve productivity and inclusiveness. Crop diversification opportunities are substantial at 73.33%. The availability of technological services at 65.83% and opportunities for technology and digital integration at 57.50% indicate increasing readiness for modern farming and market practices. </w:t>
      </w:r>
    </w:p>
    <w:p w14:paraId="690222A9" w14:textId="77777777" w:rsidR="0008380C" w:rsidRPr="00426CF0" w:rsidRDefault="0008380C" w:rsidP="00426CF0">
      <w:pPr>
        <w:spacing w:after="0" w:line="240" w:lineRule="auto"/>
        <w:jc w:val="both"/>
        <w:rPr>
          <w:rFonts w:ascii="Calibri" w:hAnsi="Calibri" w:cs="Calibri"/>
        </w:rPr>
      </w:pPr>
    </w:p>
    <w:p w14:paraId="6725D3EB" w14:textId="102D1FEE" w:rsidR="00525BB4" w:rsidRPr="00426CF0" w:rsidRDefault="00525BB4" w:rsidP="00426CF0">
      <w:pPr>
        <w:pStyle w:val="Caption"/>
        <w:keepNext/>
        <w:spacing w:after="0"/>
        <w:rPr>
          <w:rFonts w:ascii="Calibri" w:hAnsi="Calibri" w:cs="Calibri"/>
          <w:color w:val="auto"/>
          <w:sz w:val="22"/>
          <w:szCs w:val="22"/>
        </w:rPr>
      </w:pPr>
      <w:r w:rsidRPr="00426CF0">
        <w:rPr>
          <w:rFonts w:ascii="Calibri" w:hAnsi="Calibri" w:cs="Calibri"/>
          <w:color w:val="auto"/>
          <w:sz w:val="22"/>
          <w:szCs w:val="22"/>
        </w:rPr>
        <w:t xml:space="preserve">Table </w:t>
      </w:r>
      <w:r w:rsidRPr="00426CF0">
        <w:rPr>
          <w:rFonts w:ascii="Calibri" w:hAnsi="Calibri" w:cs="Calibri"/>
          <w:color w:val="auto"/>
          <w:sz w:val="22"/>
          <w:szCs w:val="22"/>
        </w:rPr>
        <w:fldChar w:fldCharType="begin"/>
      </w:r>
      <w:r w:rsidRPr="00426CF0">
        <w:rPr>
          <w:rFonts w:ascii="Calibri" w:hAnsi="Calibri" w:cs="Calibri"/>
          <w:color w:val="auto"/>
          <w:sz w:val="22"/>
          <w:szCs w:val="22"/>
        </w:rPr>
        <w:instrText xml:space="preserve"> SEQ Table \* ARABIC </w:instrText>
      </w:r>
      <w:r w:rsidRPr="00426CF0">
        <w:rPr>
          <w:rFonts w:ascii="Calibri" w:hAnsi="Calibri" w:cs="Calibri"/>
          <w:color w:val="auto"/>
          <w:sz w:val="22"/>
          <w:szCs w:val="22"/>
        </w:rPr>
        <w:fldChar w:fldCharType="separate"/>
      </w:r>
      <w:r w:rsidR="0062377E" w:rsidRPr="00426CF0">
        <w:rPr>
          <w:rFonts w:ascii="Calibri" w:hAnsi="Calibri" w:cs="Calibri"/>
          <w:noProof/>
          <w:color w:val="auto"/>
          <w:sz w:val="22"/>
          <w:szCs w:val="22"/>
        </w:rPr>
        <w:t>8</w:t>
      </w:r>
      <w:r w:rsidRPr="00426CF0">
        <w:rPr>
          <w:rFonts w:ascii="Calibri" w:hAnsi="Calibri" w:cs="Calibri"/>
          <w:color w:val="auto"/>
          <w:sz w:val="22"/>
          <w:szCs w:val="22"/>
        </w:rPr>
        <w:fldChar w:fldCharType="end"/>
      </w:r>
      <w:r w:rsidRPr="00426CF0">
        <w:rPr>
          <w:rFonts w:ascii="Calibri" w:hAnsi="Calibri" w:cs="Calibri"/>
          <w:color w:val="auto"/>
          <w:sz w:val="22"/>
          <w:szCs w:val="22"/>
        </w:rPr>
        <w:t>: Potential opportunities in agricultural market systems</w:t>
      </w:r>
    </w:p>
    <w:tbl>
      <w:tblPr>
        <w:tblW w:w="8912" w:type="dxa"/>
        <w:tblInd w:w="-5" w:type="dxa"/>
        <w:tblBorders>
          <w:insideH w:val="dashSmallGap" w:sz="4" w:space="0" w:color="auto"/>
        </w:tblBorders>
        <w:tblLook w:val="04A0" w:firstRow="1" w:lastRow="0" w:firstColumn="1" w:lastColumn="0" w:noHBand="0" w:noVBand="1"/>
      </w:tblPr>
      <w:tblGrid>
        <w:gridCol w:w="3335"/>
        <w:gridCol w:w="1612"/>
        <w:gridCol w:w="1341"/>
        <w:gridCol w:w="1219"/>
        <w:gridCol w:w="1405"/>
      </w:tblGrid>
      <w:tr w:rsidR="00426CF0" w:rsidRPr="00426CF0" w14:paraId="5187CAFA" w14:textId="77777777" w:rsidTr="0008380C">
        <w:trPr>
          <w:trHeight w:val="369"/>
        </w:trPr>
        <w:tc>
          <w:tcPr>
            <w:tcW w:w="3335" w:type="dxa"/>
            <w:tcBorders>
              <w:top w:val="single" w:sz="4" w:space="0" w:color="auto"/>
              <w:bottom w:val="single" w:sz="4" w:space="0" w:color="auto"/>
            </w:tcBorders>
            <w:vAlign w:val="center"/>
            <w:hideMark/>
          </w:tcPr>
          <w:p w14:paraId="07FFE46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Potential Opportunities</w:t>
            </w:r>
          </w:p>
        </w:tc>
        <w:tc>
          <w:tcPr>
            <w:tcW w:w="1612" w:type="dxa"/>
            <w:tcBorders>
              <w:top w:val="single" w:sz="4" w:space="0" w:color="auto"/>
              <w:bottom w:val="single" w:sz="4" w:space="0" w:color="auto"/>
            </w:tcBorders>
            <w:vAlign w:val="center"/>
            <w:hideMark/>
          </w:tcPr>
          <w:p w14:paraId="7EEA6CF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341" w:type="dxa"/>
            <w:tcBorders>
              <w:top w:val="single" w:sz="4" w:space="0" w:color="auto"/>
              <w:bottom w:val="single" w:sz="4" w:space="0" w:color="auto"/>
            </w:tcBorders>
            <w:vAlign w:val="center"/>
            <w:hideMark/>
          </w:tcPr>
          <w:p w14:paraId="0263B50D"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219" w:type="dxa"/>
            <w:tcBorders>
              <w:top w:val="single" w:sz="4" w:space="0" w:color="auto"/>
              <w:bottom w:val="single" w:sz="4" w:space="0" w:color="auto"/>
            </w:tcBorders>
            <w:vAlign w:val="center"/>
            <w:hideMark/>
          </w:tcPr>
          <w:p w14:paraId="46255B82"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405" w:type="dxa"/>
            <w:tcBorders>
              <w:top w:val="single" w:sz="4" w:space="0" w:color="auto"/>
              <w:bottom w:val="single" w:sz="4" w:space="0" w:color="auto"/>
            </w:tcBorders>
            <w:vAlign w:val="center"/>
            <w:hideMark/>
          </w:tcPr>
          <w:p w14:paraId="2234756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57EB8458" w14:textId="77777777" w:rsidTr="0008380C">
        <w:trPr>
          <w:trHeight w:val="184"/>
        </w:trPr>
        <w:tc>
          <w:tcPr>
            <w:tcW w:w="3335" w:type="dxa"/>
            <w:tcBorders>
              <w:top w:val="single" w:sz="4" w:space="0" w:color="auto"/>
            </w:tcBorders>
            <w:noWrap/>
            <w:vAlign w:val="center"/>
            <w:hideMark/>
          </w:tcPr>
          <w:p w14:paraId="6182B043"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Access to quality Inputs </w:t>
            </w:r>
          </w:p>
        </w:tc>
        <w:tc>
          <w:tcPr>
            <w:tcW w:w="1612" w:type="dxa"/>
            <w:tcBorders>
              <w:top w:val="single" w:sz="4" w:space="0" w:color="auto"/>
            </w:tcBorders>
            <w:noWrap/>
            <w:vAlign w:val="center"/>
            <w:hideMark/>
          </w:tcPr>
          <w:p w14:paraId="6DB0D334"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341" w:type="dxa"/>
            <w:tcBorders>
              <w:top w:val="single" w:sz="4" w:space="0" w:color="auto"/>
            </w:tcBorders>
            <w:noWrap/>
            <w:vAlign w:val="center"/>
            <w:hideMark/>
          </w:tcPr>
          <w:p w14:paraId="33A35C1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80.00%</w:t>
            </w:r>
          </w:p>
        </w:tc>
        <w:tc>
          <w:tcPr>
            <w:tcW w:w="1219" w:type="dxa"/>
            <w:tcBorders>
              <w:top w:val="single" w:sz="4" w:space="0" w:color="auto"/>
            </w:tcBorders>
            <w:noWrap/>
            <w:vAlign w:val="center"/>
            <w:hideMark/>
          </w:tcPr>
          <w:p w14:paraId="1D0FBA7D"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85.00%</w:t>
            </w:r>
          </w:p>
        </w:tc>
        <w:tc>
          <w:tcPr>
            <w:tcW w:w="1405" w:type="dxa"/>
            <w:tcBorders>
              <w:top w:val="single" w:sz="4" w:space="0" w:color="auto"/>
            </w:tcBorders>
            <w:noWrap/>
            <w:vAlign w:val="center"/>
            <w:hideMark/>
          </w:tcPr>
          <w:p w14:paraId="7F721DB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80.00%</w:t>
            </w:r>
          </w:p>
        </w:tc>
      </w:tr>
      <w:tr w:rsidR="00426CF0" w:rsidRPr="00426CF0" w14:paraId="5C1EE899" w14:textId="77777777" w:rsidTr="0008380C">
        <w:trPr>
          <w:trHeight w:val="184"/>
        </w:trPr>
        <w:tc>
          <w:tcPr>
            <w:tcW w:w="3335" w:type="dxa"/>
            <w:noWrap/>
            <w:vAlign w:val="center"/>
            <w:hideMark/>
          </w:tcPr>
          <w:p w14:paraId="01411617"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Technology &amp; digital Integration</w:t>
            </w:r>
          </w:p>
        </w:tc>
        <w:tc>
          <w:tcPr>
            <w:tcW w:w="1612" w:type="dxa"/>
            <w:noWrap/>
            <w:vAlign w:val="center"/>
            <w:hideMark/>
          </w:tcPr>
          <w:p w14:paraId="38F915F8"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341" w:type="dxa"/>
            <w:noWrap/>
            <w:vAlign w:val="center"/>
            <w:hideMark/>
          </w:tcPr>
          <w:p w14:paraId="46CCABF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19" w:type="dxa"/>
            <w:noWrap/>
            <w:vAlign w:val="center"/>
            <w:hideMark/>
          </w:tcPr>
          <w:p w14:paraId="34EE75CE"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05" w:type="dxa"/>
            <w:noWrap/>
            <w:vAlign w:val="center"/>
            <w:hideMark/>
          </w:tcPr>
          <w:p w14:paraId="3B2A2D76"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7CBB1100" w14:textId="77777777" w:rsidTr="0008380C">
        <w:trPr>
          <w:trHeight w:val="184"/>
        </w:trPr>
        <w:tc>
          <w:tcPr>
            <w:tcW w:w="3335" w:type="dxa"/>
            <w:noWrap/>
            <w:vAlign w:val="center"/>
            <w:hideMark/>
          </w:tcPr>
          <w:p w14:paraId="28CE2288"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Technological services</w:t>
            </w:r>
          </w:p>
        </w:tc>
        <w:tc>
          <w:tcPr>
            <w:tcW w:w="1612" w:type="dxa"/>
            <w:noWrap/>
            <w:vAlign w:val="center"/>
            <w:hideMark/>
          </w:tcPr>
          <w:p w14:paraId="070F72EF"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72.50%</w:t>
            </w:r>
          </w:p>
        </w:tc>
        <w:tc>
          <w:tcPr>
            <w:tcW w:w="1341" w:type="dxa"/>
            <w:noWrap/>
            <w:vAlign w:val="center"/>
            <w:hideMark/>
          </w:tcPr>
          <w:p w14:paraId="76B8DEC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219" w:type="dxa"/>
            <w:noWrap/>
            <w:vAlign w:val="center"/>
            <w:hideMark/>
          </w:tcPr>
          <w:p w14:paraId="2D47CC6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405" w:type="dxa"/>
            <w:noWrap/>
            <w:vAlign w:val="center"/>
            <w:hideMark/>
          </w:tcPr>
          <w:p w14:paraId="3679E10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65.83%</w:t>
            </w:r>
          </w:p>
        </w:tc>
      </w:tr>
      <w:tr w:rsidR="00426CF0" w:rsidRPr="00426CF0" w14:paraId="62ED9627" w14:textId="77777777" w:rsidTr="0008380C">
        <w:trPr>
          <w:trHeight w:val="184"/>
        </w:trPr>
        <w:tc>
          <w:tcPr>
            <w:tcW w:w="3335" w:type="dxa"/>
            <w:noWrap/>
            <w:vAlign w:val="center"/>
            <w:hideMark/>
          </w:tcPr>
          <w:p w14:paraId="2F881B12"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Crop diversification</w:t>
            </w:r>
          </w:p>
        </w:tc>
        <w:tc>
          <w:tcPr>
            <w:tcW w:w="1612" w:type="dxa"/>
            <w:noWrap/>
            <w:vAlign w:val="center"/>
            <w:hideMark/>
          </w:tcPr>
          <w:p w14:paraId="138354F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341" w:type="dxa"/>
            <w:noWrap/>
            <w:vAlign w:val="center"/>
            <w:hideMark/>
          </w:tcPr>
          <w:p w14:paraId="305E350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219" w:type="dxa"/>
            <w:noWrap/>
            <w:vAlign w:val="center"/>
            <w:hideMark/>
          </w:tcPr>
          <w:p w14:paraId="2925567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405" w:type="dxa"/>
            <w:noWrap/>
            <w:vAlign w:val="center"/>
            <w:hideMark/>
          </w:tcPr>
          <w:p w14:paraId="1871DB0F"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73.33%</w:t>
            </w:r>
          </w:p>
        </w:tc>
      </w:tr>
      <w:tr w:rsidR="00426CF0" w:rsidRPr="00426CF0" w14:paraId="7A9BD1F6" w14:textId="77777777" w:rsidTr="0008380C">
        <w:trPr>
          <w:trHeight w:val="184"/>
        </w:trPr>
        <w:tc>
          <w:tcPr>
            <w:tcW w:w="3335" w:type="dxa"/>
            <w:tcBorders>
              <w:bottom w:val="dashSmallGap" w:sz="4" w:space="0" w:color="auto"/>
            </w:tcBorders>
            <w:noWrap/>
            <w:vAlign w:val="center"/>
            <w:hideMark/>
          </w:tcPr>
          <w:p w14:paraId="4FA64FD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Demand for high-value crops</w:t>
            </w:r>
          </w:p>
        </w:tc>
        <w:tc>
          <w:tcPr>
            <w:tcW w:w="1612" w:type="dxa"/>
            <w:tcBorders>
              <w:bottom w:val="dashSmallGap" w:sz="4" w:space="0" w:color="auto"/>
            </w:tcBorders>
            <w:noWrap/>
            <w:vAlign w:val="center"/>
            <w:hideMark/>
          </w:tcPr>
          <w:p w14:paraId="3A52377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341" w:type="dxa"/>
            <w:tcBorders>
              <w:bottom w:val="dashSmallGap" w:sz="4" w:space="0" w:color="auto"/>
            </w:tcBorders>
            <w:noWrap/>
            <w:vAlign w:val="center"/>
            <w:hideMark/>
          </w:tcPr>
          <w:p w14:paraId="7F2583F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87.50%</w:t>
            </w:r>
          </w:p>
        </w:tc>
        <w:tc>
          <w:tcPr>
            <w:tcW w:w="1219" w:type="dxa"/>
            <w:tcBorders>
              <w:bottom w:val="dashSmallGap" w:sz="4" w:space="0" w:color="auto"/>
            </w:tcBorders>
            <w:noWrap/>
            <w:vAlign w:val="center"/>
            <w:hideMark/>
          </w:tcPr>
          <w:p w14:paraId="5D44E1D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405" w:type="dxa"/>
            <w:tcBorders>
              <w:bottom w:val="dashSmallGap" w:sz="4" w:space="0" w:color="auto"/>
            </w:tcBorders>
            <w:noWrap/>
            <w:vAlign w:val="center"/>
            <w:hideMark/>
          </w:tcPr>
          <w:p w14:paraId="3697DA3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84.17%</w:t>
            </w:r>
          </w:p>
        </w:tc>
      </w:tr>
      <w:tr w:rsidR="00426CF0" w:rsidRPr="00426CF0" w14:paraId="1FFA8DC6" w14:textId="77777777" w:rsidTr="0008380C">
        <w:trPr>
          <w:trHeight w:val="184"/>
        </w:trPr>
        <w:tc>
          <w:tcPr>
            <w:tcW w:w="3335" w:type="dxa"/>
            <w:tcBorders>
              <w:top w:val="dashSmallGap" w:sz="4" w:space="0" w:color="auto"/>
              <w:bottom w:val="single" w:sz="4" w:space="0" w:color="auto"/>
            </w:tcBorders>
            <w:noWrap/>
            <w:vAlign w:val="center"/>
            <w:hideMark/>
          </w:tcPr>
          <w:p w14:paraId="46D2C3F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Youth and women's participation</w:t>
            </w:r>
          </w:p>
        </w:tc>
        <w:tc>
          <w:tcPr>
            <w:tcW w:w="1612" w:type="dxa"/>
            <w:tcBorders>
              <w:top w:val="dashSmallGap" w:sz="4" w:space="0" w:color="auto"/>
              <w:bottom w:val="single" w:sz="4" w:space="0" w:color="auto"/>
            </w:tcBorders>
            <w:noWrap/>
            <w:vAlign w:val="center"/>
            <w:hideMark/>
          </w:tcPr>
          <w:p w14:paraId="1EB5202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87.50%</w:t>
            </w:r>
          </w:p>
        </w:tc>
        <w:tc>
          <w:tcPr>
            <w:tcW w:w="1341" w:type="dxa"/>
            <w:tcBorders>
              <w:top w:val="dashSmallGap" w:sz="4" w:space="0" w:color="auto"/>
              <w:bottom w:val="single" w:sz="4" w:space="0" w:color="auto"/>
            </w:tcBorders>
            <w:noWrap/>
            <w:vAlign w:val="center"/>
            <w:hideMark/>
          </w:tcPr>
          <w:p w14:paraId="259FDD0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219" w:type="dxa"/>
            <w:tcBorders>
              <w:top w:val="dashSmallGap" w:sz="4" w:space="0" w:color="auto"/>
              <w:bottom w:val="single" w:sz="4" w:space="0" w:color="auto"/>
            </w:tcBorders>
            <w:noWrap/>
            <w:vAlign w:val="center"/>
            <w:hideMark/>
          </w:tcPr>
          <w:p w14:paraId="00EE188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405" w:type="dxa"/>
            <w:tcBorders>
              <w:top w:val="dashSmallGap" w:sz="4" w:space="0" w:color="auto"/>
              <w:bottom w:val="single" w:sz="4" w:space="0" w:color="auto"/>
            </w:tcBorders>
            <w:noWrap/>
            <w:vAlign w:val="center"/>
            <w:hideMark/>
          </w:tcPr>
          <w:p w14:paraId="492EB5A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r>
    </w:tbl>
    <w:p w14:paraId="14432FC9" w14:textId="77777777" w:rsidR="0008380C" w:rsidRPr="00426CF0" w:rsidRDefault="0008380C" w:rsidP="00426CF0">
      <w:pPr>
        <w:spacing w:after="0" w:line="240" w:lineRule="auto"/>
        <w:jc w:val="both"/>
        <w:rPr>
          <w:rFonts w:ascii="Calibri" w:hAnsi="Calibri" w:cs="Calibri"/>
        </w:rPr>
      </w:pPr>
    </w:p>
    <w:p w14:paraId="08E91CFC" w14:textId="091ECDF6" w:rsidR="00DE030C" w:rsidRPr="00426CF0" w:rsidRDefault="00DE030C" w:rsidP="00426CF0">
      <w:pPr>
        <w:spacing w:after="0" w:line="240" w:lineRule="auto"/>
        <w:jc w:val="both"/>
        <w:rPr>
          <w:rFonts w:ascii="Calibri" w:hAnsi="Calibri" w:cs="Calibri"/>
          <w:b/>
        </w:rPr>
      </w:pPr>
      <w:r w:rsidRPr="00426CF0">
        <w:rPr>
          <w:rFonts w:ascii="Calibri" w:hAnsi="Calibri" w:cs="Calibri"/>
          <w:b/>
        </w:rPr>
        <w:t>CONCLUSION</w:t>
      </w:r>
    </w:p>
    <w:p w14:paraId="68FB420F" w14:textId="62A3829D" w:rsidR="00525BB4" w:rsidRDefault="00525BB4"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This study provides a comprehensive assessment of the demographic characteristics, livelihood sources, production patterns, post-harvest practices, market participation, and income outcomes of agricultural households across the study areas. The findings reveal notable variation in landholding </w:t>
      </w:r>
      <w:r w:rsidRPr="00426CF0">
        <w:rPr>
          <w:rFonts w:ascii="Calibri" w:eastAsia="Times New Roman" w:hAnsi="Calibri" w:cs="Calibri"/>
          <w:kern w:val="0"/>
          <w14:ligatures w14:val="none"/>
        </w:rPr>
        <w:lastRenderedPageBreak/>
        <w:t>size, with medium and large landholders comprising the majority of households, indicating relatively better access to land among surveyed farmers. Agriculture remains the dominant livelihood</w:t>
      </w:r>
      <w:r w:rsidR="00CE657C" w:rsidRPr="00426CF0">
        <w:rPr>
          <w:rFonts w:ascii="Calibri" w:eastAsia="Times New Roman" w:hAnsi="Calibri" w:cs="Calibri"/>
          <w:kern w:val="0"/>
          <w14:ligatures w14:val="none"/>
        </w:rPr>
        <w:t xml:space="preserve">, accounting for more than three-quarters of household income, underscoring rural households' continued dependence </w:t>
      </w:r>
      <w:r w:rsidRPr="00426CF0">
        <w:rPr>
          <w:rFonts w:ascii="Calibri" w:eastAsia="Times New Roman" w:hAnsi="Calibri" w:cs="Calibri"/>
          <w:kern w:val="0"/>
          <w14:ligatures w14:val="none"/>
        </w:rPr>
        <w:t>on farming despite limited diversification into livestock, employment, and small businesses.</w:t>
      </w:r>
      <w:r w:rsidR="00CE657C" w:rsidRPr="00426CF0">
        <w:rPr>
          <w:rFonts w:ascii="Calibri" w:eastAsia="Times New Roman" w:hAnsi="Calibri" w:cs="Calibri"/>
          <w:kern w:val="0"/>
          <w14:ligatures w14:val="none"/>
        </w:rPr>
        <w:t xml:space="preserve"> The agricultural c</w:t>
      </w:r>
      <w:r w:rsidRPr="00426CF0">
        <w:rPr>
          <w:rFonts w:ascii="Calibri" w:eastAsia="Times New Roman" w:hAnsi="Calibri" w:cs="Calibri"/>
          <w:kern w:val="0"/>
          <w14:ligatures w14:val="none"/>
        </w:rPr>
        <w:t>rop production is strongly centered on rice as the staple crop, while vegetable cultivation plays a</w:t>
      </w:r>
      <w:r w:rsidR="00CE657C" w:rsidRPr="00426CF0">
        <w:rPr>
          <w:rFonts w:ascii="Calibri" w:eastAsia="Times New Roman" w:hAnsi="Calibri" w:cs="Calibri"/>
          <w:kern w:val="0"/>
          <w14:ligatures w14:val="none"/>
        </w:rPr>
        <w:t>n important</w:t>
      </w:r>
      <w:r w:rsidRPr="00426CF0">
        <w:rPr>
          <w:rFonts w:ascii="Calibri" w:eastAsia="Times New Roman" w:hAnsi="Calibri" w:cs="Calibri"/>
          <w:kern w:val="0"/>
          <w14:ligatures w14:val="none"/>
        </w:rPr>
        <w:t xml:space="preserve"> complementary role, offering opportunities for income enhancement. However, the adoption of post-harvest practices remains moderate, with farmers primarily engaging in basic activities such as cleaning, sorting, and grading. The low adoption of pre-cooling, packaging, and improved storage highlights critical gaps in infrastructure, technology, and technical knowledge, contributing to post-harvest losses and reduced product quality.</w:t>
      </w:r>
      <w:r w:rsidR="00CE657C"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 xml:space="preserve">Market participation is largely confined to local and Upazila markets, with limited engagement in higher-level and national markets. This restricted market access, combined with reliance on intermediaries, weak collective marketing, price volatility, and inadequate storage and transportation facilities, significantly constrains farmers’ bargaining power and profitability. </w:t>
      </w:r>
      <w:r w:rsidR="00DA46A4" w:rsidRPr="00426CF0">
        <w:rPr>
          <w:rFonts w:ascii="Calibri" w:eastAsia="Times New Roman" w:hAnsi="Calibri" w:cs="Calibri"/>
          <w:kern w:val="0"/>
          <w14:ligatures w14:val="none"/>
        </w:rPr>
        <w:t xml:space="preserve">Nonetheless, income analysis demonstrates that participation in agricultural markets positively influences household earnings, with profitability varying widely across crops due to differences in production costs, market demand, and value-addition potential. </w:t>
      </w:r>
      <w:r w:rsidRPr="00426CF0">
        <w:rPr>
          <w:rFonts w:ascii="Calibri" w:eastAsia="Times New Roman" w:hAnsi="Calibri" w:cs="Calibri"/>
          <w:kern w:val="0"/>
          <w14:ligatures w14:val="none"/>
        </w:rPr>
        <w:t>Despite these challenges, the study identifies substantial opportunities within the agricultural market system, including rising demand for high-value crops, access to quality inputs, growing participation of yout</w:t>
      </w:r>
      <w:r w:rsidR="00CE657C" w:rsidRPr="00426CF0">
        <w:rPr>
          <w:rFonts w:ascii="Calibri" w:eastAsia="Times New Roman" w:hAnsi="Calibri" w:cs="Calibri"/>
          <w:kern w:val="0"/>
          <w14:ligatures w14:val="none"/>
        </w:rPr>
        <w:t>h</w:t>
      </w:r>
      <w:r w:rsidRPr="00426CF0">
        <w:rPr>
          <w:rFonts w:ascii="Calibri" w:eastAsia="Times New Roman" w:hAnsi="Calibri" w:cs="Calibri"/>
          <w:kern w:val="0"/>
          <w14:ligatures w14:val="none"/>
        </w:rPr>
        <w:t xml:space="preserve"> and women, and increasing availability of technological and digital services. Capitalizing on these opportunities will require coordinated efforts to strengthen farmer organizations, improve post-harvest and market infrastructure, enhance market information systems, and promote value addition and cost-efficient production. Overall, improving market integration and post-harvest management is essential for increasing farm incomes, enhancing resilience, and ensuring sustainable rural livelihoods.</w:t>
      </w:r>
    </w:p>
    <w:p w14:paraId="3CFA000C" w14:textId="77777777" w:rsidR="002F41FD" w:rsidRDefault="002F41FD" w:rsidP="00426CF0">
      <w:pPr>
        <w:spacing w:after="0" w:line="240" w:lineRule="auto"/>
        <w:jc w:val="both"/>
        <w:rPr>
          <w:rFonts w:ascii="Calibri" w:eastAsia="Times New Roman" w:hAnsi="Calibri" w:cs="Calibri"/>
          <w:kern w:val="0"/>
          <w14:ligatures w14:val="none"/>
        </w:rPr>
      </w:pPr>
    </w:p>
    <w:p w14:paraId="74243C58" w14:textId="1E937786" w:rsidR="00DE030C" w:rsidRPr="00426CF0" w:rsidRDefault="00DE030C" w:rsidP="00426CF0">
      <w:pPr>
        <w:spacing w:after="0" w:line="240" w:lineRule="auto"/>
        <w:jc w:val="both"/>
        <w:rPr>
          <w:rFonts w:ascii="Calibri" w:hAnsi="Calibri" w:cs="Calibri"/>
          <w:b/>
        </w:rPr>
      </w:pPr>
      <w:r w:rsidRPr="00426CF0">
        <w:rPr>
          <w:rFonts w:ascii="Calibri" w:hAnsi="Calibri" w:cs="Calibri"/>
          <w:b/>
        </w:rPr>
        <w:t>RECOMMENDATION</w:t>
      </w:r>
    </w:p>
    <w:p w14:paraId="4C33090B" w14:textId="58690F85" w:rsidR="00CE657C" w:rsidRPr="00426CF0" w:rsidRDefault="00CE657C"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Farmers encouraged to diversify into high-value and profitable crops based on market demand and cost–benefit analysis.</w:t>
      </w:r>
    </w:p>
    <w:p w14:paraId="0601246F" w14:textId="7741E393" w:rsidR="00053AEB" w:rsidRPr="00426CF0"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Investments in post-harvest infrastructure, such as storage facilities, pre-cooling units, packaging centers, and improved transportation systems, should be prioritized. </w:t>
      </w:r>
    </w:p>
    <w:p w14:paraId="3A008D85" w14:textId="77777777" w:rsidR="00053AEB" w:rsidRPr="00426CF0"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Strengthening linkages among farmers, traders, processors, exporters, and service providers can expand access to diversified markets. </w:t>
      </w:r>
    </w:p>
    <w:p w14:paraId="28E0C23F" w14:textId="4BC44E4D" w:rsidR="00CE657C" w:rsidRPr="00426CF0" w:rsidRDefault="00CE657C"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Encouraging small-scale agro-processing and value addition, particularly for vegetables and high-value crops, can increase income and reduce price volatility.</w:t>
      </w:r>
    </w:p>
    <w:p w14:paraId="31653039" w14:textId="5185372F" w:rsidR="00053AEB" w:rsidRPr="00426CF0"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Promote inclusive market access and integrate women and youth into market systems and develop platforms to support informed decision-making and equitable opportunities.</w:t>
      </w:r>
    </w:p>
    <w:p w14:paraId="44FCCD85" w14:textId="77777777" w:rsidR="00053AEB" w:rsidRPr="00426CF0" w:rsidRDefault="00053AEB" w:rsidP="00426CF0">
      <w:pPr>
        <w:spacing w:after="0" w:line="240" w:lineRule="auto"/>
        <w:jc w:val="both"/>
        <w:rPr>
          <w:rFonts w:ascii="Calibri" w:hAnsi="Calibri" w:cs="Calibri"/>
          <w:bCs/>
        </w:rPr>
      </w:pPr>
    </w:p>
    <w:p w14:paraId="365FF616" w14:textId="64D55BEF" w:rsidR="00F87D50" w:rsidRPr="00426CF0" w:rsidRDefault="00F87D50" w:rsidP="00426CF0">
      <w:pPr>
        <w:spacing w:after="0" w:line="240" w:lineRule="auto"/>
        <w:jc w:val="both"/>
        <w:rPr>
          <w:rFonts w:ascii="Calibri" w:eastAsia="Times New Roman" w:hAnsi="Calibri" w:cs="Calibri"/>
          <w:b/>
          <w:bCs/>
        </w:rPr>
      </w:pPr>
      <w:r w:rsidRPr="00426CF0">
        <w:rPr>
          <w:rFonts w:ascii="Calibri" w:eastAsia="Times New Roman" w:hAnsi="Calibri" w:cs="Calibri"/>
          <w:b/>
          <w:bCs/>
        </w:rPr>
        <w:t>STUDY LIMITATION:</w:t>
      </w:r>
    </w:p>
    <w:p w14:paraId="1A707632" w14:textId="77777777" w:rsidR="00F87D50" w:rsidRDefault="00F87D50" w:rsidP="00426CF0">
      <w:pPr>
        <w:spacing w:after="0" w:line="240" w:lineRule="auto"/>
        <w:jc w:val="both"/>
        <w:rPr>
          <w:rFonts w:ascii="Calibri" w:eastAsia="Times New Roman" w:hAnsi="Calibri" w:cs="Calibri"/>
        </w:rPr>
      </w:pPr>
      <w:r w:rsidRPr="00426CF0">
        <w:rPr>
          <w:rFonts w:ascii="Calibri" w:eastAsia="Times New Roman" w:hAnsi="Calibri" w:cs="Calibri"/>
        </w:rPr>
        <w:t>The study faced time and resource constraints, which limited the sample size and coverage area. Some respondents provided inconsistent information, possibly due to recall bias or the sensitive nature of production and financial data. Additionally, seasonal variations in crop production and market linkage may have influenced the findings, affecting their sequential representativeness.</w:t>
      </w:r>
    </w:p>
    <w:p w14:paraId="4E2CF152" w14:textId="77777777" w:rsidR="00310FEF" w:rsidRDefault="00310FEF" w:rsidP="00426CF0">
      <w:pPr>
        <w:spacing w:after="0" w:line="240" w:lineRule="auto"/>
        <w:jc w:val="both"/>
        <w:rPr>
          <w:rFonts w:ascii="Calibri" w:eastAsia="Times New Roman" w:hAnsi="Calibri" w:cs="Calibri"/>
        </w:rPr>
      </w:pPr>
    </w:p>
    <w:p w14:paraId="3E88E9B8" w14:textId="77777777" w:rsidR="00F87D50" w:rsidRPr="00426CF0" w:rsidRDefault="00F87D50" w:rsidP="00426CF0">
      <w:pPr>
        <w:spacing w:after="0" w:line="240" w:lineRule="auto"/>
        <w:jc w:val="both"/>
        <w:rPr>
          <w:rFonts w:ascii="Calibri" w:hAnsi="Calibri" w:cs="Calibri"/>
          <w:b/>
        </w:rPr>
      </w:pPr>
      <w:bookmarkStart w:id="0" w:name="_GoBack"/>
      <w:bookmarkEnd w:id="0"/>
    </w:p>
    <w:p w14:paraId="164D9F60" w14:textId="77777777" w:rsidR="00310FEF" w:rsidRPr="003A29C6" w:rsidRDefault="00310FEF" w:rsidP="00310FEF">
      <w:pPr>
        <w:jc w:val="both"/>
        <w:outlineLvl w:val="0"/>
        <w:rPr>
          <w:rFonts w:ascii="Arial" w:hAnsi="Arial" w:cs="Arial"/>
        </w:rPr>
      </w:pPr>
      <w:r w:rsidRPr="003A29C6">
        <w:rPr>
          <w:rFonts w:ascii="Arial" w:hAnsi="Arial" w:cs="Arial"/>
          <w:b/>
          <w:bCs/>
        </w:rPr>
        <w:t>COMPETING INTERESTS DISCLAIMER:</w:t>
      </w:r>
    </w:p>
    <w:p w14:paraId="3AE7DD06" w14:textId="77777777" w:rsidR="00310FEF" w:rsidRDefault="00310FEF" w:rsidP="00310FEF">
      <w:r w:rsidRPr="00A10EDE">
        <w:t>Authors have declared that they have no known competing financial interests OR non-financial interests OR personal relationships that could have appeared to influence the work reported in this paper.</w:t>
      </w:r>
    </w:p>
    <w:p w14:paraId="47EE26A7" w14:textId="77777777" w:rsidR="00310FEF" w:rsidRDefault="00310FEF" w:rsidP="00426CF0">
      <w:pPr>
        <w:pStyle w:val="Default"/>
        <w:jc w:val="both"/>
        <w:rPr>
          <w:rFonts w:ascii="Calibri" w:hAnsi="Calibri" w:cs="Calibri"/>
          <w:b/>
          <w:bCs/>
          <w:color w:val="auto"/>
          <w:sz w:val="22"/>
          <w:szCs w:val="22"/>
        </w:rPr>
      </w:pPr>
    </w:p>
    <w:p w14:paraId="625FD249" w14:textId="7C579B4F"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b/>
          <w:bCs/>
          <w:color w:val="auto"/>
          <w:sz w:val="22"/>
          <w:szCs w:val="22"/>
        </w:rPr>
        <w:t xml:space="preserve">DISCLAIMER (ARTIFICIAL INTELLIGENCE) </w:t>
      </w:r>
    </w:p>
    <w:p w14:paraId="111321B3" w14:textId="77777777"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color w:val="auto"/>
          <w:sz w:val="22"/>
          <w:szCs w:val="22"/>
        </w:rPr>
        <w:lastRenderedPageBreak/>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p>
    <w:p w14:paraId="4CD0763C" w14:textId="77777777" w:rsidR="00C01197" w:rsidRDefault="00C01197" w:rsidP="00426CF0">
      <w:pPr>
        <w:pStyle w:val="Default"/>
        <w:jc w:val="both"/>
        <w:rPr>
          <w:rFonts w:ascii="Calibri" w:hAnsi="Calibri" w:cs="Calibri"/>
          <w:b/>
          <w:bCs/>
          <w:color w:val="auto"/>
          <w:sz w:val="22"/>
          <w:szCs w:val="22"/>
        </w:rPr>
      </w:pPr>
    </w:p>
    <w:p w14:paraId="7D7115A5" w14:textId="146DA144"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b/>
          <w:bCs/>
          <w:color w:val="auto"/>
          <w:sz w:val="22"/>
          <w:szCs w:val="22"/>
        </w:rPr>
        <w:t>DETAILS OF THE AI USAGE ARE GIVEN BELOW:</w:t>
      </w:r>
    </w:p>
    <w:p w14:paraId="7658457D" w14:textId="77777777"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color w:val="auto"/>
          <w:sz w:val="22"/>
          <w:szCs w:val="22"/>
        </w:rPr>
        <w:t xml:space="preserve">This article benefited from grammar correction and language refinement using the free version of ChatGPT, an artificial intelligence tool. </w:t>
      </w:r>
    </w:p>
    <w:p w14:paraId="38A1A357" w14:textId="77777777" w:rsidR="007A409A" w:rsidRPr="00426CF0" w:rsidRDefault="007A409A" w:rsidP="00426CF0">
      <w:pPr>
        <w:spacing w:after="0" w:line="240" w:lineRule="auto"/>
        <w:jc w:val="both"/>
        <w:rPr>
          <w:rFonts w:ascii="Calibri" w:hAnsi="Calibri" w:cs="Calibri"/>
          <w:b/>
        </w:rPr>
      </w:pPr>
    </w:p>
    <w:p w14:paraId="48C8BCD7" w14:textId="77777777" w:rsidR="00680F7D" w:rsidRPr="00426CF0" w:rsidRDefault="00680F7D" w:rsidP="00426CF0">
      <w:pPr>
        <w:spacing w:after="0" w:line="240" w:lineRule="auto"/>
        <w:jc w:val="both"/>
        <w:rPr>
          <w:rFonts w:ascii="Calibri" w:hAnsi="Calibri" w:cs="Calibri"/>
          <w:b/>
          <w:bCs/>
        </w:rPr>
      </w:pPr>
    </w:p>
    <w:p w14:paraId="7D4BA958" w14:textId="5EC1B850" w:rsidR="008D6C69" w:rsidRPr="00426CF0" w:rsidRDefault="008D6C69" w:rsidP="00426CF0">
      <w:pPr>
        <w:spacing w:after="0" w:line="240" w:lineRule="auto"/>
        <w:jc w:val="both"/>
        <w:rPr>
          <w:rFonts w:ascii="Calibri" w:hAnsi="Calibri" w:cs="Calibri"/>
          <w:b/>
          <w:bCs/>
        </w:rPr>
      </w:pPr>
      <w:r w:rsidRPr="00426CF0">
        <w:rPr>
          <w:rFonts w:ascii="Calibri" w:hAnsi="Calibri" w:cs="Calibri"/>
          <w:b/>
          <w:bCs/>
        </w:rPr>
        <w:t>COMPETING INTERESTS</w:t>
      </w:r>
    </w:p>
    <w:p w14:paraId="083D78AB" w14:textId="7D59F93C" w:rsidR="00E41460" w:rsidRPr="00426CF0" w:rsidRDefault="007F6F6E" w:rsidP="00426CF0">
      <w:pPr>
        <w:spacing w:after="0" w:line="240" w:lineRule="auto"/>
        <w:jc w:val="both"/>
        <w:rPr>
          <w:rFonts w:ascii="Calibri" w:hAnsi="Calibri" w:cs="Calibri"/>
          <w:bCs/>
        </w:rPr>
      </w:pPr>
      <w:r w:rsidRPr="00426CF0">
        <w:rPr>
          <w:rFonts w:ascii="Calibri" w:hAnsi="Calibri" w:cs="Calibri"/>
          <w:bCs/>
        </w:rPr>
        <w:t>The author confirms that this study was conducted without any competing interests. Informed consent was obtained from all relevant stakeholders and participating farmers, and no conflicts of interest are present.</w:t>
      </w:r>
    </w:p>
    <w:p w14:paraId="670C8A14" w14:textId="77777777" w:rsidR="007A409A" w:rsidRPr="00426CF0" w:rsidRDefault="007A409A" w:rsidP="00426CF0">
      <w:pPr>
        <w:spacing w:after="0" w:line="240" w:lineRule="auto"/>
        <w:rPr>
          <w:rFonts w:ascii="Calibri" w:hAnsi="Calibri" w:cs="Calibri"/>
          <w:b/>
        </w:rPr>
      </w:pPr>
    </w:p>
    <w:p w14:paraId="7314ACA8" w14:textId="77777777" w:rsidR="00F2163F" w:rsidRPr="00426CF0" w:rsidRDefault="00F2163F" w:rsidP="00426CF0">
      <w:pPr>
        <w:spacing w:after="0" w:line="240" w:lineRule="auto"/>
        <w:jc w:val="both"/>
        <w:rPr>
          <w:rFonts w:ascii="Calibri" w:hAnsi="Calibri" w:cs="Calibri"/>
          <w:b/>
          <w:bCs/>
        </w:rPr>
      </w:pPr>
    </w:p>
    <w:p w14:paraId="394AFA5C" w14:textId="5C5353D9" w:rsidR="00E41460" w:rsidRPr="00426CF0" w:rsidRDefault="00E41460" w:rsidP="00426CF0">
      <w:pPr>
        <w:spacing w:after="0" w:line="240" w:lineRule="auto"/>
        <w:jc w:val="both"/>
        <w:rPr>
          <w:rFonts w:ascii="Calibri" w:hAnsi="Calibri" w:cs="Calibri"/>
          <w:b/>
          <w:bCs/>
        </w:rPr>
      </w:pPr>
      <w:r w:rsidRPr="00426CF0">
        <w:rPr>
          <w:rFonts w:ascii="Calibri" w:hAnsi="Calibri" w:cs="Calibri"/>
          <w:b/>
          <w:bCs/>
        </w:rPr>
        <w:t>REFERENCES</w:t>
      </w:r>
    </w:p>
    <w:p w14:paraId="31379DA7" w14:textId="74D2AF48" w:rsidR="003A1885" w:rsidRPr="003A1885" w:rsidRDefault="000632B1" w:rsidP="003A1885">
      <w:pPr>
        <w:spacing w:after="0" w:line="240" w:lineRule="auto"/>
        <w:ind w:left="720" w:hanging="720"/>
        <w:jc w:val="both"/>
        <w:rPr>
          <w:rStyle w:val="Hyperlink"/>
          <w:rFonts w:ascii="Calibri" w:hAnsi="Calibri" w:cs="Calibri"/>
          <w:color w:val="auto"/>
          <w:shd w:val="clear" w:color="auto" w:fill="FFFFFF"/>
        </w:rPr>
      </w:pPr>
      <w:r w:rsidRPr="003A1885">
        <w:rPr>
          <w:rFonts w:ascii="Calibri" w:hAnsi="Calibri" w:cs="Calibri"/>
          <w:shd w:val="clear" w:color="auto" w:fill="FFFFFF"/>
        </w:rPr>
        <w:t xml:space="preserve">Aggarwal, S., Giera, B., Jeong, D., Robinson, J., and </w:t>
      </w:r>
      <w:proofErr w:type="spellStart"/>
      <w:r w:rsidRPr="003A1885">
        <w:rPr>
          <w:rFonts w:ascii="Calibri" w:hAnsi="Calibri" w:cs="Calibri"/>
          <w:shd w:val="clear" w:color="auto" w:fill="FFFFFF"/>
        </w:rPr>
        <w:t>Spearot</w:t>
      </w:r>
      <w:proofErr w:type="spellEnd"/>
      <w:r w:rsidRPr="003A1885">
        <w:rPr>
          <w:rFonts w:ascii="Calibri" w:hAnsi="Calibri" w:cs="Calibri"/>
          <w:shd w:val="clear" w:color="auto" w:fill="FFFFFF"/>
        </w:rPr>
        <w:t>, A., 2024. Market access, trade costs, and technology adoption: Evidence from northern Tanzania. </w:t>
      </w:r>
      <w:r w:rsidRPr="003A1885">
        <w:rPr>
          <w:rFonts w:ascii="Calibri" w:hAnsi="Calibri" w:cs="Calibri"/>
          <w:i/>
          <w:iCs/>
          <w:shd w:val="clear" w:color="auto" w:fill="FFFFFF"/>
        </w:rPr>
        <w:t>Review of Economics and Statistics</w:t>
      </w:r>
      <w:r w:rsidRPr="003A1885">
        <w:rPr>
          <w:rFonts w:ascii="Calibri" w:hAnsi="Calibri" w:cs="Calibri"/>
          <w:shd w:val="clear" w:color="auto" w:fill="FFFFFF"/>
        </w:rPr>
        <w:t>, </w:t>
      </w:r>
      <w:r w:rsidRPr="003A1885">
        <w:rPr>
          <w:rFonts w:ascii="Calibri" w:hAnsi="Calibri" w:cs="Calibri"/>
          <w:i/>
          <w:iCs/>
          <w:shd w:val="clear" w:color="auto" w:fill="FFFFFF"/>
        </w:rPr>
        <w:t>106</w:t>
      </w:r>
      <w:r w:rsidRPr="003A1885">
        <w:rPr>
          <w:rFonts w:ascii="Calibri" w:hAnsi="Calibri" w:cs="Calibri"/>
          <w:shd w:val="clear" w:color="auto" w:fill="FFFFFF"/>
        </w:rPr>
        <w:t>(6), pp.1511-1528.</w:t>
      </w:r>
      <w:r w:rsidR="003A1885">
        <w:rPr>
          <w:rFonts w:ascii="Calibri" w:hAnsi="Calibri" w:cs="Calibri"/>
          <w:shd w:val="clear" w:color="auto" w:fill="FFFFFF"/>
        </w:rPr>
        <w:t xml:space="preserve"> </w:t>
      </w:r>
      <w:hyperlink r:id="rId10" w:history="1">
        <w:r w:rsidR="003A1885" w:rsidRPr="00540287">
          <w:rPr>
            <w:rStyle w:val="Hyperlink"/>
            <w:rFonts w:ascii="Calibri" w:hAnsi="Calibri" w:cs="Calibri"/>
            <w:shd w:val="clear" w:color="auto" w:fill="FFFFFF"/>
          </w:rPr>
          <w:t>https://doi.org/10.1162/rest_a_01263</w:t>
        </w:r>
      </w:hyperlink>
    </w:p>
    <w:p w14:paraId="6C78ABE8" w14:textId="3421950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Ahamed, M.S., Palash, M.S., Hasan, M.M., Farhad, M. and Hossain, M.S.R., 2024. MARKET DYNAMICS AND GRADING CHALLENGES OF MAIZE IN BANGLADESH: A CASE STUDY OF RANGPUR. </w:t>
      </w:r>
      <w:r w:rsidRPr="00426CF0">
        <w:rPr>
          <w:rFonts w:ascii="Calibri" w:hAnsi="Calibri" w:cs="Calibri"/>
          <w:i/>
          <w:iCs/>
          <w:sz w:val="22"/>
          <w:szCs w:val="22"/>
          <w:shd w:val="clear" w:color="auto" w:fill="FFFFFF"/>
        </w:rPr>
        <w:t>The Bangladesh Journal of Agricultural Economics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45</w:t>
      </w:r>
      <w:r w:rsidRPr="00426CF0">
        <w:rPr>
          <w:rFonts w:ascii="Calibri" w:hAnsi="Calibri" w:cs="Calibri"/>
          <w:sz w:val="22"/>
          <w:szCs w:val="22"/>
          <w:shd w:val="clear" w:color="auto" w:fill="FFFFFF"/>
        </w:rPr>
        <w:t>(1&amp;2), pp.33-46.</w:t>
      </w:r>
      <w:r w:rsidR="003A1885">
        <w:rPr>
          <w:rFonts w:ascii="Calibri" w:hAnsi="Calibri" w:cs="Calibri"/>
          <w:sz w:val="22"/>
          <w:szCs w:val="22"/>
          <w:shd w:val="clear" w:color="auto" w:fill="FFFFFF"/>
        </w:rPr>
        <w:t xml:space="preserve"> </w:t>
      </w:r>
      <w:hyperlink r:id="rId11" w:history="1">
        <w:r w:rsidR="003A1885" w:rsidRPr="00540287">
          <w:rPr>
            <w:rStyle w:val="Hyperlink"/>
            <w:rFonts w:ascii="Calibri" w:hAnsi="Calibri" w:cs="Calibri"/>
            <w:sz w:val="22"/>
            <w:szCs w:val="22"/>
          </w:rPr>
          <w:t>https://doi.org/10.70133/bjae.2024.487</w:t>
        </w:r>
      </w:hyperlink>
    </w:p>
    <w:p w14:paraId="6C67D52B" w14:textId="5767264A"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u w:val="none"/>
        </w:rPr>
      </w:pPr>
      <w:r w:rsidRPr="00426CF0">
        <w:rPr>
          <w:rFonts w:ascii="Calibri" w:hAnsi="Calibri" w:cs="Calibri"/>
          <w:sz w:val="22"/>
          <w:szCs w:val="22"/>
          <w:shd w:val="clear" w:color="auto" w:fill="FFFFFF"/>
        </w:rPr>
        <w:t xml:space="preserve">Ahmed, Z., Kadir, A., Alam, R. and </w:t>
      </w:r>
      <w:proofErr w:type="spellStart"/>
      <w:r w:rsidRPr="00426CF0">
        <w:rPr>
          <w:rFonts w:ascii="Calibri" w:hAnsi="Calibri" w:cs="Calibri"/>
          <w:sz w:val="22"/>
          <w:szCs w:val="22"/>
          <w:shd w:val="clear" w:color="auto" w:fill="FFFFFF"/>
        </w:rPr>
        <w:t>Laskor</w:t>
      </w:r>
      <w:proofErr w:type="spellEnd"/>
      <w:r w:rsidRPr="00426CF0">
        <w:rPr>
          <w:rFonts w:ascii="Calibri" w:hAnsi="Calibri" w:cs="Calibri"/>
          <w:sz w:val="22"/>
          <w:szCs w:val="22"/>
          <w:shd w:val="clear" w:color="auto" w:fill="FFFFFF"/>
        </w:rPr>
        <w:t>, M.A.H., 2025. The impact of staple crop price instability and fragmented policy on food security and sustainable development: a case study from Bangladesh. </w:t>
      </w:r>
      <w:r w:rsidRPr="00426CF0">
        <w:rPr>
          <w:rFonts w:ascii="Calibri" w:hAnsi="Calibri" w:cs="Calibri"/>
          <w:i/>
          <w:iCs/>
          <w:sz w:val="22"/>
          <w:szCs w:val="22"/>
          <w:shd w:val="clear" w:color="auto" w:fill="FFFFFF"/>
        </w:rPr>
        <w:t>Discover Sustainability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6</w:t>
      </w:r>
      <w:r w:rsidRPr="00426CF0">
        <w:rPr>
          <w:rFonts w:ascii="Calibri" w:hAnsi="Calibri" w:cs="Calibri"/>
          <w:sz w:val="22"/>
          <w:szCs w:val="22"/>
          <w:shd w:val="clear" w:color="auto" w:fill="FFFFFF"/>
        </w:rPr>
        <w:t>(1), p.79.</w:t>
      </w:r>
      <w:r w:rsidR="003A1885">
        <w:rPr>
          <w:rFonts w:ascii="Calibri" w:hAnsi="Calibri" w:cs="Calibri"/>
          <w:sz w:val="22"/>
          <w:szCs w:val="22"/>
          <w:shd w:val="clear" w:color="auto" w:fill="FFFFFF"/>
        </w:rPr>
        <w:t xml:space="preserve"> </w:t>
      </w:r>
      <w:hyperlink r:id="rId12" w:history="1">
        <w:r w:rsidR="003A1885" w:rsidRPr="00540287">
          <w:rPr>
            <w:rStyle w:val="Hyperlink"/>
            <w:rFonts w:ascii="Calibri" w:hAnsi="Calibri" w:cs="Calibri"/>
            <w:sz w:val="22"/>
            <w:szCs w:val="22"/>
            <w:shd w:val="clear" w:color="auto" w:fill="FFFFFF"/>
          </w:rPr>
          <w:t>https://doi.org/10.1007/s43621-025-00878-7</w:t>
        </w:r>
      </w:hyperlink>
    </w:p>
    <w:p w14:paraId="6669D66B" w14:textId="009D4A56"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rPr>
      </w:pPr>
      <w:r w:rsidRPr="00426CF0">
        <w:rPr>
          <w:rFonts w:ascii="Calibri" w:hAnsi="Calibri" w:cs="Calibri"/>
          <w:sz w:val="22"/>
          <w:szCs w:val="22"/>
        </w:rPr>
        <w:t xml:space="preserve">Akter, K., and Sabur, S. A. (2022). Post-harvest losses along the supply chain of potato in Bangladesh: A micro-level study. </w:t>
      </w:r>
      <w:r w:rsidRPr="00426CF0">
        <w:rPr>
          <w:rStyle w:val="Emphasis"/>
          <w:rFonts w:ascii="Calibri" w:eastAsiaTheme="majorEastAsia" w:hAnsi="Calibri" w:cs="Calibri"/>
          <w:sz w:val="22"/>
          <w:szCs w:val="22"/>
        </w:rPr>
        <w:t>European Journal of Agriculture and Food Sciences</w:t>
      </w:r>
      <w:r w:rsidRPr="00426CF0">
        <w:rPr>
          <w:rFonts w:ascii="Calibri" w:hAnsi="Calibri" w:cs="Calibri"/>
          <w:sz w:val="22"/>
          <w:szCs w:val="22"/>
        </w:rPr>
        <w:t>.</w:t>
      </w:r>
      <w:r w:rsidR="003A1885">
        <w:rPr>
          <w:rFonts w:ascii="Calibri" w:hAnsi="Calibri" w:cs="Calibri"/>
          <w:sz w:val="22"/>
          <w:szCs w:val="22"/>
        </w:rPr>
        <w:t xml:space="preserve"> </w:t>
      </w:r>
      <w:hyperlink r:id="rId13" w:history="1">
        <w:r w:rsidR="003A1885" w:rsidRPr="00540287">
          <w:rPr>
            <w:rStyle w:val="Hyperlink"/>
            <w:rFonts w:ascii="Calibri" w:hAnsi="Calibri" w:cs="Calibri"/>
            <w:sz w:val="22"/>
            <w:szCs w:val="22"/>
          </w:rPr>
          <w:t>https://doi.org/10.24018/ejfood.2022.4.2.451</w:t>
        </w:r>
      </w:hyperlink>
    </w:p>
    <w:p w14:paraId="0553B432" w14:textId="61E31D66"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Alam, M.M., Shaba, S. and Ashik-Uz-Zaman, S.M., 2025. What does matter most for farmers’ choice of marketing channels? Evidence from coastal Bangladesh. </w:t>
      </w:r>
      <w:r w:rsidRPr="003A1885">
        <w:rPr>
          <w:rFonts w:ascii="Calibri" w:hAnsi="Calibri" w:cs="Calibri"/>
          <w:i/>
          <w:iCs/>
          <w:shd w:val="clear" w:color="auto" w:fill="FFFFFF"/>
        </w:rPr>
        <w:t>Journal of Agriculture, Food Systems, and Community Development</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(2), pp.483-497.</w:t>
      </w:r>
      <w:r w:rsidR="003A1885">
        <w:rPr>
          <w:rFonts w:ascii="Calibri" w:hAnsi="Calibri" w:cs="Calibri"/>
          <w:shd w:val="clear" w:color="auto" w:fill="FFFFFF"/>
        </w:rPr>
        <w:t xml:space="preserve"> </w:t>
      </w:r>
      <w:hyperlink r:id="rId14" w:history="1">
        <w:r w:rsidR="003A1885" w:rsidRPr="00540287">
          <w:rPr>
            <w:rStyle w:val="Hyperlink"/>
            <w:rFonts w:ascii="Calibri" w:hAnsi="Calibri" w:cs="Calibri"/>
            <w:shd w:val="clear" w:color="auto" w:fill="FFFFFF"/>
          </w:rPr>
          <w:t>https://doi.org/10.5304/jafscd.2025.142.032</w:t>
        </w:r>
      </w:hyperlink>
    </w:p>
    <w:p w14:paraId="77349629" w14:textId="49349402"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u w:val="none"/>
        </w:rPr>
      </w:pPr>
      <w:proofErr w:type="spellStart"/>
      <w:r w:rsidRPr="00426CF0">
        <w:rPr>
          <w:rFonts w:ascii="Calibri" w:hAnsi="Calibri" w:cs="Calibri"/>
          <w:sz w:val="22"/>
          <w:szCs w:val="22"/>
          <w:shd w:val="clear" w:color="auto" w:fill="FFFFFF"/>
        </w:rPr>
        <w:t>Alam</w:t>
      </w:r>
      <w:proofErr w:type="spellEnd"/>
      <w:r w:rsidRPr="00426CF0">
        <w:rPr>
          <w:rFonts w:ascii="Calibri" w:hAnsi="Calibri" w:cs="Calibri"/>
          <w:sz w:val="22"/>
          <w:szCs w:val="22"/>
          <w:shd w:val="clear" w:color="auto" w:fill="FFFFFF"/>
        </w:rPr>
        <w:t xml:space="preserve">, M.M., </w:t>
      </w:r>
      <w:proofErr w:type="spellStart"/>
      <w:r w:rsidRPr="00426CF0">
        <w:rPr>
          <w:rFonts w:ascii="Calibri" w:hAnsi="Calibri" w:cs="Calibri"/>
          <w:sz w:val="22"/>
          <w:szCs w:val="22"/>
          <w:shd w:val="clear" w:color="auto" w:fill="FFFFFF"/>
        </w:rPr>
        <w:t>Tikadar</w:t>
      </w:r>
      <w:proofErr w:type="spellEnd"/>
      <w:r w:rsidRPr="00426CF0">
        <w:rPr>
          <w:rFonts w:ascii="Calibri" w:hAnsi="Calibri" w:cs="Calibri"/>
          <w:sz w:val="22"/>
          <w:szCs w:val="22"/>
          <w:shd w:val="clear" w:color="auto" w:fill="FFFFFF"/>
        </w:rPr>
        <w:t>, K.K., Hasan, N.A., Akter, R., Bashar, A., Ahammad, A.S., Rahman, M.M., Alam, M.R. and Haque, M.M., 2022. Economic viability and seasonal impacts of integrated rice-prawn-vegetable farming on agricultural households in Southwest Bangladesh. </w:t>
      </w:r>
      <w:r w:rsidRPr="00426CF0">
        <w:rPr>
          <w:rFonts w:ascii="Calibri" w:hAnsi="Calibri" w:cs="Calibri"/>
          <w:i/>
          <w:iCs/>
          <w:sz w:val="22"/>
          <w:szCs w:val="22"/>
          <w:shd w:val="clear" w:color="auto" w:fill="FFFFFF"/>
        </w:rPr>
        <w:t>Water</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14</w:t>
      </w:r>
      <w:r w:rsidRPr="00426CF0">
        <w:rPr>
          <w:rFonts w:ascii="Calibri" w:hAnsi="Calibri" w:cs="Calibri"/>
          <w:sz w:val="22"/>
          <w:szCs w:val="22"/>
          <w:shd w:val="clear" w:color="auto" w:fill="FFFFFF"/>
        </w:rPr>
        <w:t>(17), p.2756.</w:t>
      </w:r>
      <w:r w:rsidR="003A1885">
        <w:rPr>
          <w:rFonts w:ascii="Calibri" w:hAnsi="Calibri" w:cs="Calibri"/>
          <w:sz w:val="22"/>
          <w:szCs w:val="22"/>
          <w:shd w:val="clear" w:color="auto" w:fill="FFFFFF"/>
        </w:rPr>
        <w:t xml:space="preserve"> </w:t>
      </w:r>
      <w:hyperlink r:id="rId15" w:history="1">
        <w:r w:rsidR="003A1885" w:rsidRPr="00540287">
          <w:rPr>
            <w:rStyle w:val="Hyperlink"/>
            <w:rFonts w:ascii="Calibri" w:hAnsi="Calibri" w:cs="Calibri"/>
            <w:bCs/>
            <w:sz w:val="22"/>
            <w:szCs w:val="22"/>
            <w:shd w:val="clear" w:color="auto" w:fill="FFFFFF"/>
          </w:rPr>
          <w:t>https://doi.org/10.3390/w14172756</w:t>
        </w:r>
      </w:hyperlink>
    </w:p>
    <w:p w14:paraId="3771A558" w14:textId="7FF87DD7"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Ali, H., Belton, B., Haque, M.M., Hernandez, R., Murshed-e-Jahan, K., Ignowski, L. and Reardon, T., 2025. Wholesalers and the transformation of the “hidden middle” of the aquaculture value chain in Bangladesh. </w:t>
      </w:r>
      <w:r w:rsidRPr="00426CF0">
        <w:rPr>
          <w:rFonts w:ascii="Calibri" w:hAnsi="Calibri" w:cs="Calibri"/>
          <w:i/>
          <w:iCs/>
          <w:sz w:val="22"/>
          <w:szCs w:val="22"/>
          <w:shd w:val="clear" w:color="auto" w:fill="FFFFFF"/>
        </w:rPr>
        <w:t>Food Security</w:t>
      </w:r>
      <w:r w:rsidRPr="00426CF0">
        <w:rPr>
          <w:rFonts w:ascii="Calibri" w:hAnsi="Calibri" w:cs="Calibri"/>
          <w:sz w:val="22"/>
          <w:szCs w:val="22"/>
          <w:shd w:val="clear" w:color="auto" w:fill="FFFFFF"/>
        </w:rPr>
        <w:t>, pp.1-24.</w:t>
      </w:r>
      <w:r w:rsidR="003A1885">
        <w:rPr>
          <w:rFonts w:ascii="Calibri" w:hAnsi="Calibri" w:cs="Calibri"/>
          <w:sz w:val="22"/>
          <w:szCs w:val="22"/>
          <w:shd w:val="clear" w:color="auto" w:fill="FFFFFF"/>
        </w:rPr>
        <w:t xml:space="preserve"> </w:t>
      </w:r>
      <w:hyperlink r:id="rId16" w:history="1">
        <w:r w:rsidR="003A1885" w:rsidRPr="00540287">
          <w:rPr>
            <w:rStyle w:val="Hyperlink"/>
            <w:rFonts w:ascii="Calibri" w:hAnsi="Calibri" w:cs="Calibri"/>
            <w:sz w:val="22"/>
            <w:szCs w:val="22"/>
            <w:shd w:val="clear" w:color="auto" w:fill="FFFFFF"/>
          </w:rPr>
          <w:t>https://doi.org/10.1007/s12571-025-01605-w</w:t>
        </w:r>
      </w:hyperlink>
    </w:p>
    <w:p w14:paraId="1DE103F4" w14:textId="04012030"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 xml:space="preserve">Bairagi, S. and </w:t>
      </w:r>
      <w:proofErr w:type="spellStart"/>
      <w:r w:rsidRPr="00426CF0">
        <w:rPr>
          <w:rFonts w:ascii="Calibri" w:hAnsi="Calibri" w:cs="Calibri"/>
          <w:sz w:val="22"/>
          <w:szCs w:val="22"/>
          <w:shd w:val="clear" w:color="auto" w:fill="FFFFFF"/>
        </w:rPr>
        <w:t>Mottaleb</w:t>
      </w:r>
      <w:proofErr w:type="spellEnd"/>
      <w:r w:rsidRPr="00426CF0">
        <w:rPr>
          <w:rFonts w:ascii="Calibri" w:hAnsi="Calibri" w:cs="Calibri"/>
          <w:sz w:val="22"/>
          <w:szCs w:val="22"/>
          <w:shd w:val="clear" w:color="auto" w:fill="FFFFFF"/>
        </w:rPr>
        <w:t>, K.A., 2021. Participation in farmers' organization and production efficiency: empirical evidence from smallholder farmers in Bangladesh. </w:t>
      </w:r>
      <w:r w:rsidRPr="00426CF0">
        <w:rPr>
          <w:rFonts w:ascii="Calibri" w:hAnsi="Calibri" w:cs="Calibri"/>
          <w:i/>
          <w:iCs/>
          <w:sz w:val="22"/>
          <w:szCs w:val="22"/>
          <w:shd w:val="clear" w:color="auto" w:fill="FFFFFF"/>
        </w:rPr>
        <w:t>Journal of Agribusiness in Developing and Emerging Economies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11</w:t>
      </w:r>
      <w:r w:rsidRPr="00426CF0">
        <w:rPr>
          <w:rFonts w:ascii="Calibri" w:hAnsi="Calibri" w:cs="Calibri"/>
          <w:sz w:val="22"/>
          <w:szCs w:val="22"/>
          <w:shd w:val="clear" w:color="auto" w:fill="FFFFFF"/>
        </w:rPr>
        <w:t>(2), pp.73-87.</w:t>
      </w:r>
      <w:r w:rsidR="003A1885">
        <w:rPr>
          <w:rFonts w:ascii="Calibri" w:hAnsi="Calibri" w:cs="Calibri"/>
          <w:sz w:val="22"/>
          <w:szCs w:val="22"/>
          <w:shd w:val="clear" w:color="auto" w:fill="FFFFFF"/>
        </w:rPr>
        <w:t xml:space="preserve"> </w:t>
      </w:r>
      <w:hyperlink r:id="rId17" w:history="1">
        <w:r w:rsidR="003A1885" w:rsidRPr="00540287">
          <w:rPr>
            <w:rStyle w:val="Hyperlink"/>
            <w:rFonts w:ascii="Calibri" w:hAnsi="Calibri" w:cs="Calibri"/>
            <w:sz w:val="22"/>
            <w:szCs w:val="22"/>
            <w:shd w:val="clear" w:color="auto" w:fill="FFFFFF"/>
          </w:rPr>
          <w:t>https://doi.org/10.1108/JADEE-09-2020-0203</w:t>
        </w:r>
      </w:hyperlink>
    </w:p>
    <w:p w14:paraId="5C615918" w14:textId="61893DC7"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Begum, S., </w:t>
      </w:r>
      <w:proofErr w:type="spellStart"/>
      <w:r w:rsidRPr="003A1885">
        <w:rPr>
          <w:rFonts w:ascii="Calibri" w:hAnsi="Calibri" w:cs="Calibri"/>
        </w:rPr>
        <w:t>Acharjee</w:t>
      </w:r>
      <w:proofErr w:type="spellEnd"/>
      <w:r w:rsidRPr="003A1885">
        <w:rPr>
          <w:rFonts w:ascii="Calibri" w:hAnsi="Calibri" w:cs="Calibri"/>
        </w:rPr>
        <w:t>, D.C., Gosh, K., Amin, M.R., Anik, A.R. &amp; Alam, G.M.M., 2025. Unlocking maize (Zea mays) potential: exploring profitability and marketing efficiency in Bangladesh’s char land areas. Annals of Bangladesh Agriculture, 28(1), pp.61–77.</w:t>
      </w:r>
      <w:r w:rsidR="003A1885">
        <w:rPr>
          <w:rFonts w:ascii="Calibri" w:hAnsi="Calibri" w:cs="Calibri"/>
        </w:rPr>
        <w:t xml:space="preserve"> </w:t>
      </w:r>
      <w:hyperlink r:id="rId18" w:history="1">
        <w:r w:rsidR="003A1885" w:rsidRPr="00540287">
          <w:rPr>
            <w:rStyle w:val="Hyperlink"/>
            <w:rFonts w:ascii="Calibri" w:hAnsi="Calibri" w:cs="Calibri"/>
          </w:rPr>
          <w:t>https://doi.org/10.3329/aba.v28i1.81431</w:t>
        </w:r>
      </w:hyperlink>
    </w:p>
    <w:p w14:paraId="1DA3C311" w14:textId="5398947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lastRenderedPageBreak/>
        <w:t>Bipu, P.S., Salam, S. and Deb, M., 2026. Economic viability and value chain analysis of summer tomato production in some selected areas of Bangladesh. </w:t>
      </w:r>
      <w:r w:rsidRPr="00426CF0">
        <w:rPr>
          <w:rFonts w:ascii="Calibri" w:hAnsi="Calibri" w:cs="Calibri"/>
          <w:i/>
          <w:iCs/>
          <w:sz w:val="22"/>
          <w:szCs w:val="22"/>
          <w:shd w:val="clear" w:color="auto" w:fill="FFFFFF"/>
        </w:rPr>
        <w:t>Sustainable Futures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11</w:t>
      </w:r>
      <w:r w:rsidRPr="00426CF0">
        <w:rPr>
          <w:rFonts w:ascii="Calibri" w:hAnsi="Calibri" w:cs="Calibri"/>
          <w:sz w:val="22"/>
          <w:szCs w:val="22"/>
          <w:shd w:val="clear" w:color="auto" w:fill="FFFFFF"/>
        </w:rPr>
        <w:t>, p.101659.</w:t>
      </w:r>
      <w:r w:rsidR="003A1885">
        <w:rPr>
          <w:rFonts w:ascii="Calibri" w:hAnsi="Calibri" w:cs="Calibri"/>
          <w:sz w:val="22"/>
          <w:szCs w:val="22"/>
          <w:shd w:val="clear" w:color="auto" w:fill="FFFFFF"/>
        </w:rPr>
        <w:t xml:space="preserve"> </w:t>
      </w:r>
      <w:hyperlink r:id="rId19" w:history="1">
        <w:r w:rsidR="003A1885" w:rsidRPr="00540287">
          <w:rPr>
            <w:rStyle w:val="Hyperlink"/>
            <w:rFonts w:ascii="Calibri" w:hAnsi="Calibri" w:cs="Calibri"/>
            <w:sz w:val="22"/>
            <w:szCs w:val="22"/>
            <w:shd w:val="clear" w:color="auto" w:fill="FFFFFF"/>
          </w:rPr>
          <w:t>https://doi.org/10.1016/j.sftr.2026.101659</w:t>
        </w:r>
      </w:hyperlink>
    </w:p>
    <w:p w14:paraId="2E7F1262" w14:textId="7E8DB81E"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 xml:space="preserve">Biswas, R.U.M.A.N.A., Mou, A.T., Yasmin, A., </w:t>
      </w:r>
      <w:proofErr w:type="spellStart"/>
      <w:r w:rsidRPr="003A1885">
        <w:rPr>
          <w:rFonts w:ascii="Calibri" w:hAnsi="Calibri" w:cs="Calibri"/>
          <w:shd w:val="clear" w:color="auto" w:fill="FFFFFF"/>
        </w:rPr>
        <w:t>Zonayet</w:t>
      </w:r>
      <w:proofErr w:type="spellEnd"/>
      <w:r w:rsidRPr="003A1885">
        <w:rPr>
          <w:rFonts w:ascii="Calibri" w:hAnsi="Calibri" w:cs="Calibri"/>
          <w:shd w:val="clear" w:color="auto" w:fill="FFFFFF"/>
        </w:rPr>
        <w:t>, M. and Hossain, N.A.H.I.D., 2022. Women participation in agriculture of Bangladesh. </w:t>
      </w:r>
      <w:r w:rsidRPr="003A1885">
        <w:rPr>
          <w:rFonts w:ascii="Calibri" w:hAnsi="Calibri" w:cs="Calibri"/>
          <w:i/>
          <w:iCs/>
          <w:shd w:val="clear" w:color="auto" w:fill="FFFFFF"/>
        </w:rPr>
        <w:t>Journal of Global Economics, Management and Business Research</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(2), pp.30-39.</w:t>
      </w:r>
      <w:r w:rsidR="003A1885">
        <w:rPr>
          <w:rFonts w:ascii="Calibri" w:hAnsi="Calibri" w:cs="Calibri"/>
          <w:shd w:val="clear" w:color="auto" w:fill="FFFFFF"/>
        </w:rPr>
        <w:t xml:space="preserve"> </w:t>
      </w:r>
      <w:hyperlink r:id="rId20"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rPr>
          <w:t>10.56557/JGEMBR/2022/v14i27933</w:t>
        </w:r>
      </w:hyperlink>
    </w:p>
    <w:p w14:paraId="5BF0FDB6" w14:textId="650C23F1"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Emran, S.A., </w:t>
      </w:r>
      <w:proofErr w:type="spellStart"/>
      <w:r w:rsidRPr="003A1885">
        <w:rPr>
          <w:rFonts w:ascii="Calibri" w:hAnsi="Calibri" w:cs="Calibri"/>
          <w:shd w:val="clear" w:color="auto" w:fill="FFFFFF"/>
        </w:rPr>
        <w:t>Krupnik</w:t>
      </w:r>
      <w:proofErr w:type="spellEnd"/>
      <w:r w:rsidRPr="003A1885">
        <w:rPr>
          <w:rFonts w:ascii="Calibri" w:hAnsi="Calibri" w:cs="Calibri"/>
          <w:shd w:val="clear" w:color="auto" w:fill="FFFFFF"/>
        </w:rPr>
        <w:t xml:space="preserve">, T.J., </w:t>
      </w:r>
      <w:proofErr w:type="spellStart"/>
      <w:r w:rsidRPr="003A1885">
        <w:rPr>
          <w:rFonts w:ascii="Calibri" w:hAnsi="Calibri" w:cs="Calibri"/>
          <w:shd w:val="clear" w:color="auto" w:fill="FFFFFF"/>
        </w:rPr>
        <w:t>Aravindakshan</w:t>
      </w:r>
      <w:proofErr w:type="spellEnd"/>
      <w:r w:rsidRPr="003A1885">
        <w:rPr>
          <w:rFonts w:ascii="Calibri" w:hAnsi="Calibri" w:cs="Calibri"/>
          <w:shd w:val="clear" w:color="auto" w:fill="FFFFFF"/>
        </w:rPr>
        <w:t>, S., Kumar, V. and Pittelkow, C.M., 2021. Factors contributing to farm-level productivity and household income generation in coastal Bangladesh’s rice-based farming systems. </w:t>
      </w:r>
      <w:proofErr w:type="spellStart"/>
      <w:r w:rsidRPr="003A1885">
        <w:rPr>
          <w:rFonts w:ascii="Calibri" w:hAnsi="Calibri" w:cs="Calibri"/>
          <w:i/>
          <w:iCs/>
          <w:shd w:val="clear" w:color="auto" w:fill="FFFFFF"/>
        </w:rPr>
        <w:t>PloS</w:t>
      </w:r>
      <w:proofErr w:type="spellEnd"/>
      <w:r w:rsidRPr="003A1885">
        <w:rPr>
          <w:rFonts w:ascii="Calibri" w:hAnsi="Calibri" w:cs="Calibri"/>
          <w:i/>
          <w:iCs/>
          <w:shd w:val="clear" w:color="auto" w:fill="FFFFFF"/>
        </w:rPr>
        <w:t xml:space="preserve"> one</w:t>
      </w:r>
      <w:r w:rsidRPr="003A1885">
        <w:rPr>
          <w:rFonts w:ascii="Calibri" w:hAnsi="Calibri" w:cs="Calibri"/>
          <w:shd w:val="clear" w:color="auto" w:fill="FFFFFF"/>
        </w:rPr>
        <w:t>, </w:t>
      </w:r>
      <w:r w:rsidRPr="003A1885">
        <w:rPr>
          <w:rFonts w:ascii="Calibri" w:hAnsi="Calibri" w:cs="Calibri"/>
          <w:i/>
          <w:iCs/>
          <w:shd w:val="clear" w:color="auto" w:fill="FFFFFF"/>
        </w:rPr>
        <w:t>16</w:t>
      </w:r>
      <w:r w:rsidRPr="003A1885">
        <w:rPr>
          <w:rFonts w:ascii="Calibri" w:hAnsi="Calibri" w:cs="Calibri"/>
          <w:shd w:val="clear" w:color="auto" w:fill="FFFFFF"/>
        </w:rPr>
        <w:t>(9), p.e0256694.</w:t>
      </w:r>
      <w:r w:rsidR="003A1885">
        <w:rPr>
          <w:rFonts w:ascii="Calibri" w:hAnsi="Calibri" w:cs="Calibri"/>
          <w:shd w:val="clear" w:color="auto" w:fill="FFFFFF"/>
        </w:rPr>
        <w:t xml:space="preserve"> </w:t>
      </w:r>
      <w:hyperlink r:id="rId21" w:history="1">
        <w:r w:rsidR="003A1885" w:rsidRPr="00540287">
          <w:rPr>
            <w:rStyle w:val="Hyperlink"/>
            <w:rFonts w:ascii="Calibri" w:hAnsi="Calibri" w:cs="Calibri"/>
            <w:shd w:val="clear" w:color="auto" w:fill="FFFFFF"/>
          </w:rPr>
          <w:t>https://doi.org/10.1371/journal.pone.0256694</w:t>
        </w:r>
      </w:hyperlink>
    </w:p>
    <w:p w14:paraId="47420D3A" w14:textId="6AE4238A"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Goffar, M. A., Bashar, M. A., &amp; Rahman, M. M. (2025). </w:t>
      </w:r>
      <w:r w:rsidRPr="003A1885">
        <w:rPr>
          <w:rFonts w:ascii="Calibri" w:hAnsi="Calibri" w:cs="Calibri"/>
          <w:i/>
          <w:iCs/>
        </w:rPr>
        <w:t>Agricultural value chain financing and its impact on rural development</w:t>
      </w:r>
      <w:r w:rsidRPr="003A1885">
        <w:rPr>
          <w:rFonts w:ascii="Calibri" w:hAnsi="Calibri" w:cs="Calibri"/>
        </w:rPr>
        <w:t>. SAARC Journal of Agriculture, 23(1), 224–236.</w:t>
      </w:r>
      <w:r w:rsidR="003A1885">
        <w:rPr>
          <w:rFonts w:ascii="Calibri" w:hAnsi="Calibri" w:cs="Calibri"/>
        </w:rPr>
        <w:t xml:space="preserve"> </w:t>
      </w:r>
      <w:hyperlink r:id="rId22" w:history="1">
        <w:r w:rsidR="003A1885" w:rsidRPr="00540287">
          <w:rPr>
            <w:rStyle w:val="Hyperlink"/>
            <w:rFonts w:ascii="Calibri" w:hAnsi="Calibri" w:cs="Calibri"/>
          </w:rPr>
          <w:t>https://doi.org/10.3329/sja.v23i1.81857</w:t>
        </w:r>
      </w:hyperlink>
    </w:p>
    <w:p w14:paraId="4C02494E" w14:textId="2ABA15C2" w:rsidR="000632B1" w:rsidRPr="003A1885" w:rsidRDefault="000632B1" w:rsidP="003A1885">
      <w:pPr>
        <w:spacing w:after="0" w:line="240" w:lineRule="auto"/>
        <w:ind w:left="720" w:hanging="720"/>
        <w:jc w:val="both"/>
        <w:rPr>
          <w:rFonts w:ascii="Calibri" w:hAnsi="Calibri" w:cs="Calibri"/>
          <w:shd w:val="clear" w:color="auto" w:fill="FFFFFF"/>
        </w:rPr>
      </w:pPr>
      <w:bookmarkStart w:id="1" w:name="_Hlk222149567"/>
      <w:r w:rsidRPr="003A1885">
        <w:rPr>
          <w:rFonts w:ascii="Calibri" w:hAnsi="Calibri" w:cs="Calibri"/>
          <w:shd w:val="clear" w:color="auto" w:fill="FFFFFF"/>
        </w:rPr>
        <w:t>Hoque</w:t>
      </w:r>
      <w:bookmarkEnd w:id="1"/>
      <w:r w:rsidRPr="003A1885">
        <w:rPr>
          <w:rFonts w:ascii="Calibri" w:hAnsi="Calibri" w:cs="Calibri"/>
          <w:shd w:val="clear" w:color="auto" w:fill="FFFFFF"/>
        </w:rPr>
        <w:t>, M.Z., Ahmed, M., Ahmed, S., Hasan, M.Z., Rahman, M.A. and Bhandari, H., 2025. Current status, challenges, and opportunities of agroforestry in rice-based mixed farming systems in Northern Bangladesh. </w:t>
      </w:r>
      <w:r w:rsidRPr="003A1885">
        <w:rPr>
          <w:rFonts w:ascii="Calibri" w:hAnsi="Calibri" w:cs="Calibri"/>
          <w:i/>
          <w:iCs/>
          <w:shd w:val="clear" w:color="auto" w:fill="FFFFFF"/>
        </w:rPr>
        <w:t>Agroforestry Systems</w:t>
      </w:r>
      <w:r w:rsidRPr="003A1885">
        <w:rPr>
          <w:rFonts w:ascii="Calibri" w:hAnsi="Calibri" w:cs="Calibri"/>
          <w:shd w:val="clear" w:color="auto" w:fill="FFFFFF"/>
        </w:rPr>
        <w:t>, </w:t>
      </w:r>
      <w:r w:rsidRPr="003A1885">
        <w:rPr>
          <w:rFonts w:ascii="Calibri" w:hAnsi="Calibri" w:cs="Calibri"/>
          <w:i/>
          <w:iCs/>
          <w:shd w:val="clear" w:color="auto" w:fill="FFFFFF"/>
        </w:rPr>
        <w:t>99</w:t>
      </w:r>
      <w:r w:rsidRPr="003A1885">
        <w:rPr>
          <w:rFonts w:ascii="Calibri" w:hAnsi="Calibri" w:cs="Calibri"/>
          <w:shd w:val="clear" w:color="auto" w:fill="FFFFFF"/>
        </w:rPr>
        <w:t>(7), p.205.</w:t>
      </w:r>
      <w:r w:rsidR="003A1885">
        <w:rPr>
          <w:rFonts w:ascii="Calibri" w:hAnsi="Calibri" w:cs="Calibri"/>
          <w:shd w:val="clear" w:color="auto" w:fill="FFFFFF"/>
        </w:rPr>
        <w:t xml:space="preserve"> </w:t>
      </w:r>
      <w:hyperlink r:id="rId23" w:history="1">
        <w:r w:rsidR="003A1885" w:rsidRPr="00540287">
          <w:rPr>
            <w:rStyle w:val="Hyperlink"/>
            <w:rFonts w:ascii="Calibri" w:hAnsi="Calibri" w:cs="Calibri"/>
            <w:shd w:val="clear" w:color="auto" w:fill="FFFFFF"/>
          </w:rPr>
          <w:t>https://doi.org/10.1007/s10457-025-01304-7</w:t>
        </w:r>
      </w:hyperlink>
    </w:p>
    <w:p w14:paraId="0EC30A02" w14:textId="708C2DA7"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Islam, M.A., Becker, M., Krupnik, T.J. and Pariyar, S., 2025. Farmers’ perception and adoption of intensification-related practices in rice production of coastal Bangladesh. </w:t>
      </w:r>
      <w:r w:rsidRPr="00426CF0">
        <w:rPr>
          <w:rFonts w:ascii="Calibri" w:hAnsi="Calibri" w:cs="Calibri"/>
          <w:i/>
          <w:iCs/>
          <w:sz w:val="22"/>
          <w:szCs w:val="22"/>
          <w:shd w:val="clear" w:color="auto" w:fill="FFFFFF"/>
        </w:rPr>
        <w:t>Discover Sustainability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6</w:t>
      </w:r>
      <w:r w:rsidRPr="00426CF0">
        <w:rPr>
          <w:rFonts w:ascii="Calibri" w:hAnsi="Calibri" w:cs="Calibri"/>
          <w:sz w:val="22"/>
          <w:szCs w:val="22"/>
          <w:shd w:val="clear" w:color="auto" w:fill="FFFFFF"/>
        </w:rPr>
        <w:t>(1), p.1238.</w:t>
      </w:r>
      <w:r w:rsidR="003A1885">
        <w:rPr>
          <w:rFonts w:ascii="Calibri" w:hAnsi="Calibri" w:cs="Calibri"/>
          <w:sz w:val="22"/>
          <w:szCs w:val="22"/>
          <w:shd w:val="clear" w:color="auto" w:fill="FFFFFF"/>
        </w:rPr>
        <w:t xml:space="preserve"> </w:t>
      </w:r>
      <w:hyperlink r:id="rId24" w:history="1">
        <w:r w:rsidR="003A1885" w:rsidRPr="00540287">
          <w:rPr>
            <w:rStyle w:val="Hyperlink"/>
            <w:rFonts w:ascii="Calibri" w:hAnsi="Calibri" w:cs="Calibri"/>
            <w:sz w:val="22"/>
            <w:szCs w:val="22"/>
            <w:shd w:val="clear" w:color="auto" w:fill="FFFFFF"/>
          </w:rPr>
          <w:t>https://doi.org/10.1007/s43621-025-02251-0</w:t>
        </w:r>
      </w:hyperlink>
    </w:p>
    <w:p w14:paraId="6B63ABF1" w14:textId="584B28BC"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 xml:space="preserve">Jamal, M.R., Kristiansen, P., Kabir, M.J. and </w:t>
      </w:r>
      <w:proofErr w:type="spellStart"/>
      <w:r w:rsidRPr="003A1885">
        <w:rPr>
          <w:rFonts w:ascii="Calibri" w:hAnsi="Calibri" w:cs="Calibri"/>
          <w:shd w:val="clear" w:color="auto" w:fill="FFFFFF"/>
        </w:rPr>
        <w:t>Lobry</w:t>
      </w:r>
      <w:proofErr w:type="spellEnd"/>
      <w:r w:rsidRPr="003A1885">
        <w:rPr>
          <w:rFonts w:ascii="Calibri" w:hAnsi="Calibri" w:cs="Calibri"/>
          <w:shd w:val="clear" w:color="auto" w:fill="FFFFFF"/>
        </w:rPr>
        <w:t xml:space="preserve"> de </w:t>
      </w:r>
      <w:proofErr w:type="spellStart"/>
      <w:r w:rsidRPr="003A1885">
        <w:rPr>
          <w:rFonts w:ascii="Calibri" w:hAnsi="Calibri" w:cs="Calibri"/>
          <w:shd w:val="clear" w:color="auto" w:fill="FFFFFF"/>
        </w:rPr>
        <w:t>Bruyn</w:t>
      </w:r>
      <w:proofErr w:type="spellEnd"/>
      <w:r w:rsidRPr="003A1885">
        <w:rPr>
          <w:rFonts w:ascii="Calibri" w:hAnsi="Calibri" w:cs="Calibri"/>
          <w:shd w:val="clear" w:color="auto" w:fill="FFFFFF"/>
        </w:rPr>
        <w:t>, L., 2022. Cropping systems intensification and diversification: risk, vulnerability and adaptation in southwest coastal Bangladesh. </w:t>
      </w:r>
      <w:r w:rsidRPr="003A1885">
        <w:rPr>
          <w:rFonts w:ascii="Calibri" w:hAnsi="Calibri" w:cs="Calibri"/>
          <w:i/>
          <w:iCs/>
          <w:shd w:val="clear" w:color="auto" w:fill="FFFFFF"/>
        </w:rPr>
        <w:t>International Journal of Sustainable Development &amp; World Ecology</w:t>
      </w:r>
      <w:r w:rsidRPr="003A1885">
        <w:rPr>
          <w:rFonts w:ascii="Calibri" w:hAnsi="Calibri" w:cs="Calibri"/>
          <w:shd w:val="clear" w:color="auto" w:fill="FFFFFF"/>
        </w:rPr>
        <w:t>, </w:t>
      </w:r>
      <w:r w:rsidRPr="003A1885">
        <w:rPr>
          <w:rFonts w:ascii="Calibri" w:hAnsi="Calibri" w:cs="Calibri"/>
          <w:i/>
          <w:iCs/>
          <w:shd w:val="clear" w:color="auto" w:fill="FFFFFF"/>
        </w:rPr>
        <w:t>29</w:t>
      </w:r>
      <w:r w:rsidRPr="003A1885">
        <w:rPr>
          <w:rFonts w:ascii="Calibri" w:hAnsi="Calibri" w:cs="Calibri"/>
          <w:shd w:val="clear" w:color="auto" w:fill="FFFFFF"/>
        </w:rPr>
        <w:t>(8), pp.677-694.</w:t>
      </w:r>
      <w:r w:rsidR="003A1885">
        <w:rPr>
          <w:rFonts w:ascii="Calibri" w:hAnsi="Calibri" w:cs="Calibri"/>
          <w:shd w:val="clear" w:color="auto" w:fill="FFFFFF"/>
        </w:rPr>
        <w:t xml:space="preserve"> </w:t>
      </w:r>
      <w:hyperlink r:id="rId25" w:history="1">
        <w:r w:rsidR="003A1885" w:rsidRPr="00540287">
          <w:rPr>
            <w:rStyle w:val="Hyperlink"/>
            <w:rFonts w:ascii="Calibri" w:hAnsi="Calibri" w:cs="Calibri"/>
            <w:shd w:val="clear" w:color="auto" w:fill="FFFFFF"/>
          </w:rPr>
          <w:t>https://doi.org/10.1080/13504509.2022.2073615</w:t>
        </w:r>
      </w:hyperlink>
    </w:p>
    <w:p w14:paraId="69C825BF" w14:textId="2C57D8AA"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bookmarkStart w:id="2" w:name="_Hlk222148861"/>
      <w:bookmarkStart w:id="3" w:name="_Hlk222148646"/>
      <w:r w:rsidRPr="00426CF0">
        <w:rPr>
          <w:rFonts w:ascii="Calibri" w:hAnsi="Calibri" w:cs="Calibri"/>
          <w:sz w:val="22"/>
          <w:szCs w:val="22"/>
          <w:shd w:val="clear" w:color="auto" w:fill="FFFFFF"/>
        </w:rPr>
        <w:t xml:space="preserve">Jamal, M.R., Kristiansen, P., Kabir, M.J. and </w:t>
      </w:r>
      <w:proofErr w:type="spellStart"/>
      <w:r w:rsidRPr="00426CF0">
        <w:rPr>
          <w:rFonts w:ascii="Calibri" w:hAnsi="Calibri" w:cs="Calibri"/>
          <w:sz w:val="22"/>
          <w:szCs w:val="22"/>
          <w:shd w:val="clear" w:color="auto" w:fill="FFFFFF"/>
        </w:rPr>
        <w:t>Lobry</w:t>
      </w:r>
      <w:proofErr w:type="spellEnd"/>
      <w:r w:rsidRPr="00426CF0">
        <w:rPr>
          <w:rFonts w:ascii="Calibri" w:hAnsi="Calibri" w:cs="Calibri"/>
          <w:sz w:val="22"/>
          <w:szCs w:val="22"/>
          <w:shd w:val="clear" w:color="auto" w:fill="FFFFFF"/>
        </w:rPr>
        <w:t xml:space="preserve"> de </w:t>
      </w:r>
      <w:proofErr w:type="spellStart"/>
      <w:r w:rsidRPr="00426CF0">
        <w:rPr>
          <w:rFonts w:ascii="Calibri" w:hAnsi="Calibri" w:cs="Calibri"/>
          <w:sz w:val="22"/>
          <w:szCs w:val="22"/>
          <w:shd w:val="clear" w:color="auto" w:fill="FFFFFF"/>
        </w:rPr>
        <w:t>Bruyn</w:t>
      </w:r>
      <w:proofErr w:type="spellEnd"/>
      <w:r w:rsidRPr="00426CF0">
        <w:rPr>
          <w:rFonts w:ascii="Calibri" w:hAnsi="Calibri" w:cs="Calibri"/>
          <w:sz w:val="22"/>
          <w:szCs w:val="22"/>
          <w:shd w:val="clear" w:color="auto" w:fill="FFFFFF"/>
        </w:rPr>
        <w:t xml:space="preserve">, L., 2023. </w:t>
      </w:r>
      <w:r w:rsidRPr="00426CF0">
        <w:rPr>
          <w:rFonts w:ascii="Calibri" w:hAnsi="Calibri" w:cs="Calibri"/>
          <w:sz w:val="22"/>
          <w:szCs w:val="22"/>
        </w:rPr>
        <w:t xml:space="preserve"> </w:t>
      </w:r>
      <w:r w:rsidRPr="00426CF0">
        <w:rPr>
          <w:rFonts w:ascii="Calibri" w:hAnsi="Calibri" w:cs="Calibri"/>
          <w:sz w:val="22"/>
          <w:szCs w:val="22"/>
          <w:shd w:val="clear" w:color="auto" w:fill="FFFFFF"/>
        </w:rPr>
        <w:t xml:space="preserve">Challenges and adaptations for resilient rice production under changing environments in Bangladesh. </w:t>
      </w:r>
      <w:r w:rsidRPr="00426CF0">
        <w:rPr>
          <w:rFonts w:ascii="Calibri" w:hAnsi="Calibri" w:cs="Calibri"/>
          <w:i/>
          <w:iCs/>
          <w:sz w:val="22"/>
          <w:szCs w:val="22"/>
          <w:shd w:val="clear" w:color="auto" w:fill="FFFFFF"/>
        </w:rPr>
        <w:t>Land</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12</w:t>
      </w:r>
      <w:r w:rsidRPr="00426CF0">
        <w:rPr>
          <w:rFonts w:ascii="Calibri" w:hAnsi="Calibri" w:cs="Calibri"/>
          <w:sz w:val="22"/>
          <w:szCs w:val="22"/>
          <w:shd w:val="clear" w:color="auto" w:fill="FFFFFF"/>
        </w:rPr>
        <w:t>(6), p.1217.</w:t>
      </w:r>
      <w:r w:rsidR="003A1885">
        <w:rPr>
          <w:rFonts w:ascii="Calibri" w:hAnsi="Calibri" w:cs="Calibri"/>
          <w:sz w:val="22"/>
          <w:szCs w:val="22"/>
          <w:shd w:val="clear" w:color="auto" w:fill="FFFFFF"/>
        </w:rPr>
        <w:t xml:space="preserve"> </w:t>
      </w:r>
      <w:hyperlink r:id="rId26" w:history="1">
        <w:r w:rsidR="003A1885" w:rsidRPr="00540287">
          <w:rPr>
            <w:rStyle w:val="Hyperlink"/>
            <w:rFonts w:ascii="Calibri" w:hAnsi="Calibri" w:cs="Calibri"/>
            <w:sz w:val="22"/>
            <w:szCs w:val="22"/>
            <w:shd w:val="clear" w:color="auto" w:fill="FFFFFF"/>
          </w:rPr>
          <w:t>https://doi.org/10.3390/land12061217</w:t>
        </w:r>
      </w:hyperlink>
    </w:p>
    <w:bookmarkEnd w:id="2"/>
    <w:bookmarkEnd w:id="3"/>
    <w:p w14:paraId="3E5D117D" w14:textId="2D70EA2E"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Kabir, M.R., Halima, O., Rahman, N., Ghosh, S., Islam, M.S., and Rahman, H., 2022. Linking farm production diversity to household dietary diversity, controlling market access and agricultural technology usage: evidence from Noakhali district, Bangladesh. </w:t>
      </w:r>
      <w:proofErr w:type="spellStart"/>
      <w:r w:rsidRPr="003A1885">
        <w:rPr>
          <w:rFonts w:ascii="Calibri" w:hAnsi="Calibri" w:cs="Calibri"/>
          <w:i/>
          <w:iCs/>
          <w:shd w:val="clear" w:color="auto" w:fill="FFFFFF"/>
        </w:rPr>
        <w:t>Heliyon</w:t>
      </w:r>
      <w:proofErr w:type="spellEnd"/>
      <w:r w:rsidRPr="003A1885">
        <w:rPr>
          <w:rFonts w:ascii="Calibri" w:hAnsi="Calibri" w:cs="Calibri"/>
          <w:shd w:val="clear" w:color="auto" w:fill="FFFFFF"/>
        </w:rPr>
        <w:t>, </w:t>
      </w:r>
      <w:r w:rsidRPr="003A1885">
        <w:rPr>
          <w:rFonts w:ascii="Calibri" w:hAnsi="Calibri" w:cs="Calibri"/>
          <w:i/>
          <w:iCs/>
          <w:shd w:val="clear" w:color="auto" w:fill="FFFFFF"/>
        </w:rPr>
        <w:t>8</w:t>
      </w:r>
      <w:r w:rsidRPr="003A1885">
        <w:rPr>
          <w:rFonts w:ascii="Calibri" w:hAnsi="Calibri" w:cs="Calibri"/>
          <w:shd w:val="clear" w:color="auto" w:fill="FFFFFF"/>
        </w:rPr>
        <w:t>(1).</w:t>
      </w:r>
      <w:r w:rsidR="003A1885">
        <w:rPr>
          <w:rFonts w:ascii="Calibri" w:hAnsi="Calibri" w:cs="Calibri"/>
          <w:shd w:val="clear" w:color="auto" w:fill="FFFFFF"/>
        </w:rPr>
        <w:t xml:space="preserve"> </w:t>
      </w:r>
      <w:hyperlink r:id="rId27" w:history="1">
        <w:r w:rsidR="003A1885" w:rsidRPr="00540287">
          <w:rPr>
            <w:rStyle w:val="Hyperlink"/>
            <w:rFonts w:ascii="Calibri" w:hAnsi="Calibri" w:cs="Calibri"/>
            <w:shd w:val="clear" w:color="auto" w:fill="FFFFFF"/>
          </w:rPr>
          <w:t>https://doi.org/10.1016/j.heliyon.2022.e08755</w:t>
        </w:r>
      </w:hyperlink>
    </w:p>
    <w:p w14:paraId="1374C0FA" w14:textId="3955B915" w:rsidR="000632B1" w:rsidRPr="003A1885" w:rsidRDefault="000632B1" w:rsidP="003A1885">
      <w:pPr>
        <w:spacing w:after="0" w:line="240" w:lineRule="auto"/>
        <w:ind w:left="720" w:hanging="720"/>
        <w:jc w:val="both"/>
        <w:rPr>
          <w:rFonts w:ascii="Calibri" w:hAnsi="Calibri" w:cs="Calibri"/>
          <w:shd w:val="clear" w:color="auto" w:fill="FFFFFF"/>
        </w:rPr>
      </w:pPr>
      <w:bookmarkStart w:id="4" w:name="_Hlk222142654"/>
      <w:r w:rsidRPr="003A1885">
        <w:rPr>
          <w:rFonts w:ascii="Calibri" w:hAnsi="Calibri" w:cs="Calibri"/>
          <w:shd w:val="clear" w:color="auto" w:fill="FFFFFF"/>
        </w:rPr>
        <w:t>Khatun</w:t>
      </w:r>
      <w:bookmarkEnd w:id="4"/>
      <w:r w:rsidRPr="003A1885">
        <w:rPr>
          <w:rFonts w:ascii="Calibri" w:hAnsi="Calibri" w:cs="Calibri"/>
          <w:shd w:val="clear" w:color="auto" w:fill="FFFFFF"/>
        </w:rPr>
        <w:t>, F., Jahan, M., and Hossain, S., 2022. Evaluating the production and marketing assessment of selected vegetables in Bangladesh. </w:t>
      </w:r>
      <w:r w:rsidRPr="003A1885">
        <w:rPr>
          <w:rFonts w:ascii="Calibri" w:hAnsi="Calibri" w:cs="Calibri"/>
          <w:i/>
          <w:iCs/>
          <w:shd w:val="clear" w:color="auto" w:fill="FFFFFF"/>
        </w:rPr>
        <w:t>American Journal of Agricultural and Biological Sciences</w:t>
      </w:r>
      <w:r w:rsidRPr="003A1885">
        <w:rPr>
          <w:rFonts w:ascii="Calibri" w:hAnsi="Calibri" w:cs="Calibri"/>
          <w:shd w:val="clear" w:color="auto" w:fill="FFFFFF"/>
        </w:rPr>
        <w:t>, </w:t>
      </w:r>
      <w:r w:rsidRPr="003A1885">
        <w:rPr>
          <w:rFonts w:ascii="Calibri" w:hAnsi="Calibri" w:cs="Calibri"/>
          <w:i/>
          <w:iCs/>
          <w:shd w:val="clear" w:color="auto" w:fill="FFFFFF"/>
        </w:rPr>
        <w:t>17</w:t>
      </w:r>
      <w:r w:rsidRPr="003A1885">
        <w:rPr>
          <w:rFonts w:ascii="Calibri" w:hAnsi="Calibri" w:cs="Calibri"/>
          <w:shd w:val="clear" w:color="auto" w:fill="FFFFFF"/>
        </w:rPr>
        <w:t>(1), pp.23-33.</w:t>
      </w:r>
      <w:r w:rsidR="003A1885">
        <w:rPr>
          <w:rFonts w:ascii="Calibri" w:hAnsi="Calibri" w:cs="Calibri"/>
          <w:shd w:val="clear" w:color="auto" w:fill="FFFFFF"/>
        </w:rPr>
        <w:t xml:space="preserve"> </w:t>
      </w:r>
      <w:hyperlink r:id="rId28"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bCs/>
          </w:rPr>
          <w:t>10.3844/ajabssp.2022.23.33</w:t>
        </w:r>
      </w:hyperlink>
    </w:p>
    <w:p w14:paraId="2AFD48FC" w14:textId="38169C18" w:rsidR="000632B1" w:rsidRPr="003A1885" w:rsidRDefault="000632B1" w:rsidP="003A1885">
      <w:pPr>
        <w:spacing w:after="0" w:line="240" w:lineRule="auto"/>
        <w:ind w:left="720" w:hanging="720"/>
        <w:jc w:val="both"/>
        <w:rPr>
          <w:rFonts w:ascii="Calibri" w:hAnsi="Calibri" w:cs="Calibri"/>
        </w:rPr>
      </w:pPr>
      <w:proofErr w:type="spellStart"/>
      <w:r w:rsidRPr="003A1885">
        <w:rPr>
          <w:rFonts w:ascii="Calibri" w:hAnsi="Calibri" w:cs="Calibri"/>
          <w:shd w:val="clear" w:color="auto" w:fill="FFFFFF"/>
        </w:rPr>
        <w:t>Mankhin</w:t>
      </w:r>
      <w:proofErr w:type="spellEnd"/>
      <w:r w:rsidRPr="003A1885">
        <w:rPr>
          <w:rFonts w:ascii="Calibri" w:hAnsi="Calibri" w:cs="Calibri"/>
          <w:shd w:val="clear" w:color="auto" w:fill="FFFFFF"/>
        </w:rPr>
        <w:t xml:space="preserve">, B., Begum, M.E.A., </w:t>
      </w:r>
      <w:proofErr w:type="spellStart"/>
      <w:r w:rsidRPr="003A1885">
        <w:rPr>
          <w:rFonts w:ascii="Calibri" w:hAnsi="Calibri" w:cs="Calibri"/>
          <w:shd w:val="clear" w:color="auto" w:fill="FFFFFF"/>
        </w:rPr>
        <w:t>Hoq</w:t>
      </w:r>
      <w:proofErr w:type="spellEnd"/>
      <w:r w:rsidRPr="003A1885">
        <w:rPr>
          <w:rFonts w:ascii="Calibri" w:hAnsi="Calibri" w:cs="Calibri"/>
          <w:shd w:val="clear" w:color="auto" w:fill="FFFFFF"/>
        </w:rPr>
        <w:t>, M.S., and Hossain, M.I., 2024. Determinants of the factors affecting the governance structure choice of the pineapple value chain: A case study on market-based agroforestry in Bangladesh. </w:t>
      </w:r>
      <w:proofErr w:type="spellStart"/>
      <w:r w:rsidRPr="003A1885">
        <w:rPr>
          <w:rFonts w:ascii="Calibri" w:hAnsi="Calibri" w:cs="Calibri"/>
          <w:i/>
          <w:iCs/>
          <w:shd w:val="clear" w:color="auto" w:fill="FFFFFF"/>
        </w:rPr>
        <w:t>Heliyon</w:t>
      </w:r>
      <w:proofErr w:type="spellEnd"/>
      <w:r w:rsidRPr="003A1885">
        <w:rPr>
          <w:rFonts w:ascii="Calibri" w:hAnsi="Calibri" w:cs="Calibri"/>
          <w:shd w:val="clear" w:color="auto" w:fill="FFFFFF"/>
        </w:rPr>
        <w:t>, 10(20).</w:t>
      </w:r>
      <w:r w:rsidR="003A1885">
        <w:rPr>
          <w:rFonts w:ascii="Calibri" w:hAnsi="Calibri" w:cs="Calibri"/>
          <w:shd w:val="clear" w:color="auto" w:fill="FFFFFF"/>
        </w:rPr>
        <w:t xml:space="preserve"> </w:t>
      </w:r>
      <w:hyperlink r:id="rId29" w:history="1">
        <w:r w:rsidR="003A1885" w:rsidRPr="00540287">
          <w:rPr>
            <w:rStyle w:val="Hyperlink"/>
            <w:rFonts w:ascii="Calibri" w:hAnsi="Calibri" w:cs="Calibri"/>
            <w:shd w:val="clear" w:color="auto" w:fill="FFFFFF"/>
          </w:rPr>
          <w:t>https://doi.org/10.1016/j.heliyon.2024.e39209</w:t>
        </w:r>
      </w:hyperlink>
    </w:p>
    <w:p w14:paraId="0328D618" w14:textId="4D2F221F" w:rsidR="003A1885" w:rsidRPr="003A1885" w:rsidRDefault="000632B1" w:rsidP="003A1885">
      <w:pPr>
        <w:pStyle w:val="Default"/>
        <w:ind w:left="720" w:hanging="720"/>
        <w:jc w:val="both"/>
        <w:rPr>
          <w:rFonts w:ascii="Calibri" w:hAnsi="Calibri" w:cs="Calibri"/>
          <w:color w:val="auto"/>
          <w:sz w:val="22"/>
          <w:szCs w:val="22"/>
          <w:u w:val="single"/>
          <w:shd w:val="clear" w:color="auto" w:fill="FFFFFF"/>
        </w:rPr>
      </w:pPr>
      <w:r w:rsidRPr="00426CF0">
        <w:rPr>
          <w:rFonts w:ascii="Calibri" w:hAnsi="Calibri" w:cs="Calibri"/>
          <w:color w:val="auto"/>
          <w:sz w:val="22"/>
          <w:szCs w:val="22"/>
          <w:shd w:val="clear" w:color="auto" w:fill="FFFFFF"/>
        </w:rPr>
        <w:t>Nandi, R., Krupnik, T.J. and Kabir, W., 2024. Crop diversification in Bangladesh: Public policy provisions, practices, and insights for future initiatives. </w:t>
      </w:r>
      <w:r w:rsidRPr="00426CF0">
        <w:rPr>
          <w:rFonts w:ascii="Calibri" w:hAnsi="Calibri" w:cs="Calibri"/>
          <w:i/>
          <w:iCs/>
          <w:color w:val="auto"/>
          <w:sz w:val="22"/>
          <w:szCs w:val="22"/>
          <w:shd w:val="clear" w:color="auto" w:fill="FFFFFF"/>
        </w:rPr>
        <w:t>Journal of Agriculture and Food Research</w:t>
      </w:r>
      <w:r w:rsidRPr="00426CF0">
        <w:rPr>
          <w:rFonts w:ascii="Calibri" w:hAnsi="Calibri" w:cs="Calibri"/>
          <w:color w:val="auto"/>
          <w:sz w:val="22"/>
          <w:szCs w:val="22"/>
          <w:shd w:val="clear" w:color="auto" w:fill="FFFFFF"/>
        </w:rPr>
        <w:t>, </w:t>
      </w:r>
      <w:r w:rsidRPr="00426CF0">
        <w:rPr>
          <w:rFonts w:ascii="Calibri" w:hAnsi="Calibri" w:cs="Calibri"/>
          <w:i/>
          <w:iCs/>
          <w:color w:val="auto"/>
          <w:sz w:val="22"/>
          <w:szCs w:val="22"/>
          <w:shd w:val="clear" w:color="auto" w:fill="FFFFFF"/>
        </w:rPr>
        <w:t>18</w:t>
      </w:r>
      <w:r w:rsidRPr="00426CF0">
        <w:rPr>
          <w:rFonts w:ascii="Calibri" w:hAnsi="Calibri" w:cs="Calibri"/>
          <w:color w:val="auto"/>
          <w:sz w:val="22"/>
          <w:szCs w:val="22"/>
          <w:shd w:val="clear" w:color="auto" w:fill="FFFFFF"/>
        </w:rPr>
        <w:t>, p.101486.</w:t>
      </w:r>
      <w:r w:rsidR="003A1885">
        <w:rPr>
          <w:rFonts w:ascii="Calibri" w:hAnsi="Calibri" w:cs="Calibri"/>
          <w:color w:val="auto"/>
          <w:sz w:val="22"/>
          <w:szCs w:val="22"/>
          <w:shd w:val="clear" w:color="auto" w:fill="FFFFFF"/>
        </w:rPr>
        <w:t xml:space="preserve"> </w:t>
      </w:r>
      <w:hyperlink r:id="rId30" w:history="1">
        <w:r w:rsidR="003A1885" w:rsidRPr="00540287">
          <w:rPr>
            <w:rStyle w:val="Hyperlink"/>
            <w:rFonts w:ascii="Calibri" w:hAnsi="Calibri" w:cs="Calibri"/>
            <w:sz w:val="22"/>
            <w:szCs w:val="22"/>
            <w:shd w:val="clear" w:color="auto" w:fill="FFFFFF"/>
          </w:rPr>
          <w:t>https://doi.org/10.1016/j.jafr.2024.101486</w:t>
        </w:r>
      </w:hyperlink>
    </w:p>
    <w:p w14:paraId="7420632C" w14:textId="368912C3"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Nowfal, SH, Nanduri, S, Theresa, WG, Samhitha, BK, Vinoth, R, </w:t>
      </w:r>
      <w:proofErr w:type="spellStart"/>
      <w:r w:rsidRPr="003A1885">
        <w:rPr>
          <w:rFonts w:ascii="Calibri" w:hAnsi="Calibri" w:cs="Calibri"/>
          <w:shd w:val="clear" w:color="auto" w:fill="FFFFFF"/>
        </w:rPr>
        <w:t>Veerapandi</w:t>
      </w:r>
      <w:proofErr w:type="spellEnd"/>
      <w:r w:rsidRPr="003A1885">
        <w:rPr>
          <w:rFonts w:ascii="Calibri" w:hAnsi="Calibri" w:cs="Calibri"/>
          <w:shd w:val="clear" w:color="auto" w:fill="FFFFFF"/>
        </w:rPr>
        <w:t xml:space="preserve">, A and </w:t>
      </w:r>
      <w:proofErr w:type="spellStart"/>
      <w:r w:rsidRPr="003A1885">
        <w:rPr>
          <w:rFonts w:ascii="Calibri" w:hAnsi="Calibri" w:cs="Calibri"/>
          <w:shd w:val="clear" w:color="auto" w:fill="FFFFFF"/>
        </w:rPr>
        <w:t>Bommisetti</w:t>
      </w:r>
      <w:proofErr w:type="spellEnd"/>
      <w:r w:rsidRPr="003A1885">
        <w:rPr>
          <w:rFonts w:ascii="Calibri" w:hAnsi="Calibri" w:cs="Calibri"/>
          <w:shd w:val="clear" w:color="auto" w:fill="FFFFFF"/>
        </w:rPr>
        <w:t>, RK,: </w:t>
      </w:r>
      <w:hyperlink r:id="rId31" w:tgtFrame="_blank" w:history="1">
        <w:r w:rsidRPr="003A1885">
          <w:rPr>
            <w:rStyle w:val="Hyperlink"/>
            <w:rFonts w:ascii="Calibri" w:hAnsi="Calibri" w:cs="Calibri"/>
            <w:color w:val="auto"/>
            <w:shd w:val="clear" w:color="auto" w:fill="FFFFFF"/>
          </w:rPr>
          <w:t>The role of agricultural cooperatives in enhancing credit access, market information, and smart farming among rural farmers</w:t>
        </w:r>
      </w:hyperlink>
      <w:r w:rsidRPr="003A1885">
        <w:rPr>
          <w:rFonts w:ascii="Calibri" w:hAnsi="Calibri" w:cs="Calibri"/>
          <w:shd w:val="clear" w:color="auto" w:fill="FFFFFF"/>
        </w:rPr>
        <w:t xml:space="preserve">.   Research on World Agricultural </w:t>
      </w:r>
      <w:proofErr w:type="gramStart"/>
      <w:r w:rsidRPr="003A1885">
        <w:rPr>
          <w:rFonts w:ascii="Calibri" w:hAnsi="Calibri" w:cs="Calibri"/>
          <w:shd w:val="clear" w:color="auto" w:fill="FFFFFF"/>
        </w:rPr>
        <w:t>Economy,.</w:t>
      </w:r>
      <w:proofErr w:type="gramEnd"/>
      <w:r w:rsidRPr="003A1885">
        <w:rPr>
          <w:rFonts w:ascii="Calibri" w:hAnsi="Calibri" w:cs="Calibri"/>
          <w:shd w:val="clear" w:color="auto" w:fill="FFFFFF"/>
        </w:rPr>
        <w:t xml:space="preserve"> 2025, 654-672.</w:t>
      </w:r>
      <w:r w:rsidR="003A1885">
        <w:rPr>
          <w:rFonts w:ascii="Calibri" w:hAnsi="Calibri" w:cs="Calibri"/>
          <w:shd w:val="clear" w:color="auto" w:fill="FFFFFF"/>
        </w:rPr>
        <w:t xml:space="preserve"> </w:t>
      </w:r>
      <w:hyperlink r:id="rId32" w:history="1">
        <w:r w:rsidR="003A1885" w:rsidRPr="00540287">
          <w:rPr>
            <w:rStyle w:val="Hyperlink"/>
            <w:rFonts w:ascii="Calibri" w:hAnsi="Calibri" w:cs="Calibri"/>
            <w:shd w:val="clear" w:color="auto" w:fill="FFFFFF"/>
          </w:rPr>
          <w:t>https://doi.org/10.36956/rwae.v6i1.1536</w:t>
        </w:r>
      </w:hyperlink>
    </w:p>
    <w:p w14:paraId="198994F5" w14:textId="0E7D673E" w:rsidR="000632B1" w:rsidRPr="003A1885" w:rsidRDefault="000632B1" w:rsidP="003A1885">
      <w:pPr>
        <w:spacing w:after="0" w:line="240" w:lineRule="auto"/>
        <w:ind w:left="720" w:hanging="720"/>
        <w:jc w:val="both"/>
        <w:rPr>
          <w:rStyle w:val="Hyperlink"/>
          <w:rFonts w:ascii="Calibri" w:hAnsi="Calibri" w:cs="Calibri"/>
          <w:color w:val="auto"/>
          <w:u w:val="none"/>
        </w:rPr>
      </w:pPr>
      <w:r w:rsidRPr="003A1885">
        <w:rPr>
          <w:rFonts w:ascii="Calibri" w:hAnsi="Calibri" w:cs="Calibri"/>
          <w:shd w:val="clear" w:color="auto" w:fill="FFFFFF"/>
        </w:rPr>
        <w:t xml:space="preserve">Paz, B., Hailu, A., </w:t>
      </w:r>
      <w:proofErr w:type="spellStart"/>
      <w:r w:rsidRPr="003A1885">
        <w:rPr>
          <w:rFonts w:ascii="Calibri" w:hAnsi="Calibri" w:cs="Calibri"/>
          <w:shd w:val="clear" w:color="auto" w:fill="FFFFFF"/>
        </w:rPr>
        <w:t>Rola‐Rubzen</w:t>
      </w:r>
      <w:proofErr w:type="spellEnd"/>
      <w:r w:rsidRPr="003A1885">
        <w:rPr>
          <w:rFonts w:ascii="Calibri" w:hAnsi="Calibri" w:cs="Calibri"/>
          <w:shd w:val="clear" w:color="auto" w:fill="FFFFFF"/>
        </w:rPr>
        <w:t>, M.F. and Rashid, M.M., 2024. Conservation agriculture‐based sustainable intensification improves technical efficiency in Northern Bangladesh: The case of Rangpur. </w:t>
      </w:r>
      <w:r w:rsidRPr="003A1885">
        <w:rPr>
          <w:rFonts w:ascii="Calibri" w:hAnsi="Calibri" w:cs="Calibri"/>
          <w:i/>
          <w:iCs/>
          <w:shd w:val="clear" w:color="auto" w:fill="FFFFFF"/>
        </w:rPr>
        <w:t>Australian Journal of Agricultural and Resource Economics</w:t>
      </w:r>
      <w:r w:rsidRPr="003A1885">
        <w:rPr>
          <w:rFonts w:ascii="Calibri" w:hAnsi="Calibri" w:cs="Calibri"/>
          <w:shd w:val="clear" w:color="auto" w:fill="FFFFFF"/>
        </w:rPr>
        <w:t>, </w:t>
      </w:r>
      <w:r w:rsidRPr="003A1885">
        <w:rPr>
          <w:rFonts w:ascii="Calibri" w:hAnsi="Calibri" w:cs="Calibri"/>
          <w:i/>
          <w:iCs/>
          <w:shd w:val="clear" w:color="auto" w:fill="FFFFFF"/>
        </w:rPr>
        <w:t>68</w:t>
      </w:r>
      <w:r w:rsidRPr="003A1885">
        <w:rPr>
          <w:rFonts w:ascii="Calibri" w:hAnsi="Calibri" w:cs="Calibri"/>
          <w:shd w:val="clear" w:color="auto" w:fill="FFFFFF"/>
        </w:rPr>
        <w:t>(1), pp.125-145.</w:t>
      </w:r>
      <w:r w:rsidR="003A1885">
        <w:rPr>
          <w:rFonts w:ascii="Calibri" w:hAnsi="Calibri" w:cs="Calibri"/>
          <w:shd w:val="clear" w:color="auto" w:fill="FFFFFF"/>
        </w:rPr>
        <w:t xml:space="preserve"> </w:t>
      </w:r>
      <w:hyperlink r:id="rId33" w:history="1">
        <w:r w:rsidR="003A1885" w:rsidRPr="00540287">
          <w:rPr>
            <w:rStyle w:val="Hyperlink"/>
            <w:rFonts w:ascii="Calibri" w:hAnsi="Calibri" w:cs="Calibri"/>
            <w:bCs/>
          </w:rPr>
          <w:t>https://doi.org/10.1111/1467-8489.12537</w:t>
        </w:r>
        <w:r w:rsidR="003A1885" w:rsidRPr="00540287">
          <w:rPr>
            <w:rStyle w:val="Hyperlink"/>
            <w:rFonts w:ascii="Calibri" w:hAnsi="Calibri" w:cs="Calibri"/>
            <w:bCs/>
            <w:bdr w:val="none" w:sz="0" w:space="0" w:color="auto" w:frame="1"/>
          </w:rPr>
          <w:t>)</w:t>
        </w:r>
      </w:hyperlink>
    </w:p>
    <w:p w14:paraId="4E244C27" w14:textId="4CCA08ED"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Rahaman, M.S. and Amin, M.R., 2026. Price Transmission and Distributional Dynamics in Bangladesh’s Vegetable Markets: Evidence from Farm to Retail Levels. </w:t>
      </w:r>
      <w:r w:rsidRPr="00426CF0">
        <w:rPr>
          <w:rFonts w:ascii="Calibri" w:hAnsi="Calibri" w:cs="Calibri"/>
          <w:i/>
          <w:iCs/>
          <w:sz w:val="22"/>
          <w:szCs w:val="22"/>
          <w:shd w:val="clear" w:color="auto" w:fill="FFFFFF"/>
        </w:rPr>
        <w:t>Indonesian Journal of Social Economics and Agricultural Policy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2</w:t>
      </w:r>
      <w:r w:rsidRPr="00426CF0">
        <w:rPr>
          <w:rFonts w:ascii="Calibri" w:hAnsi="Calibri" w:cs="Calibri"/>
          <w:sz w:val="22"/>
          <w:szCs w:val="22"/>
          <w:shd w:val="clear" w:color="auto" w:fill="FFFFFF"/>
        </w:rPr>
        <w:t>(1), pp.11-21.</w:t>
      </w:r>
      <w:r w:rsidR="003A1885">
        <w:rPr>
          <w:rFonts w:ascii="Calibri" w:hAnsi="Calibri" w:cs="Calibri"/>
          <w:sz w:val="22"/>
          <w:szCs w:val="22"/>
          <w:shd w:val="clear" w:color="auto" w:fill="FFFFFF"/>
        </w:rPr>
        <w:t xml:space="preserve"> </w:t>
      </w:r>
      <w:hyperlink r:id="rId34" w:history="1">
        <w:r w:rsidR="003A1885" w:rsidRPr="00540287">
          <w:rPr>
            <w:rStyle w:val="Hyperlink"/>
            <w:rFonts w:ascii="Calibri" w:hAnsi="Calibri" w:cs="Calibri"/>
            <w:sz w:val="22"/>
            <w:szCs w:val="22"/>
            <w:shd w:val="clear" w:color="auto" w:fill="FFFFFF"/>
          </w:rPr>
          <w:t>https://doi.org/10.70895/ijseap.v2i1.79</w:t>
        </w:r>
      </w:hyperlink>
    </w:p>
    <w:p w14:paraId="618A4324" w14:textId="076297F7"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eastAsia="Times New Roman" w:hAnsi="Calibri" w:cs="Calibri"/>
          <w:kern w:val="0"/>
          <w14:ligatures w14:val="none"/>
        </w:rPr>
        <w:lastRenderedPageBreak/>
        <w:t xml:space="preserve">Rahman, M. &amp; Akter, S., 2022. </w:t>
      </w:r>
      <w:r w:rsidRPr="003A1885">
        <w:rPr>
          <w:rFonts w:ascii="Calibri" w:eastAsia="Times New Roman" w:hAnsi="Calibri" w:cs="Calibri"/>
          <w:i/>
          <w:iCs/>
          <w:kern w:val="0"/>
          <w14:ligatures w14:val="none"/>
        </w:rPr>
        <w:t>Agricultural value chain efficiency and smallholder profitability in Bangladesh.</w:t>
      </w:r>
      <w:r w:rsidRPr="003A1885">
        <w:rPr>
          <w:rFonts w:ascii="Calibri" w:eastAsia="Times New Roman" w:hAnsi="Calibri" w:cs="Calibri"/>
          <w:kern w:val="0"/>
          <w14:ligatures w14:val="none"/>
        </w:rPr>
        <w:t xml:space="preserve"> Bangladesh Journal of Agricultural Economics, 47(1), pp.23–38.</w:t>
      </w:r>
      <w:r w:rsidR="003A1885">
        <w:rPr>
          <w:rFonts w:ascii="Calibri" w:eastAsia="Times New Roman" w:hAnsi="Calibri" w:cs="Calibri"/>
          <w:kern w:val="0"/>
          <w14:ligatures w14:val="none"/>
        </w:rPr>
        <w:t xml:space="preserve"> </w:t>
      </w:r>
      <w:hyperlink r:id="rId35" w:history="1">
        <w:r w:rsidR="003A1885" w:rsidRPr="00540287">
          <w:rPr>
            <w:rStyle w:val="Hyperlink"/>
            <w:rFonts w:ascii="Calibri" w:eastAsia="Times New Roman" w:hAnsi="Calibri" w:cs="Calibri"/>
            <w:kern w:val="0"/>
            <w14:ligatures w14:val="none"/>
          </w:rPr>
          <w:t>https://doi.org/10.1080/23311975.2022.2135222</w:t>
        </w:r>
      </w:hyperlink>
    </w:p>
    <w:p w14:paraId="103EA727" w14:textId="19CA593C"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Rahman, M.A. and Saha, M.K., 2023. Analyzing the existing value chains of fruits and vegetables in selected upazilas of Bangladesh. </w:t>
      </w:r>
      <w:r w:rsidRPr="00426CF0">
        <w:rPr>
          <w:rFonts w:ascii="Calibri" w:hAnsi="Calibri" w:cs="Calibri"/>
          <w:i/>
          <w:iCs/>
          <w:sz w:val="22"/>
          <w:szCs w:val="22"/>
          <w:shd w:val="clear" w:color="auto" w:fill="FFFFFF"/>
        </w:rPr>
        <w:t>International Journal of Agricultural Research, Innovation and Technology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13</w:t>
      </w:r>
      <w:r w:rsidRPr="00426CF0">
        <w:rPr>
          <w:rFonts w:ascii="Calibri" w:hAnsi="Calibri" w:cs="Calibri"/>
          <w:sz w:val="22"/>
          <w:szCs w:val="22"/>
          <w:shd w:val="clear" w:color="auto" w:fill="FFFFFF"/>
        </w:rPr>
        <w:t>(1), pp.123-130.</w:t>
      </w:r>
      <w:r w:rsidR="003A1885">
        <w:rPr>
          <w:rFonts w:ascii="Calibri" w:hAnsi="Calibri" w:cs="Calibri"/>
          <w:sz w:val="22"/>
          <w:szCs w:val="22"/>
          <w:shd w:val="clear" w:color="auto" w:fill="FFFFFF"/>
        </w:rPr>
        <w:t xml:space="preserve"> </w:t>
      </w:r>
      <w:hyperlink r:id="rId36" w:history="1">
        <w:r w:rsidR="003A1885" w:rsidRPr="00540287">
          <w:rPr>
            <w:rStyle w:val="Hyperlink"/>
            <w:rFonts w:ascii="Calibri" w:hAnsi="Calibri" w:cs="Calibri"/>
            <w:sz w:val="22"/>
            <w:szCs w:val="22"/>
            <w:shd w:val="clear" w:color="auto" w:fill="FFFFFF"/>
          </w:rPr>
          <w:t>https://doi.org/10.3329/ijarit.v13i1.68069</w:t>
        </w:r>
      </w:hyperlink>
    </w:p>
    <w:p w14:paraId="4E9F4C4C" w14:textId="6E4A290D" w:rsidR="000632B1" w:rsidRPr="003A1885" w:rsidRDefault="000632B1" w:rsidP="003A1885">
      <w:pPr>
        <w:spacing w:after="0" w:line="240" w:lineRule="auto"/>
        <w:ind w:left="720" w:hanging="720"/>
        <w:jc w:val="both"/>
        <w:rPr>
          <w:rFonts w:ascii="Calibri" w:hAnsi="Calibri" w:cs="Calibri"/>
          <w:shd w:val="clear" w:color="auto" w:fill="FFFFFF"/>
        </w:rPr>
      </w:pPr>
      <w:bookmarkStart w:id="5" w:name="_Hlk222210516"/>
      <w:r w:rsidRPr="003A1885">
        <w:rPr>
          <w:rFonts w:ascii="Calibri" w:hAnsi="Calibri" w:cs="Calibri"/>
          <w:shd w:val="clear" w:color="auto" w:fill="FFFFFF"/>
        </w:rPr>
        <w:t xml:space="preserve">Rahman, M.M. and </w:t>
      </w:r>
      <w:proofErr w:type="spellStart"/>
      <w:r w:rsidRPr="003A1885">
        <w:rPr>
          <w:rFonts w:ascii="Calibri" w:hAnsi="Calibri" w:cs="Calibri"/>
          <w:shd w:val="clear" w:color="auto" w:fill="FFFFFF"/>
        </w:rPr>
        <w:t>Ferdousee</w:t>
      </w:r>
      <w:proofErr w:type="spellEnd"/>
      <w:r w:rsidRPr="003A1885">
        <w:rPr>
          <w:rFonts w:ascii="Calibri" w:hAnsi="Calibri" w:cs="Calibri"/>
          <w:shd w:val="clear" w:color="auto" w:fill="FFFFFF"/>
        </w:rPr>
        <w:t>, S., 2023</w:t>
      </w:r>
      <w:bookmarkEnd w:id="5"/>
      <w:r w:rsidRPr="003A1885">
        <w:rPr>
          <w:rFonts w:ascii="Calibri" w:hAnsi="Calibri" w:cs="Calibri"/>
          <w:shd w:val="clear" w:color="auto" w:fill="FFFFFF"/>
        </w:rPr>
        <w:t>. Food security among the people living in rural Bangladesh: insights from the northern region of the country. </w:t>
      </w:r>
      <w:r w:rsidRPr="003A1885">
        <w:rPr>
          <w:rFonts w:ascii="Calibri" w:hAnsi="Calibri" w:cs="Calibri"/>
          <w:i/>
          <w:iCs/>
          <w:shd w:val="clear" w:color="auto" w:fill="FFFFFF"/>
        </w:rPr>
        <w:t>Circular Agricultural Systems</w:t>
      </w:r>
      <w:r w:rsidRPr="003A1885">
        <w:rPr>
          <w:rFonts w:ascii="Calibri" w:hAnsi="Calibri" w:cs="Calibri"/>
          <w:shd w:val="clear" w:color="auto" w:fill="FFFFFF"/>
        </w:rPr>
        <w:t>, </w:t>
      </w:r>
      <w:r w:rsidRPr="003A1885">
        <w:rPr>
          <w:rFonts w:ascii="Calibri" w:hAnsi="Calibri" w:cs="Calibri"/>
          <w:i/>
          <w:iCs/>
          <w:shd w:val="clear" w:color="auto" w:fill="FFFFFF"/>
        </w:rPr>
        <w:t>3</w:t>
      </w:r>
      <w:r w:rsidRPr="003A1885">
        <w:rPr>
          <w:rFonts w:ascii="Calibri" w:hAnsi="Calibri" w:cs="Calibri"/>
          <w:shd w:val="clear" w:color="auto" w:fill="FFFFFF"/>
        </w:rPr>
        <w:t>(1).</w:t>
      </w:r>
      <w:r w:rsidR="003A1885">
        <w:rPr>
          <w:rFonts w:ascii="Calibri" w:hAnsi="Calibri" w:cs="Calibri"/>
          <w:shd w:val="clear" w:color="auto" w:fill="FFFFFF"/>
        </w:rPr>
        <w:t xml:space="preserve"> </w:t>
      </w:r>
      <w:hyperlink r:id="rId37" w:history="1">
        <w:r w:rsidR="003A1885" w:rsidRPr="00540287">
          <w:rPr>
            <w:rStyle w:val="Hyperlink"/>
            <w:rFonts w:ascii="Calibri" w:hAnsi="Calibri" w:cs="Calibri"/>
            <w:shd w:val="clear" w:color="auto" w:fill="FFFFFF"/>
          </w:rPr>
          <w:t>https://doi.org/10.48130/CAS-2023-0010</w:t>
        </w:r>
      </w:hyperlink>
    </w:p>
    <w:p w14:paraId="503EE43D" w14:textId="6CA93E18"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Rahman, M.M., Barua, S., Zhou, D., Li, T. and Farid, M.S., 2022. Analyzing the market systems for vegetables in the North-Eastern part of Bangladesh. </w:t>
      </w:r>
      <w:r w:rsidRPr="003A1885">
        <w:rPr>
          <w:rFonts w:ascii="Calibri" w:hAnsi="Calibri" w:cs="Calibri"/>
          <w:i/>
          <w:iCs/>
          <w:shd w:val="clear" w:color="auto" w:fill="FFFFFF"/>
        </w:rPr>
        <w:t>Cogent Business &amp; Management</w:t>
      </w:r>
      <w:r w:rsidRPr="003A1885">
        <w:rPr>
          <w:rFonts w:ascii="Calibri" w:hAnsi="Calibri" w:cs="Calibri"/>
          <w:shd w:val="clear" w:color="auto" w:fill="FFFFFF"/>
        </w:rPr>
        <w:t>, </w:t>
      </w:r>
      <w:r w:rsidRPr="003A1885">
        <w:rPr>
          <w:rFonts w:ascii="Calibri" w:hAnsi="Calibri" w:cs="Calibri"/>
          <w:i/>
          <w:iCs/>
          <w:shd w:val="clear" w:color="auto" w:fill="FFFFFF"/>
        </w:rPr>
        <w:t>9</w:t>
      </w:r>
      <w:r w:rsidRPr="003A1885">
        <w:rPr>
          <w:rFonts w:ascii="Calibri" w:hAnsi="Calibri" w:cs="Calibri"/>
          <w:shd w:val="clear" w:color="auto" w:fill="FFFFFF"/>
        </w:rPr>
        <w:t>(1), p.2135222.</w:t>
      </w:r>
      <w:r w:rsidR="003A1885">
        <w:rPr>
          <w:rFonts w:ascii="Calibri" w:hAnsi="Calibri" w:cs="Calibri"/>
          <w:shd w:val="clear" w:color="auto" w:fill="FFFFFF"/>
        </w:rPr>
        <w:t xml:space="preserve"> </w:t>
      </w:r>
      <w:hyperlink r:id="rId38" w:history="1">
        <w:r w:rsidR="003A1885" w:rsidRPr="00540287">
          <w:rPr>
            <w:rStyle w:val="Hyperlink"/>
            <w:rFonts w:ascii="Calibri" w:hAnsi="Calibri" w:cs="Calibri"/>
            <w:shd w:val="clear" w:color="auto" w:fill="FFFFFF"/>
          </w:rPr>
          <w:t>https://doi.org/10.1080/23311975.2022.2135222</w:t>
        </w:r>
      </w:hyperlink>
    </w:p>
    <w:p w14:paraId="17C6CFD4" w14:textId="353F6BAD" w:rsidR="000632B1" w:rsidRPr="003A1885" w:rsidRDefault="000632B1" w:rsidP="003A1885">
      <w:pPr>
        <w:spacing w:after="0" w:line="240" w:lineRule="auto"/>
        <w:ind w:left="720" w:hanging="720"/>
        <w:jc w:val="both"/>
        <w:rPr>
          <w:rStyle w:val="Hyperlink"/>
          <w:rFonts w:ascii="Calibri" w:eastAsia="Times New Roman" w:hAnsi="Calibri" w:cs="Calibri"/>
          <w:color w:val="auto"/>
          <w:kern w:val="0"/>
          <w14:ligatures w14:val="none"/>
        </w:rPr>
      </w:pPr>
      <w:r w:rsidRPr="003A1885">
        <w:rPr>
          <w:rFonts w:ascii="Calibri" w:hAnsi="Calibri" w:cs="Calibri"/>
          <w:shd w:val="clear" w:color="auto" w:fill="FFFFFF"/>
        </w:rPr>
        <w:t>Rahman, M.M., Barua, S., Zhou, D., Li, T. and Farid, M.S., 2022. Analyzing the value chain for vegetables in the North-Eastern part of Bangladesh. </w:t>
      </w:r>
      <w:r w:rsidRPr="003A1885">
        <w:rPr>
          <w:rFonts w:ascii="Calibri" w:hAnsi="Calibri" w:cs="Calibri"/>
          <w:i/>
          <w:iCs/>
          <w:shd w:val="clear" w:color="auto" w:fill="FFFFFF"/>
        </w:rPr>
        <w:t>Cogent Business &amp; Management</w:t>
      </w:r>
      <w:r w:rsidRPr="003A1885">
        <w:rPr>
          <w:rFonts w:ascii="Calibri" w:hAnsi="Calibri" w:cs="Calibri"/>
          <w:shd w:val="clear" w:color="auto" w:fill="FFFFFF"/>
        </w:rPr>
        <w:t>, </w:t>
      </w:r>
      <w:r w:rsidRPr="003A1885">
        <w:rPr>
          <w:rFonts w:ascii="Calibri" w:hAnsi="Calibri" w:cs="Calibri"/>
          <w:i/>
          <w:iCs/>
          <w:shd w:val="clear" w:color="auto" w:fill="FFFFFF"/>
        </w:rPr>
        <w:t>9</w:t>
      </w:r>
      <w:r w:rsidRPr="003A1885">
        <w:rPr>
          <w:rFonts w:ascii="Calibri" w:hAnsi="Calibri" w:cs="Calibri"/>
          <w:shd w:val="clear" w:color="auto" w:fill="FFFFFF"/>
        </w:rPr>
        <w:t>(1), p.2135222.</w:t>
      </w:r>
      <w:r w:rsidR="003A1885">
        <w:rPr>
          <w:rFonts w:ascii="Calibri" w:hAnsi="Calibri" w:cs="Calibri"/>
          <w:shd w:val="clear" w:color="auto" w:fill="FFFFFF"/>
        </w:rPr>
        <w:t xml:space="preserve"> </w:t>
      </w:r>
      <w:hyperlink r:id="rId39" w:history="1">
        <w:r w:rsidR="003A1885" w:rsidRPr="00540287">
          <w:rPr>
            <w:rStyle w:val="Hyperlink"/>
            <w:rFonts w:ascii="Calibri" w:hAnsi="Calibri" w:cs="Calibri"/>
          </w:rPr>
          <w:t>https://doi.org/10.1080/23311975.2022.2135222</w:t>
        </w:r>
      </w:hyperlink>
    </w:p>
    <w:p w14:paraId="411FBF6C" w14:textId="2F6608A4"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Rahman, M.M., Zhou, D., Barua, S., Farid, M.S., and Tahira, K.T., 2021. Challenges of value chain actors for vegetable production and marketing in North-East Bangladesh. </w:t>
      </w:r>
      <w:proofErr w:type="spellStart"/>
      <w:r w:rsidRPr="003A1885">
        <w:rPr>
          <w:rFonts w:ascii="Calibri" w:hAnsi="Calibri" w:cs="Calibri"/>
          <w:i/>
          <w:iCs/>
          <w:shd w:val="clear" w:color="auto" w:fill="FFFFFF"/>
        </w:rPr>
        <w:t>GeoJournal</w:t>
      </w:r>
      <w:proofErr w:type="spellEnd"/>
      <w:r w:rsidRPr="003A1885">
        <w:rPr>
          <w:rFonts w:ascii="Calibri" w:hAnsi="Calibri" w:cs="Calibri"/>
          <w:shd w:val="clear" w:color="auto" w:fill="FFFFFF"/>
        </w:rPr>
        <w:t>, </w:t>
      </w:r>
      <w:r w:rsidRPr="003A1885">
        <w:rPr>
          <w:rFonts w:ascii="Calibri" w:hAnsi="Calibri" w:cs="Calibri"/>
          <w:i/>
          <w:iCs/>
          <w:shd w:val="clear" w:color="auto" w:fill="FFFFFF"/>
        </w:rPr>
        <w:t>86</w:t>
      </w:r>
      <w:r w:rsidRPr="003A1885">
        <w:rPr>
          <w:rFonts w:ascii="Calibri" w:hAnsi="Calibri" w:cs="Calibri"/>
          <w:shd w:val="clear" w:color="auto" w:fill="FFFFFF"/>
        </w:rPr>
        <w:t>(4), pp.1957-1967.</w:t>
      </w:r>
      <w:r w:rsidR="003A1885">
        <w:rPr>
          <w:rFonts w:ascii="Calibri" w:hAnsi="Calibri" w:cs="Calibri"/>
          <w:shd w:val="clear" w:color="auto" w:fill="FFFFFF"/>
        </w:rPr>
        <w:t xml:space="preserve"> </w:t>
      </w:r>
      <w:hyperlink r:id="rId40" w:history="1">
        <w:r w:rsidR="003A1885" w:rsidRPr="00540287">
          <w:rPr>
            <w:rStyle w:val="Hyperlink"/>
            <w:rFonts w:ascii="Calibri" w:hAnsi="Calibri" w:cs="Calibri"/>
            <w:shd w:val="clear" w:color="auto" w:fill="FFFFFF"/>
          </w:rPr>
          <w:t>https://doi.org/10.1007/s10708-020-10170-y</w:t>
        </w:r>
      </w:hyperlink>
    </w:p>
    <w:p w14:paraId="79FF700B" w14:textId="7A98DE1F"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Rahman, M.S. and Khatun, M., 2020. Postharvest Losses of Cucumber Production at Farm Level in Selected Areas of Bangladesh. </w:t>
      </w:r>
      <w:r w:rsidRPr="003A1885">
        <w:rPr>
          <w:rFonts w:ascii="Calibri" w:hAnsi="Calibri" w:cs="Calibri"/>
          <w:i/>
          <w:iCs/>
          <w:shd w:val="clear" w:color="auto" w:fill="FFFFFF"/>
        </w:rPr>
        <w:t>Bangladesh Journal of Agricultural Research</w:t>
      </w:r>
      <w:r w:rsidRPr="003A1885">
        <w:rPr>
          <w:rFonts w:ascii="Calibri" w:hAnsi="Calibri" w:cs="Calibri"/>
          <w:shd w:val="clear" w:color="auto" w:fill="FFFFFF"/>
        </w:rPr>
        <w:t>, </w:t>
      </w:r>
      <w:r w:rsidRPr="003A1885">
        <w:rPr>
          <w:rFonts w:ascii="Calibri" w:hAnsi="Calibri" w:cs="Calibri"/>
          <w:i/>
          <w:iCs/>
          <w:shd w:val="clear" w:color="auto" w:fill="FFFFFF"/>
        </w:rPr>
        <w:t>45</w:t>
      </w:r>
      <w:r w:rsidRPr="003A1885">
        <w:rPr>
          <w:rFonts w:ascii="Calibri" w:hAnsi="Calibri" w:cs="Calibri"/>
          <w:shd w:val="clear" w:color="auto" w:fill="FFFFFF"/>
        </w:rPr>
        <w:t>(3), pp.269-277.</w:t>
      </w:r>
      <w:r w:rsidR="003A1885">
        <w:rPr>
          <w:rFonts w:ascii="Calibri" w:hAnsi="Calibri" w:cs="Calibri"/>
          <w:shd w:val="clear" w:color="auto" w:fill="FFFFFF"/>
        </w:rPr>
        <w:t xml:space="preserve"> </w:t>
      </w:r>
      <w:hyperlink r:id="rId41" w:history="1">
        <w:r w:rsidR="003A1885" w:rsidRPr="00540287">
          <w:rPr>
            <w:rStyle w:val="Hyperlink"/>
            <w:rFonts w:ascii="Calibri" w:hAnsi="Calibri" w:cs="Calibri"/>
            <w:shd w:val="clear" w:color="auto" w:fill="FFFFFF"/>
          </w:rPr>
          <w:t>https://doi.org/10.3329/bjar.v45i3.62947</w:t>
        </w:r>
      </w:hyperlink>
    </w:p>
    <w:p w14:paraId="577A3FB8" w14:textId="4ABC15FF"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eastAsia="Times New Roman" w:hAnsi="Calibri" w:cs="Calibri"/>
          <w:kern w:val="0"/>
          <w14:ligatures w14:val="none"/>
        </w:rPr>
        <w:t xml:space="preserve">Rahman, Z., Islam, M.J., Mahmuda, S., and Hossain, M.E., 2022. Factors Influencing Farmers’ Access to Formal Credit Market in </w:t>
      </w:r>
      <w:proofErr w:type="spellStart"/>
      <w:r w:rsidRPr="003A1885">
        <w:rPr>
          <w:rFonts w:ascii="Calibri" w:eastAsia="Times New Roman" w:hAnsi="Calibri" w:cs="Calibri"/>
          <w:kern w:val="0"/>
          <w14:ligatures w14:val="none"/>
        </w:rPr>
        <w:t>Naogaon</w:t>
      </w:r>
      <w:proofErr w:type="spellEnd"/>
      <w:r w:rsidRPr="003A1885">
        <w:rPr>
          <w:rFonts w:ascii="Calibri" w:eastAsia="Times New Roman" w:hAnsi="Calibri" w:cs="Calibri"/>
          <w:kern w:val="0"/>
          <w14:ligatures w14:val="none"/>
        </w:rPr>
        <w:t xml:space="preserve"> District of Bangladesh: An Empirical Analysis. European Journal of Business and Management Research, 7(5), pp.30-38.</w:t>
      </w:r>
      <w:r w:rsidR="003A1885">
        <w:rPr>
          <w:rFonts w:ascii="Calibri" w:eastAsia="Times New Roman" w:hAnsi="Calibri" w:cs="Calibri"/>
          <w:kern w:val="0"/>
          <w14:ligatures w14:val="none"/>
        </w:rPr>
        <w:t xml:space="preserve"> </w:t>
      </w:r>
      <w:hyperlink r:id="rId42" w:history="1">
        <w:r w:rsidR="003A1885" w:rsidRPr="00540287">
          <w:rPr>
            <w:rStyle w:val="Hyperlink"/>
            <w:rFonts w:ascii="Calibri" w:eastAsia="Times New Roman" w:hAnsi="Calibri" w:cs="Calibri"/>
            <w:kern w:val="0"/>
            <w14:ligatures w14:val="none"/>
          </w:rPr>
          <w:t>https://doi.org/10.24018/ejbmr.2022.7.5.1593</w:t>
        </w:r>
      </w:hyperlink>
    </w:p>
    <w:p w14:paraId="07EB5B13" w14:textId="20D8AA08"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Rana, M.M., Kiminami, L. and </w:t>
      </w:r>
      <w:proofErr w:type="spellStart"/>
      <w:r w:rsidRPr="003A1885">
        <w:rPr>
          <w:rFonts w:ascii="Calibri" w:hAnsi="Calibri" w:cs="Calibri"/>
          <w:shd w:val="clear" w:color="auto" w:fill="FFFFFF"/>
        </w:rPr>
        <w:t>Furuzawa</w:t>
      </w:r>
      <w:proofErr w:type="spellEnd"/>
      <w:r w:rsidRPr="003A1885">
        <w:rPr>
          <w:rFonts w:ascii="Calibri" w:hAnsi="Calibri" w:cs="Calibri"/>
          <w:shd w:val="clear" w:color="auto" w:fill="FFFFFF"/>
        </w:rPr>
        <w:t>, S., 2025. An analysis of factors affecting farmers’ capacity building for sustainable rural and agricultural development in Bangladesh. </w:t>
      </w:r>
      <w:r w:rsidRPr="003A1885">
        <w:rPr>
          <w:rFonts w:ascii="Calibri" w:hAnsi="Calibri" w:cs="Calibri"/>
          <w:i/>
          <w:iCs/>
          <w:shd w:val="clear" w:color="auto" w:fill="FFFFFF"/>
        </w:rPr>
        <w:t>Regional Science Policy &amp; Practice</w:t>
      </w:r>
      <w:r w:rsidRPr="003A1885">
        <w:rPr>
          <w:rFonts w:ascii="Calibri" w:hAnsi="Calibri" w:cs="Calibri"/>
          <w:shd w:val="clear" w:color="auto" w:fill="FFFFFF"/>
        </w:rPr>
        <w:t>, </w:t>
      </w:r>
      <w:r w:rsidRPr="003A1885">
        <w:rPr>
          <w:rFonts w:ascii="Calibri" w:hAnsi="Calibri" w:cs="Calibri"/>
          <w:i/>
          <w:iCs/>
          <w:shd w:val="clear" w:color="auto" w:fill="FFFFFF"/>
        </w:rPr>
        <w:t>17</w:t>
      </w:r>
      <w:r w:rsidRPr="003A1885">
        <w:rPr>
          <w:rFonts w:ascii="Calibri" w:hAnsi="Calibri" w:cs="Calibri"/>
          <w:shd w:val="clear" w:color="auto" w:fill="FFFFFF"/>
        </w:rPr>
        <w:t>(8), p.100202.</w:t>
      </w:r>
      <w:r w:rsidR="003A1885">
        <w:rPr>
          <w:rFonts w:ascii="Calibri" w:hAnsi="Calibri" w:cs="Calibri"/>
          <w:shd w:val="clear" w:color="auto" w:fill="FFFFFF"/>
        </w:rPr>
        <w:t xml:space="preserve"> </w:t>
      </w:r>
      <w:hyperlink r:id="rId43" w:history="1">
        <w:r w:rsidR="003A1885" w:rsidRPr="00540287">
          <w:rPr>
            <w:rStyle w:val="Hyperlink"/>
            <w:rFonts w:ascii="Calibri" w:hAnsi="Calibri" w:cs="Calibri"/>
            <w:shd w:val="clear" w:color="auto" w:fill="FFFFFF"/>
          </w:rPr>
          <w:t>https://doi.org/10.1016/j.rspp.2025.100202</w:t>
        </w:r>
      </w:hyperlink>
    </w:p>
    <w:p w14:paraId="6B11AA96" w14:textId="718DB1FC"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Rashid, M. R. A., Hasan, M., Islam, M. A., et al. (2024). </w:t>
      </w:r>
      <w:r w:rsidRPr="003A1885">
        <w:rPr>
          <w:rFonts w:ascii="Calibri" w:hAnsi="Calibri" w:cs="Calibri"/>
          <w:i/>
          <w:iCs/>
        </w:rPr>
        <w:t>Transforming agri-food value chains in Bangladesh: A practical application of blockchain for traceability and fair pricing</w:t>
      </w:r>
      <w:r w:rsidRPr="003A1885">
        <w:rPr>
          <w:rFonts w:ascii="Calibri" w:hAnsi="Calibri" w:cs="Calibri"/>
        </w:rPr>
        <w:t xml:space="preserve">. </w:t>
      </w:r>
      <w:proofErr w:type="spellStart"/>
      <w:r w:rsidRPr="003A1885">
        <w:rPr>
          <w:rFonts w:ascii="Calibri" w:hAnsi="Calibri" w:cs="Calibri"/>
        </w:rPr>
        <w:t>Heliyon</w:t>
      </w:r>
      <w:proofErr w:type="spellEnd"/>
      <w:r w:rsidRPr="003A1885">
        <w:rPr>
          <w:rFonts w:ascii="Calibri" w:hAnsi="Calibri" w:cs="Calibri"/>
        </w:rPr>
        <w:t>, 10(21), e40091.</w:t>
      </w:r>
      <w:r w:rsidR="003A1885">
        <w:rPr>
          <w:rFonts w:ascii="Calibri" w:hAnsi="Calibri" w:cs="Calibri"/>
        </w:rPr>
        <w:t xml:space="preserve"> </w:t>
      </w:r>
      <w:hyperlink r:id="rId44" w:history="1">
        <w:r w:rsidR="003A1885" w:rsidRPr="00540287">
          <w:rPr>
            <w:rStyle w:val="Hyperlink"/>
            <w:rFonts w:ascii="Calibri" w:hAnsi="Calibri" w:cs="Calibri"/>
          </w:rPr>
          <w:t>https://doi.org/10.1016/j.heliyon.2024.e40091</w:t>
        </w:r>
      </w:hyperlink>
    </w:p>
    <w:p w14:paraId="1FCA2FA9" w14:textId="2DF710C3" w:rsidR="000632B1" w:rsidRPr="003A1885" w:rsidRDefault="000632B1" w:rsidP="003A1885">
      <w:pPr>
        <w:spacing w:after="0" w:line="240" w:lineRule="auto"/>
        <w:ind w:left="720" w:hanging="720"/>
        <w:jc w:val="both"/>
        <w:rPr>
          <w:rFonts w:ascii="Calibri" w:hAnsi="Calibri" w:cs="Calibri"/>
        </w:rPr>
      </w:pPr>
      <w:bookmarkStart w:id="6" w:name="_Hlk222143200"/>
      <w:r w:rsidRPr="003A1885">
        <w:rPr>
          <w:rFonts w:ascii="Calibri" w:hAnsi="Calibri" w:cs="Calibri"/>
          <w:shd w:val="clear" w:color="auto" w:fill="FFFFFF"/>
        </w:rPr>
        <w:t>Rashid</w:t>
      </w:r>
      <w:bookmarkEnd w:id="6"/>
      <w:r w:rsidRPr="003A1885">
        <w:rPr>
          <w:rFonts w:ascii="Calibri" w:hAnsi="Calibri" w:cs="Calibri"/>
          <w:shd w:val="clear" w:color="auto" w:fill="FFFFFF"/>
        </w:rPr>
        <w:t>, M.M., Mondol, M.A.S., and Rahman, M.S., 2024. A Review on Status and Influencing Factors of Agricultural Diversification in Bangladesh. </w:t>
      </w:r>
      <w:r w:rsidRPr="003A1885">
        <w:rPr>
          <w:rFonts w:ascii="Calibri" w:hAnsi="Calibri" w:cs="Calibri"/>
          <w:i/>
          <w:iCs/>
          <w:shd w:val="clear" w:color="auto" w:fill="FFFFFF"/>
        </w:rPr>
        <w:t>Asian Journal of Agricultural Extension, Economics &amp; Sociology</w:t>
      </w:r>
      <w:r w:rsidRPr="003A1885">
        <w:rPr>
          <w:rFonts w:ascii="Calibri" w:hAnsi="Calibri" w:cs="Calibri"/>
          <w:shd w:val="clear" w:color="auto" w:fill="FFFFFF"/>
        </w:rPr>
        <w:t>, </w:t>
      </w:r>
      <w:r w:rsidRPr="003A1885">
        <w:rPr>
          <w:rFonts w:ascii="Calibri" w:hAnsi="Calibri" w:cs="Calibri"/>
          <w:i/>
          <w:iCs/>
          <w:shd w:val="clear" w:color="auto" w:fill="FFFFFF"/>
        </w:rPr>
        <w:t>42</w:t>
      </w:r>
      <w:r w:rsidRPr="003A1885">
        <w:rPr>
          <w:rFonts w:ascii="Calibri" w:hAnsi="Calibri" w:cs="Calibri"/>
          <w:shd w:val="clear" w:color="auto" w:fill="FFFFFF"/>
        </w:rPr>
        <w:t>(10), pp.71-90.</w:t>
      </w:r>
      <w:r w:rsidR="003A1885">
        <w:rPr>
          <w:rFonts w:ascii="Calibri" w:hAnsi="Calibri" w:cs="Calibri"/>
          <w:shd w:val="clear" w:color="auto" w:fill="FFFFFF"/>
        </w:rPr>
        <w:t xml:space="preserve"> </w:t>
      </w:r>
      <w:hyperlink r:id="rId45" w:history="1">
        <w:r w:rsidR="003A1885" w:rsidRPr="00540287">
          <w:rPr>
            <w:rStyle w:val="Hyperlink"/>
            <w:rFonts w:ascii="Calibri" w:hAnsi="Calibri" w:cs="Calibri"/>
            <w:shd w:val="clear" w:color="auto" w:fill="FFFFFF"/>
          </w:rPr>
          <w:t>https://doi.org/10.9734/ajaees/2024/v42i102564</w:t>
        </w:r>
      </w:hyperlink>
    </w:p>
    <w:p w14:paraId="2A9320EA" w14:textId="19C76A00"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 xml:space="preserve">Ravisankar, N., Ansari, M.A., Shamim, M., </w:t>
      </w:r>
      <w:proofErr w:type="spellStart"/>
      <w:r w:rsidRPr="00426CF0">
        <w:rPr>
          <w:rFonts w:ascii="Calibri" w:hAnsi="Calibri" w:cs="Calibri"/>
          <w:sz w:val="22"/>
          <w:szCs w:val="22"/>
          <w:shd w:val="clear" w:color="auto" w:fill="FFFFFF"/>
        </w:rPr>
        <w:t>Prusty</w:t>
      </w:r>
      <w:proofErr w:type="spellEnd"/>
      <w:r w:rsidRPr="00426CF0">
        <w:rPr>
          <w:rFonts w:ascii="Calibri" w:hAnsi="Calibri" w:cs="Calibri"/>
          <w:sz w:val="22"/>
          <w:szCs w:val="22"/>
          <w:shd w:val="clear" w:color="auto" w:fill="FFFFFF"/>
        </w:rPr>
        <w:t>, A.K., Singh, R., Panwar, A.S., Dutta, D., Bhaskar, S., Bindhu, J.S., Sanjay, M.T., and Kaur, J., 2022. Sustainable livelihood security of small farmers improved through a resilient farming system in the semiarid region of India. </w:t>
      </w:r>
      <w:r w:rsidRPr="00426CF0">
        <w:rPr>
          <w:rFonts w:ascii="Calibri" w:hAnsi="Calibri" w:cs="Calibri"/>
          <w:i/>
          <w:iCs/>
          <w:sz w:val="22"/>
          <w:szCs w:val="22"/>
          <w:shd w:val="clear" w:color="auto" w:fill="FFFFFF"/>
        </w:rPr>
        <w:t>Land Degradation &amp; Development</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33</w:t>
      </w:r>
      <w:r w:rsidRPr="00426CF0">
        <w:rPr>
          <w:rFonts w:ascii="Calibri" w:hAnsi="Calibri" w:cs="Calibri"/>
          <w:sz w:val="22"/>
          <w:szCs w:val="22"/>
          <w:shd w:val="clear" w:color="auto" w:fill="FFFFFF"/>
        </w:rPr>
        <w:t>(15), pp.2830-2842.</w:t>
      </w:r>
      <w:r w:rsidR="003A1885">
        <w:rPr>
          <w:rFonts w:ascii="Calibri" w:hAnsi="Calibri" w:cs="Calibri"/>
          <w:sz w:val="22"/>
          <w:szCs w:val="22"/>
          <w:shd w:val="clear" w:color="auto" w:fill="FFFFFF"/>
        </w:rPr>
        <w:t xml:space="preserve"> </w:t>
      </w:r>
      <w:hyperlink r:id="rId46" w:history="1">
        <w:r w:rsidR="003A1885" w:rsidRPr="00540287">
          <w:rPr>
            <w:rStyle w:val="Hyperlink"/>
            <w:rFonts w:ascii="Calibri" w:hAnsi="Calibri" w:cs="Calibri"/>
            <w:sz w:val="22"/>
            <w:szCs w:val="22"/>
            <w:shd w:val="clear" w:color="auto" w:fill="FFFFFF"/>
          </w:rPr>
          <w:t>https://doi.org/10.1002/ldr.4358</w:t>
        </w:r>
      </w:hyperlink>
    </w:p>
    <w:p w14:paraId="69628586" w14:textId="2B69803F"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bookmarkStart w:id="7" w:name="_Hlk222212229"/>
      <w:r w:rsidRPr="00426CF0">
        <w:rPr>
          <w:rFonts w:ascii="Calibri" w:hAnsi="Calibri" w:cs="Calibri"/>
          <w:sz w:val="22"/>
          <w:szCs w:val="22"/>
          <w:shd w:val="clear" w:color="auto" w:fill="FFFFFF"/>
        </w:rPr>
        <w:t>Rayhan</w:t>
      </w:r>
      <w:bookmarkEnd w:id="7"/>
      <w:r w:rsidRPr="00426CF0">
        <w:rPr>
          <w:rFonts w:ascii="Calibri" w:hAnsi="Calibri" w:cs="Calibri"/>
          <w:sz w:val="22"/>
          <w:szCs w:val="22"/>
          <w:shd w:val="clear" w:color="auto" w:fill="FFFFFF"/>
        </w:rPr>
        <w:t>, M.J., Rahman, S.M., Mamun, A.A., Saif, A.N.M., Islam, K.A., Alom, M.M., and Hafiz, N., 2024. FinTech solutions for sustainable agricultural value chains: A perspective from smallholder farmers. </w:t>
      </w:r>
      <w:r w:rsidRPr="00426CF0">
        <w:rPr>
          <w:rFonts w:ascii="Calibri" w:hAnsi="Calibri" w:cs="Calibri"/>
          <w:i/>
          <w:iCs/>
          <w:sz w:val="22"/>
          <w:szCs w:val="22"/>
          <w:shd w:val="clear" w:color="auto" w:fill="FFFFFF"/>
        </w:rPr>
        <w:t>Business Strategy &amp; Development</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7</w:t>
      </w:r>
      <w:r w:rsidRPr="00426CF0">
        <w:rPr>
          <w:rFonts w:ascii="Calibri" w:hAnsi="Calibri" w:cs="Calibri"/>
          <w:sz w:val="22"/>
          <w:szCs w:val="22"/>
          <w:shd w:val="clear" w:color="auto" w:fill="FFFFFF"/>
        </w:rPr>
        <w:t>(2), p.e358.</w:t>
      </w:r>
      <w:r w:rsidR="003A1885">
        <w:rPr>
          <w:rFonts w:ascii="Calibri" w:hAnsi="Calibri" w:cs="Calibri"/>
          <w:sz w:val="22"/>
          <w:szCs w:val="22"/>
          <w:shd w:val="clear" w:color="auto" w:fill="FFFFFF"/>
        </w:rPr>
        <w:t xml:space="preserve"> </w:t>
      </w:r>
      <w:hyperlink r:id="rId47" w:history="1">
        <w:r w:rsidR="003A1885" w:rsidRPr="00540287">
          <w:rPr>
            <w:rStyle w:val="Hyperlink"/>
            <w:rFonts w:ascii="Calibri" w:hAnsi="Calibri" w:cs="Calibri"/>
            <w:sz w:val="22"/>
            <w:szCs w:val="22"/>
            <w:shd w:val="clear" w:color="auto" w:fill="FFFFFF"/>
          </w:rPr>
          <w:t>https://doi.org/10.1002/bsd2.358</w:t>
        </w:r>
      </w:hyperlink>
    </w:p>
    <w:p w14:paraId="03A961B1" w14:textId="3D7973D5"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 xml:space="preserve">Reddy, R.V., </w:t>
      </w:r>
      <w:proofErr w:type="spellStart"/>
      <w:r w:rsidRPr="003A1885">
        <w:rPr>
          <w:rFonts w:ascii="Calibri" w:hAnsi="Calibri" w:cs="Calibri"/>
          <w:shd w:val="clear" w:color="auto" w:fill="FFFFFF"/>
        </w:rPr>
        <w:t>Rahut</w:t>
      </w:r>
      <w:proofErr w:type="spellEnd"/>
      <w:r w:rsidRPr="003A1885">
        <w:rPr>
          <w:rFonts w:ascii="Calibri" w:hAnsi="Calibri" w:cs="Calibri"/>
          <w:shd w:val="clear" w:color="auto" w:fill="FFFFFF"/>
        </w:rPr>
        <w:t xml:space="preserve">, D., and </w:t>
      </w:r>
      <w:proofErr w:type="spellStart"/>
      <w:r w:rsidRPr="003A1885">
        <w:rPr>
          <w:rFonts w:ascii="Calibri" w:hAnsi="Calibri" w:cs="Calibri"/>
          <w:shd w:val="clear" w:color="auto" w:fill="FFFFFF"/>
        </w:rPr>
        <w:t>Sonobe</w:t>
      </w:r>
      <w:proofErr w:type="spellEnd"/>
      <w:r w:rsidRPr="003A1885">
        <w:rPr>
          <w:rFonts w:ascii="Calibri" w:hAnsi="Calibri" w:cs="Calibri"/>
          <w:shd w:val="clear" w:color="auto" w:fill="FFFFFF"/>
        </w:rPr>
        <w:t>, T., 2025. </w:t>
      </w:r>
      <w:r w:rsidRPr="003A1885">
        <w:rPr>
          <w:rFonts w:ascii="Calibri" w:hAnsi="Calibri" w:cs="Calibri"/>
          <w:i/>
          <w:iCs/>
          <w:shd w:val="clear" w:color="auto" w:fill="FFFFFF"/>
        </w:rPr>
        <w:t>The Future of Smallholder Farming in Asia</w:t>
      </w:r>
      <w:r w:rsidRPr="003A1885">
        <w:rPr>
          <w:rFonts w:ascii="Calibri" w:hAnsi="Calibri" w:cs="Calibri"/>
          <w:shd w:val="clear" w:color="auto" w:fill="FFFFFF"/>
        </w:rPr>
        <w:t>. Asian Development Bank.</w:t>
      </w:r>
      <w:r w:rsidR="003A1885">
        <w:rPr>
          <w:rFonts w:ascii="Calibri" w:hAnsi="Calibri" w:cs="Calibri"/>
          <w:shd w:val="clear" w:color="auto" w:fill="FFFFFF"/>
        </w:rPr>
        <w:t xml:space="preserve"> </w:t>
      </w:r>
      <w:hyperlink r:id="rId48" w:history="1">
        <w:r w:rsidR="003A1885" w:rsidRPr="00540287">
          <w:rPr>
            <w:rStyle w:val="Hyperlink"/>
            <w:rFonts w:ascii="Calibri" w:hAnsi="Calibri" w:cs="Calibri"/>
            <w:shd w:val="clear" w:color="auto" w:fill="FFFFFF"/>
          </w:rPr>
          <w:t>https://doi.org/10.56506/QXWB2020</w:t>
        </w:r>
      </w:hyperlink>
    </w:p>
    <w:p w14:paraId="14156805" w14:textId="312D8ACD"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Sarker, M.M.R., Aleen, M.J. and Datta, T., 2025. Agricultural transformation and its contribution to economic development in South Asian and African countries. </w:t>
      </w:r>
      <w:r w:rsidRPr="00426CF0">
        <w:rPr>
          <w:rFonts w:ascii="Calibri" w:hAnsi="Calibri" w:cs="Calibri"/>
          <w:i/>
          <w:iCs/>
          <w:sz w:val="22"/>
          <w:szCs w:val="22"/>
          <w:shd w:val="clear" w:color="auto" w:fill="FFFFFF"/>
        </w:rPr>
        <w:t>Asian Journal of Advances in Agricultural Research</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25</w:t>
      </w:r>
      <w:r w:rsidRPr="00426CF0">
        <w:rPr>
          <w:rFonts w:ascii="Calibri" w:hAnsi="Calibri" w:cs="Calibri"/>
          <w:sz w:val="22"/>
          <w:szCs w:val="22"/>
          <w:shd w:val="clear" w:color="auto" w:fill="FFFFFF"/>
        </w:rPr>
        <w:t>(1), pp.19-31.</w:t>
      </w:r>
      <w:r w:rsidR="003A1885">
        <w:rPr>
          <w:rFonts w:ascii="Calibri" w:hAnsi="Calibri" w:cs="Calibri"/>
          <w:sz w:val="22"/>
          <w:szCs w:val="22"/>
          <w:shd w:val="clear" w:color="auto" w:fill="FFFFFF"/>
        </w:rPr>
        <w:t xml:space="preserve"> </w:t>
      </w:r>
      <w:hyperlink r:id="rId49" w:history="1">
        <w:r w:rsidR="003A1885" w:rsidRPr="00540287">
          <w:rPr>
            <w:rStyle w:val="Hyperlink"/>
            <w:rFonts w:ascii="Calibri" w:hAnsi="Calibri" w:cs="Calibri"/>
            <w:sz w:val="22"/>
            <w:szCs w:val="22"/>
            <w:shd w:val="clear" w:color="auto" w:fill="FFFFFF"/>
          </w:rPr>
          <w:t>https://doi.org/10.9734/ajaar/2025/v25i1577</w:t>
        </w:r>
      </w:hyperlink>
      <w:r w:rsidR="003A1885">
        <w:rPr>
          <w:rStyle w:val="Hyperlink"/>
          <w:rFonts w:ascii="Calibri" w:hAnsi="Calibri" w:cs="Calibri"/>
          <w:color w:val="auto"/>
          <w:sz w:val="22"/>
          <w:szCs w:val="22"/>
          <w:shd w:val="clear" w:color="auto" w:fill="FFFFFF"/>
        </w:rPr>
        <w:t xml:space="preserve"> </w:t>
      </w:r>
    </w:p>
    <w:p w14:paraId="14443B72" w14:textId="0D695D82"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Sarker, U.K., Kaysar, M.S., Uddin, M.R., Hossain, M.A., Hassan, S., and Hassan, M.M., 2022. Exploring farmers’ insight on cropping patterns for sustainable crop production in the char area of Bangladesh. </w:t>
      </w:r>
      <w:r w:rsidRPr="003A1885">
        <w:rPr>
          <w:rFonts w:ascii="Calibri" w:hAnsi="Calibri" w:cs="Calibri"/>
          <w:i/>
          <w:iCs/>
          <w:shd w:val="clear" w:color="auto" w:fill="FFFFFF"/>
        </w:rPr>
        <w:t>Sustainability</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(3), p.1745.</w:t>
      </w:r>
      <w:r w:rsidR="003A1885">
        <w:rPr>
          <w:rFonts w:ascii="Calibri" w:hAnsi="Calibri" w:cs="Calibri"/>
          <w:shd w:val="clear" w:color="auto" w:fill="FFFFFF"/>
        </w:rPr>
        <w:t xml:space="preserve"> </w:t>
      </w:r>
      <w:hyperlink r:id="rId50" w:history="1">
        <w:r w:rsidR="003A1885" w:rsidRPr="00540287">
          <w:rPr>
            <w:rStyle w:val="Hyperlink"/>
            <w:rFonts w:ascii="Calibri" w:hAnsi="Calibri" w:cs="Calibri"/>
          </w:rPr>
          <w:t>https://doi.org/10.3390/su14031745</w:t>
        </w:r>
      </w:hyperlink>
    </w:p>
    <w:p w14:paraId="18A93DA9" w14:textId="2DB6158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lastRenderedPageBreak/>
        <w:t>Sarma, P.K., Alam, M.J., Begum, I.A. and McKenzie, A.M., 2024. The effect of total factor productivity on the food security and livelihood vulnerability of farm households in Bangladesh. </w:t>
      </w:r>
      <w:r w:rsidRPr="00426CF0">
        <w:rPr>
          <w:rFonts w:ascii="Calibri" w:hAnsi="Calibri" w:cs="Calibri"/>
          <w:i/>
          <w:iCs/>
          <w:sz w:val="22"/>
          <w:szCs w:val="22"/>
          <w:shd w:val="clear" w:color="auto" w:fill="FFFFFF"/>
        </w:rPr>
        <w:t>Frontiers in Sustainable Food Systems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8</w:t>
      </w:r>
      <w:r w:rsidRPr="00426CF0">
        <w:rPr>
          <w:rFonts w:ascii="Calibri" w:hAnsi="Calibri" w:cs="Calibri"/>
          <w:sz w:val="22"/>
          <w:szCs w:val="22"/>
          <w:shd w:val="clear" w:color="auto" w:fill="FFFFFF"/>
        </w:rPr>
        <w:t>, p.1395897.</w:t>
      </w:r>
      <w:r w:rsidR="003A1885">
        <w:rPr>
          <w:rFonts w:ascii="Calibri" w:hAnsi="Calibri" w:cs="Calibri"/>
          <w:sz w:val="22"/>
          <w:szCs w:val="22"/>
          <w:shd w:val="clear" w:color="auto" w:fill="FFFFFF"/>
        </w:rPr>
        <w:t xml:space="preserve"> </w:t>
      </w:r>
      <w:hyperlink r:id="rId51" w:history="1">
        <w:r w:rsidR="003A1885" w:rsidRPr="00540287">
          <w:rPr>
            <w:rStyle w:val="Hyperlink"/>
            <w:rFonts w:ascii="Calibri" w:hAnsi="Calibri" w:cs="Calibri"/>
            <w:sz w:val="22"/>
            <w:szCs w:val="22"/>
            <w:shd w:val="clear" w:color="auto" w:fill="FFFFFF"/>
          </w:rPr>
          <w:t>https://doi.org/10.3389/fsufs.2024.1395897</w:t>
        </w:r>
      </w:hyperlink>
    </w:p>
    <w:p w14:paraId="2FAF4D8B" w14:textId="5D905EB4"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Shanta, S.A., Islam, M.S., and Ghosh, B.C., 2025. Bridging financial gaps to enhance climate resilience and agricultural productivity of smallholder farmers in Northwestern Bangladesh. </w:t>
      </w:r>
      <w:r w:rsidRPr="003A1885">
        <w:rPr>
          <w:rFonts w:ascii="Calibri" w:hAnsi="Calibri" w:cs="Calibri"/>
          <w:i/>
          <w:iCs/>
          <w:shd w:val="clear" w:color="auto" w:fill="FFFFFF"/>
        </w:rPr>
        <w:t>Discover Sustainability</w:t>
      </w:r>
      <w:r w:rsidRPr="003A1885">
        <w:rPr>
          <w:rFonts w:ascii="Calibri" w:hAnsi="Calibri" w:cs="Calibri"/>
          <w:shd w:val="clear" w:color="auto" w:fill="FFFFFF"/>
        </w:rPr>
        <w:t>.</w:t>
      </w:r>
      <w:r w:rsidR="003A1885">
        <w:rPr>
          <w:rFonts w:ascii="Calibri" w:hAnsi="Calibri" w:cs="Calibri"/>
          <w:shd w:val="clear" w:color="auto" w:fill="FFFFFF"/>
        </w:rPr>
        <w:t xml:space="preserve"> </w:t>
      </w:r>
      <w:hyperlink r:id="rId52" w:history="1">
        <w:r w:rsidR="003A1885" w:rsidRPr="00540287">
          <w:rPr>
            <w:rStyle w:val="Hyperlink"/>
            <w:rFonts w:ascii="Calibri" w:hAnsi="Calibri" w:cs="Calibri"/>
            <w:shd w:val="clear" w:color="auto" w:fill="FFFFFF"/>
          </w:rPr>
          <w:t>https://doi.org/10.1007/s43621-025-02412-1</w:t>
        </w:r>
      </w:hyperlink>
    </w:p>
    <w:p w14:paraId="733E9C78" w14:textId="462B7877"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Sharma, D., Alam, M.J., Begum, I.A., Ding, S. and McKenzie, A.M., 2023. A value chain analysis of cauliflower and tomato in Bangladesh. </w:t>
      </w:r>
      <w:r w:rsidRPr="003A1885">
        <w:rPr>
          <w:rFonts w:ascii="Calibri" w:hAnsi="Calibri" w:cs="Calibri"/>
          <w:i/>
          <w:iCs/>
          <w:shd w:val="clear" w:color="auto" w:fill="FFFFFF"/>
        </w:rPr>
        <w:t>Sustainability</w:t>
      </w:r>
      <w:r w:rsidRPr="003A1885">
        <w:rPr>
          <w:rFonts w:ascii="Calibri" w:hAnsi="Calibri" w:cs="Calibri"/>
          <w:shd w:val="clear" w:color="auto" w:fill="FFFFFF"/>
        </w:rPr>
        <w:t>, </w:t>
      </w:r>
      <w:r w:rsidRPr="003A1885">
        <w:rPr>
          <w:rFonts w:ascii="Calibri" w:hAnsi="Calibri" w:cs="Calibri"/>
          <w:i/>
          <w:iCs/>
          <w:shd w:val="clear" w:color="auto" w:fill="FFFFFF"/>
        </w:rPr>
        <w:t>15</w:t>
      </w:r>
      <w:r w:rsidRPr="003A1885">
        <w:rPr>
          <w:rFonts w:ascii="Calibri" w:hAnsi="Calibri" w:cs="Calibri"/>
          <w:shd w:val="clear" w:color="auto" w:fill="FFFFFF"/>
        </w:rPr>
        <w:t>(14), p.11395.</w:t>
      </w:r>
      <w:r w:rsidR="003A1885">
        <w:rPr>
          <w:rFonts w:ascii="Calibri" w:hAnsi="Calibri" w:cs="Calibri"/>
          <w:shd w:val="clear" w:color="auto" w:fill="FFFFFF"/>
        </w:rPr>
        <w:t xml:space="preserve"> </w:t>
      </w:r>
      <w:hyperlink r:id="rId53" w:history="1">
        <w:r w:rsidR="003A1885" w:rsidRPr="00540287">
          <w:rPr>
            <w:rStyle w:val="Hyperlink"/>
            <w:rFonts w:ascii="Calibri" w:hAnsi="Calibri" w:cs="Calibri"/>
            <w:shd w:val="clear" w:color="auto" w:fill="FFFFFF"/>
          </w:rPr>
          <w:t>https://doi.org/10.3390/su151411395</w:t>
        </w:r>
      </w:hyperlink>
    </w:p>
    <w:p w14:paraId="440592AB" w14:textId="021369EE"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Shuvo, T.F., 2024. A Study on Supply Chain Challenges and Solutions for Smallholders in Bangladesh's Agriculture. </w:t>
      </w:r>
      <w:r w:rsidRPr="003A1885">
        <w:rPr>
          <w:rFonts w:ascii="Calibri" w:hAnsi="Calibri" w:cs="Calibri"/>
          <w:i/>
          <w:iCs/>
          <w:shd w:val="clear" w:color="auto" w:fill="FFFFFF"/>
        </w:rPr>
        <w:t>IEOM Society International, USA</w:t>
      </w:r>
      <w:r w:rsidRPr="003A1885">
        <w:rPr>
          <w:rFonts w:ascii="Calibri" w:hAnsi="Calibri" w:cs="Calibri"/>
          <w:shd w:val="clear" w:color="auto" w:fill="FFFFFF"/>
        </w:rPr>
        <w:t>.</w:t>
      </w:r>
      <w:r w:rsidR="003A1885">
        <w:rPr>
          <w:rFonts w:ascii="Calibri" w:hAnsi="Calibri" w:cs="Calibri"/>
          <w:shd w:val="clear" w:color="auto" w:fill="FFFFFF"/>
        </w:rPr>
        <w:t xml:space="preserve"> </w:t>
      </w:r>
      <w:hyperlink r:id="rId54" w:history="1">
        <w:r w:rsidR="003A1885" w:rsidRPr="00540287">
          <w:rPr>
            <w:rStyle w:val="Hyperlink"/>
            <w:rFonts w:ascii="Calibri" w:hAnsi="Calibri" w:cs="Calibri"/>
            <w:shd w:val="clear" w:color="auto" w:fill="FFFFFF"/>
          </w:rPr>
          <w:t>https://doi.org/10.46254/BA07.20240192</w:t>
        </w:r>
      </w:hyperlink>
    </w:p>
    <w:p w14:paraId="24D87354" w14:textId="3D96E4FF"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Tumusiime, E., Zuniga, M.C., and Bass, C., 2022. Role of inclusive market systems development in promoting resilience: evidence from World Vision projects. </w:t>
      </w:r>
      <w:r w:rsidRPr="003A1885">
        <w:rPr>
          <w:rFonts w:ascii="Calibri" w:hAnsi="Calibri" w:cs="Calibri"/>
          <w:i/>
          <w:iCs/>
          <w:shd w:val="clear" w:color="auto" w:fill="FFFFFF"/>
        </w:rPr>
        <w:t>Enterprise Development &amp; Microfinance</w:t>
      </w:r>
      <w:r w:rsidRPr="003A1885">
        <w:rPr>
          <w:rFonts w:ascii="Calibri" w:hAnsi="Calibri" w:cs="Calibri"/>
          <w:shd w:val="clear" w:color="auto" w:fill="FFFFFF"/>
        </w:rPr>
        <w:t>, </w:t>
      </w:r>
      <w:r w:rsidRPr="003A1885">
        <w:rPr>
          <w:rFonts w:ascii="Calibri" w:hAnsi="Calibri" w:cs="Calibri"/>
          <w:i/>
          <w:iCs/>
          <w:shd w:val="clear" w:color="auto" w:fill="FFFFFF"/>
        </w:rPr>
        <w:t>33</w:t>
      </w:r>
      <w:r w:rsidRPr="003A1885">
        <w:rPr>
          <w:rFonts w:ascii="Calibri" w:hAnsi="Calibri" w:cs="Calibri"/>
          <w:shd w:val="clear" w:color="auto" w:fill="FFFFFF"/>
        </w:rPr>
        <w:t>(1).</w:t>
      </w:r>
      <w:hyperlink r:id="rId55"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rPr>
          <w:t>10.3362/1755-1986.21-00037</w:t>
        </w:r>
      </w:hyperlink>
    </w:p>
    <w:p w14:paraId="1ECD22C0" w14:textId="4B133A8A" w:rsidR="000632B1" w:rsidRPr="003A1885" w:rsidRDefault="000632B1" w:rsidP="003A1885">
      <w:pPr>
        <w:spacing w:after="0" w:line="240" w:lineRule="auto"/>
        <w:ind w:left="720" w:hanging="720"/>
        <w:jc w:val="both"/>
        <w:rPr>
          <w:rFonts w:ascii="Calibri" w:hAnsi="Calibri" w:cs="Calibri"/>
          <w:u w:val="single"/>
        </w:rPr>
      </w:pPr>
      <w:r w:rsidRPr="003A1885">
        <w:rPr>
          <w:rFonts w:ascii="Calibri" w:hAnsi="Calibri" w:cs="Calibri"/>
          <w:shd w:val="clear" w:color="auto" w:fill="FFFFFF"/>
        </w:rPr>
        <w:t>Uddin, M.N., Akter, S., Roy, D., Dev, D.S., Mithun, M.N.A.S., Rahman, S., Mahmud, M.S., and Donaldson, J.L., 2025. An econometric analysis of factors affecting vegetable growers' interest in good agricultural practices: a case of rural Bangladesh. </w:t>
      </w:r>
      <w:r w:rsidRPr="003A1885">
        <w:rPr>
          <w:rFonts w:ascii="Calibri" w:hAnsi="Calibri" w:cs="Calibri"/>
          <w:i/>
          <w:iCs/>
          <w:shd w:val="clear" w:color="auto" w:fill="FFFFFF"/>
        </w:rPr>
        <w:t>Environment, Development and Sustainability</w:t>
      </w:r>
      <w:r w:rsidRPr="003A1885">
        <w:rPr>
          <w:rFonts w:ascii="Calibri" w:hAnsi="Calibri" w:cs="Calibri"/>
          <w:shd w:val="clear" w:color="auto" w:fill="FFFFFF"/>
        </w:rPr>
        <w:t>, </w:t>
      </w:r>
      <w:r w:rsidRPr="003A1885">
        <w:rPr>
          <w:rFonts w:ascii="Calibri" w:hAnsi="Calibri" w:cs="Calibri"/>
          <w:i/>
          <w:iCs/>
          <w:shd w:val="clear" w:color="auto" w:fill="FFFFFF"/>
        </w:rPr>
        <w:t>27</w:t>
      </w:r>
      <w:r w:rsidRPr="003A1885">
        <w:rPr>
          <w:rFonts w:ascii="Calibri" w:hAnsi="Calibri" w:cs="Calibri"/>
          <w:shd w:val="clear" w:color="auto" w:fill="FFFFFF"/>
        </w:rPr>
        <w:t>(7), pp.15803-15823.</w:t>
      </w:r>
      <w:r w:rsidR="003A1885">
        <w:rPr>
          <w:rFonts w:ascii="Calibri" w:hAnsi="Calibri" w:cs="Calibri"/>
          <w:shd w:val="clear" w:color="auto" w:fill="FFFFFF"/>
        </w:rPr>
        <w:t xml:space="preserve"> </w:t>
      </w:r>
      <w:hyperlink r:id="rId56" w:history="1">
        <w:r w:rsidR="003A1885" w:rsidRPr="00540287">
          <w:rPr>
            <w:rStyle w:val="Hyperlink"/>
            <w:rFonts w:ascii="Calibri" w:hAnsi="Calibri" w:cs="Calibri"/>
            <w:shd w:val="clear" w:color="auto" w:fill="FFFFFF"/>
          </w:rPr>
          <w:t>https://doi.org/10.1007/s10668-024-04545-1</w:t>
        </w:r>
      </w:hyperlink>
    </w:p>
    <w:sectPr w:rsidR="000632B1" w:rsidRPr="003A1885" w:rsidSect="00B5496F">
      <w:headerReference w:type="even" r:id="rId57"/>
      <w:headerReference w:type="default" r:id="rId58"/>
      <w:footerReference w:type="even" r:id="rId59"/>
      <w:footerReference w:type="default" r:id="rId60"/>
      <w:headerReference w:type="first" r:id="rId61"/>
      <w:footerReference w:type="first" r:id="rId6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286A" w14:textId="77777777" w:rsidR="00186FE9" w:rsidRDefault="00186FE9" w:rsidP="00C45B68">
      <w:pPr>
        <w:spacing w:after="0" w:line="240" w:lineRule="auto"/>
      </w:pPr>
      <w:r>
        <w:separator/>
      </w:r>
    </w:p>
  </w:endnote>
  <w:endnote w:type="continuationSeparator" w:id="0">
    <w:p w14:paraId="058313FD" w14:textId="77777777" w:rsidR="00186FE9" w:rsidRDefault="00186FE9" w:rsidP="00C4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A952" w14:textId="77777777" w:rsidR="00C45B68" w:rsidRDefault="00C45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D267" w14:textId="77777777" w:rsidR="00C45B68" w:rsidRDefault="00C45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FCEC" w14:textId="77777777" w:rsidR="00C45B68" w:rsidRDefault="00C4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ACB3" w14:textId="77777777" w:rsidR="00186FE9" w:rsidRDefault="00186FE9" w:rsidP="00C45B68">
      <w:pPr>
        <w:spacing w:after="0" w:line="240" w:lineRule="auto"/>
      </w:pPr>
      <w:r>
        <w:separator/>
      </w:r>
    </w:p>
  </w:footnote>
  <w:footnote w:type="continuationSeparator" w:id="0">
    <w:p w14:paraId="606DA573" w14:textId="77777777" w:rsidR="00186FE9" w:rsidRDefault="00186FE9" w:rsidP="00C4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3052" w14:textId="267E261A" w:rsidR="00C45B68" w:rsidRDefault="00C45B68">
    <w:pPr>
      <w:pStyle w:val="Header"/>
    </w:pPr>
    <w:r>
      <w:rPr>
        <w:noProof/>
      </w:rPr>
      <w:pict w14:anchorId="5283D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19"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582F" w14:textId="241D5A28" w:rsidR="00C45B68" w:rsidRDefault="00C45B68">
    <w:pPr>
      <w:pStyle w:val="Header"/>
    </w:pPr>
    <w:r>
      <w:rPr>
        <w:noProof/>
      </w:rPr>
      <w:pict w14:anchorId="3EE2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20"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3AA6" w14:textId="66011614" w:rsidR="00C45B68" w:rsidRDefault="00C45B68">
    <w:pPr>
      <w:pStyle w:val="Header"/>
    </w:pPr>
    <w:r>
      <w:rPr>
        <w:noProof/>
      </w:rPr>
      <w:pict w14:anchorId="0C885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18"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065"/>
    <w:multiLevelType w:val="multilevel"/>
    <w:tmpl w:val="8F3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2963"/>
    <w:multiLevelType w:val="multilevel"/>
    <w:tmpl w:val="010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629B"/>
    <w:multiLevelType w:val="multilevel"/>
    <w:tmpl w:val="3514B5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1A1817"/>
    <w:multiLevelType w:val="hybridMultilevel"/>
    <w:tmpl w:val="28B4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533C9"/>
    <w:multiLevelType w:val="multilevel"/>
    <w:tmpl w:val="BBC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837EF"/>
    <w:multiLevelType w:val="hybridMultilevel"/>
    <w:tmpl w:val="1E38C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40944"/>
    <w:multiLevelType w:val="multilevel"/>
    <w:tmpl w:val="2E283C8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E90252"/>
    <w:multiLevelType w:val="hybridMultilevel"/>
    <w:tmpl w:val="B5A29664"/>
    <w:lvl w:ilvl="0" w:tplc="63EE1F4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31BDE"/>
    <w:multiLevelType w:val="multilevel"/>
    <w:tmpl w:val="A39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7123E"/>
    <w:multiLevelType w:val="multilevel"/>
    <w:tmpl w:val="F95A8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72830"/>
    <w:multiLevelType w:val="multilevel"/>
    <w:tmpl w:val="C6B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534F9"/>
    <w:multiLevelType w:val="hybridMultilevel"/>
    <w:tmpl w:val="C3205D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65E4C"/>
    <w:multiLevelType w:val="multilevel"/>
    <w:tmpl w:val="8DE40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4480F"/>
    <w:multiLevelType w:val="multilevel"/>
    <w:tmpl w:val="546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F47CF"/>
    <w:multiLevelType w:val="multilevel"/>
    <w:tmpl w:val="3238ED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4042CAB"/>
    <w:multiLevelType w:val="hybridMultilevel"/>
    <w:tmpl w:val="C6DA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2999"/>
    <w:multiLevelType w:val="hybridMultilevel"/>
    <w:tmpl w:val="91F29A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141668"/>
    <w:multiLevelType w:val="hybridMultilevel"/>
    <w:tmpl w:val="87ECE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84188"/>
    <w:multiLevelType w:val="multilevel"/>
    <w:tmpl w:val="6D7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31069"/>
    <w:multiLevelType w:val="hybridMultilevel"/>
    <w:tmpl w:val="92B2263A"/>
    <w:lvl w:ilvl="0" w:tplc="BB4AAF80">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12287"/>
    <w:multiLevelType w:val="multilevel"/>
    <w:tmpl w:val="91D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E3D91"/>
    <w:multiLevelType w:val="hybridMultilevel"/>
    <w:tmpl w:val="60D64C5E"/>
    <w:lvl w:ilvl="0" w:tplc="BB4AAF80">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E4791"/>
    <w:multiLevelType w:val="multilevel"/>
    <w:tmpl w:val="B79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7216A"/>
    <w:multiLevelType w:val="multilevel"/>
    <w:tmpl w:val="CC5EB4E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29F628E"/>
    <w:multiLevelType w:val="multilevel"/>
    <w:tmpl w:val="5914B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4602713"/>
    <w:multiLevelType w:val="multilevel"/>
    <w:tmpl w:val="8312F02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558F0AFE"/>
    <w:multiLevelType w:val="multilevel"/>
    <w:tmpl w:val="C87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22A43"/>
    <w:multiLevelType w:val="multilevel"/>
    <w:tmpl w:val="1C0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04CE6"/>
    <w:multiLevelType w:val="multilevel"/>
    <w:tmpl w:val="B6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7432D"/>
    <w:multiLevelType w:val="hybridMultilevel"/>
    <w:tmpl w:val="8D3499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752CC"/>
    <w:multiLevelType w:val="multilevel"/>
    <w:tmpl w:val="3E604AE4"/>
    <w:lvl w:ilvl="0">
      <w:start w:val="3"/>
      <w:numFmt w:val="decimal"/>
      <w:lvlText w:val="%1"/>
      <w:lvlJc w:val="left"/>
      <w:pPr>
        <w:ind w:left="360" w:hanging="360"/>
      </w:pPr>
      <w:rPr>
        <w:rFonts w:hint="default"/>
        <w:b w:val="0"/>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15:restartNumberingAfterBreak="0">
    <w:nsid w:val="6E283F6A"/>
    <w:multiLevelType w:val="multilevel"/>
    <w:tmpl w:val="30F0B326"/>
    <w:lvl w:ilvl="0">
      <w:start w:val="3"/>
      <w:numFmt w:val="decimal"/>
      <w:lvlText w:val="%1"/>
      <w:lvlJc w:val="left"/>
      <w:pPr>
        <w:ind w:left="450" w:hanging="450"/>
      </w:pPr>
      <w:rPr>
        <w:rFonts w:hint="default"/>
        <w:b/>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2241433"/>
    <w:multiLevelType w:val="hybridMultilevel"/>
    <w:tmpl w:val="2904093C"/>
    <w:lvl w:ilvl="0" w:tplc="E3D028BC">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460F3"/>
    <w:multiLevelType w:val="multilevel"/>
    <w:tmpl w:val="2AC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D2AB8"/>
    <w:multiLevelType w:val="multilevel"/>
    <w:tmpl w:val="FF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22"/>
  </w:num>
  <w:num w:numId="4">
    <w:abstractNumId w:val="20"/>
  </w:num>
  <w:num w:numId="5">
    <w:abstractNumId w:val="0"/>
  </w:num>
  <w:num w:numId="6">
    <w:abstractNumId w:val="13"/>
  </w:num>
  <w:num w:numId="7">
    <w:abstractNumId w:val="18"/>
  </w:num>
  <w:num w:numId="8">
    <w:abstractNumId w:val="4"/>
  </w:num>
  <w:num w:numId="9">
    <w:abstractNumId w:val="23"/>
  </w:num>
  <w:num w:numId="10">
    <w:abstractNumId w:val="27"/>
  </w:num>
  <w:num w:numId="11">
    <w:abstractNumId w:val="26"/>
  </w:num>
  <w:num w:numId="12">
    <w:abstractNumId w:val="1"/>
  </w:num>
  <w:num w:numId="13">
    <w:abstractNumId w:val="33"/>
  </w:num>
  <w:num w:numId="14">
    <w:abstractNumId w:val="14"/>
  </w:num>
  <w:num w:numId="15">
    <w:abstractNumId w:val="25"/>
  </w:num>
  <w:num w:numId="16">
    <w:abstractNumId w:val="10"/>
  </w:num>
  <w:num w:numId="17">
    <w:abstractNumId w:val="34"/>
  </w:num>
  <w:num w:numId="18">
    <w:abstractNumId w:val="32"/>
  </w:num>
  <w:num w:numId="19">
    <w:abstractNumId w:val="3"/>
  </w:num>
  <w:num w:numId="20">
    <w:abstractNumId w:val="12"/>
  </w:num>
  <w:num w:numId="21">
    <w:abstractNumId w:val="5"/>
  </w:num>
  <w:num w:numId="22">
    <w:abstractNumId w:val="2"/>
  </w:num>
  <w:num w:numId="23">
    <w:abstractNumId w:val="9"/>
  </w:num>
  <w:num w:numId="24">
    <w:abstractNumId w:val="30"/>
  </w:num>
  <w:num w:numId="25">
    <w:abstractNumId w:val="6"/>
  </w:num>
  <w:num w:numId="26">
    <w:abstractNumId w:val="15"/>
  </w:num>
  <w:num w:numId="27">
    <w:abstractNumId w:val="16"/>
  </w:num>
  <w:num w:numId="28">
    <w:abstractNumId w:val="28"/>
  </w:num>
  <w:num w:numId="29">
    <w:abstractNumId w:val="7"/>
  </w:num>
  <w:num w:numId="30">
    <w:abstractNumId w:val="31"/>
  </w:num>
  <w:num w:numId="31">
    <w:abstractNumId w:val="24"/>
  </w:num>
  <w:num w:numId="32">
    <w:abstractNumId w:val="11"/>
  </w:num>
  <w:num w:numId="33">
    <w:abstractNumId w:val="29"/>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NDAzNjSyMDQyNjFS0lEKTi0uzszPAykwqwUAwB/qeywAAAA="/>
  </w:docVars>
  <w:rsids>
    <w:rsidRoot w:val="0011580B"/>
    <w:rsid w:val="00000E5D"/>
    <w:rsid w:val="00010391"/>
    <w:rsid w:val="000163CB"/>
    <w:rsid w:val="000230CA"/>
    <w:rsid w:val="0003521C"/>
    <w:rsid w:val="00053AEB"/>
    <w:rsid w:val="00060257"/>
    <w:rsid w:val="000632B1"/>
    <w:rsid w:val="000658F7"/>
    <w:rsid w:val="00066376"/>
    <w:rsid w:val="000735F2"/>
    <w:rsid w:val="0008380C"/>
    <w:rsid w:val="000A7ABC"/>
    <w:rsid w:val="000B4E8D"/>
    <w:rsid w:val="001003D4"/>
    <w:rsid w:val="00104C8B"/>
    <w:rsid w:val="001067FA"/>
    <w:rsid w:val="00110C76"/>
    <w:rsid w:val="0011580B"/>
    <w:rsid w:val="00123613"/>
    <w:rsid w:val="0013184D"/>
    <w:rsid w:val="00143B9D"/>
    <w:rsid w:val="001679A1"/>
    <w:rsid w:val="00174BEF"/>
    <w:rsid w:val="00181EC4"/>
    <w:rsid w:val="00186FE9"/>
    <w:rsid w:val="00193723"/>
    <w:rsid w:val="00195024"/>
    <w:rsid w:val="001A5910"/>
    <w:rsid w:val="001B7F5B"/>
    <w:rsid w:val="001C2389"/>
    <w:rsid w:val="001D660F"/>
    <w:rsid w:val="001D7DA6"/>
    <w:rsid w:val="001E22D9"/>
    <w:rsid w:val="001F4654"/>
    <w:rsid w:val="0022568F"/>
    <w:rsid w:val="00235952"/>
    <w:rsid w:val="00246583"/>
    <w:rsid w:val="00260D82"/>
    <w:rsid w:val="00292281"/>
    <w:rsid w:val="002A4F2E"/>
    <w:rsid w:val="002C04C9"/>
    <w:rsid w:val="002C4AD2"/>
    <w:rsid w:val="002D1669"/>
    <w:rsid w:val="002D6955"/>
    <w:rsid w:val="002E2087"/>
    <w:rsid w:val="002F41FD"/>
    <w:rsid w:val="00310FEF"/>
    <w:rsid w:val="00324E44"/>
    <w:rsid w:val="00334624"/>
    <w:rsid w:val="00337E8B"/>
    <w:rsid w:val="00352005"/>
    <w:rsid w:val="00354D1D"/>
    <w:rsid w:val="003579C1"/>
    <w:rsid w:val="00363883"/>
    <w:rsid w:val="0036486B"/>
    <w:rsid w:val="003935AF"/>
    <w:rsid w:val="003A1885"/>
    <w:rsid w:val="003A5AA3"/>
    <w:rsid w:val="003B320B"/>
    <w:rsid w:val="003C5E5C"/>
    <w:rsid w:val="003E2B63"/>
    <w:rsid w:val="003E3DAF"/>
    <w:rsid w:val="00403AA1"/>
    <w:rsid w:val="004043E8"/>
    <w:rsid w:val="00410AAD"/>
    <w:rsid w:val="00426CF0"/>
    <w:rsid w:val="004303B5"/>
    <w:rsid w:val="00433F74"/>
    <w:rsid w:val="004460A1"/>
    <w:rsid w:val="00462877"/>
    <w:rsid w:val="00463B0F"/>
    <w:rsid w:val="00465731"/>
    <w:rsid w:val="0047051B"/>
    <w:rsid w:val="0047498C"/>
    <w:rsid w:val="00476E3D"/>
    <w:rsid w:val="00477063"/>
    <w:rsid w:val="0048276C"/>
    <w:rsid w:val="00496A21"/>
    <w:rsid w:val="00497C5D"/>
    <w:rsid w:val="004A56EC"/>
    <w:rsid w:val="004A7086"/>
    <w:rsid w:val="004B5228"/>
    <w:rsid w:val="004C25C1"/>
    <w:rsid w:val="004D774C"/>
    <w:rsid w:val="004E67B6"/>
    <w:rsid w:val="004F0514"/>
    <w:rsid w:val="004F43E6"/>
    <w:rsid w:val="005143F0"/>
    <w:rsid w:val="00525BB4"/>
    <w:rsid w:val="00544259"/>
    <w:rsid w:val="0054781C"/>
    <w:rsid w:val="0057157C"/>
    <w:rsid w:val="00571BC0"/>
    <w:rsid w:val="00576082"/>
    <w:rsid w:val="005A5026"/>
    <w:rsid w:val="005B0FB4"/>
    <w:rsid w:val="005C056A"/>
    <w:rsid w:val="005E433F"/>
    <w:rsid w:val="005F4201"/>
    <w:rsid w:val="0062377E"/>
    <w:rsid w:val="00624661"/>
    <w:rsid w:val="0063257C"/>
    <w:rsid w:val="0063735C"/>
    <w:rsid w:val="0064271F"/>
    <w:rsid w:val="00656410"/>
    <w:rsid w:val="00660376"/>
    <w:rsid w:val="00680F7D"/>
    <w:rsid w:val="006844EA"/>
    <w:rsid w:val="00687973"/>
    <w:rsid w:val="00695FDD"/>
    <w:rsid w:val="006A157B"/>
    <w:rsid w:val="006B0663"/>
    <w:rsid w:val="006B3086"/>
    <w:rsid w:val="006C43C2"/>
    <w:rsid w:val="006E2665"/>
    <w:rsid w:val="006F0D47"/>
    <w:rsid w:val="00716423"/>
    <w:rsid w:val="00734ED3"/>
    <w:rsid w:val="00743556"/>
    <w:rsid w:val="00747153"/>
    <w:rsid w:val="00760044"/>
    <w:rsid w:val="007701DD"/>
    <w:rsid w:val="00783327"/>
    <w:rsid w:val="00797F99"/>
    <w:rsid w:val="007A2A91"/>
    <w:rsid w:val="007A409A"/>
    <w:rsid w:val="007C789A"/>
    <w:rsid w:val="007D1D2D"/>
    <w:rsid w:val="007E7105"/>
    <w:rsid w:val="007F6F6E"/>
    <w:rsid w:val="008064F7"/>
    <w:rsid w:val="008100EB"/>
    <w:rsid w:val="008216D2"/>
    <w:rsid w:val="008318AB"/>
    <w:rsid w:val="008333E9"/>
    <w:rsid w:val="0084365C"/>
    <w:rsid w:val="00853147"/>
    <w:rsid w:val="00856763"/>
    <w:rsid w:val="00870547"/>
    <w:rsid w:val="00874A92"/>
    <w:rsid w:val="008A00BF"/>
    <w:rsid w:val="008B2CBC"/>
    <w:rsid w:val="008B369A"/>
    <w:rsid w:val="008B7A40"/>
    <w:rsid w:val="008C303A"/>
    <w:rsid w:val="008C685F"/>
    <w:rsid w:val="008D44B2"/>
    <w:rsid w:val="008D6C69"/>
    <w:rsid w:val="008D7678"/>
    <w:rsid w:val="008F1131"/>
    <w:rsid w:val="00902F6E"/>
    <w:rsid w:val="00927114"/>
    <w:rsid w:val="00951B24"/>
    <w:rsid w:val="00955657"/>
    <w:rsid w:val="009618CD"/>
    <w:rsid w:val="009757A6"/>
    <w:rsid w:val="00976713"/>
    <w:rsid w:val="00980065"/>
    <w:rsid w:val="009805D4"/>
    <w:rsid w:val="00990D29"/>
    <w:rsid w:val="00993248"/>
    <w:rsid w:val="00994432"/>
    <w:rsid w:val="009B0BC2"/>
    <w:rsid w:val="009B2988"/>
    <w:rsid w:val="009B36F2"/>
    <w:rsid w:val="009B67A9"/>
    <w:rsid w:val="009B6AAB"/>
    <w:rsid w:val="009C044C"/>
    <w:rsid w:val="009E6C27"/>
    <w:rsid w:val="009F0AAF"/>
    <w:rsid w:val="009F2BF7"/>
    <w:rsid w:val="009F72D3"/>
    <w:rsid w:val="00A021A3"/>
    <w:rsid w:val="00A06F18"/>
    <w:rsid w:val="00A101D2"/>
    <w:rsid w:val="00A10FAC"/>
    <w:rsid w:val="00A146FC"/>
    <w:rsid w:val="00A153F1"/>
    <w:rsid w:val="00A24754"/>
    <w:rsid w:val="00A3209A"/>
    <w:rsid w:val="00A3671E"/>
    <w:rsid w:val="00A502DC"/>
    <w:rsid w:val="00A52846"/>
    <w:rsid w:val="00A722D2"/>
    <w:rsid w:val="00A7555D"/>
    <w:rsid w:val="00A81275"/>
    <w:rsid w:val="00A90B52"/>
    <w:rsid w:val="00A94BED"/>
    <w:rsid w:val="00AA1F26"/>
    <w:rsid w:val="00AA56F6"/>
    <w:rsid w:val="00AB279A"/>
    <w:rsid w:val="00AC6318"/>
    <w:rsid w:val="00AC6E55"/>
    <w:rsid w:val="00AE07B1"/>
    <w:rsid w:val="00AE358D"/>
    <w:rsid w:val="00AF58F1"/>
    <w:rsid w:val="00B01750"/>
    <w:rsid w:val="00B12D80"/>
    <w:rsid w:val="00B150BA"/>
    <w:rsid w:val="00B2310A"/>
    <w:rsid w:val="00B43FC0"/>
    <w:rsid w:val="00B5496F"/>
    <w:rsid w:val="00B70D62"/>
    <w:rsid w:val="00B7436D"/>
    <w:rsid w:val="00BA36C3"/>
    <w:rsid w:val="00BD50C9"/>
    <w:rsid w:val="00C01197"/>
    <w:rsid w:val="00C01EDF"/>
    <w:rsid w:val="00C11AC7"/>
    <w:rsid w:val="00C22B31"/>
    <w:rsid w:val="00C232A1"/>
    <w:rsid w:val="00C31FA9"/>
    <w:rsid w:val="00C350A9"/>
    <w:rsid w:val="00C45B68"/>
    <w:rsid w:val="00C5311A"/>
    <w:rsid w:val="00C62D71"/>
    <w:rsid w:val="00C6718D"/>
    <w:rsid w:val="00C72714"/>
    <w:rsid w:val="00C737B0"/>
    <w:rsid w:val="00C81F28"/>
    <w:rsid w:val="00C8474B"/>
    <w:rsid w:val="00C855DA"/>
    <w:rsid w:val="00C87B35"/>
    <w:rsid w:val="00CA38A8"/>
    <w:rsid w:val="00CA6106"/>
    <w:rsid w:val="00CC5D18"/>
    <w:rsid w:val="00CD5CD9"/>
    <w:rsid w:val="00CE35E6"/>
    <w:rsid w:val="00CE657C"/>
    <w:rsid w:val="00CE676C"/>
    <w:rsid w:val="00D07CB1"/>
    <w:rsid w:val="00D10473"/>
    <w:rsid w:val="00D13FB6"/>
    <w:rsid w:val="00D23161"/>
    <w:rsid w:val="00D25631"/>
    <w:rsid w:val="00D326B6"/>
    <w:rsid w:val="00D42A11"/>
    <w:rsid w:val="00D4790B"/>
    <w:rsid w:val="00D51D8E"/>
    <w:rsid w:val="00D52104"/>
    <w:rsid w:val="00D6112B"/>
    <w:rsid w:val="00D67007"/>
    <w:rsid w:val="00D676DE"/>
    <w:rsid w:val="00D80C69"/>
    <w:rsid w:val="00D96EA4"/>
    <w:rsid w:val="00DA313A"/>
    <w:rsid w:val="00DA46A4"/>
    <w:rsid w:val="00DB03E5"/>
    <w:rsid w:val="00DB726A"/>
    <w:rsid w:val="00DC086C"/>
    <w:rsid w:val="00DC63D7"/>
    <w:rsid w:val="00DD2C11"/>
    <w:rsid w:val="00DE030C"/>
    <w:rsid w:val="00DE7BA3"/>
    <w:rsid w:val="00DF00D4"/>
    <w:rsid w:val="00DF3570"/>
    <w:rsid w:val="00DF5A29"/>
    <w:rsid w:val="00E12560"/>
    <w:rsid w:val="00E34217"/>
    <w:rsid w:val="00E3619C"/>
    <w:rsid w:val="00E373A5"/>
    <w:rsid w:val="00E41460"/>
    <w:rsid w:val="00E57F32"/>
    <w:rsid w:val="00E6189F"/>
    <w:rsid w:val="00E63A26"/>
    <w:rsid w:val="00E70E0A"/>
    <w:rsid w:val="00E76BA6"/>
    <w:rsid w:val="00E90510"/>
    <w:rsid w:val="00E941FA"/>
    <w:rsid w:val="00E97473"/>
    <w:rsid w:val="00EA3404"/>
    <w:rsid w:val="00EB2C15"/>
    <w:rsid w:val="00EB3534"/>
    <w:rsid w:val="00ED1F8B"/>
    <w:rsid w:val="00EE39C4"/>
    <w:rsid w:val="00EF711C"/>
    <w:rsid w:val="00F0072F"/>
    <w:rsid w:val="00F0456F"/>
    <w:rsid w:val="00F2163F"/>
    <w:rsid w:val="00F228A0"/>
    <w:rsid w:val="00F229CD"/>
    <w:rsid w:val="00F405BF"/>
    <w:rsid w:val="00F47208"/>
    <w:rsid w:val="00F87D3F"/>
    <w:rsid w:val="00F87D50"/>
    <w:rsid w:val="00FB1016"/>
    <w:rsid w:val="00FB393C"/>
    <w:rsid w:val="00FC5B95"/>
    <w:rsid w:val="00FE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946C7D"/>
  <w15:chartTrackingRefBased/>
  <w15:docId w15:val="{6CA2A175-F502-4A9B-8755-A1A62B04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E0A"/>
  </w:style>
  <w:style w:type="paragraph" w:styleId="Heading1">
    <w:name w:val="heading 1"/>
    <w:basedOn w:val="Normal"/>
    <w:next w:val="Normal"/>
    <w:link w:val="Heading1Char"/>
    <w:uiPriority w:val="9"/>
    <w:qFormat/>
    <w:rsid w:val="00DA46A4"/>
    <w:pPr>
      <w:keepNext/>
      <w:keepLines/>
      <w:spacing w:before="240" w:after="0"/>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2">
    <w:name w:val="heading 2"/>
    <w:basedOn w:val="Normal"/>
    <w:link w:val="Heading2Char"/>
    <w:uiPriority w:val="9"/>
    <w:qFormat/>
    <w:rsid w:val="00C31FA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4F7"/>
    <w:pPr>
      <w:autoSpaceDE w:val="0"/>
      <w:autoSpaceDN w:val="0"/>
      <w:adjustRightInd w:val="0"/>
      <w:spacing w:after="0" w:line="240" w:lineRule="auto"/>
    </w:pPr>
    <w:rPr>
      <w:rFonts w:ascii="FS Me Pro" w:hAnsi="FS Me Pro" w:cs="FS Me Pro"/>
      <w:color w:val="000000"/>
      <w:kern w:val="0"/>
      <w:sz w:val="24"/>
      <w:szCs w:val="24"/>
    </w:rPr>
  </w:style>
  <w:style w:type="paragraph" w:styleId="ListParagraph">
    <w:name w:val="List Paragraph"/>
    <w:basedOn w:val="Normal"/>
    <w:uiPriority w:val="34"/>
    <w:qFormat/>
    <w:rsid w:val="0036486B"/>
    <w:pPr>
      <w:ind w:left="720"/>
      <w:contextualSpacing/>
    </w:pPr>
  </w:style>
  <w:style w:type="paragraph" w:styleId="NormalWeb">
    <w:name w:val="Normal (Web)"/>
    <w:basedOn w:val="Normal"/>
    <w:uiPriority w:val="99"/>
    <w:unhideWhenUsed/>
    <w:rsid w:val="001A59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24661"/>
    <w:rPr>
      <w:i/>
      <w:iCs/>
    </w:rPr>
  </w:style>
  <w:style w:type="character" w:styleId="Hyperlink">
    <w:name w:val="Hyperlink"/>
    <w:basedOn w:val="DefaultParagraphFont"/>
    <w:uiPriority w:val="99"/>
    <w:unhideWhenUsed/>
    <w:rsid w:val="00DE030C"/>
    <w:rPr>
      <w:color w:val="0000FF"/>
      <w:u w:val="single"/>
    </w:rPr>
  </w:style>
  <w:style w:type="paragraph" w:customStyle="1" w:styleId="SSEAUTHORS">
    <w:name w:val="SSE AUTHORS"/>
    <w:basedOn w:val="Normal"/>
    <w:link w:val="SSEAUTHORSChar"/>
    <w:qFormat/>
    <w:rsid w:val="008A00BF"/>
    <w:pPr>
      <w:spacing w:after="0" w:line="240" w:lineRule="auto"/>
      <w:jc w:val="center"/>
    </w:pPr>
    <w:rPr>
      <w:rFonts w:ascii="Calibri" w:eastAsia="SimSun" w:hAnsi="Calibri" w:cs="Times New Roman"/>
      <w:b/>
      <w:kern w:val="0"/>
      <w:szCs w:val="24"/>
      <w14:ligatures w14:val="none"/>
    </w:rPr>
  </w:style>
  <w:style w:type="character" w:customStyle="1" w:styleId="SSEAUTHORSChar">
    <w:name w:val="SSE AUTHORS Char"/>
    <w:basedOn w:val="DefaultParagraphFont"/>
    <w:link w:val="SSEAUTHORS"/>
    <w:rsid w:val="008A00BF"/>
    <w:rPr>
      <w:rFonts w:ascii="Calibri" w:eastAsia="SimSun" w:hAnsi="Calibri" w:cs="Times New Roman"/>
      <w:b/>
      <w:kern w:val="0"/>
      <w:szCs w:val="24"/>
      <w14:ligatures w14:val="none"/>
    </w:rPr>
  </w:style>
  <w:style w:type="paragraph" w:customStyle="1" w:styleId="SSEEMAILS">
    <w:name w:val="SSE EMAILS"/>
    <w:basedOn w:val="Normal"/>
    <w:link w:val="SSEEMAILSChar"/>
    <w:qFormat/>
    <w:rsid w:val="008A00BF"/>
    <w:pPr>
      <w:spacing w:after="0" w:line="240" w:lineRule="auto"/>
      <w:jc w:val="center"/>
    </w:pPr>
    <w:rPr>
      <w:rFonts w:ascii="Calibri" w:eastAsia="SimSun" w:hAnsi="Calibri" w:cs="Times New Roman"/>
      <w:color w:val="44546A" w:themeColor="text2"/>
      <w:kern w:val="0"/>
      <w:szCs w:val="24"/>
      <w14:ligatures w14:val="none"/>
    </w:rPr>
  </w:style>
  <w:style w:type="character" w:customStyle="1" w:styleId="SSEEMAILSChar">
    <w:name w:val="SSE EMAILS Char"/>
    <w:basedOn w:val="DefaultParagraphFont"/>
    <w:link w:val="SSEEMAILS"/>
    <w:rsid w:val="008A00BF"/>
    <w:rPr>
      <w:rFonts w:ascii="Calibri" w:eastAsia="SimSun" w:hAnsi="Calibri" w:cs="Times New Roman"/>
      <w:color w:val="44546A" w:themeColor="text2"/>
      <w:kern w:val="0"/>
      <w:szCs w:val="24"/>
      <w14:ligatures w14:val="none"/>
    </w:rPr>
  </w:style>
  <w:style w:type="character" w:styleId="Strong">
    <w:name w:val="Strong"/>
    <w:basedOn w:val="DefaultParagraphFont"/>
    <w:uiPriority w:val="22"/>
    <w:qFormat/>
    <w:rsid w:val="001679A1"/>
    <w:rPr>
      <w:b/>
      <w:bCs/>
    </w:rPr>
  </w:style>
  <w:style w:type="paragraph" w:styleId="Caption">
    <w:name w:val="caption"/>
    <w:basedOn w:val="Normal"/>
    <w:next w:val="Normal"/>
    <w:uiPriority w:val="35"/>
    <w:unhideWhenUsed/>
    <w:qFormat/>
    <w:rsid w:val="004E67B6"/>
    <w:pPr>
      <w:spacing w:after="200" w:line="240" w:lineRule="auto"/>
    </w:pPr>
    <w:rPr>
      <w:i/>
      <w:iCs/>
      <w:color w:val="44546A" w:themeColor="text2"/>
      <w:sz w:val="18"/>
      <w:szCs w:val="18"/>
    </w:rPr>
  </w:style>
  <w:style w:type="character" w:customStyle="1" w:styleId="whitespace-normal">
    <w:name w:val="whitespace-normal"/>
    <w:basedOn w:val="DefaultParagraphFont"/>
    <w:rsid w:val="00C350A9"/>
  </w:style>
  <w:style w:type="character" w:customStyle="1" w:styleId="Heading2Char">
    <w:name w:val="Heading 2 Char"/>
    <w:basedOn w:val="DefaultParagraphFont"/>
    <w:link w:val="Heading2"/>
    <w:uiPriority w:val="9"/>
    <w:rsid w:val="00C31FA9"/>
    <w:rPr>
      <w:rFonts w:ascii="Times New Roman" w:eastAsia="Times New Roman" w:hAnsi="Times New Roman" w:cs="Times New Roman"/>
      <w:b/>
      <w:bCs/>
      <w:kern w:val="0"/>
      <w:sz w:val="36"/>
      <w:szCs w:val="36"/>
      <w14:ligatures w14:val="none"/>
    </w:rPr>
  </w:style>
  <w:style w:type="paragraph" w:customStyle="1" w:styleId="dx-doi">
    <w:name w:val="dx-doi"/>
    <w:basedOn w:val="Normal"/>
    <w:rsid w:val="00A14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DA313A"/>
  </w:style>
  <w:style w:type="character" w:customStyle="1" w:styleId="Heading1Char">
    <w:name w:val="Heading 1 Char"/>
    <w:basedOn w:val="DefaultParagraphFont"/>
    <w:link w:val="Heading1"/>
    <w:uiPriority w:val="9"/>
    <w:rsid w:val="00DA46A4"/>
    <w:rPr>
      <w:rFonts w:asciiTheme="majorHAnsi" w:eastAsiaTheme="majorEastAsia" w:hAnsiTheme="majorHAnsi" w:cstheme="majorBidi"/>
      <w:color w:val="2E74B5" w:themeColor="accent1" w:themeShade="BF"/>
      <w:kern w:val="0"/>
      <w:sz w:val="32"/>
      <w:szCs w:val="32"/>
      <w14:ligatures w14:val="none"/>
    </w:rPr>
  </w:style>
  <w:style w:type="character" w:styleId="UnresolvedMention">
    <w:name w:val="Unresolved Mention"/>
    <w:basedOn w:val="DefaultParagraphFont"/>
    <w:uiPriority w:val="99"/>
    <w:semiHidden/>
    <w:unhideWhenUsed/>
    <w:rsid w:val="003A1885"/>
    <w:rPr>
      <w:color w:val="605E5C"/>
      <w:shd w:val="clear" w:color="auto" w:fill="E1DFDD"/>
    </w:rPr>
  </w:style>
  <w:style w:type="paragraph" w:styleId="Header">
    <w:name w:val="header"/>
    <w:basedOn w:val="Normal"/>
    <w:link w:val="HeaderChar"/>
    <w:uiPriority w:val="99"/>
    <w:unhideWhenUsed/>
    <w:rsid w:val="00C4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B68"/>
  </w:style>
  <w:style w:type="paragraph" w:styleId="Footer">
    <w:name w:val="footer"/>
    <w:basedOn w:val="Normal"/>
    <w:link w:val="FooterChar"/>
    <w:uiPriority w:val="99"/>
    <w:unhideWhenUsed/>
    <w:rsid w:val="00C4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202">
      <w:bodyDiv w:val="1"/>
      <w:marLeft w:val="0"/>
      <w:marRight w:val="0"/>
      <w:marTop w:val="0"/>
      <w:marBottom w:val="0"/>
      <w:divBdr>
        <w:top w:val="none" w:sz="0" w:space="0" w:color="auto"/>
        <w:left w:val="none" w:sz="0" w:space="0" w:color="auto"/>
        <w:bottom w:val="none" w:sz="0" w:space="0" w:color="auto"/>
        <w:right w:val="none" w:sz="0" w:space="0" w:color="auto"/>
      </w:divBdr>
    </w:div>
    <w:div w:id="45380685">
      <w:bodyDiv w:val="1"/>
      <w:marLeft w:val="0"/>
      <w:marRight w:val="0"/>
      <w:marTop w:val="0"/>
      <w:marBottom w:val="0"/>
      <w:divBdr>
        <w:top w:val="none" w:sz="0" w:space="0" w:color="auto"/>
        <w:left w:val="none" w:sz="0" w:space="0" w:color="auto"/>
        <w:bottom w:val="none" w:sz="0" w:space="0" w:color="auto"/>
        <w:right w:val="none" w:sz="0" w:space="0" w:color="auto"/>
      </w:divBdr>
      <w:divsChild>
        <w:div w:id="898394716">
          <w:marLeft w:val="0"/>
          <w:marRight w:val="0"/>
          <w:marTop w:val="0"/>
          <w:marBottom w:val="0"/>
          <w:divBdr>
            <w:top w:val="none" w:sz="0" w:space="0" w:color="auto"/>
            <w:left w:val="none" w:sz="0" w:space="0" w:color="auto"/>
            <w:bottom w:val="none" w:sz="0" w:space="0" w:color="auto"/>
            <w:right w:val="none" w:sz="0" w:space="0" w:color="auto"/>
          </w:divBdr>
          <w:divsChild>
            <w:div w:id="993870290">
              <w:marLeft w:val="0"/>
              <w:marRight w:val="0"/>
              <w:marTop w:val="0"/>
              <w:marBottom w:val="0"/>
              <w:divBdr>
                <w:top w:val="none" w:sz="0" w:space="0" w:color="auto"/>
                <w:left w:val="none" w:sz="0" w:space="0" w:color="auto"/>
                <w:bottom w:val="none" w:sz="0" w:space="0" w:color="auto"/>
                <w:right w:val="none" w:sz="0" w:space="0" w:color="auto"/>
              </w:divBdr>
              <w:divsChild>
                <w:div w:id="1903632648">
                  <w:marLeft w:val="0"/>
                  <w:marRight w:val="0"/>
                  <w:marTop w:val="0"/>
                  <w:marBottom w:val="0"/>
                  <w:divBdr>
                    <w:top w:val="none" w:sz="0" w:space="0" w:color="auto"/>
                    <w:left w:val="none" w:sz="0" w:space="0" w:color="auto"/>
                    <w:bottom w:val="none" w:sz="0" w:space="0" w:color="auto"/>
                    <w:right w:val="none" w:sz="0" w:space="0" w:color="auto"/>
                  </w:divBdr>
                  <w:divsChild>
                    <w:div w:id="642152509">
                      <w:marLeft w:val="0"/>
                      <w:marRight w:val="0"/>
                      <w:marTop w:val="0"/>
                      <w:marBottom w:val="0"/>
                      <w:divBdr>
                        <w:top w:val="none" w:sz="0" w:space="0" w:color="auto"/>
                        <w:left w:val="none" w:sz="0" w:space="0" w:color="auto"/>
                        <w:bottom w:val="none" w:sz="0" w:space="0" w:color="auto"/>
                        <w:right w:val="none" w:sz="0" w:space="0" w:color="auto"/>
                      </w:divBdr>
                      <w:divsChild>
                        <w:div w:id="1381052674">
                          <w:marLeft w:val="0"/>
                          <w:marRight w:val="0"/>
                          <w:marTop w:val="0"/>
                          <w:marBottom w:val="0"/>
                          <w:divBdr>
                            <w:top w:val="none" w:sz="0" w:space="0" w:color="auto"/>
                            <w:left w:val="none" w:sz="0" w:space="0" w:color="auto"/>
                            <w:bottom w:val="none" w:sz="0" w:space="0" w:color="auto"/>
                            <w:right w:val="none" w:sz="0" w:space="0" w:color="auto"/>
                          </w:divBdr>
                          <w:divsChild>
                            <w:div w:id="1991204713">
                              <w:marLeft w:val="0"/>
                              <w:marRight w:val="0"/>
                              <w:marTop w:val="0"/>
                              <w:marBottom w:val="0"/>
                              <w:divBdr>
                                <w:top w:val="none" w:sz="0" w:space="0" w:color="auto"/>
                                <w:left w:val="none" w:sz="0" w:space="0" w:color="auto"/>
                                <w:bottom w:val="none" w:sz="0" w:space="0" w:color="auto"/>
                                <w:right w:val="none" w:sz="0" w:space="0" w:color="auto"/>
                              </w:divBdr>
                              <w:divsChild>
                                <w:div w:id="446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09570">
      <w:bodyDiv w:val="1"/>
      <w:marLeft w:val="0"/>
      <w:marRight w:val="0"/>
      <w:marTop w:val="0"/>
      <w:marBottom w:val="0"/>
      <w:divBdr>
        <w:top w:val="none" w:sz="0" w:space="0" w:color="auto"/>
        <w:left w:val="none" w:sz="0" w:space="0" w:color="auto"/>
        <w:bottom w:val="none" w:sz="0" w:space="0" w:color="auto"/>
        <w:right w:val="none" w:sz="0" w:space="0" w:color="auto"/>
      </w:divBdr>
    </w:div>
    <w:div w:id="75176093">
      <w:bodyDiv w:val="1"/>
      <w:marLeft w:val="0"/>
      <w:marRight w:val="0"/>
      <w:marTop w:val="0"/>
      <w:marBottom w:val="0"/>
      <w:divBdr>
        <w:top w:val="none" w:sz="0" w:space="0" w:color="auto"/>
        <w:left w:val="none" w:sz="0" w:space="0" w:color="auto"/>
        <w:bottom w:val="none" w:sz="0" w:space="0" w:color="auto"/>
        <w:right w:val="none" w:sz="0" w:space="0" w:color="auto"/>
      </w:divBdr>
    </w:div>
    <w:div w:id="255527569">
      <w:bodyDiv w:val="1"/>
      <w:marLeft w:val="0"/>
      <w:marRight w:val="0"/>
      <w:marTop w:val="0"/>
      <w:marBottom w:val="0"/>
      <w:divBdr>
        <w:top w:val="none" w:sz="0" w:space="0" w:color="auto"/>
        <w:left w:val="none" w:sz="0" w:space="0" w:color="auto"/>
        <w:bottom w:val="none" w:sz="0" w:space="0" w:color="auto"/>
        <w:right w:val="none" w:sz="0" w:space="0" w:color="auto"/>
      </w:divBdr>
    </w:div>
    <w:div w:id="486242201">
      <w:bodyDiv w:val="1"/>
      <w:marLeft w:val="0"/>
      <w:marRight w:val="0"/>
      <w:marTop w:val="0"/>
      <w:marBottom w:val="0"/>
      <w:divBdr>
        <w:top w:val="none" w:sz="0" w:space="0" w:color="auto"/>
        <w:left w:val="none" w:sz="0" w:space="0" w:color="auto"/>
        <w:bottom w:val="none" w:sz="0" w:space="0" w:color="auto"/>
        <w:right w:val="none" w:sz="0" w:space="0" w:color="auto"/>
      </w:divBdr>
      <w:divsChild>
        <w:div w:id="929891566">
          <w:marLeft w:val="0"/>
          <w:marRight w:val="0"/>
          <w:marTop w:val="0"/>
          <w:marBottom w:val="0"/>
          <w:divBdr>
            <w:top w:val="none" w:sz="0" w:space="0" w:color="auto"/>
            <w:left w:val="none" w:sz="0" w:space="0" w:color="auto"/>
            <w:bottom w:val="none" w:sz="0" w:space="0" w:color="auto"/>
            <w:right w:val="none" w:sz="0" w:space="0" w:color="auto"/>
          </w:divBdr>
        </w:div>
      </w:divsChild>
    </w:div>
    <w:div w:id="724987434">
      <w:bodyDiv w:val="1"/>
      <w:marLeft w:val="0"/>
      <w:marRight w:val="0"/>
      <w:marTop w:val="0"/>
      <w:marBottom w:val="0"/>
      <w:divBdr>
        <w:top w:val="none" w:sz="0" w:space="0" w:color="auto"/>
        <w:left w:val="none" w:sz="0" w:space="0" w:color="auto"/>
        <w:bottom w:val="none" w:sz="0" w:space="0" w:color="auto"/>
        <w:right w:val="none" w:sz="0" w:space="0" w:color="auto"/>
      </w:divBdr>
      <w:divsChild>
        <w:div w:id="140001719">
          <w:marLeft w:val="0"/>
          <w:marRight w:val="0"/>
          <w:marTop w:val="0"/>
          <w:marBottom w:val="0"/>
          <w:divBdr>
            <w:top w:val="none" w:sz="0" w:space="0" w:color="auto"/>
            <w:left w:val="none" w:sz="0" w:space="0" w:color="auto"/>
            <w:bottom w:val="none" w:sz="0" w:space="0" w:color="auto"/>
            <w:right w:val="none" w:sz="0" w:space="0" w:color="auto"/>
          </w:divBdr>
          <w:divsChild>
            <w:div w:id="2001734196">
              <w:marLeft w:val="0"/>
              <w:marRight w:val="0"/>
              <w:marTop w:val="0"/>
              <w:marBottom w:val="0"/>
              <w:divBdr>
                <w:top w:val="none" w:sz="0" w:space="0" w:color="auto"/>
                <w:left w:val="none" w:sz="0" w:space="0" w:color="auto"/>
                <w:bottom w:val="none" w:sz="0" w:space="0" w:color="auto"/>
                <w:right w:val="none" w:sz="0" w:space="0" w:color="auto"/>
              </w:divBdr>
              <w:divsChild>
                <w:div w:id="1688097067">
                  <w:marLeft w:val="0"/>
                  <w:marRight w:val="0"/>
                  <w:marTop w:val="0"/>
                  <w:marBottom w:val="0"/>
                  <w:divBdr>
                    <w:top w:val="none" w:sz="0" w:space="0" w:color="auto"/>
                    <w:left w:val="none" w:sz="0" w:space="0" w:color="auto"/>
                    <w:bottom w:val="none" w:sz="0" w:space="0" w:color="auto"/>
                    <w:right w:val="none" w:sz="0" w:space="0" w:color="auto"/>
                  </w:divBdr>
                  <w:divsChild>
                    <w:div w:id="1401750531">
                      <w:marLeft w:val="0"/>
                      <w:marRight w:val="0"/>
                      <w:marTop w:val="0"/>
                      <w:marBottom w:val="0"/>
                      <w:divBdr>
                        <w:top w:val="none" w:sz="0" w:space="0" w:color="auto"/>
                        <w:left w:val="none" w:sz="0" w:space="0" w:color="auto"/>
                        <w:bottom w:val="none" w:sz="0" w:space="0" w:color="auto"/>
                        <w:right w:val="none" w:sz="0" w:space="0" w:color="auto"/>
                      </w:divBdr>
                      <w:divsChild>
                        <w:div w:id="687371117">
                          <w:marLeft w:val="0"/>
                          <w:marRight w:val="0"/>
                          <w:marTop w:val="0"/>
                          <w:marBottom w:val="0"/>
                          <w:divBdr>
                            <w:top w:val="none" w:sz="0" w:space="0" w:color="auto"/>
                            <w:left w:val="none" w:sz="0" w:space="0" w:color="auto"/>
                            <w:bottom w:val="none" w:sz="0" w:space="0" w:color="auto"/>
                            <w:right w:val="none" w:sz="0" w:space="0" w:color="auto"/>
                          </w:divBdr>
                          <w:divsChild>
                            <w:div w:id="453183409">
                              <w:marLeft w:val="0"/>
                              <w:marRight w:val="0"/>
                              <w:marTop w:val="0"/>
                              <w:marBottom w:val="0"/>
                              <w:divBdr>
                                <w:top w:val="none" w:sz="0" w:space="0" w:color="auto"/>
                                <w:left w:val="none" w:sz="0" w:space="0" w:color="auto"/>
                                <w:bottom w:val="none" w:sz="0" w:space="0" w:color="auto"/>
                                <w:right w:val="none" w:sz="0" w:space="0" w:color="auto"/>
                              </w:divBdr>
                              <w:divsChild>
                                <w:div w:id="610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6315">
      <w:bodyDiv w:val="1"/>
      <w:marLeft w:val="0"/>
      <w:marRight w:val="0"/>
      <w:marTop w:val="0"/>
      <w:marBottom w:val="0"/>
      <w:divBdr>
        <w:top w:val="none" w:sz="0" w:space="0" w:color="auto"/>
        <w:left w:val="none" w:sz="0" w:space="0" w:color="auto"/>
        <w:bottom w:val="none" w:sz="0" w:space="0" w:color="auto"/>
        <w:right w:val="none" w:sz="0" w:space="0" w:color="auto"/>
      </w:divBdr>
    </w:div>
    <w:div w:id="888537478">
      <w:bodyDiv w:val="1"/>
      <w:marLeft w:val="0"/>
      <w:marRight w:val="0"/>
      <w:marTop w:val="0"/>
      <w:marBottom w:val="0"/>
      <w:divBdr>
        <w:top w:val="none" w:sz="0" w:space="0" w:color="auto"/>
        <w:left w:val="none" w:sz="0" w:space="0" w:color="auto"/>
        <w:bottom w:val="none" w:sz="0" w:space="0" w:color="auto"/>
        <w:right w:val="none" w:sz="0" w:space="0" w:color="auto"/>
      </w:divBdr>
    </w:div>
    <w:div w:id="911045285">
      <w:bodyDiv w:val="1"/>
      <w:marLeft w:val="0"/>
      <w:marRight w:val="0"/>
      <w:marTop w:val="0"/>
      <w:marBottom w:val="0"/>
      <w:divBdr>
        <w:top w:val="none" w:sz="0" w:space="0" w:color="auto"/>
        <w:left w:val="none" w:sz="0" w:space="0" w:color="auto"/>
        <w:bottom w:val="none" w:sz="0" w:space="0" w:color="auto"/>
        <w:right w:val="none" w:sz="0" w:space="0" w:color="auto"/>
      </w:divBdr>
    </w:div>
    <w:div w:id="1149858890">
      <w:bodyDiv w:val="1"/>
      <w:marLeft w:val="0"/>
      <w:marRight w:val="0"/>
      <w:marTop w:val="0"/>
      <w:marBottom w:val="0"/>
      <w:divBdr>
        <w:top w:val="none" w:sz="0" w:space="0" w:color="auto"/>
        <w:left w:val="none" w:sz="0" w:space="0" w:color="auto"/>
        <w:bottom w:val="none" w:sz="0" w:space="0" w:color="auto"/>
        <w:right w:val="none" w:sz="0" w:space="0" w:color="auto"/>
      </w:divBdr>
    </w:div>
    <w:div w:id="1199926980">
      <w:bodyDiv w:val="1"/>
      <w:marLeft w:val="0"/>
      <w:marRight w:val="0"/>
      <w:marTop w:val="0"/>
      <w:marBottom w:val="0"/>
      <w:divBdr>
        <w:top w:val="none" w:sz="0" w:space="0" w:color="auto"/>
        <w:left w:val="none" w:sz="0" w:space="0" w:color="auto"/>
        <w:bottom w:val="none" w:sz="0" w:space="0" w:color="auto"/>
        <w:right w:val="none" w:sz="0" w:space="0" w:color="auto"/>
      </w:divBdr>
    </w:div>
    <w:div w:id="1207061993">
      <w:bodyDiv w:val="1"/>
      <w:marLeft w:val="0"/>
      <w:marRight w:val="0"/>
      <w:marTop w:val="0"/>
      <w:marBottom w:val="0"/>
      <w:divBdr>
        <w:top w:val="none" w:sz="0" w:space="0" w:color="auto"/>
        <w:left w:val="none" w:sz="0" w:space="0" w:color="auto"/>
        <w:bottom w:val="none" w:sz="0" w:space="0" w:color="auto"/>
        <w:right w:val="none" w:sz="0" w:space="0" w:color="auto"/>
      </w:divBdr>
    </w:div>
    <w:div w:id="1298218131">
      <w:bodyDiv w:val="1"/>
      <w:marLeft w:val="0"/>
      <w:marRight w:val="0"/>
      <w:marTop w:val="0"/>
      <w:marBottom w:val="0"/>
      <w:divBdr>
        <w:top w:val="none" w:sz="0" w:space="0" w:color="auto"/>
        <w:left w:val="none" w:sz="0" w:space="0" w:color="auto"/>
        <w:bottom w:val="none" w:sz="0" w:space="0" w:color="auto"/>
        <w:right w:val="none" w:sz="0" w:space="0" w:color="auto"/>
      </w:divBdr>
    </w:div>
    <w:div w:id="1390109602">
      <w:bodyDiv w:val="1"/>
      <w:marLeft w:val="0"/>
      <w:marRight w:val="0"/>
      <w:marTop w:val="0"/>
      <w:marBottom w:val="0"/>
      <w:divBdr>
        <w:top w:val="none" w:sz="0" w:space="0" w:color="auto"/>
        <w:left w:val="none" w:sz="0" w:space="0" w:color="auto"/>
        <w:bottom w:val="none" w:sz="0" w:space="0" w:color="auto"/>
        <w:right w:val="none" w:sz="0" w:space="0" w:color="auto"/>
      </w:divBdr>
    </w:div>
    <w:div w:id="1424495022">
      <w:bodyDiv w:val="1"/>
      <w:marLeft w:val="0"/>
      <w:marRight w:val="0"/>
      <w:marTop w:val="0"/>
      <w:marBottom w:val="0"/>
      <w:divBdr>
        <w:top w:val="none" w:sz="0" w:space="0" w:color="auto"/>
        <w:left w:val="none" w:sz="0" w:space="0" w:color="auto"/>
        <w:bottom w:val="none" w:sz="0" w:space="0" w:color="auto"/>
        <w:right w:val="none" w:sz="0" w:space="0" w:color="auto"/>
      </w:divBdr>
    </w:div>
    <w:div w:id="1912538899">
      <w:bodyDiv w:val="1"/>
      <w:marLeft w:val="0"/>
      <w:marRight w:val="0"/>
      <w:marTop w:val="0"/>
      <w:marBottom w:val="0"/>
      <w:divBdr>
        <w:top w:val="none" w:sz="0" w:space="0" w:color="auto"/>
        <w:left w:val="none" w:sz="0" w:space="0" w:color="auto"/>
        <w:bottom w:val="none" w:sz="0" w:space="0" w:color="auto"/>
        <w:right w:val="none" w:sz="0" w:space="0" w:color="auto"/>
      </w:divBdr>
    </w:div>
    <w:div w:id="2006125651">
      <w:bodyDiv w:val="1"/>
      <w:marLeft w:val="0"/>
      <w:marRight w:val="0"/>
      <w:marTop w:val="0"/>
      <w:marBottom w:val="0"/>
      <w:divBdr>
        <w:top w:val="none" w:sz="0" w:space="0" w:color="auto"/>
        <w:left w:val="none" w:sz="0" w:space="0" w:color="auto"/>
        <w:bottom w:val="none" w:sz="0" w:space="0" w:color="auto"/>
        <w:right w:val="none" w:sz="0" w:space="0" w:color="auto"/>
      </w:divBdr>
    </w:div>
    <w:div w:id="2123070908">
      <w:bodyDiv w:val="1"/>
      <w:marLeft w:val="0"/>
      <w:marRight w:val="0"/>
      <w:marTop w:val="0"/>
      <w:marBottom w:val="0"/>
      <w:divBdr>
        <w:top w:val="none" w:sz="0" w:space="0" w:color="auto"/>
        <w:left w:val="none" w:sz="0" w:space="0" w:color="auto"/>
        <w:bottom w:val="none" w:sz="0" w:space="0" w:color="auto"/>
        <w:right w:val="none" w:sz="0" w:space="0" w:color="auto"/>
      </w:divBdr>
    </w:div>
    <w:div w:id="21351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018/ejfood.2022.4.2.451" TargetMode="External"/><Relationship Id="rId18" Type="http://schemas.openxmlformats.org/officeDocument/2006/relationships/hyperlink" Target="https://doi.org/10.3329/aba.v28i1.81431" TargetMode="External"/><Relationship Id="rId26" Type="http://schemas.openxmlformats.org/officeDocument/2006/relationships/hyperlink" Target="https://doi.org/10.3390/land12061217" TargetMode="External"/><Relationship Id="rId39" Type="http://schemas.openxmlformats.org/officeDocument/2006/relationships/hyperlink" Target="https://doi.org/10.1080/23311975.2022.2135222" TargetMode="External"/><Relationship Id="rId21" Type="http://schemas.openxmlformats.org/officeDocument/2006/relationships/hyperlink" Target="https://doi.org/10.1371/journal.pone.0256694" TargetMode="External"/><Relationship Id="rId34" Type="http://schemas.openxmlformats.org/officeDocument/2006/relationships/hyperlink" Target="https://doi.org/10.70895/ijseap.v2i1.79" TargetMode="External"/><Relationship Id="rId42" Type="http://schemas.openxmlformats.org/officeDocument/2006/relationships/hyperlink" Target="https://doi.org/10.24018/ejbmr.2022.7.5.1593" TargetMode="External"/><Relationship Id="rId47" Type="http://schemas.openxmlformats.org/officeDocument/2006/relationships/hyperlink" Target="https://doi.org/10.1002/bsd2.358" TargetMode="External"/><Relationship Id="rId50" Type="http://schemas.openxmlformats.org/officeDocument/2006/relationships/hyperlink" Target="https://doi.org/10.3390/su14031745" TargetMode="External"/><Relationship Id="rId55" Type="http://schemas.openxmlformats.org/officeDocument/2006/relationships/hyperlink" Target="https://doi.org/10.3362/1755-1986.21-0003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571-025-01605-w" TargetMode="External"/><Relationship Id="rId29" Type="http://schemas.openxmlformats.org/officeDocument/2006/relationships/hyperlink" Target="https://doi.org/10.1016/j.heliyon.2024.e39209" TargetMode="External"/><Relationship Id="rId11" Type="http://schemas.openxmlformats.org/officeDocument/2006/relationships/hyperlink" Target="https://doi.org/10.70133/bjae.2024.487" TargetMode="External"/><Relationship Id="rId24" Type="http://schemas.openxmlformats.org/officeDocument/2006/relationships/hyperlink" Target="https://doi.org/10.1007/s43621-025-02251-0" TargetMode="External"/><Relationship Id="rId32" Type="http://schemas.openxmlformats.org/officeDocument/2006/relationships/hyperlink" Target="https://doi.org/10.36956/rwae.v6i1.1536" TargetMode="External"/><Relationship Id="rId37" Type="http://schemas.openxmlformats.org/officeDocument/2006/relationships/hyperlink" Target="https://doi.org/10.48130/CAS-2023-0010" TargetMode="External"/><Relationship Id="rId40" Type="http://schemas.openxmlformats.org/officeDocument/2006/relationships/hyperlink" Target="https://doi.org/10.1007/s10708-020-10170-y" TargetMode="External"/><Relationship Id="rId45" Type="http://schemas.openxmlformats.org/officeDocument/2006/relationships/hyperlink" Target="https://doi.org/10.9734/ajaees/2024/v42i102564" TargetMode="External"/><Relationship Id="rId53" Type="http://schemas.openxmlformats.org/officeDocument/2006/relationships/hyperlink" Target="https://doi.org/10.3390/su151411395"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016/j.sftr.2026.101659" TargetMode="External"/><Relationship Id="rId14" Type="http://schemas.openxmlformats.org/officeDocument/2006/relationships/hyperlink" Target="https://doi.org/10.5304/jafscd.2025.142.032" TargetMode="External"/><Relationship Id="rId22" Type="http://schemas.openxmlformats.org/officeDocument/2006/relationships/hyperlink" Target="https://doi.org/10.3329/sja.v23i1.81857" TargetMode="External"/><Relationship Id="rId27" Type="http://schemas.openxmlformats.org/officeDocument/2006/relationships/hyperlink" Target="https://doi.org/10.1016/j.heliyon.2022.e08755" TargetMode="External"/><Relationship Id="rId30" Type="http://schemas.openxmlformats.org/officeDocument/2006/relationships/hyperlink" Target="https://doi.org/10.1016/j.jafr.2024.101486" TargetMode="External"/><Relationship Id="rId35" Type="http://schemas.openxmlformats.org/officeDocument/2006/relationships/hyperlink" Target="https://doi.org/10.1080/23311975.2022.2135222" TargetMode="External"/><Relationship Id="rId43" Type="http://schemas.openxmlformats.org/officeDocument/2006/relationships/hyperlink" Target="https://doi.org/10.1016/j.rspp.2025.100202" TargetMode="External"/><Relationship Id="rId48" Type="http://schemas.openxmlformats.org/officeDocument/2006/relationships/hyperlink" Target="https://doi.org/10.56506/QXWB2020" TargetMode="External"/><Relationship Id="rId56" Type="http://schemas.openxmlformats.org/officeDocument/2006/relationships/hyperlink" Target="https://doi.org/10.1007/s10668-024-04545-1"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389/fsufs.2024.1395897" TargetMode="External"/><Relationship Id="rId3" Type="http://schemas.openxmlformats.org/officeDocument/2006/relationships/styles" Target="styles.xml"/><Relationship Id="rId12" Type="http://schemas.openxmlformats.org/officeDocument/2006/relationships/hyperlink" Target="https://doi.org/10.1007/s43621-025-00878-7" TargetMode="External"/><Relationship Id="rId17" Type="http://schemas.openxmlformats.org/officeDocument/2006/relationships/hyperlink" Target="https://doi.org/10.1108/JADEE-09-2020-0203" TargetMode="External"/><Relationship Id="rId25" Type="http://schemas.openxmlformats.org/officeDocument/2006/relationships/hyperlink" Target="https://doi.org/10.1080/13504509.2022.2073615" TargetMode="External"/><Relationship Id="rId33" Type="http://schemas.openxmlformats.org/officeDocument/2006/relationships/hyperlink" Target="https://doi.org/10.1111/1467-8489.12537)" TargetMode="External"/><Relationship Id="rId38" Type="http://schemas.openxmlformats.org/officeDocument/2006/relationships/hyperlink" Target="https://doi.org/10.1080/23311975.2022.2135222" TargetMode="External"/><Relationship Id="rId46" Type="http://schemas.openxmlformats.org/officeDocument/2006/relationships/hyperlink" Target="https://doi.org/10.1002/ldr.4358" TargetMode="External"/><Relationship Id="rId59" Type="http://schemas.openxmlformats.org/officeDocument/2006/relationships/footer" Target="footer1.xml"/><Relationship Id="rId20" Type="http://schemas.openxmlformats.org/officeDocument/2006/relationships/hyperlink" Target="https://doi.org/10.56557/JGEMBR/2022/v14i27933" TargetMode="External"/><Relationship Id="rId41" Type="http://schemas.openxmlformats.org/officeDocument/2006/relationships/hyperlink" Target="https://doi.org/10.3329/bjar.v45i3.62947" TargetMode="External"/><Relationship Id="rId54" Type="http://schemas.openxmlformats.org/officeDocument/2006/relationships/hyperlink" Target="https://doi.org/10.46254/BA07.20240192"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w14172756" TargetMode="External"/><Relationship Id="rId23" Type="http://schemas.openxmlformats.org/officeDocument/2006/relationships/hyperlink" Target="https://doi.org/10.1007/s10457-025-01304-7" TargetMode="External"/><Relationship Id="rId28" Type="http://schemas.openxmlformats.org/officeDocument/2006/relationships/hyperlink" Target="https://doi.org/10.3844/ajabssp.2022.23.33" TargetMode="External"/><Relationship Id="rId36" Type="http://schemas.openxmlformats.org/officeDocument/2006/relationships/hyperlink" Target="https://doi.org/10.3329/ijarit.v13i1.68069" TargetMode="External"/><Relationship Id="rId49" Type="http://schemas.openxmlformats.org/officeDocument/2006/relationships/hyperlink" Target="https://doi.org/10.9734/ajaar/2025/v25i1577" TargetMode="External"/><Relationship Id="rId57" Type="http://schemas.openxmlformats.org/officeDocument/2006/relationships/header" Target="header1.xml"/><Relationship Id="rId10" Type="http://schemas.openxmlformats.org/officeDocument/2006/relationships/hyperlink" Target="https://doi.org/10.1162/rest_a_01263" TargetMode="External"/><Relationship Id="rId31" Type="http://schemas.openxmlformats.org/officeDocument/2006/relationships/hyperlink" Target="https://dx.doi.org/10.36956/rwae.v6i1.1536" TargetMode="External"/><Relationship Id="rId44" Type="http://schemas.openxmlformats.org/officeDocument/2006/relationships/hyperlink" Target="https://doi.org/10.1016/j.heliyon.2024.e40091" TargetMode="External"/><Relationship Id="rId52" Type="http://schemas.openxmlformats.org/officeDocument/2006/relationships/hyperlink" Target="https://doi.org/10.1007/s43621-025-02412-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8E48-3E09-404C-8DA2-290F98C7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15</Pages>
  <Words>8075</Words>
  <Characters>46029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dc:creator>
  <cp:keywords/>
  <dc:description/>
  <cp:lastModifiedBy>SDI 1084</cp:lastModifiedBy>
  <cp:revision>127</cp:revision>
  <dcterms:created xsi:type="dcterms:W3CDTF">2025-09-17T13:50:00Z</dcterms:created>
  <dcterms:modified xsi:type="dcterms:W3CDTF">2026-04-13T13:21:00Z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dafe941c-45c1-45fb-8f88-1f6d0e387209</vt:lpwstr>
  </property>
</Properties>
</file>