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195F4" w14:textId="77777777" w:rsidR="00501A8A" w:rsidRDefault="00352FB8">
      <w:pPr>
        <w:pStyle w:val="Heading2"/>
        <w:jc w:val="both"/>
        <w:rPr>
          <w:rFonts w:ascii="Times New Roman" w:hAnsi="Times New Roman" w:hint="default"/>
          <w:sz w:val="28"/>
          <w:szCs w:val="28"/>
        </w:rPr>
      </w:pPr>
      <w:r>
        <w:rPr>
          <w:rFonts w:ascii="Times New Roman" w:hAnsi="Times New Roman" w:hint="default"/>
          <w:sz w:val="28"/>
          <w:szCs w:val="28"/>
        </w:rPr>
        <w:t>Phytohormonal Control and Crosstalk in Litchi Fruit Development, Ripening, Abscission and Quality Regulation</w:t>
      </w:r>
    </w:p>
    <w:p w14:paraId="1D940B46" w14:textId="64B22751" w:rsidR="00501A8A" w:rsidRDefault="00501A8A">
      <w:pPr>
        <w:rPr>
          <w:rFonts w:ascii="Times New Roman" w:eastAsia="SimSun" w:hAnsi="Times New Roman" w:cs="Times New Roman"/>
          <w:sz w:val="24"/>
          <w:szCs w:val="24"/>
        </w:rPr>
      </w:pPr>
    </w:p>
    <w:p w14:paraId="219B4C62" w14:textId="77777777" w:rsidR="00122BB2" w:rsidRDefault="00122BB2">
      <w:pPr>
        <w:rPr>
          <w:rFonts w:ascii="Times New Roman" w:eastAsia="SimSun" w:hAnsi="Times New Roman" w:cs="Times New Roman"/>
          <w:sz w:val="24"/>
          <w:szCs w:val="24"/>
        </w:rPr>
      </w:pPr>
      <w:bookmarkStart w:id="0" w:name="_GoBack"/>
      <w:bookmarkEnd w:id="0"/>
    </w:p>
    <w:p w14:paraId="53812B42" w14:textId="77777777" w:rsidR="00501A8A" w:rsidRDefault="00352FB8">
      <w:pPr>
        <w:pStyle w:val="Heading2"/>
        <w:jc w:val="both"/>
        <w:rPr>
          <w:rFonts w:hint="default"/>
          <w:sz w:val="24"/>
          <w:szCs w:val="24"/>
        </w:rPr>
      </w:pPr>
      <w:r>
        <w:rPr>
          <w:rStyle w:val="Strong"/>
          <w:b/>
          <w:bCs/>
          <w:sz w:val="24"/>
          <w:szCs w:val="24"/>
        </w:rPr>
        <w:t>Abstract</w:t>
      </w:r>
    </w:p>
    <w:p w14:paraId="1D6570F9" w14:textId="77777777" w:rsidR="00501A8A" w:rsidRDefault="00352FB8">
      <w:pPr>
        <w:pStyle w:val="NormalWeb"/>
        <w:jc w:val="both"/>
      </w:pPr>
      <w:r>
        <w:t>Litchi (</w:t>
      </w:r>
      <w:r>
        <w:rPr>
          <w:rStyle w:val="Emphasis"/>
        </w:rPr>
        <w:t xml:space="preserve">Litchi </w:t>
      </w:r>
      <w:proofErr w:type="spellStart"/>
      <w:r>
        <w:rPr>
          <w:rStyle w:val="Emphasis"/>
        </w:rPr>
        <w:t>chinensis</w:t>
      </w:r>
      <w:proofErr w:type="spellEnd"/>
      <w:r>
        <w:rPr>
          <w:rStyle w:val="Emphasis"/>
        </w:rPr>
        <w:t xml:space="preserve"> </w:t>
      </w:r>
      <w:proofErr w:type="spellStart"/>
      <w:r>
        <w:rPr>
          <w:rStyle w:val="Emphasis"/>
        </w:rPr>
        <w:t>Sonn</w:t>
      </w:r>
      <w:proofErr w:type="spellEnd"/>
      <w:r>
        <w:rPr>
          <w:rStyle w:val="Emphasis"/>
        </w:rPr>
        <w:t>.</w:t>
      </w:r>
      <w:r>
        <w:t>) is a commercially important non-climacteric fruit crop in whi</w:t>
      </w:r>
      <w:r>
        <w:t>ch fruit development, maturation, abscission and postharvest quality are tightly regulated by a complex network of phytohormones. Unlike climacteric fruits, litchi ripening is primarily governed by abscisic acid (ABA) and sugar signaling, while ethylene pl</w:t>
      </w:r>
      <w:r>
        <w:t xml:space="preserve">ays a significant role in fruit abscission, senescence and postharvest deterioration. This chapter synthesizes current knowledge on the roles of major hormones including ethylene, ABA, </w:t>
      </w:r>
      <w:proofErr w:type="spellStart"/>
      <w:r>
        <w:t>jasmonates</w:t>
      </w:r>
      <w:proofErr w:type="spellEnd"/>
      <w:r>
        <w:t xml:space="preserve">, </w:t>
      </w:r>
      <w:proofErr w:type="spellStart"/>
      <w:r>
        <w:t>brassinosteroids</w:t>
      </w:r>
      <w:proofErr w:type="spellEnd"/>
      <w:r>
        <w:t xml:space="preserve"> and salicylic acid in litchi fruit physiol</w:t>
      </w:r>
      <w:r>
        <w:t>ogy. Ethylene regulates abscission through activation of cell wall-degrading enzymes and contributes to pericarp browning and senescence during storage. In contrast, ABA acts as a central regulator of fruit maturation by promoting anthocyanin accumulation,</w:t>
      </w:r>
      <w:r>
        <w:t xml:space="preserve"> sugar transport and ripening initiation. Emerging evidence highlights the importance of hormonal crosstalk, particularly auxin–ethylene antagonism, ABA–sugar synergy and ABA–ethylene interaction, in determining fruit retention, ripening progression and st</w:t>
      </w:r>
      <w:r>
        <w:t xml:space="preserve">ress responses. </w:t>
      </w:r>
      <w:proofErr w:type="spellStart"/>
      <w:r>
        <w:t>Jasmonates</w:t>
      </w:r>
      <w:proofErr w:type="spellEnd"/>
      <w:r>
        <w:t xml:space="preserve">, </w:t>
      </w:r>
      <w:proofErr w:type="spellStart"/>
      <w:r>
        <w:t>brassinosteroids</w:t>
      </w:r>
      <w:proofErr w:type="spellEnd"/>
      <w:r>
        <w:t xml:space="preserve"> and salicylic acid further </w:t>
      </w:r>
      <w:proofErr w:type="gramStart"/>
      <w:r>
        <w:t>modulate</w:t>
      </w:r>
      <w:proofErr w:type="gramEnd"/>
      <w:r>
        <w:t xml:space="preserve"> stress tolerance, defense mechanisms and postharvest quality. Practical applications of plant growth regulators (PGRs), including auxins, gibberellins, </w:t>
      </w:r>
      <w:proofErr w:type="spellStart"/>
      <w:r>
        <w:t>cytokinins</w:t>
      </w:r>
      <w:proofErr w:type="spellEnd"/>
      <w:r>
        <w:t xml:space="preserve"> and ethylene</w:t>
      </w:r>
      <w:r>
        <w:t xml:space="preserve"> inhibitors, have demonstrated considerable potential in improving fruit set, reducing abscission and extending shelf life. Future research integrating multi-omics approaches and climate-resilient strategies will be critical for enhancing productivity and </w:t>
      </w:r>
      <w:r>
        <w:t>fruit quality in litchi cultivation.</w:t>
      </w:r>
    </w:p>
    <w:p w14:paraId="57ABCCCF" w14:textId="77777777" w:rsidR="00501A8A" w:rsidRDefault="00352FB8">
      <w:pPr>
        <w:pStyle w:val="Heading2"/>
        <w:jc w:val="both"/>
        <w:rPr>
          <w:rStyle w:val="Strong"/>
          <w:rFonts w:ascii="Times New Roman" w:hAnsi="Times New Roman" w:hint="default"/>
          <w:sz w:val="24"/>
          <w:szCs w:val="24"/>
        </w:rPr>
      </w:pPr>
      <w:r>
        <w:rPr>
          <w:rStyle w:val="Strong"/>
          <w:rFonts w:ascii="Times New Roman" w:hAnsi="Times New Roman" w:hint="default"/>
          <w:sz w:val="24"/>
          <w:szCs w:val="24"/>
        </w:rPr>
        <w:t xml:space="preserve">Keywords: </w:t>
      </w:r>
      <w:proofErr w:type="spellStart"/>
      <w:r>
        <w:rPr>
          <w:rStyle w:val="Strong"/>
          <w:rFonts w:ascii="Times New Roman" w:hAnsi="Times New Roman" w:hint="default"/>
          <w:sz w:val="24"/>
          <w:szCs w:val="24"/>
        </w:rPr>
        <w:t>Lichi</w:t>
      </w:r>
      <w:proofErr w:type="spellEnd"/>
      <w:r>
        <w:rPr>
          <w:rStyle w:val="Strong"/>
          <w:rFonts w:ascii="Times New Roman" w:hAnsi="Times New Roman" w:hint="default"/>
          <w:sz w:val="24"/>
          <w:szCs w:val="24"/>
        </w:rPr>
        <w:t xml:space="preserve">, Cytokinin, Gibberellin, Auxin, Plant growth regulator, </w:t>
      </w:r>
      <w:proofErr w:type="spellStart"/>
      <w:r>
        <w:rPr>
          <w:rStyle w:val="Strong"/>
          <w:rFonts w:ascii="Times New Roman" w:hAnsi="Times New Roman" w:hint="default"/>
          <w:sz w:val="24"/>
          <w:szCs w:val="24"/>
        </w:rPr>
        <w:t>Abscision</w:t>
      </w:r>
      <w:proofErr w:type="spellEnd"/>
    </w:p>
    <w:p w14:paraId="74DCFE8F" w14:textId="77777777" w:rsidR="00501A8A" w:rsidRDefault="00352FB8">
      <w:pPr>
        <w:pStyle w:val="Heading2"/>
        <w:numPr>
          <w:ilvl w:val="0"/>
          <w:numId w:val="1"/>
        </w:numPr>
        <w:jc w:val="both"/>
        <w:rPr>
          <w:rFonts w:ascii="Times New Roman" w:hAnsi="Times New Roman" w:hint="default"/>
          <w:sz w:val="24"/>
          <w:szCs w:val="24"/>
        </w:rPr>
      </w:pPr>
      <w:r>
        <w:rPr>
          <w:rStyle w:val="Strong"/>
          <w:rFonts w:ascii="Times New Roman" w:hAnsi="Times New Roman" w:hint="default"/>
          <w:b/>
          <w:bCs/>
          <w:sz w:val="24"/>
          <w:szCs w:val="24"/>
        </w:rPr>
        <w:t>Introduction</w:t>
      </w:r>
    </w:p>
    <w:p w14:paraId="5D1E9A3A" w14:textId="77777777" w:rsidR="00501A8A" w:rsidRDefault="00352FB8">
      <w:pPr>
        <w:pStyle w:val="NormalWeb"/>
        <w:jc w:val="both"/>
      </w:pPr>
      <w:r>
        <w:t>Litchi (</w:t>
      </w:r>
      <w:r>
        <w:rPr>
          <w:rStyle w:val="Emphasis"/>
        </w:rPr>
        <w:t xml:space="preserve">Litchi </w:t>
      </w:r>
      <w:proofErr w:type="spellStart"/>
      <w:r>
        <w:rPr>
          <w:rStyle w:val="Emphasis"/>
        </w:rPr>
        <w:t>chinensis</w:t>
      </w:r>
      <w:proofErr w:type="spellEnd"/>
      <w:r>
        <w:t xml:space="preserve"> </w:t>
      </w:r>
      <w:proofErr w:type="spellStart"/>
      <w:r>
        <w:t>Sonn</w:t>
      </w:r>
      <w:proofErr w:type="spellEnd"/>
      <w:r>
        <w:t xml:space="preserve">.), a prominent member of the </w:t>
      </w:r>
      <w:proofErr w:type="spellStart"/>
      <w:r>
        <w:t>Sapindaceae</w:t>
      </w:r>
      <w:proofErr w:type="spellEnd"/>
      <w:r>
        <w:t xml:space="preserve"> family, is one of the most economically important subtropical fruit crops cultivated across South and Southeast Asia, including India, China, Thailand and Vietnam. The fruit is highly prized for its attractive</w:t>
      </w:r>
      <w:r>
        <w:t xml:space="preserve"> bright red pericarp, translucent juicy aril, distinctive aroma and excellent nutritional composition, including sugars, vitamins, minerals and bioactive compounds. In India, litchi represents a high-value horticultural commodity, particularly in states su</w:t>
      </w:r>
      <w:r>
        <w:t>ch as Bihar, where it significantly contributes to farmers’ income and regional agricultural economies (Menzel and Waite, 2005; Wang et al., 2017). Despite its commercial importance, litchi production is constrained by several physiological and environment</w:t>
      </w:r>
      <w:r>
        <w:t xml:space="preserve">al challenges, including irregular flowering, poor fruit set, excessive fruit drop, uneven ripening, pericarp browning and rapid postharvest deterioration. Among these, massive physiological fruit abscission during early developmental stages is one of the </w:t>
      </w:r>
      <w:r>
        <w:t>most critical limitations, often leading to substantial yield losses. In addition, the short shelf life of litchi fruits, mainly due to rapid pericarp senescence and browning, restricts long-distance transport and marketability (Jiang et al., 2004; Sivakum</w:t>
      </w:r>
      <w:r>
        <w:t xml:space="preserve">ar and Korsten, 2006). These complex developmental and postharvest processes are tightly regulated by endogenous </w:t>
      </w:r>
      <w:r>
        <w:lastRenderedPageBreak/>
        <w:t xml:space="preserve">phytohormones, which coordinate growth, differentiation, maturation and stress responses throughout the fruit life cycle. Fruit development in </w:t>
      </w:r>
      <w:r>
        <w:t xml:space="preserve">litchi follows a typical sequence of stages, including fruit set, early growth (characterized by rapid cell division and expansion), maturation, ripening and senescence. Each of these stages is governed by dynamic changes in hormonal balance and signaling </w:t>
      </w:r>
      <w:r>
        <w:t>pathways. Unlike climacteric fruits such as banana, tomato and apple, litchi is classified as a non-climacteric fruit, as it does not exhibit a sharp rise in respiration rate or autocatalytic ethylene production during ripening. Instead, ripening in litchi</w:t>
      </w:r>
      <w:r>
        <w:t xml:space="preserve"> is largely regulated by abscisic acid (ABA) and sugar signaling pathways, which play a central role in controlling anthocyanin accumulation, sugar metabolism and pericarp coloration (Jiang et al., 2004; Zhang et al., 2011; Wang et al., 2017). Nevertheless</w:t>
      </w:r>
      <w:r>
        <w:t>, ethylene, traditionally regarded as the ripening hormone in climacteric fruits, also plays a significant role in litchi physiology, particularly in fruit abscission, senescence and postharvest deterioration. Basal levels of ethylene production and tissue</w:t>
      </w:r>
      <w:r>
        <w:t xml:space="preserve"> sensitivity to ethylene are sufficient to regulate key processes such as abscission zone activation, membrane degradation and enzymatic browning. Studies have demonstrated that increased ethylene biosynthesis in fruitlets and pedicel tissues triggers the </w:t>
      </w:r>
      <w:r>
        <w:t>expression of cell wall-degrading enzymes, leading to fruit drop (Yuan and Huang, 2012; Wang et al., 2017). Furthermore, ethylene-mediated oxidative stress contributes to pericarp browning during storage, which is a major constraint in maintaining fruit qu</w:t>
      </w:r>
      <w:r>
        <w:t>ality (Jiang et al., 2004). In contrast to ethylene, ABA has emerged as the primary hormonal regulator of ripening in non-climacteric fruits, including litchi. A sharp increase in endogenous ABA levels at the onset of maturation has been closely associated</w:t>
      </w:r>
      <w:r>
        <w:t xml:space="preserve"> with pericarp coloration, anthocyanin biosynthesis and sugar accumulation in the aril. ABA regulates these processes through transcriptional activation of key structural genes involved in flavonoid biosynthesis, such as chalcone synthase (CHS), </w:t>
      </w:r>
      <w:proofErr w:type="spellStart"/>
      <w:r>
        <w:t>dihydrofla</w:t>
      </w:r>
      <w:r>
        <w:t>vonol</w:t>
      </w:r>
      <w:proofErr w:type="spellEnd"/>
      <w:r>
        <w:t xml:space="preserve"> reductase (DFR) and UDP-glucose flavonoid glucosyltransferase (UFGT), as well as through modulation of sugar transport and metabolism (Zhang et al., 2011; Jia et al., 2013; Wang et al., 2017). Moreover, ABA interacts with sugar signaling pathways to </w:t>
      </w:r>
      <w:r>
        <w:t>form a positive feedback loop that reinforces ripening processes, highlighting the importance of metabolic–hormonal integration in fruit development (Rolland et al., 2006). In addition to ethylene and ABA, classical growth-promoting hormones such as auxins</w:t>
      </w:r>
      <w:r>
        <w:t xml:space="preserve">, gibberellins (GAs) and </w:t>
      </w:r>
      <w:proofErr w:type="spellStart"/>
      <w:r>
        <w:t>cytokinins</w:t>
      </w:r>
      <w:proofErr w:type="spellEnd"/>
      <w:r>
        <w:t xml:space="preserve"> (CKs) play crucial roles during early fruit development. Auxins produced by developing seeds and pericarp tissues are essential for maintaining fruit set and preventing premature abscission by suppressing ethylene sensit</w:t>
      </w:r>
      <w:r>
        <w:t xml:space="preserve">ivity in the abscission zone. Gibberellins promote cell elongation and fruit enlargement, while </w:t>
      </w:r>
      <w:proofErr w:type="spellStart"/>
      <w:r>
        <w:t>cytokinins</w:t>
      </w:r>
      <w:proofErr w:type="spellEnd"/>
      <w:r>
        <w:t xml:space="preserve"> stimulate cell division and enhance sink strength during the initial stages of fruit growth (Davies, 2010; Menzel and Waite, 2005). The coordinated a</w:t>
      </w:r>
      <w:r>
        <w:t>ction of these hormones ensures successful fruit development and determines final fruit size and yield. Recent studies have emphasized that fruit development is not controlled by individual hormones acting in isolation but rather by complex networks of hor</w:t>
      </w:r>
      <w:r>
        <w:t>monal crosstalk. Interactions among auxin, ethylene, ABA and sugars play a decisive role in regulating fruit retention, ripening and stress responses. For example, the antagonistic relationship between auxin and ethylene is critical for controlling fruit a</w:t>
      </w:r>
      <w:r>
        <w:t>bscission, whereas the synergistic interaction between ABA and sugars governs ripening and color development (Yuan and Huang, 2012; Li et al., 2020). Similarly, ABA and ethylene interact to regulate senescence and stress-induced fruit drop, particularly un</w:t>
      </w:r>
      <w:r>
        <w:t xml:space="preserve">der adverse environmental conditions. Beyond the classical hormones, emerging evidence suggests that other signaling molecules, including </w:t>
      </w:r>
      <w:proofErr w:type="spellStart"/>
      <w:r>
        <w:t>jasmonates</w:t>
      </w:r>
      <w:proofErr w:type="spellEnd"/>
      <w:r>
        <w:t xml:space="preserve"> (JAs), </w:t>
      </w:r>
      <w:proofErr w:type="spellStart"/>
      <w:r>
        <w:t>brassinosteroids</w:t>
      </w:r>
      <w:proofErr w:type="spellEnd"/>
      <w:r>
        <w:t xml:space="preserve"> (BRs) and salicylic </w:t>
      </w:r>
      <w:r>
        <w:lastRenderedPageBreak/>
        <w:t>acid (SA), also contribute significantly to litchi fruit develo</w:t>
      </w:r>
      <w:r>
        <w:t xml:space="preserve">pment and postharvest physiology. </w:t>
      </w:r>
      <w:proofErr w:type="spellStart"/>
      <w:r>
        <w:t>Jasmonates</w:t>
      </w:r>
      <w:proofErr w:type="spellEnd"/>
      <w:r>
        <w:t xml:space="preserve"> are involved in stress responses and may enhance ethylene-mediated abscission under adverse conditions, while also playing a role in defense and antioxidant regulation. </w:t>
      </w:r>
      <w:proofErr w:type="spellStart"/>
      <w:r>
        <w:t>Brassinosteroids</w:t>
      </w:r>
      <w:proofErr w:type="spellEnd"/>
      <w:r>
        <w:t xml:space="preserve"> promote cell expansion, v</w:t>
      </w:r>
      <w:r>
        <w:t xml:space="preserve">ascular development and stress tolerance, thereby contributing to fruit growth and quality. Salicylic acid, on the other hand, is particularly important in postharvest management, as it enhances antioxidant capacity, delays senescence and reduces pericarp </w:t>
      </w:r>
      <w:r>
        <w:t>browning by modulating reactive oxygen species (ROS) metabolism and ethylene signaling (</w:t>
      </w:r>
      <w:proofErr w:type="spellStart"/>
      <w:r>
        <w:t>Asghari</w:t>
      </w:r>
      <w:proofErr w:type="spellEnd"/>
      <w:r>
        <w:t xml:space="preserve"> and </w:t>
      </w:r>
      <w:proofErr w:type="spellStart"/>
      <w:r>
        <w:t>Aghdam</w:t>
      </w:r>
      <w:proofErr w:type="spellEnd"/>
      <w:r>
        <w:t xml:space="preserve">, 2010; </w:t>
      </w:r>
      <w:proofErr w:type="spellStart"/>
      <w:r>
        <w:t>Vlot</w:t>
      </w:r>
      <w:proofErr w:type="spellEnd"/>
      <w:r>
        <w:t xml:space="preserve"> et al., 2009; Wang et al., 2017). Advances in molecular biology and high-throughput technologies, such as transcriptomics, metabolomics a</w:t>
      </w:r>
      <w:r>
        <w:t>nd hormone profiling, have significantly enhanced our understanding of the regulatory mechanisms underlying litchi fruit development. These studies have revealed coordinated expression of genes involved in hormone biosynthesis, signaling, transport and dow</w:t>
      </w:r>
      <w:r>
        <w:t xml:space="preserve">nstream transcriptional regulation across different developmental stages and environmental conditions (Li et al., 2020; </w:t>
      </w:r>
      <w:proofErr w:type="spellStart"/>
      <w:r>
        <w:t>Su</w:t>
      </w:r>
      <w:proofErr w:type="spellEnd"/>
      <w:r>
        <w:t xml:space="preserve"> et al., 2025). Such integrative approaches are essential for identifying key regulatory nodes and developing targeted strategies for </w:t>
      </w:r>
      <w:r>
        <w:t>improving fruit retention, quality and stress resilience. Given the increasing challenges posed by climate change, including rising temperatures, irregular rainfall and increased incidence of abiotic stresses, understanding the hormonal regulation of litch</w:t>
      </w:r>
      <w:r>
        <w:t>i fruit development has become even more critical. Environmental stresses often disrupt hormonal balance, leading to enhanced fruit drop, impaired ripening and reduced fruit quality. Therefore, elucidating the interactions between hormonal signaling and en</w:t>
      </w:r>
      <w:r>
        <w:t xml:space="preserve">vironmental factors will be crucial for developing climate-resilient cultivation practices (Yuan and Huang, 2012; </w:t>
      </w:r>
      <w:proofErr w:type="spellStart"/>
      <w:r>
        <w:t>Rathava</w:t>
      </w:r>
      <w:proofErr w:type="spellEnd"/>
      <w:r>
        <w:t xml:space="preserve"> et al., 2023). In this context, the application of plant growth regulators (PGRs) has emerged as an effective strategy for manipulatin</w:t>
      </w:r>
      <w:r>
        <w:t>g endogenous hormone levels to improve fruit set, reduce abscission, enhance fruit size and extend postharvest shelf life. However, the success of such interventions depends on precise knowledge of hormone dynamics, optimal timing and dosage, and their int</w:t>
      </w:r>
      <w:r>
        <w:t>eraction with environmental conditions. This chapter aims to provide a comprehensive overview of the roles of major phytohormones and their interactions in regulating litchi fruit development, abscission, ripening and postharvest physiology. Special emphas</w:t>
      </w:r>
      <w:r>
        <w:t>is is placed on hormonal crosstalk and its practical implications for improving productivity, fruit quality and sustainability in litchi cultivation.</w:t>
      </w:r>
    </w:p>
    <w:p w14:paraId="7A0F7AA9" w14:textId="77777777" w:rsidR="00501A8A" w:rsidRDefault="00352FB8">
      <w:pPr>
        <w:pStyle w:val="Heading2"/>
        <w:jc w:val="both"/>
        <w:rPr>
          <w:rFonts w:ascii="Times New Roman" w:hAnsi="Times New Roman" w:hint="default"/>
          <w:sz w:val="24"/>
          <w:szCs w:val="24"/>
        </w:rPr>
      </w:pPr>
      <w:r>
        <w:rPr>
          <w:rStyle w:val="Strong"/>
          <w:rFonts w:ascii="Times New Roman" w:hAnsi="Times New Roman" w:hint="default"/>
          <w:b/>
          <w:bCs/>
          <w:sz w:val="24"/>
          <w:szCs w:val="24"/>
        </w:rPr>
        <w:t>2. Role of Ethylene in Litchi Fruit Development</w:t>
      </w:r>
    </w:p>
    <w:p w14:paraId="3EE18C32" w14:textId="77777777" w:rsidR="00501A8A" w:rsidRDefault="00352FB8">
      <w:pPr>
        <w:pStyle w:val="NormalWeb"/>
        <w:jc w:val="both"/>
      </w:pPr>
      <w:r>
        <w:t>Ethylene is widely known as the ripening hormone, but in l</w:t>
      </w:r>
      <w:r>
        <w:t>itchi its primary roles are associated with abscission, senescence and postharvest deterioration.</w:t>
      </w:r>
    </w:p>
    <w:p w14:paraId="6DCC3C18"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2.1 Role of Ethylene in Litchi Fruit Development, Abscission and Ripening</w:t>
      </w:r>
    </w:p>
    <w:p w14:paraId="4F2A4E11" w14:textId="77777777" w:rsidR="00501A8A" w:rsidRDefault="00501A8A">
      <w:pPr>
        <w:jc w:val="both"/>
        <w:rPr>
          <w:rStyle w:val="Strong"/>
          <w:rFonts w:ascii="Times New Roman" w:hAnsi="Times New Roman" w:cs="Times New Roman"/>
          <w:sz w:val="24"/>
          <w:szCs w:val="24"/>
        </w:rPr>
      </w:pPr>
    </w:p>
    <w:p w14:paraId="2501CB01"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Ethylene is a gaseous phytohormone that plays a central role in regulating senescen</w:t>
      </w:r>
      <w:r>
        <w:rPr>
          <w:rStyle w:val="Strong"/>
          <w:rFonts w:ascii="Times New Roman" w:hAnsi="Times New Roman" w:cs="Times New Roman"/>
          <w:b w:val="0"/>
          <w:bCs w:val="0"/>
          <w:sz w:val="24"/>
          <w:szCs w:val="24"/>
        </w:rPr>
        <w:t xml:space="preserve">ce, organ abscission, stress responses and fruit ripening in higher plants. Although litchi (Litchi </w:t>
      </w:r>
      <w:proofErr w:type="spellStart"/>
      <w:r>
        <w:rPr>
          <w:rStyle w:val="Strong"/>
          <w:rFonts w:ascii="Times New Roman" w:hAnsi="Times New Roman" w:cs="Times New Roman"/>
          <w:b w:val="0"/>
          <w:bCs w:val="0"/>
          <w:sz w:val="24"/>
          <w:szCs w:val="24"/>
        </w:rPr>
        <w:t>chinensis</w:t>
      </w:r>
      <w:proofErr w:type="spellEnd"/>
      <w:r>
        <w:rPr>
          <w:rStyle w:val="Strong"/>
          <w:rFonts w:ascii="Times New Roman" w:hAnsi="Times New Roman" w:cs="Times New Roman"/>
          <w:b w:val="0"/>
          <w:bCs w:val="0"/>
          <w:sz w:val="24"/>
          <w:szCs w:val="24"/>
        </w:rPr>
        <w:t xml:space="preserve"> </w:t>
      </w:r>
      <w:proofErr w:type="spellStart"/>
      <w:r>
        <w:rPr>
          <w:rStyle w:val="Strong"/>
          <w:rFonts w:ascii="Times New Roman" w:hAnsi="Times New Roman" w:cs="Times New Roman"/>
          <w:b w:val="0"/>
          <w:bCs w:val="0"/>
          <w:sz w:val="24"/>
          <w:szCs w:val="24"/>
        </w:rPr>
        <w:t>Sonn</w:t>
      </w:r>
      <w:proofErr w:type="spellEnd"/>
      <w:r>
        <w:rPr>
          <w:rStyle w:val="Strong"/>
          <w:rFonts w:ascii="Times New Roman" w:hAnsi="Times New Roman" w:cs="Times New Roman"/>
          <w:b w:val="0"/>
          <w:bCs w:val="0"/>
          <w:sz w:val="24"/>
          <w:szCs w:val="24"/>
        </w:rPr>
        <w:t>.) is classified as a non-climacteric fruit, ethylene exerts profound effects on fruit abscission, pericarp senescence, browning and postharve</w:t>
      </w:r>
      <w:r>
        <w:rPr>
          <w:rStyle w:val="Strong"/>
          <w:rFonts w:ascii="Times New Roman" w:hAnsi="Times New Roman" w:cs="Times New Roman"/>
          <w:b w:val="0"/>
          <w:bCs w:val="0"/>
          <w:sz w:val="24"/>
          <w:szCs w:val="24"/>
        </w:rPr>
        <w:t>st deterioration (Jiang et al., 2004; Yuan and Huang, 2012). Unlike climacteric fruits such as banana and tomato, litchi does not exhibit a sharp increase in respiration or autocatalytic ethylene production during ripening; however, basal ethylene producti</w:t>
      </w:r>
      <w:r>
        <w:rPr>
          <w:rStyle w:val="Strong"/>
          <w:rFonts w:ascii="Times New Roman" w:hAnsi="Times New Roman" w:cs="Times New Roman"/>
          <w:b w:val="0"/>
          <w:bCs w:val="0"/>
          <w:sz w:val="24"/>
          <w:szCs w:val="24"/>
        </w:rPr>
        <w:t xml:space="preserve">on and ethylene sensitivity remain critical regulators of fruit retention and postharvest </w:t>
      </w:r>
      <w:r>
        <w:rPr>
          <w:rStyle w:val="Strong"/>
          <w:rFonts w:ascii="Times New Roman" w:hAnsi="Times New Roman" w:cs="Times New Roman"/>
          <w:b w:val="0"/>
          <w:bCs w:val="0"/>
          <w:sz w:val="24"/>
          <w:szCs w:val="24"/>
        </w:rPr>
        <w:lastRenderedPageBreak/>
        <w:t>quality (Wang et al., 2017). Ethylene biosynthesis in litchi follows the classical Yang cycle, in which S-adenosyl-L-methionine (SAM) is converted to 1-aminocycloprop</w:t>
      </w:r>
      <w:r>
        <w:rPr>
          <w:rStyle w:val="Strong"/>
          <w:rFonts w:ascii="Times New Roman" w:hAnsi="Times New Roman" w:cs="Times New Roman"/>
          <w:b w:val="0"/>
          <w:bCs w:val="0"/>
          <w:sz w:val="24"/>
          <w:szCs w:val="24"/>
        </w:rPr>
        <w:t>ane-1-carboxylic acid (ACC) by ACC synthase (ACS), and ACC is subsequently oxidized to ethylene by ACC oxidase (ACO) (Yang and Hoffman, 1984). The expression of ACS and ACO genes is tightly regulated by developmental cues, carbohydrate status and environme</w:t>
      </w:r>
      <w:r>
        <w:rPr>
          <w:rStyle w:val="Strong"/>
          <w:rFonts w:ascii="Times New Roman" w:hAnsi="Times New Roman" w:cs="Times New Roman"/>
          <w:b w:val="0"/>
          <w:bCs w:val="0"/>
          <w:sz w:val="24"/>
          <w:szCs w:val="24"/>
        </w:rPr>
        <w:t xml:space="preserve">ntal stresses, which together determine the magnitude and timing of ethylene production during fruit development and senescence (Yuan and Huang, 2012;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w:t>
      </w:r>
    </w:p>
    <w:p w14:paraId="50D59D42" w14:textId="77777777" w:rsidR="00501A8A" w:rsidRDefault="00501A8A">
      <w:pPr>
        <w:jc w:val="both"/>
        <w:rPr>
          <w:rStyle w:val="Strong"/>
          <w:rFonts w:ascii="Times New Roman" w:hAnsi="Times New Roman" w:cs="Times New Roman"/>
          <w:b w:val="0"/>
          <w:bCs w:val="0"/>
          <w:sz w:val="24"/>
          <w:szCs w:val="24"/>
        </w:rPr>
      </w:pPr>
    </w:p>
    <w:p w14:paraId="2DFEDA26"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2.2 Ethylene and Fruit Abscission</w:t>
      </w:r>
    </w:p>
    <w:p w14:paraId="2503B03C" w14:textId="77777777" w:rsidR="00501A8A" w:rsidRDefault="00501A8A">
      <w:pPr>
        <w:jc w:val="both"/>
        <w:rPr>
          <w:rStyle w:val="Strong"/>
          <w:rFonts w:ascii="Times New Roman" w:hAnsi="Times New Roman" w:cs="Times New Roman"/>
          <w:sz w:val="24"/>
          <w:szCs w:val="24"/>
        </w:rPr>
      </w:pPr>
    </w:p>
    <w:p w14:paraId="198CABC4"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Ethylene is the principal hormonal promoter of frui</w:t>
      </w:r>
      <w:r>
        <w:rPr>
          <w:rStyle w:val="Strong"/>
          <w:rFonts w:ascii="Times New Roman" w:hAnsi="Times New Roman" w:cs="Times New Roman"/>
          <w:b w:val="0"/>
          <w:bCs w:val="0"/>
          <w:sz w:val="24"/>
          <w:szCs w:val="24"/>
        </w:rPr>
        <w:t>t abscission in litchi and plays a decisive role in the regulation of massive physiological fruit drop that occurs at several stages of development. Elevated ethylene production in young fruitlets and pedicel tissues activates the differentiation and activ</w:t>
      </w:r>
      <w:r>
        <w:rPr>
          <w:rStyle w:val="Strong"/>
          <w:rFonts w:ascii="Times New Roman" w:hAnsi="Times New Roman" w:cs="Times New Roman"/>
          <w:b w:val="0"/>
          <w:bCs w:val="0"/>
          <w:sz w:val="24"/>
          <w:szCs w:val="24"/>
        </w:rPr>
        <w:t>ation of the abscission zone (AZ), leading to the separation of the fruit from the inflorescence axis (</w:t>
      </w:r>
      <w:proofErr w:type="spellStart"/>
      <w:r>
        <w:rPr>
          <w:rStyle w:val="Strong"/>
          <w:rFonts w:ascii="Times New Roman" w:hAnsi="Times New Roman" w:cs="Times New Roman"/>
          <w:b w:val="0"/>
          <w:bCs w:val="0"/>
          <w:sz w:val="24"/>
          <w:szCs w:val="24"/>
        </w:rPr>
        <w:t>Addicott</w:t>
      </w:r>
      <w:proofErr w:type="spellEnd"/>
      <w:r>
        <w:rPr>
          <w:rStyle w:val="Strong"/>
          <w:rFonts w:ascii="Times New Roman" w:hAnsi="Times New Roman" w:cs="Times New Roman"/>
          <w:b w:val="0"/>
          <w:bCs w:val="0"/>
          <w:sz w:val="24"/>
          <w:szCs w:val="24"/>
        </w:rPr>
        <w:t>, 1982; Taylor and Whitelaw, 2001). At the molecular level, ethylene stimulates the transcription of cell wall-degrading enzymes, including cellu</w:t>
      </w:r>
      <w:r>
        <w:rPr>
          <w:rStyle w:val="Strong"/>
          <w:rFonts w:ascii="Times New Roman" w:hAnsi="Times New Roman" w:cs="Times New Roman"/>
          <w:b w:val="0"/>
          <w:bCs w:val="0"/>
          <w:sz w:val="24"/>
          <w:szCs w:val="24"/>
        </w:rPr>
        <w:t xml:space="preserve">lases (endo-β-1,4-glucanases), </w:t>
      </w:r>
      <w:proofErr w:type="spellStart"/>
      <w:r>
        <w:rPr>
          <w:rStyle w:val="Strong"/>
          <w:rFonts w:ascii="Times New Roman" w:hAnsi="Times New Roman" w:cs="Times New Roman"/>
          <w:b w:val="0"/>
          <w:bCs w:val="0"/>
          <w:sz w:val="24"/>
          <w:szCs w:val="24"/>
        </w:rPr>
        <w:t>polygalacturonases</w:t>
      </w:r>
      <w:proofErr w:type="spellEnd"/>
      <w:r>
        <w:rPr>
          <w:rStyle w:val="Strong"/>
          <w:rFonts w:ascii="Times New Roman" w:hAnsi="Times New Roman" w:cs="Times New Roman"/>
          <w:b w:val="0"/>
          <w:bCs w:val="0"/>
          <w:sz w:val="24"/>
          <w:szCs w:val="24"/>
        </w:rPr>
        <w:t xml:space="preserve">, pectin </w:t>
      </w:r>
      <w:proofErr w:type="spellStart"/>
      <w:r>
        <w:rPr>
          <w:rStyle w:val="Strong"/>
          <w:rFonts w:ascii="Times New Roman" w:hAnsi="Times New Roman" w:cs="Times New Roman"/>
          <w:b w:val="0"/>
          <w:bCs w:val="0"/>
          <w:sz w:val="24"/>
          <w:szCs w:val="24"/>
        </w:rPr>
        <w:t>methylesterases</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expansins</w:t>
      </w:r>
      <w:proofErr w:type="spellEnd"/>
      <w:r>
        <w:rPr>
          <w:rStyle w:val="Strong"/>
          <w:rFonts w:ascii="Times New Roman" w:hAnsi="Times New Roman" w:cs="Times New Roman"/>
          <w:b w:val="0"/>
          <w:bCs w:val="0"/>
          <w:sz w:val="24"/>
          <w:szCs w:val="24"/>
        </w:rPr>
        <w:t xml:space="preserve">, which hydrolyze the middle lamella and primary cell walls in the abscission layer (Taylor and Whitelaw, 2001; Yuan and Huang, 2012). In litchi, enhanced expression of </w:t>
      </w:r>
      <w:r>
        <w:rPr>
          <w:rStyle w:val="Strong"/>
          <w:rFonts w:ascii="Times New Roman" w:hAnsi="Times New Roman" w:cs="Times New Roman"/>
          <w:b w:val="0"/>
          <w:bCs w:val="0"/>
          <w:sz w:val="24"/>
          <w:szCs w:val="24"/>
        </w:rPr>
        <w:t>these hydrolase genes precedes visible fruitlet drop, indicating a direct causal role of ethylene in abscission zone activation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Environmental and physiological stresses markedly increase ethylene biosynthesis in litchi fruitlets. Carbohy</w:t>
      </w:r>
      <w:r>
        <w:rPr>
          <w:rStyle w:val="Strong"/>
          <w:rFonts w:ascii="Times New Roman" w:hAnsi="Times New Roman" w:cs="Times New Roman"/>
          <w:b w:val="0"/>
          <w:bCs w:val="0"/>
          <w:sz w:val="24"/>
          <w:szCs w:val="24"/>
        </w:rPr>
        <w:t>drate shortage caused by heavy crop load, shading or low photosynthetic activity leads to carbon starvation in developing fruits, which in turn induces ACS and ACO gene expression and accelerates ethylene production (Yuan and Huang, 2012; Wang et al., 2017</w:t>
      </w:r>
      <w:r>
        <w:rPr>
          <w:rStyle w:val="Strong"/>
          <w:rFonts w:ascii="Times New Roman" w:hAnsi="Times New Roman" w:cs="Times New Roman"/>
          <w:b w:val="0"/>
          <w:bCs w:val="0"/>
          <w:sz w:val="24"/>
          <w:szCs w:val="24"/>
        </w:rPr>
        <w:t xml:space="preserve">). Similarly, drought stress, high temperature and nutrient imbalance enhance ethylene synthesis and fruit drop by activating stress-responsive ethylene signaling pathways (Menzel and Waite, 2005; </w:t>
      </w:r>
      <w:proofErr w:type="spellStart"/>
      <w:r>
        <w:rPr>
          <w:rStyle w:val="Strong"/>
          <w:rFonts w:ascii="Times New Roman" w:hAnsi="Times New Roman" w:cs="Times New Roman"/>
          <w:b w:val="0"/>
          <w:bCs w:val="0"/>
          <w:sz w:val="24"/>
          <w:szCs w:val="24"/>
        </w:rPr>
        <w:t>Rathava</w:t>
      </w:r>
      <w:proofErr w:type="spellEnd"/>
      <w:r>
        <w:rPr>
          <w:rStyle w:val="Strong"/>
          <w:rFonts w:ascii="Times New Roman" w:hAnsi="Times New Roman" w:cs="Times New Roman"/>
          <w:b w:val="0"/>
          <w:bCs w:val="0"/>
          <w:sz w:val="24"/>
          <w:szCs w:val="24"/>
        </w:rPr>
        <w:t xml:space="preserve"> et al., 2023). Hormonal interactions further modula</w:t>
      </w:r>
      <w:r>
        <w:rPr>
          <w:rStyle w:val="Strong"/>
          <w:rFonts w:ascii="Times New Roman" w:hAnsi="Times New Roman" w:cs="Times New Roman"/>
          <w:b w:val="0"/>
          <w:bCs w:val="0"/>
          <w:sz w:val="24"/>
          <w:szCs w:val="24"/>
        </w:rPr>
        <w:t xml:space="preserve">te ethylene-mediated abscission. Auxins and </w:t>
      </w:r>
      <w:proofErr w:type="spellStart"/>
      <w:r>
        <w:rPr>
          <w:rStyle w:val="Strong"/>
          <w:rFonts w:ascii="Times New Roman" w:hAnsi="Times New Roman" w:cs="Times New Roman"/>
          <w:b w:val="0"/>
          <w:bCs w:val="0"/>
          <w:sz w:val="24"/>
          <w:szCs w:val="24"/>
        </w:rPr>
        <w:t>cytokinins</w:t>
      </w:r>
      <w:proofErr w:type="spellEnd"/>
      <w:r>
        <w:rPr>
          <w:rStyle w:val="Strong"/>
          <w:rFonts w:ascii="Times New Roman" w:hAnsi="Times New Roman" w:cs="Times New Roman"/>
          <w:b w:val="0"/>
          <w:bCs w:val="0"/>
          <w:sz w:val="24"/>
          <w:szCs w:val="24"/>
        </w:rPr>
        <w:t xml:space="preserve"> antagonize ethylene action by reducing the sensitivity of the abscission zone to ethylene and suppressing hydrolase gene expression (</w:t>
      </w:r>
      <w:proofErr w:type="spellStart"/>
      <w:r>
        <w:rPr>
          <w:rStyle w:val="Strong"/>
          <w:rFonts w:ascii="Times New Roman" w:hAnsi="Times New Roman" w:cs="Times New Roman"/>
          <w:b w:val="0"/>
          <w:bCs w:val="0"/>
          <w:sz w:val="24"/>
          <w:szCs w:val="24"/>
        </w:rPr>
        <w:t>Addicott</w:t>
      </w:r>
      <w:proofErr w:type="spellEnd"/>
      <w:r>
        <w:rPr>
          <w:rStyle w:val="Strong"/>
          <w:rFonts w:ascii="Times New Roman" w:hAnsi="Times New Roman" w:cs="Times New Roman"/>
          <w:b w:val="0"/>
          <w:bCs w:val="0"/>
          <w:sz w:val="24"/>
          <w:szCs w:val="24"/>
        </w:rPr>
        <w:t>, 1982; Davies, 2010). A decline in auxin and cytokinin leve</w:t>
      </w:r>
      <w:r>
        <w:rPr>
          <w:rStyle w:val="Strong"/>
          <w:rFonts w:ascii="Times New Roman" w:hAnsi="Times New Roman" w:cs="Times New Roman"/>
          <w:b w:val="0"/>
          <w:bCs w:val="0"/>
          <w:sz w:val="24"/>
          <w:szCs w:val="24"/>
        </w:rPr>
        <w:t>ls, combined with elevated ethylene and abscisic acid (ABA), creates a hormonal environment conducive to abscission (Yuan and Huang, 2012). From a horticultural perspective, ethylene inhibitors and anti-ethylene treatments have proven effective in reducing</w:t>
      </w:r>
      <w:r>
        <w:rPr>
          <w:rStyle w:val="Strong"/>
          <w:rFonts w:ascii="Times New Roman" w:hAnsi="Times New Roman" w:cs="Times New Roman"/>
          <w:b w:val="0"/>
          <w:bCs w:val="0"/>
          <w:sz w:val="24"/>
          <w:szCs w:val="24"/>
        </w:rPr>
        <w:t xml:space="preserve"> fruit drop in litchi. Application of </w:t>
      </w:r>
      <w:proofErr w:type="spellStart"/>
      <w:r>
        <w:rPr>
          <w:rStyle w:val="Strong"/>
          <w:rFonts w:ascii="Times New Roman" w:hAnsi="Times New Roman" w:cs="Times New Roman"/>
          <w:b w:val="0"/>
          <w:bCs w:val="0"/>
          <w:sz w:val="24"/>
          <w:szCs w:val="24"/>
        </w:rPr>
        <w:t>aminoethoxyvinylglycine</w:t>
      </w:r>
      <w:proofErr w:type="spellEnd"/>
      <w:r>
        <w:rPr>
          <w:rStyle w:val="Strong"/>
          <w:rFonts w:ascii="Times New Roman" w:hAnsi="Times New Roman" w:cs="Times New Roman"/>
          <w:b w:val="0"/>
          <w:bCs w:val="0"/>
          <w:sz w:val="24"/>
          <w:szCs w:val="24"/>
        </w:rPr>
        <w:t xml:space="preserve"> (AVG), an inhibitor of ACC synthase, significantly decreases ethylene production and improves fruit retention (Menzel and Waite, 2005). Similarly, silver thiosulfate (STS) and 1-methylcycloprope</w:t>
      </w:r>
      <w:r>
        <w:rPr>
          <w:rStyle w:val="Strong"/>
          <w:rFonts w:ascii="Times New Roman" w:hAnsi="Times New Roman" w:cs="Times New Roman"/>
          <w:b w:val="0"/>
          <w:bCs w:val="0"/>
          <w:sz w:val="24"/>
          <w:szCs w:val="24"/>
        </w:rPr>
        <w:t xml:space="preserve">ne (1-MCP), which block ethylene perception, delay abscission by suppressing abscission zone activation (Jiang et al., 2004; </w:t>
      </w:r>
      <w:proofErr w:type="spellStart"/>
      <w:r>
        <w:rPr>
          <w:rStyle w:val="Strong"/>
          <w:rFonts w:ascii="Times New Roman" w:hAnsi="Times New Roman" w:cs="Times New Roman"/>
          <w:b w:val="0"/>
          <w:bCs w:val="0"/>
          <w:sz w:val="24"/>
          <w:szCs w:val="24"/>
        </w:rPr>
        <w:t>Rathava</w:t>
      </w:r>
      <w:proofErr w:type="spellEnd"/>
      <w:r>
        <w:rPr>
          <w:rStyle w:val="Strong"/>
          <w:rFonts w:ascii="Times New Roman" w:hAnsi="Times New Roman" w:cs="Times New Roman"/>
          <w:b w:val="0"/>
          <w:bCs w:val="0"/>
          <w:sz w:val="24"/>
          <w:szCs w:val="24"/>
        </w:rPr>
        <w:t xml:space="preserve"> et al., 2023).</w:t>
      </w:r>
    </w:p>
    <w:p w14:paraId="44A639FF" w14:textId="77777777" w:rsidR="00501A8A" w:rsidRDefault="00501A8A">
      <w:pPr>
        <w:jc w:val="both"/>
        <w:rPr>
          <w:rStyle w:val="Strong"/>
          <w:rFonts w:ascii="Times New Roman" w:hAnsi="Times New Roman" w:cs="Times New Roman"/>
          <w:sz w:val="24"/>
          <w:szCs w:val="24"/>
        </w:rPr>
      </w:pPr>
    </w:p>
    <w:p w14:paraId="380BC387"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2.3 Ethylene and Ripening</w:t>
      </w:r>
    </w:p>
    <w:p w14:paraId="3658EE5B" w14:textId="77777777" w:rsidR="00501A8A" w:rsidRDefault="00501A8A">
      <w:pPr>
        <w:jc w:val="both"/>
        <w:rPr>
          <w:rStyle w:val="Strong"/>
          <w:rFonts w:ascii="Times New Roman" w:hAnsi="Times New Roman" w:cs="Times New Roman"/>
          <w:sz w:val="24"/>
          <w:szCs w:val="24"/>
        </w:rPr>
      </w:pPr>
    </w:p>
    <w:p w14:paraId="0CBCEA82"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Although litchi is a non-climacteric fruit, ethylene plays an important modulato</w:t>
      </w:r>
      <w:r>
        <w:rPr>
          <w:rStyle w:val="Strong"/>
          <w:rFonts w:ascii="Times New Roman" w:hAnsi="Times New Roman" w:cs="Times New Roman"/>
          <w:b w:val="0"/>
          <w:bCs w:val="0"/>
          <w:sz w:val="24"/>
          <w:szCs w:val="24"/>
        </w:rPr>
        <w:t>ry role in regulating pericarp senescence, browning, membrane degradation and postharvest deterioration. During fruit maturation and storage, basal ethylene production increases gradually and contributes to the progression of senescence-associated processe</w:t>
      </w:r>
      <w:r>
        <w:rPr>
          <w:rStyle w:val="Strong"/>
          <w:rFonts w:ascii="Times New Roman" w:hAnsi="Times New Roman" w:cs="Times New Roman"/>
          <w:b w:val="0"/>
          <w:bCs w:val="0"/>
          <w:sz w:val="24"/>
          <w:szCs w:val="24"/>
        </w:rPr>
        <w:t xml:space="preserve">s rather than triggering climacteric ripening (Jiang et al., 2004; Wang et al., 2017). One of the </w:t>
      </w:r>
      <w:r>
        <w:rPr>
          <w:rStyle w:val="Strong"/>
          <w:rFonts w:ascii="Times New Roman" w:hAnsi="Times New Roman" w:cs="Times New Roman"/>
          <w:b w:val="0"/>
          <w:bCs w:val="0"/>
          <w:sz w:val="24"/>
          <w:szCs w:val="24"/>
        </w:rPr>
        <w:lastRenderedPageBreak/>
        <w:t>most serious postharvest problems in litchi is rapid pericarp browning, which is closely associated with ethylene-induced membrane breakdown and oxidative str</w:t>
      </w:r>
      <w:r>
        <w:rPr>
          <w:rStyle w:val="Strong"/>
          <w:rFonts w:ascii="Times New Roman" w:hAnsi="Times New Roman" w:cs="Times New Roman"/>
          <w:b w:val="0"/>
          <w:bCs w:val="0"/>
          <w:sz w:val="24"/>
          <w:szCs w:val="24"/>
        </w:rPr>
        <w:t>ess. Ethylene enhances the activity of polyphenol oxidase (PPO) and peroxidase (POD), promotes lipid peroxidation and accelerates the degradation of membrane phospholipids, leading to increased permeability and enzymatic oxidation of phenolic compounds (Ji</w:t>
      </w:r>
      <w:r>
        <w:rPr>
          <w:rStyle w:val="Strong"/>
          <w:rFonts w:ascii="Times New Roman" w:hAnsi="Times New Roman" w:cs="Times New Roman"/>
          <w:b w:val="0"/>
          <w:bCs w:val="0"/>
          <w:sz w:val="24"/>
          <w:szCs w:val="24"/>
        </w:rPr>
        <w:t>ang et al., 2004; Sivakumar and Korsten, 2006).</w:t>
      </w:r>
    </w:p>
    <w:p w14:paraId="467D41B6" w14:textId="77777777" w:rsidR="00501A8A" w:rsidRDefault="00501A8A">
      <w:pPr>
        <w:jc w:val="both"/>
        <w:rPr>
          <w:rStyle w:val="Strong"/>
          <w:rFonts w:ascii="Times New Roman" w:hAnsi="Times New Roman" w:cs="Times New Roman"/>
          <w:b w:val="0"/>
          <w:bCs w:val="0"/>
          <w:sz w:val="24"/>
          <w:szCs w:val="24"/>
        </w:rPr>
      </w:pPr>
    </w:p>
    <w:p w14:paraId="4E4EBDB4" w14:textId="77777777" w:rsidR="00501A8A" w:rsidRDefault="00352FB8">
      <w:pPr>
        <w:jc w:val="both"/>
        <w:rPr>
          <w:rFonts w:ascii="Times New Roman" w:hAnsi="Times New Roman" w:cs="Times New Roman"/>
          <w:sz w:val="24"/>
          <w:szCs w:val="24"/>
        </w:rPr>
      </w:pPr>
      <w:r>
        <w:rPr>
          <w:rStyle w:val="Strong"/>
          <w:rFonts w:ascii="Times New Roman" w:hAnsi="Times New Roman" w:cs="Times New Roman"/>
          <w:b w:val="0"/>
          <w:bCs w:val="0"/>
          <w:sz w:val="24"/>
          <w:szCs w:val="24"/>
        </w:rPr>
        <w:t>Ethylene also stimulates chlorophyll degradation and senescence-related gene expression in the pericarp, contributing to loss of color stability and structural integrity during storage (Wang et al., 2017). M</w:t>
      </w:r>
      <w:r>
        <w:rPr>
          <w:rStyle w:val="Strong"/>
          <w:rFonts w:ascii="Times New Roman" w:hAnsi="Times New Roman" w:cs="Times New Roman"/>
          <w:b w:val="0"/>
          <w:bCs w:val="0"/>
          <w:sz w:val="24"/>
          <w:szCs w:val="24"/>
        </w:rPr>
        <w:t>oreover, ethylene interacts synergistically with ABA to promote senescence, while antagonizing cytokinin-mediated delay of aging (Davies, 2010; Yuan and Huang, 2012). The application of ethylene inhibitors has emerged as a highly effective strategy for ext</w:t>
      </w:r>
      <w:r>
        <w:rPr>
          <w:rStyle w:val="Strong"/>
          <w:rFonts w:ascii="Times New Roman" w:hAnsi="Times New Roman" w:cs="Times New Roman"/>
          <w:b w:val="0"/>
          <w:bCs w:val="0"/>
          <w:sz w:val="24"/>
          <w:szCs w:val="24"/>
        </w:rPr>
        <w:t>ending the postharvest life of litchi fruit. Treatment with 1-methylcyclopropene (1-MCP), a competitive inhibitor of ethylene receptors, significantly delays pericarp browning, reduces membrane lipid peroxidation, suppresses PPO and POD activities, and pro</w:t>
      </w:r>
      <w:r>
        <w:rPr>
          <w:rStyle w:val="Strong"/>
          <w:rFonts w:ascii="Times New Roman" w:hAnsi="Times New Roman" w:cs="Times New Roman"/>
          <w:b w:val="0"/>
          <w:bCs w:val="0"/>
          <w:sz w:val="24"/>
          <w:szCs w:val="24"/>
        </w:rPr>
        <w:t>longs storage life under both ambient and cold conditions (Jiang et al., 2004; Zhang et al., 2016). Similarly, controlled atmosphere storage and low-temperature treatments that suppress ethylene biosynthesis and action markedly improve fruit appearance and</w:t>
      </w:r>
      <w:r>
        <w:rPr>
          <w:rStyle w:val="Strong"/>
          <w:rFonts w:ascii="Times New Roman" w:hAnsi="Times New Roman" w:cs="Times New Roman"/>
          <w:b w:val="0"/>
          <w:bCs w:val="0"/>
          <w:sz w:val="24"/>
          <w:szCs w:val="24"/>
        </w:rPr>
        <w:t xml:space="preserve"> shelf life (Sivakumar and Korsten, 2006; Wang et al., 2017). Despite its non-climacteric nature, therefore, ethylene plays a crucial regulatory role in litchi fruit abscission, senescence and postharvest physiology. A deeper understanding of ethylene sign</w:t>
      </w:r>
      <w:r>
        <w:rPr>
          <w:rStyle w:val="Strong"/>
          <w:rFonts w:ascii="Times New Roman" w:hAnsi="Times New Roman" w:cs="Times New Roman"/>
          <w:b w:val="0"/>
          <w:bCs w:val="0"/>
          <w:sz w:val="24"/>
          <w:szCs w:val="24"/>
        </w:rPr>
        <w:t>aling networks and their interaction with sugar and stress signaling pathways will be essential for developing improved orchard management practices and postharvest technologies to enhance yield stability and fruit quality.</w:t>
      </w:r>
    </w:p>
    <w:p w14:paraId="3DD09362" w14:textId="77777777" w:rsidR="00501A8A" w:rsidRDefault="00352FB8">
      <w:pPr>
        <w:pStyle w:val="Heading2"/>
        <w:jc w:val="both"/>
        <w:rPr>
          <w:rFonts w:ascii="Times New Roman" w:hAnsi="Times New Roman" w:hint="default"/>
          <w:sz w:val="24"/>
          <w:szCs w:val="24"/>
        </w:rPr>
      </w:pPr>
      <w:r>
        <w:rPr>
          <w:rStyle w:val="Strong"/>
          <w:rFonts w:ascii="Times New Roman" w:hAnsi="Times New Roman" w:hint="default"/>
          <w:b/>
          <w:bCs/>
          <w:sz w:val="24"/>
          <w:szCs w:val="24"/>
        </w:rPr>
        <w:t xml:space="preserve">3. Role of Abscisic Acid in </w:t>
      </w:r>
      <w:r>
        <w:rPr>
          <w:rStyle w:val="Strong"/>
          <w:rFonts w:ascii="Times New Roman" w:hAnsi="Times New Roman" w:hint="default"/>
          <w:b/>
          <w:bCs/>
          <w:sz w:val="24"/>
          <w:szCs w:val="24"/>
        </w:rPr>
        <w:t>Litchi Fruit Development</w:t>
      </w:r>
    </w:p>
    <w:p w14:paraId="05B2ED26" w14:textId="77777777" w:rsidR="00501A8A" w:rsidRDefault="00352FB8">
      <w:pPr>
        <w:pStyle w:val="NormalWeb"/>
        <w:jc w:val="both"/>
      </w:pPr>
      <w:r>
        <w:t>Abscisic acid (ABA) plays a dominant role in non-climacteric fruit ripening and stress responses.</w:t>
      </w:r>
    </w:p>
    <w:p w14:paraId="3C40766A"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3.1 Role of Abscisic Acid (ABA) in Litchi Fruit Development, Maturation and Abscission</w:t>
      </w:r>
    </w:p>
    <w:p w14:paraId="100B8F69" w14:textId="77777777" w:rsidR="00501A8A" w:rsidRDefault="00501A8A">
      <w:pPr>
        <w:jc w:val="both"/>
        <w:rPr>
          <w:rStyle w:val="Strong"/>
          <w:rFonts w:ascii="Times New Roman" w:hAnsi="Times New Roman" w:cs="Times New Roman"/>
          <w:sz w:val="24"/>
          <w:szCs w:val="24"/>
        </w:rPr>
      </w:pPr>
    </w:p>
    <w:p w14:paraId="26896CE3"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Abscisic acid (ABA) is a central regulator of</w:t>
      </w:r>
      <w:r>
        <w:rPr>
          <w:rStyle w:val="Strong"/>
          <w:rFonts w:ascii="Times New Roman" w:hAnsi="Times New Roman" w:cs="Times New Roman"/>
          <w:b w:val="0"/>
          <w:bCs w:val="0"/>
          <w:sz w:val="24"/>
          <w:szCs w:val="24"/>
        </w:rPr>
        <w:t xml:space="preserve"> fruit maturation, stress responses and abscission in many non-climacteric fruits. Unlike ethylene-dependent climacteric fruits, the ripening of litchi (Litchi </w:t>
      </w:r>
      <w:proofErr w:type="spellStart"/>
      <w:r>
        <w:rPr>
          <w:rStyle w:val="Strong"/>
          <w:rFonts w:ascii="Times New Roman" w:hAnsi="Times New Roman" w:cs="Times New Roman"/>
          <w:b w:val="0"/>
          <w:bCs w:val="0"/>
          <w:sz w:val="24"/>
          <w:szCs w:val="24"/>
        </w:rPr>
        <w:t>chinensis</w:t>
      </w:r>
      <w:proofErr w:type="spellEnd"/>
      <w:r>
        <w:rPr>
          <w:rStyle w:val="Strong"/>
          <w:rFonts w:ascii="Times New Roman" w:hAnsi="Times New Roman" w:cs="Times New Roman"/>
          <w:b w:val="0"/>
          <w:bCs w:val="0"/>
          <w:sz w:val="24"/>
          <w:szCs w:val="24"/>
        </w:rPr>
        <w:t xml:space="preserve"> </w:t>
      </w:r>
      <w:proofErr w:type="spellStart"/>
      <w:r>
        <w:rPr>
          <w:rStyle w:val="Strong"/>
          <w:rFonts w:ascii="Times New Roman" w:hAnsi="Times New Roman" w:cs="Times New Roman"/>
          <w:b w:val="0"/>
          <w:bCs w:val="0"/>
          <w:sz w:val="24"/>
          <w:szCs w:val="24"/>
        </w:rPr>
        <w:t>Sonn</w:t>
      </w:r>
      <w:proofErr w:type="spellEnd"/>
      <w:r>
        <w:rPr>
          <w:rStyle w:val="Strong"/>
          <w:rFonts w:ascii="Times New Roman" w:hAnsi="Times New Roman" w:cs="Times New Roman"/>
          <w:b w:val="0"/>
          <w:bCs w:val="0"/>
          <w:sz w:val="24"/>
          <w:szCs w:val="24"/>
        </w:rPr>
        <w:t>.) is largely governed by ABA and sugar signaling pathways, which orchestrate colo</w:t>
      </w:r>
      <w:r>
        <w:rPr>
          <w:rStyle w:val="Strong"/>
          <w:rFonts w:ascii="Times New Roman" w:hAnsi="Times New Roman" w:cs="Times New Roman"/>
          <w:b w:val="0"/>
          <w:bCs w:val="0"/>
          <w:sz w:val="24"/>
          <w:szCs w:val="24"/>
        </w:rPr>
        <w:t>r development, sugar accumulation and the onset of senescence (Jiang et al., 2004; Wang et al., 2017). Dynamic changes in endogenous ABA concentration and ABA signaling components have been shown to coordinate the transition from fruit growth to maturation</w:t>
      </w:r>
      <w:r>
        <w:rPr>
          <w:rStyle w:val="Strong"/>
          <w:rFonts w:ascii="Times New Roman" w:hAnsi="Times New Roman" w:cs="Times New Roman"/>
          <w:b w:val="0"/>
          <w:bCs w:val="0"/>
          <w:sz w:val="24"/>
          <w:szCs w:val="24"/>
        </w:rPr>
        <w:t xml:space="preserve"> and subsequent abscission, particularly under environmental stress conditions (Yuan and Huang, 2012;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ABA biosynthesis in litchi follows the carotenoid cleavage pathway mediated by 9-cis-epoxycarotenoid dioxygenase (NCED), while ABA catab</w:t>
      </w:r>
      <w:r>
        <w:rPr>
          <w:rStyle w:val="Strong"/>
          <w:rFonts w:ascii="Times New Roman" w:hAnsi="Times New Roman" w:cs="Times New Roman"/>
          <w:b w:val="0"/>
          <w:bCs w:val="0"/>
          <w:sz w:val="24"/>
          <w:szCs w:val="24"/>
        </w:rPr>
        <w:t>olism is regulated by ABA 8′-hydroxylases (CYP707A family). The fine regulation of ABA biosynthesis, transport and signaling determines the timing and progression of ripening and fruit shedding (</w:t>
      </w:r>
      <w:proofErr w:type="spellStart"/>
      <w:r>
        <w:rPr>
          <w:rStyle w:val="Strong"/>
          <w:rFonts w:ascii="Times New Roman" w:hAnsi="Times New Roman" w:cs="Times New Roman"/>
          <w:b w:val="0"/>
          <w:bCs w:val="0"/>
          <w:sz w:val="24"/>
          <w:szCs w:val="24"/>
        </w:rPr>
        <w:t>Nambara</w:t>
      </w:r>
      <w:proofErr w:type="spellEnd"/>
      <w:r>
        <w:rPr>
          <w:rStyle w:val="Strong"/>
          <w:rFonts w:ascii="Times New Roman" w:hAnsi="Times New Roman" w:cs="Times New Roman"/>
          <w:b w:val="0"/>
          <w:bCs w:val="0"/>
          <w:sz w:val="24"/>
          <w:szCs w:val="24"/>
        </w:rPr>
        <w:t xml:space="preserve"> and Marion-Poll, 2005; Sun et al., 2010).</w:t>
      </w:r>
    </w:p>
    <w:p w14:paraId="01230DB8" w14:textId="77777777" w:rsidR="00501A8A" w:rsidRDefault="00501A8A">
      <w:pPr>
        <w:jc w:val="both"/>
        <w:rPr>
          <w:rStyle w:val="Strong"/>
          <w:rFonts w:ascii="Times New Roman" w:hAnsi="Times New Roman" w:cs="Times New Roman"/>
          <w:b w:val="0"/>
          <w:bCs w:val="0"/>
          <w:sz w:val="24"/>
          <w:szCs w:val="24"/>
        </w:rPr>
      </w:pPr>
    </w:p>
    <w:p w14:paraId="38D209BC"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3.2 ABA an</w:t>
      </w:r>
      <w:r>
        <w:rPr>
          <w:rStyle w:val="Strong"/>
          <w:rFonts w:ascii="Times New Roman" w:hAnsi="Times New Roman" w:cs="Times New Roman"/>
          <w:sz w:val="24"/>
          <w:szCs w:val="24"/>
        </w:rPr>
        <w:t>d Fruit Maturation</w:t>
      </w:r>
    </w:p>
    <w:p w14:paraId="6CCC4C7C" w14:textId="77777777" w:rsidR="00501A8A" w:rsidRDefault="00501A8A">
      <w:pPr>
        <w:jc w:val="both"/>
        <w:rPr>
          <w:rStyle w:val="Strong"/>
          <w:rFonts w:ascii="Times New Roman" w:hAnsi="Times New Roman" w:cs="Times New Roman"/>
          <w:sz w:val="24"/>
          <w:szCs w:val="24"/>
        </w:rPr>
      </w:pPr>
    </w:p>
    <w:p w14:paraId="749F1885"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lastRenderedPageBreak/>
        <w:t>Endogenous ABA content increases sharply at the onset of litchi fruit maturation and shows a strong positive correlation with pericarp coloration, anthocyanin accumulation and sugar enrichment in the aril (Jiang et al., 2004; Wang et al</w:t>
      </w:r>
      <w:r>
        <w:rPr>
          <w:rStyle w:val="Strong"/>
          <w:rFonts w:ascii="Times New Roman" w:hAnsi="Times New Roman" w:cs="Times New Roman"/>
          <w:b w:val="0"/>
          <w:bCs w:val="0"/>
          <w:sz w:val="24"/>
          <w:szCs w:val="24"/>
        </w:rPr>
        <w:t>., 2017). This ABA surge marks the transition from the growth phase to the ripening phase and serves as a primary hormonal signal initiating the ripening program in this non-climacteric fruit. ABA directly regulates the expression of key structural and reg</w:t>
      </w:r>
      <w:r>
        <w:rPr>
          <w:rStyle w:val="Strong"/>
          <w:rFonts w:ascii="Times New Roman" w:hAnsi="Times New Roman" w:cs="Times New Roman"/>
          <w:b w:val="0"/>
          <w:bCs w:val="0"/>
          <w:sz w:val="24"/>
          <w:szCs w:val="24"/>
        </w:rPr>
        <w:t xml:space="preserve">ulatory genes involved in flavonoid and anthocyanin biosynthesis. Transcriptomic and physiological studies in litchi have demonstrated that ABA induces the transcription of chalcone synthase (CHS), chalcone isomerase (CHI), flavanone-3-hydroxylase (F3H), </w:t>
      </w:r>
      <w:proofErr w:type="spellStart"/>
      <w:r>
        <w:rPr>
          <w:rStyle w:val="Strong"/>
          <w:rFonts w:ascii="Times New Roman" w:hAnsi="Times New Roman" w:cs="Times New Roman"/>
          <w:b w:val="0"/>
          <w:bCs w:val="0"/>
          <w:sz w:val="24"/>
          <w:szCs w:val="24"/>
        </w:rPr>
        <w:t>d</w:t>
      </w:r>
      <w:r>
        <w:rPr>
          <w:rStyle w:val="Strong"/>
          <w:rFonts w:ascii="Times New Roman" w:hAnsi="Times New Roman" w:cs="Times New Roman"/>
          <w:b w:val="0"/>
          <w:bCs w:val="0"/>
          <w:sz w:val="24"/>
          <w:szCs w:val="24"/>
        </w:rPr>
        <w:t>ihydroflavonol</w:t>
      </w:r>
      <w:proofErr w:type="spellEnd"/>
      <w:r>
        <w:rPr>
          <w:rStyle w:val="Strong"/>
          <w:rFonts w:ascii="Times New Roman" w:hAnsi="Times New Roman" w:cs="Times New Roman"/>
          <w:b w:val="0"/>
          <w:bCs w:val="0"/>
          <w:sz w:val="24"/>
          <w:szCs w:val="24"/>
        </w:rPr>
        <w:t xml:space="preserve"> reductase (DFR), anthocyanidin synthase (ANS) and UDP-glucose flavonoid glucosyltransferase (UFGT), thereby promoting anthocyanin accumulation and red pericarp coloration (Zhang et al., 2011; Wang et al., 2017). ABA signaling is mediated thr</w:t>
      </w:r>
      <w:r>
        <w:rPr>
          <w:rStyle w:val="Strong"/>
          <w:rFonts w:ascii="Times New Roman" w:hAnsi="Times New Roman" w:cs="Times New Roman"/>
          <w:b w:val="0"/>
          <w:bCs w:val="0"/>
          <w:sz w:val="24"/>
          <w:szCs w:val="24"/>
        </w:rPr>
        <w:t xml:space="preserve">ough PYR/PYL/RCAR receptors, protein phosphatase 2C (PP2C) inhibitors and SNF1-related protein kinases (SnRK2s), which activate ABA-responsive transcription factors such as ABI3, ABI4 and ABI5 (Cutler et al., 2010). In litchi, ABA-responsive MYB and </w:t>
      </w:r>
      <w:proofErr w:type="spellStart"/>
      <w:r>
        <w:rPr>
          <w:rStyle w:val="Strong"/>
          <w:rFonts w:ascii="Times New Roman" w:hAnsi="Times New Roman" w:cs="Times New Roman"/>
          <w:b w:val="0"/>
          <w:bCs w:val="0"/>
          <w:sz w:val="24"/>
          <w:szCs w:val="24"/>
        </w:rPr>
        <w:t>bHLH</w:t>
      </w:r>
      <w:proofErr w:type="spellEnd"/>
      <w:r>
        <w:rPr>
          <w:rStyle w:val="Strong"/>
          <w:rFonts w:ascii="Times New Roman" w:hAnsi="Times New Roman" w:cs="Times New Roman"/>
          <w:b w:val="0"/>
          <w:bCs w:val="0"/>
          <w:sz w:val="24"/>
          <w:szCs w:val="24"/>
        </w:rPr>
        <w:t xml:space="preserve"> t</w:t>
      </w:r>
      <w:r>
        <w:rPr>
          <w:rStyle w:val="Strong"/>
          <w:rFonts w:ascii="Times New Roman" w:hAnsi="Times New Roman" w:cs="Times New Roman"/>
          <w:b w:val="0"/>
          <w:bCs w:val="0"/>
          <w:sz w:val="24"/>
          <w:szCs w:val="24"/>
        </w:rPr>
        <w:t>ranscription factors have been implicated in the transcriptional activation of anthocyanin pathway genes, linking ABA perception directly to pigment biosynthesis (Zhang et al., 2011; Wang et al., 2017). Exogenous ABA application accelerates pericarp colora</w:t>
      </w:r>
      <w:r>
        <w:rPr>
          <w:rStyle w:val="Strong"/>
          <w:rFonts w:ascii="Times New Roman" w:hAnsi="Times New Roman" w:cs="Times New Roman"/>
          <w:b w:val="0"/>
          <w:bCs w:val="0"/>
          <w:sz w:val="24"/>
          <w:szCs w:val="24"/>
        </w:rPr>
        <w:t>tion and enhances anthocyanin accumulation in immature litchi fruits, whereas ABA biosynthesis inhibitors delay ripening and color development, confirming the central role of ABA in regulating litchi fruit maturation (Jiang et al., 2004; Sivakumar and Kors</w:t>
      </w:r>
      <w:r>
        <w:rPr>
          <w:rStyle w:val="Strong"/>
          <w:rFonts w:ascii="Times New Roman" w:hAnsi="Times New Roman" w:cs="Times New Roman"/>
          <w:b w:val="0"/>
          <w:bCs w:val="0"/>
          <w:sz w:val="24"/>
          <w:szCs w:val="24"/>
        </w:rPr>
        <w:t>ten, 2006).</w:t>
      </w:r>
    </w:p>
    <w:p w14:paraId="167CA0AD" w14:textId="77777777" w:rsidR="00501A8A" w:rsidRDefault="00501A8A">
      <w:pPr>
        <w:jc w:val="both"/>
        <w:rPr>
          <w:rStyle w:val="Strong"/>
          <w:rFonts w:ascii="Times New Roman" w:hAnsi="Times New Roman" w:cs="Times New Roman"/>
          <w:sz w:val="24"/>
          <w:szCs w:val="24"/>
        </w:rPr>
      </w:pPr>
    </w:p>
    <w:p w14:paraId="462CD827"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3.3 ABA and Sugar Signaling</w:t>
      </w:r>
    </w:p>
    <w:p w14:paraId="416D18B3" w14:textId="77777777" w:rsidR="00501A8A" w:rsidRDefault="00501A8A">
      <w:pPr>
        <w:jc w:val="both"/>
        <w:rPr>
          <w:rStyle w:val="Strong"/>
          <w:rFonts w:ascii="Times New Roman" w:hAnsi="Times New Roman" w:cs="Times New Roman"/>
          <w:sz w:val="24"/>
          <w:szCs w:val="24"/>
        </w:rPr>
      </w:pPr>
    </w:p>
    <w:p w14:paraId="11595E47"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Sugar accumulation is a hallmark of litchi fruit ripening and a major determinant of sweetness and consumer acceptance. ABA interacts intimately with sugar signaling pathways to coordinate carbohydrate metabolism a</w:t>
      </w:r>
      <w:r>
        <w:rPr>
          <w:rStyle w:val="Strong"/>
          <w:rFonts w:ascii="Times New Roman" w:hAnsi="Times New Roman" w:cs="Times New Roman"/>
          <w:b w:val="0"/>
          <w:bCs w:val="0"/>
          <w:sz w:val="24"/>
          <w:szCs w:val="24"/>
        </w:rPr>
        <w:t>nd transport during maturation (Rolland et al., 2006; Wang et al., 2017). High sucrose concentrations in the developing aril stimulate ABA biosynthesis by inducing NCED gene expression, leading to increased ABA accumulation at the onset of ripening (Sun et</w:t>
      </w:r>
      <w:r>
        <w:rPr>
          <w:rStyle w:val="Strong"/>
          <w:rFonts w:ascii="Times New Roman" w:hAnsi="Times New Roman" w:cs="Times New Roman"/>
          <w:b w:val="0"/>
          <w:bCs w:val="0"/>
          <w:sz w:val="24"/>
          <w:szCs w:val="24"/>
        </w:rPr>
        <w:t xml:space="preserve"> al., 2010;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Conversely, ABA enhances the expression of sucrose transporters (SUTs), monosaccharide transporters (MSTs) and cell wall invertases, thereby promoting phloem unloading, sucrose cleavage and hexose accumulation in the aril (</w:t>
      </w:r>
      <w:proofErr w:type="spellStart"/>
      <w:r>
        <w:rPr>
          <w:rStyle w:val="Strong"/>
          <w:rFonts w:ascii="Times New Roman" w:hAnsi="Times New Roman" w:cs="Times New Roman"/>
          <w:b w:val="0"/>
          <w:bCs w:val="0"/>
          <w:sz w:val="24"/>
          <w:szCs w:val="24"/>
        </w:rPr>
        <w:t>Roi</w:t>
      </w:r>
      <w:r>
        <w:rPr>
          <w:rStyle w:val="Strong"/>
          <w:rFonts w:ascii="Times New Roman" w:hAnsi="Times New Roman" w:cs="Times New Roman"/>
          <w:b w:val="0"/>
          <w:bCs w:val="0"/>
          <w:sz w:val="24"/>
          <w:szCs w:val="24"/>
        </w:rPr>
        <w:t>tsch</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Ehneß</w:t>
      </w:r>
      <w:proofErr w:type="spellEnd"/>
      <w:r>
        <w:rPr>
          <w:rStyle w:val="Strong"/>
          <w:rFonts w:ascii="Times New Roman" w:hAnsi="Times New Roman" w:cs="Times New Roman"/>
          <w:b w:val="0"/>
          <w:bCs w:val="0"/>
          <w:sz w:val="24"/>
          <w:szCs w:val="24"/>
        </w:rPr>
        <w:t>, 2000; Wang et al., 2017). This reciprocal regulation establishes a positive feedback loop in which rising sugar levels induce ABA biosynthesis, and ABA further accelerates sugar import and metabolism, thereby reinforcing the ripening proces</w:t>
      </w:r>
      <w:r>
        <w:rPr>
          <w:rStyle w:val="Strong"/>
          <w:rFonts w:ascii="Times New Roman" w:hAnsi="Times New Roman" w:cs="Times New Roman"/>
          <w:b w:val="0"/>
          <w:bCs w:val="0"/>
          <w:sz w:val="24"/>
          <w:szCs w:val="24"/>
        </w:rPr>
        <w:t xml:space="preserve">s (Rolland et al., 2006;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In litchi, transcriptome analyses have revealed coordinated up-regulation of ABA biosynthetic genes, sugar transporter genes and invertase genes during the ripening phase, underscoring the tight integration of ABA</w:t>
      </w:r>
      <w:r>
        <w:rPr>
          <w:rStyle w:val="Strong"/>
          <w:rFonts w:ascii="Times New Roman" w:hAnsi="Times New Roman" w:cs="Times New Roman"/>
          <w:b w:val="0"/>
          <w:bCs w:val="0"/>
          <w:sz w:val="24"/>
          <w:szCs w:val="24"/>
        </w:rPr>
        <w:t xml:space="preserve"> and sugar signaling networks (Wang et al., 2017;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Furthermore, ABA modulates the activity of key carbohydrate metabolism enzymes, including sucrose synthase, neutral invertase and fructokinase, thereby influencing sugar composition and th</w:t>
      </w:r>
      <w:r>
        <w:rPr>
          <w:rStyle w:val="Strong"/>
          <w:rFonts w:ascii="Times New Roman" w:hAnsi="Times New Roman" w:cs="Times New Roman"/>
          <w:b w:val="0"/>
          <w:bCs w:val="0"/>
          <w:sz w:val="24"/>
          <w:szCs w:val="24"/>
        </w:rPr>
        <w:t>e sucrose-to-hexose ratio, which is critical for flavor development in litchi (</w:t>
      </w:r>
      <w:proofErr w:type="spellStart"/>
      <w:r>
        <w:rPr>
          <w:rStyle w:val="Strong"/>
          <w:rFonts w:ascii="Times New Roman" w:hAnsi="Times New Roman" w:cs="Times New Roman"/>
          <w:b w:val="0"/>
          <w:bCs w:val="0"/>
          <w:sz w:val="24"/>
          <w:szCs w:val="24"/>
        </w:rPr>
        <w:t>Roitsch</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Ehneß</w:t>
      </w:r>
      <w:proofErr w:type="spellEnd"/>
      <w:r>
        <w:rPr>
          <w:rStyle w:val="Strong"/>
          <w:rFonts w:ascii="Times New Roman" w:hAnsi="Times New Roman" w:cs="Times New Roman"/>
          <w:b w:val="0"/>
          <w:bCs w:val="0"/>
          <w:sz w:val="24"/>
          <w:szCs w:val="24"/>
        </w:rPr>
        <w:t>, 2000; Wang et al., 2017).</w:t>
      </w:r>
    </w:p>
    <w:p w14:paraId="2C8275B4" w14:textId="77777777" w:rsidR="00501A8A" w:rsidRDefault="00501A8A">
      <w:pPr>
        <w:jc w:val="both"/>
        <w:rPr>
          <w:rStyle w:val="Strong"/>
          <w:rFonts w:ascii="Times New Roman" w:hAnsi="Times New Roman" w:cs="Times New Roman"/>
          <w:sz w:val="24"/>
          <w:szCs w:val="24"/>
        </w:rPr>
      </w:pPr>
    </w:p>
    <w:p w14:paraId="23EA3ECD"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3.4 ABA and Fruit Abscission</w:t>
      </w:r>
    </w:p>
    <w:p w14:paraId="6C781217" w14:textId="77777777" w:rsidR="00501A8A" w:rsidRDefault="00501A8A">
      <w:pPr>
        <w:jc w:val="both"/>
        <w:rPr>
          <w:rStyle w:val="Strong"/>
          <w:rFonts w:ascii="Times New Roman" w:hAnsi="Times New Roman" w:cs="Times New Roman"/>
          <w:sz w:val="24"/>
          <w:szCs w:val="24"/>
        </w:rPr>
      </w:pPr>
    </w:p>
    <w:p w14:paraId="555AF178" w14:textId="77777777" w:rsidR="00501A8A" w:rsidRDefault="00352FB8">
      <w:pPr>
        <w:jc w:val="both"/>
        <w:rPr>
          <w:rFonts w:ascii="Times New Roman" w:hAnsi="Times New Roman" w:cs="Times New Roman"/>
          <w:sz w:val="24"/>
          <w:szCs w:val="24"/>
        </w:rPr>
      </w:pPr>
      <w:r>
        <w:rPr>
          <w:rStyle w:val="Strong"/>
          <w:rFonts w:ascii="Times New Roman" w:hAnsi="Times New Roman" w:cs="Times New Roman"/>
          <w:b w:val="0"/>
          <w:bCs w:val="0"/>
          <w:sz w:val="24"/>
          <w:szCs w:val="24"/>
        </w:rPr>
        <w:t>In addition to its role in ripening, ABA is a major hormonal signal promoting fruit abscission, parti</w:t>
      </w:r>
      <w:r>
        <w:rPr>
          <w:rStyle w:val="Strong"/>
          <w:rFonts w:ascii="Times New Roman" w:hAnsi="Times New Roman" w:cs="Times New Roman"/>
          <w:b w:val="0"/>
          <w:bCs w:val="0"/>
          <w:sz w:val="24"/>
          <w:szCs w:val="24"/>
        </w:rPr>
        <w:t xml:space="preserve">cularly under stress conditions. Environmental stresses such as </w:t>
      </w:r>
      <w:r>
        <w:rPr>
          <w:rStyle w:val="Strong"/>
          <w:rFonts w:ascii="Times New Roman" w:hAnsi="Times New Roman" w:cs="Times New Roman"/>
          <w:b w:val="0"/>
          <w:bCs w:val="0"/>
          <w:sz w:val="24"/>
          <w:szCs w:val="24"/>
        </w:rPr>
        <w:lastRenderedPageBreak/>
        <w:t xml:space="preserve">drought, high temperature, salinity and carbohydrate deficiency markedly increase ABA biosynthesis in litchi fruitlets and pedicel tissues (Yuan and Huang, 2012; </w:t>
      </w:r>
      <w:proofErr w:type="spellStart"/>
      <w:r>
        <w:rPr>
          <w:rStyle w:val="Strong"/>
          <w:rFonts w:ascii="Times New Roman" w:hAnsi="Times New Roman" w:cs="Times New Roman"/>
          <w:b w:val="0"/>
          <w:bCs w:val="0"/>
          <w:sz w:val="24"/>
          <w:szCs w:val="24"/>
        </w:rPr>
        <w:t>Rathava</w:t>
      </w:r>
      <w:proofErr w:type="spellEnd"/>
      <w:r>
        <w:rPr>
          <w:rStyle w:val="Strong"/>
          <w:rFonts w:ascii="Times New Roman" w:hAnsi="Times New Roman" w:cs="Times New Roman"/>
          <w:b w:val="0"/>
          <w:bCs w:val="0"/>
          <w:sz w:val="24"/>
          <w:szCs w:val="24"/>
        </w:rPr>
        <w:t xml:space="preserve"> et al., 2023). Elevate</w:t>
      </w:r>
      <w:r>
        <w:rPr>
          <w:rStyle w:val="Strong"/>
          <w:rFonts w:ascii="Times New Roman" w:hAnsi="Times New Roman" w:cs="Times New Roman"/>
          <w:b w:val="0"/>
          <w:bCs w:val="0"/>
          <w:sz w:val="24"/>
          <w:szCs w:val="24"/>
        </w:rPr>
        <w:t>d ABA levels enhance ethylene sensitivity and stimulate ethylene biosynthesis by inducing ACS and ACO gene expression, thereby amplifying ethylene-mediated abscission signaling (</w:t>
      </w:r>
      <w:proofErr w:type="spellStart"/>
      <w:r>
        <w:rPr>
          <w:rStyle w:val="Strong"/>
          <w:rFonts w:ascii="Times New Roman" w:hAnsi="Times New Roman" w:cs="Times New Roman"/>
          <w:b w:val="0"/>
          <w:bCs w:val="0"/>
          <w:sz w:val="24"/>
          <w:szCs w:val="24"/>
        </w:rPr>
        <w:t>Addicott</w:t>
      </w:r>
      <w:proofErr w:type="spellEnd"/>
      <w:r>
        <w:rPr>
          <w:rStyle w:val="Strong"/>
          <w:rFonts w:ascii="Times New Roman" w:hAnsi="Times New Roman" w:cs="Times New Roman"/>
          <w:b w:val="0"/>
          <w:bCs w:val="0"/>
          <w:sz w:val="24"/>
          <w:szCs w:val="24"/>
        </w:rPr>
        <w:t xml:space="preserve">, 1982; Davies, 2010). ABA also directly activates abscission-related </w:t>
      </w:r>
      <w:r>
        <w:rPr>
          <w:rStyle w:val="Strong"/>
          <w:rFonts w:ascii="Times New Roman" w:hAnsi="Times New Roman" w:cs="Times New Roman"/>
          <w:b w:val="0"/>
          <w:bCs w:val="0"/>
          <w:sz w:val="24"/>
          <w:szCs w:val="24"/>
        </w:rPr>
        <w:t xml:space="preserve">genes encoding cellulases, </w:t>
      </w:r>
      <w:proofErr w:type="spellStart"/>
      <w:r>
        <w:rPr>
          <w:rStyle w:val="Strong"/>
          <w:rFonts w:ascii="Times New Roman" w:hAnsi="Times New Roman" w:cs="Times New Roman"/>
          <w:b w:val="0"/>
          <w:bCs w:val="0"/>
          <w:sz w:val="24"/>
          <w:szCs w:val="24"/>
        </w:rPr>
        <w:t>polygalacturonases</w:t>
      </w:r>
      <w:proofErr w:type="spellEnd"/>
      <w:r>
        <w:rPr>
          <w:rStyle w:val="Strong"/>
          <w:rFonts w:ascii="Times New Roman" w:hAnsi="Times New Roman" w:cs="Times New Roman"/>
          <w:b w:val="0"/>
          <w:bCs w:val="0"/>
          <w:sz w:val="24"/>
          <w:szCs w:val="24"/>
        </w:rPr>
        <w:t xml:space="preserve"> and pectin </w:t>
      </w:r>
      <w:proofErr w:type="spellStart"/>
      <w:r>
        <w:rPr>
          <w:rStyle w:val="Strong"/>
          <w:rFonts w:ascii="Times New Roman" w:hAnsi="Times New Roman" w:cs="Times New Roman"/>
          <w:b w:val="0"/>
          <w:bCs w:val="0"/>
          <w:sz w:val="24"/>
          <w:szCs w:val="24"/>
        </w:rPr>
        <w:t>methylesterases</w:t>
      </w:r>
      <w:proofErr w:type="spellEnd"/>
      <w:r>
        <w:rPr>
          <w:rStyle w:val="Strong"/>
          <w:rFonts w:ascii="Times New Roman" w:hAnsi="Times New Roman" w:cs="Times New Roman"/>
          <w:b w:val="0"/>
          <w:bCs w:val="0"/>
          <w:sz w:val="24"/>
          <w:szCs w:val="24"/>
        </w:rPr>
        <w:t>, contributing to cell wall dissolution in the abscission zone (Taylor and Whitelaw, 2001; Yuan and Huang, 2012). The balance between ABA and auxin plays a decisive role in determining</w:t>
      </w:r>
      <w:r>
        <w:rPr>
          <w:rStyle w:val="Strong"/>
          <w:rFonts w:ascii="Times New Roman" w:hAnsi="Times New Roman" w:cs="Times New Roman"/>
          <w:b w:val="0"/>
          <w:bCs w:val="0"/>
          <w:sz w:val="24"/>
          <w:szCs w:val="24"/>
        </w:rPr>
        <w:t xml:space="preserve"> fruit retention versus shedding. A high ABA/IAA ratio promotes abscission by reducing auxin transport from the fruit to the abscission zone and increasing the sensitivity of AZ cells to ethylene (</w:t>
      </w:r>
      <w:proofErr w:type="spellStart"/>
      <w:r>
        <w:rPr>
          <w:rStyle w:val="Strong"/>
          <w:rFonts w:ascii="Times New Roman" w:hAnsi="Times New Roman" w:cs="Times New Roman"/>
          <w:b w:val="0"/>
          <w:bCs w:val="0"/>
          <w:sz w:val="24"/>
          <w:szCs w:val="24"/>
        </w:rPr>
        <w:t>Addicott</w:t>
      </w:r>
      <w:proofErr w:type="spellEnd"/>
      <w:r>
        <w:rPr>
          <w:rStyle w:val="Strong"/>
          <w:rFonts w:ascii="Times New Roman" w:hAnsi="Times New Roman" w:cs="Times New Roman"/>
          <w:b w:val="0"/>
          <w:bCs w:val="0"/>
          <w:sz w:val="24"/>
          <w:szCs w:val="24"/>
        </w:rPr>
        <w:t>, 1982; Yuan and Huang, 2012). In litchi, a sharp i</w:t>
      </w:r>
      <w:r>
        <w:rPr>
          <w:rStyle w:val="Strong"/>
          <w:rFonts w:ascii="Times New Roman" w:hAnsi="Times New Roman" w:cs="Times New Roman"/>
          <w:b w:val="0"/>
          <w:bCs w:val="0"/>
          <w:sz w:val="24"/>
          <w:szCs w:val="24"/>
        </w:rPr>
        <w:t xml:space="preserve">ncrease in ABA content accompanied by a decline in auxin levels has been consistently observed prior to massive fruit drop events (Yuan and Huang, 2012;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From a practical standpoint, orchard practices that reduce stress-induced ABA accumul</w:t>
      </w:r>
      <w:r>
        <w:rPr>
          <w:rStyle w:val="Strong"/>
          <w:rFonts w:ascii="Times New Roman" w:hAnsi="Times New Roman" w:cs="Times New Roman"/>
          <w:b w:val="0"/>
          <w:bCs w:val="0"/>
          <w:sz w:val="24"/>
          <w:szCs w:val="24"/>
        </w:rPr>
        <w:t xml:space="preserve">ation—such as optimized irrigation, balanced nutrition and shading—can significantly improve fruit retention. Moreover, the application of auxins and </w:t>
      </w:r>
      <w:proofErr w:type="spellStart"/>
      <w:r>
        <w:rPr>
          <w:rStyle w:val="Strong"/>
          <w:rFonts w:ascii="Times New Roman" w:hAnsi="Times New Roman" w:cs="Times New Roman"/>
          <w:b w:val="0"/>
          <w:bCs w:val="0"/>
          <w:sz w:val="24"/>
          <w:szCs w:val="24"/>
        </w:rPr>
        <w:t>cytokinins</w:t>
      </w:r>
      <w:proofErr w:type="spellEnd"/>
      <w:r>
        <w:rPr>
          <w:rStyle w:val="Strong"/>
          <w:rFonts w:ascii="Times New Roman" w:hAnsi="Times New Roman" w:cs="Times New Roman"/>
          <w:b w:val="0"/>
          <w:bCs w:val="0"/>
          <w:sz w:val="24"/>
          <w:szCs w:val="24"/>
        </w:rPr>
        <w:t xml:space="preserve"> to counteract ABA- and ethylene-mediated abscission has proven effective in reducing physiologi</w:t>
      </w:r>
      <w:r>
        <w:rPr>
          <w:rStyle w:val="Strong"/>
          <w:rFonts w:ascii="Times New Roman" w:hAnsi="Times New Roman" w:cs="Times New Roman"/>
          <w:b w:val="0"/>
          <w:bCs w:val="0"/>
          <w:sz w:val="24"/>
          <w:szCs w:val="24"/>
        </w:rPr>
        <w:t xml:space="preserve">cal fruit drop in litchi (Menzel and Waite, 2005; </w:t>
      </w:r>
      <w:proofErr w:type="spellStart"/>
      <w:r>
        <w:rPr>
          <w:rStyle w:val="Strong"/>
          <w:rFonts w:ascii="Times New Roman" w:hAnsi="Times New Roman" w:cs="Times New Roman"/>
          <w:b w:val="0"/>
          <w:bCs w:val="0"/>
          <w:sz w:val="24"/>
          <w:szCs w:val="24"/>
        </w:rPr>
        <w:t>Rathava</w:t>
      </w:r>
      <w:proofErr w:type="spellEnd"/>
      <w:r>
        <w:rPr>
          <w:rStyle w:val="Strong"/>
          <w:rFonts w:ascii="Times New Roman" w:hAnsi="Times New Roman" w:cs="Times New Roman"/>
          <w:b w:val="0"/>
          <w:bCs w:val="0"/>
          <w:sz w:val="24"/>
          <w:szCs w:val="24"/>
        </w:rPr>
        <w:t xml:space="preserve"> et al., 2023).</w:t>
      </w:r>
    </w:p>
    <w:p w14:paraId="1CEE5ED7" w14:textId="77777777" w:rsidR="00501A8A" w:rsidRDefault="00352FB8">
      <w:pPr>
        <w:pStyle w:val="Heading2"/>
        <w:jc w:val="both"/>
        <w:rPr>
          <w:rFonts w:ascii="Times New Roman" w:hAnsi="Times New Roman" w:hint="default"/>
          <w:sz w:val="24"/>
          <w:szCs w:val="24"/>
        </w:rPr>
      </w:pPr>
      <w:r>
        <w:rPr>
          <w:rStyle w:val="Strong"/>
          <w:rFonts w:ascii="Times New Roman" w:hAnsi="Times New Roman" w:hint="default"/>
          <w:b/>
          <w:bCs/>
          <w:sz w:val="24"/>
          <w:szCs w:val="24"/>
        </w:rPr>
        <w:t>4. Roles of Other Hormones</w:t>
      </w:r>
    </w:p>
    <w:p w14:paraId="7FB91433"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4.1 Role of </w:t>
      </w:r>
      <w:proofErr w:type="spellStart"/>
      <w:r>
        <w:rPr>
          <w:rStyle w:val="Strong"/>
          <w:rFonts w:ascii="Times New Roman" w:hAnsi="Times New Roman" w:cs="Times New Roman"/>
          <w:sz w:val="24"/>
          <w:szCs w:val="24"/>
        </w:rPr>
        <w:t>Jasmonates</w:t>
      </w:r>
      <w:proofErr w:type="spellEnd"/>
      <w:r>
        <w:rPr>
          <w:rStyle w:val="Strong"/>
          <w:rFonts w:ascii="Times New Roman" w:hAnsi="Times New Roman" w:cs="Times New Roman"/>
          <w:sz w:val="24"/>
          <w:szCs w:val="24"/>
        </w:rPr>
        <w:t xml:space="preserve">, </w:t>
      </w:r>
      <w:proofErr w:type="spellStart"/>
      <w:r>
        <w:rPr>
          <w:rStyle w:val="Strong"/>
          <w:rFonts w:ascii="Times New Roman" w:hAnsi="Times New Roman" w:cs="Times New Roman"/>
          <w:sz w:val="24"/>
          <w:szCs w:val="24"/>
        </w:rPr>
        <w:t>Brassinosteroids</w:t>
      </w:r>
      <w:proofErr w:type="spellEnd"/>
      <w:r>
        <w:rPr>
          <w:rStyle w:val="Strong"/>
          <w:rFonts w:ascii="Times New Roman" w:hAnsi="Times New Roman" w:cs="Times New Roman"/>
          <w:sz w:val="24"/>
          <w:szCs w:val="24"/>
        </w:rPr>
        <w:t xml:space="preserve"> and Salicylic Acid in Litchi Fruit Development and Postharvest Physiology</w:t>
      </w:r>
    </w:p>
    <w:p w14:paraId="7A48EE45" w14:textId="77777777" w:rsidR="00501A8A" w:rsidRDefault="00501A8A">
      <w:pPr>
        <w:jc w:val="both"/>
        <w:rPr>
          <w:rStyle w:val="Strong"/>
          <w:rFonts w:ascii="Times New Roman" w:hAnsi="Times New Roman" w:cs="Times New Roman"/>
          <w:sz w:val="24"/>
          <w:szCs w:val="24"/>
        </w:rPr>
      </w:pPr>
    </w:p>
    <w:p w14:paraId="5AE9D61C"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In addition to the classical </w:t>
      </w:r>
      <w:proofErr w:type="gramStart"/>
      <w:r>
        <w:rPr>
          <w:rStyle w:val="Strong"/>
          <w:rFonts w:ascii="Times New Roman" w:hAnsi="Times New Roman" w:cs="Times New Roman"/>
          <w:b w:val="0"/>
          <w:bCs w:val="0"/>
          <w:sz w:val="24"/>
          <w:szCs w:val="24"/>
        </w:rPr>
        <w:t>hormones</w:t>
      </w:r>
      <w:proofErr w:type="gramEnd"/>
      <w:r>
        <w:rPr>
          <w:rStyle w:val="Strong"/>
          <w:rFonts w:ascii="Times New Roman" w:hAnsi="Times New Roman" w:cs="Times New Roman"/>
          <w:b w:val="0"/>
          <w:bCs w:val="0"/>
          <w:sz w:val="24"/>
          <w:szCs w:val="24"/>
        </w:rPr>
        <w:t xml:space="preserve"> </w:t>
      </w:r>
      <w:r>
        <w:rPr>
          <w:rStyle w:val="Strong"/>
          <w:rFonts w:ascii="Times New Roman" w:hAnsi="Times New Roman" w:cs="Times New Roman"/>
          <w:b w:val="0"/>
          <w:bCs w:val="0"/>
          <w:sz w:val="24"/>
          <w:szCs w:val="24"/>
        </w:rPr>
        <w:t xml:space="preserve">auxins, gibberellins, </w:t>
      </w:r>
      <w:proofErr w:type="spellStart"/>
      <w:r>
        <w:rPr>
          <w:rStyle w:val="Strong"/>
          <w:rFonts w:ascii="Times New Roman" w:hAnsi="Times New Roman" w:cs="Times New Roman"/>
          <w:b w:val="0"/>
          <w:bCs w:val="0"/>
          <w:sz w:val="24"/>
          <w:szCs w:val="24"/>
        </w:rPr>
        <w:t>cytokinins</w:t>
      </w:r>
      <w:proofErr w:type="spellEnd"/>
      <w:r>
        <w:rPr>
          <w:rStyle w:val="Strong"/>
          <w:rFonts w:ascii="Times New Roman" w:hAnsi="Times New Roman" w:cs="Times New Roman"/>
          <w:b w:val="0"/>
          <w:bCs w:val="0"/>
          <w:sz w:val="24"/>
          <w:szCs w:val="24"/>
        </w:rPr>
        <w:t xml:space="preserve">, ethylene and abscisic acid, several other phytohormones play important modulatory roles in litchi fruit development, stress adaptation and postharvest physiology. </w:t>
      </w:r>
      <w:proofErr w:type="spellStart"/>
      <w:r>
        <w:rPr>
          <w:rStyle w:val="Strong"/>
          <w:rFonts w:ascii="Times New Roman" w:hAnsi="Times New Roman" w:cs="Times New Roman"/>
          <w:b w:val="0"/>
          <w:bCs w:val="0"/>
          <w:sz w:val="24"/>
          <w:szCs w:val="24"/>
        </w:rPr>
        <w:t>Jasmonates</w:t>
      </w:r>
      <w:proofErr w:type="spellEnd"/>
      <w:r>
        <w:rPr>
          <w:rStyle w:val="Strong"/>
          <w:rFonts w:ascii="Times New Roman" w:hAnsi="Times New Roman" w:cs="Times New Roman"/>
          <w:b w:val="0"/>
          <w:bCs w:val="0"/>
          <w:sz w:val="24"/>
          <w:szCs w:val="24"/>
        </w:rPr>
        <w:t xml:space="preserve"> (JAs), </w:t>
      </w:r>
      <w:proofErr w:type="spellStart"/>
      <w:r>
        <w:rPr>
          <w:rStyle w:val="Strong"/>
          <w:rFonts w:ascii="Times New Roman" w:hAnsi="Times New Roman" w:cs="Times New Roman"/>
          <w:b w:val="0"/>
          <w:bCs w:val="0"/>
          <w:sz w:val="24"/>
          <w:szCs w:val="24"/>
        </w:rPr>
        <w:t>brassinosteroids</w:t>
      </w:r>
      <w:proofErr w:type="spellEnd"/>
      <w:r>
        <w:rPr>
          <w:rStyle w:val="Strong"/>
          <w:rFonts w:ascii="Times New Roman" w:hAnsi="Times New Roman" w:cs="Times New Roman"/>
          <w:b w:val="0"/>
          <w:bCs w:val="0"/>
          <w:sz w:val="24"/>
          <w:szCs w:val="24"/>
        </w:rPr>
        <w:t xml:space="preserve"> (BRs) and salicylic acid</w:t>
      </w:r>
      <w:r>
        <w:rPr>
          <w:rStyle w:val="Strong"/>
          <w:rFonts w:ascii="Times New Roman" w:hAnsi="Times New Roman" w:cs="Times New Roman"/>
          <w:b w:val="0"/>
          <w:bCs w:val="0"/>
          <w:sz w:val="24"/>
          <w:szCs w:val="24"/>
        </w:rPr>
        <w:t xml:space="preserve"> (SA) participate in hormonal crosstalk networks that fine-tune fruit growth, abscission regulation, defense responses and senescence. Although research on these hormones in litchi remains relatively limited, accumulating physiological and molecular eviden</w:t>
      </w:r>
      <w:r>
        <w:rPr>
          <w:rStyle w:val="Strong"/>
          <w:rFonts w:ascii="Times New Roman" w:hAnsi="Times New Roman" w:cs="Times New Roman"/>
          <w:b w:val="0"/>
          <w:bCs w:val="0"/>
          <w:sz w:val="24"/>
          <w:szCs w:val="24"/>
        </w:rPr>
        <w:t xml:space="preserve">ce indicates that they exert significant influence on fruit retention, quality formation and shelf life (Menzel and Waite, 2005; Wang et al., 2017; </w:t>
      </w:r>
      <w:proofErr w:type="spellStart"/>
      <w:r>
        <w:rPr>
          <w:rStyle w:val="Strong"/>
          <w:rFonts w:ascii="Times New Roman" w:hAnsi="Times New Roman" w:cs="Times New Roman"/>
          <w:b w:val="0"/>
          <w:bCs w:val="0"/>
          <w:sz w:val="24"/>
          <w:szCs w:val="24"/>
        </w:rPr>
        <w:t>Rathava</w:t>
      </w:r>
      <w:proofErr w:type="spellEnd"/>
      <w:r>
        <w:rPr>
          <w:rStyle w:val="Strong"/>
          <w:rFonts w:ascii="Times New Roman" w:hAnsi="Times New Roman" w:cs="Times New Roman"/>
          <w:b w:val="0"/>
          <w:bCs w:val="0"/>
          <w:sz w:val="24"/>
          <w:szCs w:val="24"/>
        </w:rPr>
        <w:t xml:space="preserve"> et al., 2023).</w:t>
      </w:r>
    </w:p>
    <w:p w14:paraId="57C7D28D" w14:textId="77777777" w:rsidR="00501A8A" w:rsidRDefault="00501A8A">
      <w:pPr>
        <w:jc w:val="both"/>
        <w:rPr>
          <w:rStyle w:val="Strong"/>
          <w:rFonts w:ascii="Times New Roman" w:hAnsi="Times New Roman" w:cs="Times New Roman"/>
          <w:b w:val="0"/>
          <w:bCs w:val="0"/>
          <w:sz w:val="24"/>
          <w:szCs w:val="24"/>
        </w:rPr>
      </w:pPr>
    </w:p>
    <w:p w14:paraId="27E55805"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4.2 </w:t>
      </w:r>
      <w:proofErr w:type="spellStart"/>
      <w:r>
        <w:rPr>
          <w:rStyle w:val="Strong"/>
          <w:rFonts w:ascii="Times New Roman" w:hAnsi="Times New Roman" w:cs="Times New Roman"/>
          <w:sz w:val="24"/>
          <w:szCs w:val="24"/>
        </w:rPr>
        <w:t>Jasmonates</w:t>
      </w:r>
      <w:proofErr w:type="spellEnd"/>
    </w:p>
    <w:p w14:paraId="246E87C4" w14:textId="77777777" w:rsidR="00501A8A" w:rsidRDefault="00501A8A">
      <w:pPr>
        <w:jc w:val="both"/>
        <w:rPr>
          <w:rStyle w:val="Strong"/>
          <w:rFonts w:ascii="Times New Roman" w:hAnsi="Times New Roman" w:cs="Times New Roman"/>
          <w:sz w:val="24"/>
          <w:szCs w:val="24"/>
        </w:rPr>
      </w:pPr>
    </w:p>
    <w:p w14:paraId="3F5B3CC6" w14:textId="77777777" w:rsidR="00501A8A" w:rsidRDefault="00352FB8">
      <w:pPr>
        <w:jc w:val="both"/>
        <w:rPr>
          <w:rStyle w:val="Strong"/>
          <w:rFonts w:ascii="Times New Roman" w:hAnsi="Times New Roman" w:cs="Times New Roman"/>
          <w:b w:val="0"/>
          <w:bCs w:val="0"/>
          <w:sz w:val="24"/>
          <w:szCs w:val="24"/>
        </w:rPr>
      </w:pPr>
      <w:proofErr w:type="spellStart"/>
      <w:r>
        <w:rPr>
          <w:rStyle w:val="Strong"/>
          <w:rFonts w:ascii="Times New Roman" w:hAnsi="Times New Roman" w:cs="Times New Roman"/>
          <w:b w:val="0"/>
          <w:bCs w:val="0"/>
          <w:sz w:val="24"/>
          <w:szCs w:val="24"/>
        </w:rPr>
        <w:t>Jasmonic</w:t>
      </w:r>
      <w:proofErr w:type="spellEnd"/>
      <w:r>
        <w:rPr>
          <w:rStyle w:val="Strong"/>
          <w:rFonts w:ascii="Times New Roman" w:hAnsi="Times New Roman" w:cs="Times New Roman"/>
          <w:b w:val="0"/>
          <w:bCs w:val="0"/>
          <w:sz w:val="24"/>
          <w:szCs w:val="24"/>
        </w:rPr>
        <w:t xml:space="preserve"> acid (JA) and its derivatives, including methyl </w:t>
      </w:r>
      <w:proofErr w:type="spellStart"/>
      <w:r>
        <w:rPr>
          <w:rStyle w:val="Strong"/>
          <w:rFonts w:ascii="Times New Roman" w:hAnsi="Times New Roman" w:cs="Times New Roman"/>
          <w:b w:val="0"/>
          <w:bCs w:val="0"/>
          <w:sz w:val="24"/>
          <w:szCs w:val="24"/>
        </w:rPr>
        <w:t>jasmonate</w:t>
      </w:r>
      <w:proofErr w:type="spellEnd"/>
      <w:r>
        <w:rPr>
          <w:rStyle w:val="Strong"/>
          <w:rFonts w:ascii="Times New Roman" w:hAnsi="Times New Roman" w:cs="Times New Roman"/>
          <w:b w:val="0"/>
          <w:bCs w:val="0"/>
          <w:sz w:val="24"/>
          <w:szCs w:val="24"/>
        </w:rPr>
        <w:t xml:space="preserve"> (</w:t>
      </w:r>
      <w:proofErr w:type="spellStart"/>
      <w:r>
        <w:rPr>
          <w:rStyle w:val="Strong"/>
          <w:rFonts w:ascii="Times New Roman" w:hAnsi="Times New Roman" w:cs="Times New Roman"/>
          <w:b w:val="0"/>
          <w:bCs w:val="0"/>
          <w:sz w:val="24"/>
          <w:szCs w:val="24"/>
        </w:rPr>
        <w:t>MeJA</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jasmonoyl</w:t>
      </w:r>
      <w:proofErr w:type="spellEnd"/>
      <w:r>
        <w:rPr>
          <w:rStyle w:val="Strong"/>
          <w:rFonts w:ascii="Times New Roman" w:hAnsi="Times New Roman" w:cs="Times New Roman"/>
          <w:b w:val="0"/>
          <w:bCs w:val="0"/>
          <w:sz w:val="24"/>
          <w:szCs w:val="24"/>
        </w:rPr>
        <w:t>-isoleucine (JA-Ile), are lipid-derived signaling molecules that regulate plant defense responses, stress adaptation, senescence and reproductive development (</w:t>
      </w:r>
      <w:proofErr w:type="spellStart"/>
      <w:r>
        <w:rPr>
          <w:rStyle w:val="Strong"/>
          <w:rFonts w:ascii="Times New Roman" w:hAnsi="Times New Roman" w:cs="Times New Roman"/>
          <w:b w:val="0"/>
          <w:bCs w:val="0"/>
          <w:sz w:val="24"/>
          <w:szCs w:val="24"/>
        </w:rPr>
        <w:t>Wasternack</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Hause</w:t>
      </w:r>
      <w:proofErr w:type="spellEnd"/>
      <w:r>
        <w:rPr>
          <w:rStyle w:val="Strong"/>
          <w:rFonts w:ascii="Times New Roman" w:hAnsi="Times New Roman" w:cs="Times New Roman"/>
          <w:b w:val="0"/>
          <w:bCs w:val="0"/>
          <w:sz w:val="24"/>
          <w:szCs w:val="24"/>
        </w:rPr>
        <w:t xml:space="preserve">, 2013). In fruit crops, </w:t>
      </w:r>
      <w:proofErr w:type="spellStart"/>
      <w:r>
        <w:rPr>
          <w:rStyle w:val="Strong"/>
          <w:rFonts w:ascii="Times New Roman" w:hAnsi="Times New Roman" w:cs="Times New Roman"/>
          <w:b w:val="0"/>
          <w:bCs w:val="0"/>
          <w:sz w:val="24"/>
          <w:szCs w:val="24"/>
        </w:rPr>
        <w:t>jasmonates</w:t>
      </w:r>
      <w:proofErr w:type="spellEnd"/>
      <w:r>
        <w:rPr>
          <w:rStyle w:val="Strong"/>
          <w:rFonts w:ascii="Times New Roman" w:hAnsi="Times New Roman" w:cs="Times New Roman"/>
          <w:b w:val="0"/>
          <w:bCs w:val="0"/>
          <w:sz w:val="24"/>
          <w:szCs w:val="24"/>
        </w:rPr>
        <w:t xml:space="preserve"> modulate fruit set, ab</w:t>
      </w:r>
      <w:r>
        <w:rPr>
          <w:rStyle w:val="Strong"/>
          <w:rFonts w:ascii="Times New Roman" w:hAnsi="Times New Roman" w:cs="Times New Roman"/>
          <w:b w:val="0"/>
          <w:bCs w:val="0"/>
          <w:sz w:val="24"/>
          <w:szCs w:val="24"/>
        </w:rPr>
        <w:t xml:space="preserve">scission, ripening and responses to biotic and abiotic stresses through extensive crosstalk with ethylene, abscisic acid and auxin signaling pathways (Turner et al., 2002; </w:t>
      </w:r>
      <w:proofErr w:type="spellStart"/>
      <w:r>
        <w:rPr>
          <w:rStyle w:val="Strong"/>
          <w:rFonts w:ascii="Times New Roman" w:hAnsi="Times New Roman" w:cs="Times New Roman"/>
          <w:b w:val="0"/>
          <w:bCs w:val="0"/>
          <w:sz w:val="24"/>
          <w:szCs w:val="24"/>
        </w:rPr>
        <w:t>Wasternack</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Hause</w:t>
      </w:r>
      <w:proofErr w:type="spellEnd"/>
      <w:r>
        <w:rPr>
          <w:rStyle w:val="Strong"/>
          <w:rFonts w:ascii="Times New Roman" w:hAnsi="Times New Roman" w:cs="Times New Roman"/>
          <w:b w:val="0"/>
          <w:bCs w:val="0"/>
          <w:sz w:val="24"/>
          <w:szCs w:val="24"/>
        </w:rPr>
        <w:t>, 2013). In litchi, JA accumulation increases under stress condi</w:t>
      </w:r>
      <w:r>
        <w:rPr>
          <w:rStyle w:val="Strong"/>
          <w:rFonts w:ascii="Times New Roman" w:hAnsi="Times New Roman" w:cs="Times New Roman"/>
          <w:b w:val="0"/>
          <w:bCs w:val="0"/>
          <w:sz w:val="24"/>
          <w:szCs w:val="24"/>
        </w:rPr>
        <w:t xml:space="preserve">tions such as drought, high temperature and carbohydrate deficiency, which are commonly associated with massive physiological fruit drop (Yuan and Huang, 2012;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w:t>
      </w:r>
      <w:proofErr w:type="spellStart"/>
      <w:r>
        <w:rPr>
          <w:rStyle w:val="Strong"/>
          <w:rFonts w:ascii="Times New Roman" w:hAnsi="Times New Roman" w:cs="Times New Roman"/>
          <w:b w:val="0"/>
          <w:bCs w:val="0"/>
          <w:sz w:val="24"/>
          <w:szCs w:val="24"/>
        </w:rPr>
        <w:t>Jasmonates</w:t>
      </w:r>
      <w:proofErr w:type="spellEnd"/>
      <w:r>
        <w:rPr>
          <w:rStyle w:val="Strong"/>
          <w:rFonts w:ascii="Times New Roman" w:hAnsi="Times New Roman" w:cs="Times New Roman"/>
          <w:b w:val="0"/>
          <w:bCs w:val="0"/>
          <w:sz w:val="24"/>
          <w:szCs w:val="24"/>
        </w:rPr>
        <w:t xml:space="preserve"> enhance the sensitivity of the abscission zone to ethylene by up-re</w:t>
      </w:r>
      <w:r>
        <w:rPr>
          <w:rStyle w:val="Strong"/>
          <w:rFonts w:ascii="Times New Roman" w:hAnsi="Times New Roman" w:cs="Times New Roman"/>
          <w:b w:val="0"/>
          <w:bCs w:val="0"/>
          <w:sz w:val="24"/>
          <w:szCs w:val="24"/>
        </w:rPr>
        <w:t xml:space="preserve">gulating ethylene biosynthetic genes (ACS and ACO) and ethylene signaling components, thereby accelerating the activation of cell wall-degrading enzymes and </w:t>
      </w:r>
      <w:r>
        <w:rPr>
          <w:rStyle w:val="Strong"/>
          <w:rFonts w:ascii="Times New Roman" w:hAnsi="Times New Roman" w:cs="Times New Roman"/>
          <w:b w:val="0"/>
          <w:bCs w:val="0"/>
          <w:sz w:val="24"/>
          <w:szCs w:val="24"/>
        </w:rPr>
        <w:lastRenderedPageBreak/>
        <w:t xml:space="preserve">fruitlet separation (Taylor and Whitelaw, 2001; </w:t>
      </w:r>
      <w:proofErr w:type="spellStart"/>
      <w:r>
        <w:rPr>
          <w:rStyle w:val="Strong"/>
          <w:rFonts w:ascii="Times New Roman" w:hAnsi="Times New Roman" w:cs="Times New Roman"/>
          <w:b w:val="0"/>
          <w:bCs w:val="0"/>
          <w:sz w:val="24"/>
          <w:szCs w:val="24"/>
        </w:rPr>
        <w:t>Wasternack</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Hause</w:t>
      </w:r>
      <w:proofErr w:type="spellEnd"/>
      <w:r>
        <w:rPr>
          <w:rStyle w:val="Strong"/>
          <w:rFonts w:ascii="Times New Roman" w:hAnsi="Times New Roman" w:cs="Times New Roman"/>
          <w:b w:val="0"/>
          <w:bCs w:val="0"/>
          <w:sz w:val="24"/>
          <w:szCs w:val="24"/>
        </w:rPr>
        <w:t>, 2013). JA also interacts syne</w:t>
      </w:r>
      <w:r>
        <w:rPr>
          <w:rStyle w:val="Strong"/>
          <w:rFonts w:ascii="Times New Roman" w:hAnsi="Times New Roman" w:cs="Times New Roman"/>
          <w:b w:val="0"/>
          <w:bCs w:val="0"/>
          <w:sz w:val="24"/>
          <w:szCs w:val="24"/>
        </w:rPr>
        <w:t>rgistically with ABA in promoting stress-induced abscission. Under adverse environmental conditions, elevated ABA stimulates JA biosynthesis, and together these hormones amplify ethylene-mediated abscission signaling (</w:t>
      </w:r>
      <w:proofErr w:type="spellStart"/>
      <w:r>
        <w:rPr>
          <w:rStyle w:val="Strong"/>
          <w:rFonts w:ascii="Times New Roman" w:hAnsi="Times New Roman" w:cs="Times New Roman"/>
          <w:b w:val="0"/>
          <w:bCs w:val="0"/>
          <w:sz w:val="24"/>
          <w:szCs w:val="24"/>
        </w:rPr>
        <w:t>Addicott</w:t>
      </w:r>
      <w:proofErr w:type="spellEnd"/>
      <w:r>
        <w:rPr>
          <w:rStyle w:val="Strong"/>
          <w:rFonts w:ascii="Times New Roman" w:hAnsi="Times New Roman" w:cs="Times New Roman"/>
          <w:b w:val="0"/>
          <w:bCs w:val="0"/>
          <w:sz w:val="24"/>
          <w:szCs w:val="24"/>
        </w:rPr>
        <w:t>, 1982; Yuan and Huang, 2012).</w:t>
      </w:r>
      <w:r>
        <w:rPr>
          <w:rStyle w:val="Strong"/>
          <w:rFonts w:ascii="Times New Roman" w:hAnsi="Times New Roman" w:cs="Times New Roman"/>
          <w:b w:val="0"/>
          <w:bCs w:val="0"/>
          <w:sz w:val="24"/>
          <w:szCs w:val="24"/>
        </w:rPr>
        <w:t xml:space="preserve"> Transcriptomic analyses of litchi fruitlets undergoing abscission have revealed up-regulation of </w:t>
      </w:r>
      <w:proofErr w:type="spellStart"/>
      <w:r>
        <w:rPr>
          <w:rStyle w:val="Strong"/>
          <w:rFonts w:ascii="Times New Roman" w:hAnsi="Times New Roman" w:cs="Times New Roman"/>
          <w:b w:val="0"/>
          <w:bCs w:val="0"/>
          <w:sz w:val="24"/>
          <w:szCs w:val="24"/>
        </w:rPr>
        <w:t>jasmonate</w:t>
      </w:r>
      <w:proofErr w:type="spellEnd"/>
      <w:r>
        <w:rPr>
          <w:rStyle w:val="Strong"/>
          <w:rFonts w:ascii="Times New Roman" w:hAnsi="Times New Roman" w:cs="Times New Roman"/>
          <w:b w:val="0"/>
          <w:bCs w:val="0"/>
          <w:sz w:val="24"/>
          <w:szCs w:val="24"/>
        </w:rPr>
        <w:t xml:space="preserve"> biosynthetic genes such as lipoxygenase (LOX), </w:t>
      </w:r>
      <w:proofErr w:type="spellStart"/>
      <w:r>
        <w:rPr>
          <w:rStyle w:val="Strong"/>
          <w:rFonts w:ascii="Times New Roman" w:hAnsi="Times New Roman" w:cs="Times New Roman"/>
          <w:b w:val="0"/>
          <w:bCs w:val="0"/>
          <w:sz w:val="24"/>
          <w:szCs w:val="24"/>
        </w:rPr>
        <w:t>allene</w:t>
      </w:r>
      <w:proofErr w:type="spellEnd"/>
      <w:r>
        <w:rPr>
          <w:rStyle w:val="Strong"/>
          <w:rFonts w:ascii="Times New Roman" w:hAnsi="Times New Roman" w:cs="Times New Roman"/>
          <w:b w:val="0"/>
          <w:bCs w:val="0"/>
          <w:sz w:val="24"/>
          <w:szCs w:val="24"/>
        </w:rPr>
        <w:t xml:space="preserve"> oxide synthase (AOS) and </w:t>
      </w:r>
      <w:proofErr w:type="spellStart"/>
      <w:r>
        <w:rPr>
          <w:rStyle w:val="Strong"/>
          <w:rFonts w:ascii="Times New Roman" w:hAnsi="Times New Roman" w:cs="Times New Roman"/>
          <w:b w:val="0"/>
          <w:bCs w:val="0"/>
          <w:sz w:val="24"/>
          <w:szCs w:val="24"/>
        </w:rPr>
        <w:t>allene</w:t>
      </w:r>
      <w:proofErr w:type="spellEnd"/>
      <w:r>
        <w:rPr>
          <w:rStyle w:val="Strong"/>
          <w:rFonts w:ascii="Times New Roman" w:hAnsi="Times New Roman" w:cs="Times New Roman"/>
          <w:b w:val="0"/>
          <w:bCs w:val="0"/>
          <w:sz w:val="24"/>
          <w:szCs w:val="24"/>
        </w:rPr>
        <w:t xml:space="preserve"> oxide cyclase (AOC), supporting a role for JA in the regulatio</w:t>
      </w:r>
      <w:r>
        <w:rPr>
          <w:rStyle w:val="Strong"/>
          <w:rFonts w:ascii="Times New Roman" w:hAnsi="Times New Roman" w:cs="Times New Roman"/>
          <w:b w:val="0"/>
          <w:bCs w:val="0"/>
          <w:sz w:val="24"/>
          <w:szCs w:val="24"/>
        </w:rPr>
        <w:t>n of fruit drop (</w:t>
      </w:r>
      <w:proofErr w:type="spellStart"/>
      <w:r>
        <w:rPr>
          <w:rStyle w:val="Strong"/>
          <w:rFonts w:ascii="Times New Roman" w:hAnsi="Times New Roman" w:cs="Times New Roman"/>
          <w:b w:val="0"/>
          <w:bCs w:val="0"/>
          <w:sz w:val="24"/>
          <w:szCs w:val="24"/>
        </w:rPr>
        <w:t>Su</w:t>
      </w:r>
      <w:proofErr w:type="spellEnd"/>
      <w:r>
        <w:rPr>
          <w:rStyle w:val="Strong"/>
          <w:rFonts w:ascii="Times New Roman" w:hAnsi="Times New Roman" w:cs="Times New Roman"/>
          <w:b w:val="0"/>
          <w:bCs w:val="0"/>
          <w:sz w:val="24"/>
          <w:szCs w:val="24"/>
        </w:rPr>
        <w:t xml:space="preserve"> et al., 2025). Beyond abscission, </w:t>
      </w:r>
      <w:proofErr w:type="spellStart"/>
      <w:r>
        <w:rPr>
          <w:rStyle w:val="Strong"/>
          <w:rFonts w:ascii="Times New Roman" w:hAnsi="Times New Roman" w:cs="Times New Roman"/>
          <w:b w:val="0"/>
          <w:bCs w:val="0"/>
          <w:sz w:val="24"/>
          <w:szCs w:val="24"/>
        </w:rPr>
        <w:t>jasmonates</w:t>
      </w:r>
      <w:proofErr w:type="spellEnd"/>
      <w:r>
        <w:rPr>
          <w:rStyle w:val="Strong"/>
          <w:rFonts w:ascii="Times New Roman" w:hAnsi="Times New Roman" w:cs="Times New Roman"/>
          <w:b w:val="0"/>
          <w:bCs w:val="0"/>
          <w:sz w:val="24"/>
          <w:szCs w:val="24"/>
        </w:rPr>
        <w:t xml:space="preserve"> may influence fruit defense and postharvest disease resistance. Exogenous </w:t>
      </w:r>
      <w:proofErr w:type="spellStart"/>
      <w:r>
        <w:rPr>
          <w:rStyle w:val="Strong"/>
          <w:rFonts w:ascii="Times New Roman" w:hAnsi="Times New Roman" w:cs="Times New Roman"/>
          <w:b w:val="0"/>
          <w:bCs w:val="0"/>
          <w:sz w:val="24"/>
          <w:szCs w:val="24"/>
        </w:rPr>
        <w:t>MeJA</w:t>
      </w:r>
      <w:proofErr w:type="spellEnd"/>
      <w:r>
        <w:rPr>
          <w:rStyle w:val="Strong"/>
          <w:rFonts w:ascii="Times New Roman" w:hAnsi="Times New Roman" w:cs="Times New Roman"/>
          <w:b w:val="0"/>
          <w:bCs w:val="0"/>
          <w:sz w:val="24"/>
          <w:szCs w:val="24"/>
        </w:rPr>
        <w:t xml:space="preserve"> treatments have been shown to enhance antioxidant enzyme activities, induce pathogenesis-related proteins and re</w:t>
      </w:r>
      <w:r>
        <w:rPr>
          <w:rStyle w:val="Strong"/>
          <w:rFonts w:ascii="Times New Roman" w:hAnsi="Times New Roman" w:cs="Times New Roman"/>
          <w:b w:val="0"/>
          <w:bCs w:val="0"/>
          <w:sz w:val="24"/>
          <w:szCs w:val="24"/>
        </w:rPr>
        <w:t xml:space="preserve">duce fungal decay in litchi and other subtropical fruits (Sivakumar et al., 2005; Wang et al., 2017). However, excessive JA levels may accelerate senescence and browning, indicating that </w:t>
      </w:r>
      <w:proofErr w:type="spellStart"/>
      <w:r>
        <w:rPr>
          <w:rStyle w:val="Strong"/>
          <w:rFonts w:ascii="Times New Roman" w:hAnsi="Times New Roman" w:cs="Times New Roman"/>
          <w:b w:val="0"/>
          <w:bCs w:val="0"/>
          <w:sz w:val="24"/>
          <w:szCs w:val="24"/>
        </w:rPr>
        <w:t>jasmonate</w:t>
      </w:r>
      <w:proofErr w:type="spellEnd"/>
      <w:r>
        <w:rPr>
          <w:rStyle w:val="Strong"/>
          <w:rFonts w:ascii="Times New Roman" w:hAnsi="Times New Roman" w:cs="Times New Roman"/>
          <w:b w:val="0"/>
          <w:bCs w:val="0"/>
          <w:sz w:val="24"/>
          <w:szCs w:val="24"/>
        </w:rPr>
        <w:t xml:space="preserve"> signaling must be tightly regulated to balance defense and </w:t>
      </w:r>
      <w:r>
        <w:rPr>
          <w:rStyle w:val="Strong"/>
          <w:rFonts w:ascii="Times New Roman" w:hAnsi="Times New Roman" w:cs="Times New Roman"/>
          <w:b w:val="0"/>
          <w:bCs w:val="0"/>
          <w:sz w:val="24"/>
          <w:szCs w:val="24"/>
        </w:rPr>
        <w:t>fruit quality.</w:t>
      </w:r>
    </w:p>
    <w:p w14:paraId="2A375837" w14:textId="77777777" w:rsidR="00501A8A" w:rsidRDefault="00501A8A">
      <w:pPr>
        <w:jc w:val="both"/>
        <w:rPr>
          <w:rStyle w:val="Strong"/>
          <w:rFonts w:ascii="Times New Roman" w:hAnsi="Times New Roman" w:cs="Times New Roman"/>
          <w:b w:val="0"/>
          <w:bCs w:val="0"/>
          <w:sz w:val="24"/>
          <w:szCs w:val="24"/>
        </w:rPr>
      </w:pPr>
    </w:p>
    <w:p w14:paraId="283FF91E"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4.3 </w:t>
      </w:r>
      <w:proofErr w:type="spellStart"/>
      <w:r>
        <w:rPr>
          <w:rStyle w:val="Strong"/>
          <w:rFonts w:ascii="Times New Roman" w:hAnsi="Times New Roman" w:cs="Times New Roman"/>
          <w:sz w:val="24"/>
          <w:szCs w:val="24"/>
        </w:rPr>
        <w:t>Brassinosteroids</w:t>
      </w:r>
      <w:proofErr w:type="spellEnd"/>
    </w:p>
    <w:p w14:paraId="3944C426" w14:textId="77777777" w:rsidR="00501A8A" w:rsidRDefault="00501A8A">
      <w:pPr>
        <w:jc w:val="both"/>
        <w:rPr>
          <w:rStyle w:val="Strong"/>
          <w:rFonts w:ascii="Times New Roman" w:hAnsi="Times New Roman" w:cs="Times New Roman"/>
          <w:sz w:val="24"/>
          <w:szCs w:val="24"/>
        </w:rPr>
      </w:pPr>
    </w:p>
    <w:p w14:paraId="1E25ADE3" w14:textId="77777777" w:rsidR="00501A8A" w:rsidRDefault="00352FB8">
      <w:pPr>
        <w:jc w:val="both"/>
        <w:rPr>
          <w:rStyle w:val="Strong"/>
          <w:rFonts w:ascii="Times New Roman" w:hAnsi="Times New Roman" w:cs="Times New Roman"/>
          <w:b w:val="0"/>
          <w:bCs w:val="0"/>
          <w:sz w:val="24"/>
          <w:szCs w:val="24"/>
        </w:rPr>
      </w:pPr>
      <w:proofErr w:type="spellStart"/>
      <w:r>
        <w:rPr>
          <w:rStyle w:val="Strong"/>
          <w:rFonts w:ascii="Times New Roman" w:hAnsi="Times New Roman" w:cs="Times New Roman"/>
          <w:b w:val="0"/>
          <w:bCs w:val="0"/>
          <w:sz w:val="24"/>
          <w:szCs w:val="24"/>
        </w:rPr>
        <w:t>Brassinosteroids</w:t>
      </w:r>
      <w:proofErr w:type="spellEnd"/>
      <w:r>
        <w:rPr>
          <w:rStyle w:val="Strong"/>
          <w:rFonts w:ascii="Times New Roman" w:hAnsi="Times New Roman" w:cs="Times New Roman"/>
          <w:b w:val="0"/>
          <w:bCs w:val="0"/>
          <w:sz w:val="24"/>
          <w:szCs w:val="24"/>
        </w:rPr>
        <w:t xml:space="preserve"> (BRs) are steroidal phytohormones that regulate cell expansion, vascular differentiation, reproductive development and stress tolerance (Clouse and </w:t>
      </w:r>
      <w:proofErr w:type="spellStart"/>
      <w:r>
        <w:rPr>
          <w:rStyle w:val="Strong"/>
          <w:rFonts w:ascii="Times New Roman" w:hAnsi="Times New Roman" w:cs="Times New Roman"/>
          <w:b w:val="0"/>
          <w:bCs w:val="0"/>
          <w:sz w:val="24"/>
          <w:szCs w:val="24"/>
        </w:rPr>
        <w:t>Sasse</w:t>
      </w:r>
      <w:proofErr w:type="spellEnd"/>
      <w:r>
        <w:rPr>
          <w:rStyle w:val="Strong"/>
          <w:rFonts w:ascii="Times New Roman" w:hAnsi="Times New Roman" w:cs="Times New Roman"/>
          <w:b w:val="0"/>
          <w:bCs w:val="0"/>
          <w:sz w:val="24"/>
          <w:szCs w:val="24"/>
        </w:rPr>
        <w:t xml:space="preserve">, 1998; </w:t>
      </w:r>
      <w:proofErr w:type="spellStart"/>
      <w:r>
        <w:rPr>
          <w:rStyle w:val="Strong"/>
          <w:rFonts w:ascii="Times New Roman" w:hAnsi="Times New Roman" w:cs="Times New Roman"/>
          <w:b w:val="0"/>
          <w:bCs w:val="0"/>
          <w:sz w:val="24"/>
          <w:szCs w:val="24"/>
        </w:rPr>
        <w:t>Vriet</w:t>
      </w:r>
      <w:proofErr w:type="spellEnd"/>
      <w:r>
        <w:rPr>
          <w:rStyle w:val="Strong"/>
          <w:rFonts w:ascii="Times New Roman" w:hAnsi="Times New Roman" w:cs="Times New Roman"/>
          <w:b w:val="0"/>
          <w:bCs w:val="0"/>
          <w:sz w:val="24"/>
          <w:szCs w:val="24"/>
        </w:rPr>
        <w:t xml:space="preserve"> et al., 2012). In fruit crops, BRs</w:t>
      </w:r>
      <w:r>
        <w:rPr>
          <w:rStyle w:val="Strong"/>
          <w:rFonts w:ascii="Times New Roman" w:hAnsi="Times New Roman" w:cs="Times New Roman"/>
          <w:b w:val="0"/>
          <w:bCs w:val="0"/>
          <w:sz w:val="24"/>
          <w:szCs w:val="24"/>
        </w:rPr>
        <w:t xml:space="preserve"> promote fruit set, enhance cell enlargement and improve fruit size and quality by stimulating cell wall loosening, carbohydrate transport and hormonal crosstalk with auxins and gibberellins (Symons et al., 2006; </w:t>
      </w:r>
      <w:proofErr w:type="spellStart"/>
      <w:r>
        <w:rPr>
          <w:rStyle w:val="Strong"/>
          <w:rFonts w:ascii="Times New Roman" w:hAnsi="Times New Roman" w:cs="Times New Roman"/>
          <w:b w:val="0"/>
          <w:bCs w:val="0"/>
          <w:sz w:val="24"/>
          <w:szCs w:val="24"/>
        </w:rPr>
        <w:t>Vriet</w:t>
      </w:r>
      <w:proofErr w:type="spellEnd"/>
      <w:r>
        <w:rPr>
          <w:rStyle w:val="Strong"/>
          <w:rFonts w:ascii="Times New Roman" w:hAnsi="Times New Roman" w:cs="Times New Roman"/>
          <w:b w:val="0"/>
          <w:bCs w:val="0"/>
          <w:sz w:val="24"/>
          <w:szCs w:val="24"/>
        </w:rPr>
        <w:t xml:space="preserve"> et al., 2012). Although detailed stud</w:t>
      </w:r>
      <w:r>
        <w:rPr>
          <w:rStyle w:val="Strong"/>
          <w:rFonts w:ascii="Times New Roman" w:hAnsi="Times New Roman" w:cs="Times New Roman"/>
          <w:b w:val="0"/>
          <w:bCs w:val="0"/>
          <w:sz w:val="24"/>
          <w:szCs w:val="24"/>
        </w:rPr>
        <w:t xml:space="preserve">ies on BR function in litchi remain scarce, indirect evidence suggests that BRs contribute to fruit growth and vascular development. BRs induce the expression of </w:t>
      </w:r>
      <w:proofErr w:type="spellStart"/>
      <w:r>
        <w:rPr>
          <w:rStyle w:val="Strong"/>
          <w:rFonts w:ascii="Times New Roman" w:hAnsi="Times New Roman" w:cs="Times New Roman"/>
          <w:b w:val="0"/>
          <w:bCs w:val="0"/>
          <w:sz w:val="24"/>
          <w:szCs w:val="24"/>
        </w:rPr>
        <w:t>expansins</w:t>
      </w:r>
      <w:proofErr w:type="spellEnd"/>
      <w:r>
        <w:rPr>
          <w:rStyle w:val="Strong"/>
          <w:rFonts w:ascii="Times New Roman" w:hAnsi="Times New Roman" w:cs="Times New Roman"/>
          <w:b w:val="0"/>
          <w:bCs w:val="0"/>
          <w:sz w:val="24"/>
          <w:szCs w:val="24"/>
        </w:rPr>
        <w:t xml:space="preserve">, xyloglucan </w:t>
      </w:r>
      <w:proofErr w:type="spellStart"/>
      <w:r>
        <w:rPr>
          <w:rStyle w:val="Strong"/>
          <w:rFonts w:ascii="Times New Roman" w:hAnsi="Times New Roman" w:cs="Times New Roman"/>
          <w:b w:val="0"/>
          <w:bCs w:val="0"/>
          <w:sz w:val="24"/>
          <w:szCs w:val="24"/>
        </w:rPr>
        <w:t>endotransglycosylases</w:t>
      </w:r>
      <w:proofErr w:type="spellEnd"/>
      <w:r>
        <w:rPr>
          <w:rStyle w:val="Strong"/>
          <w:rFonts w:ascii="Times New Roman" w:hAnsi="Times New Roman" w:cs="Times New Roman"/>
          <w:b w:val="0"/>
          <w:bCs w:val="0"/>
          <w:sz w:val="24"/>
          <w:szCs w:val="24"/>
        </w:rPr>
        <w:t xml:space="preserve"> and cellulose synthase genes, thereby facilitating</w:t>
      </w:r>
      <w:r>
        <w:rPr>
          <w:rStyle w:val="Strong"/>
          <w:rFonts w:ascii="Times New Roman" w:hAnsi="Times New Roman" w:cs="Times New Roman"/>
          <w:b w:val="0"/>
          <w:bCs w:val="0"/>
          <w:sz w:val="24"/>
          <w:szCs w:val="24"/>
        </w:rPr>
        <w:t xml:space="preserve"> cell wall remodeling and fruit enlargement (Clouse and </w:t>
      </w:r>
      <w:proofErr w:type="spellStart"/>
      <w:r>
        <w:rPr>
          <w:rStyle w:val="Strong"/>
          <w:rFonts w:ascii="Times New Roman" w:hAnsi="Times New Roman" w:cs="Times New Roman"/>
          <w:b w:val="0"/>
          <w:bCs w:val="0"/>
          <w:sz w:val="24"/>
          <w:szCs w:val="24"/>
        </w:rPr>
        <w:t>Sasse</w:t>
      </w:r>
      <w:proofErr w:type="spellEnd"/>
      <w:r>
        <w:rPr>
          <w:rStyle w:val="Strong"/>
          <w:rFonts w:ascii="Times New Roman" w:hAnsi="Times New Roman" w:cs="Times New Roman"/>
          <w:b w:val="0"/>
          <w:bCs w:val="0"/>
          <w:sz w:val="24"/>
          <w:szCs w:val="24"/>
        </w:rPr>
        <w:t>, 1998; Symons et al., 2006). In addition, BRs enhance xylem and phloem differentiation, strengthening sink capacity and assimilate import into developing fruits (</w:t>
      </w:r>
      <w:proofErr w:type="spellStart"/>
      <w:r>
        <w:rPr>
          <w:rStyle w:val="Strong"/>
          <w:rFonts w:ascii="Times New Roman" w:hAnsi="Times New Roman" w:cs="Times New Roman"/>
          <w:b w:val="0"/>
          <w:bCs w:val="0"/>
          <w:sz w:val="24"/>
          <w:szCs w:val="24"/>
        </w:rPr>
        <w:t>Vriet</w:t>
      </w:r>
      <w:proofErr w:type="spellEnd"/>
      <w:r>
        <w:rPr>
          <w:rStyle w:val="Strong"/>
          <w:rFonts w:ascii="Times New Roman" w:hAnsi="Times New Roman" w:cs="Times New Roman"/>
          <w:b w:val="0"/>
          <w:bCs w:val="0"/>
          <w:sz w:val="24"/>
          <w:szCs w:val="24"/>
        </w:rPr>
        <w:t xml:space="preserve"> et al., 2012). Exogenous a</w:t>
      </w:r>
      <w:r>
        <w:rPr>
          <w:rStyle w:val="Strong"/>
          <w:rFonts w:ascii="Times New Roman" w:hAnsi="Times New Roman" w:cs="Times New Roman"/>
          <w:b w:val="0"/>
          <w:bCs w:val="0"/>
          <w:sz w:val="24"/>
          <w:szCs w:val="24"/>
        </w:rPr>
        <w:t xml:space="preserve">pplication of </w:t>
      </w:r>
      <w:proofErr w:type="spellStart"/>
      <w:r>
        <w:rPr>
          <w:rStyle w:val="Strong"/>
          <w:rFonts w:ascii="Times New Roman" w:hAnsi="Times New Roman" w:cs="Times New Roman"/>
          <w:b w:val="0"/>
          <w:bCs w:val="0"/>
          <w:sz w:val="24"/>
          <w:szCs w:val="24"/>
        </w:rPr>
        <w:t>brassinolide</w:t>
      </w:r>
      <w:proofErr w:type="spellEnd"/>
      <w:r>
        <w:rPr>
          <w:rStyle w:val="Strong"/>
          <w:rFonts w:ascii="Times New Roman" w:hAnsi="Times New Roman" w:cs="Times New Roman"/>
          <w:b w:val="0"/>
          <w:bCs w:val="0"/>
          <w:sz w:val="24"/>
          <w:szCs w:val="24"/>
        </w:rPr>
        <w:t xml:space="preserve"> and 24-epibrassinolide has been reported to increase fruit size, improve shape and enhance sugar accumulation in several fruit crops, including grape, apple and citrus (Symons et al., 2006; </w:t>
      </w:r>
      <w:proofErr w:type="spellStart"/>
      <w:r>
        <w:rPr>
          <w:rStyle w:val="Strong"/>
          <w:rFonts w:ascii="Times New Roman" w:hAnsi="Times New Roman" w:cs="Times New Roman"/>
          <w:b w:val="0"/>
          <w:bCs w:val="0"/>
          <w:sz w:val="24"/>
          <w:szCs w:val="24"/>
        </w:rPr>
        <w:t>Vriet</w:t>
      </w:r>
      <w:proofErr w:type="spellEnd"/>
      <w:r>
        <w:rPr>
          <w:rStyle w:val="Strong"/>
          <w:rFonts w:ascii="Times New Roman" w:hAnsi="Times New Roman" w:cs="Times New Roman"/>
          <w:b w:val="0"/>
          <w:bCs w:val="0"/>
          <w:sz w:val="24"/>
          <w:szCs w:val="24"/>
        </w:rPr>
        <w:t xml:space="preserve"> et al., 2012). Preliminary hortic</w:t>
      </w:r>
      <w:r>
        <w:rPr>
          <w:rStyle w:val="Strong"/>
          <w:rFonts w:ascii="Times New Roman" w:hAnsi="Times New Roman" w:cs="Times New Roman"/>
          <w:b w:val="0"/>
          <w:bCs w:val="0"/>
          <w:sz w:val="24"/>
          <w:szCs w:val="24"/>
        </w:rPr>
        <w:t>ultural trials in litchi suggest that BR treatments applied during early fruit development may enhance fruit enlargement and improve aril development, although systematic physiological and molecular investigations are still lacking (Menzel and Waite, 2005;</w:t>
      </w:r>
      <w:r>
        <w:rPr>
          <w:rStyle w:val="Strong"/>
          <w:rFonts w:ascii="Times New Roman" w:hAnsi="Times New Roman" w:cs="Times New Roman"/>
          <w:b w:val="0"/>
          <w:bCs w:val="0"/>
          <w:sz w:val="24"/>
          <w:szCs w:val="24"/>
        </w:rPr>
        <w:t xml:space="preserve"> </w:t>
      </w:r>
      <w:proofErr w:type="spellStart"/>
      <w:r>
        <w:rPr>
          <w:rStyle w:val="Strong"/>
          <w:rFonts w:ascii="Times New Roman" w:hAnsi="Times New Roman" w:cs="Times New Roman"/>
          <w:b w:val="0"/>
          <w:bCs w:val="0"/>
          <w:sz w:val="24"/>
          <w:szCs w:val="24"/>
        </w:rPr>
        <w:t>Rathava</w:t>
      </w:r>
      <w:proofErr w:type="spellEnd"/>
      <w:r>
        <w:rPr>
          <w:rStyle w:val="Strong"/>
          <w:rFonts w:ascii="Times New Roman" w:hAnsi="Times New Roman" w:cs="Times New Roman"/>
          <w:b w:val="0"/>
          <w:bCs w:val="0"/>
          <w:sz w:val="24"/>
          <w:szCs w:val="24"/>
        </w:rPr>
        <w:t xml:space="preserve"> et al., 2023). Moreover, BRs confer tolerance to abiotic stresses such as heat, drought and salinity by activating antioxidant defense systems and stress-responsive genes, which may indirectly improve fruit retention and quality under suboptimal g</w:t>
      </w:r>
      <w:r>
        <w:rPr>
          <w:rStyle w:val="Strong"/>
          <w:rFonts w:ascii="Times New Roman" w:hAnsi="Times New Roman" w:cs="Times New Roman"/>
          <w:b w:val="0"/>
          <w:bCs w:val="0"/>
          <w:sz w:val="24"/>
          <w:szCs w:val="24"/>
        </w:rPr>
        <w:t>rowing conditions (</w:t>
      </w:r>
      <w:proofErr w:type="spellStart"/>
      <w:r>
        <w:rPr>
          <w:rStyle w:val="Strong"/>
          <w:rFonts w:ascii="Times New Roman" w:hAnsi="Times New Roman" w:cs="Times New Roman"/>
          <w:b w:val="0"/>
          <w:bCs w:val="0"/>
          <w:sz w:val="24"/>
          <w:szCs w:val="24"/>
        </w:rPr>
        <w:t>Vriet</w:t>
      </w:r>
      <w:proofErr w:type="spellEnd"/>
      <w:r>
        <w:rPr>
          <w:rStyle w:val="Strong"/>
          <w:rFonts w:ascii="Times New Roman" w:hAnsi="Times New Roman" w:cs="Times New Roman"/>
          <w:b w:val="0"/>
          <w:bCs w:val="0"/>
          <w:sz w:val="24"/>
          <w:szCs w:val="24"/>
        </w:rPr>
        <w:t xml:space="preserve"> et al., 2012; </w:t>
      </w:r>
      <w:proofErr w:type="spellStart"/>
      <w:r>
        <w:rPr>
          <w:rStyle w:val="Strong"/>
          <w:rFonts w:ascii="Times New Roman" w:hAnsi="Times New Roman" w:cs="Times New Roman"/>
          <w:b w:val="0"/>
          <w:bCs w:val="0"/>
          <w:sz w:val="24"/>
          <w:szCs w:val="24"/>
        </w:rPr>
        <w:t>Rathava</w:t>
      </w:r>
      <w:proofErr w:type="spellEnd"/>
      <w:r>
        <w:rPr>
          <w:rStyle w:val="Strong"/>
          <w:rFonts w:ascii="Times New Roman" w:hAnsi="Times New Roman" w:cs="Times New Roman"/>
          <w:b w:val="0"/>
          <w:bCs w:val="0"/>
          <w:sz w:val="24"/>
          <w:szCs w:val="24"/>
        </w:rPr>
        <w:t xml:space="preserve"> et al., 2023). Future studies integrating hormone profiling and functional genomics will be essential to elucidate the precise roles of BR signaling in litchi fruit development.</w:t>
      </w:r>
    </w:p>
    <w:p w14:paraId="268CAD44" w14:textId="77777777" w:rsidR="00501A8A" w:rsidRDefault="00501A8A">
      <w:pPr>
        <w:jc w:val="both"/>
        <w:rPr>
          <w:rStyle w:val="Strong"/>
          <w:rFonts w:ascii="Times New Roman" w:hAnsi="Times New Roman" w:cs="Times New Roman"/>
          <w:sz w:val="24"/>
          <w:szCs w:val="24"/>
        </w:rPr>
      </w:pPr>
    </w:p>
    <w:p w14:paraId="7DDFCE56" w14:textId="77777777" w:rsidR="00501A8A" w:rsidRDefault="00352FB8">
      <w:pPr>
        <w:jc w:val="both"/>
        <w:rPr>
          <w:rStyle w:val="Strong"/>
          <w:rFonts w:ascii="Times New Roman" w:hAnsi="Times New Roman" w:cs="Times New Roman"/>
          <w:sz w:val="24"/>
          <w:szCs w:val="24"/>
        </w:rPr>
      </w:pPr>
      <w:r>
        <w:rPr>
          <w:rStyle w:val="Strong"/>
          <w:rFonts w:ascii="Times New Roman" w:hAnsi="Times New Roman" w:cs="Times New Roman"/>
          <w:sz w:val="24"/>
          <w:szCs w:val="24"/>
        </w:rPr>
        <w:t>4.5 Salicylic Acid</w:t>
      </w:r>
    </w:p>
    <w:p w14:paraId="0DFBA1C5" w14:textId="77777777" w:rsidR="00501A8A" w:rsidRDefault="00501A8A">
      <w:pPr>
        <w:jc w:val="both"/>
        <w:rPr>
          <w:rStyle w:val="Strong"/>
          <w:rFonts w:ascii="Times New Roman" w:hAnsi="Times New Roman" w:cs="Times New Roman"/>
          <w:sz w:val="24"/>
          <w:szCs w:val="24"/>
        </w:rPr>
      </w:pPr>
    </w:p>
    <w:p w14:paraId="0979C508" w14:textId="77777777" w:rsidR="00501A8A" w:rsidRDefault="00352FB8">
      <w:pPr>
        <w:jc w:val="both"/>
        <w:rPr>
          <w:rStyle w:val="Strong"/>
          <w:rFonts w:ascii="Times New Roman" w:hAnsi="Times New Roman" w:cs="Times New Roman"/>
          <w:b w:val="0"/>
          <w:bCs w:val="0"/>
          <w:sz w:val="24"/>
          <w:szCs w:val="24"/>
        </w:rPr>
      </w:pPr>
      <w:r>
        <w:rPr>
          <w:rStyle w:val="Strong"/>
          <w:rFonts w:ascii="Times New Roman" w:hAnsi="Times New Roman" w:cs="Times New Roman"/>
          <w:b w:val="0"/>
          <w:bCs w:val="0"/>
          <w:sz w:val="24"/>
          <w:szCs w:val="24"/>
        </w:rPr>
        <w:t xml:space="preserve">Salicylic </w:t>
      </w:r>
      <w:r>
        <w:rPr>
          <w:rStyle w:val="Strong"/>
          <w:rFonts w:ascii="Times New Roman" w:hAnsi="Times New Roman" w:cs="Times New Roman"/>
          <w:b w:val="0"/>
          <w:bCs w:val="0"/>
          <w:sz w:val="24"/>
          <w:szCs w:val="24"/>
        </w:rPr>
        <w:t>acid (SA) is a phenolic phytohormone involved in plant defense, systemic acquired resistance, redox homeostasis and senescence regulation (</w:t>
      </w:r>
      <w:proofErr w:type="spellStart"/>
      <w:r>
        <w:rPr>
          <w:rStyle w:val="Strong"/>
          <w:rFonts w:ascii="Times New Roman" w:hAnsi="Times New Roman" w:cs="Times New Roman"/>
          <w:b w:val="0"/>
          <w:bCs w:val="0"/>
          <w:sz w:val="24"/>
          <w:szCs w:val="24"/>
        </w:rPr>
        <w:t>Vlot</w:t>
      </w:r>
      <w:proofErr w:type="spellEnd"/>
      <w:r>
        <w:rPr>
          <w:rStyle w:val="Strong"/>
          <w:rFonts w:ascii="Times New Roman" w:hAnsi="Times New Roman" w:cs="Times New Roman"/>
          <w:b w:val="0"/>
          <w:bCs w:val="0"/>
          <w:sz w:val="24"/>
          <w:szCs w:val="24"/>
        </w:rPr>
        <w:t xml:space="preserve"> et al., 2009). In fruit crops, SA plays important roles in modulating antioxidant metabolism, delaying senescenc</w:t>
      </w:r>
      <w:r>
        <w:rPr>
          <w:rStyle w:val="Strong"/>
          <w:rFonts w:ascii="Times New Roman" w:hAnsi="Times New Roman" w:cs="Times New Roman"/>
          <w:b w:val="0"/>
          <w:bCs w:val="0"/>
          <w:sz w:val="24"/>
          <w:szCs w:val="24"/>
        </w:rPr>
        <w:t>e and improving postharvest quality (</w:t>
      </w:r>
      <w:proofErr w:type="spellStart"/>
      <w:r>
        <w:rPr>
          <w:rStyle w:val="Strong"/>
          <w:rFonts w:ascii="Times New Roman" w:hAnsi="Times New Roman" w:cs="Times New Roman"/>
          <w:b w:val="0"/>
          <w:bCs w:val="0"/>
          <w:sz w:val="24"/>
          <w:szCs w:val="24"/>
        </w:rPr>
        <w:t>Asghari</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Aghdam</w:t>
      </w:r>
      <w:proofErr w:type="spellEnd"/>
      <w:r>
        <w:rPr>
          <w:rStyle w:val="Strong"/>
          <w:rFonts w:ascii="Times New Roman" w:hAnsi="Times New Roman" w:cs="Times New Roman"/>
          <w:b w:val="0"/>
          <w:bCs w:val="0"/>
          <w:sz w:val="24"/>
          <w:szCs w:val="24"/>
        </w:rPr>
        <w:t>, 2010).</w:t>
      </w:r>
    </w:p>
    <w:p w14:paraId="1F887BCE" w14:textId="77777777" w:rsidR="00501A8A" w:rsidRDefault="00352FB8">
      <w:pPr>
        <w:jc w:val="both"/>
        <w:rPr>
          <w:rFonts w:ascii="Times New Roman" w:hAnsi="Times New Roman" w:cs="Times New Roman"/>
          <w:sz w:val="24"/>
          <w:szCs w:val="24"/>
        </w:rPr>
      </w:pPr>
      <w:r>
        <w:rPr>
          <w:rStyle w:val="Strong"/>
          <w:rFonts w:ascii="Times New Roman" w:hAnsi="Times New Roman" w:cs="Times New Roman"/>
          <w:b w:val="0"/>
          <w:bCs w:val="0"/>
          <w:sz w:val="24"/>
          <w:szCs w:val="24"/>
        </w:rPr>
        <w:t xml:space="preserve">In litchi, SA has been extensively studied for its beneficial effects on postharvest physiology, particularly in delaying pericarp browning — one of the most serious </w:t>
      </w:r>
      <w:r>
        <w:rPr>
          <w:rStyle w:val="Strong"/>
          <w:rFonts w:ascii="Times New Roman" w:hAnsi="Times New Roman" w:cs="Times New Roman"/>
          <w:b w:val="0"/>
          <w:bCs w:val="0"/>
          <w:sz w:val="24"/>
          <w:szCs w:val="24"/>
        </w:rPr>
        <w:lastRenderedPageBreak/>
        <w:t>limitations to marketabili</w:t>
      </w:r>
      <w:r>
        <w:rPr>
          <w:rStyle w:val="Strong"/>
          <w:rFonts w:ascii="Times New Roman" w:hAnsi="Times New Roman" w:cs="Times New Roman"/>
          <w:b w:val="0"/>
          <w:bCs w:val="0"/>
          <w:sz w:val="24"/>
          <w:szCs w:val="24"/>
        </w:rPr>
        <w:t>ty. SA treatments reduce membrane lipid peroxidation, suppress polyphenol oxidase (PPO) and peroxidase (POD) activities, and enhance the activity of antioxidant enzymes such as superoxide dismutase (SOD), catalase (CAT) and ascorbate peroxidase (APX), ther</w:t>
      </w:r>
      <w:r>
        <w:rPr>
          <w:rStyle w:val="Strong"/>
          <w:rFonts w:ascii="Times New Roman" w:hAnsi="Times New Roman" w:cs="Times New Roman"/>
          <w:b w:val="0"/>
          <w:bCs w:val="0"/>
          <w:sz w:val="24"/>
          <w:szCs w:val="24"/>
        </w:rPr>
        <w:t xml:space="preserve">eby maintaining membrane integrity and inhibiting enzymatic browning reactions (Jiang et al., 2004; Sivakumar and Korsten, 2006; </w:t>
      </w:r>
      <w:proofErr w:type="spellStart"/>
      <w:r>
        <w:rPr>
          <w:rStyle w:val="Strong"/>
          <w:rFonts w:ascii="Times New Roman" w:hAnsi="Times New Roman" w:cs="Times New Roman"/>
          <w:b w:val="0"/>
          <w:bCs w:val="0"/>
          <w:sz w:val="24"/>
          <w:szCs w:val="24"/>
        </w:rPr>
        <w:t>Asghari</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Aghdam</w:t>
      </w:r>
      <w:proofErr w:type="spellEnd"/>
      <w:r>
        <w:rPr>
          <w:rStyle w:val="Strong"/>
          <w:rFonts w:ascii="Times New Roman" w:hAnsi="Times New Roman" w:cs="Times New Roman"/>
          <w:b w:val="0"/>
          <w:bCs w:val="0"/>
          <w:sz w:val="24"/>
          <w:szCs w:val="24"/>
        </w:rPr>
        <w:t>, 2010). SA also modulates ethylene biosynthesis and signaling by inhibiting ACS and ACO activities and reduc</w:t>
      </w:r>
      <w:r>
        <w:rPr>
          <w:rStyle w:val="Strong"/>
          <w:rFonts w:ascii="Times New Roman" w:hAnsi="Times New Roman" w:cs="Times New Roman"/>
          <w:b w:val="0"/>
          <w:bCs w:val="0"/>
          <w:sz w:val="24"/>
          <w:szCs w:val="24"/>
        </w:rPr>
        <w:t>ing ethylene sensitivity, which delays senescence and prolongs shelf life (</w:t>
      </w:r>
      <w:proofErr w:type="spellStart"/>
      <w:r>
        <w:rPr>
          <w:rStyle w:val="Strong"/>
          <w:rFonts w:ascii="Times New Roman" w:hAnsi="Times New Roman" w:cs="Times New Roman"/>
          <w:b w:val="0"/>
          <w:bCs w:val="0"/>
          <w:sz w:val="24"/>
          <w:szCs w:val="24"/>
        </w:rPr>
        <w:t>Vlot</w:t>
      </w:r>
      <w:proofErr w:type="spellEnd"/>
      <w:r>
        <w:rPr>
          <w:rStyle w:val="Strong"/>
          <w:rFonts w:ascii="Times New Roman" w:hAnsi="Times New Roman" w:cs="Times New Roman"/>
          <w:b w:val="0"/>
          <w:bCs w:val="0"/>
          <w:sz w:val="24"/>
          <w:szCs w:val="24"/>
        </w:rPr>
        <w:t xml:space="preserve"> et al., 2009; </w:t>
      </w:r>
      <w:proofErr w:type="spellStart"/>
      <w:r>
        <w:rPr>
          <w:rStyle w:val="Strong"/>
          <w:rFonts w:ascii="Times New Roman" w:hAnsi="Times New Roman" w:cs="Times New Roman"/>
          <w:b w:val="0"/>
          <w:bCs w:val="0"/>
          <w:sz w:val="24"/>
          <w:szCs w:val="24"/>
        </w:rPr>
        <w:t>Asghari</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Aghdam</w:t>
      </w:r>
      <w:proofErr w:type="spellEnd"/>
      <w:r>
        <w:rPr>
          <w:rStyle w:val="Strong"/>
          <w:rFonts w:ascii="Times New Roman" w:hAnsi="Times New Roman" w:cs="Times New Roman"/>
          <w:b w:val="0"/>
          <w:bCs w:val="0"/>
          <w:sz w:val="24"/>
          <w:szCs w:val="24"/>
        </w:rPr>
        <w:t>, 2010). In litchi, postharvest dipping or fumigation with SA significantly delays pericarp browning, maintains red coloration and extends stora</w:t>
      </w:r>
      <w:r>
        <w:rPr>
          <w:rStyle w:val="Strong"/>
          <w:rFonts w:ascii="Times New Roman" w:hAnsi="Times New Roman" w:cs="Times New Roman"/>
          <w:b w:val="0"/>
          <w:bCs w:val="0"/>
          <w:sz w:val="24"/>
          <w:szCs w:val="24"/>
        </w:rPr>
        <w:t>ge life under both ambient and refrigerated conditions (Jiang et al., 2004; Sivakumar and Korsten, 2006). Furthermore, SA enhances resistance to postharvest pathogens by inducing pathogenesis-related proteins and strengthening cell wall defenses, thereby r</w:t>
      </w:r>
      <w:r>
        <w:rPr>
          <w:rStyle w:val="Strong"/>
          <w:rFonts w:ascii="Times New Roman" w:hAnsi="Times New Roman" w:cs="Times New Roman"/>
          <w:b w:val="0"/>
          <w:bCs w:val="0"/>
          <w:sz w:val="24"/>
          <w:szCs w:val="24"/>
        </w:rPr>
        <w:t>educing decay incidence during storage and transport (</w:t>
      </w:r>
      <w:proofErr w:type="spellStart"/>
      <w:r>
        <w:rPr>
          <w:rStyle w:val="Strong"/>
          <w:rFonts w:ascii="Times New Roman" w:hAnsi="Times New Roman" w:cs="Times New Roman"/>
          <w:b w:val="0"/>
          <w:bCs w:val="0"/>
          <w:sz w:val="24"/>
          <w:szCs w:val="24"/>
        </w:rPr>
        <w:t>Asghari</w:t>
      </w:r>
      <w:proofErr w:type="spellEnd"/>
      <w:r>
        <w:rPr>
          <w:rStyle w:val="Strong"/>
          <w:rFonts w:ascii="Times New Roman" w:hAnsi="Times New Roman" w:cs="Times New Roman"/>
          <w:b w:val="0"/>
          <w:bCs w:val="0"/>
          <w:sz w:val="24"/>
          <w:szCs w:val="24"/>
        </w:rPr>
        <w:t xml:space="preserve"> and </w:t>
      </w:r>
      <w:proofErr w:type="spellStart"/>
      <w:r>
        <w:rPr>
          <w:rStyle w:val="Strong"/>
          <w:rFonts w:ascii="Times New Roman" w:hAnsi="Times New Roman" w:cs="Times New Roman"/>
          <w:b w:val="0"/>
          <w:bCs w:val="0"/>
          <w:sz w:val="24"/>
          <w:szCs w:val="24"/>
        </w:rPr>
        <w:t>Aghdam</w:t>
      </w:r>
      <w:proofErr w:type="spellEnd"/>
      <w:r>
        <w:rPr>
          <w:rStyle w:val="Strong"/>
          <w:rFonts w:ascii="Times New Roman" w:hAnsi="Times New Roman" w:cs="Times New Roman"/>
          <w:b w:val="0"/>
          <w:bCs w:val="0"/>
          <w:sz w:val="24"/>
          <w:szCs w:val="24"/>
        </w:rPr>
        <w:t>, 2010; Wang et al., 2017). Thus, salicylic acid represents a promising eco-friendly postharvest treatment for maintaining litchi fruit quality and extending shelf life.</w:t>
      </w:r>
    </w:p>
    <w:p w14:paraId="520254A4" w14:textId="77777777" w:rsidR="00501A8A" w:rsidRDefault="00501A8A">
      <w:pPr>
        <w:jc w:val="both"/>
        <w:rPr>
          <w:rFonts w:ascii="Times New Roman" w:hAnsi="Times New Roman" w:cs="Times New Roman"/>
          <w:b/>
          <w:bCs/>
          <w:sz w:val="24"/>
          <w:szCs w:val="24"/>
        </w:rPr>
      </w:pPr>
    </w:p>
    <w:p w14:paraId="3E760A5E" w14:textId="77777777" w:rsidR="00501A8A" w:rsidRDefault="00352FB8">
      <w:pPr>
        <w:jc w:val="both"/>
        <w:rPr>
          <w:rFonts w:ascii="Times New Roman" w:hAnsi="Times New Roman" w:cs="Times New Roman"/>
          <w:b/>
          <w:bCs/>
          <w:sz w:val="24"/>
          <w:szCs w:val="24"/>
        </w:rPr>
      </w:pPr>
      <w:r>
        <w:rPr>
          <w:rFonts w:ascii="Times New Roman" w:hAnsi="Times New Roman" w:cs="Times New Roman"/>
          <w:b/>
          <w:bCs/>
          <w:sz w:val="24"/>
          <w:szCs w:val="24"/>
        </w:rPr>
        <w:t>5. Hormonal C</w:t>
      </w:r>
      <w:r>
        <w:rPr>
          <w:rFonts w:ascii="Times New Roman" w:hAnsi="Times New Roman" w:cs="Times New Roman"/>
          <w:b/>
          <w:bCs/>
          <w:sz w:val="24"/>
          <w:szCs w:val="24"/>
        </w:rPr>
        <w:t>rosstalk and Integrated Regulation of Litchi Fruit Development</w:t>
      </w:r>
    </w:p>
    <w:p w14:paraId="51789C7A" w14:textId="77777777" w:rsidR="00501A8A" w:rsidRDefault="00501A8A">
      <w:pPr>
        <w:jc w:val="both"/>
        <w:rPr>
          <w:rFonts w:ascii="Times New Roman" w:hAnsi="Times New Roman" w:cs="Times New Roman"/>
          <w:sz w:val="24"/>
          <w:szCs w:val="24"/>
        </w:rPr>
      </w:pPr>
    </w:p>
    <w:p w14:paraId="1B17D67B"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Fruit development in litchi is governed by a highly coordinated network of interacting phytohormones rather than by the independent action of individual hormones. This dynamic hormonal crossta</w:t>
      </w:r>
      <w:r>
        <w:rPr>
          <w:rFonts w:ascii="Times New Roman" w:hAnsi="Times New Roman" w:cs="Times New Roman"/>
          <w:sz w:val="24"/>
          <w:szCs w:val="24"/>
        </w:rPr>
        <w:t xml:space="preserve">lk integrates developmental cues with environmental and metabolic signals to regulate fruit set, early growth, abscission, ripening and senescence. The balance and temporal coordination among auxins, gibberellins (GAs), </w:t>
      </w:r>
      <w:proofErr w:type="spellStart"/>
      <w:r>
        <w:rPr>
          <w:rFonts w:ascii="Times New Roman" w:hAnsi="Times New Roman" w:cs="Times New Roman"/>
          <w:sz w:val="24"/>
          <w:szCs w:val="24"/>
        </w:rPr>
        <w:t>cytokinins</w:t>
      </w:r>
      <w:proofErr w:type="spellEnd"/>
      <w:r>
        <w:rPr>
          <w:rFonts w:ascii="Times New Roman" w:hAnsi="Times New Roman" w:cs="Times New Roman"/>
          <w:sz w:val="24"/>
          <w:szCs w:val="24"/>
        </w:rPr>
        <w:t xml:space="preserve"> (CKs), abscisic acid (ABA</w:t>
      </w:r>
      <w:r>
        <w:rPr>
          <w:rFonts w:ascii="Times New Roman" w:hAnsi="Times New Roman" w:cs="Times New Roman"/>
          <w:sz w:val="24"/>
          <w:szCs w:val="24"/>
        </w:rPr>
        <w:t>), ethylene, sugars and secondary hormones determine the fate of developing fruitlets and the quality attributes of mature fruits (</w:t>
      </w:r>
      <w:proofErr w:type="spellStart"/>
      <w:r>
        <w:rPr>
          <w:rFonts w:ascii="Times New Roman" w:hAnsi="Times New Roman" w:cs="Times New Roman"/>
          <w:sz w:val="24"/>
          <w:szCs w:val="24"/>
        </w:rPr>
        <w:t>Addicott</w:t>
      </w:r>
      <w:proofErr w:type="spellEnd"/>
      <w:r>
        <w:rPr>
          <w:rFonts w:ascii="Times New Roman" w:hAnsi="Times New Roman" w:cs="Times New Roman"/>
          <w:sz w:val="24"/>
          <w:szCs w:val="24"/>
        </w:rPr>
        <w:t xml:space="preserve">, 1982; Menzel and Waite, 2005; Yuan and Huang, 2012; Wang et al., 2017). </w:t>
      </w:r>
    </w:p>
    <w:p w14:paraId="7C8BDE35"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Recent transcriptomic and hormone profilin</w:t>
      </w:r>
      <w:r>
        <w:rPr>
          <w:rFonts w:ascii="Times New Roman" w:hAnsi="Times New Roman" w:cs="Times New Roman"/>
          <w:sz w:val="24"/>
          <w:szCs w:val="24"/>
        </w:rPr>
        <w:t>g studies in litchi and related fruit crops have demonstrated that developmental transitions are accompanied by coordinated regulation of hormone biosynthesis genes, receptors, transporters and downstream signaling components, highlighting the complexity o</w:t>
      </w:r>
      <w:r>
        <w:rPr>
          <w:rFonts w:ascii="Times New Roman" w:hAnsi="Times New Roman" w:cs="Times New Roman"/>
          <w:sz w:val="24"/>
          <w:szCs w:val="24"/>
        </w:rPr>
        <w:t>f integrated hormonal control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et al., 2025; Li et al., 2020).</w:t>
      </w:r>
    </w:p>
    <w:p w14:paraId="1CD899EE" w14:textId="77777777" w:rsidR="00501A8A" w:rsidRDefault="00501A8A">
      <w:pPr>
        <w:jc w:val="both"/>
        <w:rPr>
          <w:rFonts w:ascii="Times New Roman" w:hAnsi="Times New Roman" w:cs="Times New Roman"/>
          <w:b/>
          <w:bCs/>
          <w:sz w:val="24"/>
          <w:szCs w:val="24"/>
        </w:rPr>
      </w:pPr>
    </w:p>
    <w:p w14:paraId="3C9610E9" w14:textId="77777777" w:rsidR="00501A8A" w:rsidRDefault="00352FB8">
      <w:pPr>
        <w:jc w:val="both"/>
        <w:rPr>
          <w:rFonts w:ascii="Times New Roman" w:hAnsi="Times New Roman" w:cs="Times New Roman"/>
          <w:b/>
          <w:bCs/>
          <w:sz w:val="24"/>
          <w:szCs w:val="24"/>
        </w:rPr>
      </w:pPr>
      <w:r>
        <w:rPr>
          <w:rFonts w:ascii="Times New Roman" w:hAnsi="Times New Roman" w:cs="Times New Roman"/>
          <w:b/>
          <w:bCs/>
          <w:sz w:val="24"/>
          <w:szCs w:val="24"/>
        </w:rPr>
        <w:t>5.1 Auxin–Ethylene Antagonism in the Control of Fruit Abscission</w:t>
      </w:r>
    </w:p>
    <w:p w14:paraId="64137F21" w14:textId="77777777" w:rsidR="00501A8A" w:rsidRDefault="00501A8A">
      <w:pPr>
        <w:jc w:val="both"/>
        <w:rPr>
          <w:rFonts w:ascii="Times New Roman" w:hAnsi="Times New Roman" w:cs="Times New Roman"/>
          <w:sz w:val="24"/>
          <w:szCs w:val="24"/>
        </w:rPr>
      </w:pPr>
    </w:p>
    <w:p w14:paraId="5B00EF93"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One of the most critical hormonal interactions in litchi is the antagonistic relationship between auxin and ethylene in reg</w:t>
      </w:r>
      <w:r>
        <w:rPr>
          <w:rFonts w:ascii="Times New Roman" w:hAnsi="Times New Roman" w:cs="Times New Roman"/>
          <w:sz w:val="24"/>
          <w:szCs w:val="24"/>
        </w:rPr>
        <w:t xml:space="preserve">ulating fruitlet abscission. Auxin transported basipetally from developing seeds and pericarp maintains the integrity of the abscission zone by suppressing ethylene sensitivity and inhibiting the expression of cell wall hydrolases such as cellulases and </w:t>
      </w:r>
      <w:proofErr w:type="spellStart"/>
      <w:r>
        <w:rPr>
          <w:rFonts w:ascii="Times New Roman" w:hAnsi="Times New Roman" w:cs="Times New Roman"/>
          <w:sz w:val="24"/>
          <w:szCs w:val="24"/>
        </w:rPr>
        <w:t>po</w:t>
      </w:r>
      <w:r>
        <w:rPr>
          <w:rFonts w:ascii="Times New Roman" w:hAnsi="Times New Roman" w:cs="Times New Roman"/>
          <w:sz w:val="24"/>
          <w:szCs w:val="24"/>
        </w:rPr>
        <w:t>lygalacturonases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Addicott</w:t>
      </w:r>
      <w:proofErr w:type="spellEnd"/>
      <w:r>
        <w:rPr>
          <w:rFonts w:ascii="Times New Roman" w:hAnsi="Times New Roman" w:cs="Times New Roman"/>
          <w:sz w:val="24"/>
          <w:szCs w:val="24"/>
        </w:rPr>
        <w:t>, 1982; Taylor and Whitelaw, 2001). When auxin levels decline due to embryo abortion, carbohydrate limitation or environmental stress, the abscission zone becomes highly sensitive to ethylene. Elevated ethylene biosynthesis and si</w:t>
      </w:r>
      <w:r>
        <w:rPr>
          <w:rFonts w:ascii="Times New Roman" w:hAnsi="Times New Roman" w:cs="Times New Roman"/>
          <w:sz w:val="24"/>
          <w:szCs w:val="24"/>
        </w:rPr>
        <w:t>gnaling then activate abscission-related genes, leading to middle lamella dissolution and fruit drop (Yuan and Huang, 2012; Wang et al., 2017). In litchi, exogenous application of auxins such as NAA significantly reduces fruit drop by counteracting ethylen</w:t>
      </w:r>
      <w:r>
        <w:rPr>
          <w:rFonts w:ascii="Times New Roman" w:hAnsi="Times New Roman" w:cs="Times New Roman"/>
          <w:sz w:val="24"/>
          <w:szCs w:val="24"/>
        </w:rPr>
        <w:t>e action, while ethylene-releasing compounds accelerate abscission (Yuan and Huang, 2012). Transcriptomic analyses of litchi fruitlets undergoing abscission have revealed coordinated down-regulation of auxin transporters (PINs, AUX/LAX) and up-regulation o</w:t>
      </w:r>
      <w:r>
        <w:rPr>
          <w:rFonts w:ascii="Times New Roman" w:hAnsi="Times New Roman" w:cs="Times New Roman"/>
          <w:sz w:val="24"/>
          <w:szCs w:val="24"/>
        </w:rPr>
        <w:t xml:space="preserve">f ethylene biosynthetic genes (ACS, ACO) and ethylene response factors </w:t>
      </w:r>
      <w:r>
        <w:rPr>
          <w:rFonts w:ascii="Times New Roman" w:hAnsi="Times New Roman" w:cs="Times New Roman"/>
          <w:sz w:val="24"/>
          <w:szCs w:val="24"/>
        </w:rPr>
        <w:lastRenderedPageBreak/>
        <w:t>(ERFs), confirming the central role of auxin–ethylene antagonism in fruit retention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et al., 2025).</w:t>
      </w:r>
    </w:p>
    <w:p w14:paraId="4DF3CB65" w14:textId="77777777" w:rsidR="00501A8A" w:rsidRDefault="00501A8A">
      <w:pPr>
        <w:jc w:val="both"/>
        <w:rPr>
          <w:rFonts w:ascii="Times New Roman" w:hAnsi="Times New Roman" w:cs="Times New Roman"/>
          <w:sz w:val="24"/>
          <w:szCs w:val="24"/>
        </w:rPr>
      </w:pPr>
    </w:p>
    <w:p w14:paraId="1CCEB83C" w14:textId="77777777" w:rsidR="00501A8A" w:rsidRDefault="00352FB8">
      <w:pPr>
        <w:jc w:val="both"/>
        <w:rPr>
          <w:rFonts w:ascii="Times New Roman" w:hAnsi="Times New Roman" w:cs="Times New Roman"/>
          <w:b/>
          <w:bCs/>
          <w:sz w:val="24"/>
          <w:szCs w:val="24"/>
        </w:rPr>
      </w:pPr>
      <w:r>
        <w:rPr>
          <w:rFonts w:ascii="Times New Roman" w:hAnsi="Times New Roman" w:cs="Times New Roman"/>
          <w:b/>
          <w:bCs/>
          <w:sz w:val="24"/>
          <w:szCs w:val="24"/>
        </w:rPr>
        <w:t>5.2 ABA–Sugar Synergy in the Regulation of Ripening and Color Development</w:t>
      </w:r>
    </w:p>
    <w:p w14:paraId="417EA7C5" w14:textId="77777777" w:rsidR="00501A8A" w:rsidRDefault="00501A8A">
      <w:pPr>
        <w:jc w:val="both"/>
        <w:rPr>
          <w:rFonts w:ascii="Times New Roman" w:hAnsi="Times New Roman" w:cs="Times New Roman"/>
          <w:sz w:val="24"/>
          <w:szCs w:val="24"/>
        </w:rPr>
      </w:pPr>
    </w:p>
    <w:p w14:paraId="32F6FF78"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Ripeni</w:t>
      </w:r>
      <w:r>
        <w:rPr>
          <w:rFonts w:ascii="Times New Roman" w:hAnsi="Times New Roman" w:cs="Times New Roman"/>
          <w:sz w:val="24"/>
          <w:szCs w:val="24"/>
        </w:rPr>
        <w:t>ng and coloration in litchi are strongly regulated by synergistic interactions between ABA and sugar signaling pathways. During the onset of ripening, sucrose accumulation in the aril stimulates ABA biosynthesis by inducing 9-cis-epoxycarotenoid dioxygenas</w:t>
      </w:r>
      <w:r>
        <w:rPr>
          <w:rFonts w:ascii="Times New Roman" w:hAnsi="Times New Roman" w:cs="Times New Roman"/>
          <w:sz w:val="24"/>
          <w:szCs w:val="24"/>
        </w:rPr>
        <w:t>e (NCED) expression, leading to a rapid increase in ABA levels (Jia et al., 2013; Wang et al., 2017). ABA, in turn, enhances sugar transport and metabolism by up-regulating sucrose transporters (SUTs), hexose transporters (HTs) and invertases, thereby rein</w:t>
      </w:r>
      <w:r>
        <w:rPr>
          <w:rFonts w:ascii="Times New Roman" w:hAnsi="Times New Roman" w:cs="Times New Roman"/>
          <w:sz w:val="24"/>
          <w:szCs w:val="24"/>
        </w:rPr>
        <w:t xml:space="preserve">forcing sugar import into the fruit and creating a positive feedback loop that accelerates ripening (Li et al., 2020;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et al., 2025). This ABA–sugar synergy also promotes anthocyanin biosynthesis by activating key transcription factors and structural gen</w:t>
      </w:r>
      <w:r>
        <w:rPr>
          <w:rFonts w:ascii="Times New Roman" w:hAnsi="Times New Roman" w:cs="Times New Roman"/>
          <w:sz w:val="24"/>
          <w:szCs w:val="24"/>
        </w:rPr>
        <w:t>es such as CHS, DFR and UFGT, resulting in rapid pericarp reddening (Jia et al., 2013; Wang et al., 2017). Molecular studies in litchi have shown coordinated up-regulation of ABA receptors (PYR/PYL), SnRK2 kinases and sugar-responsive transcription factors</w:t>
      </w:r>
      <w:r>
        <w:rPr>
          <w:rFonts w:ascii="Times New Roman" w:hAnsi="Times New Roman" w:cs="Times New Roman"/>
          <w:sz w:val="24"/>
          <w:szCs w:val="24"/>
        </w:rPr>
        <w:t xml:space="preserve"> during ripening, demonstrating tight integration between hormonal and metabolic signaling networks (Li et al., 2020;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et al., 2025).</w:t>
      </w:r>
    </w:p>
    <w:p w14:paraId="48B35C56" w14:textId="77777777" w:rsidR="00501A8A" w:rsidRDefault="00501A8A">
      <w:pPr>
        <w:jc w:val="both"/>
        <w:rPr>
          <w:rFonts w:ascii="Times New Roman" w:hAnsi="Times New Roman" w:cs="Times New Roman"/>
          <w:sz w:val="24"/>
          <w:szCs w:val="24"/>
        </w:rPr>
      </w:pPr>
    </w:p>
    <w:p w14:paraId="23EA1C7F" w14:textId="77777777" w:rsidR="00501A8A" w:rsidRDefault="00352FB8">
      <w:pPr>
        <w:jc w:val="both"/>
        <w:rPr>
          <w:rFonts w:ascii="Times New Roman" w:hAnsi="Times New Roman" w:cs="Times New Roman"/>
          <w:b/>
          <w:bCs/>
          <w:sz w:val="24"/>
          <w:szCs w:val="24"/>
        </w:rPr>
      </w:pPr>
      <w:r>
        <w:rPr>
          <w:rFonts w:ascii="Times New Roman" w:hAnsi="Times New Roman" w:cs="Times New Roman"/>
          <w:b/>
          <w:bCs/>
          <w:sz w:val="24"/>
          <w:szCs w:val="24"/>
        </w:rPr>
        <w:t>5.3 Auxin–GA–CK Cooperation in Early Fruit Growth</w:t>
      </w:r>
    </w:p>
    <w:p w14:paraId="6753F207" w14:textId="77777777" w:rsidR="00501A8A" w:rsidRDefault="00501A8A">
      <w:pPr>
        <w:jc w:val="both"/>
        <w:rPr>
          <w:rFonts w:ascii="Times New Roman" w:hAnsi="Times New Roman" w:cs="Times New Roman"/>
          <w:sz w:val="24"/>
          <w:szCs w:val="24"/>
        </w:rPr>
      </w:pPr>
    </w:p>
    <w:p w14:paraId="1A78D1BC"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Early fruit development in litchi is primarily driven by the coopera</w:t>
      </w:r>
      <w:r>
        <w:rPr>
          <w:rFonts w:ascii="Times New Roman" w:hAnsi="Times New Roman" w:cs="Times New Roman"/>
          <w:sz w:val="24"/>
          <w:szCs w:val="24"/>
        </w:rPr>
        <w:t xml:space="preserve">tive action of auxins, gibberellins and </w:t>
      </w:r>
      <w:proofErr w:type="spellStart"/>
      <w:r>
        <w:rPr>
          <w:rFonts w:ascii="Times New Roman" w:hAnsi="Times New Roman" w:cs="Times New Roman"/>
          <w:sz w:val="24"/>
          <w:szCs w:val="24"/>
        </w:rPr>
        <w:t>cytokinins</w:t>
      </w:r>
      <w:proofErr w:type="spellEnd"/>
      <w:r>
        <w:rPr>
          <w:rFonts w:ascii="Times New Roman" w:hAnsi="Times New Roman" w:cs="Times New Roman"/>
          <w:sz w:val="24"/>
          <w:szCs w:val="24"/>
        </w:rPr>
        <w:t>, which together regulate cell division, cell expansion and vascular differentiation. Following fertilization, auxins produced by developing embryos stimulate GA biosynthesis, which promotes rapid cell elon</w:t>
      </w:r>
      <w:r>
        <w:rPr>
          <w:rFonts w:ascii="Times New Roman" w:hAnsi="Times New Roman" w:cs="Times New Roman"/>
          <w:sz w:val="24"/>
          <w:szCs w:val="24"/>
        </w:rPr>
        <w:t xml:space="preserve">gation and pericarp expansion (Davies, 2010; Wang et al., 2017). </w:t>
      </w:r>
      <w:proofErr w:type="spellStart"/>
      <w:r>
        <w:rPr>
          <w:rFonts w:ascii="Times New Roman" w:hAnsi="Times New Roman" w:cs="Times New Roman"/>
          <w:sz w:val="24"/>
          <w:szCs w:val="24"/>
        </w:rPr>
        <w:t>Cytokinins</w:t>
      </w:r>
      <w:proofErr w:type="spellEnd"/>
      <w:r>
        <w:rPr>
          <w:rFonts w:ascii="Times New Roman" w:hAnsi="Times New Roman" w:cs="Times New Roman"/>
          <w:sz w:val="24"/>
          <w:szCs w:val="24"/>
        </w:rPr>
        <w:t xml:space="preserve"> further enhance cell division in the early stages by activating cyclins and cyclin-dependent kinases, thereby increasing sink strength and supporting sustained fruit growth (Menzel</w:t>
      </w:r>
      <w:r>
        <w:rPr>
          <w:rFonts w:ascii="Times New Roman" w:hAnsi="Times New Roman" w:cs="Times New Roman"/>
          <w:sz w:val="24"/>
          <w:szCs w:val="24"/>
        </w:rPr>
        <w:t xml:space="preserve"> and Waite, 2005; Davies, 2010). The synergistic interaction among auxin, GA and CK establishes a strong hormonal gradient that ensures successful fruit set and prevents early abscission. Transcriptome profiling of developing litchi fruits has revealed sim</w:t>
      </w:r>
      <w:r>
        <w:rPr>
          <w:rFonts w:ascii="Times New Roman" w:hAnsi="Times New Roman" w:cs="Times New Roman"/>
          <w:sz w:val="24"/>
          <w:szCs w:val="24"/>
        </w:rPr>
        <w:t>ultaneous induction of auxin-responsive genes (ARFs, AUX/IAAs), GA biosynthetic enzymes (GA20ox, GA3ox) and cytokinin signaling components (HKs, ARR genes), highlighting the coordinated regulation of these growth-promoting hormones (Li et al., 2020; Wang e</w:t>
      </w:r>
      <w:r>
        <w:rPr>
          <w:rFonts w:ascii="Times New Roman" w:hAnsi="Times New Roman" w:cs="Times New Roman"/>
          <w:sz w:val="24"/>
          <w:szCs w:val="24"/>
        </w:rPr>
        <w:t>t al., 2017).</w:t>
      </w:r>
    </w:p>
    <w:p w14:paraId="2812CEF3" w14:textId="77777777" w:rsidR="00501A8A" w:rsidRDefault="00501A8A">
      <w:pPr>
        <w:jc w:val="both"/>
        <w:rPr>
          <w:rFonts w:ascii="Times New Roman" w:hAnsi="Times New Roman" w:cs="Times New Roman"/>
          <w:sz w:val="24"/>
          <w:szCs w:val="24"/>
        </w:rPr>
      </w:pPr>
    </w:p>
    <w:p w14:paraId="7499F5D9" w14:textId="77777777" w:rsidR="00501A8A" w:rsidRDefault="00352FB8">
      <w:pPr>
        <w:jc w:val="both"/>
        <w:rPr>
          <w:rFonts w:ascii="Times New Roman" w:hAnsi="Times New Roman" w:cs="Times New Roman"/>
          <w:b/>
          <w:bCs/>
          <w:sz w:val="24"/>
          <w:szCs w:val="24"/>
        </w:rPr>
      </w:pPr>
      <w:r>
        <w:rPr>
          <w:rFonts w:ascii="Times New Roman" w:hAnsi="Times New Roman" w:cs="Times New Roman"/>
          <w:b/>
          <w:bCs/>
          <w:sz w:val="24"/>
          <w:szCs w:val="24"/>
        </w:rPr>
        <w:t>5.4 ABA–Ethylene Interaction in Senescence and Stress-Induced Fruit Drop</w:t>
      </w:r>
    </w:p>
    <w:p w14:paraId="5179812A" w14:textId="77777777" w:rsidR="00501A8A" w:rsidRDefault="00501A8A">
      <w:pPr>
        <w:jc w:val="both"/>
        <w:rPr>
          <w:rFonts w:ascii="Times New Roman" w:hAnsi="Times New Roman" w:cs="Times New Roman"/>
          <w:sz w:val="24"/>
          <w:szCs w:val="24"/>
        </w:rPr>
      </w:pPr>
    </w:p>
    <w:p w14:paraId="3D5D017F"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ABA and ethylene act synergistically to promote senescence and stress-induced fruit abscission in litchi. Under drought, heat or carbohydrate stress, ABA accumulates r</w:t>
      </w:r>
      <w:r>
        <w:rPr>
          <w:rFonts w:ascii="Times New Roman" w:hAnsi="Times New Roman" w:cs="Times New Roman"/>
          <w:sz w:val="24"/>
          <w:szCs w:val="24"/>
        </w:rPr>
        <w:t>apidly and enhances ethylene biosynthesis by inducing ACS and ACO expression (</w:t>
      </w:r>
      <w:proofErr w:type="spellStart"/>
      <w:r>
        <w:rPr>
          <w:rFonts w:ascii="Times New Roman" w:hAnsi="Times New Roman" w:cs="Times New Roman"/>
          <w:sz w:val="24"/>
          <w:szCs w:val="24"/>
        </w:rPr>
        <w:t>Addicott</w:t>
      </w:r>
      <w:proofErr w:type="spellEnd"/>
      <w:r>
        <w:rPr>
          <w:rFonts w:ascii="Times New Roman" w:hAnsi="Times New Roman" w:cs="Times New Roman"/>
          <w:sz w:val="24"/>
          <w:szCs w:val="24"/>
        </w:rPr>
        <w:t>, 1982; Yuan and Huang, 2012). ABA also increases tissue sensitivity to ethylene by modulating ethylene receptor abundance and downstream signaling components, thereby ac</w:t>
      </w:r>
      <w:r>
        <w:rPr>
          <w:rFonts w:ascii="Times New Roman" w:hAnsi="Times New Roman" w:cs="Times New Roman"/>
          <w:sz w:val="24"/>
          <w:szCs w:val="24"/>
        </w:rPr>
        <w:t>celerating senescence-associated processes such as chlorophyll degradation, membrane lipid peroxidation and cell wall disassembly (</w:t>
      </w:r>
      <w:proofErr w:type="spellStart"/>
      <w:r>
        <w:rPr>
          <w:rFonts w:ascii="Times New Roman" w:hAnsi="Times New Roman" w:cs="Times New Roman"/>
          <w:sz w:val="24"/>
          <w:szCs w:val="24"/>
        </w:rPr>
        <w:t>Vlot</w:t>
      </w:r>
      <w:proofErr w:type="spellEnd"/>
      <w:r>
        <w:rPr>
          <w:rFonts w:ascii="Times New Roman" w:hAnsi="Times New Roman" w:cs="Times New Roman"/>
          <w:sz w:val="24"/>
          <w:szCs w:val="24"/>
        </w:rPr>
        <w:t xml:space="preserve"> et al., 2009; Wang et al., 2017). The ABA/IAA ratio has been identified as a critical determinant of fruit retention ver</w:t>
      </w:r>
      <w:r>
        <w:rPr>
          <w:rFonts w:ascii="Times New Roman" w:hAnsi="Times New Roman" w:cs="Times New Roman"/>
          <w:sz w:val="24"/>
          <w:szCs w:val="24"/>
        </w:rPr>
        <w:t xml:space="preserve">sus shedding in litchi, with high ABA and low auxin levels favoring abscission (Yuan and Huang, 2012). Recent transcriptomic studies have demonstrated coordinated activation of ABA biosynthetic genes (NCEDs), </w:t>
      </w:r>
      <w:r>
        <w:rPr>
          <w:rFonts w:ascii="Times New Roman" w:hAnsi="Times New Roman" w:cs="Times New Roman"/>
          <w:sz w:val="24"/>
          <w:szCs w:val="24"/>
        </w:rPr>
        <w:lastRenderedPageBreak/>
        <w:t>ethylene signaling genes (ETRs, EIN2, ERFs) and</w:t>
      </w:r>
      <w:r>
        <w:rPr>
          <w:rFonts w:ascii="Times New Roman" w:hAnsi="Times New Roman" w:cs="Times New Roman"/>
          <w:sz w:val="24"/>
          <w:szCs w:val="24"/>
        </w:rPr>
        <w:t xml:space="preserve"> abscission-related hydrolases during massive fruit drop, underscoring the integrative role of ABA–ethylene crosstalk in regulating fruit fate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et al., 2025).</w:t>
      </w:r>
    </w:p>
    <w:p w14:paraId="340F4BCA" w14:textId="77777777" w:rsidR="00501A8A" w:rsidRDefault="00501A8A">
      <w:pPr>
        <w:jc w:val="both"/>
        <w:rPr>
          <w:rFonts w:ascii="Times New Roman" w:hAnsi="Times New Roman" w:cs="Times New Roman"/>
          <w:sz w:val="24"/>
          <w:szCs w:val="24"/>
        </w:rPr>
      </w:pPr>
    </w:p>
    <w:p w14:paraId="49DB5861" w14:textId="77777777" w:rsidR="00501A8A" w:rsidRDefault="00352FB8">
      <w:pPr>
        <w:jc w:val="both"/>
        <w:rPr>
          <w:rFonts w:ascii="Times New Roman" w:hAnsi="Times New Roman" w:cs="Times New Roman"/>
          <w:b/>
          <w:bCs/>
          <w:sz w:val="24"/>
          <w:szCs w:val="24"/>
        </w:rPr>
      </w:pPr>
      <w:r>
        <w:rPr>
          <w:rFonts w:ascii="Times New Roman" w:hAnsi="Times New Roman" w:cs="Times New Roman"/>
          <w:b/>
          <w:bCs/>
          <w:sz w:val="24"/>
          <w:szCs w:val="24"/>
        </w:rPr>
        <w:t>5.5 Transcriptomic Evidence for Integrated Hormonal Regulation</w:t>
      </w:r>
    </w:p>
    <w:p w14:paraId="7EDA4C76" w14:textId="77777777" w:rsidR="00501A8A" w:rsidRDefault="00501A8A">
      <w:pPr>
        <w:jc w:val="both"/>
        <w:rPr>
          <w:rFonts w:ascii="Times New Roman" w:hAnsi="Times New Roman" w:cs="Times New Roman"/>
          <w:sz w:val="24"/>
          <w:szCs w:val="24"/>
        </w:rPr>
      </w:pPr>
    </w:p>
    <w:p w14:paraId="17B45929"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 xml:space="preserve">High-throughput </w:t>
      </w:r>
      <w:r>
        <w:rPr>
          <w:rFonts w:ascii="Times New Roman" w:hAnsi="Times New Roman" w:cs="Times New Roman"/>
          <w:sz w:val="24"/>
          <w:szCs w:val="24"/>
        </w:rPr>
        <w:t>transcriptomic analyses have provided compelling evidence for integrated hormonal regulation during litchi fruit development. Comparative RNA-seq studies across developmental stages and abscission events have revealed stage-specific co-expression of hormon</w:t>
      </w:r>
      <w:r>
        <w:rPr>
          <w:rFonts w:ascii="Times New Roman" w:hAnsi="Times New Roman" w:cs="Times New Roman"/>
          <w:sz w:val="24"/>
          <w:szCs w:val="24"/>
        </w:rPr>
        <w:t xml:space="preserve">e biosynthesis genes, receptors, transporters and transcription factors (Li et al., 2020;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et al., 2025).</w:t>
      </w:r>
    </w:p>
    <w:p w14:paraId="7CCD2AF8" w14:textId="77777777" w:rsidR="00501A8A" w:rsidRDefault="00501A8A">
      <w:pPr>
        <w:jc w:val="both"/>
        <w:rPr>
          <w:rFonts w:ascii="Times New Roman" w:hAnsi="Times New Roman" w:cs="Times New Roman"/>
          <w:sz w:val="24"/>
          <w:szCs w:val="24"/>
        </w:rPr>
      </w:pPr>
    </w:p>
    <w:p w14:paraId="65F66B52"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Key regulatory nodes include:</w:t>
      </w:r>
    </w:p>
    <w:p w14:paraId="3980131D" w14:textId="77777777" w:rsidR="00501A8A" w:rsidRDefault="00501A8A">
      <w:pPr>
        <w:jc w:val="both"/>
        <w:rPr>
          <w:rFonts w:ascii="Times New Roman" w:hAnsi="Times New Roman" w:cs="Times New Roman"/>
          <w:sz w:val="24"/>
          <w:szCs w:val="24"/>
        </w:rPr>
      </w:pPr>
    </w:p>
    <w:p w14:paraId="016A0FB6"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Coordinated induction of auxin, GA and CK signaling genes during early fruit growth.</w:t>
      </w:r>
    </w:p>
    <w:p w14:paraId="5CE97A3A" w14:textId="77777777" w:rsidR="00501A8A" w:rsidRDefault="00501A8A">
      <w:pPr>
        <w:jc w:val="both"/>
        <w:rPr>
          <w:rFonts w:ascii="Times New Roman" w:hAnsi="Times New Roman" w:cs="Times New Roman"/>
          <w:sz w:val="24"/>
          <w:szCs w:val="24"/>
        </w:rPr>
      </w:pPr>
    </w:p>
    <w:p w14:paraId="0402FD5C"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Activation of ABA biosynthesis</w:t>
      </w:r>
      <w:r>
        <w:rPr>
          <w:rFonts w:ascii="Times New Roman" w:hAnsi="Times New Roman" w:cs="Times New Roman"/>
          <w:sz w:val="24"/>
          <w:szCs w:val="24"/>
        </w:rPr>
        <w:t xml:space="preserve"> and sugar signaling components at the onset of ripening.</w:t>
      </w:r>
    </w:p>
    <w:p w14:paraId="01BE5BC9" w14:textId="77777777" w:rsidR="00501A8A" w:rsidRDefault="00501A8A">
      <w:pPr>
        <w:jc w:val="both"/>
        <w:rPr>
          <w:rFonts w:ascii="Times New Roman" w:hAnsi="Times New Roman" w:cs="Times New Roman"/>
          <w:sz w:val="24"/>
          <w:szCs w:val="24"/>
        </w:rPr>
      </w:pPr>
    </w:p>
    <w:p w14:paraId="7ED3EBAF"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 xml:space="preserve">Up-regulation of ethylene, </w:t>
      </w:r>
      <w:proofErr w:type="spellStart"/>
      <w:r>
        <w:rPr>
          <w:rFonts w:ascii="Times New Roman" w:hAnsi="Times New Roman" w:cs="Times New Roman"/>
          <w:sz w:val="24"/>
          <w:szCs w:val="24"/>
        </w:rPr>
        <w:t>jasmonate</w:t>
      </w:r>
      <w:proofErr w:type="spellEnd"/>
      <w:r>
        <w:rPr>
          <w:rFonts w:ascii="Times New Roman" w:hAnsi="Times New Roman" w:cs="Times New Roman"/>
          <w:sz w:val="24"/>
          <w:szCs w:val="24"/>
        </w:rPr>
        <w:t xml:space="preserve"> and ABA pathways during stress-induced abscission.</w:t>
      </w:r>
    </w:p>
    <w:p w14:paraId="2305853A" w14:textId="77777777" w:rsidR="00501A8A" w:rsidRDefault="00501A8A">
      <w:pPr>
        <w:jc w:val="both"/>
        <w:rPr>
          <w:rFonts w:ascii="Times New Roman" w:hAnsi="Times New Roman" w:cs="Times New Roman"/>
          <w:sz w:val="24"/>
          <w:szCs w:val="24"/>
        </w:rPr>
      </w:pPr>
    </w:p>
    <w:p w14:paraId="25D4B4CC" w14:textId="77777777" w:rsidR="00501A8A" w:rsidRDefault="00352FB8">
      <w:pPr>
        <w:jc w:val="both"/>
        <w:rPr>
          <w:rFonts w:ascii="Times New Roman" w:hAnsi="Times New Roman" w:cs="Times New Roman"/>
          <w:sz w:val="24"/>
          <w:szCs w:val="24"/>
        </w:rPr>
      </w:pPr>
      <w:r>
        <w:rPr>
          <w:rFonts w:ascii="Times New Roman" w:hAnsi="Times New Roman" w:cs="Times New Roman"/>
          <w:sz w:val="24"/>
          <w:szCs w:val="24"/>
        </w:rPr>
        <w:t>These findings indicate that litchi fruit development is governed by a multilayered hormonal network in whic</w:t>
      </w:r>
      <w:r>
        <w:rPr>
          <w:rFonts w:ascii="Times New Roman" w:hAnsi="Times New Roman" w:cs="Times New Roman"/>
          <w:sz w:val="24"/>
          <w:szCs w:val="24"/>
        </w:rPr>
        <w:t xml:space="preserve">h signal integration occurs at both transcriptional and post-transcriptional levels, enabling precise developmental timing and adaptive responses to environmental cues (Wang et al., 2017; </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et al., 2025).</w:t>
      </w:r>
    </w:p>
    <w:p w14:paraId="6C28CED2" w14:textId="77777777" w:rsidR="00501A8A" w:rsidRDefault="00352FB8">
      <w:pPr>
        <w:pStyle w:val="Heading2"/>
        <w:jc w:val="both"/>
        <w:rPr>
          <w:rFonts w:ascii="Times New Roman" w:hAnsi="Times New Roman" w:hint="default"/>
          <w:sz w:val="24"/>
          <w:szCs w:val="24"/>
        </w:rPr>
      </w:pPr>
      <w:r>
        <w:rPr>
          <w:rStyle w:val="Strong"/>
          <w:rFonts w:ascii="Times New Roman" w:hAnsi="Times New Roman" w:hint="default"/>
          <w:b/>
          <w:bCs/>
          <w:sz w:val="24"/>
          <w:szCs w:val="24"/>
        </w:rPr>
        <w:t>6. Practical Applications of Hormonal Regulation i</w:t>
      </w:r>
      <w:r>
        <w:rPr>
          <w:rStyle w:val="Strong"/>
          <w:rFonts w:ascii="Times New Roman" w:hAnsi="Times New Roman" w:hint="default"/>
          <w:b/>
          <w:bCs/>
          <w:sz w:val="24"/>
          <w:szCs w:val="24"/>
        </w:rPr>
        <w:t>n Litchi Cultivation</w:t>
      </w:r>
    </w:p>
    <w:p w14:paraId="749350E3" w14:textId="77777777" w:rsidR="00501A8A" w:rsidRDefault="00352FB8">
      <w:pPr>
        <w:pStyle w:val="NormalWeb"/>
        <w:jc w:val="both"/>
      </w:pPr>
      <w:r>
        <w:t>The manipulation of endogenous hormone balance through the application of plant growth regulators (PGRs) constitutes an important component of modern litchi orchard management. Exogenous hormone treatments are widely employed to improv</w:t>
      </w:r>
      <w:r>
        <w:t xml:space="preserve">e fruit set, reduce excessive fruit drop, enhance fruit size, promote uniform coloration and extend postharvest shelf life. However, the effectiveness of such treatments depends critically on cultivar, developmental stage, environmental conditions, dosage </w:t>
      </w:r>
      <w:r>
        <w:t>and timing of application (Menzel and Waite, 2005; Wang et al., 2017).</w:t>
      </w:r>
    </w:p>
    <w:p w14:paraId="52930562" w14:textId="77777777" w:rsidR="00501A8A" w:rsidRDefault="00352FB8">
      <w:pPr>
        <w:pStyle w:val="Heading3"/>
        <w:jc w:val="both"/>
        <w:rPr>
          <w:rFonts w:ascii="Times New Roman" w:hAnsi="Times New Roman" w:hint="default"/>
          <w:sz w:val="24"/>
          <w:szCs w:val="24"/>
        </w:rPr>
      </w:pPr>
      <w:r>
        <w:rPr>
          <w:rStyle w:val="Strong"/>
          <w:rFonts w:ascii="Times New Roman" w:hAnsi="Times New Roman" w:hint="default"/>
          <w:b/>
          <w:bCs/>
          <w:sz w:val="24"/>
          <w:szCs w:val="24"/>
        </w:rPr>
        <w:t>6.1 Auxin Analogues and Control of Fruit Drop</w:t>
      </w:r>
    </w:p>
    <w:p w14:paraId="6D42503F" w14:textId="77777777" w:rsidR="00501A8A" w:rsidRDefault="00352FB8">
      <w:pPr>
        <w:pStyle w:val="NormalWeb"/>
        <w:jc w:val="both"/>
      </w:pPr>
      <w:r>
        <w:t>Synthetic auxins such as naphthalene acetic acid (NAA) and 2,4-dichlorophenoxyacetic acid (2,4-D) are commonly applied during early fruit d</w:t>
      </w:r>
      <w:r>
        <w:t>evelopment to suppress excessive fruit abscission. NAA sprays applied shortly after fruit set significantly reduce early fruitlet drop by maintaining auxin flux through the pedicel and decreasing the sensitivity of the abscission zone to ethylene (Yuan and</w:t>
      </w:r>
      <w:r>
        <w:t xml:space="preserve"> Huang, 2012). Several field studies have demonstrated that NAA treatments increase final fruit retention and yield in commercial litchi orchards, particularly under carbohydrate-limited conditions (Menzel and Waite, 2005; Singh and Suryanarayana, 2010).</w:t>
      </w:r>
    </w:p>
    <w:p w14:paraId="240D8450" w14:textId="77777777" w:rsidR="00501A8A" w:rsidRDefault="00352FB8">
      <w:pPr>
        <w:pStyle w:val="Heading3"/>
        <w:jc w:val="both"/>
        <w:rPr>
          <w:rFonts w:ascii="Times New Roman" w:hAnsi="Times New Roman" w:hint="default"/>
          <w:sz w:val="24"/>
          <w:szCs w:val="24"/>
        </w:rPr>
      </w:pPr>
      <w:r>
        <w:rPr>
          <w:rStyle w:val="Strong"/>
          <w:rFonts w:ascii="Times New Roman" w:hAnsi="Times New Roman" w:hint="default"/>
          <w:b/>
          <w:bCs/>
          <w:sz w:val="24"/>
          <w:szCs w:val="24"/>
        </w:rPr>
        <w:lastRenderedPageBreak/>
        <w:t>6</w:t>
      </w:r>
      <w:r>
        <w:rPr>
          <w:rStyle w:val="Strong"/>
          <w:rFonts w:ascii="Times New Roman" w:hAnsi="Times New Roman" w:hint="default"/>
          <w:b/>
          <w:bCs/>
          <w:sz w:val="24"/>
          <w:szCs w:val="24"/>
        </w:rPr>
        <w:t>.2 Gibberellins and Fruit Enlargement</w:t>
      </w:r>
    </w:p>
    <w:p w14:paraId="3599BB9E" w14:textId="77777777" w:rsidR="00501A8A" w:rsidRDefault="00352FB8">
      <w:pPr>
        <w:pStyle w:val="NormalWeb"/>
        <w:jc w:val="both"/>
      </w:pPr>
      <w:r>
        <w:t>Gibberellic acid (GA₃) is widely used to promote fruit enlargement and improve fruit shape. Application of GA₃ during the cell expansion phase enhances pericarp and aril growth by stimulating cell elongation and increa</w:t>
      </w:r>
      <w:r>
        <w:t>sing sink strength (Davies, 2010; Wang et al., 2017). Moderate GA₃ treatments have been reported to increase fruit size and reduce fruit cracking in some cultivars. However, excessive or late applications may delay pericarp coloration, reduce soluble sugar</w:t>
      </w:r>
      <w:r>
        <w:t xml:space="preserve"> accumulation and impair flavor development, indicating the necessity for precise dosage and timing optimization (Menzel and Waite, 2005; Singh et al., 2017).</w:t>
      </w:r>
    </w:p>
    <w:p w14:paraId="65BF6BF8" w14:textId="77777777" w:rsidR="00501A8A" w:rsidRDefault="00352FB8">
      <w:pPr>
        <w:pStyle w:val="Heading3"/>
        <w:jc w:val="both"/>
        <w:rPr>
          <w:rFonts w:ascii="Times New Roman" w:hAnsi="Times New Roman" w:hint="default"/>
          <w:sz w:val="24"/>
          <w:szCs w:val="24"/>
        </w:rPr>
      </w:pPr>
      <w:r>
        <w:rPr>
          <w:rStyle w:val="Strong"/>
          <w:rFonts w:ascii="Times New Roman" w:hAnsi="Times New Roman" w:hint="default"/>
          <w:b/>
          <w:bCs/>
          <w:sz w:val="24"/>
          <w:szCs w:val="24"/>
        </w:rPr>
        <w:t xml:space="preserve">6.3 </w:t>
      </w:r>
      <w:proofErr w:type="spellStart"/>
      <w:r>
        <w:rPr>
          <w:rStyle w:val="Strong"/>
          <w:rFonts w:ascii="Times New Roman" w:hAnsi="Times New Roman" w:hint="default"/>
          <w:b/>
          <w:bCs/>
          <w:sz w:val="24"/>
          <w:szCs w:val="24"/>
        </w:rPr>
        <w:t>Cytokinins</w:t>
      </w:r>
      <w:proofErr w:type="spellEnd"/>
      <w:r>
        <w:rPr>
          <w:rStyle w:val="Strong"/>
          <w:rFonts w:ascii="Times New Roman" w:hAnsi="Times New Roman" w:hint="default"/>
          <w:b/>
          <w:bCs/>
          <w:sz w:val="24"/>
          <w:szCs w:val="24"/>
        </w:rPr>
        <w:t xml:space="preserve"> and Improvement of Fruit Retention</w:t>
      </w:r>
    </w:p>
    <w:p w14:paraId="7B9E058C" w14:textId="77777777" w:rsidR="00501A8A" w:rsidRDefault="00352FB8">
      <w:pPr>
        <w:pStyle w:val="NormalWeb"/>
        <w:jc w:val="both"/>
      </w:pPr>
      <w:r>
        <w:t xml:space="preserve">Cytokinin analogues such as </w:t>
      </w:r>
      <w:proofErr w:type="spellStart"/>
      <w:r>
        <w:t>benzyladenine</w:t>
      </w:r>
      <w:proofErr w:type="spellEnd"/>
      <w:r>
        <w:t xml:space="preserve"> (BA) </w:t>
      </w:r>
      <w:r>
        <w:t xml:space="preserve">are used to enhance fruit retention and stimulate early fruit growth. BA treatments increase cell division activity, delay senescence and suppress ethylene biosynthesis, thereby reducing premature fruit drop (Menzel and Waite, 2005; Yuan and Huang, 2012). </w:t>
      </w:r>
      <w:r>
        <w:t>Field experiments have shown that BA application at the post-anthesis stage improves fruit set and increases average fruit weight. However, excessive CK application may lead to abnormal fruit shape and reduced uniformity, underscoring the importance of bal</w:t>
      </w:r>
      <w:r>
        <w:t>anced hormonal management (Wang et al., 2017).</w:t>
      </w:r>
    </w:p>
    <w:p w14:paraId="7847C0BF" w14:textId="77777777" w:rsidR="00501A8A" w:rsidRDefault="00352FB8">
      <w:pPr>
        <w:pStyle w:val="Heading3"/>
        <w:jc w:val="both"/>
        <w:rPr>
          <w:rFonts w:ascii="Times New Roman" w:hAnsi="Times New Roman" w:hint="default"/>
          <w:sz w:val="24"/>
          <w:szCs w:val="24"/>
        </w:rPr>
      </w:pPr>
      <w:r>
        <w:rPr>
          <w:rStyle w:val="Strong"/>
          <w:rFonts w:ascii="Times New Roman" w:hAnsi="Times New Roman" w:hint="default"/>
          <w:b/>
          <w:bCs/>
          <w:sz w:val="24"/>
          <w:szCs w:val="24"/>
        </w:rPr>
        <w:t>6.4 Ethylene Inhibitors and Postharvest Quality</w:t>
      </w:r>
    </w:p>
    <w:p w14:paraId="73BA4702" w14:textId="77777777" w:rsidR="00501A8A" w:rsidRDefault="00352FB8">
      <w:pPr>
        <w:pStyle w:val="NormalWeb"/>
        <w:jc w:val="both"/>
      </w:pPr>
      <w:r>
        <w:t>Ethylene inhibitors, particularly 1-methylcyclopropene (1-MCP), are extensively used to delay senescence and reduce pericarp browning during storage and transpor</w:t>
      </w:r>
      <w:r>
        <w:t>t. 1-MCP binds irreversibly to ethylene receptors, blocking ethylene perception and delaying membrane degradation, chlorophyll loss and browning reactions (Blankenship and Dole, 2003). In litchi, postharvest 1-MCP treatment significantly extends shelf life</w:t>
      </w:r>
      <w:r>
        <w:t>, maintains pericarp color and reduces decay incidence under cold storage (Jiang et al., 2001; Sivakumar and Korsten, 2006).</w:t>
      </w:r>
    </w:p>
    <w:p w14:paraId="4C432005" w14:textId="77777777" w:rsidR="00501A8A" w:rsidRDefault="00352FB8">
      <w:pPr>
        <w:pStyle w:val="Heading3"/>
        <w:jc w:val="both"/>
        <w:rPr>
          <w:rFonts w:ascii="Times New Roman" w:hAnsi="Times New Roman" w:hint="default"/>
          <w:sz w:val="24"/>
          <w:szCs w:val="24"/>
        </w:rPr>
      </w:pPr>
      <w:r>
        <w:rPr>
          <w:rStyle w:val="Strong"/>
          <w:rFonts w:ascii="Times New Roman" w:hAnsi="Times New Roman" w:hint="default"/>
          <w:b/>
          <w:bCs/>
          <w:sz w:val="24"/>
          <w:szCs w:val="24"/>
        </w:rPr>
        <w:t>6.5 ABA and Enhancement of Color Development</w:t>
      </w:r>
    </w:p>
    <w:p w14:paraId="4630493E" w14:textId="77777777" w:rsidR="00501A8A" w:rsidRDefault="00352FB8">
      <w:pPr>
        <w:pStyle w:val="NormalWeb"/>
        <w:jc w:val="both"/>
      </w:pPr>
      <w:r>
        <w:t>Exogenous ABA applications during the onset of ripening enhance anthocyanin accumulati</w:t>
      </w:r>
      <w:r>
        <w:t>on and accelerate pericarp coloration by inducing flavonoid biosynthetic genes (Jia et al., 2013; Wang et al., 2017). ABA sprays are particularly effective in promoting uniform red coloration in cultivars exhibiting delayed or uneven pigmentation. However,</w:t>
      </w:r>
      <w:r>
        <w:t xml:space="preserve"> excessive ABA may accelerate senescence and increase susceptibility to postharvest browning, emphasizing the need for optimized treatment protocols (Li et al., 2020). Collectively, these practical applications demonstrate the considerable potential of hor</w:t>
      </w:r>
      <w:r>
        <w:t>mone-based interventions in improving litchi productivity and fruit quality. Nevertheless, integrated management strategies combining hormonal treatments with proper nutrition, irrigation and canopy management are essential to achieve consistent and sustai</w:t>
      </w:r>
      <w:r>
        <w:t>nable benefits.</w:t>
      </w:r>
    </w:p>
    <w:p w14:paraId="457698CE" w14:textId="77777777" w:rsidR="00501A8A" w:rsidRDefault="00352FB8">
      <w:pPr>
        <w:pStyle w:val="Heading2"/>
        <w:jc w:val="both"/>
        <w:rPr>
          <w:rFonts w:ascii="Times New Roman" w:hAnsi="Times New Roman" w:hint="default"/>
          <w:sz w:val="24"/>
          <w:szCs w:val="24"/>
        </w:rPr>
      </w:pPr>
      <w:r>
        <w:rPr>
          <w:rStyle w:val="Strong"/>
          <w:rFonts w:ascii="Times New Roman" w:hAnsi="Times New Roman" w:hint="default"/>
          <w:b/>
          <w:bCs/>
          <w:sz w:val="24"/>
          <w:szCs w:val="24"/>
        </w:rPr>
        <w:t>7. Future Perspectives</w:t>
      </w:r>
    </w:p>
    <w:p w14:paraId="71D0E309" w14:textId="77777777" w:rsidR="00501A8A" w:rsidRDefault="00352FB8">
      <w:pPr>
        <w:pStyle w:val="NormalWeb"/>
        <w:jc w:val="both"/>
      </w:pPr>
      <w:r>
        <w:t xml:space="preserve">Despite significant progress in understanding hormonal regulation of litchi fruit development, several key research gaps remain. Future investigations should aim to </w:t>
      </w:r>
      <w:r>
        <w:lastRenderedPageBreak/>
        <w:t xml:space="preserve">integrate multi-omics approaches, including hormone </w:t>
      </w:r>
      <w:r>
        <w:t xml:space="preserve">profiling, transcriptomics, proteomics and metabolomics, to construct comprehensive regulatory networks governing fruit growth, abscission and ripening (Li et al., 2020; </w:t>
      </w:r>
      <w:proofErr w:type="spellStart"/>
      <w:r>
        <w:t>Su</w:t>
      </w:r>
      <w:proofErr w:type="spellEnd"/>
      <w:r>
        <w:t xml:space="preserve"> et al., 2025, Fig 1). Identification of key regulatory genes and transcription fact</w:t>
      </w:r>
      <w:r>
        <w:t>ors controlling hormone biosynthesis, transport and signaling will facilitate the development of hormone-efficient cultivars through molecular breeding and genome editing technologies. Such cultivars may exhibit enhanced fruit retention, improved stress to</w:t>
      </w:r>
      <w:r>
        <w:t>lerance and superior fruit quality (Wang et al., 2017, fig 1). In the context of global climate change, understanding the interactions between hormonal regulation and environmental stress factors such as heat, drought and altered photoperiod is increasingl</w:t>
      </w:r>
      <w:r>
        <w:t xml:space="preserve">y important. Climate–hormone interaction studies will provide valuable insights into the mechanisms underlying climate-induced fruit drop and quality deterioration (Yuan and Huang, 2012; </w:t>
      </w:r>
      <w:proofErr w:type="spellStart"/>
      <w:r>
        <w:t>Su</w:t>
      </w:r>
      <w:proofErr w:type="spellEnd"/>
      <w:r>
        <w:t xml:space="preserve"> et al., 2025). Furthermore, the development of eco-friendly bioreg</w:t>
      </w:r>
      <w:r>
        <w:t>ulators derived from natural compounds, microbial metabolites or plant extracts represents a promising direction for sustainable litchi production. Such bioregulators may offer safer alternatives to synthetic hormones while maintaining efficacy and environ</w:t>
      </w:r>
      <w:r>
        <w:t>mental compatibility (Davies, 2010; Singh et al., 2017).</w:t>
      </w:r>
    </w:p>
    <w:p w14:paraId="75A2C60E" w14:textId="77777777" w:rsidR="00501A8A" w:rsidRDefault="00352FB8">
      <w:pPr>
        <w:pStyle w:val="NormalWeb"/>
        <w:jc w:val="center"/>
      </w:pPr>
      <w:r>
        <w:rPr>
          <w:noProof/>
        </w:rPr>
        <w:drawing>
          <wp:inline distT="0" distB="0" distL="114300" distR="114300" wp14:anchorId="7160606C" wp14:editId="1960039A">
            <wp:extent cx="4518660" cy="3460750"/>
            <wp:effectExtent l="0" t="0" r="762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rcRect l="7536" t="49397" r="6667" b="6800"/>
                    <a:stretch>
                      <a:fillRect/>
                    </a:stretch>
                  </pic:blipFill>
                  <pic:spPr>
                    <a:xfrm>
                      <a:off x="0" y="0"/>
                      <a:ext cx="4518660" cy="3460750"/>
                    </a:xfrm>
                    <a:prstGeom prst="rect">
                      <a:avLst/>
                    </a:prstGeom>
                    <a:noFill/>
                    <a:ln>
                      <a:noFill/>
                    </a:ln>
                  </pic:spPr>
                </pic:pic>
              </a:graphicData>
            </a:graphic>
          </wp:inline>
        </w:drawing>
      </w:r>
    </w:p>
    <w:p w14:paraId="0094F59C" w14:textId="77777777" w:rsidR="00501A8A" w:rsidRDefault="00352FB8">
      <w:pPr>
        <w:pStyle w:val="NormalWeb"/>
        <w:jc w:val="center"/>
        <w:rPr>
          <w:b/>
          <w:bCs/>
        </w:rPr>
      </w:pPr>
      <w:r>
        <w:rPr>
          <w:b/>
          <w:bCs/>
        </w:rPr>
        <w:t>Fig 1. Practical application and future directions.</w:t>
      </w:r>
    </w:p>
    <w:p w14:paraId="6D9F1226" w14:textId="77777777" w:rsidR="00501A8A" w:rsidRDefault="00501A8A">
      <w:pPr>
        <w:pStyle w:val="Heading2"/>
        <w:jc w:val="both"/>
        <w:rPr>
          <w:rStyle w:val="Strong"/>
          <w:rFonts w:ascii="Times New Roman" w:hAnsi="Times New Roman" w:hint="default"/>
          <w:b/>
          <w:bCs/>
          <w:sz w:val="24"/>
          <w:szCs w:val="24"/>
        </w:rPr>
      </w:pPr>
    </w:p>
    <w:p w14:paraId="0A8829A8" w14:textId="77777777" w:rsidR="00501A8A" w:rsidRDefault="00352FB8">
      <w:pPr>
        <w:pStyle w:val="Heading2"/>
        <w:jc w:val="both"/>
        <w:rPr>
          <w:rFonts w:ascii="Times New Roman" w:hAnsi="Times New Roman" w:hint="default"/>
          <w:sz w:val="24"/>
          <w:szCs w:val="24"/>
        </w:rPr>
      </w:pPr>
      <w:r>
        <w:rPr>
          <w:rStyle w:val="Strong"/>
          <w:rFonts w:ascii="Times New Roman" w:hAnsi="Times New Roman" w:hint="default"/>
          <w:b/>
          <w:bCs/>
          <w:sz w:val="24"/>
          <w:szCs w:val="24"/>
        </w:rPr>
        <w:t>8. Conclusion</w:t>
      </w:r>
    </w:p>
    <w:p w14:paraId="24B2B5A0" w14:textId="77777777" w:rsidR="00501A8A" w:rsidRDefault="00352FB8">
      <w:pPr>
        <w:pStyle w:val="NormalWeb"/>
        <w:jc w:val="both"/>
        <w:rPr>
          <w:b/>
          <w:bCs/>
        </w:rPr>
      </w:pPr>
      <w:r>
        <w:t>Litchi fruit development is governed by a highly coordinated and dynamic network of phytohormonal interactions that regulate fruit</w:t>
      </w:r>
      <w:r>
        <w:t xml:space="preserve"> set, growth, maturation, abscission and postharvest physiology. Among these, ethylene and abscisic acid (ABA) play central yet distinct roles: ethylene primarily regulates fruit abscission, senescence and postharvest deterioration, whereas ABA acts as the</w:t>
      </w:r>
      <w:r>
        <w:t xml:space="preserve"> key regulator of ripening, </w:t>
      </w:r>
      <w:r>
        <w:lastRenderedPageBreak/>
        <w:t>anthocyanin accumulation and sugar metabolism in this non-climacteric fruit. The integration of hormonal signals through crosstalk mechanisms—such as auxin–ethylene antagonism, ABA–sugar synergy and ABA–ethylene interaction—ensu</w:t>
      </w:r>
      <w:r>
        <w:t xml:space="preserve">res precise developmental control and adaptive responses to environmental stresses. In addition, secondary hormones including </w:t>
      </w:r>
      <w:proofErr w:type="spellStart"/>
      <w:r>
        <w:t>jasmonates</w:t>
      </w:r>
      <w:proofErr w:type="spellEnd"/>
      <w:r>
        <w:t xml:space="preserve">, </w:t>
      </w:r>
      <w:proofErr w:type="spellStart"/>
      <w:r>
        <w:t>brassinosteroids</w:t>
      </w:r>
      <w:proofErr w:type="spellEnd"/>
      <w:r>
        <w:t xml:space="preserve"> and salicylic acid contribute to stress tolerance, defense responses and maintenance of fruit quality</w:t>
      </w:r>
      <w:r>
        <w:t>, highlighting the complexity of hormonal regulation in litchi. The application of plant growth regulators has demonstrated practical benefits in improving fruit retention, enhancing fruit size and coloration, and extending postharvest shelf life. However,</w:t>
      </w:r>
      <w:r>
        <w:t xml:space="preserve"> the effectiveness of these interventions depends on a precise understanding of hormone balance, timing and environmental interactions. Future research should focus on integrating multi-omics approaches to unravel the molecular basis of hormonal regulation</w:t>
      </w:r>
      <w:r>
        <w:t xml:space="preserve"> and identify key regulatory genes and signaling networks. Such knowledge will facilitate the development of improved cultivars and sustainable management practices tailored to changing climatic conditions. Ultimately, a deeper understanding of hormonal cr</w:t>
      </w:r>
      <w:r>
        <w:t>osstalk and its manipulation will play a pivotal role in enhancing productivity, fruit quality and commercial value of litchi.</w:t>
      </w:r>
    </w:p>
    <w:p w14:paraId="76EE7950" w14:textId="77777777" w:rsidR="00501A8A" w:rsidRDefault="00352FB8">
      <w:pPr>
        <w:pStyle w:val="NormalWeb"/>
        <w:rPr>
          <w:b/>
          <w:bCs/>
        </w:rPr>
      </w:pPr>
      <w:r>
        <w:rPr>
          <w:b/>
          <w:bCs/>
        </w:rPr>
        <w:t>References</w:t>
      </w:r>
    </w:p>
    <w:p w14:paraId="35B0E920" w14:textId="77777777" w:rsidR="00501A8A" w:rsidRDefault="00352FB8">
      <w:pPr>
        <w:pStyle w:val="NormalWeb"/>
      </w:pPr>
      <w:proofErr w:type="spellStart"/>
      <w:r>
        <w:t>Addicott</w:t>
      </w:r>
      <w:proofErr w:type="spellEnd"/>
      <w:r>
        <w:t xml:space="preserve">, Frederick T. 1982. </w:t>
      </w:r>
      <w:r>
        <w:rPr>
          <w:rStyle w:val="Emphasis"/>
        </w:rPr>
        <w:t>Abscission</w:t>
      </w:r>
      <w:r>
        <w:t>. Berkeley: University of California Press.</w:t>
      </w:r>
    </w:p>
    <w:p w14:paraId="5EEC3C3A" w14:textId="77777777" w:rsidR="00501A8A" w:rsidRDefault="00352FB8">
      <w:pPr>
        <w:pStyle w:val="NormalWeb"/>
      </w:pPr>
      <w:proofErr w:type="spellStart"/>
      <w:r>
        <w:t>Asghari</w:t>
      </w:r>
      <w:proofErr w:type="spellEnd"/>
      <w:r>
        <w:t xml:space="preserve">, </w:t>
      </w:r>
      <w:proofErr w:type="spellStart"/>
      <w:r>
        <w:t>Marjan</w:t>
      </w:r>
      <w:proofErr w:type="spellEnd"/>
      <w:r>
        <w:t xml:space="preserve">, and Mohammad S. </w:t>
      </w:r>
      <w:proofErr w:type="spellStart"/>
      <w:r>
        <w:t>Ag</w:t>
      </w:r>
      <w:r>
        <w:t>hdam</w:t>
      </w:r>
      <w:proofErr w:type="spellEnd"/>
      <w:r>
        <w:t xml:space="preserve">. 2010. “Impact of Salicylic Acid on Post-Harvest Physiology of Horticultural Crops.” </w:t>
      </w:r>
      <w:r>
        <w:rPr>
          <w:rStyle w:val="Emphasis"/>
        </w:rPr>
        <w:t>Trends in Food Science &amp; Technology</w:t>
      </w:r>
      <w:r>
        <w:t xml:space="preserve"> 21 (10): 502–509.</w:t>
      </w:r>
    </w:p>
    <w:p w14:paraId="27CF617A" w14:textId="77777777" w:rsidR="00501A8A" w:rsidRDefault="00352FB8">
      <w:pPr>
        <w:pStyle w:val="NormalWeb"/>
      </w:pPr>
      <w:r>
        <w:t xml:space="preserve">Blankenship, Scott M., and John M. Dole. 2003. “1-Methylcyclopropene: A Review.” </w:t>
      </w:r>
      <w:r>
        <w:rPr>
          <w:rStyle w:val="Emphasis"/>
        </w:rPr>
        <w:t>Postharvest Biology and Technol</w:t>
      </w:r>
      <w:r>
        <w:rPr>
          <w:rStyle w:val="Emphasis"/>
        </w:rPr>
        <w:t>ogy</w:t>
      </w:r>
      <w:r>
        <w:t xml:space="preserve"> 28 (1): 1–25.</w:t>
      </w:r>
    </w:p>
    <w:p w14:paraId="59DB4815" w14:textId="77777777" w:rsidR="00501A8A" w:rsidRDefault="00352FB8">
      <w:pPr>
        <w:pStyle w:val="NormalWeb"/>
      </w:pPr>
      <w:r>
        <w:t xml:space="preserve">Clouse, Steven D., and </w:t>
      </w:r>
      <w:proofErr w:type="spellStart"/>
      <w:r>
        <w:t>Jozef</w:t>
      </w:r>
      <w:proofErr w:type="spellEnd"/>
      <w:r>
        <w:t xml:space="preserve"> M. </w:t>
      </w:r>
      <w:proofErr w:type="spellStart"/>
      <w:r>
        <w:t>Sasse</w:t>
      </w:r>
      <w:proofErr w:type="spellEnd"/>
      <w:r>
        <w:t>. 1998. “</w:t>
      </w:r>
      <w:proofErr w:type="spellStart"/>
      <w:r>
        <w:t>Brassinosteroids</w:t>
      </w:r>
      <w:proofErr w:type="spellEnd"/>
      <w:r>
        <w:t xml:space="preserve">: Essential Regulators of Plant Growth and Development.” </w:t>
      </w:r>
      <w:r>
        <w:rPr>
          <w:rStyle w:val="Emphasis"/>
        </w:rPr>
        <w:t>Annual Review of Plant Biology</w:t>
      </w:r>
      <w:r>
        <w:t xml:space="preserve"> 49: 427–451.</w:t>
      </w:r>
    </w:p>
    <w:p w14:paraId="4C692166" w14:textId="77777777" w:rsidR="00501A8A" w:rsidRDefault="00352FB8">
      <w:pPr>
        <w:pStyle w:val="NormalWeb"/>
      </w:pPr>
      <w:r>
        <w:t xml:space="preserve">Cutler, Sean R., Pedro L. Rodriguez, Ruth R. Finkelstein, and Steven R. Abrams. 2010. “Abscisic Acid: Emergence of a Core Signaling Network.” </w:t>
      </w:r>
      <w:r>
        <w:rPr>
          <w:rStyle w:val="Emphasis"/>
        </w:rPr>
        <w:t>Annual Review of Plant Biology</w:t>
      </w:r>
      <w:r>
        <w:t xml:space="preserve"> 61: 651–679.</w:t>
      </w:r>
    </w:p>
    <w:p w14:paraId="783322BD" w14:textId="77777777" w:rsidR="00501A8A" w:rsidRDefault="00352FB8">
      <w:pPr>
        <w:pStyle w:val="NormalWeb"/>
      </w:pPr>
      <w:r>
        <w:t xml:space="preserve">Davies, Peter J., ed. 2010. </w:t>
      </w:r>
      <w:r>
        <w:rPr>
          <w:rStyle w:val="Emphasis"/>
        </w:rPr>
        <w:t>Plant Hormones: Biosynthesis, Signal Trans</w:t>
      </w:r>
      <w:r>
        <w:rPr>
          <w:rStyle w:val="Emphasis"/>
        </w:rPr>
        <w:t>duction, Action!</w:t>
      </w:r>
      <w:r>
        <w:t xml:space="preserve"> 3rd ed. Dordrecht: Springer.</w:t>
      </w:r>
    </w:p>
    <w:p w14:paraId="5CC8A0F3" w14:textId="77777777" w:rsidR="00501A8A" w:rsidRDefault="00352FB8">
      <w:pPr>
        <w:pStyle w:val="NormalWeb"/>
      </w:pPr>
      <w:r>
        <w:t xml:space="preserve">Jia, Huan, </w:t>
      </w:r>
      <w:proofErr w:type="spellStart"/>
      <w:r>
        <w:t>Xiaohong</w:t>
      </w:r>
      <w:proofErr w:type="spellEnd"/>
      <w:r>
        <w:t xml:space="preserve"> Wang, </w:t>
      </w:r>
      <w:proofErr w:type="spellStart"/>
      <w:r>
        <w:t>Jin</w:t>
      </w:r>
      <w:proofErr w:type="spellEnd"/>
      <w:r>
        <w:t xml:space="preserve"> Wang, Ting Liu, and </w:t>
      </w:r>
      <w:proofErr w:type="spellStart"/>
      <w:r>
        <w:t>Yuhua</w:t>
      </w:r>
      <w:proofErr w:type="spellEnd"/>
      <w:r>
        <w:t xml:space="preserve"> Wang. 2013. “Abscisic Acid Is Involved in the Regulation of Anthocyanin Biosynthesis in Litchi Fruit Pericarp.” </w:t>
      </w:r>
      <w:r>
        <w:rPr>
          <w:rStyle w:val="Emphasis"/>
        </w:rPr>
        <w:t>Plant Physiology and Biochemistry</w:t>
      </w:r>
      <w:r>
        <w:t xml:space="preserve"> 73: 273–</w:t>
      </w:r>
      <w:r>
        <w:t>281.</w:t>
      </w:r>
    </w:p>
    <w:p w14:paraId="17D36086" w14:textId="77777777" w:rsidR="00501A8A" w:rsidRDefault="00352FB8">
      <w:pPr>
        <w:pStyle w:val="NormalWeb"/>
      </w:pPr>
      <w:r>
        <w:t xml:space="preserve">Jiang, </w:t>
      </w:r>
      <w:proofErr w:type="spellStart"/>
      <w:r>
        <w:t>Yueming</w:t>
      </w:r>
      <w:proofErr w:type="spellEnd"/>
      <w:r>
        <w:t xml:space="preserve">, Joyce </w:t>
      </w:r>
      <w:proofErr w:type="spellStart"/>
      <w:r>
        <w:t>Duan</w:t>
      </w:r>
      <w:proofErr w:type="spellEnd"/>
      <w:r>
        <w:t xml:space="preserve">, </w:t>
      </w:r>
      <w:proofErr w:type="spellStart"/>
      <w:r>
        <w:t>Dongmei</w:t>
      </w:r>
      <w:proofErr w:type="spellEnd"/>
      <w:r>
        <w:t xml:space="preserve"> Joyce, and Y. Li. 2004. “Advances in Understanding of Enzymatic Browning in Litchi Fruit.” </w:t>
      </w:r>
      <w:r>
        <w:rPr>
          <w:rStyle w:val="Emphasis"/>
        </w:rPr>
        <w:t>Food Chemistry</w:t>
      </w:r>
      <w:r>
        <w:t xml:space="preserve"> 88 (3): 443–446.</w:t>
      </w:r>
    </w:p>
    <w:p w14:paraId="232AAAC8" w14:textId="77777777" w:rsidR="00501A8A" w:rsidRDefault="00352FB8">
      <w:pPr>
        <w:pStyle w:val="NormalWeb"/>
      </w:pPr>
      <w:r>
        <w:t xml:space="preserve">Jiang, </w:t>
      </w:r>
      <w:proofErr w:type="spellStart"/>
      <w:r>
        <w:t>Yueming</w:t>
      </w:r>
      <w:proofErr w:type="spellEnd"/>
      <w:r>
        <w:t xml:space="preserve">, Joyce </w:t>
      </w:r>
      <w:proofErr w:type="spellStart"/>
      <w:r>
        <w:t>Duan</w:t>
      </w:r>
      <w:proofErr w:type="spellEnd"/>
      <w:r>
        <w:t>, and Y. Li. 2001. “Postharvest Biology and Handling of Litchi Fru</w:t>
      </w:r>
      <w:r>
        <w:t xml:space="preserve">it: A Review.” </w:t>
      </w:r>
      <w:r>
        <w:rPr>
          <w:rStyle w:val="Emphasis"/>
        </w:rPr>
        <w:t>Postharvest Biology and Technology</w:t>
      </w:r>
      <w:r>
        <w:t xml:space="preserve"> 23 (1): 1–15.</w:t>
      </w:r>
    </w:p>
    <w:p w14:paraId="36E673AD" w14:textId="77777777" w:rsidR="00501A8A" w:rsidRDefault="00352FB8">
      <w:pPr>
        <w:pStyle w:val="NormalWeb"/>
      </w:pPr>
      <w:r>
        <w:lastRenderedPageBreak/>
        <w:t xml:space="preserve">Li, Xin, </w:t>
      </w:r>
      <w:proofErr w:type="spellStart"/>
      <w:r>
        <w:t>Qiang</w:t>
      </w:r>
      <w:proofErr w:type="spellEnd"/>
      <w:r>
        <w:t xml:space="preserve"> Zhang, Hui Zhang, and </w:t>
      </w:r>
      <w:proofErr w:type="spellStart"/>
      <w:r>
        <w:t>Yonghua</w:t>
      </w:r>
      <w:proofErr w:type="spellEnd"/>
      <w:r>
        <w:t xml:space="preserve"> Wang. 2020. “Transcriptomic Insights into Hormonal Regulation during Litchi Fruit Development and Abscission.” </w:t>
      </w:r>
      <w:r>
        <w:rPr>
          <w:rStyle w:val="Emphasis"/>
        </w:rPr>
        <w:t>BMC Plant Biology</w:t>
      </w:r>
      <w:r>
        <w:t xml:space="preserve"> 20: 1–15.</w:t>
      </w:r>
    </w:p>
    <w:p w14:paraId="41F09674" w14:textId="77777777" w:rsidR="00501A8A" w:rsidRDefault="00352FB8">
      <w:pPr>
        <w:pStyle w:val="NormalWeb"/>
      </w:pPr>
      <w:r>
        <w:t xml:space="preserve">Menzel, </w:t>
      </w:r>
      <w:r>
        <w:t xml:space="preserve">Christopher M., and G. K. Waite. 2005. </w:t>
      </w:r>
      <w:r>
        <w:rPr>
          <w:rStyle w:val="Emphasis"/>
        </w:rPr>
        <w:t xml:space="preserve">Litchi and </w:t>
      </w:r>
      <w:proofErr w:type="spellStart"/>
      <w:r>
        <w:rPr>
          <w:rStyle w:val="Emphasis"/>
        </w:rPr>
        <w:t>Longan</w:t>
      </w:r>
      <w:proofErr w:type="spellEnd"/>
      <w:r>
        <w:rPr>
          <w:rStyle w:val="Emphasis"/>
        </w:rPr>
        <w:t>: Botany, Production and Uses</w:t>
      </w:r>
      <w:r>
        <w:t>. Wallingford: CAB International.</w:t>
      </w:r>
    </w:p>
    <w:p w14:paraId="45C8BB7A" w14:textId="77777777" w:rsidR="00501A8A" w:rsidRDefault="00352FB8">
      <w:pPr>
        <w:pStyle w:val="NormalWeb"/>
      </w:pPr>
      <w:proofErr w:type="spellStart"/>
      <w:r>
        <w:t>Nambara</w:t>
      </w:r>
      <w:proofErr w:type="spellEnd"/>
      <w:r>
        <w:t xml:space="preserve">, </w:t>
      </w:r>
      <w:proofErr w:type="spellStart"/>
      <w:r>
        <w:t>Eiji</w:t>
      </w:r>
      <w:proofErr w:type="spellEnd"/>
      <w:r>
        <w:t xml:space="preserve">, and Sean Marion-Poll. 2005. “Abscisic Acid Biosynthesis and Catabolism.” </w:t>
      </w:r>
      <w:r>
        <w:rPr>
          <w:rStyle w:val="Emphasis"/>
        </w:rPr>
        <w:t>Annual Review of Plant Biology</w:t>
      </w:r>
      <w:r>
        <w:t xml:space="preserve"> 56: 165–185.</w:t>
      </w:r>
    </w:p>
    <w:p w14:paraId="40CD2145" w14:textId="77777777" w:rsidR="00501A8A" w:rsidRDefault="00352FB8">
      <w:pPr>
        <w:pStyle w:val="NormalWeb"/>
      </w:pPr>
      <w:proofErr w:type="spellStart"/>
      <w:r>
        <w:t>Ratha</w:t>
      </w:r>
      <w:r>
        <w:t>va</w:t>
      </w:r>
      <w:proofErr w:type="spellEnd"/>
      <w:r>
        <w:t xml:space="preserve">, Hitesh, Rakesh Kumar, and Pankaj Kumar. 2023. “Hormonal Regulation of Fruit Drop under Abiotic Stress in Subtropical Fruit Crops.” </w:t>
      </w:r>
      <w:r>
        <w:rPr>
          <w:rStyle w:val="Emphasis"/>
        </w:rPr>
        <w:t xml:space="preserve">Scientia </w:t>
      </w:r>
      <w:proofErr w:type="spellStart"/>
      <w:r>
        <w:rPr>
          <w:rStyle w:val="Emphasis"/>
        </w:rPr>
        <w:t>Horticulturae</w:t>
      </w:r>
      <w:proofErr w:type="spellEnd"/>
      <w:r>
        <w:t xml:space="preserve"> 310: 111–120.</w:t>
      </w:r>
    </w:p>
    <w:p w14:paraId="188227C4" w14:textId="77777777" w:rsidR="00501A8A" w:rsidRDefault="00352FB8">
      <w:pPr>
        <w:pStyle w:val="NormalWeb"/>
      </w:pPr>
      <w:r>
        <w:t xml:space="preserve">Rolland, Fabrice, </w:t>
      </w:r>
      <w:proofErr w:type="spellStart"/>
      <w:r>
        <w:t>Baena</w:t>
      </w:r>
      <w:proofErr w:type="spellEnd"/>
      <w:r>
        <w:t>-González Elena, and Jen Sheen. 2006. “Sugar Sensing and Sign</w:t>
      </w:r>
      <w:r>
        <w:t xml:space="preserve">aling in Plants: Conserved and Novel Mechanisms.” </w:t>
      </w:r>
      <w:r>
        <w:rPr>
          <w:rStyle w:val="Emphasis"/>
        </w:rPr>
        <w:t>Annual Review of Plant Biology</w:t>
      </w:r>
      <w:r>
        <w:t xml:space="preserve"> 57: 675–709.</w:t>
      </w:r>
    </w:p>
    <w:p w14:paraId="543C398F" w14:textId="77777777" w:rsidR="00501A8A" w:rsidRDefault="00352FB8">
      <w:pPr>
        <w:pStyle w:val="NormalWeb"/>
      </w:pPr>
      <w:proofErr w:type="spellStart"/>
      <w:r>
        <w:t>Roitsch</w:t>
      </w:r>
      <w:proofErr w:type="spellEnd"/>
      <w:r>
        <w:t xml:space="preserve">, Thomas, and Roland </w:t>
      </w:r>
      <w:proofErr w:type="spellStart"/>
      <w:r>
        <w:t>Ehneß</w:t>
      </w:r>
      <w:proofErr w:type="spellEnd"/>
      <w:r>
        <w:t xml:space="preserve">. 2000. “Regulation of Source/Sink Relations by </w:t>
      </w:r>
      <w:proofErr w:type="spellStart"/>
      <w:r>
        <w:t>Cytokinins</w:t>
      </w:r>
      <w:proofErr w:type="spellEnd"/>
      <w:r>
        <w:t xml:space="preserve">.” </w:t>
      </w:r>
      <w:r>
        <w:rPr>
          <w:rStyle w:val="Emphasis"/>
        </w:rPr>
        <w:t>Plant Growth Regulation</w:t>
      </w:r>
      <w:r>
        <w:t xml:space="preserve"> 32 (2–3): 359–367.</w:t>
      </w:r>
    </w:p>
    <w:p w14:paraId="2578F4FF" w14:textId="77777777" w:rsidR="00501A8A" w:rsidRDefault="00352FB8">
      <w:pPr>
        <w:pStyle w:val="NormalWeb"/>
      </w:pPr>
      <w:r>
        <w:t>Singh, Gurdeep, and M. A.</w:t>
      </w:r>
      <w:r>
        <w:t xml:space="preserve"> Suryanarayana. 2010. “Effect of Plant Growth Regulators on Fruit Drop and Yield of Litchi.” </w:t>
      </w:r>
      <w:r>
        <w:rPr>
          <w:rStyle w:val="Emphasis"/>
        </w:rPr>
        <w:t>Indian Journal of Horticulture</w:t>
      </w:r>
      <w:r>
        <w:t xml:space="preserve"> 67 (2): 186–188.</w:t>
      </w:r>
    </w:p>
    <w:p w14:paraId="2C5BB082" w14:textId="77777777" w:rsidR="00501A8A" w:rsidRDefault="00352FB8">
      <w:pPr>
        <w:pStyle w:val="NormalWeb"/>
      </w:pPr>
      <w:r>
        <w:t>Singh, A. K., R. K. Singh, and S. K. Sharma. 2017. “Role of Plant Growth Regulators in Fruit Production: A Review.”</w:t>
      </w:r>
      <w:r>
        <w:t xml:space="preserve"> </w:t>
      </w:r>
      <w:r>
        <w:rPr>
          <w:rStyle w:val="Emphasis"/>
        </w:rPr>
        <w:t>Agricultural Reviews</w:t>
      </w:r>
      <w:r>
        <w:t xml:space="preserve"> 38 (3): 203–210.</w:t>
      </w:r>
    </w:p>
    <w:p w14:paraId="548F24D8" w14:textId="77777777" w:rsidR="00501A8A" w:rsidRDefault="00352FB8">
      <w:pPr>
        <w:pStyle w:val="NormalWeb"/>
      </w:pPr>
      <w:r>
        <w:t xml:space="preserve">Sivakumar, D., and L. Korsten. 2006. “Influence of Postharvest Treatments on Quality Retention of Litchi Fruit during Storage.” </w:t>
      </w:r>
      <w:r>
        <w:rPr>
          <w:rStyle w:val="Emphasis"/>
        </w:rPr>
        <w:t>Postharvest Biology and Technology</w:t>
      </w:r>
      <w:r>
        <w:t xml:space="preserve"> 41 (3): 329–338.</w:t>
      </w:r>
    </w:p>
    <w:p w14:paraId="12856676" w14:textId="77777777" w:rsidR="00501A8A" w:rsidRDefault="00352FB8">
      <w:pPr>
        <w:pStyle w:val="NormalWeb"/>
      </w:pPr>
      <w:r>
        <w:t>Sivakumar, D., L. Korsten, and M. Zee</w:t>
      </w:r>
      <w:r>
        <w:t xml:space="preserve">man. 2005. “Postharvest Management on Quality Retention of Litchi during Storage.” </w:t>
      </w:r>
      <w:r>
        <w:rPr>
          <w:rStyle w:val="Emphasis"/>
        </w:rPr>
        <w:t>Crop Protection</w:t>
      </w:r>
      <w:r>
        <w:t xml:space="preserve"> 24 (12): 1093–1098.</w:t>
      </w:r>
    </w:p>
    <w:p w14:paraId="22B8773D" w14:textId="77777777" w:rsidR="00501A8A" w:rsidRDefault="00352FB8">
      <w:pPr>
        <w:pStyle w:val="NormalWeb"/>
      </w:pPr>
      <w:proofErr w:type="spellStart"/>
      <w:r>
        <w:t>Su</w:t>
      </w:r>
      <w:proofErr w:type="spellEnd"/>
      <w:r>
        <w:t xml:space="preserve">, Li, Wenjing Zhao, </w:t>
      </w:r>
      <w:proofErr w:type="spellStart"/>
      <w:r>
        <w:t>Yifan</w:t>
      </w:r>
      <w:proofErr w:type="spellEnd"/>
      <w:r>
        <w:t xml:space="preserve"> Liu, and </w:t>
      </w:r>
      <w:proofErr w:type="spellStart"/>
      <w:r>
        <w:t>Yonghua</w:t>
      </w:r>
      <w:proofErr w:type="spellEnd"/>
      <w:r>
        <w:t xml:space="preserve"> Wang. 2025. “Integrated Transcriptomic and Hormonal Analysis Reveals Regulatory Networks in </w:t>
      </w:r>
      <w:r>
        <w:t xml:space="preserve">Litchi Fruit Abscission.” </w:t>
      </w:r>
      <w:r>
        <w:rPr>
          <w:rStyle w:val="Emphasis"/>
        </w:rPr>
        <w:t>Frontiers in Plant Science</w:t>
      </w:r>
      <w:r>
        <w:t xml:space="preserve"> 16: 145–160.</w:t>
      </w:r>
    </w:p>
    <w:p w14:paraId="19C325BF" w14:textId="77777777" w:rsidR="00501A8A" w:rsidRDefault="00352FB8">
      <w:pPr>
        <w:pStyle w:val="NormalWeb"/>
      </w:pPr>
      <w:r>
        <w:t xml:space="preserve">Sun, Li, </w:t>
      </w:r>
      <w:proofErr w:type="spellStart"/>
      <w:r>
        <w:t>Zhihong</w:t>
      </w:r>
      <w:proofErr w:type="spellEnd"/>
      <w:r>
        <w:t xml:space="preserve"> Zhang, and </w:t>
      </w:r>
      <w:proofErr w:type="spellStart"/>
      <w:r>
        <w:t>Yuhua</w:t>
      </w:r>
      <w:proofErr w:type="spellEnd"/>
      <w:r>
        <w:t xml:space="preserve"> Wang. 2010. “Regulation of Abscisic Acid Biosynthesis during Fruit Development.” </w:t>
      </w:r>
      <w:r>
        <w:rPr>
          <w:rStyle w:val="Emphasis"/>
        </w:rPr>
        <w:t>Plant Science</w:t>
      </w:r>
      <w:r>
        <w:t xml:space="preserve"> 179 (3): 213–218.</w:t>
      </w:r>
    </w:p>
    <w:p w14:paraId="6E8BC7E8" w14:textId="77777777" w:rsidR="00501A8A" w:rsidRDefault="00352FB8">
      <w:pPr>
        <w:pStyle w:val="NormalWeb"/>
      </w:pPr>
      <w:r>
        <w:t>Symons, Gordon M., James B. Reid, and J. J. Ross. 2006. “</w:t>
      </w:r>
      <w:proofErr w:type="spellStart"/>
      <w:r>
        <w:t>Brassinosteroids</w:t>
      </w:r>
      <w:proofErr w:type="spellEnd"/>
      <w:r>
        <w:t xml:space="preserve"> and Fruit Development.” </w:t>
      </w:r>
      <w:r>
        <w:rPr>
          <w:rStyle w:val="Emphasis"/>
        </w:rPr>
        <w:t>Journal of Plant Growth Regulation</w:t>
      </w:r>
      <w:r>
        <w:t xml:space="preserve"> 25 (4): 321–335.</w:t>
      </w:r>
    </w:p>
    <w:p w14:paraId="0380FFFA" w14:textId="77777777" w:rsidR="00501A8A" w:rsidRDefault="00352FB8">
      <w:pPr>
        <w:pStyle w:val="NormalWeb"/>
      </w:pPr>
      <w:r>
        <w:t xml:space="preserve">Taylor, John E., and Carol A. Whitelaw. 2001. “Signals in Abscission.” </w:t>
      </w:r>
      <w:r>
        <w:rPr>
          <w:rStyle w:val="Emphasis"/>
        </w:rPr>
        <w:t xml:space="preserve">New </w:t>
      </w:r>
      <w:proofErr w:type="spellStart"/>
      <w:r>
        <w:rPr>
          <w:rStyle w:val="Emphasis"/>
        </w:rPr>
        <w:t>Phytologist</w:t>
      </w:r>
      <w:proofErr w:type="spellEnd"/>
      <w:r>
        <w:t xml:space="preserve"> 151 (2): 323–339.</w:t>
      </w:r>
    </w:p>
    <w:p w14:paraId="06E8D47E" w14:textId="77777777" w:rsidR="00501A8A" w:rsidRDefault="00352FB8">
      <w:pPr>
        <w:pStyle w:val="NormalWeb"/>
      </w:pPr>
      <w:r>
        <w:t>T</w:t>
      </w:r>
      <w:r>
        <w:t xml:space="preserve">urner, John G., Christopher Ellis, and Alan </w:t>
      </w:r>
      <w:proofErr w:type="spellStart"/>
      <w:r>
        <w:t>Devoto</w:t>
      </w:r>
      <w:proofErr w:type="spellEnd"/>
      <w:r>
        <w:t xml:space="preserve">. 2002. “The </w:t>
      </w:r>
      <w:proofErr w:type="spellStart"/>
      <w:r>
        <w:t>Jasmonate</w:t>
      </w:r>
      <w:proofErr w:type="spellEnd"/>
      <w:r>
        <w:t xml:space="preserve"> Signal Pathway.” </w:t>
      </w:r>
      <w:r>
        <w:rPr>
          <w:rStyle w:val="Emphasis"/>
        </w:rPr>
        <w:t>The Plant Cell</w:t>
      </w:r>
      <w:r>
        <w:t xml:space="preserve"> 14 (Suppl): S153–S164.</w:t>
      </w:r>
    </w:p>
    <w:p w14:paraId="2D2CA1DE" w14:textId="77777777" w:rsidR="00501A8A" w:rsidRDefault="00352FB8">
      <w:pPr>
        <w:pStyle w:val="NormalWeb"/>
      </w:pPr>
      <w:proofErr w:type="spellStart"/>
      <w:r>
        <w:lastRenderedPageBreak/>
        <w:t>Vlot</w:t>
      </w:r>
      <w:proofErr w:type="spellEnd"/>
      <w:r>
        <w:t xml:space="preserve">, A. Corina, Dempsey D. A., and Daniel F. Klessig. 2009. “Salicylic Acid, a Multifaceted Hormone to Combat Disease.” </w:t>
      </w:r>
      <w:r>
        <w:rPr>
          <w:rStyle w:val="Emphasis"/>
        </w:rPr>
        <w:t xml:space="preserve">Annual </w:t>
      </w:r>
      <w:r>
        <w:rPr>
          <w:rStyle w:val="Emphasis"/>
        </w:rPr>
        <w:t>Review of Phytopathology</w:t>
      </w:r>
      <w:r>
        <w:t xml:space="preserve"> 47: 177–206.</w:t>
      </w:r>
    </w:p>
    <w:p w14:paraId="244A8F0D" w14:textId="77777777" w:rsidR="00501A8A" w:rsidRDefault="00352FB8">
      <w:pPr>
        <w:pStyle w:val="NormalWeb"/>
      </w:pPr>
      <w:proofErr w:type="spellStart"/>
      <w:r>
        <w:t>Vriet</w:t>
      </w:r>
      <w:proofErr w:type="spellEnd"/>
      <w:r>
        <w:t xml:space="preserve">, Celine, Eveline </w:t>
      </w:r>
      <w:proofErr w:type="spellStart"/>
      <w:r>
        <w:t>Russinova</w:t>
      </w:r>
      <w:proofErr w:type="spellEnd"/>
      <w:r>
        <w:t xml:space="preserve">, and Dirk </w:t>
      </w:r>
      <w:proofErr w:type="spellStart"/>
      <w:r>
        <w:t>Inzé</w:t>
      </w:r>
      <w:proofErr w:type="spellEnd"/>
      <w:r>
        <w:t xml:space="preserve">. 2012. “Boosting Crop Yields with Plant Steroids.” </w:t>
      </w:r>
      <w:r>
        <w:rPr>
          <w:rStyle w:val="Emphasis"/>
        </w:rPr>
        <w:t>The Plant Cell</w:t>
      </w:r>
      <w:r>
        <w:t xml:space="preserve"> 24 (3): 842–857.</w:t>
      </w:r>
    </w:p>
    <w:p w14:paraId="5B5EB18C" w14:textId="77777777" w:rsidR="00501A8A" w:rsidRDefault="00352FB8">
      <w:pPr>
        <w:pStyle w:val="NormalWeb"/>
      </w:pPr>
      <w:r>
        <w:t xml:space="preserve">Wang, </w:t>
      </w:r>
      <w:proofErr w:type="spellStart"/>
      <w:r>
        <w:t>Yonghua</w:t>
      </w:r>
      <w:proofErr w:type="spellEnd"/>
      <w:r>
        <w:t xml:space="preserve">, Hui Zhang, </w:t>
      </w:r>
      <w:proofErr w:type="spellStart"/>
      <w:r>
        <w:t>Qiang</w:t>
      </w:r>
      <w:proofErr w:type="spellEnd"/>
      <w:r>
        <w:t xml:space="preserve"> Zhang, and Xin Li. 2017. “Hormonal Regulation and Molec</w:t>
      </w:r>
      <w:r>
        <w:t xml:space="preserve">ular Mechanisms of Fruit Development and Ripening in Litchi.” </w:t>
      </w:r>
      <w:r>
        <w:rPr>
          <w:rStyle w:val="Emphasis"/>
        </w:rPr>
        <w:t>Plant Cell Reports</w:t>
      </w:r>
      <w:r>
        <w:t xml:space="preserve"> 36 (9): 1349–1362.</w:t>
      </w:r>
    </w:p>
    <w:p w14:paraId="5ACE412B" w14:textId="77777777" w:rsidR="00501A8A" w:rsidRDefault="00352FB8">
      <w:pPr>
        <w:pStyle w:val="NormalWeb"/>
      </w:pPr>
      <w:r>
        <w:t xml:space="preserve">Yuan, </w:t>
      </w:r>
      <w:proofErr w:type="spellStart"/>
      <w:r>
        <w:t>Rongcai</w:t>
      </w:r>
      <w:proofErr w:type="spellEnd"/>
      <w:r>
        <w:t xml:space="preserve">, and Huang </w:t>
      </w:r>
      <w:proofErr w:type="spellStart"/>
      <w:r>
        <w:t>Hualing</w:t>
      </w:r>
      <w:proofErr w:type="spellEnd"/>
      <w:r>
        <w:t xml:space="preserve">. 2012. “Regulation of Fruit Abscission by Carbohydrate Supply and Hormones.” </w:t>
      </w:r>
      <w:r>
        <w:rPr>
          <w:rStyle w:val="Emphasis"/>
        </w:rPr>
        <w:t>Plant Growth Regulation</w:t>
      </w:r>
      <w:r>
        <w:t xml:space="preserve"> 66 (1): 49–60.</w:t>
      </w:r>
    </w:p>
    <w:p w14:paraId="35A6EB62" w14:textId="77777777" w:rsidR="00501A8A" w:rsidRDefault="00352FB8">
      <w:pPr>
        <w:pStyle w:val="NormalWeb"/>
      </w:pPr>
      <w:r>
        <w:t xml:space="preserve">Zhang, </w:t>
      </w:r>
      <w:proofErr w:type="spellStart"/>
      <w:r>
        <w:t>Zhiqiang</w:t>
      </w:r>
      <w:proofErr w:type="spellEnd"/>
      <w:r>
        <w:t xml:space="preserve">, </w:t>
      </w:r>
      <w:proofErr w:type="spellStart"/>
      <w:r>
        <w:t>Yuhua</w:t>
      </w:r>
      <w:proofErr w:type="spellEnd"/>
      <w:r>
        <w:t xml:space="preserve"> Wang, and </w:t>
      </w:r>
      <w:proofErr w:type="spellStart"/>
      <w:r>
        <w:t>Xiaohong</w:t>
      </w:r>
      <w:proofErr w:type="spellEnd"/>
      <w:r>
        <w:t xml:space="preserve"> Wang. 2011. “Regulation of Anthocyanin Biosynthesis in Litchi Pericarp.” </w:t>
      </w:r>
      <w:r>
        <w:rPr>
          <w:rStyle w:val="Emphasis"/>
        </w:rPr>
        <w:t>Plant Physiology and Biochemistry</w:t>
      </w:r>
      <w:r>
        <w:t xml:space="preserve"> 49 (7): 760–765.</w:t>
      </w:r>
    </w:p>
    <w:p w14:paraId="5FA0E37E" w14:textId="77777777" w:rsidR="00501A8A" w:rsidRDefault="00352FB8">
      <w:pPr>
        <w:pStyle w:val="NormalWeb"/>
      </w:pPr>
      <w:r>
        <w:t xml:space="preserve">Zhang, Li, </w:t>
      </w:r>
      <w:proofErr w:type="spellStart"/>
      <w:r>
        <w:t>Qiang</w:t>
      </w:r>
      <w:proofErr w:type="spellEnd"/>
      <w:r>
        <w:t xml:space="preserve"> Zhang, and </w:t>
      </w:r>
      <w:proofErr w:type="spellStart"/>
      <w:r>
        <w:t>Yonghua</w:t>
      </w:r>
      <w:proofErr w:type="spellEnd"/>
      <w:r>
        <w:t xml:space="preserve"> Wang. 2016. “Effect of 1-MCP on Postharvest Quality an</w:t>
      </w:r>
      <w:r>
        <w:t xml:space="preserve">d Browning of Litchi Fruit.” </w:t>
      </w:r>
      <w:r>
        <w:rPr>
          <w:rStyle w:val="Emphasis"/>
        </w:rPr>
        <w:t xml:space="preserve">Scientia </w:t>
      </w:r>
      <w:proofErr w:type="spellStart"/>
      <w:r>
        <w:rPr>
          <w:rStyle w:val="Emphasis"/>
        </w:rPr>
        <w:t>Horticulturae</w:t>
      </w:r>
      <w:proofErr w:type="spellEnd"/>
      <w:r>
        <w:t xml:space="preserve"> 202: 150–156.</w:t>
      </w:r>
    </w:p>
    <w:p w14:paraId="3A445142" w14:textId="77777777" w:rsidR="00501A8A" w:rsidRDefault="00501A8A"/>
    <w:p w14:paraId="69EE2DCF" w14:textId="77777777" w:rsidR="00501A8A" w:rsidRDefault="00501A8A"/>
    <w:sectPr w:rsidR="00501A8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475C9" w14:textId="77777777" w:rsidR="00352FB8" w:rsidRDefault="00352FB8" w:rsidP="00122BB2">
      <w:r>
        <w:separator/>
      </w:r>
    </w:p>
  </w:endnote>
  <w:endnote w:type="continuationSeparator" w:id="0">
    <w:p w14:paraId="55726572" w14:textId="77777777" w:rsidR="00352FB8" w:rsidRDefault="00352FB8" w:rsidP="00122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95233" w14:textId="77777777" w:rsidR="00122BB2" w:rsidRDefault="00122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BAE66" w14:textId="77777777" w:rsidR="00122BB2" w:rsidRDefault="00122B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3DC27" w14:textId="77777777" w:rsidR="00122BB2" w:rsidRDefault="0012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05B35" w14:textId="77777777" w:rsidR="00352FB8" w:rsidRDefault="00352FB8" w:rsidP="00122BB2">
      <w:r>
        <w:separator/>
      </w:r>
    </w:p>
  </w:footnote>
  <w:footnote w:type="continuationSeparator" w:id="0">
    <w:p w14:paraId="07403F3E" w14:textId="77777777" w:rsidR="00352FB8" w:rsidRDefault="00352FB8" w:rsidP="00122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2ECF" w14:textId="374F7859" w:rsidR="00122BB2" w:rsidRDefault="00122BB2">
    <w:pPr>
      <w:pStyle w:val="Header"/>
    </w:pPr>
    <w:r>
      <w:rPr>
        <w:noProof/>
      </w:rPr>
      <w:pict w14:anchorId="35EF4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3251"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1A107" w14:textId="0322AF77" w:rsidR="00122BB2" w:rsidRDefault="00122BB2">
    <w:pPr>
      <w:pStyle w:val="Header"/>
    </w:pPr>
    <w:r>
      <w:rPr>
        <w:noProof/>
      </w:rPr>
      <w:pict w14:anchorId="074F2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3252"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887AA" w14:textId="506CF4A2" w:rsidR="00122BB2" w:rsidRDefault="00122BB2">
    <w:pPr>
      <w:pStyle w:val="Header"/>
    </w:pPr>
    <w:r>
      <w:rPr>
        <w:noProof/>
      </w:rPr>
      <w:pict w14:anchorId="5DF30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3250"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AB54CB"/>
    <w:multiLevelType w:val="singleLevel"/>
    <w:tmpl w:val="B3AB54CB"/>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699107C"/>
    <w:rsid w:val="00122BB2"/>
    <w:rsid w:val="00352FB8"/>
    <w:rsid w:val="00501A8A"/>
    <w:rsid w:val="00922CD1"/>
    <w:rsid w:val="00A677B7"/>
    <w:rsid w:val="3631176F"/>
    <w:rsid w:val="5699107C"/>
    <w:rsid w:val="69DE7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FE5D0A"/>
  <w15:docId w15:val="{3F58A2DE-E476-409A-8FE2-FEE105D5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character" w:styleId="UnresolvedMention">
    <w:name w:val="Unresolved Mention"/>
    <w:basedOn w:val="DefaultParagraphFont"/>
    <w:uiPriority w:val="99"/>
    <w:semiHidden/>
    <w:unhideWhenUsed/>
    <w:rsid w:val="00922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16</Pages>
  <Words>7379</Words>
  <Characters>42066</Characters>
  <Application>Microsoft Office Word</Application>
  <DocSecurity>0</DocSecurity>
  <Lines>350</Lines>
  <Paragraphs>98</Paragraphs>
  <ScaleCrop>false</ScaleCrop>
  <Company/>
  <LinksUpToDate>false</LinksUpToDate>
  <CharactersWithSpaces>49347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garima pathak</dc:creator>
  <cp:lastModifiedBy>SDI 1166</cp:lastModifiedBy>
  <cp:revision>3</cp:revision>
  <dcterms:created xsi:type="dcterms:W3CDTF">2026-03-30T05:37:00Z</dcterms:created>
  <dcterms:modified xsi:type="dcterms:W3CDTF">2026-04-02T10:54:00Z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0087530E6D4D49618291FEC0BF287966_11</vt:lpwstr>
  </property>
</Properties>
</file>