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08DF6" w14:textId="7EE908CA" w:rsidR="005A0E49" w:rsidRDefault="005A0E49" w:rsidP="005A0E49">
      <w:pPr>
        <w:pStyle w:val="Author"/>
        <w:spacing w:line="240" w:lineRule="auto"/>
        <w:ind w:left="709" w:right="4"/>
        <w:jc w:val="left"/>
        <w:rPr>
          <w:rFonts w:ascii="Arial" w:hAnsi="Arial" w:cs="Arial"/>
          <w:bCs/>
          <w:iCs/>
          <w:kern w:val="28"/>
          <w:sz w:val="28"/>
          <w:szCs w:val="16"/>
          <w:u w:val="single"/>
        </w:rPr>
      </w:pPr>
      <w:r w:rsidRPr="005A0E49">
        <w:rPr>
          <w:rFonts w:ascii="Arial" w:hAnsi="Arial" w:cs="Arial"/>
          <w:bCs/>
          <w:iCs/>
          <w:kern w:val="28"/>
          <w:sz w:val="28"/>
          <w:szCs w:val="16"/>
          <w:u w:val="single"/>
        </w:rPr>
        <w:t>Original Research Article</w:t>
      </w:r>
    </w:p>
    <w:p w14:paraId="7826AF8F" w14:textId="77777777" w:rsidR="005A0E49" w:rsidRPr="005A0E49" w:rsidRDefault="005A0E49" w:rsidP="005A0E49">
      <w:pPr>
        <w:pStyle w:val="Author"/>
        <w:spacing w:line="240" w:lineRule="auto"/>
        <w:ind w:left="709" w:right="4"/>
        <w:jc w:val="left"/>
        <w:rPr>
          <w:rFonts w:ascii="Arial" w:hAnsi="Arial" w:cs="Arial"/>
          <w:bCs/>
          <w:iCs/>
          <w:kern w:val="28"/>
          <w:sz w:val="28"/>
          <w:szCs w:val="16"/>
          <w:u w:val="single"/>
        </w:rPr>
      </w:pPr>
    </w:p>
    <w:p w14:paraId="72BA2EFA" w14:textId="32495FE4" w:rsidR="004000C2" w:rsidRPr="004000C2" w:rsidRDefault="004000C2" w:rsidP="00094ECF">
      <w:pPr>
        <w:pStyle w:val="Author"/>
        <w:spacing w:line="240" w:lineRule="auto"/>
        <w:ind w:left="709" w:right="4"/>
        <w:rPr>
          <w:rFonts w:ascii="Arial" w:hAnsi="Arial" w:cs="Arial"/>
          <w:bCs/>
          <w:iCs/>
          <w:kern w:val="28"/>
          <w:sz w:val="36"/>
        </w:rPr>
      </w:pPr>
      <w:r w:rsidRPr="004000C2">
        <w:rPr>
          <w:rFonts w:ascii="Arial" w:hAnsi="Arial" w:cs="Arial"/>
          <w:bCs/>
          <w:iCs/>
          <w:kern w:val="28"/>
          <w:sz w:val="36"/>
        </w:rPr>
        <w:t>Community Readiness under Smart Governance in a Capital-Relocation Megaproject: Structural Effects of ERG Motivation, Education,</w:t>
      </w:r>
      <w:r w:rsidR="00094ECF">
        <w:rPr>
          <w:rFonts w:ascii="Arial" w:hAnsi="Arial" w:cs="Arial"/>
          <w:bCs/>
          <w:iCs/>
          <w:kern w:val="28"/>
          <w:sz w:val="36"/>
        </w:rPr>
        <w:t xml:space="preserve"> </w:t>
      </w:r>
      <w:r w:rsidRPr="004000C2">
        <w:rPr>
          <w:rFonts w:ascii="Arial" w:hAnsi="Arial" w:cs="Arial"/>
          <w:bCs/>
          <w:iCs/>
          <w:kern w:val="28"/>
          <w:sz w:val="36"/>
        </w:rPr>
        <w:t>and Skills in IKN Nusantara</w:t>
      </w:r>
    </w:p>
    <w:p w14:paraId="1EE6386D" w14:textId="70CEFC6A" w:rsidR="004000C2" w:rsidRDefault="004000C2" w:rsidP="00CD2290">
      <w:pPr>
        <w:pStyle w:val="Author"/>
        <w:spacing w:line="240" w:lineRule="auto"/>
        <w:ind w:left="-142" w:right="4"/>
        <w:rPr>
          <w:rFonts w:ascii="Arial" w:hAnsi="Arial" w:cs="Arial"/>
          <w:bCs/>
          <w:iCs/>
          <w:kern w:val="28"/>
          <w:sz w:val="36"/>
        </w:rPr>
      </w:pPr>
    </w:p>
    <w:p w14:paraId="21001CAB" w14:textId="77777777" w:rsidR="00CD2290" w:rsidRDefault="00CD2290" w:rsidP="005C38BE">
      <w:pPr>
        <w:pStyle w:val="AbstHead"/>
        <w:spacing w:after="0"/>
        <w:jc w:val="both"/>
        <w:rPr>
          <w:rFonts w:ascii="Arial" w:hAnsi="Arial" w:cs="Arial"/>
        </w:rPr>
      </w:pPr>
    </w:p>
    <w:p w14:paraId="7A99A53D" w14:textId="7EB940E1" w:rsidR="005C38BE" w:rsidRPr="001047A2" w:rsidRDefault="00316E99" w:rsidP="005C38BE">
      <w:pPr>
        <w:pStyle w:val="AbstHead"/>
        <w:spacing w:after="0"/>
        <w:jc w:val="both"/>
        <w:rPr>
          <w:rFonts w:ascii="Arial" w:hAnsi="Arial" w:cs="Arial"/>
        </w:rPr>
      </w:pPr>
      <w:r w:rsidRPr="001047A2">
        <w:rPr>
          <w:rFonts w:ascii="Arial" w:hAnsi="Arial" w:cs="Arial"/>
          <w:caps w:val="0"/>
        </w:rPr>
        <w:t xml:space="preserve">Abstract </w:t>
      </w:r>
    </w:p>
    <w:p w14:paraId="73650D6B" w14:textId="77777777" w:rsidR="005C38BE" w:rsidRPr="001047A2" w:rsidRDefault="005C38BE" w:rsidP="005C38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5C38BE" w:rsidRPr="00E16B78" w14:paraId="2AA5F26C" w14:textId="77777777" w:rsidTr="00332F7F">
        <w:tc>
          <w:tcPr>
            <w:tcW w:w="9576" w:type="dxa"/>
            <w:shd w:val="clear" w:color="auto" w:fill="F2F2F2"/>
          </w:tcPr>
          <w:p w14:paraId="732237BE" w14:textId="77777777" w:rsidR="00E16B78" w:rsidRPr="00E16B78" w:rsidRDefault="00E16B78" w:rsidP="00E16B78">
            <w:pPr>
              <w:spacing w:after="0" w:line="240" w:lineRule="auto"/>
              <w:jc w:val="both"/>
              <w:rPr>
                <w:rFonts w:ascii="Arial" w:hAnsi="Arial" w:cs="Arial"/>
                <w:sz w:val="20"/>
                <w:szCs w:val="20"/>
                <w:lang w:val="id-ID" w:eastAsia="id-ID"/>
              </w:rPr>
            </w:pPr>
            <w:r w:rsidRPr="00E16B78">
              <w:rPr>
                <w:rFonts w:ascii="Arial" w:hAnsi="Arial" w:cs="Arial"/>
                <w:b/>
                <w:bCs/>
                <w:sz w:val="20"/>
                <w:szCs w:val="20"/>
                <w:lang w:val="id-ID" w:eastAsia="id-ID"/>
              </w:rPr>
              <w:t>Objective:</w:t>
            </w:r>
            <w:r w:rsidRPr="00E16B78">
              <w:rPr>
                <w:rFonts w:ascii="Arial" w:hAnsi="Arial" w:cs="Arial"/>
                <w:sz w:val="20"/>
                <w:szCs w:val="20"/>
                <w:lang w:val="id-ID" w:eastAsia="id-ID"/>
              </w:rPr>
              <w:t xml:space="preserve"> To examine the structural relationships between community motivation, community education, and community skills and their association with community readiness for utilizing IKN-related infrastructure in the host area of Indonesia’s new capital, Ibu Kota Nusantara (IKN). This study addresses an empirical gap by testing a motivation–capability model in the context of smart governance and digitally enabled public services.</w:t>
            </w:r>
          </w:p>
          <w:p w14:paraId="02C16FBC" w14:textId="77777777" w:rsidR="00E16B78" w:rsidRPr="00E16B78" w:rsidRDefault="00E16B78" w:rsidP="00E16B78">
            <w:pPr>
              <w:spacing w:after="0" w:line="240" w:lineRule="auto"/>
              <w:jc w:val="both"/>
              <w:rPr>
                <w:rFonts w:ascii="Arial" w:hAnsi="Arial" w:cs="Arial"/>
                <w:sz w:val="20"/>
                <w:szCs w:val="20"/>
                <w:lang w:val="id-ID" w:eastAsia="id-ID"/>
              </w:rPr>
            </w:pPr>
            <w:r w:rsidRPr="00E16B78">
              <w:rPr>
                <w:rFonts w:ascii="Arial" w:hAnsi="Arial" w:cs="Arial"/>
                <w:b/>
                <w:bCs/>
                <w:sz w:val="20"/>
                <w:szCs w:val="20"/>
                <w:lang w:val="id-ID" w:eastAsia="id-ID"/>
              </w:rPr>
              <w:t>Study Design:</w:t>
            </w:r>
            <w:r w:rsidRPr="00E16B78">
              <w:rPr>
                <w:rFonts w:ascii="Arial" w:hAnsi="Arial" w:cs="Arial"/>
                <w:sz w:val="20"/>
                <w:szCs w:val="20"/>
                <w:lang w:val="id-ID" w:eastAsia="id-ID"/>
              </w:rPr>
              <w:t xml:space="preserve"> A quantitative explanatory study with a cross-sectional survey design.</w:t>
            </w:r>
          </w:p>
          <w:p w14:paraId="51E82E93" w14:textId="77777777" w:rsidR="00E16B78" w:rsidRPr="00E16B78" w:rsidRDefault="00E16B78" w:rsidP="00E16B78">
            <w:pPr>
              <w:spacing w:after="0" w:line="240" w:lineRule="auto"/>
              <w:jc w:val="both"/>
              <w:rPr>
                <w:rFonts w:ascii="Arial" w:hAnsi="Arial" w:cs="Arial"/>
                <w:sz w:val="20"/>
                <w:szCs w:val="20"/>
                <w:lang w:val="id-ID" w:eastAsia="id-ID"/>
              </w:rPr>
            </w:pPr>
            <w:r w:rsidRPr="00E16B78">
              <w:rPr>
                <w:rFonts w:ascii="Arial" w:hAnsi="Arial" w:cs="Arial"/>
                <w:b/>
                <w:bCs/>
                <w:sz w:val="20"/>
                <w:szCs w:val="20"/>
                <w:lang w:val="id-ID" w:eastAsia="id-ID"/>
              </w:rPr>
              <w:t>Location and Duration:</w:t>
            </w:r>
            <w:r w:rsidRPr="00E16B78">
              <w:rPr>
                <w:rFonts w:ascii="Arial" w:hAnsi="Arial" w:cs="Arial"/>
                <w:sz w:val="20"/>
                <w:szCs w:val="20"/>
                <w:lang w:val="id-ID" w:eastAsia="id-ID"/>
              </w:rPr>
              <w:t xml:space="preserve"> The study was conducted in four IKN host subdistricts—Penajam, Sepaku, Babulu, and Waru, Indonesia. Data collection was carried out in 2025.</w:t>
            </w:r>
          </w:p>
          <w:p w14:paraId="534FAED8" w14:textId="77777777" w:rsidR="00E16B78" w:rsidRPr="00E16B78" w:rsidRDefault="00E16B78" w:rsidP="00E16B78">
            <w:pPr>
              <w:spacing w:after="0" w:line="240" w:lineRule="auto"/>
              <w:jc w:val="both"/>
              <w:rPr>
                <w:rFonts w:ascii="Arial" w:hAnsi="Arial" w:cs="Arial"/>
                <w:sz w:val="20"/>
                <w:szCs w:val="20"/>
                <w:lang w:val="id-ID" w:eastAsia="id-ID"/>
              </w:rPr>
            </w:pPr>
            <w:r w:rsidRPr="00E16B78">
              <w:rPr>
                <w:rFonts w:ascii="Arial" w:hAnsi="Arial" w:cs="Arial"/>
                <w:b/>
                <w:bCs/>
                <w:sz w:val="20"/>
                <w:szCs w:val="20"/>
                <w:lang w:val="id-ID" w:eastAsia="id-ID"/>
              </w:rPr>
              <w:t>Methodology:</w:t>
            </w:r>
            <w:r w:rsidRPr="00E16B78">
              <w:rPr>
                <w:rFonts w:ascii="Arial" w:hAnsi="Arial" w:cs="Arial"/>
                <w:sz w:val="20"/>
                <w:szCs w:val="20"/>
                <w:lang w:val="id-ID" w:eastAsia="id-ID"/>
              </w:rPr>
              <w:t xml:space="preserve"> The study involved 350 productive-age residents from the IKN host area. After Mahalanobis distance screening, 19 multivariate outliers were excluded, resulting in 331 valid cases for analysis. Community motivation was conceptualized through existence, relatedness, and growth dimensions; community education included formal and non-formal education; and community skills covered literacy, technical, and problem-solving skills. The data were analyzed using covariance-based structural equation modeling (CB-SEM) with AMOS under maximum likelihood estimation.</w:t>
            </w:r>
          </w:p>
          <w:p w14:paraId="32F38576" w14:textId="63DC39FE" w:rsidR="00E16B78" w:rsidRPr="00E16B78" w:rsidRDefault="00E16B78" w:rsidP="00E16B78">
            <w:pPr>
              <w:spacing w:after="0" w:line="240" w:lineRule="auto"/>
              <w:jc w:val="both"/>
              <w:rPr>
                <w:rFonts w:ascii="Arial" w:hAnsi="Arial" w:cs="Arial"/>
                <w:sz w:val="20"/>
                <w:szCs w:val="20"/>
                <w:lang w:val="id-ID" w:eastAsia="id-ID"/>
              </w:rPr>
            </w:pPr>
            <w:r w:rsidRPr="00E16B78">
              <w:rPr>
                <w:rFonts w:ascii="Arial" w:hAnsi="Arial" w:cs="Arial"/>
                <w:b/>
                <w:bCs/>
                <w:sz w:val="20"/>
                <w:szCs w:val="20"/>
                <w:lang w:val="id-ID" w:eastAsia="id-ID"/>
              </w:rPr>
              <w:t>Results:</w:t>
            </w:r>
            <w:r w:rsidRPr="00E16B78">
              <w:rPr>
                <w:rFonts w:ascii="Arial" w:hAnsi="Arial" w:cs="Arial"/>
                <w:sz w:val="20"/>
                <w:szCs w:val="20"/>
                <w:lang w:val="id-ID" w:eastAsia="id-ID"/>
              </w:rPr>
              <w:t xml:space="preserve"> The structural model explained 37.0% of the variance in community readiness for infrastructure utilization (R² = 0.370). Community motivation showed the strongest standardized association with readiness (β = 0.737), followed by community education (β = 0.525) and community skills (β = 0.310). All structural paths were statistically significant (p &lt; 0.05). Among the readiness dimensions, problem understanding emerged as the weakest component, </w:t>
            </w:r>
            <w:r w:rsidR="00F25C56">
              <w:rPr>
                <w:rFonts w:ascii="Arial" w:hAnsi="Arial" w:cs="Arial"/>
                <w:sz w:val="20"/>
                <w:szCs w:val="20"/>
                <w:lang w:val="id-ID" w:eastAsia="id-ID"/>
              </w:rPr>
              <w:t>suggesting that infrastructure availability alone does not automatically ensure effective community use</w:t>
            </w:r>
            <w:r w:rsidRPr="00E16B78">
              <w:rPr>
                <w:rFonts w:ascii="Arial" w:hAnsi="Arial" w:cs="Arial"/>
                <w:sz w:val="20"/>
                <w:szCs w:val="20"/>
                <w:lang w:val="id-ID" w:eastAsia="id-ID"/>
              </w:rPr>
              <w:t>.</w:t>
            </w:r>
          </w:p>
          <w:p w14:paraId="4353D669" w14:textId="1E4D32E5" w:rsidR="00E16B78" w:rsidRPr="00E16B78" w:rsidRDefault="00E16B78" w:rsidP="00E16B78">
            <w:pPr>
              <w:spacing w:after="0" w:line="240" w:lineRule="auto"/>
              <w:jc w:val="both"/>
              <w:rPr>
                <w:rFonts w:ascii="Arial" w:hAnsi="Arial" w:cs="Arial"/>
                <w:sz w:val="20"/>
                <w:szCs w:val="20"/>
                <w:lang w:val="id-ID" w:eastAsia="id-ID"/>
              </w:rPr>
            </w:pPr>
            <w:r w:rsidRPr="00E16B78">
              <w:rPr>
                <w:rFonts w:ascii="Arial" w:hAnsi="Arial" w:cs="Arial"/>
                <w:b/>
                <w:bCs/>
                <w:sz w:val="20"/>
                <w:szCs w:val="20"/>
                <w:lang w:val="id-ID" w:eastAsia="id-ID"/>
              </w:rPr>
              <w:t>Conclusion:</w:t>
            </w:r>
            <w:r w:rsidRPr="00E16B78">
              <w:rPr>
                <w:rFonts w:ascii="Arial" w:hAnsi="Arial" w:cs="Arial"/>
                <w:sz w:val="20"/>
                <w:szCs w:val="20"/>
                <w:lang w:val="id-ID" w:eastAsia="id-ID"/>
              </w:rPr>
              <w:t xml:space="preserve"> Community readiness </w:t>
            </w:r>
            <w:r w:rsidR="00F25C56">
              <w:rPr>
                <w:rFonts w:ascii="Arial" w:hAnsi="Arial" w:cs="Arial"/>
                <w:sz w:val="20"/>
                <w:szCs w:val="20"/>
                <w:lang w:val="id-ID" w:eastAsia="id-ID"/>
              </w:rPr>
              <w:t>to use IKN-related infrastructure is significantly associated with motivation, education, and skills, with motivation demonstrating the strongest association</w:t>
            </w:r>
            <w:r w:rsidRPr="00E16B78">
              <w:rPr>
                <w:rFonts w:ascii="Arial" w:hAnsi="Arial" w:cs="Arial"/>
                <w:sz w:val="20"/>
                <w:szCs w:val="20"/>
                <w:lang w:val="id-ID" w:eastAsia="id-ID"/>
              </w:rPr>
              <w:t>. These findings suggest that inclusive infrastructure utilization in the IKN host area requires not only physical provision but also targeted interventions that strengthen community motivation, expand educational support, and improve practical skills for navigating institutional and digital transformation.</w:t>
            </w:r>
          </w:p>
          <w:p w14:paraId="45500A3F" w14:textId="3A7344C6" w:rsidR="005C38BE" w:rsidRPr="00E16B78" w:rsidRDefault="005C38BE" w:rsidP="00E16B78">
            <w:pPr>
              <w:pStyle w:val="Body"/>
              <w:spacing w:after="0"/>
              <w:rPr>
                <w:rFonts w:ascii="Arial" w:hAnsi="Arial" w:cs="Arial"/>
                <w:lang w:eastAsia="id-ID"/>
              </w:rPr>
            </w:pPr>
          </w:p>
        </w:tc>
      </w:tr>
    </w:tbl>
    <w:p w14:paraId="3B51E36A" w14:textId="77777777" w:rsidR="005C38BE" w:rsidRPr="001047A2" w:rsidRDefault="005C38BE" w:rsidP="005C38BE">
      <w:pPr>
        <w:pStyle w:val="Body"/>
        <w:spacing w:after="0"/>
        <w:rPr>
          <w:rFonts w:ascii="Arial" w:hAnsi="Arial" w:cs="Arial"/>
          <w:i/>
        </w:rPr>
      </w:pPr>
    </w:p>
    <w:p w14:paraId="13B0EB7D" w14:textId="77777777" w:rsidR="00E16B78" w:rsidRDefault="005C38BE" w:rsidP="00E16B78">
      <w:pPr>
        <w:pStyle w:val="NormalWeb"/>
        <w:spacing w:before="0" w:beforeAutospacing="0" w:after="0" w:afterAutospacing="0"/>
        <w:jc w:val="both"/>
        <w:rPr>
          <w:rFonts w:ascii="Arial" w:hAnsi="Arial" w:cs="Arial"/>
          <w:i/>
          <w:sz w:val="20"/>
          <w:szCs w:val="20"/>
          <w:lang w:val="en-US" w:eastAsia="en-US"/>
        </w:rPr>
      </w:pPr>
      <w:r w:rsidRPr="001047A2">
        <w:rPr>
          <w:rFonts w:ascii="Arial" w:hAnsi="Arial" w:cs="Arial"/>
          <w:i/>
          <w:sz w:val="20"/>
          <w:szCs w:val="20"/>
          <w:lang w:val="en-US" w:eastAsia="en-US"/>
        </w:rPr>
        <w:t>Keywords:</w:t>
      </w:r>
    </w:p>
    <w:p w14:paraId="30DBE288" w14:textId="62BA622F" w:rsidR="00E16B78" w:rsidRPr="00E16B78" w:rsidRDefault="00E16B78" w:rsidP="00E16B78">
      <w:pPr>
        <w:pStyle w:val="NormalWeb"/>
        <w:spacing w:before="0" w:beforeAutospacing="0" w:after="0" w:afterAutospacing="0"/>
        <w:jc w:val="both"/>
        <w:rPr>
          <w:rFonts w:ascii="Arial" w:hAnsi="Arial" w:cs="Arial"/>
          <w:i/>
          <w:iCs/>
          <w:sz w:val="20"/>
          <w:szCs w:val="20"/>
        </w:rPr>
      </w:pPr>
      <w:r w:rsidRPr="00E16B78">
        <w:rPr>
          <w:rFonts w:ascii="Arial" w:hAnsi="Arial" w:cs="Arial"/>
          <w:i/>
          <w:iCs/>
          <w:sz w:val="20"/>
          <w:szCs w:val="20"/>
        </w:rPr>
        <w:t>IKN Nusantara; community readiness; ERG motivation; community education; community skills; inclusive infrastructure utilization; CB-SEM</w:t>
      </w:r>
    </w:p>
    <w:p w14:paraId="4F8E2C9A" w14:textId="7E8E3F83" w:rsidR="005C38BE" w:rsidRPr="001047A2" w:rsidRDefault="005C38BE" w:rsidP="00407129">
      <w:pPr>
        <w:pStyle w:val="NormalWeb"/>
        <w:spacing w:before="0" w:beforeAutospacing="0" w:after="0" w:afterAutospacing="0"/>
        <w:ind w:left="992" w:hanging="992"/>
        <w:rPr>
          <w:rFonts w:ascii="Arial" w:hAnsi="Arial" w:cs="Arial"/>
          <w:sz w:val="20"/>
          <w:szCs w:val="20"/>
        </w:rPr>
      </w:pPr>
    </w:p>
    <w:p w14:paraId="147A1887" w14:textId="1A4090E7" w:rsidR="005C38BE" w:rsidRPr="001047A2" w:rsidRDefault="00E16B78" w:rsidP="00EB6BA0">
      <w:pPr>
        <w:pStyle w:val="AbstHead"/>
        <w:numPr>
          <w:ilvl w:val="0"/>
          <w:numId w:val="6"/>
        </w:numPr>
        <w:spacing w:before="120" w:after="120"/>
        <w:ind w:left="357" w:hanging="357"/>
        <w:jc w:val="both"/>
        <w:rPr>
          <w:rFonts w:ascii="Arial" w:hAnsi="Arial" w:cs="Arial"/>
        </w:rPr>
      </w:pPr>
      <w:r w:rsidRPr="001047A2">
        <w:rPr>
          <w:rFonts w:ascii="Arial" w:hAnsi="Arial" w:cs="Arial"/>
          <w:caps w:val="0"/>
        </w:rPr>
        <w:t>Introduction</w:t>
      </w:r>
    </w:p>
    <w:p w14:paraId="5B0AF510" w14:textId="77777777" w:rsidR="00E16B78" w:rsidRPr="00E16B78" w:rsidRDefault="00E16B78" w:rsidP="00E16B78">
      <w:pPr>
        <w:pStyle w:val="NormalWeb"/>
        <w:spacing w:before="0" w:beforeAutospacing="0" w:after="0" w:afterAutospacing="0"/>
        <w:ind w:firstLine="720"/>
        <w:jc w:val="both"/>
        <w:rPr>
          <w:rFonts w:ascii="Arial" w:hAnsi="Arial" w:cs="Arial"/>
          <w:sz w:val="20"/>
          <w:szCs w:val="20"/>
          <w:lang w:val="en-US"/>
        </w:rPr>
      </w:pPr>
      <w:r w:rsidRPr="00E16B78">
        <w:rPr>
          <w:rFonts w:ascii="Arial" w:hAnsi="Arial" w:cs="Arial"/>
          <w:sz w:val="20"/>
          <w:szCs w:val="20"/>
        </w:rPr>
        <w:t xml:space="preserve">Indonesia's choice to transfer its capital to Ibu Kota Nusantara (IKN) is a state-sponsored megaproject that integrates territorial reconfiguration, infrastructure development, and a distinct "smart/green city" framework. Recent scholarship warns that megaprojects in capital cities often prioritize legacy creation and institutional consolidation over their declared efficiency or sustainability goals, potentially resulting in uneven development unless local governance structures and community involvement are actively enhanced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{"citationItems":[{"id":"ITEM-1","itemData":{"DOI":"10.1016/j.habitatint.2023.102933","ISSN":"01973975","author":[{"dropping-particle":"","family":"Hudalah","given":"Delik","non-dropping-particle":"","parse-names":false,"suffix":""}],"container-title":"Habitat International","id":"ITEM-1","issued":{"date-parts":[["2023","11"]]},"page":"102933","title":"Building a capital city, carving out a megaproject legacy?","type":"article-journal","volume":"141"},"uris":["http://www.mendeley.com/documents/?uuid=76425e84-80ae-4db3-9824-6ff250376267"]}],"mendeley":{"formattedCitation":"(Hudalah, 2023)","plainTextFormattedCitation":"(Hudalah, 2023)","previouslyFormattedCitation":"(Hudalah, 2023)"},"properties":{"noteIndex":0},"schema":"https://github.com/citation-style-language/schema/raw/master/csl-citation.json"}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(Hudalah, 2023)</w:t>
      </w:r>
      <w:r w:rsidRPr="00E16B78">
        <w:rPr>
          <w:rFonts w:ascii="Arial" w:hAnsi="Arial" w:cs="Arial"/>
          <w:sz w:val="20"/>
          <w:szCs w:val="20"/>
        </w:rPr>
        <w:fldChar w:fldCharType="end"/>
      </w:r>
      <w:r w:rsidRPr="00E16B78">
        <w:rPr>
          <w:rFonts w:ascii="Arial" w:hAnsi="Arial" w:cs="Arial"/>
          <w:sz w:val="20"/>
          <w:szCs w:val="20"/>
          <w:lang w:val="en-US"/>
        </w:rPr>
        <w:t>.</w:t>
      </w:r>
    </w:p>
    <w:p w14:paraId="4E6848E5" w14:textId="6674F4F3" w:rsidR="00E16B78" w:rsidRPr="00E16B78" w:rsidRDefault="00E16B78" w:rsidP="00E16B78">
      <w:pPr>
        <w:pStyle w:val="NormalWeb"/>
        <w:spacing w:before="0" w:beforeAutospacing="0" w:after="0" w:afterAutospacing="0"/>
        <w:ind w:firstLine="720"/>
        <w:jc w:val="both"/>
        <w:rPr>
          <w:rFonts w:ascii="Arial" w:hAnsi="Arial" w:cs="Arial"/>
          <w:sz w:val="20"/>
          <w:szCs w:val="20"/>
        </w:rPr>
      </w:pPr>
      <w:r w:rsidRPr="00E16B78">
        <w:rPr>
          <w:rFonts w:ascii="Arial" w:hAnsi="Arial" w:cs="Arial"/>
          <w:sz w:val="20"/>
          <w:szCs w:val="20"/>
        </w:rPr>
        <w:t>Evidence inside the IKN corridor suggests that material transformation is generating social-ecological pressures that directly impact local inhabitants' ability to benefit from new infrastructure. Spatial-</w:t>
      </w:r>
      <w:r w:rsidRPr="00E16B78">
        <w:rPr>
          <w:rFonts w:ascii="Arial" w:hAnsi="Arial" w:cs="Arial"/>
          <w:sz w:val="20"/>
          <w:szCs w:val="20"/>
        </w:rPr>
        <w:lastRenderedPageBreak/>
        <w:t>conflict study of land-use change in the IKN zone demonstrates fast conversion from natural vegetation and agriculture toward built-up infrastructure, accompanied by multi-dimensional conflict risks harming biodiversity, food security, and rural/Indigenous livelihoods</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{"citationItems":[{"id":"ITEM-1","itemData":{"DOI":"10.3390/land13050606","ISSN":"2073-445X","abstract":"The relocation of Indonesia’s capital to the IKN (Ibu Kota Negara) Nusantara in East Kalimantan is leading to significant changes in land use, shifting from natural vegetation and agriculture to urban infrastructure. This transition brings about economic diversification and urban expansion, but it also raises concerns about its impact on society, the economy, and the environment. The rapid development affects biodiversity conservation, food security, and the livelihoods of rural and Indigenous communities, leading to conflicts across social and economic dimensions. This research uses qualitative and quantitative data to examine the socio-economic and environmental changes in the IKN Nusantara area from 2003 to 2023. The findings show a notable increase in built-up areas, indicating urbanization and a decrease in agricultural land. The study discusses the implications for local populations and ecosystems, emphasizing the need for inclusive governance, community participation, and conflict resolution. It also proposes a comprehensive policy framework that promotes sustainable land management, recognizes Indigenous and local rights, and fosters inclusive economic growth to respect Indonesia’s rich environmental and cultural heritage.","author":[{"dropping-particle":"","family":"Syaban","given":"Alfath Satria Negara","non-dropping-particle":"","parse-names":false,"suffix":""},{"dropping-particle":"","family":"Appiah-Opoku","given":"Seth","non-dropping-particle":"","parse-names":false,"suffix":""}],"container-title":"Land","id":"ITEM-1","issue":"5","issued":{"date-parts":[["2024","4","30"]]},"page":"606","title":"Unveiling the Complexities of Land Use Transition in Indonesia’s New Capital City IKN Nusantara: A Multidimensional Conflict Analysis","type":"article-journal","volume":"13"},"uris":["http://www.mendeley.com/documents/?uuid=a62534fc-49a3-497c-86b6-cda6268c5efc"]}],"mendeley":{"formattedCitation":"(Syaban &amp; Appiah-Opoku, 2024)","plainTextFormattedCitation":"(Syaban &amp; Appiah-Opoku, 2024)","previouslyFormattedCitation":"(Syaban &amp; Appiah-Opoku, 2024)"},"properties":{"noteIndex":0},"schema":"https://github.com/citation-style-language/schema/raw/master/csl-citation.json"}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(Syaban &amp; Appiah-Opoku, 2024)</w:t>
      </w:r>
      <w:r w:rsidRPr="00E16B78">
        <w:rPr>
          <w:rFonts w:ascii="Arial" w:hAnsi="Arial" w:cs="Arial"/>
          <w:sz w:val="20"/>
          <w:szCs w:val="20"/>
        </w:rPr>
        <w:fldChar w:fldCharType="end"/>
      </w:r>
      <w:r w:rsidRPr="00E16B78">
        <w:rPr>
          <w:rFonts w:ascii="Arial" w:hAnsi="Arial" w:cs="Arial"/>
          <w:sz w:val="20"/>
          <w:szCs w:val="20"/>
          <w:lang w:val="en-US"/>
        </w:rPr>
        <w:t xml:space="preserve">. </w:t>
      </w:r>
      <w:r w:rsidRPr="00E16B78">
        <w:rPr>
          <w:rFonts w:ascii="Arial" w:hAnsi="Arial" w:cs="Arial"/>
          <w:sz w:val="20"/>
          <w:szCs w:val="20"/>
        </w:rPr>
        <w:t>Furthermore, coastal research in Balikpapan Bay demonstrates how regulatory, market, and governance institutions can intensify exclusion and modify local access to resources within the context of new-capital development</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{"citationItems":[{"id":"ITEM-1","itemData":{"DOI":"10.1016/j.ocecoaman.2025.107801","ISSN":"09645691","abstract":"Relocation of capital cities often promises modernization and economic growth but raises significant socio-ecological concerns. Indonesia's decision to move its capital from Jakarta to ‘Nusantara’ (IKN) in East Kalimantan exemplifies these challenges, particularly for local communities. This study examines the socio-ecological impacts of this development on coastal communities in Balikpapan Bay, a critical yet underexplored context in Indonesia's new capital project. Drawing on ‘powers of exclusion’ and ocean-grabbing theories, it investigates how government regulations, legitimation, market dynamics, and force intensify the exclusion of coastal communities in Balikpapan Bay, and how IKN's development reshapes access and fishers' relations to coastal resources. Employing qualitative methods, it draws on from field research in several villages around Balikpapan Bay. Findings reveal that the new capital development exacerbates long-standing exclusion of coastal communities, particularly for fishing groups. Pressures from the logging, mining, and plantations had already limited fishermen's access and IKN development deepens this exclusion, disrupting fishers' livelihoods, and sparkling social conflicts over shrinking resources. The study highlights the state's role in legitimizing exclusions under development narratives, prioritizing state and corporate interests over local communities. This research contributes to a deeper understanding of the socio-environmental ramifications and trade-offs inherent in large-scale infrastructure projects like capital relocation. This research underscores the urgent need for inclusive approaches in coastal governance to reconcile large-scale development with socio-ecological justice, offering critical insights for policymakers and development practitioners worldwide.","author":[{"dropping-particle":"","family":"Syafi'i","given":"Imam","non-dropping-particle":"","parse-names":false,"suffix":""},{"dropping-particle":"","family":"Suryani","given":"Dini","non-dropping-particle":"","parse-names":false,"suffix":""},{"dropping-particle":"","family":"Satriani","given":"Septi","non-dropping-particle":"","parse-names":false,"suffix":""},{"dropping-particle":"","family":"Aulia","given":"Dian","non-dropping-particle":"","parse-names":false,"suffix":""},{"dropping-particle":"","family":"Dhiaulhaq","given":"Ahmad","non-dropping-particle":"","parse-names":false,"suffix":""},{"dropping-particle":"","family":"Adaba","given":"Pandu Yuhsina","non-dropping-particle":"","parse-names":false,"suffix":""}],"container-title":"Ocean &amp; Coastal Management","id":"ITEM-1","issued":{"date-parts":[["2025","10"]]},"page":"107801","title":"Displaced by progress: The new capital development and the powers of exclusion in Balikpapan Bay, Indonesia","type":"article-journal","volume":"269"},"uris":["http://www.mendeley.com/documents/?uuid=62a1f929-5012-40d0-bc76-d95f9aadbf61"]}],"mendeley":{"formattedCitation":"(Syafi’i et al., 2025)","plainTextFormattedCitation":"(Syafi’i et al., 2025)","previouslyFormattedCitation":"(Syafi’i et al., 2025)"},"properties":{"noteIndex":0},"schema":"https://github.com/citation-style-language/schema/raw/master/csl-citation.json"}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(Syafi’i et al., 2025)</w:t>
      </w:r>
      <w:r w:rsidRPr="00E16B78">
        <w:rPr>
          <w:rFonts w:ascii="Arial" w:hAnsi="Arial" w:cs="Arial"/>
          <w:sz w:val="20"/>
          <w:szCs w:val="20"/>
        </w:rPr>
        <w:fldChar w:fldCharType="end"/>
      </w:r>
      <w:r w:rsidRPr="00E16B78">
        <w:rPr>
          <w:rFonts w:ascii="Arial" w:hAnsi="Arial" w:cs="Arial"/>
          <w:sz w:val="20"/>
          <w:szCs w:val="20"/>
        </w:rPr>
        <w:t xml:space="preserve">. Collectively, these findings suggest that mere infrastructure provision is inadequate; in the absence of community-level capacity to perceive change, mobilize collectively, and negotiate new service systems, the distribution of IKN's advantages may </w:t>
      </w:r>
      <w:r w:rsidR="00F25C56">
        <w:rPr>
          <w:rFonts w:ascii="Arial" w:hAnsi="Arial" w:cs="Arial"/>
          <w:sz w:val="20"/>
          <w:szCs w:val="20"/>
        </w:rPr>
        <w:t>remain</w:t>
      </w:r>
      <w:r w:rsidRPr="00E16B78">
        <w:rPr>
          <w:rFonts w:ascii="Arial" w:hAnsi="Arial" w:cs="Arial"/>
          <w:sz w:val="20"/>
          <w:szCs w:val="20"/>
        </w:rPr>
        <w:t xml:space="preserve"> inequitable.</w:t>
      </w:r>
    </w:p>
    <w:p w14:paraId="11C14A1E" w14:textId="77777777" w:rsidR="00E16B78" w:rsidRPr="00E16B78" w:rsidRDefault="00E16B78" w:rsidP="00E16B78">
      <w:pPr>
        <w:pStyle w:val="NormalWeb"/>
        <w:spacing w:before="0" w:beforeAutospacing="0" w:after="0" w:afterAutospacing="0"/>
        <w:ind w:firstLine="720"/>
        <w:jc w:val="both"/>
        <w:rPr>
          <w:rFonts w:ascii="Arial" w:hAnsi="Arial" w:cs="Arial"/>
          <w:sz w:val="20"/>
          <w:szCs w:val="20"/>
          <w:lang w:val="en-US"/>
        </w:rPr>
      </w:pPr>
      <w:r w:rsidRPr="00E16B78">
        <w:rPr>
          <w:rFonts w:ascii="Arial" w:hAnsi="Arial" w:cs="Arial"/>
          <w:sz w:val="20"/>
          <w:szCs w:val="20"/>
        </w:rPr>
        <w:t>This danger is exacerbated by the growing reliance on digital governance, platform-based services, and "smart city" systems for contemporary infrastructure benefits. An expanding body of international literature emphasizes that smart-city efforts frequently encounter a constraint related to social effectiveness: outcomes are contingent not solely on the implementation of technology but also on citizen competence, perceived legitimacy, and circumstances for involvement</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action","type":"article-journal","volume":"84"},"uris":["http://www.mendeley.com/documents/?uuid=0dd3f014-c9c1-4e14-870d-4a22daf46d53"]}],"mendeley":{"formattedCitation":"(Ghasemzadeh et al., 2026)","plainTextFormattedCitation":"(Ghasemzadeh et al., 2026)","previouslyFormattedCitation":"(Ghasemzadeh et al., 2026)"},"properties":{"noteIndex":0},"schema":"https://github.com/citation-style-language/schema/raw/master/csl-citation.json"}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(Ghasemzadeh et al., 2026)</w:t>
      </w:r>
      <w:r w:rsidRPr="00E16B78">
        <w:rPr>
          <w:rFonts w:ascii="Arial" w:hAnsi="Arial" w:cs="Arial"/>
          <w:sz w:val="20"/>
          <w:szCs w:val="20"/>
        </w:rPr>
        <w:fldChar w:fldCharType="end"/>
      </w:r>
      <w:r w:rsidRPr="00E16B78">
        <w:rPr>
          <w:rFonts w:ascii="Arial" w:hAnsi="Arial" w:cs="Arial"/>
          <w:sz w:val="20"/>
          <w:szCs w:val="20"/>
        </w:rPr>
        <w:t xml:space="preserve">. Recent empirical research highlights a "smart governance paradox," wherein technologically sophisticated governance may correlate with diminished civic participation, highlighting that engagement design and motivational alignment are essential components rather than optional enhancements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{"citationItems":[{"id":"ITEM-1","itemData":{"DOI":"10.1016/j.tele.2026.102376","ISSN":"07365853","abstract":"As smart city initiatives proliferate globally, whether they genuinely foster inclusive and participatory governance remains unclear. This study examines the “smart governance paradox” by integrating macro-level evaluations of urban smartness with micro-level analyses of citizen perceptions across six large Chinese cities. At the macro level, we construct a Smart City Development Index using factor analysis and a neural network optimized by genetic algorithms. Results reveal significant regional disparities: some cities (Beijing and Shanghai) lead in smart economy, infrastructure, and innovation, while others lag in mobility and connectivity, highlighting uneven implementation capacities. At the micro level, we analyze 2021 Chinese Social Survey data using ordered logit models to examine associations between smart city development and public perceptions. Smart city development is positively associated with perceived trust, fairness, and protection, but negatively associated with civic participation—especially among younger demographics. This disconnect suggests that technological development may accompany favorable service-related perceptions while correlating with lower community engagement, potentially reflecting digital substitution and governance centralization. We propose reframing “smartness” as a socio-political construct emphasizing inclusion, responsiveness, and equity, and offer policy recommendations bridging digital efficiency with democratic engagement.","author":[{"dropping-particle":"","family":"Tang","given":"Beizhen","non-dropping-particle":"","parse-names":false,"suffix":""},{"dropping-particle":"","family":"Aldrich","given":"Daniel P.","non-dropping-particle":"","parse-names":false,"suffix":""}],"container-title":"Telematics and Informatics","id":"ITEM-1","issued":{"date-parts":[["2026","2"]]},"page":"102376","title":"The paradox of smart cities: technological advancements and the disconnection from social participation","type":"article-journal","volume":"105"},"uris":["http://www.mendeley.com/documents/?uuid=653101c2-7ea7-42f6-9bd8-5d758b988289"]}],"mendeley":{"formattedCitation":"(Tang &amp; Aldrich, 2026)","plainTextFormattedCitation":"(Tang &amp; Aldrich, 2026)","previouslyFormattedCitation":"(Tang &amp; Aldrich, 2026)"},"properties":{"noteIndex":0},"schema":"https://github.com/citation-style-language/schema/raw/master/csl-citation.json"}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(Tang &amp; Aldrich, 2026)</w:t>
      </w:r>
      <w:r w:rsidRPr="00E16B78">
        <w:rPr>
          <w:rFonts w:ascii="Arial" w:hAnsi="Arial" w:cs="Arial"/>
          <w:sz w:val="20"/>
          <w:szCs w:val="20"/>
        </w:rPr>
        <w:fldChar w:fldCharType="end"/>
      </w:r>
      <w:r w:rsidRPr="00E16B78">
        <w:rPr>
          <w:rFonts w:ascii="Arial" w:hAnsi="Arial" w:cs="Arial"/>
          <w:sz w:val="20"/>
          <w:szCs w:val="20"/>
        </w:rPr>
        <w:t xml:space="preserve">. Simultaneously, digital-government research indicates that automation may lead to exclusion throughout policy phases unless inclusion mechanisms specifically tackle citizen burdens and capability limitations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{"citationItems":[{"id":"ITEM-1","itemData":{"DOI":"10.1016/j.giq.2025.102028","ISSN":"0740624X","abstract":"The idea of ‘digital government inclusion’ – which builds upon notions of digital and social equity – implies that every person is equally able to participate in and benefit from digital government applications and procedures. In this article, through a policy stages lens, we explore aspects of government automation that complicate various dimensions of equity and inclusion as well as propose mitigating mechanisms that can improve digital government equity and inclusion. For a broader understanding of digital government inclusion, we start with a historical exploration of how data collection and digital government are inherently intertwined with notions of (statistical) normality. We then identify key findings from the broader literature and the articles included in GIQ's special issue on digital government inclusion that point to challenges as well as some potential tools to confront these issues.","author":[{"dropping-particle":"","family":"Peeters","given":"Rik","non-dropping-particle":"","parse-names":false,"suffix":""},{"dropping-particle":"","family":"Miller","given":"Susan M.","non-dropping-particle":"","parse-names":false,"suffix":""},{"dropping-particle":"","family":"Schuilenburg","given":"Marc","non-dropping-particle":"","parse-names":false,"suffix":""}],"container-title":"Government Information Quarterly","id":"ITEM-1","issue":"2","issued":{"date-parts":[["2025"]]},"page":"102028","publisher":"Elsevier Inc.","title":"Digital government inclusion: Exploring strategies for inclusive government automation","type":"article-journal","volume":"42"},"uris":["http://www.mendeley.com/documents/?uuid=f7db0975-5f19-4799-a7aa-0c5a1f9c1f5c"]}],"mendeley":{"formattedCitation":"(Peeters et al., 2025)","plainTextFormattedCitation":"(Peeters et al., 2025)","previouslyFormattedCitation":"(Peeters et al., 2025)"},"properties":{"noteIndex":0},"schema":"https://github.com/citation-style-language/schema/raw/master/csl-citation.json"}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(Peeters et al., 2025)</w:t>
      </w:r>
      <w:r w:rsidRPr="00E16B78">
        <w:rPr>
          <w:rFonts w:ascii="Arial" w:hAnsi="Arial" w:cs="Arial"/>
          <w:sz w:val="20"/>
          <w:szCs w:val="20"/>
        </w:rPr>
        <w:fldChar w:fldCharType="end"/>
      </w:r>
      <w:r w:rsidRPr="00E16B78">
        <w:rPr>
          <w:rFonts w:ascii="Arial" w:hAnsi="Arial" w:cs="Arial"/>
          <w:sz w:val="20"/>
          <w:szCs w:val="20"/>
          <w:lang w:val="en-US"/>
        </w:rPr>
        <w:t xml:space="preserve">. </w:t>
      </w:r>
      <w:r w:rsidRPr="00E16B78">
        <w:rPr>
          <w:rFonts w:ascii="Arial" w:hAnsi="Arial" w:cs="Arial"/>
          <w:sz w:val="20"/>
          <w:szCs w:val="20"/>
        </w:rPr>
        <w:t xml:space="preserve">These dynamics align with smart-city inclusion research, highlighting that bridging the digital gap necessitates not only connectivity and infrastructure but also ongoing skill development and inclusive governance adapted to local socioeconomic contexts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{"citationItems":[{"id":"ITEM-1","itemData":{"DOI":"10.3390/su17135735","ISSN":"2071-1050","abstract":"The current research examines the issue of social inclusivity in the context of digitalization of smart city governance and explores ways to overcome the digital divide, which impedes equal access to online services for vulnerable population groups (elderly people, people with disabilities, low-income individuals, and residents of remote areas). Based on a literature review, the study outlines three generations of the digital divide: access, digital skills, and the ability to derive socio-economic benefits. A methodology is proposed that combines cluster analysis of 27 European cities using 11 integrated indicators, aimed at identifying typical development profiles while accounting for infrastructure, air quality, and levels of digital literacy. The results revealed four clusters: “Digital Leaders with Environmental Awareness”, “Mid-Level Cities with Development Potential”, “Opportunities with Environmental Challenges”, and “Advanced Digital Hubs with High Quality of Life”. The study confirms the hypothesis regarding the effectiveness of a comprehensive approach that integrates infrastructure investment, educational programs, and inclusive planning. The article’s conclusions emphasize the need to apply universal design principles, subsidize internet access, and regularly monitor digital inclusion indices to achieve SDGs 11 and 16.","author":[{"dropping-particle":"","family":"Kruhlov","given":"Vitalii","non-dropping-particle":"","parse-names":false,"suffix":""},{"dropping-particle":"","family":"Dvorak","given":"Jaroslav","non-dropping-particle":"","parse-names":false,"suffix":""}],"container-title":"Sustainability","id":"ITEM-1","issue":"13","issued":{"date-parts":[["2025","6","22"]]},"page":"5735","title":"Social Inclusivity in the Smart City Governance: Overcoming the Digital Divide","type":"article-journal","volume":"17"},"uris":["http://www.mendeley.com/documents/?uuid=a351fd90-fb26-4c00-be09-52a8d4b9b9d8"]}],"mendeley":{"formattedCitation":"(Kruhlov &amp; Dvorak, 2025)","plainTextFormattedCitation":"(Kruhlov &amp; Dvorak, 2025)","previouslyFormattedCitation":"(Kruhlov &amp; Dvorak, 2025)"},"properties":{"noteIndex":0},"schema":"https://github.com/citation-style-language/schema/raw/master/csl-citation.json"}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(Kruhlov &amp; Dvorak, 2025)</w:t>
      </w:r>
      <w:r w:rsidRPr="00E16B78">
        <w:rPr>
          <w:rFonts w:ascii="Arial" w:hAnsi="Arial" w:cs="Arial"/>
          <w:sz w:val="20"/>
          <w:szCs w:val="20"/>
        </w:rPr>
        <w:fldChar w:fldCharType="end"/>
      </w:r>
      <w:r w:rsidRPr="00E16B78">
        <w:rPr>
          <w:rFonts w:ascii="Arial" w:hAnsi="Arial" w:cs="Arial"/>
          <w:sz w:val="20"/>
          <w:szCs w:val="20"/>
          <w:lang w:val="en-US"/>
        </w:rPr>
        <w:t xml:space="preserve">. </w:t>
      </w:r>
    </w:p>
    <w:p w14:paraId="3F451AF8" w14:textId="7A507113" w:rsidR="00E16B78" w:rsidRPr="00E16B78" w:rsidRDefault="00E16B78" w:rsidP="00E16B78">
      <w:pPr>
        <w:pStyle w:val="NormalWeb"/>
        <w:spacing w:before="0" w:beforeAutospacing="0" w:after="0" w:afterAutospacing="0"/>
        <w:ind w:firstLine="720"/>
        <w:jc w:val="both"/>
        <w:rPr>
          <w:rFonts w:ascii="Arial" w:hAnsi="Arial" w:cs="Arial"/>
          <w:sz w:val="20"/>
          <w:szCs w:val="20"/>
        </w:rPr>
      </w:pPr>
      <w:r w:rsidRPr="00E16B78">
        <w:rPr>
          <w:rFonts w:ascii="Arial" w:hAnsi="Arial" w:cs="Arial"/>
          <w:sz w:val="20"/>
          <w:szCs w:val="20"/>
        </w:rPr>
        <w:t>In this context, community readiness serves as a vital analytical framework for IKN. Readiness denotes a community's collective ability to identify an issue, mobilize efforts, coordinate leadership, access resources, and convert information into action. Recent methodological research underscores that readiness is intrinsically complex, and deficiencies in any one dimension might impede systemic change</w:t>
      </w:r>
      <w:r w:rsidR="00F25C56">
        <w:rPr>
          <w:rFonts w:ascii="Arial" w:hAnsi="Arial" w:cs="Arial"/>
          <w:sz w:val="20"/>
          <w:szCs w:val="20"/>
        </w:rPr>
        <w:t xml:space="preserve">, </w:t>
      </w:r>
      <w:r w:rsidRPr="00E16B78">
        <w:rPr>
          <w:rFonts w:ascii="Arial" w:hAnsi="Arial" w:cs="Arial"/>
          <w:sz w:val="20"/>
          <w:szCs w:val="20"/>
        </w:rPr>
        <w:t>thus advocating for the implementation of formal readiness assessments to inform treatments</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{"citationItems":[{"id":"ITEM-1","itemData":{"DOI":"10.3390/bs16010153","ISSN":"2076-328X","abstract":"Background: Community readiness assessment is used to gauge a community’s ability to address systemic issues and inform action. The Community Readiness Instrument (CRI) is the only published tool to have undergone rigorous development and testing. The purpose of this study is to further refine the CRI and establish its score reliability and validity evidence so that healthcare professionals, community advocates, and researchers have a strong assessment of community readiness. Methods: The present study details continued assessment of the CRI through full-scale testing. We conducted a second-order confirmatory factor analysis to analyze the CRI’s six-factor structure. We also conducted Rasch analyses to determine the item-level fit statistics for each subscale. Results: Our results suggest that the CRI is a well-structured quantitative tool with items demonstrating sufficient fit under each first-order latent factor. The items each fell into one-factor solutions, and the six subscales collectively formed a higher-order construct of Community Readiness. The CRI continues to demonstrate strong psychometric properties, score reliability, and validity evidence. Conclusions: Mental health and addiction professionals can use the CRI to explore change readiness toward a specific issue in their communities. Implications for practitioners, community advocates, and future researchers are provided.","author":[{"dropping-particle":"","family":"Ricciutti","given":"Natalie M.","non-dropping-particle":"","parse-names":false,"suffix":""},{"dropping-particle":"","family":"Cureton","given":"Jenny L.","non-dropping-particle":"","parse-names":false,"suffix":""},{"dropping-particle":"","family":"Zhang","given":"Sijia","non-dropping-particle":"","parse-names":false,"suffix":""}],"container-title":"Behavioral Sciences","id":"ITEM-1","issue":"1","issued":{"date-parts":[["2026","1","22"]]},"page":"153","title":"The Community Readiness Instrument: A Quantitative Measurement Using Statistical Best Practices to Assess Systemic Change Readiness","type":"article-journal","volume":"16"},"uris":["http://www.mendeley.com/documents/?uuid=e9323dd0-1237-4999-a0b4-7be9ef7b8c94"]}],"mendeley":{"formattedCitation":"(Ricciutti et al., 2026)","plainTextFormattedCitation":"(Ricciutti et al., 2026)","previouslyFormattedCitation":"(Ricciutti et al., 2026)"},"properties":{"noteIndex":0},"schema":"https://github.com/citation-style-language/schema/raw/master/csl-citation.json"}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(Ricciutti et al., 2026)</w:t>
      </w:r>
      <w:r w:rsidRPr="00E16B78">
        <w:rPr>
          <w:rFonts w:ascii="Arial" w:hAnsi="Arial" w:cs="Arial"/>
          <w:sz w:val="20"/>
          <w:szCs w:val="20"/>
        </w:rPr>
        <w:fldChar w:fldCharType="end"/>
      </w:r>
      <w:r w:rsidRPr="00E16B78">
        <w:rPr>
          <w:rFonts w:ascii="Arial" w:hAnsi="Arial" w:cs="Arial"/>
          <w:sz w:val="20"/>
          <w:szCs w:val="20"/>
          <w:lang w:val="en-US"/>
        </w:rPr>
        <w:t xml:space="preserve">. </w:t>
      </w:r>
      <w:r w:rsidRPr="00E16B78">
        <w:rPr>
          <w:rFonts w:ascii="Arial" w:hAnsi="Arial" w:cs="Arial"/>
          <w:sz w:val="20"/>
          <w:szCs w:val="20"/>
        </w:rPr>
        <w:t>For IKN host towns, preparedness transcends mere attitude; it constitutes the actual condition that dictates citizens' ability to transform new roads, public infrastructure, and digitally mediated services into tangible welfare benefits.</w:t>
      </w:r>
    </w:p>
    <w:p w14:paraId="59286D2A" w14:textId="3088F2F3" w:rsidR="00E16B78" w:rsidRPr="00E16B78" w:rsidRDefault="00E16B78" w:rsidP="00E16B78">
      <w:pPr>
        <w:pStyle w:val="NormalWeb"/>
        <w:spacing w:before="0" w:beforeAutospacing="0" w:after="0" w:afterAutospacing="0"/>
        <w:ind w:firstLine="720"/>
        <w:jc w:val="both"/>
        <w:rPr>
          <w:rFonts w:ascii="Arial" w:hAnsi="Arial" w:cs="Arial"/>
          <w:sz w:val="20"/>
          <w:szCs w:val="20"/>
          <w:lang w:val="en-US"/>
        </w:rPr>
      </w:pPr>
      <w:r w:rsidRPr="00E16B78">
        <w:rPr>
          <w:rFonts w:ascii="Arial" w:hAnsi="Arial" w:cs="Arial"/>
          <w:sz w:val="20"/>
          <w:szCs w:val="20"/>
        </w:rPr>
        <w:t>This study identifies three human-capital pathways—motivation, education, and skills—as essential precursors to readiness. Initially, motivation is framed through the ERG needs theory (existence–relatedness–growth), which is increasingly utilized in modern behavioral research to elucidate why individuals maintain effort amidst fluctuating environments and institutional pressures (e.g., ERG-based motivational frameworks in applied psychological settings)</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{"citationItems":[{"id":"ITEM-1","itemData":{"DOI":"10.3389/fpsyg.2023.1205742","ISBN":"2572020015626","ISSN":"16641078","abstract":"Job burnout among young university teachers is a serious issue that can have negative consequences for their well-being and job performance, as well as students’ learning outcomes. To identify protective factors for job burnout, this study examined the impacts and mechanism of satisfying existence, relatedness, and growth need on job burnout among 968 young university teachers, using the ERG needs theory framework. The results of the regression analysis and mediation analysis showed that ERG needs satisfaction significantly and negatively predicted job burnout, and job satisfaction mediated this relationship. Besides, the total effect of existence need satisfaction on job burnout was significantly smaller than that of relatedness need satisfaction and growth need satisfaction. These findings contribute to our understanding of the antecedents of young university teachers’ job burnout and provide a theoretical basis for practical action to protect them from burnout by enhancing their need satisfaction and job satisfaction.","author":[{"dropping-particle":"","family":"Yang","given":"Yang","non-dropping-particle":"","parse-names":false,"suffix":""},{"dropping-particle":"","family":"Ling","given":"Que","non-dropping-particle":"","parse-names":false,"suffix":""}],"container-title":"Frontiers in Psychology","id":"ITEM-1","issue":"August","issued":{"date-parts":[["2023"]]},"page":"1-9","title":"The influence of existence–relatedness–growth need satisfaction and job burnout of young university teachers: the mediating role of job satisfaction","type":"article-journal","volume":"14"},"uris":["http://www.mendeley.com/documents/?uuid=384fe4b6-90b6-4ee5-8aac-3b72294c04b1"]}],"mendeley":{"formattedCitation":"(Yang &amp; Ling, 2023)","plainTextFormattedCitation":"(Yang &amp; Ling, 2023)","previouslyFormattedCitation":"(Yang &amp; Ling, 2023)"},"properties":{"noteIndex":0},"schema":"https://github.com/citation-style-language/schema/raw/master/csl-citation.json"}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(Yang &amp; Ling, 2023)</w:t>
      </w:r>
      <w:r w:rsidRPr="00E16B78">
        <w:rPr>
          <w:rFonts w:ascii="Arial" w:hAnsi="Arial" w:cs="Arial"/>
          <w:sz w:val="20"/>
          <w:szCs w:val="20"/>
        </w:rPr>
        <w:fldChar w:fldCharType="end"/>
      </w:r>
      <w:r w:rsidRPr="00E16B78">
        <w:rPr>
          <w:rFonts w:ascii="Arial" w:hAnsi="Arial" w:cs="Arial"/>
          <w:sz w:val="20"/>
          <w:szCs w:val="20"/>
          <w:lang w:val="en-US"/>
        </w:rPr>
        <w:t>.</w:t>
      </w:r>
      <w:r w:rsidRPr="00E16B78">
        <w:rPr>
          <w:rFonts w:ascii="Arial" w:hAnsi="Arial" w:cs="Arial"/>
          <w:sz w:val="20"/>
          <w:szCs w:val="20"/>
        </w:rPr>
        <w:t xml:space="preserve"> Secondly, community education—both formal and informal—enhances citizens' capacity to </w:t>
      </w:r>
      <w:r w:rsidR="00F25C56">
        <w:rPr>
          <w:rFonts w:ascii="Arial" w:hAnsi="Arial" w:cs="Arial"/>
          <w:sz w:val="20"/>
          <w:szCs w:val="20"/>
        </w:rPr>
        <w:t>understand policy indicators, interact with program data, and navigate the procedural requirements</w:t>
      </w:r>
      <w:r w:rsidRPr="00E16B78">
        <w:rPr>
          <w:rFonts w:ascii="Arial" w:hAnsi="Arial" w:cs="Arial"/>
          <w:sz w:val="20"/>
          <w:szCs w:val="20"/>
        </w:rPr>
        <w:t xml:space="preserve"> inherent in contemporary service provision. Third, community skills—such as literacy, technical proficiency, and problem-solving abilities—diminish operational obstacles in technology-mediated access, aligning with research showing ICT and e-skills influence effective e-government utilization and elucidate disparities in participation</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{"citationItems":[{"id":"ITEM-1","itemData":{"DOI":"10.1016/j.telpol.2025.102918","ISSN":"03085961","abstract":"This paper examines the factors that determine the use of e-government services in Spain. It identifies key determinants, including e-services usage synergies, e-trust, e-skills and socio-demographic determinants of e-government use as an outcome of a logit model with national data from 2023. The main results highlight the key role of ICT skills, confidence in technology and the quality of Internet connectivity, revealing significant disparities between socio-economic groups. Meanwhile, it explores the second and third levels of the digital divide, with a special focus on the information and ICT domain and its effective application, analysing the penetration and main uses of e-government in Spain. Policy recommendations call for the enhancement of digital literacy, the fostering of trust in e-government and the improvement of Internet access for vulnerable populations to promote inclusive digital governance.","author":[{"dropping-particle":"","family":"Gijón","given":"Covadonga","non-dropping-particle":"","parse-names":false,"suffix":""},{"dropping-particle":"","family":"Fernández-Bonilla","given":"Fernando","non-dropping-particle":"","parse-names":false,"suffix":""},{"dropping-particle":"","family":"Ruíz-Rúa","given":"Aurora","non-dropping-particle":"","parse-names":false,"suffix":""}],"container-title":"Telecommunications Policy","id":"ITEM-1","issue":"3","issued":{"date-parts":[["2025","4"]]},"page":"102918","title":"Different approaches to Spanish e-government: From use to impact","type":"article-journal","volume":"49"},"uris":["http://www.mendeley.com/documents/?uuid=144ddf2a-0af4-492d-bd61-4f74ed1b9f30"]}],"mendeley":{"formattedCitation":"(Gijón et al., 2025)","plainTextFormattedCitation":"(Gijón et al., 2025)","previouslyFormattedCitation":"(Gijón et al., 2025)"},"properties":{"noteIndex":0},"schema":"https://github.com/citation-style-language/schema/raw/master/csl-citation.json"}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(Gijón et al., 2025)</w:t>
      </w:r>
      <w:r w:rsidRPr="00E16B78">
        <w:rPr>
          <w:rFonts w:ascii="Arial" w:hAnsi="Arial" w:cs="Arial"/>
          <w:sz w:val="20"/>
          <w:szCs w:val="20"/>
        </w:rPr>
        <w:fldChar w:fldCharType="end"/>
      </w:r>
      <w:r w:rsidRPr="00E16B78">
        <w:rPr>
          <w:rFonts w:ascii="Arial" w:hAnsi="Arial" w:cs="Arial"/>
          <w:sz w:val="20"/>
          <w:szCs w:val="20"/>
          <w:lang w:val="en-US"/>
        </w:rPr>
        <w:t xml:space="preserve">. </w:t>
      </w:r>
      <w:r w:rsidRPr="00E16B78">
        <w:rPr>
          <w:rFonts w:ascii="Arial" w:hAnsi="Arial" w:cs="Arial"/>
          <w:sz w:val="20"/>
          <w:szCs w:val="20"/>
        </w:rPr>
        <w:t>These routes correspond with extensive human-capital studies</w:t>
      </w:r>
      <w:r w:rsidR="00F25C56">
        <w:rPr>
          <w:rFonts w:ascii="Arial" w:hAnsi="Arial" w:cs="Arial"/>
          <w:sz w:val="20"/>
          <w:szCs w:val="20"/>
        </w:rPr>
        <w:t>,</w:t>
      </w:r>
      <w:r w:rsidRPr="00E16B78">
        <w:rPr>
          <w:rFonts w:ascii="Arial" w:hAnsi="Arial" w:cs="Arial"/>
          <w:sz w:val="20"/>
          <w:szCs w:val="20"/>
        </w:rPr>
        <w:t xml:space="preserve"> indicating that the building of capabilities is a fundamental process connecting individual resources to collective community results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{"citationItems":[{"id":"ITEM-1","itemData":{"DOI":"10.6007/IJARBSS/v14-i6/21447","ISSN":"2222-6990","author":[{"dropping-particle":"","family":"Rasdi","given":"Nurul Nadiah","non-dropping-particle":"","parse-names":false,"suffix":""},{"dropping-particle":"","family":"Rusli","given":"Ahmad Najmie","non-dropping-particle":"","parse-names":false,"suffix":""},{"dropping-particle":"","family":"Zainal Abidin","given":"Nurrul Amilin","non-dropping-particle":"","parse-names":false,"suffix":""},{"dropping-particle":"","family":"Manssor","given":"Nur Aini Sabrin","non-dropping-particle":"","parse-names":false,"suffix":""}],"container-title":"International Journal of Academic Research in Business and Social Sciences","id":"ITEM-1","issue":"6","issued":{"date-parts":[["2024","6","4"]]},"page":"300-312","title":"Motivation to Study from Home: Balancing Alderfer’s Theory","type":"article-journal","volume":"14"},"uris":["http://www.mendeley.com/documents/?uuid=be1ecda1-5dff-4901-a48a-aa6bde2f0aa3"]}],"mendeley":{"formattedCitation":"(Rasdi et al., 2024)","plainTextFormattedCitation":"(Rasdi et al., 2024)","previouslyFormattedCitation":"(Rasdi et al., 2024)"},"properties":{"noteIndex":0},"schema":"https://github.com/citation-style-language/schema/raw/master/csl-citation.json"}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(Rasdi et al., 2024)</w:t>
      </w:r>
      <w:r w:rsidRPr="00E16B78">
        <w:rPr>
          <w:rFonts w:ascii="Arial" w:hAnsi="Arial" w:cs="Arial"/>
          <w:sz w:val="20"/>
          <w:szCs w:val="20"/>
        </w:rPr>
        <w:fldChar w:fldCharType="end"/>
      </w:r>
      <w:r w:rsidRPr="00E16B78">
        <w:rPr>
          <w:rFonts w:ascii="Arial" w:hAnsi="Arial" w:cs="Arial"/>
          <w:sz w:val="20"/>
          <w:szCs w:val="20"/>
          <w:lang w:val="en-US"/>
        </w:rPr>
        <w:t xml:space="preserve">. </w:t>
      </w:r>
    </w:p>
    <w:p w14:paraId="7EF0D2A0" w14:textId="4C7AFE05" w:rsidR="00E16B78" w:rsidRPr="00E16B78" w:rsidRDefault="00E16B78" w:rsidP="00E16B78">
      <w:pPr>
        <w:pStyle w:val="NormalWeb"/>
        <w:spacing w:before="0" w:beforeAutospacing="0" w:after="0" w:afterAutospacing="0"/>
        <w:ind w:firstLine="720"/>
        <w:jc w:val="both"/>
        <w:rPr>
          <w:rFonts w:ascii="Arial" w:hAnsi="Arial" w:cs="Arial"/>
          <w:sz w:val="20"/>
          <w:szCs w:val="20"/>
        </w:rPr>
      </w:pPr>
      <w:r w:rsidRPr="00E16B78">
        <w:rPr>
          <w:rFonts w:ascii="Arial" w:hAnsi="Arial" w:cs="Arial"/>
          <w:sz w:val="20"/>
          <w:szCs w:val="20"/>
        </w:rPr>
        <w:t xml:space="preserve">Although studies on spatial transformation and exclusion </w:t>
      </w:r>
      <w:r w:rsidR="00F25C56">
        <w:rPr>
          <w:rFonts w:ascii="Arial" w:hAnsi="Arial" w:cs="Arial"/>
          <w:sz w:val="20"/>
          <w:szCs w:val="20"/>
        </w:rPr>
        <w:t>related to IKN are proliferating, the literature remains deficient in elucidating which community-level capacities most strongly predict</w:t>
      </w:r>
      <w:r w:rsidRPr="00E16B78">
        <w:rPr>
          <w:rFonts w:ascii="Arial" w:hAnsi="Arial" w:cs="Arial"/>
          <w:sz w:val="20"/>
          <w:szCs w:val="20"/>
        </w:rPr>
        <w:t xml:space="preserve"> readiness to engage with IKN-related infrastructure. Current IKN research mostly </w:t>
      </w:r>
      <w:r w:rsidR="00F25C56">
        <w:rPr>
          <w:rFonts w:ascii="Arial" w:hAnsi="Arial" w:cs="Arial"/>
          <w:sz w:val="20"/>
          <w:szCs w:val="20"/>
        </w:rPr>
        <w:t>focuses</w:t>
      </w:r>
      <w:r w:rsidRPr="00E16B78">
        <w:rPr>
          <w:rFonts w:ascii="Arial" w:hAnsi="Arial" w:cs="Arial"/>
          <w:sz w:val="20"/>
          <w:szCs w:val="20"/>
        </w:rPr>
        <w:t xml:space="preserve"> on qualitative field evidence and spatial diagnostics</w:t>
      </w:r>
      <w:r w:rsidRPr="00E16B78">
        <w:rPr>
          <w:rFonts w:ascii="Arial" w:hAnsi="Arial" w:cs="Arial"/>
          <w:sz w:val="20"/>
          <w:szCs w:val="20"/>
          <w:lang w:val="en-US"/>
        </w:rPr>
        <w:t xml:space="preserve"> </w:t>
      </w:r>
      <w:r w:rsidRPr="00E16B78">
        <w:rPr>
          <w:rFonts w:ascii="Arial" w:hAnsi="Arial" w:cs="Arial"/>
          <w:sz w:val="20"/>
          <w:szCs w:val="20"/>
        </w:rPr>
        <w:fldChar w:fldCharType="begin" w:fldLock="1"/>
      </w:r>
      <w:r w:rsidRPr="00E16B78">
        <w:rPr>
          <w:rFonts w:ascii="Arial" w:hAnsi="Arial" w:cs="Arial"/>
          <w:sz w:val="20"/>
          <w:szCs w:val="20"/>
        </w:rPr>
        <w:instrText>ADDIN CSL_CITATION {"citationItems":[{"id":"ITEM-1","itemData":{"DOI":"10.3390/land13050606","ISSN":"2073-445X","abstract":"The relocation of Indonesia’s capital to the IKN (Ibu Kota Negara) Nusantara in East Kalimantan is leading to significant changes in land use, shifting from natural vegetation and agriculture to urban infrastructure. This transition brings about economic diversification and urban expansion, but it also raises concerns about its impact on society, the economy, and the environment. The rapid development affects biodiversity conservation, food security, and the livelihoods of rural and Indigenous communities, leading to conflicts across social and economic dimensions. This research uses qualitative and quantitative data to examine the socio-economic and environmental changes in the IKN Nusantara area from 2003 to 2023. The findings show a notable increase in built-up areas, indicating urbanization and a decrease in agricultural land. The study discusses the implications for local populations and ecosystems, emphasizing the need for inclusive governance, community participation, and conflict resolution. It also proposes a comprehensive policy framework that promotes sustainable land management, recognizes Indigenous and local rights, and fosters inclusive economic growth to respect Indonesia’s rich environmental and cultural heritage.","author":[{"dropping-particle":"","family":"Syaban","given":"Alfath Satria Negara","non-dropping-particle":"","parse-names":false,"suffix":""},{"dropping-particle":"","family":"Appiah-Opoku","given":"Seth","non-dropping-particle":"","parse-names":false,"suffix":""}],"container-title":"Land","id":"ITEM-1","issue":"5","issued":{"date-parts":[["2024","4","30"]]},"page":"606","title":"Unveiling the Complexities of Land Use Transition in Indonesia’s New Capital City IKN Nusantara: A Multidimensional Conflict Analysis","type":"article-journal","volume":"13"},"uris":["http://www.mendeley.com/documents/?uuid=a62534fc-49a3-497c-86b6-cda6268c5efc"]},{"id":"ITEM-2","itemData":{"DOI":"10.1016/j.ocecoaman.2025.107801","ISSN":"09645691","abstract":"Relocation of capital cities often promises modernization and economic growth but raises significant socio-ecological concerns. Indonesia's decision to move its capital from Jakarta to ‘Nusantara’ (IKN) in East Kalimantan exemplifies these challenges, particularly for local communities. This study examines the socio-ecological impacts of this development on coastal communities in Balikpapan Bay, a critical yet underexplored context in Indonesia's new capital project. Drawing on ‘powers of exclusion’ and ocean-grabbing theories, it investigates how government regulations, legitimation, market dynamics, and force intensify the exclusion of coastal communities in Balikpapan Bay, and how IKN's development reshapes access and fishers' relations to coastal resources. Employing qualitative methods, it draws on from field research in several villages around Balikpapan Bay. Findings reveal that the new capital development exacerbates long-standing exclusion of coastal communities, particularly for fishing groups. Pressures from the logging, mining, and plantations had already limited fishermen's access and IKN development deepens this exclusion, disrupting fishers' livelihoods, and sparkling social conflicts over shrinking resources. The study highlights the state's role in legitimizing exclusions under development narratives, prioritizing state and corporate interests over local communities. This research contributes to a deeper understanding of the socio-environmental ramifications and trade-offs inherent in large-scale infrastructure projects like capital relocation. This research underscores the urgent need for inclusive approaches in coastal governance to reconcile large-scale development with socio-ecological justice, offering critical insights for policymakers and development practitioners worldwide.","author":[{"dropping-particle":"","family":"Syafi'i","given":"Imam","non-dropping-particle":"","parse-names":false,"suffix":""},{"dropping-particle":"","family":"Suryani","given":"Dini","non-dropping-particle":"","parse-names":false,"suffix":""},{"dropping-particle":"","family":"Satriani","given":"Septi","non-dropping-particle":"","parse-names":false,"suffix":""},{"dropping-particle":"","family":"Aulia","given":"Dian","non-dropping-particle":"","parse-names":false,"suffix":""},{"dropping-particle":"","family":"Dhiaulhaq","given":"Ahmad","non-dropping-particle":"","parse-names":false,"suffix":""},{"dropping-particle":"","family":"Adaba","given":"Pandu Yuhsina","non-dropping-particle":"","parse-names":false,"suffix":""}],"container-title":"Ocean &amp; Coastal Management","id":"ITEM-2","issued":{"date-parts":[["2025","10"]]},"page":"107801","title":"Displaced by progress: The new capital development and the powers of exclusion in Balikpapan Bay, Indonesia","type":"article-journal","volume":"269"},"uris":["http://www.mendeley.com/documents/?uuid=62a1f929-5012-40d0-bc76-d95f9aadbf61"]}],"mendeley":{"formattedCitation":"(Syaban &amp; Appiah-Opoku, 2024; Syafi’i et al., 2025)","plainTextFormattedCitation":"(Syaban &amp; Appiah-Opoku, 2024; Syafi’i et al., 2025)","previouslyFormattedCitation":"(Syaban &amp; Appiah-Opoku, 2024; Syafi’i et al., 2025)"},"properties":{"noteIndex":0},"schema":"https://github.com/citation-style-language/schema/raw/master/csl-citation.json"}</w:instrText>
      </w:r>
      <w:r w:rsidRPr="00E16B78">
        <w:rPr>
          <w:rFonts w:ascii="Arial" w:hAnsi="Arial" w:cs="Arial"/>
          <w:sz w:val="20"/>
          <w:szCs w:val="20"/>
        </w:rPr>
        <w:fldChar w:fldCharType="separate"/>
      </w:r>
      <w:r w:rsidRPr="00E16B78">
        <w:rPr>
          <w:rFonts w:ascii="Arial" w:hAnsi="Arial" w:cs="Arial"/>
          <w:noProof/>
          <w:sz w:val="20"/>
          <w:szCs w:val="20"/>
        </w:rPr>
        <w:t>(Syaban &amp; Appiah-Opoku, 2024; Syafi’i et al., 2025)</w:t>
      </w:r>
      <w:r w:rsidRPr="00E16B78">
        <w:rPr>
          <w:rFonts w:ascii="Arial" w:hAnsi="Arial" w:cs="Arial"/>
          <w:sz w:val="20"/>
          <w:szCs w:val="20"/>
        </w:rPr>
        <w:fldChar w:fldCharType="end"/>
      </w:r>
      <w:r w:rsidRPr="00E16B78">
        <w:rPr>
          <w:rFonts w:ascii="Arial" w:hAnsi="Arial" w:cs="Arial"/>
          <w:sz w:val="20"/>
          <w:szCs w:val="20"/>
        </w:rPr>
        <w:t>, which are crucial for problem mapping but fail to quantify the relative significance of competing capacity drivers for action selection. This book examines a structural model wherein community motivation, education, and skills forecast community readiness among local individuals in IKN host subdistricts.</w:t>
      </w:r>
    </w:p>
    <w:p w14:paraId="77CD3351" w14:textId="5E40E1F6" w:rsidR="00E16B78" w:rsidRPr="00E16B78" w:rsidRDefault="00E16B78" w:rsidP="00E16B78">
      <w:pPr>
        <w:pStyle w:val="NormalWeb"/>
        <w:spacing w:before="0" w:beforeAutospacing="0" w:after="0" w:afterAutospacing="0"/>
        <w:ind w:firstLine="720"/>
        <w:jc w:val="both"/>
        <w:rPr>
          <w:rStyle w:val="Strong"/>
          <w:rFonts w:ascii="Arial" w:hAnsi="Arial" w:cs="Arial"/>
          <w:b w:val="0"/>
          <w:bCs w:val="0"/>
          <w:sz w:val="20"/>
          <w:szCs w:val="20"/>
        </w:rPr>
      </w:pPr>
      <w:r w:rsidRPr="00E16B78">
        <w:rPr>
          <w:rStyle w:val="Strong"/>
          <w:rFonts w:ascii="Arial" w:hAnsi="Arial" w:cs="Arial"/>
          <w:b w:val="0"/>
          <w:bCs w:val="0"/>
          <w:sz w:val="20"/>
          <w:szCs w:val="20"/>
        </w:rPr>
        <w:t xml:space="preserve">In this context, the current study </w:t>
      </w:r>
      <w:r w:rsidR="00F25C56">
        <w:rPr>
          <w:rStyle w:val="Strong"/>
          <w:rFonts w:ascii="Arial" w:hAnsi="Arial" w:cs="Arial"/>
          <w:b w:val="0"/>
          <w:bCs w:val="0"/>
          <w:sz w:val="20"/>
          <w:szCs w:val="20"/>
        </w:rPr>
        <w:t>shifts from detailing the external pressures and risks associated with IKN-related transformation to elucidating the internal community mechanisms that shape the inclusive use</w:t>
      </w:r>
      <w:r w:rsidRPr="00E16B78">
        <w:rPr>
          <w:rStyle w:val="Strong"/>
          <w:rFonts w:ascii="Arial" w:hAnsi="Arial" w:cs="Arial"/>
          <w:b w:val="0"/>
          <w:bCs w:val="0"/>
          <w:sz w:val="20"/>
          <w:szCs w:val="20"/>
        </w:rPr>
        <w:t xml:space="preserve"> of newly constructed infrastructure by local residents. The central thesis posits that community readiness does not arise spontaneously from the mere presence of infrastructure; instead, it constitutes an actionable capability that necessitates intentional cultivation through: (i) bolstering residents' motivational orientation, (ii) fostering functional skills for effectively engaging with technology-enabled services and processes, and (iii) augmenting educational resources that enhance interpretive and adaptive capacities in response to rapid change. This mechanism-based perspective has not been empirically examined within </w:t>
      </w:r>
      <w:r w:rsidRPr="00E16B78">
        <w:rPr>
          <w:rStyle w:val="Strong"/>
          <w:rFonts w:ascii="Arial" w:hAnsi="Arial" w:cs="Arial"/>
          <w:b w:val="0"/>
          <w:bCs w:val="0"/>
          <w:sz w:val="20"/>
          <w:szCs w:val="20"/>
        </w:rPr>
        <w:lastRenderedPageBreak/>
        <w:t xml:space="preserve">the IKN context, resulting in a significant gap in comprehending which human-capital construct most effectively influences community readiness among IKN's host populations. This study is justified by the need to objectively measure and concurrently evaluate the structural impacts of motivation, skills, and education as determinants of community readiness across all four host subdistricts of the IKN core government region. This section discusses the theoretical foundations and recent empirical evidence </w:t>
      </w:r>
      <w:r w:rsidR="00F25C56">
        <w:rPr>
          <w:rStyle w:val="Strong"/>
          <w:rFonts w:ascii="Arial" w:hAnsi="Arial" w:cs="Arial"/>
          <w:b w:val="0"/>
          <w:bCs w:val="0"/>
          <w:sz w:val="20"/>
          <w:szCs w:val="20"/>
        </w:rPr>
        <w:t>linking these three dimensions to community readiness, and subsequently formulates</w:t>
      </w:r>
      <w:r w:rsidRPr="00E16B78">
        <w:rPr>
          <w:rStyle w:val="Strong"/>
          <w:rFonts w:ascii="Arial" w:hAnsi="Arial" w:cs="Arial"/>
          <w:b w:val="0"/>
          <w:bCs w:val="0"/>
          <w:sz w:val="20"/>
          <w:szCs w:val="20"/>
        </w:rPr>
        <w:t xml:space="preserve"> the hypotheses investigated in the structural model.</w:t>
      </w:r>
    </w:p>
    <w:p w14:paraId="302D714F" w14:textId="77777777" w:rsidR="00E16B78" w:rsidRPr="00353A25" w:rsidRDefault="00E16B78" w:rsidP="00353A25">
      <w:pPr>
        <w:pStyle w:val="Body"/>
        <w:spacing w:after="0"/>
        <w:ind w:left="426" w:hanging="426"/>
        <w:rPr>
          <w:rFonts w:ascii="Arial" w:hAnsi="Arial" w:cs="Arial"/>
        </w:rPr>
      </w:pPr>
    </w:p>
    <w:p w14:paraId="1296604E" w14:textId="052A963A" w:rsidR="00E16B78" w:rsidRPr="00E16B78" w:rsidRDefault="006E45C4" w:rsidP="00E16B78">
      <w:pPr>
        <w:pStyle w:val="AbstHead"/>
        <w:numPr>
          <w:ilvl w:val="0"/>
          <w:numId w:val="6"/>
        </w:numPr>
        <w:spacing w:before="120" w:after="120"/>
        <w:ind w:left="357" w:hanging="357"/>
        <w:jc w:val="both"/>
        <w:rPr>
          <w:rFonts w:ascii="Arial" w:hAnsi="Arial" w:cs="Arial"/>
        </w:rPr>
      </w:pPr>
      <w:r w:rsidRPr="00E16B78">
        <w:rPr>
          <w:rFonts w:ascii="Arial" w:hAnsi="Arial" w:cs="Arial"/>
          <w:caps w:val="0"/>
        </w:rPr>
        <w:t xml:space="preserve">Literature Review </w:t>
      </w:r>
      <w:proofErr w:type="gramStart"/>
      <w:r w:rsidRPr="00E16B78">
        <w:rPr>
          <w:rFonts w:ascii="Arial" w:hAnsi="Arial" w:cs="Arial"/>
          <w:caps w:val="0"/>
        </w:rPr>
        <w:t>And</w:t>
      </w:r>
      <w:proofErr w:type="gramEnd"/>
      <w:r w:rsidRPr="00E16B78">
        <w:rPr>
          <w:rFonts w:ascii="Arial" w:hAnsi="Arial" w:cs="Arial"/>
          <w:caps w:val="0"/>
        </w:rPr>
        <w:t xml:space="preserve"> Hypotheses Development</w:t>
      </w:r>
    </w:p>
    <w:p w14:paraId="2DF955CC" w14:textId="09A5EA6C" w:rsidR="00E16B78" w:rsidRPr="00885153" w:rsidRDefault="00E16B78" w:rsidP="00E16B78">
      <w:pPr>
        <w:pStyle w:val="Heading3"/>
        <w:numPr>
          <w:ilvl w:val="0"/>
          <w:numId w:val="14"/>
        </w:numPr>
        <w:tabs>
          <w:tab w:val="num" w:pos="360"/>
        </w:tabs>
        <w:spacing w:before="0"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 xml:space="preserve">IKN as a Megaproject </w:t>
      </w:r>
      <w:proofErr w:type="gramStart"/>
      <w:r w:rsidRPr="00885153">
        <w:rPr>
          <w:rFonts w:ascii="Arial" w:hAnsi="Arial" w:cs="Arial"/>
          <w:color w:val="auto"/>
          <w:sz w:val="20"/>
          <w:szCs w:val="20"/>
        </w:rPr>
        <w:t>And</w:t>
      </w:r>
      <w:proofErr w:type="gramEnd"/>
      <w:r w:rsidRPr="00885153">
        <w:rPr>
          <w:rFonts w:ascii="Arial" w:hAnsi="Arial" w:cs="Arial"/>
          <w:color w:val="auto"/>
          <w:sz w:val="20"/>
          <w:szCs w:val="20"/>
        </w:rPr>
        <w:t xml:space="preserve"> The Imperative Of Community Capability</w:t>
      </w:r>
    </w:p>
    <w:p w14:paraId="515D3532"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lang w:val="en-US"/>
        </w:rPr>
      </w:pPr>
      <w:r w:rsidRPr="00885153">
        <w:rPr>
          <w:rFonts w:ascii="Arial" w:hAnsi="Arial" w:cs="Arial"/>
          <w:sz w:val="20"/>
          <w:szCs w:val="20"/>
        </w:rPr>
        <w:t xml:space="preserve">Capital relocation is frequently characterized as a modernization strategy; however, recent research on megaprojects underscores that these initiatives are also "legacy-building" efforts: they accelerate institutional decision-making, improve narrative construction, and often prioritize symbolic national goals alongside (or even above) distributive equity. In the Indonesian context, research on Nusantara (IKN) indicates that the relocation initiative is shaped by political ambitions and institutional frameworks that may constrain discourse and diminish opportunities for meaningful local engagement—implying that distributional outcomes are significantly dependent on governance structures rather than merely on infrastructure provision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{"citationItems":[{"id":"ITEM-1","itemData":{"DOI":"10.1016/j.habitatint.2023.102933","ISSN":"01973975","author":[{"dropping-particle":"","family":"Hudalah","given":"Delik","non-dropping-particle":"","parse-names":false,"suffix":""}],"container-title":"Habitat International","id":"ITEM-1","issued":{"date-parts":[["2023","11"]]},"page":"102933","title":"Building a capital city, carving out a megaproject legacy?","type":"article-journal","volume":"141"},"uris":["http://www.mendeley.com/documents/?uuid=76425e84-80ae-4db3-9824-6ff250376267"]}],"mendeley":{"formattedCitation":"(Hudalah, 2023)","plainTextFormattedCitation":"(Hudalah, 2023)","previouslyFormattedCitation":"(Hudalah, 2023)"},"properties":{"noteIndex":0},"schema":"https://github.com/citation-style-language/schema/raw/master/csl-citation.json"}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(Hudalah, 2023)</w:t>
      </w:r>
      <w:r w:rsidRPr="00885153">
        <w:rPr>
          <w:rFonts w:ascii="Arial" w:hAnsi="Arial" w:cs="Arial"/>
          <w:sz w:val="20"/>
          <w:szCs w:val="20"/>
        </w:rPr>
        <w:fldChar w:fldCharType="end"/>
      </w:r>
      <w:r w:rsidRPr="00885153">
        <w:rPr>
          <w:rFonts w:ascii="Arial" w:hAnsi="Arial" w:cs="Arial"/>
          <w:sz w:val="20"/>
          <w:szCs w:val="20"/>
          <w:lang w:val="en-US"/>
        </w:rPr>
        <w:t>.</w:t>
      </w:r>
    </w:p>
    <w:p w14:paraId="7FCEA0F1" w14:textId="4846DE59" w:rsidR="00E16B78" w:rsidRPr="00885153" w:rsidRDefault="00E16B78" w:rsidP="00E16B78">
      <w:pPr>
        <w:pStyle w:val="NormalWeb"/>
        <w:spacing w:before="0" w:beforeAutospacing="0" w:after="0" w:afterAutospacing="0"/>
        <w:ind w:firstLine="720"/>
        <w:jc w:val="both"/>
        <w:rPr>
          <w:rFonts w:ascii="Arial" w:hAnsi="Arial" w:cs="Arial"/>
          <w:sz w:val="20"/>
          <w:szCs w:val="20"/>
          <w:lang w:val="en-US"/>
        </w:rPr>
      </w:pPr>
      <w:r w:rsidRPr="00885153">
        <w:rPr>
          <w:rFonts w:ascii="Arial" w:hAnsi="Arial" w:cs="Arial"/>
          <w:sz w:val="20"/>
          <w:szCs w:val="20"/>
        </w:rPr>
        <w:t xml:space="preserve">Empirical research in the IKN development region indicates that </w:t>
      </w:r>
      <w:r w:rsidR="00F25C56">
        <w:rPr>
          <w:rFonts w:ascii="Arial" w:hAnsi="Arial" w:cs="Arial"/>
          <w:sz w:val="20"/>
          <w:szCs w:val="20"/>
        </w:rPr>
        <w:t>geographic change can simultaneously expand</w:t>
      </w:r>
      <w:r w:rsidRPr="00885153">
        <w:rPr>
          <w:rFonts w:ascii="Arial" w:hAnsi="Arial" w:cs="Arial"/>
          <w:sz w:val="20"/>
          <w:szCs w:val="20"/>
        </w:rPr>
        <w:t xml:space="preserve"> opportunities and exacerbate vulnerabilities. Land-use transition analysis reveals swift conversion pressures from natural vegetation and agricultural practices to urban development, resulting in multifaceted risks associated with ecological alteration, disruption of livelihoods, and potential conflict, particularly in areas where land, resources, and authority are disputed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{"citationItems":[{"id":"ITEM-1","itemData":{"DOI":"10.59888/ajosh.v2i10.352","ISSN":"2963-4946","abstract":"Land disputes are one of the complex and frequent agrarian problems in Indonesia. Therefore, systematic and targeted efforts are needed to resolve land disputes in Indonesia. The National Land Agency (BPN) as a government agency tasked with managing land has an important role in resolving land disputes. This research aims to examine the role of BPN in resolving land disputes in Indonesia. The research method used in this study is a qualitative method. The data collection technique in this research is literature study. The data that has been collected is then analyzed in three stages, namely data reduction, data presentation and drawing conclusions. The research results show that BPN has a central role in resolving land disputes in Indonesia. As an institution responsible for land administration and management, BPN plays a role in facilitating legal and administrative processes related to ownership, utilization and resolution of land disputes. BPN is tasked with providing legal certainty regarding land status, verifying ownership claims, and providing land certificates to the legal owners. Apart from that, BPN also plays a role in mediating and resolving conflicts between parties involved in land disputes, whether between individuals, traditional communities, or private parties. BPN's role is not only limited to administrative aspects, but also includes efforts to create fair and sustainable solutions, taking into account various social, economic and environmental aspects.","author":[{"dropping-particle":"","family":"Pasamai","given":"Syamsuddin","non-dropping-particle":"","parse-names":false,"suffix":""},{"dropping-particle":"","family":"Salle","given":"Salle","non-dropping-particle":"","parse-names":false,"suffix":""}],"container-title":"Asian Journal of Social and Humanities","id":"ITEM-1","issue":"10","issued":{"date-parts":[["2024","7","20"]]},"page":"2195-2202","title":"The Role of The National Land Agency (BPN) In Resolving Land Disputes In Indonesia","type":"article-journal","volume":"2"},"uris":["http://www.mendeley.com/documents/?uuid=f441e257-6f14-4d3b-8e2f-3e331198f9f6"]}],"mendeley":{"formattedCitation":"(Pasamai &amp; Salle, 2024)","plainTextFormattedCitation":"(Pasamai &amp; Salle, 2024)","previouslyFormattedCitation":"(Pasamai &amp; Salle, 2024)"},"properties":{"noteIndex":0},"schema":"https://github.com/citation-style-language/schema/raw/master/csl-citation.json"}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(Pasamai &amp; Salle, 2024)</w:t>
      </w:r>
      <w:r w:rsidRPr="00885153">
        <w:rPr>
          <w:rFonts w:ascii="Arial" w:hAnsi="Arial" w:cs="Arial"/>
          <w:sz w:val="20"/>
          <w:szCs w:val="20"/>
        </w:rPr>
        <w:fldChar w:fldCharType="end"/>
      </w:r>
      <w:r w:rsidRPr="00885153">
        <w:rPr>
          <w:rFonts w:ascii="Arial" w:hAnsi="Arial" w:cs="Arial"/>
          <w:sz w:val="20"/>
          <w:szCs w:val="20"/>
          <w:lang w:val="en-US"/>
        </w:rPr>
        <w:t xml:space="preserve">. </w:t>
      </w:r>
      <w:r w:rsidRPr="00885153">
        <w:rPr>
          <w:rFonts w:ascii="Arial" w:hAnsi="Arial" w:cs="Arial"/>
          <w:sz w:val="20"/>
          <w:szCs w:val="20"/>
        </w:rPr>
        <w:t xml:space="preserve">In Balikpapan Bay, a coastal region associated with the larger IKN development initiative, qualitative evidence reveals exclusionary mechanisms at work through regulation, legitimation, market dynamics, and coercion, which alter access to coastal resources and exacerbate livelihood insecurity for fishing communities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{"citationItems":[{"id":"ITEM-1","itemData":{"DOI":"10.1016/j.ocecoaman.2025.107801","ISSN":"09645691","abstract":"Relocation of capital cities often promises modernization and economic growth but raises significant socio-ecological concerns. Indonesia's decision to move its capital from Jakarta to ‘Nusantara’ (IKN) in East Kalimantan exemplifies these challenges, particularly for local communities. This study examines the socio-ecological impacts of this development on coastal communities in Balikpapan Bay, a critical yet underexplored context in Indonesia's new capital project. Drawing on ‘powers of exclusion’ and ocean-grabbing theories, it investigates how government regulations, legitimation, market dynamics, and force intensify the exclusion of coastal communities in Balikpapan Bay, and how IKN's development reshapes access and fishers' relations to coastal resources. Employing qualitative methods, it draws on from field research in several villages around Balikpapan Bay. Findings reveal that the new capital development exacerbates long-standing exclusion of coastal communities, particularly for fishing groups. Pressures from the logging, mining, and plantations had already limited fishermen's access and IKN development deepens this exclusion, disrupting fishers' livelihoods, and sparkling social conflicts over shrinking resources. The study highlights the state's role in legitimizing exclusions under development narratives, prioritizing state and corporate interests over local communities. This research contributes to a deeper understanding of the socio-environmental ramifications and trade-offs inherent in large-scale infrastructure projects like capital relocation. This research underscores the urgent need for inclusive approaches in coastal governance to reconcile large-scale development with socio-ecological justice, offering critical insights for policymakers and development practitioners worldwide.","author":[{"dropping-particle":"","family":"Syafi'i","given":"Imam","non-dropping-particle":"","parse-names":false,"suffix":""},{"dropping-particle":"","family":"Suryani","given":"Dini","non-dropping-particle":"","parse-names":false,"suffix":""},{"dropping-particle":"","family":"Satriani","given":"Septi","non-dropping-particle":"","parse-names":false,"suffix":""},{"dropping-particle":"","family":"Aulia","given":"Dian","non-dropping-particle":"","parse-names":false,"suffix":""},{"dropping-particle":"","family":"Dhiaulhaq","given":"Ahmad","non-dropping-particle":"","parse-names":false,"suffix":""},{"dropping-particle":"","family":"Adaba","given":"Pandu Yuhsina","non-dropping-particle":"","parse-names":false,"suffix":""}],"container-title":"Ocean &amp; Coastal Management","id":"ITEM-1","issued":{"date-parts":[["2025","10"]]},"page":"107801","title":"Displaced by progress: The new capital development and the powers of exclusion in Balikpapan Bay, Indonesia","type":"article-journal","volume":"269"},"uris":["http://www.mendeley.com/documents/?uuid=62a1f929-5012-40d0-bc76-d95f9aadbf61"]}],"mendeley":{"formattedCitation":"(Syafi’i et al., 2025)","plainTextFormattedCitation":"(Syafi’i et al., 2025)","previouslyFormattedCitation":"(Syafi’i et al., 2025)"},"properties":{"noteIndex":0},"schema":"https://github.com/citation-style-language/schema/raw/master/csl-citation.json"}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(Syafi’i et al., 2025)</w:t>
      </w:r>
      <w:r w:rsidRPr="00885153">
        <w:rPr>
          <w:rFonts w:ascii="Arial" w:hAnsi="Arial" w:cs="Arial"/>
          <w:sz w:val="20"/>
          <w:szCs w:val="20"/>
        </w:rPr>
        <w:fldChar w:fldCharType="end"/>
      </w:r>
      <w:r w:rsidRPr="00885153">
        <w:rPr>
          <w:rFonts w:ascii="Arial" w:hAnsi="Arial" w:cs="Arial"/>
          <w:sz w:val="20"/>
          <w:szCs w:val="20"/>
          <w:lang w:val="en-US"/>
        </w:rPr>
        <w:t>.</w:t>
      </w:r>
    </w:p>
    <w:p w14:paraId="35013F54" w14:textId="2C5539ED" w:rsidR="00E16B78"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Participation and procedural justice are thus essential concerns in the IKN context. A legal and human rights-focused analysis indicates that extensive development may create significant obstacles for Indigenous peoples and local communities in defending their land, negotiating equitable terms, and obtaining meaningful consultation, thereby underscoring the necessity of considering "community capability" as an essential criterion for inclusive development. The IKN literature advocates for a transition from an infrastructure-focused perspective (“what is constructed?”) to a capability-focused perspective (“who can utilize and benefit, and under what circumstances?”).</w:t>
      </w:r>
    </w:p>
    <w:p w14:paraId="5C9BF530"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rPr>
      </w:pPr>
    </w:p>
    <w:p w14:paraId="0BE74413" w14:textId="164ABA39" w:rsidR="00E16B78" w:rsidRPr="00885153" w:rsidRDefault="00E16B78" w:rsidP="00E16B78">
      <w:pPr>
        <w:pStyle w:val="Heading3"/>
        <w:numPr>
          <w:ilvl w:val="0"/>
          <w:numId w:val="14"/>
        </w:numPr>
        <w:tabs>
          <w:tab w:val="num" w:pos="360"/>
        </w:tabs>
        <w:spacing w:before="0"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 xml:space="preserve">Community Readiness </w:t>
      </w:r>
      <w:proofErr w:type="gramStart"/>
      <w:r w:rsidRPr="00885153">
        <w:rPr>
          <w:rFonts w:ascii="Arial" w:hAnsi="Arial" w:cs="Arial"/>
          <w:color w:val="auto"/>
          <w:sz w:val="20"/>
          <w:szCs w:val="20"/>
        </w:rPr>
        <w:t>As</w:t>
      </w:r>
      <w:proofErr w:type="gramEnd"/>
      <w:r w:rsidRPr="00885153">
        <w:rPr>
          <w:rFonts w:ascii="Arial" w:hAnsi="Arial" w:cs="Arial"/>
          <w:color w:val="auto"/>
          <w:sz w:val="20"/>
          <w:szCs w:val="20"/>
        </w:rPr>
        <w:t xml:space="preserve"> A Multidimensional Capability </w:t>
      </w:r>
    </w:p>
    <w:p w14:paraId="422B361D" w14:textId="2724EFFE"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 xml:space="preserve">This study </w:t>
      </w:r>
      <w:r w:rsidR="00F25C56">
        <w:rPr>
          <w:rFonts w:ascii="Arial" w:hAnsi="Arial" w:cs="Arial"/>
          <w:sz w:val="20"/>
          <w:szCs w:val="20"/>
        </w:rPr>
        <w:t>uses</w:t>
      </w:r>
      <w:r w:rsidRPr="00885153">
        <w:rPr>
          <w:rFonts w:ascii="Arial" w:hAnsi="Arial" w:cs="Arial"/>
          <w:sz w:val="20"/>
          <w:szCs w:val="20"/>
        </w:rPr>
        <w:t xml:space="preserve"> community readiness as a systemic capability construct to elucidate the uneven realization of megaproject infrastructure benefits. Readiness is not regarded as a singular disposition (e.g., optimism) but as an organized arrangement of competencies that influence a community's ability to identify an issue, galvanize collective action, coordinate leadership, maintain a supportive environment, and secure enabling resources.</w:t>
      </w:r>
    </w:p>
    <w:p w14:paraId="0EC7CCA2"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Current implementations and confirmations of the Community Readiness Model (CRM) offer a solid foundation for operationalization. Recent empirical research confirms that readiness is evaluated across six aspects, which are considered indications of community preparation.</w:t>
      </w:r>
    </w:p>
    <w:p w14:paraId="22020B04" w14:textId="77777777" w:rsidR="00E16B78" w:rsidRPr="00E16B78"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E16B78">
        <w:rPr>
          <w:rStyle w:val="Strong"/>
          <w:rFonts w:ascii="Arial" w:hAnsi="Arial" w:cs="Arial"/>
          <w:b w:val="0"/>
          <w:bCs w:val="0"/>
          <w:sz w:val="20"/>
          <w:szCs w:val="20"/>
        </w:rPr>
        <w:t>Collective Initiatives (current measures/actions tackling the issue)</w:t>
      </w:r>
    </w:p>
    <w:p w14:paraId="436D59B7" w14:textId="77777777" w:rsidR="00E16B78" w:rsidRPr="00E16B78"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E16B78">
        <w:rPr>
          <w:rStyle w:val="Strong"/>
          <w:rFonts w:ascii="Arial" w:hAnsi="Arial" w:cs="Arial"/>
          <w:b w:val="0"/>
          <w:bCs w:val="0"/>
          <w:sz w:val="20"/>
          <w:szCs w:val="20"/>
        </w:rPr>
        <w:t>Program Awareness (community cognizance of current initiatives/programs)</w:t>
      </w:r>
    </w:p>
    <w:p w14:paraId="5517A356" w14:textId="77777777" w:rsidR="00E16B78" w:rsidRPr="00E16B78"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E16B78">
        <w:rPr>
          <w:rStyle w:val="Strong"/>
          <w:rFonts w:ascii="Arial" w:hAnsi="Arial" w:cs="Arial"/>
          <w:b w:val="0"/>
          <w:bCs w:val="0"/>
          <w:sz w:val="20"/>
          <w:szCs w:val="20"/>
        </w:rPr>
        <w:t>Community Leadership (support and coordination of leadership)</w:t>
      </w:r>
    </w:p>
    <w:p w14:paraId="06E1FCA0" w14:textId="77777777" w:rsidR="00E16B78" w:rsidRPr="00E16B78"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E16B78">
        <w:rPr>
          <w:rStyle w:val="Strong"/>
          <w:rFonts w:ascii="Arial" w:hAnsi="Arial" w:cs="Arial"/>
          <w:b w:val="0"/>
          <w:bCs w:val="0"/>
          <w:sz w:val="20"/>
          <w:szCs w:val="20"/>
        </w:rPr>
        <w:t>Community Climate (dominant norms and attitudes toward the issue and transformation)</w:t>
      </w:r>
    </w:p>
    <w:p w14:paraId="26A54C8F" w14:textId="5C820CB6" w:rsidR="00E16B78" w:rsidRPr="00E16B78" w:rsidRDefault="00E16B78" w:rsidP="00E16B78">
      <w:pPr>
        <w:pStyle w:val="NormalWeb"/>
        <w:numPr>
          <w:ilvl w:val="0"/>
          <w:numId w:val="9"/>
        </w:numPr>
        <w:tabs>
          <w:tab w:val="clear" w:pos="720"/>
        </w:tabs>
        <w:spacing w:before="0" w:beforeAutospacing="0" w:after="0" w:afterAutospacing="0"/>
        <w:ind w:left="426"/>
        <w:jc w:val="both"/>
        <w:rPr>
          <w:rStyle w:val="Strong"/>
          <w:rFonts w:ascii="Arial" w:hAnsi="Arial" w:cs="Arial"/>
          <w:b w:val="0"/>
          <w:bCs w:val="0"/>
          <w:sz w:val="20"/>
          <w:szCs w:val="20"/>
        </w:rPr>
      </w:pPr>
      <w:r w:rsidRPr="00E16B78">
        <w:rPr>
          <w:rStyle w:val="Strong"/>
          <w:rFonts w:ascii="Arial" w:hAnsi="Arial" w:cs="Arial"/>
          <w:b w:val="0"/>
          <w:bCs w:val="0"/>
          <w:sz w:val="20"/>
          <w:szCs w:val="20"/>
        </w:rPr>
        <w:t xml:space="preserve">Issue Comprehension of the community's awareness </w:t>
      </w:r>
      <w:r w:rsidR="00F25C56">
        <w:rPr>
          <w:rStyle w:val="Strong"/>
          <w:rFonts w:ascii="Arial" w:hAnsi="Arial" w:cs="Arial"/>
          <w:b w:val="0"/>
          <w:bCs w:val="0"/>
          <w:sz w:val="20"/>
          <w:szCs w:val="20"/>
        </w:rPr>
        <w:t>of</w:t>
      </w:r>
      <w:r w:rsidRPr="00E16B78">
        <w:rPr>
          <w:rStyle w:val="Strong"/>
          <w:rFonts w:ascii="Arial" w:hAnsi="Arial" w:cs="Arial"/>
          <w:b w:val="0"/>
          <w:bCs w:val="0"/>
          <w:sz w:val="20"/>
          <w:szCs w:val="20"/>
        </w:rPr>
        <w:t xml:space="preserve"> the issue and its ramifications</w:t>
      </w:r>
    </w:p>
    <w:p w14:paraId="2E76D9E6" w14:textId="77777777" w:rsidR="00E16B78" w:rsidRPr="00E16B78" w:rsidRDefault="00E16B78" w:rsidP="00E16B78">
      <w:pPr>
        <w:pStyle w:val="NormalWeb"/>
        <w:numPr>
          <w:ilvl w:val="0"/>
          <w:numId w:val="9"/>
        </w:numPr>
        <w:tabs>
          <w:tab w:val="clear" w:pos="720"/>
        </w:tabs>
        <w:spacing w:before="0" w:beforeAutospacing="0" w:after="0" w:afterAutospacing="0"/>
        <w:ind w:left="426"/>
        <w:jc w:val="both"/>
        <w:rPr>
          <w:rFonts w:ascii="Arial" w:hAnsi="Arial" w:cs="Arial"/>
          <w:b/>
          <w:bCs/>
          <w:sz w:val="20"/>
          <w:szCs w:val="20"/>
        </w:rPr>
      </w:pPr>
      <w:r w:rsidRPr="00E16B78">
        <w:rPr>
          <w:rStyle w:val="Strong"/>
          <w:rFonts w:ascii="Arial" w:hAnsi="Arial" w:cs="Arial"/>
          <w:b w:val="0"/>
          <w:bCs w:val="0"/>
          <w:sz w:val="20"/>
          <w:szCs w:val="20"/>
        </w:rPr>
        <w:t>Resources (the accessibility of resources to facilitate action)</w:t>
      </w:r>
    </w:p>
    <w:p w14:paraId="20921F21" w14:textId="3FB6A5D6"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 xml:space="preserve">The six-dimensional framework is explicitly validated in recent CRM adaptation and validation studies, demonstrating that all six characteristics are essential and culturally adaptive across many contexts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{"citationItems":[{"id":"ITEM-1","itemData":{"DOI":"10.3961/jpmph.22.409","ISSN":"19758375","PMID":"36746425","abstract":"Objectives: It is critical to assess community readiness (CR) when implementing childhood obesity prevention programs to ensure their eventual success and sustainability. Multiple tools have been developed based on various conceptions of readiness. One of the most widely used and flexible tools is based on the community readiness model (CRM). This study aimed to adapt the CRM and assess the validity of a community readiness tool (CRT) for childhood obesity prevention programs in Iran. Methods: A Delphi study that included 26 individuals with expertise in 8 different subject areas was conducted to adapt the CRM into a theoretical framework for developing a CRT. After linguistic validation was conducted for a 35-question CR interview guide, the modified interview guide was evaluated for its content and face validity. The quantitative and qualitative analyses were performed using Stata version 13 and MAXQDA 2010, respectively. Results: The Delphi panelists confirmed the necessity/appropriateness and adequacy of all 6 CRM dimensions. The Persian version of the interview guide was then modified based on the qualitative results of the Delphi study, and 2 more questions were added to the community climate dimension of the original CRT. All questions in the modified version had acceptable content and face validity. The final CR interview guide included 37 questions across 6 CRM dimensions. Conclusions: By adapting the CRM and confirming linguistic, content, and face validity, the present study devised a CRT for childhood obesity prevention programs that can be used in relevant studies in Iran.","author":[{"dropping-particle":"","family":"Niknam","given":"Mahdieh","non-dropping-particle":"","parse-names":false,"suffix":""},{"dropping-particle":"","family":"Omidvar","given":"Nasrin","non-dropping-particle":"","parse-names":false,"suffix":""},{"dropping-particle":"","family":"Amiri","given":"Parisa","non-dropping-particle":"","parse-names":false,"suffix":""},{"dropping-particle":"","family":"Eini-Zinab","given":"Hassan","non-dropping-particle":"","parse-names":false,"suffix":""},{"dropping-particle":"","family":"Kalantari","given":"Naser","non-dropping-particle":"","parse-names":false,"suffix":""}],"container-title":"Journal of Preventive Medicine and Public Health","id":"ITEM-1","issue":"1","issued":{"date-parts":[["2023"]]},"page":"77-87","title":"Adapting the Community Readiness Model and Validating a Community Readiness Tool for Childhood Obesity Prevention Programs in Iran","type":"article-journal","volume":"56"},"uris":["http://www.mendeley.com/documents/?uuid=01834442-f239-4dc3-b78b-297e88046164"]}],"mendeley":{"formattedCitation":"(Niknam et al., 2023)","plainTextFormattedCitation":"(Niknam et al., 2023)","previouslyFormattedCitation":"(Niknam et al., 2023)"},"properties":{"noteIndex":0},"schema":"https://github.com/citation-style-language/schema/raw/master/csl-citation.json"}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(Niknam et al., 2023)</w:t>
      </w:r>
      <w:r w:rsidRPr="00885153">
        <w:rPr>
          <w:rFonts w:ascii="Arial" w:hAnsi="Arial" w:cs="Arial"/>
          <w:sz w:val="20"/>
          <w:szCs w:val="20"/>
        </w:rPr>
        <w:fldChar w:fldCharType="end"/>
      </w:r>
      <w:r w:rsidRPr="00885153">
        <w:rPr>
          <w:rFonts w:ascii="Arial" w:hAnsi="Arial" w:cs="Arial"/>
          <w:sz w:val="20"/>
          <w:szCs w:val="20"/>
        </w:rPr>
        <w:t>.</w:t>
      </w:r>
      <w:r>
        <w:rPr>
          <w:rFonts w:ascii="Arial" w:hAnsi="Arial" w:cs="Arial"/>
          <w:sz w:val="20"/>
          <w:szCs w:val="20"/>
          <w:lang w:val="en-US"/>
        </w:rPr>
        <w:t xml:space="preserve"> </w:t>
      </w:r>
      <w:r w:rsidRPr="00885153">
        <w:rPr>
          <w:rFonts w:ascii="Arial" w:hAnsi="Arial" w:cs="Arial"/>
          <w:sz w:val="20"/>
          <w:szCs w:val="20"/>
        </w:rPr>
        <w:t xml:space="preserve">Furthermore, the readiness literature increasingly advocates for the conceptualization </w:t>
      </w:r>
      <w:r w:rsidRPr="00885153">
        <w:rPr>
          <w:rFonts w:ascii="Arial" w:hAnsi="Arial" w:cs="Arial"/>
          <w:sz w:val="20"/>
          <w:szCs w:val="20"/>
        </w:rPr>
        <w:lastRenderedPageBreak/>
        <w:t xml:space="preserve">of readiness measurement as a latent, multidimensional entity, wherein deficiencies in any singular dimension may impede systemic transformation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{"citationItems":[{"id":"ITEM-1","itemData":{"DOI":"10.3390/bs16010153","ISSN":"2076-328X","abstract":"Background: Community readiness assessment is used to gauge a community’s ability to address systemic issues and inform action. The Community Readiness Instrument (CRI) is the only published tool to have undergone rigorous development and testing. The purpose of this study is to further refine the CRI and establish its score reliability and validity evidence so that healthcare professionals, community advocates, and researchers have a strong assessment of community readiness. Methods: The present study details continued assessment of the CRI through full-scale testing. We conducted a second-order confirmatory factor analysis to analyze the CRI’s six-factor structure. We also conducted Rasch analyses to determine the item-level fit statistics for each subscale. Results: Our results suggest that the CRI is a well-structured quantitative tool with items demonstrating sufficient fit under each first-order latent factor. The items each fell into one-factor solutions, and the six subscales collectively formed a higher-order construct of Community Readiness. The CRI continues to demonstrate strong psychometric properties, score reliability, and validity evidence. Conclusions: Mental health and addiction professionals can use the CRI to explore change readiness toward a specific issue in their communities. Implications for practitioners, community advocates, and future researchers are provided.","author":[{"dropping-particle":"","family":"Ricciutti","given":"Natalie M.","non-dropping-particle":"","parse-names":false,"suffix":""},{"dropping-particle":"","family":"Cureton","given":"Jenny L.","non-dropping-particle":"","parse-names":false,"suffix":""},{"dropping-particle":"","family":"Zhang","given":"Sijia","non-dropping-particle":"","parse-names":false,"suffix":""}],"container-title":"Behavioral Sciences","id":"ITEM-1","issue":"1","issued":{"date-parts":[["2026","1","22"]]},"page":"153","title":"The Community Readiness Instrument: A Quantitative Measurement Using Statistical Best Practices to Assess Systemic Change Readiness","type":"article-journal","volume":"16"},"uris":["http://www.mendeley.com/documents/?uuid=e9323dd0-1237-4999-a0b4-7be9ef7b8c94"]}],"mendeley":{"formattedCitation":"(Ricciutti et al., 2026)","plainTextFormattedCitation":"(Ricciutti et al., 2026)","previouslyFormattedCitation":"(Ricciutti et al., 2026)"},"properties":{"noteIndex":0},"schema":"https://github.com/citation-style-language/schema/raw/master/csl-citation.json"}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(Ricciutti et al., 2026)</w:t>
      </w:r>
      <w:r w:rsidRPr="00885153">
        <w:rPr>
          <w:rFonts w:ascii="Arial" w:hAnsi="Arial" w:cs="Arial"/>
          <w:sz w:val="20"/>
          <w:szCs w:val="20"/>
        </w:rPr>
        <w:fldChar w:fldCharType="end"/>
      </w:r>
      <w:r w:rsidRPr="00885153">
        <w:rPr>
          <w:rFonts w:ascii="Arial" w:hAnsi="Arial" w:cs="Arial"/>
          <w:sz w:val="20"/>
          <w:szCs w:val="20"/>
        </w:rPr>
        <w:t xml:space="preserve">. </w:t>
      </w:r>
    </w:p>
    <w:p w14:paraId="20C0EEE9" w14:textId="5140371D" w:rsidR="00E16B78"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lang w:val="en-US"/>
        </w:rPr>
        <w:t xml:space="preserve"> </w:t>
      </w:r>
      <w:r w:rsidRPr="00885153">
        <w:rPr>
          <w:rFonts w:ascii="Arial" w:hAnsi="Arial" w:cs="Arial"/>
          <w:sz w:val="20"/>
          <w:szCs w:val="20"/>
        </w:rPr>
        <w:t xml:space="preserve">Empirical data </w:t>
      </w:r>
      <w:r w:rsidR="00F25C56">
        <w:rPr>
          <w:rFonts w:ascii="Arial" w:hAnsi="Arial" w:cs="Arial"/>
          <w:sz w:val="20"/>
          <w:szCs w:val="20"/>
        </w:rPr>
        <w:t>indicate</w:t>
      </w:r>
      <w:r w:rsidRPr="00885153">
        <w:rPr>
          <w:rFonts w:ascii="Arial" w:hAnsi="Arial" w:cs="Arial"/>
          <w:sz w:val="20"/>
          <w:szCs w:val="20"/>
        </w:rPr>
        <w:t xml:space="preserve"> that dimensions of preparation frequently exhibit internal variability (e.g., leadership and resources may be more robust than community climate), and these "dimension gaps" carry significant consequences for the sequencing of interventions</w:t>
      </w:r>
      <w:r w:rsidRPr="00885153">
        <w:rPr>
          <w:rFonts w:ascii="Arial" w:hAnsi="Arial" w:cs="Arial"/>
          <w:sz w:val="20"/>
          <w:szCs w:val="20"/>
          <w:lang w:val="en-US"/>
        </w:rPr>
        <w:t xml:space="preserve"> </w:t>
      </w:r>
      <w:r w:rsidRPr="00885153">
        <w:rPr>
          <w:rFonts w:ascii="Arial" w:hAnsi="Arial" w:cs="Arial"/>
          <w:sz w:val="20"/>
          <w:szCs w:val="20"/>
        </w:rPr>
        <w:t xml:space="preserve">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{"citationItems":[{"id":"ITEM-1","itemData":{"DOI":"10.1016/j.trip.2023.100992","ISSN":"25901982","abstract":"Fatal and serious crashes on our roadways remain a persistent public health crisis. Vision Zero, based on the principles of a Safe Systems approach, is an initiative that has grown in popularity in the United States in the past decade. While the importance of cross-sector collaboration and the need for a supportive community culture in order to realize community change is well established, such tools and frameworks have not been applied as commonly for road safety initiatives as in other fields. We adapted and utilized the Community Readiness Assessment (CRA) tool, a well-established model within public health for assessing and informing community-based interventions in seven Vision Zero communities in one U.S. state. Three communities assessed were determined to be at an overall readiness level of four out of nine, or at a “preplanning” level and four of the communities scored a level of three, or at a “vague awareness” level. However, levels of readiness across the six dimensions measured varied, with community-related dimensions (e.g., community climate) scoring lower than readiness levels for stakeholder knowledge, leadership, and resources. Additionally, communities with more advanced stages of implementation had higher readiness scores, on average. Assessment results provided unique insights to inform next steps for local initiatives, particularly related to discrepancies between the readiness of the wider community and the readiness of leadership and available resources. Therefore, the CRA represents a potentially beneficial tool for communities pursuing Vision Zero initiatives.","author":[{"dropping-particle":"","family":"Keefe","given":"Elyse M.","non-dropping-particle":"","parse-names":false,"suffix":""},{"dropping-particle":"","family":"Naumann","given":"Rebecca B.","non-dropping-particle":"","parse-names":false,"suffix":""},{"dropping-particle":"","family":"Evenson","given":"Kelly R.","non-dropping-particle":"","parse-names":false,"suffix":""},{"dropping-particle":"","family":"LaJeunesse","given":"Seth","non-dropping-particle":"","parse-names":false,"suffix":""},{"dropping-particle":"","family":"Heiny","given":"Stephen","non-dropping-particle":"","parse-names":false,"suffix":""},{"dropping-particle":"","family":"Lich","given":"Kristen Hassmiller","non-dropping-particle":"","parse-names":false,"suffix":""}],"container-title":"Transportation Research Interdisciplinary Perspectives","id":"ITEM-1","issue":"September 2023","issued":{"date-parts":[["2024"]]},"page":"100992","publisher":"Elsevier Ltd","title":"Using an adapted community readiness assessment to inform Vision Zero and safe systems action","type":"article-journal","volume":"23"},"uris":["http://www.mendeley.com/documents/?uuid=ddebdf71-2430-4e6a-bb61-96dfe6e52dfc"]}],"mendeley":{"formattedCitation":"(Keefe et al., 2024)","plainTextFormattedCitation":"(Keefe et al., 2024)","previouslyFormattedCitation":"(Keefe et al., 2024)"},"properties":{"noteIndex":0},"schema":"https://github.com/citation-style-language/schema/raw/master/csl-citation.json"}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(Keefe et al., 2024)</w:t>
      </w:r>
      <w:r w:rsidRPr="00885153">
        <w:rPr>
          <w:rFonts w:ascii="Arial" w:hAnsi="Arial" w:cs="Arial"/>
          <w:sz w:val="20"/>
          <w:szCs w:val="20"/>
        </w:rPr>
        <w:fldChar w:fldCharType="end"/>
      </w:r>
      <w:r w:rsidRPr="00885153">
        <w:rPr>
          <w:rFonts w:ascii="Arial" w:hAnsi="Arial" w:cs="Arial"/>
          <w:sz w:val="20"/>
          <w:szCs w:val="20"/>
          <w:lang w:val="en-US"/>
        </w:rPr>
        <w:t xml:space="preserve">. </w:t>
      </w:r>
      <w:r w:rsidRPr="00885153">
        <w:rPr>
          <w:rFonts w:ascii="Arial" w:hAnsi="Arial" w:cs="Arial"/>
          <w:sz w:val="20"/>
          <w:szCs w:val="20"/>
        </w:rPr>
        <w:t>In the context of IKN, community readiness serves as an analytically suitable link between macro-level transformations (such as new infrastructure and governance structures) and micro-level results (including effective use, equitable access, and meaningful engagement).</w:t>
      </w:r>
    </w:p>
    <w:p w14:paraId="31A510D8"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rPr>
      </w:pPr>
    </w:p>
    <w:p w14:paraId="249A23C8" w14:textId="77777777" w:rsidR="00E16B78" w:rsidRPr="00885153" w:rsidRDefault="00E16B78" w:rsidP="00E16B78">
      <w:pPr>
        <w:pStyle w:val="Heading3"/>
        <w:numPr>
          <w:ilvl w:val="0"/>
          <w:numId w:val="14"/>
        </w:numPr>
        <w:tabs>
          <w:tab w:val="num" w:pos="360"/>
        </w:tabs>
        <w:spacing w:before="0"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Community skills as operational capacity for access and use (three indicators)</w:t>
      </w:r>
    </w:p>
    <w:p w14:paraId="485B7FE7"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In technology-mediated public services, skills are immediate factors influencing residents' ability to access, comprehend, and execute procedures within contemporary government systems. Research from Telecommunications Policy indicates that ICT/e-skills, together with faith in technology and the quality of connectivity, are critical factors influencing e-government utilization and elucidating discrepancies within socioeconomic classes</w:t>
      </w:r>
      <w:r w:rsidRPr="00885153">
        <w:rPr>
          <w:rFonts w:ascii="Arial" w:hAnsi="Arial" w:cs="Arial"/>
          <w:sz w:val="20"/>
          <w:szCs w:val="20"/>
          <w:lang w:val="en-US"/>
        </w:rPr>
        <w:t xml:space="preserve">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{"citationItems":[{"id":"ITEM-1","itemData":{"DOI":"10.1016/j.telpol.2025.102918","ISSN":"03085961","abstract":"This paper examines the factors that determine the use of e-government services in Spain. It identifies key determinants, including e-services usage synergies, e-trust, e-skills and socio-demographic determinants of e-government use as an outcome of a logit model with national data from 2023. The main results highlight the key role of ICT skills, confidence in technology and the quality of Internet connectivity, revealing significant disparities between socio-economic groups. Meanwhile, it explores the second and third levels of the digital divide, with a special focus on the information and ICT domain and its effective application, analysing the penetration and main uses of e-government in Spain. Policy recommendations call for the enhancement of digital literacy, the fostering of trust in e-government and the improvement of Internet access for vulnerable populations to promote inclusive digital governance.","author":[{"dropping-particle":"","family":"Gijón","given":"Covadonga","non-dropping-particle":"","parse-names":false,"suffix":""},{"dropping-particle":"","family":"Fernández-Bonilla","given":"Fernando","non-dropping-particle":"","parse-names":false,"suffix":""},{"dropping-particle":"","family":"Ruíz-Rúa","given":"Aurora","non-dropping-particle":"","parse-names":false,"suffix":""}],"container-title":"Telecommunications Policy","id":"ITEM-1","issue":"3","issued":{"date-parts":[["2025","4"]]},"page":"102918","title":"Different approaches to Spanish e-government: From use to impact","type":"article-journal","volume":"49"},"uris":["http://www.mendeley.com/documents/?uuid=144ddf2a-0af4-492d-bd61-4f74ed1b9f30"]}],"mendeley":{"formattedCitation":"(Gijón et al., 2025)","plainTextFormattedCitation":"(Gijón et al., 2025)","previouslyFormattedCitation":"(Gijón et al., 2025)"},"properties":{"noteIndex":0},"schema":"https://github.com/citation-style-language/schema/raw/master/csl-citation.json"}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(Gijón et al., 2025)</w:t>
      </w:r>
      <w:r w:rsidRPr="00885153">
        <w:rPr>
          <w:rFonts w:ascii="Arial" w:hAnsi="Arial" w:cs="Arial"/>
          <w:sz w:val="20"/>
          <w:szCs w:val="20"/>
        </w:rPr>
        <w:fldChar w:fldCharType="end"/>
      </w:r>
      <w:r w:rsidRPr="00885153">
        <w:rPr>
          <w:rFonts w:ascii="Arial" w:hAnsi="Arial" w:cs="Arial"/>
          <w:sz w:val="20"/>
          <w:szCs w:val="20"/>
          <w:lang w:val="en-US"/>
        </w:rPr>
        <w:t xml:space="preserve">. </w:t>
      </w:r>
      <w:r w:rsidRPr="00885153">
        <w:rPr>
          <w:rFonts w:ascii="Arial" w:hAnsi="Arial" w:cs="Arial"/>
          <w:sz w:val="20"/>
          <w:szCs w:val="20"/>
        </w:rPr>
        <w:t xml:space="preserve">Complementary research on digital adoption reveals that digital literacy and trust are mutually reinforcing factors influencing e-government adoption </w:t>
      </w:r>
      <w:r w:rsidRPr="00885153">
        <w:rPr>
          <w:rFonts w:ascii="Arial" w:hAnsi="Arial" w:cs="Arial"/>
          <w:sz w:val="20"/>
          <w:szCs w:val="20"/>
          <w:lang w:val="en-US"/>
        </w:rPr>
        <w:fldChar w:fldCharType="begin" w:fldLock="1"/>
      </w:r>
      <w:r w:rsidRPr="00885153">
        <w:rPr>
          <w:rFonts w:ascii="Arial" w:hAnsi="Arial" w:cs="Arial"/>
          <w:sz w:val="20"/>
          <w:szCs w:val="20"/>
          <w:lang w:val="en-US"/>
        </w:rPr>
        <w:instrText>ADDIN CSL_CITATION {"citationItems":[{"id":"ITEM-1","itemData":{"DOI":"10.1108/TG-11-2023-0196","ISSN":"1750-6166","abstract":"Purpose This study aims to examine the role of trust and digital literacy in influencing citizens’ adoption of e-government services. Design/methodology/approach Grounded in the technology acceptance model (TAM), a research model was developed focusing on e-filing services adoption. Hypotheses were formulated to assess the moderating effect of digital literacy on the relationship between trust and the key TAM determinants of perceived usefulness and perceived ease of use. A questionnaire-based survey of 876 citizens who have used e-filing using the snow-ball sampling technique was adopted to generate data. The data was analyzed using PLS-SEM through the aid of SmartPLS 4 to assess the measurement model and structural relationships. Findings Trust positively influences perceived usefulness and ease of use, which in turn drive adoption. Additionally, digital literacy significantly moderates the impact of trust on usefulness and ease of use perceptions – the effect is stronger for higher digital literacy. Research limitations/implications The study adopted a single country developing economy context limiting cross-cultural applicability. Second, the focus on e-filing adoption precludes insights across other e-government services. Third, the reliance on perceptual measures risks respondent biases and fourth, the study is a cross-sectional survey design. Practical implications The findings emphasize multifaceted strategies to accelerate e-government adoption. Nurturing citizen trust in e-government systems through enhanced reliability, security and transparency remains vital. Simultaneously, initiatives to cultivate digital access, skills and proficiencies across population segments need to be undertaken. Originality/value This study integrates trust and digital literacy within the theoretical model to provide a more holistic understanding of adoption determinants. It highlights the need for balanced technology-enabled and social interventions to foster acceptance of e-government services.","author":[{"dropping-particle":"","family":"AbdulKareem","given":"Abdulrazaq Kayode","non-dropping-particle":"","parse-names":false,"suffix":""},{"dropping-particle":"","family":"Oladimeji","given":"Kazeem Adebayo","non-dropping-particle":"","parse-names":false,"suffix":""}],"container-title":"Transforming Government: People, Process and Policy","id":"ITEM-1","issue":"2","issued":{"date-parts":[["2024","5","1"]]},"page":"270-286","title":"Cultivating the digital citizen: trust, digital literacy and e-government adoption","type":"article-journal","volume":"18"},"uris":["http://www.mendeley.com/documents/?uuid=0234fcdd-f587-42f8-88f5-753dd100f0d6"]}],"mendeley":{"formattedCitation":"(AbdulKareem &amp; Oladimeji, 2024)","plainTextFormattedCitation":"(AbdulKareem &amp; Oladimeji, 2024)","previouslyFormattedCitation":"(AbdulKareem &amp; Oladimeji, 2024)"},"properties":{"noteIndex":0},"schema":"https://github.com/citation-style-language/schema/raw/master/csl-citation.json"}</w:instrText>
      </w:r>
      <w:r w:rsidRPr="00885153">
        <w:rPr>
          <w:rFonts w:ascii="Arial" w:hAnsi="Arial" w:cs="Arial"/>
          <w:sz w:val="20"/>
          <w:szCs w:val="20"/>
          <w:lang w:val="en-US"/>
        </w:rPr>
        <w:fldChar w:fldCharType="separate"/>
      </w:r>
      <w:r w:rsidRPr="00885153">
        <w:rPr>
          <w:rFonts w:ascii="Arial" w:hAnsi="Arial" w:cs="Arial"/>
          <w:noProof/>
          <w:sz w:val="20"/>
          <w:szCs w:val="20"/>
          <w:lang w:val="en-US"/>
        </w:rPr>
        <w:t>(AbdulKareem &amp; Oladimeji, 2024)</w:t>
      </w:r>
      <w:r w:rsidRPr="00885153">
        <w:rPr>
          <w:rFonts w:ascii="Arial" w:hAnsi="Arial" w:cs="Arial"/>
          <w:sz w:val="20"/>
          <w:szCs w:val="20"/>
          <w:lang w:val="en-US"/>
        </w:rPr>
        <w:fldChar w:fldCharType="end"/>
      </w:r>
      <w:r w:rsidRPr="00885153">
        <w:rPr>
          <w:rFonts w:ascii="Arial" w:hAnsi="Arial" w:cs="Arial"/>
          <w:sz w:val="20"/>
          <w:szCs w:val="20"/>
          <w:lang w:val="en-US"/>
        </w:rPr>
        <w:t xml:space="preserve">.  </w:t>
      </w:r>
      <w:r w:rsidRPr="00885153">
        <w:rPr>
          <w:rFonts w:ascii="Arial" w:hAnsi="Arial" w:cs="Arial"/>
          <w:sz w:val="20"/>
          <w:szCs w:val="20"/>
        </w:rPr>
        <w:t>In accordance with this evidence, Community Skills in this study are defined by three indicators that correspond with the manuscript’s measuring framework:</w:t>
      </w:r>
    </w:p>
    <w:p w14:paraId="7946AF5C" w14:textId="77777777" w:rsidR="00E16B78" w:rsidRPr="002D77C3" w:rsidRDefault="00E16B78" w:rsidP="002D77C3">
      <w:pPr>
        <w:pStyle w:val="NormalWeb"/>
        <w:numPr>
          <w:ilvl w:val="0"/>
          <w:numId w:val="10"/>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2D77C3">
        <w:rPr>
          <w:rStyle w:val="Strong"/>
          <w:rFonts w:ascii="Arial" w:hAnsi="Arial" w:cs="Arial"/>
          <w:b w:val="0"/>
          <w:bCs w:val="0"/>
          <w:sz w:val="20"/>
          <w:szCs w:val="20"/>
        </w:rPr>
        <w:t>Literacy Competence (fundamental literacy/digital literacy required to comprehend information and directives)</w:t>
      </w:r>
    </w:p>
    <w:p w14:paraId="27C25296" w14:textId="77777777" w:rsidR="00E16B78" w:rsidRPr="002D77C3" w:rsidRDefault="00E16B78" w:rsidP="002D77C3">
      <w:pPr>
        <w:pStyle w:val="NormalWeb"/>
        <w:numPr>
          <w:ilvl w:val="0"/>
          <w:numId w:val="10"/>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2D77C3">
        <w:rPr>
          <w:rStyle w:val="Strong"/>
          <w:rFonts w:ascii="Arial" w:hAnsi="Arial" w:cs="Arial"/>
          <w:b w:val="0"/>
          <w:bCs w:val="0"/>
          <w:sz w:val="20"/>
          <w:szCs w:val="20"/>
        </w:rPr>
        <w:t>Technical Proficiency (capability to utilize devices/applications and execute digital tasks)</w:t>
      </w:r>
    </w:p>
    <w:p w14:paraId="64E70933" w14:textId="77777777" w:rsidR="00E16B78" w:rsidRPr="002D77C3" w:rsidRDefault="00E16B78" w:rsidP="002D77C3">
      <w:pPr>
        <w:pStyle w:val="NormalWeb"/>
        <w:numPr>
          <w:ilvl w:val="0"/>
          <w:numId w:val="10"/>
        </w:numPr>
        <w:tabs>
          <w:tab w:val="clear" w:pos="720"/>
          <w:tab w:val="num" w:pos="360"/>
        </w:tabs>
        <w:spacing w:before="0" w:beforeAutospacing="0" w:after="0" w:afterAutospacing="0"/>
        <w:ind w:left="360"/>
        <w:jc w:val="both"/>
        <w:rPr>
          <w:rFonts w:ascii="Arial" w:hAnsi="Arial" w:cs="Arial"/>
          <w:b/>
          <w:bCs/>
          <w:sz w:val="20"/>
          <w:szCs w:val="20"/>
        </w:rPr>
      </w:pPr>
      <w:r w:rsidRPr="002D77C3">
        <w:rPr>
          <w:rStyle w:val="Strong"/>
          <w:rFonts w:ascii="Arial" w:hAnsi="Arial" w:cs="Arial"/>
          <w:b w:val="0"/>
          <w:bCs w:val="0"/>
          <w:sz w:val="20"/>
          <w:szCs w:val="20"/>
        </w:rPr>
        <w:t>Problem-Solving Competence (capacity to identify obstacles, manage procedural intricacies, and demonstrate perseverance)</w:t>
      </w:r>
    </w:p>
    <w:p w14:paraId="0E58D906"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Stronger skills conceptually diminish friction costs in accessing and utilizing IKN-related services and programs, so enhancing readiness in the domains of effort, knowledge, and resource mobilization.</w:t>
      </w:r>
    </w:p>
    <w:p w14:paraId="018A7973" w14:textId="77777777" w:rsidR="00E16B78" w:rsidRPr="00885153" w:rsidRDefault="00E16B78" w:rsidP="002D77C3">
      <w:pPr>
        <w:pStyle w:val="Heading3"/>
        <w:numPr>
          <w:ilvl w:val="0"/>
          <w:numId w:val="14"/>
        </w:numPr>
        <w:tabs>
          <w:tab w:val="num" w:pos="360"/>
        </w:tabs>
        <w:spacing w:before="120"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Motivation and ERG theory as the willingness-to-engage mechanism (three indicators)</w:t>
      </w:r>
    </w:p>
    <w:p w14:paraId="3861E215" w14:textId="77777777" w:rsidR="00E16B78" w:rsidRPr="002D77C3" w:rsidRDefault="00E16B78" w:rsidP="00E16B78">
      <w:pPr>
        <w:pStyle w:val="NormalWeb"/>
        <w:spacing w:before="0" w:beforeAutospacing="0" w:after="0" w:afterAutospacing="0"/>
        <w:ind w:firstLine="720"/>
        <w:jc w:val="both"/>
        <w:rPr>
          <w:rFonts w:ascii="Arial" w:hAnsi="Arial" w:cs="Arial"/>
          <w:sz w:val="20"/>
          <w:szCs w:val="20"/>
        </w:rPr>
      </w:pPr>
      <w:r w:rsidRPr="002D77C3">
        <w:rPr>
          <w:rFonts w:ascii="Arial" w:hAnsi="Arial" w:cs="Arial"/>
          <w:sz w:val="20"/>
          <w:szCs w:val="20"/>
        </w:rPr>
        <w:t>Ability alone is inadequate if participation is not regarded as significant, secure, or beneficial. This study utilizes ERG theory to simulate the "willingness-to-engage" pathway</w:t>
      </w:r>
      <w:r w:rsidRPr="002D77C3">
        <w:rPr>
          <w:rFonts w:ascii="Arial" w:hAnsi="Arial" w:cs="Arial"/>
          <w:sz w:val="20"/>
          <w:szCs w:val="20"/>
          <w:lang w:val="en-US"/>
        </w:rPr>
        <w:t xml:space="preserve"> </w:t>
      </w:r>
      <w:r w:rsidRPr="002D77C3">
        <w:rPr>
          <w:rStyle w:val="Strong"/>
          <w:rFonts w:ascii="Arial" w:hAnsi="Arial" w:cs="Arial"/>
          <w:b w:val="0"/>
          <w:bCs w:val="0"/>
          <w:sz w:val="20"/>
          <w:szCs w:val="20"/>
          <w:lang w:val="en-US"/>
        </w:rPr>
        <w:fldChar w:fldCharType="begin" w:fldLock="1"/>
      </w:r>
      <w:r w:rsidRPr="002D77C3">
        <w:rPr>
          <w:rStyle w:val="Strong"/>
          <w:rFonts w:ascii="Arial" w:hAnsi="Arial" w:cs="Arial"/>
          <w:b w:val="0"/>
          <w:bCs w:val="0"/>
          <w:sz w:val="20"/>
          <w:szCs w:val="20"/>
          <w:lang w:val="en-US"/>
        </w:rPr>
        <w:instrText>ADDIN CSL_CITATION {"citationItems":[{"id":"ITEM-1","itemData":{"ISBN":"9780078112669","abstract":"Persepsi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2011)","author":[{"dropping-particle":"","family":"Gibson et al","given":"","non-dropping-particle":"","parse-names":false,"suffix":""}],"id":"ITEM-1","issued":{"date-parts":[["2012"]]},"number-of-pages":"6","title":"Organization: Behavior, Structure, Processes","type":"book"},"uris":["http://www.mendeley.com/documents/?uuid=d1165abe-7134-4bee-abd2-0ac109d218fb"]}],"mendeley":{"formattedCitation":"(Gibson et al, 2012)","plainTextFormattedCitation":"(Gibson et al, 2012)","previouslyFormattedCitation":"(Gibson et al, 2012)"},"properties":{"noteIndex":0},"schema":"https://github.com/citation-style-language/schema/raw/master/csl-citation.json"}</w:instrText>
      </w:r>
      <w:r w:rsidRPr="002D77C3">
        <w:rPr>
          <w:rStyle w:val="Strong"/>
          <w:rFonts w:ascii="Arial" w:hAnsi="Arial" w:cs="Arial"/>
          <w:b w:val="0"/>
          <w:bCs w:val="0"/>
          <w:sz w:val="20"/>
          <w:szCs w:val="20"/>
          <w:lang w:val="en-US"/>
        </w:rPr>
        <w:fldChar w:fldCharType="separate"/>
      </w:r>
      <w:r w:rsidRPr="002D77C3">
        <w:rPr>
          <w:rStyle w:val="Strong"/>
          <w:rFonts w:ascii="Arial" w:hAnsi="Arial" w:cs="Arial"/>
          <w:b w:val="0"/>
          <w:bCs w:val="0"/>
          <w:noProof/>
          <w:sz w:val="20"/>
          <w:szCs w:val="20"/>
          <w:lang w:val="en-US"/>
        </w:rPr>
        <w:t>(Gibson et al, 2012)</w:t>
      </w:r>
      <w:r w:rsidRPr="002D77C3">
        <w:rPr>
          <w:rStyle w:val="Strong"/>
          <w:rFonts w:ascii="Arial" w:hAnsi="Arial" w:cs="Arial"/>
          <w:b w:val="0"/>
          <w:bCs w:val="0"/>
          <w:sz w:val="20"/>
          <w:szCs w:val="20"/>
          <w:lang w:val="en-US"/>
        </w:rPr>
        <w:fldChar w:fldCharType="end"/>
      </w:r>
      <w:r w:rsidRPr="002D77C3">
        <w:rPr>
          <w:rFonts w:ascii="Arial" w:hAnsi="Arial" w:cs="Arial"/>
          <w:sz w:val="20"/>
          <w:szCs w:val="20"/>
        </w:rPr>
        <w:t>, It categorizes motivation into three distinct needs:</w:t>
      </w:r>
    </w:p>
    <w:p w14:paraId="1E2B070A" w14:textId="77777777" w:rsidR="00E16B78" w:rsidRPr="002D77C3" w:rsidRDefault="00E16B78" w:rsidP="002D77C3">
      <w:pPr>
        <w:pStyle w:val="NormalWeb"/>
        <w:numPr>
          <w:ilvl w:val="0"/>
          <w:numId w:val="11"/>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2D77C3">
        <w:rPr>
          <w:rStyle w:val="Strong"/>
          <w:rFonts w:ascii="Arial" w:hAnsi="Arial" w:cs="Arial"/>
          <w:b w:val="0"/>
          <w:bCs w:val="0"/>
          <w:sz w:val="20"/>
          <w:szCs w:val="20"/>
        </w:rPr>
        <w:t>Existence (security, fundamental welfare, stability)</w:t>
      </w:r>
    </w:p>
    <w:p w14:paraId="73B9CD8A" w14:textId="77777777" w:rsidR="00E16B78" w:rsidRPr="002D77C3" w:rsidRDefault="00E16B78" w:rsidP="002D77C3">
      <w:pPr>
        <w:pStyle w:val="NormalWeb"/>
        <w:numPr>
          <w:ilvl w:val="0"/>
          <w:numId w:val="11"/>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2D77C3">
        <w:rPr>
          <w:rStyle w:val="Strong"/>
          <w:rFonts w:ascii="Arial" w:hAnsi="Arial" w:cs="Arial"/>
          <w:b w:val="0"/>
          <w:bCs w:val="0"/>
          <w:sz w:val="20"/>
          <w:szCs w:val="20"/>
        </w:rPr>
        <w:t>Affiliation (membership, acknowledgment, interpersonal relationship)</w:t>
      </w:r>
    </w:p>
    <w:p w14:paraId="3A0F2F34" w14:textId="77777777" w:rsidR="00E16B78" w:rsidRPr="002D77C3" w:rsidRDefault="00E16B78" w:rsidP="002D77C3">
      <w:pPr>
        <w:pStyle w:val="NormalWeb"/>
        <w:numPr>
          <w:ilvl w:val="0"/>
          <w:numId w:val="11"/>
        </w:numPr>
        <w:tabs>
          <w:tab w:val="clear" w:pos="720"/>
          <w:tab w:val="num" w:pos="360"/>
        </w:tabs>
        <w:spacing w:before="0" w:beforeAutospacing="0" w:after="0" w:afterAutospacing="0"/>
        <w:ind w:left="360"/>
        <w:jc w:val="both"/>
        <w:rPr>
          <w:rFonts w:ascii="Arial" w:hAnsi="Arial" w:cs="Arial"/>
          <w:sz w:val="20"/>
          <w:szCs w:val="20"/>
        </w:rPr>
      </w:pPr>
      <w:r w:rsidRPr="002D77C3">
        <w:rPr>
          <w:rStyle w:val="Strong"/>
          <w:rFonts w:ascii="Arial" w:hAnsi="Arial" w:cs="Arial"/>
          <w:b w:val="0"/>
          <w:bCs w:val="0"/>
          <w:sz w:val="20"/>
          <w:szCs w:val="20"/>
        </w:rPr>
        <w:t>Growth (growth, education, progression prospects)</w:t>
      </w:r>
    </w:p>
    <w:p w14:paraId="7392B255" w14:textId="2B27C75B"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Recent empirical research based on the ERG theory consistently shows that the fulfillment of existence, relatedness, and growth needs correlates with significant behavioral and psychological outcomes, thereby affirming the contemporary explanatory relevance of ERG for sustained effort amid institutional pressures and evolving environments</w:t>
      </w:r>
      <w:r w:rsidRPr="00885153">
        <w:rPr>
          <w:rFonts w:ascii="Arial" w:hAnsi="Arial" w:cs="Arial"/>
          <w:sz w:val="20"/>
          <w:szCs w:val="20"/>
          <w:lang w:val="en-US"/>
        </w:rPr>
        <w:t xml:space="preserve">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{"citationItems":[{"id":"ITEM-1","itemData":{"DOI":"10.3389/fpsyg.2023.1205742","ISBN":"2572020015626","ISSN":"16641078","abstract":"Job burnout among young university teachers is a serious issue that can have negative consequences for their well-being and job performance, as well as students’ learning outcomes. To identify protective factors for job burnout, this study examined the impacts and mechanism of satisfying existence, relatedness, and growth need on job burnout among 968 young university teachers, using the ERG needs theory framework. The results of the regression analysis and mediation analysis showed that ERG needs satisfaction significantly and negatively predicted job burnout, and job satisfaction mediated this relationship. Besides, the total effect of existence need satisfaction on job burnout was significantly smaller than that of relatedness need satisfaction and growth need satisfaction. These findings contribute to our understanding of the antecedents of young university teachers’ job burnout and provide a theoretical basis for practical action to protect them from burnout by enhancing their need satisfaction and job satisfaction.","author":[{"dropping-particle":"","family":"Yang","given":"Yang","non-dropping-particle":"","parse-names":false,"suffix":""},{"dropping-particle":"","family":"Ling","given":"Que","non-dropping-particle":"","parse-names":false,"suffix":""}],"container-title":"Frontiers in Psychology","id":"ITEM-1","issue":"August","issued":{"date-parts":[["2023"]]},"page":"1-9","title":"The influence of existence–relatedness–growth need satisfaction and job burnout of young university teachers: the mediating role of job satisfaction","type":"article-journal","volume":"14"},"uris":["http://www.mendeley.com/documents/?uuid=384fe4b6-90b6-4ee5-8aac-3b72294c04b1"]}],"mendeley":{"formattedCitation":"(Yang &amp; Ling, 2023)","plainTextFormattedCitation":"(Yang &amp; Ling, 2023)","previouslyFormattedCitation":"(Yang &amp; Ling, 2023)"},"properties":{"noteIndex":0},"schema":"https://github.com/citation-style-language/schema/raw/master/csl-citation.json"}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(Yang &amp; Ling, 2023)</w:t>
      </w:r>
      <w:r w:rsidRPr="00885153">
        <w:rPr>
          <w:rFonts w:ascii="Arial" w:hAnsi="Arial" w:cs="Arial"/>
          <w:sz w:val="20"/>
          <w:szCs w:val="20"/>
        </w:rPr>
        <w:fldChar w:fldCharType="end"/>
      </w:r>
      <w:r w:rsidRPr="00885153">
        <w:rPr>
          <w:rFonts w:ascii="Arial" w:hAnsi="Arial" w:cs="Arial"/>
          <w:sz w:val="20"/>
          <w:szCs w:val="20"/>
          <w:lang w:val="en-US"/>
        </w:rPr>
        <w:t xml:space="preserve">. </w:t>
      </w:r>
      <w:r w:rsidRPr="00885153">
        <w:rPr>
          <w:rFonts w:ascii="Arial" w:hAnsi="Arial" w:cs="Arial"/>
          <w:sz w:val="20"/>
          <w:szCs w:val="20"/>
        </w:rPr>
        <w:t xml:space="preserve">Within the IKN framework, where inhabitants face swift transformations, unpredictability, and novel digital protocols, ERG motivation </w:t>
      </w:r>
      <w:r w:rsidR="00F25C56">
        <w:rPr>
          <w:rFonts w:ascii="Arial" w:hAnsi="Arial" w:cs="Arial"/>
          <w:sz w:val="20"/>
          <w:szCs w:val="20"/>
        </w:rPr>
        <w:t>provides a rational psychological foundation for why communities choose to engage in programs, devote effort to mastering new systems, and continue using</w:t>
      </w:r>
      <w:r w:rsidRPr="00885153">
        <w:rPr>
          <w:rFonts w:ascii="Arial" w:hAnsi="Arial" w:cs="Arial"/>
          <w:sz w:val="20"/>
          <w:szCs w:val="20"/>
        </w:rPr>
        <w:t xml:space="preserve"> new infrastructure.</w:t>
      </w:r>
    </w:p>
    <w:p w14:paraId="5DD05BEA" w14:textId="77777777" w:rsidR="00E16B78" w:rsidRPr="00885153" w:rsidRDefault="00E16B78" w:rsidP="002D77C3">
      <w:pPr>
        <w:pStyle w:val="Heading3"/>
        <w:numPr>
          <w:ilvl w:val="0"/>
          <w:numId w:val="14"/>
        </w:numPr>
        <w:tabs>
          <w:tab w:val="num" w:pos="360"/>
        </w:tabs>
        <w:spacing w:before="120"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Community education as adaptive and interpretive capacity (two indicators)</w:t>
      </w:r>
    </w:p>
    <w:p w14:paraId="1D6315B9" w14:textId="77777777" w:rsidR="00E16B78" w:rsidRPr="00885153" w:rsidRDefault="00E16B78" w:rsidP="00E16B78">
      <w:pPr>
        <w:pStyle w:val="NormalWeb"/>
        <w:spacing w:before="0" w:beforeAutospacing="0" w:after="0" w:afterAutospacing="0"/>
        <w:ind w:firstLine="720"/>
        <w:jc w:val="both"/>
        <w:rPr>
          <w:rFonts w:ascii="Arial" w:hAnsi="Arial" w:cs="Arial"/>
          <w:sz w:val="20"/>
          <w:szCs w:val="20"/>
          <w:lang w:val="en-US"/>
        </w:rPr>
      </w:pPr>
      <w:r w:rsidRPr="00885153">
        <w:rPr>
          <w:rFonts w:ascii="Arial" w:hAnsi="Arial" w:cs="Arial"/>
          <w:sz w:val="20"/>
          <w:szCs w:val="20"/>
        </w:rPr>
        <w:t>Education enhances interpretive abilities and long-term adaptation. Digitally mediated public services enhance understanding of policy signals, program details, and procedural necessities in education. Evidence of digital adoption indicates that digital literacy and trust—typically developed via formal and informal education—are crucial for e-government adoption and meaningful engagement.</w:t>
      </w:r>
      <w:r w:rsidRPr="00885153">
        <w:rPr>
          <w:rFonts w:ascii="Arial" w:hAnsi="Arial" w:cs="Arial"/>
          <w:sz w:val="20"/>
          <w:szCs w:val="20"/>
          <w:lang w:val="en-US"/>
        </w:rPr>
        <w:t xml:space="preserve">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{"citationItems":[{"id":"ITEM-1","itemData":{"DOI":"10.1108/TG-11-2023-0196","ISSN":"1750-6166","abstract":"Purpose This study aims to examine the role of trust and digital literacy in influencing citizens’ adoption of e-government services. Design/methodology/approach Grounded in the technology acceptance model (TAM), a research model was developed focusing on e-filing services adoption. Hypotheses were formulated to assess the moderating effect of digital literacy on the relationship between trust and the key TAM determinants of perceived usefulness and perceived ease of use. A questionnaire-based survey of 876 citizens who have used e-filing using the snow-ball sampling technique was adopted to generate data. The data was analyzed using PLS-SEM through the aid of SmartPLS 4 to assess the measurement model and structural relationships. Findings Trust positively influences perceived usefulness and ease of use, which in turn drive adoption. Additionally, digital literacy significantly moderates the impact of trust on usefulness and ease of use perceptions – the effect is stronger for higher digital literacy. Research limitations/implications The study adopted a single country developing economy context limiting cross-cultural applicability. Second, the focus on e-filing adoption precludes insights across other e-government services. Third, the reliance on perceptual measures risks respondent biases and fourth, the study is a cross-sectional survey design. Practical implications The findings emphasize multifaceted strategies to accelerate e-government adoption. Nurturing citizen trust in e-government systems through enhanced reliability, security and transparency remains vital. Simultaneously, initiatives to cultivate digital access, skills and proficiencies across population segments need to be undertaken. Originality/value This study integrates trust and digital literacy within the theoretical model to provide a more holistic understanding of adoption determinants. It highlights the need for balanced technology-enabled and social interventions to foster acceptance of e-government services.","author":[{"dropping-particle":"","family":"AbdulKareem","given":"Abdulrazaq Kayode","non-dropping-particle":"","parse-names":false,"suffix":""},{"dropping-particle":"","family":"Oladimeji","given":"Kazeem Adebayo","non-dropping-particle":"","parse-names":false,"suffix":""}],"container-title":"Transforming Government: People, Process and Policy","id":"ITEM-1","issue":"2","issued":{"date-parts":[["2024","5","1"]]},"page":"270-286","title":"Cultivating the digital citizen: trust, digital literacy and e-government adoption","type":"article-journal","volume":"18"},"uris":["http://www.mendeley.com/documents/?uuid=0234fcdd-f587-42f8-88f5-753dd100f0d6"]}],"mendeley":{"formattedCitation":"(AbdulKareem &amp; Oladimeji, 2024)","plainTextFormattedCitation":"(AbdulKareem &amp; Oladimeji, 2024)","previouslyFormattedCitation":"(AbdulKareem &amp; Oladimeji, 2024)"},"properties":{"noteIndex":0},"schema":"https://github.com/citation-style-language/schema/raw/master/csl-citation.json"}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(AbdulKareem &amp; Oladimeji, 2024)</w:t>
      </w:r>
      <w:r w:rsidRPr="00885153">
        <w:rPr>
          <w:rFonts w:ascii="Arial" w:hAnsi="Arial" w:cs="Arial"/>
          <w:sz w:val="20"/>
          <w:szCs w:val="20"/>
        </w:rPr>
        <w:fldChar w:fldCharType="end"/>
      </w:r>
      <w:r w:rsidRPr="00885153">
        <w:rPr>
          <w:rFonts w:ascii="Arial" w:hAnsi="Arial" w:cs="Arial"/>
          <w:sz w:val="20"/>
          <w:szCs w:val="20"/>
          <w:lang w:val="en-US"/>
        </w:rPr>
        <w:t xml:space="preserve">. </w:t>
      </w:r>
      <w:r w:rsidRPr="00885153">
        <w:rPr>
          <w:rFonts w:ascii="Arial" w:hAnsi="Arial" w:cs="Arial"/>
          <w:sz w:val="20"/>
          <w:szCs w:val="20"/>
        </w:rPr>
        <w:t xml:space="preserve">Research on smart cities reveals that the development of skills and capabilities is essential alongside technology deployment to prevent exacerbating the digital gap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{"citationItems":[{"id":"ITEM-1","itemData":{"DOI":"10.1016/j.cities.2023.104659","ISSN":"02642751","abstract":"Despite the wealth of research on smart cities, there is a lack of studies examining interlinkages between smart cities and Sustainable Development Goals (SDGs). In other words, there is limited research on how implementing smart city solutions can lead to co-benefits and/or trade-offs for achieving SDGs. This systematic literature review was conducted to fill this gap. Results show that responsible development/implementation of smart city solutions and technologies could contribute to the progress toward SDGs. The literature is mainly focused on SDG 11 (Sustainable Cities and Communities), SDG 12 (Responsible Consumption and Production), SDG 7 (Affordable and Clean Energy), and SDG 6 (Clean Water and Sanitation). More work on other SDGs is needed. There is a bias toward reporting the benefits of smart cities. These include accelerating economic growth, improving efficiency, strengthening innovation, and raising citizen awareness. These benefits indicate that smart cities could catalyze the transition to sustainable development and address climate change challenges. However, this requires addressing trade-offs related to issues such as privacy and cyber security, costs of infrastructure upgrading, rebound effects associated with efficiency improvements, biased decision-making, reproduction of social biases, digital divide and lack of skills, misuse of AI, and limited legal setup. This review elaborates on these trade-offs and offers solutions to minimize them. Results show that the COVID-19 pandemic has increased attention to the interactions between smart cities and the SDGs, particularly those related to health and climate action. However, it has also cemented many new unethical practices. This review highlights governance/policy challenges that should be addressed to ensure smart cities can better contribute to the SDGs. It concludes that multi-scale and transparent governance mechanisms and regulatory frameworks are crucial for ensuring that smart city solutions support the transition toward sustainable and resilient cities.","author":[{"dropping-particle":"","family":"Sharifi","given":"Ayyoob","non-dropping-particle":"","parse-names":false,"suffix":""},{"dropping-particle":"","family":"Allam","given":"Zaheer","non-dropping-particle":"","parse-names":false,"suffix":""},{"dropping-particle":"","family":"Bibri","given":"Simon Elias","non-dropping-particle":"","parse-names":false,"suffix":""},{"dropping-particle":"","family":"Khavarian-Garmsir","given":"Amir Reza","non-dropping-particle":"","parse-names":false,"suffix":""}],"container-title":"Cities","id":"ITEM-1","issue":"March 2023","issued":{"date-parts":[["2024","3"]]},"page":"104659","publisher":"Elsevier Ltd","title":"Smart cities and sustainable development goals (SDGs): A systematic literature review of co-benefits and trade-offs","type":"article-journal","volume":"146"},"uris":["http://www.mendeley.com/documents/?uuid=2a96573e-1db4-48f8-bd89-995106cd9a4a"]}],"mendeley":{"formattedCitation":"(Sharifi et al., 2024)","plainTextFormattedCitation":"(Sharifi et al., 2024)","previouslyFormattedCitation":"(Sharifi et al., 2024)"},"properties":{"noteIndex":0},"schema":"https://github.com/citation-style-language/schema/raw/master/csl-citation.json"}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(Sharifi et al., 2024)</w:t>
      </w:r>
      <w:r w:rsidRPr="00885153">
        <w:rPr>
          <w:rFonts w:ascii="Arial" w:hAnsi="Arial" w:cs="Arial"/>
          <w:sz w:val="20"/>
          <w:szCs w:val="20"/>
        </w:rPr>
        <w:fldChar w:fldCharType="end"/>
      </w:r>
      <w:r w:rsidRPr="00885153">
        <w:rPr>
          <w:rFonts w:ascii="Arial" w:hAnsi="Arial" w:cs="Arial"/>
          <w:sz w:val="20"/>
          <w:szCs w:val="20"/>
          <w:lang w:val="en-US"/>
        </w:rPr>
        <w:t>.</w:t>
      </w:r>
    </w:p>
    <w:p w14:paraId="7D451B64" w14:textId="77777777" w:rsidR="00E16B78" w:rsidRPr="00885153" w:rsidRDefault="00E16B78" w:rsidP="00E16B78">
      <w:pPr>
        <w:pStyle w:val="NormalWeb"/>
        <w:spacing w:before="0" w:beforeAutospacing="0" w:after="0" w:afterAutospacing="0"/>
        <w:jc w:val="both"/>
        <w:rPr>
          <w:rFonts w:ascii="Arial" w:hAnsi="Arial" w:cs="Arial"/>
          <w:sz w:val="20"/>
          <w:szCs w:val="20"/>
        </w:rPr>
      </w:pPr>
      <w:r w:rsidRPr="00885153">
        <w:rPr>
          <w:rFonts w:ascii="Arial" w:hAnsi="Arial" w:cs="Arial"/>
          <w:sz w:val="20"/>
          <w:szCs w:val="20"/>
        </w:rPr>
        <w:t>Consequently, Community Education is implemented using two metrics aligned with the manuscript's framework:</w:t>
      </w:r>
    </w:p>
    <w:p w14:paraId="5F38CC94" w14:textId="77777777" w:rsidR="00E16B78" w:rsidRPr="002D77C3" w:rsidRDefault="00E16B78" w:rsidP="002D77C3">
      <w:pPr>
        <w:pStyle w:val="NormalWeb"/>
        <w:numPr>
          <w:ilvl w:val="0"/>
          <w:numId w:val="12"/>
        </w:numPr>
        <w:tabs>
          <w:tab w:val="clear" w:pos="720"/>
          <w:tab w:val="num" w:pos="360"/>
        </w:tabs>
        <w:spacing w:before="0" w:beforeAutospacing="0" w:after="0" w:afterAutospacing="0"/>
        <w:ind w:left="360"/>
        <w:jc w:val="both"/>
        <w:rPr>
          <w:rStyle w:val="Strong"/>
          <w:rFonts w:ascii="Arial" w:hAnsi="Arial" w:cs="Arial"/>
          <w:b w:val="0"/>
          <w:bCs w:val="0"/>
          <w:sz w:val="20"/>
          <w:szCs w:val="20"/>
        </w:rPr>
      </w:pPr>
      <w:r w:rsidRPr="002D77C3">
        <w:rPr>
          <w:rStyle w:val="Strong"/>
          <w:rFonts w:ascii="Arial" w:hAnsi="Arial" w:cs="Arial"/>
          <w:b w:val="0"/>
          <w:bCs w:val="0"/>
          <w:sz w:val="20"/>
          <w:szCs w:val="20"/>
        </w:rPr>
        <w:t>Formal Education (academic instruction and recognized credentials influencing cognitive development)</w:t>
      </w:r>
    </w:p>
    <w:p w14:paraId="210D3058" w14:textId="77777777" w:rsidR="00E16B78" w:rsidRPr="002D77C3" w:rsidRDefault="00E16B78" w:rsidP="002D77C3">
      <w:pPr>
        <w:pStyle w:val="NormalWeb"/>
        <w:numPr>
          <w:ilvl w:val="0"/>
          <w:numId w:val="12"/>
        </w:numPr>
        <w:tabs>
          <w:tab w:val="clear" w:pos="720"/>
          <w:tab w:val="num" w:pos="360"/>
        </w:tabs>
        <w:spacing w:before="0" w:beforeAutospacing="0" w:after="0" w:afterAutospacing="0"/>
        <w:ind w:left="360"/>
        <w:jc w:val="both"/>
        <w:rPr>
          <w:rFonts w:ascii="Arial" w:hAnsi="Arial" w:cs="Arial"/>
          <w:b/>
          <w:bCs/>
          <w:sz w:val="20"/>
          <w:szCs w:val="20"/>
        </w:rPr>
      </w:pPr>
      <w:r w:rsidRPr="002D77C3">
        <w:rPr>
          <w:rStyle w:val="Strong"/>
          <w:rFonts w:ascii="Arial" w:hAnsi="Arial" w:cs="Arial"/>
          <w:b w:val="0"/>
          <w:bCs w:val="0"/>
          <w:sz w:val="20"/>
          <w:szCs w:val="20"/>
        </w:rPr>
        <w:t>Non-formal Education (training, workshops, community learning, extension initiatives)</w:t>
      </w:r>
    </w:p>
    <w:p w14:paraId="12046D00" w14:textId="5D1C504C" w:rsidR="00E16B78" w:rsidRPr="00885153" w:rsidRDefault="00E16B78" w:rsidP="00E16B78">
      <w:pPr>
        <w:pStyle w:val="NormalWeb"/>
        <w:spacing w:before="0" w:beforeAutospacing="0" w:after="0" w:afterAutospacing="0"/>
        <w:ind w:firstLine="720"/>
        <w:jc w:val="both"/>
        <w:rPr>
          <w:rFonts w:ascii="Arial" w:hAnsi="Arial" w:cs="Arial"/>
          <w:sz w:val="20"/>
          <w:szCs w:val="20"/>
        </w:rPr>
      </w:pPr>
      <w:r w:rsidRPr="00885153">
        <w:rPr>
          <w:rFonts w:ascii="Arial" w:hAnsi="Arial" w:cs="Arial"/>
          <w:sz w:val="20"/>
          <w:szCs w:val="20"/>
        </w:rPr>
        <w:t xml:space="preserve">Education is </w:t>
      </w:r>
      <w:r w:rsidR="00F25C56">
        <w:rPr>
          <w:rFonts w:ascii="Arial" w:hAnsi="Arial" w:cs="Arial"/>
          <w:sz w:val="20"/>
          <w:szCs w:val="20"/>
        </w:rPr>
        <w:t>expected to enhance preparedness by strengthening citizens' capacity to discern opportunities, comply with procedural requirements, and adapt</w:t>
      </w:r>
      <w:r w:rsidRPr="00885153">
        <w:rPr>
          <w:rFonts w:ascii="Arial" w:hAnsi="Arial" w:cs="Arial"/>
          <w:sz w:val="20"/>
          <w:szCs w:val="20"/>
        </w:rPr>
        <w:t xml:space="preserve"> to novel governance structures associated with IKN development.</w:t>
      </w:r>
    </w:p>
    <w:p w14:paraId="4ED641FC" w14:textId="77777777" w:rsidR="00E16B78" w:rsidRPr="00885153" w:rsidRDefault="00E16B78" w:rsidP="00E16B78">
      <w:pPr>
        <w:pStyle w:val="Heading3"/>
        <w:numPr>
          <w:ilvl w:val="0"/>
          <w:numId w:val="14"/>
        </w:numPr>
        <w:tabs>
          <w:tab w:val="num" w:pos="360"/>
        </w:tabs>
        <w:spacing w:before="120"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lastRenderedPageBreak/>
        <w:t>Research Model and Hypotheses</w:t>
      </w:r>
    </w:p>
    <w:p w14:paraId="0CAE481A" w14:textId="77777777" w:rsidR="00E16B78" w:rsidRPr="00885153" w:rsidRDefault="00E16B78" w:rsidP="00E16B78">
      <w:pPr>
        <w:pStyle w:val="NormalWeb"/>
        <w:spacing w:before="0" w:beforeAutospacing="0" w:after="0" w:afterAutospacing="0"/>
        <w:jc w:val="both"/>
        <w:rPr>
          <w:rFonts w:ascii="Arial" w:hAnsi="Arial" w:cs="Arial"/>
          <w:sz w:val="20"/>
          <w:szCs w:val="20"/>
        </w:rPr>
      </w:pPr>
      <w:r w:rsidRPr="00885153">
        <w:rPr>
          <w:rFonts w:ascii="Arial" w:hAnsi="Arial" w:cs="Arial"/>
          <w:sz w:val="20"/>
          <w:szCs w:val="20"/>
        </w:rPr>
        <w:t>The synthesized literature presents a model in which Community Readiness, a six-indicator CRM-based construct, is the endogenous variable influenced by three community-level drivers: Community Motivation (three ERG-based indicators), Community Education (two indicators), and Community Skills (three indicators). The fundamental rationale is a motivation-capability framework: motivation provides the willingness and perseverance to participate, whereas education and skills furnish the interpretive and operational tools necessary for effective action within infrastructure and governance systems.</w:t>
      </w:r>
    </w:p>
    <w:p w14:paraId="1510C1F9" w14:textId="77777777" w:rsidR="00E16B78" w:rsidRPr="00885153" w:rsidRDefault="00E16B78" w:rsidP="00E16B78">
      <w:pPr>
        <w:pStyle w:val="NormalWeb"/>
        <w:spacing w:before="0" w:beforeAutospacing="0" w:after="0" w:afterAutospacing="0"/>
        <w:jc w:val="both"/>
        <w:rPr>
          <w:rFonts w:ascii="Arial" w:hAnsi="Arial" w:cs="Arial"/>
          <w:sz w:val="20"/>
          <w:szCs w:val="20"/>
        </w:rPr>
      </w:pPr>
      <w:r w:rsidRPr="00885153">
        <w:rPr>
          <w:rFonts w:ascii="Arial" w:hAnsi="Arial" w:cs="Arial"/>
          <w:sz w:val="20"/>
          <w:szCs w:val="20"/>
        </w:rPr>
        <w:t>Consequently, the assumptions are as follows:</w:t>
      </w:r>
    </w:p>
    <w:p w14:paraId="3EEE2D99" w14:textId="77777777" w:rsidR="00E16B78" w:rsidRPr="002D77C3" w:rsidRDefault="00E16B78" w:rsidP="00E16B78">
      <w:pPr>
        <w:pStyle w:val="NormalWeb"/>
        <w:spacing w:before="0" w:beforeAutospacing="0" w:after="0" w:afterAutospacing="0"/>
        <w:ind w:left="567" w:hanging="567"/>
        <w:jc w:val="both"/>
        <w:rPr>
          <w:rStyle w:val="Strong"/>
          <w:rFonts w:ascii="Arial" w:hAnsi="Arial" w:cs="Arial"/>
          <w:b w:val="0"/>
          <w:bCs w:val="0"/>
          <w:sz w:val="20"/>
          <w:szCs w:val="20"/>
        </w:rPr>
      </w:pPr>
      <w:r w:rsidRPr="002D77C3">
        <w:rPr>
          <w:rStyle w:val="Strong"/>
          <w:rFonts w:ascii="Arial" w:hAnsi="Arial" w:cs="Arial"/>
          <w:b w:val="0"/>
          <w:bCs w:val="0"/>
          <w:sz w:val="20"/>
          <w:szCs w:val="20"/>
        </w:rPr>
        <w:t>H1: Community motivation exerts a favorable and considerable influence on community readiness.</w:t>
      </w:r>
    </w:p>
    <w:p w14:paraId="52580CA4" w14:textId="77777777" w:rsidR="00E16B78" w:rsidRPr="002D77C3" w:rsidRDefault="00E16B78" w:rsidP="00E16B78">
      <w:pPr>
        <w:pStyle w:val="NormalWeb"/>
        <w:spacing w:before="0" w:beforeAutospacing="0" w:after="0" w:afterAutospacing="0"/>
        <w:ind w:left="567" w:hanging="567"/>
        <w:jc w:val="both"/>
        <w:rPr>
          <w:rStyle w:val="Strong"/>
          <w:rFonts w:ascii="Arial" w:hAnsi="Arial" w:cs="Arial"/>
          <w:b w:val="0"/>
          <w:bCs w:val="0"/>
          <w:sz w:val="20"/>
          <w:szCs w:val="20"/>
        </w:rPr>
      </w:pPr>
      <w:r w:rsidRPr="002D77C3">
        <w:rPr>
          <w:rStyle w:val="Strong"/>
          <w:rFonts w:ascii="Arial" w:hAnsi="Arial" w:cs="Arial"/>
          <w:b w:val="0"/>
          <w:bCs w:val="0"/>
          <w:sz w:val="20"/>
          <w:szCs w:val="20"/>
        </w:rPr>
        <w:t>H2: Community Education exerts a beneficial and substantial influence on Community Readiness.</w:t>
      </w:r>
    </w:p>
    <w:p w14:paraId="16E9C30D" w14:textId="77777777" w:rsidR="00E16B78" w:rsidRPr="002D77C3" w:rsidRDefault="00E16B78" w:rsidP="00E16B78">
      <w:pPr>
        <w:pStyle w:val="NormalWeb"/>
        <w:spacing w:before="0" w:beforeAutospacing="0" w:after="0" w:afterAutospacing="0"/>
        <w:ind w:left="567" w:hanging="567"/>
        <w:jc w:val="both"/>
        <w:rPr>
          <w:rFonts w:ascii="Arial" w:hAnsi="Arial" w:cs="Arial"/>
          <w:b/>
          <w:bCs/>
          <w:sz w:val="20"/>
          <w:szCs w:val="20"/>
        </w:rPr>
      </w:pPr>
      <w:r w:rsidRPr="002D77C3">
        <w:rPr>
          <w:rStyle w:val="Strong"/>
          <w:rFonts w:ascii="Arial" w:hAnsi="Arial" w:cs="Arial"/>
          <w:b w:val="0"/>
          <w:bCs w:val="0"/>
          <w:sz w:val="20"/>
          <w:szCs w:val="20"/>
          <w:lang w:val="en-US"/>
        </w:rPr>
        <w:t xml:space="preserve">H3: </w:t>
      </w:r>
      <w:r w:rsidRPr="002D77C3">
        <w:rPr>
          <w:rStyle w:val="Strong"/>
          <w:rFonts w:ascii="Arial" w:hAnsi="Arial" w:cs="Arial"/>
          <w:b w:val="0"/>
          <w:bCs w:val="0"/>
          <w:sz w:val="20"/>
          <w:szCs w:val="20"/>
        </w:rPr>
        <w:t>Community skills exert a positive and substantial influence on community readiness.</w:t>
      </w:r>
    </w:p>
    <w:p w14:paraId="20EC8A8A" w14:textId="77777777" w:rsidR="00E16B78" w:rsidRPr="002D77C3" w:rsidRDefault="00E16B78" w:rsidP="00E16B78">
      <w:pPr>
        <w:pStyle w:val="NormalWeb"/>
        <w:spacing w:before="0" w:beforeAutospacing="0" w:after="0" w:afterAutospacing="0"/>
        <w:ind w:firstLine="720"/>
        <w:jc w:val="both"/>
        <w:rPr>
          <w:rStyle w:val="Strong"/>
          <w:rFonts w:ascii="Arial" w:hAnsi="Arial" w:cs="Arial"/>
          <w:b w:val="0"/>
          <w:bCs w:val="0"/>
          <w:sz w:val="20"/>
          <w:szCs w:val="20"/>
        </w:rPr>
      </w:pPr>
    </w:p>
    <w:p w14:paraId="6AF8A8D6" w14:textId="3585F412" w:rsidR="00EB6BA0" w:rsidRPr="001047A2" w:rsidRDefault="006E45C4" w:rsidP="00EB6BA0">
      <w:pPr>
        <w:pStyle w:val="AbstHead"/>
        <w:numPr>
          <w:ilvl w:val="0"/>
          <w:numId w:val="6"/>
        </w:numPr>
        <w:spacing w:before="120" w:after="120"/>
        <w:ind w:left="357" w:hanging="357"/>
        <w:jc w:val="both"/>
        <w:rPr>
          <w:rFonts w:ascii="Arial" w:hAnsi="Arial" w:cs="Arial"/>
        </w:rPr>
      </w:pPr>
      <w:r w:rsidRPr="001047A2">
        <w:rPr>
          <w:rFonts w:ascii="Arial" w:hAnsi="Arial" w:cs="Arial"/>
          <w:caps w:val="0"/>
        </w:rPr>
        <w:t xml:space="preserve">Material And Methods </w:t>
      </w:r>
    </w:p>
    <w:p w14:paraId="607214D9" w14:textId="77777777" w:rsidR="00EB6BA0" w:rsidRPr="001047A2" w:rsidRDefault="00EB6BA0" w:rsidP="00287716">
      <w:pPr>
        <w:pStyle w:val="Heading2"/>
        <w:numPr>
          <w:ilvl w:val="0"/>
          <w:numId w:val="17"/>
        </w:numPr>
        <w:tabs>
          <w:tab w:val="num" w:pos="360"/>
        </w:tabs>
        <w:spacing w:before="120" w:line="240" w:lineRule="auto"/>
        <w:ind w:left="493" w:hanging="493"/>
        <w:jc w:val="both"/>
        <w:rPr>
          <w:rFonts w:ascii="Arial" w:hAnsi="Arial" w:cs="Arial"/>
          <w:color w:val="auto"/>
          <w:sz w:val="20"/>
          <w:szCs w:val="20"/>
        </w:rPr>
      </w:pPr>
      <w:r w:rsidRPr="001047A2">
        <w:rPr>
          <w:rFonts w:ascii="Arial" w:hAnsi="Arial" w:cs="Arial"/>
          <w:color w:val="auto"/>
          <w:sz w:val="20"/>
          <w:szCs w:val="20"/>
        </w:rPr>
        <w:t xml:space="preserve">Study design </w:t>
      </w:r>
      <w:r w:rsidRPr="00287716">
        <w:rPr>
          <w:rFonts w:ascii="Arial" w:eastAsia="Times New Roman" w:hAnsi="Arial" w:cs="Arial"/>
          <w:color w:val="auto"/>
          <w:sz w:val="20"/>
          <w:szCs w:val="20"/>
        </w:rPr>
        <w:t>and</w:t>
      </w:r>
      <w:r w:rsidRPr="001047A2">
        <w:rPr>
          <w:rFonts w:ascii="Arial" w:hAnsi="Arial" w:cs="Arial"/>
          <w:color w:val="auto"/>
          <w:sz w:val="20"/>
          <w:szCs w:val="20"/>
        </w:rPr>
        <w:t xml:space="preserve"> reporting framework</w:t>
      </w:r>
    </w:p>
    <w:p w14:paraId="3BCA3BF8" w14:textId="78F6F648" w:rsidR="00287716" w:rsidRDefault="00287716" w:rsidP="00287716">
      <w:pPr>
        <w:pStyle w:val="NormalWeb"/>
        <w:spacing w:before="0" w:beforeAutospacing="0" w:after="0" w:afterAutospacing="0"/>
        <w:ind w:firstLine="426"/>
        <w:jc w:val="both"/>
        <w:rPr>
          <w:rFonts w:ascii="Arial" w:hAnsi="Arial" w:cs="Arial"/>
          <w:bCs/>
          <w:sz w:val="20"/>
          <w:szCs w:val="20"/>
          <w:lang w:val="en-US"/>
        </w:rPr>
      </w:pPr>
      <w:r w:rsidRPr="00885153">
        <w:rPr>
          <w:rFonts w:ascii="Arial" w:hAnsi="Arial" w:cs="Arial"/>
          <w:bCs/>
          <w:sz w:val="20"/>
          <w:szCs w:val="20"/>
        </w:rPr>
        <w:t xml:space="preserve">This research </w:t>
      </w:r>
      <w:r w:rsidR="00F25C56">
        <w:rPr>
          <w:rFonts w:ascii="Arial" w:hAnsi="Arial" w:cs="Arial"/>
          <w:bCs/>
          <w:sz w:val="20"/>
          <w:szCs w:val="20"/>
        </w:rPr>
        <w:t>employed an explanatory, cross-sectional, quantitative design to examine the causal relationship between community human-capital drivers and Community Readiness using</w:t>
      </w:r>
      <w:r w:rsidRPr="00885153">
        <w:rPr>
          <w:rFonts w:ascii="Arial" w:hAnsi="Arial" w:cs="Arial"/>
          <w:bCs/>
          <w:sz w:val="20"/>
          <w:szCs w:val="20"/>
        </w:rPr>
        <w:t xml:space="preserve"> covariance-based structural equation modeling (CB-SEM). CB-SEM is highly endorsed for testing theories involving latent variables as it facilitates the concurrent estimate of measurement characteristics and structural correlations, while also allowing for comprehensive model-fit assessment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Procedures","type":"book"},"uris":["http://www.mendeley.com/documents/?uuid=ad6856cc-3b92-4ce6-a8a9-c41ccaeb894a"]},{"id":"ITEM-2","itemData":{"ISBN":"978-1-4737-5654-0","ISSN":"0921-5077","abstract":"Meer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Ainscow","id":"ITEM-2","issue":"3","issued":{"date-parts":[["2019","9","1"]]},"title":"Multivariate Data Analysis (Sixth Edition)","type":"book","volume":"19"},"uris":["http://www.mendeley.com/documents/?uuid=50c8c6c4-a217-475e-9b5e-858c5a1888b2"]},{"id":"ITEM-3","itemData":{"ISBN":"9781462523344","ISSN":"1927-9825","abstract":"This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London","id":"ITEM-3","issue":"1","issued":{"date-parts":[["2016","7","12"]]},"number-of-pages":"59","title":"Principles and Practice of Structural Equation Modeling","type":"book","volume":"1"},"uris":["http://www.mendeley.com/documents/?uuid=2d907137-4a37-4fca-8200-b5a7eb63a4e3"]}],"mendeley":{"formattedCitation":"(Creswell &amp; Creswell, 2018; Hair at al., 2019; Kline R.B, 2016)","plainTextFormattedCitation":"(Creswell &amp; Creswell, 2018; Hair at al., 2019; Kline R.B, 2016)","previouslyFormattedCitation":"(Creswell &amp; Creswell, 2018; Hair at al., 2019; Kline R.B, 2016)"},"properties":{"noteIndex":0},"schema":"https://github.com/citation-style-language/schema/raw/master/csl-citation.json"}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(Creswell &amp; Creswell, 2018; Hair at al., 2019; Kline R.B, 2016)</w:t>
      </w:r>
      <w:r w:rsidRPr="00885153">
        <w:rPr>
          <w:rFonts w:ascii="Arial" w:hAnsi="Arial" w:cs="Arial"/>
          <w:bCs/>
          <w:sz w:val="20"/>
          <w:szCs w:val="20"/>
        </w:rPr>
        <w:fldChar w:fldCharType="end"/>
      </w:r>
      <w:r w:rsidRPr="00885153">
        <w:rPr>
          <w:rFonts w:ascii="Arial" w:hAnsi="Arial" w:cs="Arial"/>
          <w:bCs/>
          <w:sz w:val="20"/>
          <w:szCs w:val="20"/>
          <w:lang w:val="en-US"/>
        </w:rPr>
        <w:t>.</w:t>
      </w:r>
    </w:p>
    <w:p w14:paraId="21BF9600" w14:textId="77777777" w:rsidR="00287716" w:rsidRPr="00885153"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885153">
        <w:rPr>
          <w:rFonts w:ascii="Arial" w:eastAsia="Times New Roman" w:hAnsi="Arial" w:cs="Arial"/>
          <w:color w:val="auto"/>
          <w:sz w:val="20"/>
          <w:szCs w:val="20"/>
        </w:rPr>
        <w:t>Study Area and Population</w:t>
      </w:r>
    </w:p>
    <w:p w14:paraId="4DEA500C" w14:textId="77777777" w:rsidR="00287716" w:rsidRPr="00885153" w:rsidRDefault="00287716" w:rsidP="00287716">
      <w:pPr>
        <w:pStyle w:val="NormalWeb"/>
        <w:spacing w:before="0" w:beforeAutospacing="0" w:after="0" w:afterAutospacing="0"/>
        <w:ind w:firstLine="720"/>
        <w:jc w:val="both"/>
        <w:rPr>
          <w:rFonts w:ascii="Arial" w:hAnsi="Arial" w:cs="Arial"/>
          <w:bCs/>
          <w:sz w:val="20"/>
          <w:szCs w:val="20"/>
        </w:rPr>
      </w:pPr>
      <w:r w:rsidRPr="00885153">
        <w:rPr>
          <w:rFonts w:ascii="Arial" w:hAnsi="Arial" w:cs="Arial"/>
          <w:bCs/>
          <w:sz w:val="20"/>
          <w:szCs w:val="20"/>
        </w:rPr>
        <w:t>The study was carried out in the core governmental region of Ibu Kota Nusantara (IKN), encompassing the four host subdistricts of Penajam, Sepaku, Babulu, and Waru. The target population consisted of local residents of productive age (18–64 years) residing in these subdistricts, aligning with the study's emphasis on community capacity to interact with IKN-related infrastructure and governance changes.</w:t>
      </w:r>
    </w:p>
    <w:p w14:paraId="310DB23A" w14:textId="77777777" w:rsidR="00287716" w:rsidRPr="00885153"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885153">
        <w:rPr>
          <w:rFonts w:ascii="Arial" w:eastAsia="Times New Roman" w:hAnsi="Arial" w:cs="Arial"/>
          <w:color w:val="auto"/>
          <w:sz w:val="20"/>
          <w:szCs w:val="20"/>
        </w:rPr>
        <w:t>Sampling Technique and Sample Size</w:t>
      </w:r>
    </w:p>
    <w:p w14:paraId="757B3B0D" w14:textId="0D85BE51" w:rsidR="00287716"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 xml:space="preserve">A proportional stratified random sampling method was employed, with subdistricts designated as strata to guarantee geographical representation within the IKN host region. A total of 350 questions were </w:t>
      </w:r>
      <w:r w:rsidR="00F25C56">
        <w:rPr>
          <w:rFonts w:ascii="Arial" w:hAnsi="Arial" w:cs="Arial"/>
          <w:bCs/>
          <w:sz w:val="20"/>
          <w:szCs w:val="20"/>
        </w:rPr>
        <w:t>collected and entered into the SEM screening process</w:t>
      </w:r>
      <w:r w:rsidRPr="00885153">
        <w:rPr>
          <w:rFonts w:ascii="Arial" w:hAnsi="Arial" w:cs="Arial"/>
          <w:bCs/>
          <w:sz w:val="20"/>
          <w:szCs w:val="20"/>
        </w:rPr>
        <w:t xml:space="preserve">. Before model estimation, the dataset was subjected to multivariate screening methods in accordance with CB-SEM best practices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(Hair at al., 2019; Kline R.B, 2016)</w:t>
      </w:r>
      <w:r w:rsidRPr="00885153">
        <w:rPr>
          <w:rFonts w:ascii="Arial" w:hAnsi="Arial" w:cs="Arial"/>
          <w:bCs/>
          <w:sz w:val="20"/>
          <w:szCs w:val="20"/>
        </w:rPr>
        <w:fldChar w:fldCharType="end"/>
      </w:r>
      <w:r w:rsidRPr="00885153">
        <w:rPr>
          <w:rFonts w:ascii="Arial" w:hAnsi="Arial" w:cs="Arial"/>
          <w:bCs/>
          <w:sz w:val="20"/>
          <w:szCs w:val="20"/>
          <w:lang w:val="en-US"/>
        </w:rPr>
        <w:t>.</w:t>
      </w:r>
    </w:p>
    <w:p w14:paraId="139555B7" w14:textId="0A83353A" w:rsidR="00287716" w:rsidRPr="00885153" w:rsidRDefault="00287716" w:rsidP="00287716">
      <w:pPr>
        <w:pStyle w:val="NormalWeb"/>
        <w:spacing w:before="0" w:beforeAutospacing="0" w:after="0" w:afterAutospacing="0"/>
        <w:ind w:firstLine="720"/>
        <w:jc w:val="both"/>
        <w:rPr>
          <w:rFonts w:ascii="Arial" w:hAnsi="Arial" w:cs="Arial"/>
          <w:bCs/>
          <w:sz w:val="20"/>
          <w:szCs w:val="20"/>
        </w:rPr>
      </w:pPr>
      <w:r w:rsidRPr="00885153">
        <w:rPr>
          <w:rFonts w:ascii="Arial" w:hAnsi="Arial" w:cs="Arial"/>
          <w:bCs/>
          <w:sz w:val="20"/>
          <w:szCs w:val="20"/>
        </w:rPr>
        <w:t>Multivariate outliers were evaluated using Mahalanobis distance (D²) with a stringent threshold (p &lt; 0.001), a widely accepted standard for identifying prominent cases that could skew the covariance structure in SEM</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Edition)","type":"book","volume":"19"},"uris":["http://www.mendeley.com/documents/?uuid=50c8c6c4-a217-475e-9b5e-858c5a1888b2"]}],"mendeley":{"formattedCitation":"(Hair at al., 2019)","plainTextFormattedCitation":"(Hair at al., 2019)","previouslyFormattedCitation":"(Hair at al., 2019)"},"properties":{"noteIndex":0},"schema":"https://github.com/citation-style-language/schema/raw/master/csl-citation.json"}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(Hair at al., 2019)</w:t>
      </w:r>
      <w:r w:rsidRPr="00885153">
        <w:rPr>
          <w:rFonts w:ascii="Arial" w:hAnsi="Arial" w:cs="Arial"/>
          <w:bCs/>
          <w:sz w:val="20"/>
          <w:szCs w:val="20"/>
        </w:rPr>
        <w:fldChar w:fldCharType="end"/>
      </w:r>
      <w:r w:rsidRPr="00885153">
        <w:rPr>
          <w:rFonts w:ascii="Arial" w:hAnsi="Arial" w:cs="Arial"/>
          <w:bCs/>
          <w:sz w:val="20"/>
          <w:szCs w:val="20"/>
          <w:lang w:val="en-US"/>
        </w:rPr>
        <w:t>.</w:t>
      </w:r>
      <w:r w:rsidRPr="00885153">
        <w:rPr>
          <w:rFonts w:ascii="Arial" w:hAnsi="Arial" w:cs="Arial"/>
          <w:bCs/>
          <w:sz w:val="20"/>
          <w:szCs w:val="20"/>
        </w:rPr>
        <w:t xml:space="preserve"> This technique identified 19 examples as outliers; these observations were excluded. The assessment of multivariate normality was conducted </w:t>
      </w:r>
      <w:r w:rsidR="00F25C56">
        <w:rPr>
          <w:rFonts w:ascii="Arial" w:hAnsi="Arial" w:cs="Arial"/>
          <w:bCs/>
          <w:sz w:val="20"/>
          <w:szCs w:val="20"/>
        </w:rPr>
        <w:t>using the critical ratio criterion (±2.58), typically used</w:t>
      </w:r>
      <w:r w:rsidRPr="00885153">
        <w:rPr>
          <w:rFonts w:ascii="Arial" w:hAnsi="Arial" w:cs="Arial"/>
          <w:bCs/>
          <w:sz w:val="20"/>
          <w:szCs w:val="20"/>
        </w:rPr>
        <w:t xml:space="preserve"> for maximum-likelihood estimation (Kline, 2016). Following the removal of outliers, 331 examples satisfied the criteria for multivariate normality and were included in the final analysis. The analytic sample size for CFA/CVA and the structural model was n = 331.</w:t>
      </w:r>
    </w:p>
    <w:p w14:paraId="630607D9" w14:textId="77777777" w:rsidR="00287716" w:rsidRPr="00885153"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885153">
        <w:rPr>
          <w:rFonts w:ascii="Arial" w:eastAsia="Times New Roman" w:hAnsi="Arial" w:cs="Arial"/>
          <w:color w:val="auto"/>
          <w:sz w:val="20"/>
          <w:szCs w:val="20"/>
        </w:rPr>
        <w:t>Constructs and Measurement</w:t>
      </w:r>
    </w:p>
    <w:p w14:paraId="7967FCC6" w14:textId="56F6C5B8" w:rsidR="00287716" w:rsidRPr="00885153"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The model consists of four latent constructs</w:t>
      </w:r>
      <w:r w:rsidR="00F25C56">
        <w:rPr>
          <w:rFonts w:ascii="Arial" w:hAnsi="Arial" w:cs="Arial"/>
          <w:bCs/>
          <w:sz w:val="20"/>
          <w:szCs w:val="20"/>
        </w:rPr>
        <w:t>, each assessed by 14 indicators, yielding an overidentified</w:t>
      </w:r>
      <w:r w:rsidRPr="00885153">
        <w:rPr>
          <w:rFonts w:ascii="Arial" w:hAnsi="Arial" w:cs="Arial"/>
          <w:bCs/>
          <w:sz w:val="20"/>
          <w:szCs w:val="20"/>
        </w:rPr>
        <w:t xml:space="preserve"> CB-SEM specification. All indicators were assessed utilizing a five-point Likert scale (1 = strongly disagree to 5 = strongly agree), a conventional method for operationalizing latent social-psychological phenomena in Structural Equation Modeling (SEM)</w:t>
      </w:r>
      <w:r w:rsidRPr="00885153">
        <w:rPr>
          <w:rFonts w:ascii="Arial" w:hAnsi="Arial" w:cs="Arial"/>
          <w:bCs/>
          <w:sz w:val="20"/>
          <w:szCs w:val="20"/>
          <w:lang w:val="en-US"/>
        </w:rPr>
        <w:t xml:space="preserve">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Edition)","type":"book","volume":"19"},"uris":["http://www.mendeley.com/documents/?uuid=50c8c6c4-a217-475e-9b5e-858c5a1888b2"]}],"mendeley":{"formattedCitation":"(Hair at al., 2019)","plainTextFormattedCitation":"(Hair at al., 2019)","previouslyFormattedCitation":"(Hair at al., 2019)"},"properties":{"noteIndex":0},"schema":"https://github.com/citation-style-language/schema/raw/master/csl-citation.json"}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(Hair at al., 2019)</w:t>
      </w:r>
      <w:r w:rsidRPr="00885153">
        <w:rPr>
          <w:rFonts w:ascii="Arial" w:hAnsi="Arial" w:cs="Arial"/>
          <w:bCs/>
          <w:sz w:val="20"/>
          <w:szCs w:val="20"/>
        </w:rPr>
        <w:fldChar w:fldCharType="end"/>
      </w:r>
      <w:r w:rsidRPr="00885153">
        <w:rPr>
          <w:rFonts w:ascii="Arial" w:hAnsi="Arial" w:cs="Arial"/>
          <w:bCs/>
          <w:sz w:val="20"/>
          <w:szCs w:val="20"/>
          <w:lang w:val="en-US"/>
        </w:rPr>
        <w:t>.</w:t>
      </w:r>
    </w:p>
    <w:p w14:paraId="25593C2E" w14:textId="77777777" w:rsidR="00287716" w:rsidRPr="00885153"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885153">
        <w:rPr>
          <w:rFonts w:ascii="Arial" w:hAnsi="Arial" w:cs="Arial"/>
          <w:bCs/>
          <w:sz w:val="20"/>
          <w:szCs w:val="20"/>
        </w:rPr>
        <w:t>Community Readiness (endogenous; 6 indicators): Community Effort, Program Knowledge, Community Leadership, Community Climate, Problem Comprehension, and Resources.</w:t>
      </w:r>
    </w:p>
    <w:p w14:paraId="6B667B1D" w14:textId="77777777" w:rsidR="00287716" w:rsidRPr="00885153"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885153">
        <w:rPr>
          <w:rFonts w:ascii="Arial" w:hAnsi="Arial" w:cs="Arial"/>
          <w:bCs/>
          <w:sz w:val="20"/>
          <w:szCs w:val="20"/>
        </w:rPr>
        <w:t>Community Skills (exogenous; three indicators): Literacy Skill, Technical Skill, and Problem-Solving Skill.</w:t>
      </w:r>
    </w:p>
    <w:p w14:paraId="558DEF89" w14:textId="77777777" w:rsidR="00287716" w:rsidRPr="00885153"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885153">
        <w:rPr>
          <w:rFonts w:ascii="Arial" w:hAnsi="Arial" w:cs="Arial"/>
          <w:bCs/>
          <w:sz w:val="20"/>
          <w:szCs w:val="20"/>
        </w:rPr>
        <w:t>Community Motivation (exogenous; ERG; three indicators): Existence, Relatedness, and Growth.</w:t>
      </w:r>
    </w:p>
    <w:p w14:paraId="412B391B" w14:textId="77777777" w:rsidR="00287716" w:rsidRPr="00885153" w:rsidRDefault="00287716" w:rsidP="00287716">
      <w:pPr>
        <w:pStyle w:val="ListBullet"/>
        <w:numPr>
          <w:ilvl w:val="0"/>
          <w:numId w:val="16"/>
        </w:numPr>
        <w:spacing w:after="0" w:line="240" w:lineRule="auto"/>
        <w:contextualSpacing w:val="0"/>
        <w:jc w:val="both"/>
        <w:rPr>
          <w:rFonts w:ascii="Arial" w:hAnsi="Arial" w:cs="Arial"/>
          <w:bCs/>
          <w:sz w:val="20"/>
          <w:szCs w:val="20"/>
        </w:rPr>
      </w:pPr>
      <w:r w:rsidRPr="00885153">
        <w:rPr>
          <w:rFonts w:ascii="Arial" w:hAnsi="Arial" w:cs="Arial"/>
          <w:bCs/>
          <w:sz w:val="20"/>
          <w:szCs w:val="20"/>
        </w:rPr>
        <w:t>Community Education (exogenous; two indicators): Formal Education and Non-formal Education.</w:t>
      </w:r>
    </w:p>
    <w:p w14:paraId="323A8E96" w14:textId="77777777" w:rsidR="00287716" w:rsidRPr="00885153"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 xml:space="preserve">The quality of measurement was evaluated according to accepted SEM criteria. Convergent validity was examined by standardized factor loadings (≥ 0.50) and Average Variance Extracted (AVE ≥ 0.50), and internal consistency reliability was evaluated using Composite Reliability (CR ≥ 0.70) and Cronbach’s alpha </w:t>
      </w:r>
      <w:r w:rsidRPr="00885153">
        <w:rPr>
          <w:rFonts w:ascii="Arial" w:hAnsi="Arial" w:cs="Arial"/>
          <w:bCs/>
          <w:sz w:val="20"/>
          <w:szCs w:val="20"/>
        </w:rPr>
        <w:lastRenderedPageBreak/>
        <w:t xml:space="preserve">(α ≥ 0.70)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Research","id":"ITEM-1","issue":"November 2019","issued":{"date-parts":[["2020"]]},"page":"101-110","publisher":"Elsevier","title":"Assessing measurement model quality in PLS-SEM using confirmatory composite analysis","type":"article-journal","volume":"109"},"uris":["http://www.mendeley.com/documents/?uuid=42275619-7200-486b-9a3a-4c751c1325d4"]}],"mendeley":{"formattedCitation":"(Hair et al., 2020)","plainTextFormattedCitation":"(Hair et al., 2020)","previouslyFormattedCitation":"(Hair et al., 2020)"},"properties":{"noteIndex":0},"schema":"https://github.com/citation-style-language/schema/raw/master/csl-citation.json"}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(Hair et al., 2020)</w:t>
      </w:r>
      <w:r w:rsidRPr="00885153">
        <w:rPr>
          <w:rFonts w:ascii="Arial" w:hAnsi="Arial" w:cs="Arial"/>
          <w:bCs/>
          <w:sz w:val="20"/>
          <w:szCs w:val="20"/>
        </w:rPr>
        <w:fldChar w:fldCharType="end"/>
      </w:r>
      <w:r w:rsidRPr="00885153">
        <w:rPr>
          <w:rFonts w:ascii="Arial" w:hAnsi="Arial" w:cs="Arial"/>
          <w:bCs/>
          <w:sz w:val="20"/>
          <w:szCs w:val="20"/>
          <w:lang w:val="en-US"/>
        </w:rPr>
        <w:t xml:space="preserve">. </w:t>
      </w:r>
      <w:r w:rsidRPr="00885153">
        <w:rPr>
          <w:rFonts w:ascii="Arial" w:hAnsi="Arial" w:cs="Arial"/>
          <w:bCs/>
          <w:sz w:val="20"/>
          <w:szCs w:val="20"/>
        </w:rPr>
        <w:t xml:space="preserve">Discriminant validity was assessed utilizing the Fornell–Larcker criterion and the comparison of AVE and MSV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{"citationItems":[{"id":"ITEM-1","itemData":{"DOI":"10.1177/002224378101800313","ISSN":"0022-2437","abstract":"Several issues relating to goodness of fit in structural equations are examined. The convergence and differentiation criteria, as applied by Bagozzi, are shown not to stand up under mathematical or statistical analysis. The authors argue that the choice of interpretative statistic must be based on the research objective. They demonstrate that when this is done the Fornell-Larcker testing system is internally consistent and that it conforms to the rules of correspondence for relating data to abstract variables.","author":[{"dropping-particle":"","family":"Fornell","given":"Claes","non-dropping-particle":"","parse-names":false,"suffix":""},{"dropping-particle":"","family":"Larcker","given":"David F.","non-dropping-particle":"","parse-names":false,"suffix":""}],"container-title":"Journal of Marketing Research","id":"ITEM-1","issue":"3","issued":{"date-parts":[["1981","8","1"]]},"page":"382-388","title":"Structural Equation Models with Unobservable Variables and Measurement Error: Algebra and Statistics","type":"article-journal","volume":"18"},"uris":["http://www.mendeley.com/documents/?uuid=70ad895b-2676-489f-a3b8-6c14ffe22089"]}],"mendeley":{"formattedCitation":"(Fornell &amp; Larcker, 1981)","plainTextFormattedCitation":"(Fornell &amp; Larcker, 1981)","previouslyFormattedCitation":"(Fornell &amp; Larcker, 1981)"},"properties":{"noteIndex":0},"schema":"https://github.com/citation-style-language/schema/raw/master/csl-citation.json"}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(Fornell &amp; Larcker, 1981)</w:t>
      </w:r>
      <w:r w:rsidRPr="00885153">
        <w:rPr>
          <w:rFonts w:ascii="Arial" w:hAnsi="Arial" w:cs="Arial"/>
          <w:bCs/>
          <w:sz w:val="20"/>
          <w:szCs w:val="20"/>
        </w:rPr>
        <w:fldChar w:fldCharType="end"/>
      </w:r>
      <w:r w:rsidRPr="00885153">
        <w:rPr>
          <w:rFonts w:ascii="Arial" w:hAnsi="Arial" w:cs="Arial"/>
          <w:bCs/>
          <w:sz w:val="20"/>
          <w:szCs w:val="20"/>
        </w:rPr>
        <w:t xml:space="preserve">, HTMT is recommended as an optional robustness assessment when indicator-level correlation matrices are accessible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{"citationItems":[{"id":"ITEM-1","itemData":{"DOI":"10.1007/s11747-014-0403-8","ISBN":"1174701404","ISSN":"15527824","abstract":"Discriminant validity assessment has become a generally accepted prerequisite for analyzing relationships between latent variables. For variance-based structural equation modeling, such as partial least squares, the Fornell-Larcker criterion and the examination of cross-loadings are the dominant approaches for evaluating discriminant validity. By means of a simulation study, we show that these approaches do not reliably detect the lack of discriminant validity in common research situations. We therefore propose an alternative approach, based on the multitrait-multimethod matrix, to assess discriminant validity: the heterotrait-monotrait ratio of correlations. We demonstrate its superior performance by means of a Monte Carlo simulation study, in which we compare the new approach to the Fornell-Larcker criterion and the assessment of (partial) cross-loadings. Finally, we provide guidelines on how to handle discriminant validity issues in variance-based structural equation modeling.","author":[{"dropping-particle":"","family":"Henseler","given":"Jörg","non-dropping-particle":"","parse-names":false,"suffix":""},{"dropping-particle":"","family":"Ringle","given":"Christian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Science","id":"ITEM-1","issue":"1","issued":{"date-parts":[["2015"]]},"page":"115-135","title":"A new criterion for assessing discriminant validity in variance-based structural equation modeling","type":"article-journal","volume":"43"},"uris":["http://www.mendeley.com/documents/?uuid=c5f8fc12-4aa9-409a-a0b4-76021c1e159f"]}],"mendeley":{"formattedCitation":"(Henseler et al., 2015)","plainTextFormattedCitation":"(Henseler et al., 2015)","previouslyFormattedCitation":"(Henseler et al., 2015)"},"properties":{"noteIndex":0},"schema":"https://github.com/citation-style-language/schema/raw/master/csl-citation.json"}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(Henseler et al., 2015)</w:t>
      </w:r>
      <w:r w:rsidRPr="00885153">
        <w:rPr>
          <w:rFonts w:ascii="Arial" w:hAnsi="Arial" w:cs="Arial"/>
          <w:bCs/>
          <w:sz w:val="20"/>
          <w:szCs w:val="20"/>
        </w:rPr>
        <w:fldChar w:fldCharType="end"/>
      </w:r>
      <w:r w:rsidRPr="00885153">
        <w:rPr>
          <w:rFonts w:ascii="Arial" w:hAnsi="Arial" w:cs="Arial"/>
          <w:bCs/>
          <w:sz w:val="20"/>
          <w:szCs w:val="20"/>
          <w:lang w:val="en-US"/>
        </w:rPr>
        <w:t>.</w:t>
      </w:r>
    </w:p>
    <w:p w14:paraId="0B7CD8CD" w14:textId="77777777" w:rsidR="00287716" w:rsidRPr="00885153"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885153">
        <w:rPr>
          <w:rFonts w:ascii="Arial" w:eastAsia="Times New Roman" w:hAnsi="Arial" w:cs="Arial"/>
          <w:color w:val="auto"/>
          <w:sz w:val="20"/>
          <w:szCs w:val="20"/>
        </w:rPr>
        <w:t>Data Collection Procedure</w:t>
      </w:r>
    </w:p>
    <w:p w14:paraId="4F95EED0" w14:textId="07D054AA" w:rsidR="00287716"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 xml:space="preserve">Primary data were gathered in 2025 by a standardized questionnaire delivered in Indonesian. Trained enumerators performed field surveys to standardize item interpretation and minimize interviewer variability. To alleviate common method bias, procedural remedies were implemented (e.g., assurance of anonymity and meticulous item phrasing), succeeded by statistical diagnostics using Harman’s single-factor test and a marker-variable technique, in accordance with established guidelines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{"citationItems":[{"id":"ITEM-1","itemData":{"DOI":"10.1146/annurev-psych-120710-100452","ISSN":"00664308","PMID":"21838546","abstract":"Despite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 © 2012 by Annual Reviews. All rights reserved.","author":[{"dropping-particle":"","family":"Podsakoff","given":"Philip M.","non-dropping-particle":"","parse-names":false,"suffix":""},{"dropping-particle":"","family":"MacKenzie","given":"Scott B.","non-dropping-particle":"","parse-names":false,"suffix":""},{"dropping-particle":"","family":"Podsakoff","given":"Nathan P.","non-dropping-particle":"","parse-names":false,"suffix":""}],"container-title":"Annual Review of Psychology","id":"ITEM-1","issued":{"date-parts":[["2012"]]},"page":"539-569","title":"Sources of method bias in social science research and recommendations on how to control it","type":"article-journal","volume":"63"},"uris":["http://www.mendeley.com/documents/?uuid=d6c71a5d-c51f-4c87-b825-2817dfe9dc95"]}],"mendeley":{"formattedCitation":"(Podsakoff et al., 2012)","plainTextFormattedCitation":"(Podsakoff et al., 2012)","previouslyFormattedCitation":"(Podsakoff et al., 2012)"},"properties":{"noteIndex":0},"schema":"https://github.com/citation-style-language/schema/raw/master/csl-citation.json"}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(Podsakoff et al., 2012)</w:t>
      </w:r>
      <w:r w:rsidRPr="00885153">
        <w:rPr>
          <w:rFonts w:ascii="Arial" w:hAnsi="Arial" w:cs="Arial"/>
          <w:bCs/>
          <w:sz w:val="20"/>
          <w:szCs w:val="20"/>
        </w:rPr>
        <w:fldChar w:fldCharType="end"/>
      </w:r>
      <w:r w:rsidRPr="00885153">
        <w:rPr>
          <w:rFonts w:ascii="Arial" w:hAnsi="Arial" w:cs="Arial"/>
          <w:bCs/>
          <w:sz w:val="20"/>
          <w:szCs w:val="20"/>
          <w:lang w:val="en-US"/>
        </w:rPr>
        <w:t>.</w:t>
      </w:r>
    </w:p>
    <w:p w14:paraId="5E4CA8D7" w14:textId="77777777" w:rsidR="0013238B" w:rsidRPr="00885153" w:rsidRDefault="0013238B" w:rsidP="00287716">
      <w:pPr>
        <w:pStyle w:val="NormalWeb"/>
        <w:spacing w:before="0" w:beforeAutospacing="0" w:after="0" w:afterAutospacing="0"/>
        <w:ind w:firstLine="720"/>
        <w:jc w:val="both"/>
        <w:rPr>
          <w:rFonts w:ascii="Arial" w:hAnsi="Arial" w:cs="Arial"/>
          <w:bCs/>
          <w:sz w:val="20"/>
          <w:szCs w:val="20"/>
          <w:lang w:val="en-US"/>
        </w:rPr>
      </w:pPr>
    </w:p>
    <w:p w14:paraId="45F78032" w14:textId="77777777" w:rsidR="00287716" w:rsidRPr="00885153" w:rsidRDefault="00287716" w:rsidP="00287716">
      <w:pPr>
        <w:pStyle w:val="Heading2"/>
        <w:numPr>
          <w:ilvl w:val="0"/>
          <w:numId w:val="17"/>
        </w:numPr>
        <w:tabs>
          <w:tab w:val="num" w:pos="360"/>
        </w:tabs>
        <w:spacing w:before="120" w:line="240" w:lineRule="auto"/>
        <w:ind w:left="493" w:hanging="493"/>
        <w:jc w:val="both"/>
        <w:rPr>
          <w:rFonts w:ascii="Arial" w:hAnsi="Arial" w:cs="Arial"/>
          <w:bCs/>
          <w:color w:val="auto"/>
          <w:sz w:val="20"/>
          <w:szCs w:val="20"/>
        </w:rPr>
      </w:pPr>
      <w:r w:rsidRPr="00885153">
        <w:rPr>
          <w:rFonts w:ascii="Arial" w:eastAsia="Times New Roman" w:hAnsi="Arial" w:cs="Arial"/>
          <w:color w:val="auto"/>
          <w:sz w:val="20"/>
          <w:szCs w:val="20"/>
        </w:rPr>
        <w:t>Data Analysis</w:t>
      </w:r>
    </w:p>
    <w:p w14:paraId="42FDE7D0" w14:textId="77777777" w:rsidR="00287716" w:rsidRPr="00885153"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The data analysis was conducted in sequential phases consistent with CB-SEM methodology. Initially, descriptive statistics were employed to characterize respondent attributes and summarize the distributions of indicators. A confirmatory factor analysis (CFA; also known as confirmatory validity analysis, CVA, in AMOS reporting) was conducted to validate the measurement model before structural testing</w:t>
      </w:r>
      <w:r w:rsidRPr="00885153">
        <w:rPr>
          <w:rFonts w:ascii="Arial" w:hAnsi="Arial" w:cs="Arial"/>
          <w:bCs/>
          <w:sz w:val="20"/>
          <w:szCs w:val="20"/>
          <w:lang w:val="en-US"/>
        </w:rPr>
        <w:t xml:space="preserve">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(Hair at al., 2019; Kline R.B, 2016)</w:t>
      </w:r>
      <w:r w:rsidRPr="00885153">
        <w:rPr>
          <w:rFonts w:ascii="Arial" w:hAnsi="Arial" w:cs="Arial"/>
          <w:bCs/>
          <w:sz w:val="20"/>
          <w:szCs w:val="20"/>
        </w:rPr>
        <w:fldChar w:fldCharType="end"/>
      </w:r>
      <w:r w:rsidRPr="00885153">
        <w:rPr>
          <w:rFonts w:ascii="Arial" w:hAnsi="Arial" w:cs="Arial"/>
          <w:bCs/>
          <w:sz w:val="20"/>
          <w:szCs w:val="20"/>
          <w:lang w:val="en-US"/>
        </w:rPr>
        <w:t>.</w:t>
      </w:r>
    </w:p>
    <w:p w14:paraId="21B2F4C0" w14:textId="77777777" w:rsidR="00287716" w:rsidRPr="00885153"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The structural model was calculated in AMOS via maximum-likelihood estimation, presenting both unstandardized (B) and standardized (β) coefficients. The model fit was assessed utilizing a combination of absolute and incremental indices often provided in CB-SEM, including Chi-square probability, CMIN/DF, RMR, RMSEA, as well as indices such as GFI, AGFI, NFI, IFI, TLI, and CFI</w:t>
      </w:r>
      <w:r w:rsidRPr="00885153">
        <w:rPr>
          <w:rFonts w:ascii="Arial" w:hAnsi="Arial" w:cs="Arial"/>
          <w:bCs/>
          <w:sz w:val="20"/>
          <w:szCs w:val="20"/>
          <w:lang w:val="en-US"/>
        </w:rPr>
        <w:t xml:space="preserve">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(Hair at al., 2019; Kline R.B, 2016)</w:t>
      </w:r>
      <w:r w:rsidRPr="00885153">
        <w:rPr>
          <w:rFonts w:ascii="Arial" w:hAnsi="Arial" w:cs="Arial"/>
          <w:bCs/>
          <w:sz w:val="20"/>
          <w:szCs w:val="20"/>
        </w:rPr>
        <w:fldChar w:fldCharType="end"/>
      </w:r>
      <w:r w:rsidRPr="00885153">
        <w:rPr>
          <w:rFonts w:ascii="Arial" w:hAnsi="Arial" w:cs="Arial"/>
          <w:bCs/>
          <w:sz w:val="20"/>
          <w:szCs w:val="20"/>
          <w:lang w:val="en-US"/>
        </w:rPr>
        <w:t xml:space="preserve">. </w:t>
      </w:r>
      <w:r w:rsidRPr="00885153">
        <w:rPr>
          <w:rFonts w:ascii="Arial" w:hAnsi="Arial" w:cs="Arial"/>
          <w:bCs/>
          <w:sz w:val="20"/>
          <w:szCs w:val="20"/>
        </w:rPr>
        <w:t xml:space="preserve">Where theoretically justifiable, model refinement adhered to conventional CB-SEM protocols, encompassing the assessment of modification indices for specific error covariances to enhance fit without compromising construct integrity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London","id":"ITEM-1","issue":"1","issued":{"date-parts":[["2016","7","12"]]},"number-of-pages":"59","title":"Principles and Practice of Structural Equation Modeling","type":"book","volume":"1"},"uris":["http://www.mendeley.com/documents/?uuid=2d907137-4a37-4fca-8200-b5a7eb63a4e3"]}],"mendeley":{"formattedCitation":"(Kline R.B, 2016)","plainTextFormattedCitation":"(Kline R.B, 2016)","previouslyFormattedCitation":"(Kline R.B, 2016)"},"properties":{"noteIndex":0},"schema":"https://github.com/citation-style-language/schema/raw/master/csl-citation.json"}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(Kline R.B, 2016)</w:t>
      </w:r>
      <w:r w:rsidRPr="00885153">
        <w:rPr>
          <w:rFonts w:ascii="Arial" w:hAnsi="Arial" w:cs="Arial"/>
          <w:bCs/>
          <w:sz w:val="20"/>
          <w:szCs w:val="20"/>
        </w:rPr>
        <w:fldChar w:fldCharType="end"/>
      </w:r>
      <w:r w:rsidRPr="00885153">
        <w:rPr>
          <w:rFonts w:ascii="Arial" w:hAnsi="Arial" w:cs="Arial"/>
          <w:bCs/>
          <w:sz w:val="20"/>
          <w:szCs w:val="20"/>
          <w:lang w:val="en-US"/>
        </w:rPr>
        <w:t>.</w:t>
      </w:r>
    </w:p>
    <w:p w14:paraId="69642996" w14:textId="77777777" w:rsidR="00287716" w:rsidRPr="00885153"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 xml:space="preserve">The hypotheses were examined using the predicted path coefficients and corresponding p-values, with statistical significance determined at α = 0.05. The model's explanatory strength was indicated by the coefficient of determination (R²) for Community Readiness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{"citationItems":[{"id":"ITEM-1","itemData":{"DOI":"10.1037/0003-066X.59.8.676","ISSN":"0003066X","PMID":"15554821","abstract":"The author discusses 3 variables that assess different aspects of social relationships-social support, social integration, and negative interaction. The author argues that all 3 are associated with health outcomes, that these variables each influence health through different mechanisms, and that associations between these variables and health are not spurious findings attributable to our personalities. This argument suggests a broader view of how to intervene in social networks to improve health. This includes facilitating both social integration and social support by creating and nurturing both close (strong) and peripheral (weak) ties within natural social networks and reducing opportunities for negative social interaction. Finally, the author emphasizes the necessity to understand more about who benefits most and least from social-connectedness interventions.","author":[{"dropping-particle":"","family":"Cohen","given":"Sheldon","non-dropping-particle":"","parse-names":false,"suffix":""}],"container-title":"American Psychologist","id":"ITEM-1","issue":"8","issued":{"date-parts":[["2004"]]},"page":"676-684","title":"Social relationships and health","type":"article-journal","volume":"59"},"uris":["http://www.mendeley.com/documents/?uuid=95867af1-6b97-437e-88b8-84161baeb9ff"]}],"mendeley":{"formattedCitation":"(Cohen, 2004)","plainTextFormattedCitation":"(Cohen, 2004)","previouslyFormattedCitation":"(Cohen, 2004)"},"properties":{"noteIndex":0},"schema":"https://github.com/citation-style-language/schema/raw/master/csl-citation.json"}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(Cohen, 2004)</w:t>
      </w:r>
      <w:r w:rsidRPr="00885153">
        <w:rPr>
          <w:rFonts w:ascii="Arial" w:hAnsi="Arial" w:cs="Arial"/>
          <w:bCs/>
          <w:sz w:val="20"/>
          <w:szCs w:val="20"/>
        </w:rPr>
        <w:fldChar w:fldCharType="end"/>
      </w:r>
      <w:r w:rsidRPr="00885153">
        <w:rPr>
          <w:rFonts w:ascii="Arial" w:hAnsi="Arial" w:cs="Arial"/>
          <w:bCs/>
          <w:sz w:val="20"/>
          <w:szCs w:val="20"/>
          <w:lang w:val="en-US"/>
        </w:rPr>
        <w:t>.</w:t>
      </w:r>
    </w:p>
    <w:p w14:paraId="429C5667" w14:textId="77777777" w:rsidR="00287716" w:rsidRPr="00885153" w:rsidRDefault="00287716" w:rsidP="00287716">
      <w:pPr>
        <w:pStyle w:val="Heading2"/>
        <w:numPr>
          <w:ilvl w:val="0"/>
          <w:numId w:val="17"/>
        </w:numPr>
        <w:tabs>
          <w:tab w:val="num" w:pos="360"/>
        </w:tabs>
        <w:spacing w:before="120" w:line="240" w:lineRule="auto"/>
        <w:ind w:left="493" w:hanging="493"/>
        <w:jc w:val="both"/>
        <w:rPr>
          <w:rFonts w:ascii="Arial" w:eastAsia="Times New Roman" w:hAnsi="Arial" w:cs="Arial"/>
          <w:bCs/>
          <w:color w:val="auto"/>
          <w:sz w:val="20"/>
          <w:szCs w:val="20"/>
        </w:rPr>
      </w:pPr>
      <w:r w:rsidRPr="00885153">
        <w:rPr>
          <w:rFonts w:ascii="Arial" w:eastAsia="Times New Roman" w:hAnsi="Arial" w:cs="Arial"/>
          <w:color w:val="auto"/>
          <w:sz w:val="20"/>
          <w:szCs w:val="20"/>
        </w:rPr>
        <w:t>Ethical Considerations</w:t>
      </w:r>
    </w:p>
    <w:p w14:paraId="02AB9160" w14:textId="77777777" w:rsidR="00287716" w:rsidRPr="00885153" w:rsidRDefault="00287716" w:rsidP="00287716">
      <w:pPr>
        <w:pStyle w:val="NormalWeb"/>
        <w:spacing w:before="0" w:beforeAutospacing="0" w:after="0" w:afterAutospacing="0"/>
        <w:ind w:firstLine="720"/>
        <w:jc w:val="both"/>
        <w:rPr>
          <w:rFonts w:ascii="Arial" w:hAnsi="Arial" w:cs="Arial"/>
          <w:bCs/>
          <w:sz w:val="20"/>
          <w:szCs w:val="20"/>
          <w:lang w:val="en-US"/>
        </w:rPr>
      </w:pPr>
      <w:r w:rsidRPr="00885153">
        <w:rPr>
          <w:rFonts w:ascii="Arial" w:hAnsi="Arial" w:cs="Arial"/>
          <w:bCs/>
          <w:sz w:val="20"/>
          <w:szCs w:val="20"/>
        </w:rPr>
        <w:t>The research complied with essential ethical principles, encompassing informed consent, voluntary involvement, confidentiality, and anonymised reporting. Participants were apprised of the study's objective, the scholarly use of the findings, and their entitlement to withdraw at any moment. A primary constraint is that the cross-sectional design limits temporal causal inference</w:t>
      </w:r>
      <w:r w:rsidRPr="00885153">
        <w:rPr>
          <w:rFonts w:ascii="Arial" w:hAnsi="Arial" w:cs="Arial"/>
          <w:bCs/>
          <w:sz w:val="20"/>
          <w:szCs w:val="20"/>
          <w:lang w:val="en-US"/>
        </w:rPr>
        <w:t xml:space="preserve"> </w:t>
      </w:r>
      <w:r w:rsidRPr="00885153">
        <w:rPr>
          <w:rFonts w:ascii="Arial" w:hAnsi="Arial" w:cs="Arial"/>
          <w:bCs/>
          <w:sz w:val="20"/>
          <w:szCs w:val="20"/>
        </w:rPr>
        <w:fldChar w:fldCharType="begin" w:fldLock="1"/>
      </w:r>
      <w:r w:rsidRPr="00885153">
        <w:rPr>
          <w:rFonts w:ascii="Arial" w:hAnsi="Arial" w:cs="Arial"/>
          <w:bCs/>
          <w:sz w:val="20"/>
          <w:szCs w:val="20"/>
        </w:rPr>
        <w:instrText>ADDIN CSL_CITATION {"citationItems":[{"id":"ITEM-1","itemData":{"DOI":"10.1007/978-0-230-22911-2","abstract":"\"This best-selling introduction to research methods provides students and researchers with unrivalled coverage of both quantitative and qualitative methods, making it invaluable for anyone embarking on social research. Bridging the gap between theory and practice, Social Research Methods is packed full of engaging examples and practical tips to equip students with the tools and knowledge needed for them to complete their own research projects. In addition to providing practical advice, Bryman deftly explores the nature of social research and the wider issues impinging on it.\"--Provided by publisher. The research process -- Quantitative research -- Qualitative research -- Mixed methods research and writing up.","author":[{"dropping-particle":"","family":"Alan Bryman","given":"","non-dropping-particle":"","parse-names":false,"suffix":""}],"container-title":"Social Research Methodology","id":"ITEM-1","issued":{"date-parts":[["2016"]]},"title":"Social Research Methodology","type":"article-journal"},"uris":["http://www.mendeley.com/documents/?uuid=10e8bc19-246d-4908-abd1-942c0a6ed77c"]}],"mendeley":{"formattedCitation":"(Alan Bryman, 2016)","plainTextFormattedCitation":"(Alan Bryman, 2016)","previouslyFormattedCitation":"(Alan Bryman, 2016)"},"properties":{"noteIndex":0},"schema":"https://github.com/citation-style-language/schema/raw/master/csl-citation.json"}</w:instrText>
      </w:r>
      <w:r w:rsidRPr="00885153">
        <w:rPr>
          <w:rFonts w:ascii="Arial" w:hAnsi="Arial" w:cs="Arial"/>
          <w:bCs/>
          <w:sz w:val="20"/>
          <w:szCs w:val="20"/>
        </w:rPr>
        <w:fldChar w:fldCharType="separate"/>
      </w:r>
      <w:r w:rsidRPr="00885153">
        <w:rPr>
          <w:rFonts w:ascii="Arial" w:hAnsi="Arial" w:cs="Arial"/>
          <w:bCs/>
          <w:noProof/>
          <w:sz w:val="20"/>
          <w:szCs w:val="20"/>
        </w:rPr>
        <w:t>(Alan Bryman, 2016)</w:t>
      </w:r>
      <w:r w:rsidRPr="00885153">
        <w:rPr>
          <w:rFonts w:ascii="Arial" w:hAnsi="Arial" w:cs="Arial"/>
          <w:bCs/>
          <w:sz w:val="20"/>
          <w:szCs w:val="20"/>
        </w:rPr>
        <w:fldChar w:fldCharType="end"/>
      </w:r>
      <w:r w:rsidRPr="00885153">
        <w:rPr>
          <w:rFonts w:ascii="Arial" w:hAnsi="Arial" w:cs="Arial"/>
          <w:bCs/>
          <w:sz w:val="20"/>
          <w:szCs w:val="20"/>
          <w:lang w:val="en-US"/>
        </w:rPr>
        <w:t>.</w:t>
      </w:r>
    </w:p>
    <w:p w14:paraId="2E06F398" w14:textId="77777777" w:rsidR="00287716" w:rsidRPr="001047A2" w:rsidRDefault="00287716" w:rsidP="00EB6BA0">
      <w:pPr>
        <w:pStyle w:val="AbstHead"/>
        <w:spacing w:after="0"/>
        <w:jc w:val="both"/>
        <w:rPr>
          <w:rFonts w:ascii="Arial" w:hAnsi="Arial" w:cs="Arial"/>
        </w:rPr>
      </w:pPr>
    </w:p>
    <w:p w14:paraId="0BE6B10D" w14:textId="08C5FCC5" w:rsidR="00EB6BA0" w:rsidRDefault="006E45C4" w:rsidP="0013238B">
      <w:pPr>
        <w:pStyle w:val="AbstHead"/>
        <w:numPr>
          <w:ilvl w:val="0"/>
          <w:numId w:val="6"/>
        </w:numPr>
        <w:spacing w:before="120" w:after="120"/>
        <w:ind w:left="284" w:hanging="284"/>
        <w:jc w:val="both"/>
        <w:rPr>
          <w:rFonts w:ascii="Arial" w:hAnsi="Arial" w:cs="Arial"/>
        </w:rPr>
      </w:pPr>
      <w:r w:rsidRPr="001047A2">
        <w:rPr>
          <w:rFonts w:ascii="Arial" w:hAnsi="Arial" w:cs="Arial"/>
          <w:caps w:val="0"/>
        </w:rPr>
        <w:t>Results And Discussion</w:t>
      </w:r>
    </w:p>
    <w:p w14:paraId="7CD80902" w14:textId="77777777" w:rsidR="0013238B" w:rsidRPr="00885153" w:rsidRDefault="0013238B" w:rsidP="0013238B">
      <w:pPr>
        <w:pStyle w:val="ListParagraph"/>
        <w:numPr>
          <w:ilvl w:val="0"/>
          <w:numId w:val="18"/>
        </w:numPr>
        <w:spacing w:after="0" w:line="240" w:lineRule="auto"/>
        <w:ind w:left="491" w:hanging="491"/>
        <w:jc w:val="both"/>
        <w:rPr>
          <w:rFonts w:ascii="Arial" w:hAnsi="Arial" w:cs="Arial"/>
          <w:b/>
          <w:bCs/>
          <w:sz w:val="20"/>
          <w:szCs w:val="20"/>
        </w:rPr>
      </w:pPr>
      <w:r w:rsidRPr="00885153">
        <w:rPr>
          <w:rFonts w:ascii="Arial" w:hAnsi="Arial" w:cs="Arial"/>
          <w:b/>
          <w:bCs/>
          <w:sz w:val="20"/>
          <w:szCs w:val="20"/>
        </w:rPr>
        <w:t>Demographic Profile of Respondents</w:t>
      </w:r>
    </w:p>
    <w:p w14:paraId="06DE8366"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The demographic profile of 329 local-community respondents in the Ibu Kota Nusantara (IKN) research region, as depicted in Table 1, demonstrates sufficient territorial representation across the four study subdistricts. The highest percentage of respondents lived in </w:t>
      </w:r>
      <w:proofErr w:type="spellStart"/>
      <w:r w:rsidRPr="00885153">
        <w:rPr>
          <w:rFonts w:ascii="Arial" w:hAnsi="Arial" w:cs="Arial"/>
          <w:sz w:val="20"/>
          <w:szCs w:val="20"/>
        </w:rPr>
        <w:t>Penajam</w:t>
      </w:r>
      <w:proofErr w:type="spellEnd"/>
      <w:r w:rsidRPr="00885153">
        <w:rPr>
          <w:rFonts w:ascii="Arial" w:hAnsi="Arial" w:cs="Arial"/>
          <w:sz w:val="20"/>
          <w:szCs w:val="20"/>
        </w:rPr>
        <w:t xml:space="preserve"> (44.4%), followed by </w:t>
      </w:r>
      <w:proofErr w:type="spellStart"/>
      <w:r w:rsidRPr="00885153">
        <w:rPr>
          <w:rFonts w:ascii="Arial" w:hAnsi="Arial" w:cs="Arial"/>
          <w:sz w:val="20"/>
          <w:szCs w:val="20"/>
        </w:rPr>
        <w:t>Sepaku</w:t>
      </w:r>
      <w:proofErr w:type="spellEnd"/>
      <w:r w:rsidRPr="00885153">
        <w:rPr>
          <w:rFonts w:ascii="Arial" w:hAnsi="Arial" w:cs="Arial"/>
          <w:sz w:val="20"/>
          <w:szCs w:val="20"/>
        </w:rPr>
        <w:t xml:space="preserve"> (21.6%), </w:t>
      </w:r>
      <w:proofErr w:type="spellStart"/>
      <w:r w:rsidRPr="00885153">
        <w:rPr>
          <w:rFonts w:ascii="Arial" w:hAnsi="Arial" w:cs="Arial"/>
          <w:sz w:val="20"/>
          <w:szCs w:val="20"/>
        </w:rPr>
        <w:t>Babulu</w:t>
      </w:r>
      <w:proofErr w:type="spellEnd"/>
      <w:r w:rsidRPr="00885153">
        <w:rPr>
          <w:rFonts w:ascii="Arial" w:hAnsi="Arial" w:cs="Arial"/>
          <w:sz w:val="20"/>
          <w:szCs w:val="20"/>
        </w:rPr>
        <w:t xml:space="preserve"> (18.5%), and Waru (15.5%). The sample mostly consisted of individuals with Bachelor’s degrees (39.2%) and senior high school/vocational qualifications (35.6%), while those with diploma-level education (20.1%) and postgraduate/professional education (5.2%) represented lesser proportions. All participants were within the working-age demographic (18–64 years), with an average age of 32 years. Employment was predominantly among self-employed individuals/entrepreneurs (34.0%) and private-sector employees (29.2%), although household dependency was most commonly observed in the 3–4 dependents category (49.8%).</w:t>
      </w:r>
    </w:p>
    <w:p w14:paraId="2163824D" w14:textId="77777777" w:rsidR="0013238B" w:rsidRPr="00885153" w:rsidRDefault="0013238B" w:rsidP="0013238B">
      <w:pPr>
        <w:spacing w:after="0" w:line="240" w:lineRule="auto"/>
        <w:ind w:firstLine="720"/>
        <w:jc w:val="both"/>
        <w:rPr>
          <w:rFonts w:ascii="Arial" w:hAnsi="Arial" w:cs="Arial"/>
          <w:bCs/>
          <w:sz w:val="20"/>
          <w:szCs w:val="20"/>
        </w:rPr>
      </w:pPr>
      <w:r w:rsidRPr="00885153">
        <w:rPr>
          <w:rFonts w:ascii="Arial" w:hAnsi="Arial" w:cs="Arial"/>
          <w:bCs/>
          <w:sz w:val="20"/>
          <w:szCs w:val="20"/>
        </w:rPr>
        <w:t>Table 1. Respondent Demographic Profile (n = 331)</w:t>
      </w:r>
    </w:p>
    <w:tbl>
      <w:tblPr>
        <w:tblStyle w:val="TableGrid"/>
        <w:tblW w:w="0" w:type="auto"/>
        <w:tblInd w:w="5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62"/>
        <w:gridCol w:w="863"/>
        <w:gridCol w:w="863"/>
      </w:tblGrid>
      <w:tr w:rsidR="0013238B" w:rsidRPr="00885153" w14:paraId="2B2B19A5" w14:textId="77777777" w:rsidTr="00600EB5">
        <w:tc>
          <w:tcPr>
            <w:tcW w:w="1980" w:type="dxa"/>
            <w:tcBorders>
              <w:top w:val="single" w:sz="4" w:space="0" w:color="auto"/>
              <w:bottom w:val="single" w:sz="4" w:space="0" w:color="auto"/>
            </w:tcBorders>
          </w:tcPr>
          <w:p w14:paraId="018A77D4" w14:textId="77777777" w:rsidR="0013238B" w:rsidRPr="00885153" w:rsidRDefault="0013238B" w:rsidP="0013238B">
            <w:pPr>
              <w:spacing w:after="0" w:line="240" w:lineRule="auto"/>
              <w:jc w:val="center"/>
              <w:rPr>
                <w:rFonts w:ascii="Arial" w:hAnsi="Arial" w:cs="Arial"/>
                <w:bCs/>
                <w:sz w:val="20"/>
                <w:szCs w:val="20"/>
              </w:rPr>
            </w:pPr>
            <w:r w:rsidRPr="00885153">
              <w:rPr>
                <w:rFonts w:ascii="Arial" w:hAnsi="Arial" w:cs="Arial"/>
                <w:bCs/>
                <w:color w:val="000000"/>
                <w:sz w:val="20"/>
                <w:szCs w:val="20"/>
              </w:rPr>
              <w:t>Demographic characteristic</w:t>
            </w:r>
          </w:p>
        </w:tc>
        <w:tc>
          <w:tcPr>
            <w:tcW w:w="4262" w:type="dxa"/>
            <w:tcBorders>
              <w:top w:val="single" w:sz="4" w:space="0" w:color="auto"/>
              <w:bottom w:val="single" w:sz="4" w:space="0" w:color="auto"/>
            </w:tcBorders>
          </w:tcPr>
          <w:p w14:paraId="3823A7CE" w14:textId="77777777" w:rsidR="0013238B" w:rsidRPr="00885153" w:rsidRDefault="0013238B" w:rsidP="0013238B">
            <w:pPr>
              <w:spacing w:after="0" w:line="240" w:lineRule="auto"/>
              <w:jc w:val="center"/>
              <w:rPr>
                <w:rFonts w:ascii="Arial" w:hAnsi="Arial" w:cs="Arial"/>
                <w:bCs/>
                <w:sz w:val="20"/>
                <w:szCs w:val="20"/>
              </w:rPr>
            </w:pPr>
            <w:r w:rsidRPr="00885153">
              <w:rPr>
                <w:rFonts w:ascii="Arial" w:hAnsi="Arial" w:cs="Arial"/>
                <w:bCs/>
                <w:color w:val="000000"/>
                <w:sz w:val="20"/>
                <w:szCs w:val="20"/>
              </w:rPr>
              <w:t>Category</w:t>
            </w:r>
          </w:p>
        </w:tc>
        <w:tc>
          <w:tcPr>
            <w:tcW w:w="863" w:type="dxa"/>
            <w:tcBorders>
              <w:top w:val="single" w:sz="4" w:space="0" w:color="auto"/>
              <w:bottom w:val="single" w:sz="4" w:space="0" w:color="auto"/>
            </w:tcBorders>
          </w:tcPr>
          <w:p w14:paraId="4AE94E9F" w14:textId="77777777" w:rsidR="0013238B" w:rsidRPr="00885153" w:rsidRDefault="0013238B" w:rsidP="0013238B">
            <w:pPr>
              <w:spacing w:after="0" w:line="240" w:lineRule="auto"/>
              <w:jc w:val="center"/>
              <w:rPr>
                <w:rFonts w:ascii="Arial" w:hAnsi="Arial" w:cs="Arial"/>
                <w:bCs/>
                <w:sz w:val="20"/>
                <w:szCs w:val="20"/>
              </w:rPr>
            </w:pPr>
            <w:r w:rsidRPr="00885153">
              <w:rPr>
                <w:rFonts w:ascii="Arial" w:hAnsi="Arial" w:cs="Arial"/>
                <w:bCs/>
                <w:color w:val="000000"/>
                <w:sz w:val="20"/>
                <w:szCs w:val="20"/>
              </w:rPr>
              <w:t>n</w:t>
            </w:r>
          </w:p>
        </w:tc>
        <w:tc>
          <w:tcPr>
            <w:tcW w:w="863" w:type="dxa"/>
            <w:tcBorders>
              <w:top w:val="single" w:sz="4" w:space="0" w:color="auto"/>
              <w:bottom w:val="single" w:sz="4" w:space="0" w:color="auto"/>
            </w:tcBorders>
          </w:tcPr>
          <w:p w14:paraId="737A0552" w14:textId="77777777" w:rsidR="0013238B" w:rsidRPr="00885153" w:rsidRDefault="0013238B" w:rsidP="0013238B">
            <w:pPr>
              <w:spacing w:after="0" w:line="240" w:lineRule="auto"/>
              <w:jc w:val="center"/>
              <w:rPr>
                <w:rFonts w:ascii="Arial" w:hAnsi="Arial" w:cs="Arial"/>
                <w:bCs/>
                <w:sz w:val="20"/>
                <w:szCs w:val="20"/>
              </w:rPr>
            </w:pPr>
            <w:r w:rsidRPr="00885153">
              <w:rPr>
                <w:rFonts w:ascii="Arial" w:hAnsi="Arial" w:cs="Arial"/>
                <w:bCs/>
                <w:color w:val="000000"/>
                <w:sz w:val="20"/>
                <w:szCs w:val="20"/>
              </w:rPr>
              <w:t>%</w:t>
            </w:r>
          </w:p>
        </w:tc>
      </w:tr>
      <w:tr w:rsidR="0013238B" w:rsidRPr="00885153" w14:paraId="422A9D35" w14:textId="77777777" w:rsidTr="00600EB5">
        <w:tc>
          <w:tcPr>
            <w:tcW w:w="1980" w:type="dxa"/>
            <w:tcBorders>
              <w:top w:val="single" w:sz="4" w:space="0" w:color="auto"/>
            </w:tcBorders>
          </w:tcPr>
          <w:p w14:paraId="2F839659"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Subdistrict of residence</w:t>
            </w:r>
          </w:p>
        </w:tc>
        <w:tc>
          <w:tcPr>
            <w:tcW w:w="4262" w:type="dxa"/>
            <w:tcBorders>
              <w:top w:val="single" w:sz="4" w:space="0" w:color="auto"/>
            </w:tcBorders>
          </w:tcPr>
          <w:p w14:paraId="662BB224" w14:textId="77777777" w:rsidR="0013238B" w:rsidRPr="00885153" w:rsidRDefault="0013238B" w:rsidP="0013238B">
            <w:pPr>
              <w:spacing w:after="0" w:line="240" w:lineRule="auto"/>
              <w:jc w:val="both"/>
              <w:rPr>
                <w:rFonts w:ascii="Arial" w:hAnsi="Arial" w:cs="Arial"/>
                <w:sz w:val="20"/>
                <w:szCs w:val="20"/>
              </w:rPr>
            </w:pPr>
            <w:proofErr w:type="spellStart"/>
            <w:r w:rsidRPr="00885153">
              <w:rPr>
                <w:rFonts w:ascii="Arial" w:hAnsi="Arial" w:cs="Arial"/>
                <w:color w:val="000000"/>
                <w:sz w:val="20"/>
                <w:szCs w:val="20"/>
              </w:rPr>
              <w:t>Penajam</w:t>
            </w:r>
            <w:proofErr w:type="spellEnd"/>
          </w:p>
        </w:tc>
        <w:tc>
          <w:tcPr>
            <w:tcW w:w="863" w:type="dxa"/>
            <w:tcBorders>
              <w:top w:val="single" w:sz="4" w:space="0" w:color="auto"/>
            </w:tcBorders>
          </w:tcPr>
          <w:p w14:paraId="355DF8CE"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146</w:t>
            </w:r>
          </w:p>
        </w:tc>
        <w:tc>
          <w:tcPr>
            <w:tcW w:w="863" w:type="dxa"/>
            <w:tcBorders>
              <w:top w:val="single" w:sz="4" w:space="0" w:color="auto"/>
            </w:tcBorders>
          </w:tcPr>
          <w:p w14:paraId="711EB5A0"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44.4</w:t>
            </w:r>
          </w:p>
        </w:tc>
      </w:tr>
      <w:tr w:rsidR="0013238B" w:rsidRPr="00885153" w14:paraId="7DA0D8BF" w14:textId="77777777" w:rsidTr="00600EB5">
        <w:tc>
          <w:tcPr>
            <w:tcW w:w="1980" w:type="dxa"/>
          </w:tcPr>
          <w:p w14:paraId="77DDCB40"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12CB3DA7" w14:textId="77777777" w:rsidR="0013238B" w:rsidRPr="00885153" w:rsidRDefault="0013238B" w:rsidP="0013238B">
            <w:pPr>
              <w:spacing w:after="0" w:line="240" w:lineRule="auto"/>
              <w:jc w:val="both"/>
              <w:rPr>
                <w:rFonts w:ascii="Arial" w:hAnsi="Arial" w:cs="Arial"/>
                <w:sz w:val="20"/>
                <w:szCs w:val="20"/>
              </w:rPr>
            </w:pPr>
            <w:proofErr w:type="spellStart"/>
            <w:r w:rsidRPr="00885153">
              <w:rPr>
                <w:rFonts w:ascii="Arial" w:hAnsi="Arial" w:cs="Arial"/>
                <w:color w:val="000000"/>
                <w:sz w:val="20"/>
                <w:szCs w:val="20"/>
              </w:rPr>
              <w:t>Sepaku</w:t>
            </w:r>
            <w:proofErr w:type="spellEnd"/>
          </w:p>
        </w:tc>
        <w:tc>
          <w:tcPr>
            <w:tcW w:w="863" w:type="dxa"/>
          </w:tcPr>
          <w:p w14:paraId="1A08FC9F"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71</w:t>
            </w:r>
          </w:p>
        </w:tc>
        <w:tc>
          <w:tcPr>
            <w:tcW w:w="863" w:type="dxa"/>
          </w:tcPr>
          <w:p w14:paraId="65D02824"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21.6</w:t>
            </w:r>
          </w:p>
        </w:tc>
      </w:tr>
      <w:tr w:rsidR="0013238B" w:rsidRPr="00885153" w14:paraId="6B14E45E" w14:textId="77777777" w:rsidTr="00600EB5">
        <w:tc>
          <w:tcPr>
            <w:tcW w:w="1980" w:type="dxa"/>
          </w:tcPr>
          <w:p w14:paraId="1EA81844"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31B7AC5D" w14:textId="77777777" w:rsidR="0013238B" w:rsidRPr="00885153" w:rsidRDefault="0013238B" w:rsidP="0013238B">
            <w:pPr>
              <w:spacing w:after="0" w:line="240" w:lineRule="auto"/>
              <w:jc w:val="both"/>
              <w:rPr>
                <w:rFonts w:ascii="Arial" w:hAnsi="Arial" w:cs="Arial"/>
                <w:sz w:val="20"/>
                <w:szCs w:val="20"/>
              </w:rPr>
            </w:pPr>
            <w:proofErr w:type="spellStart"/>
            <w:r w:rsidRPr="00885153">
              <w:rPr>
                <w:rFonts w:ascii="Arial" w:hAnsi="Arial" w:cs="Arial"/>
                <w:color w:val="000000"/>
                <w:sz w:val="20"/>
                <w:szCs w:val="20"/>
              </w:rPr>
              <w:t>Babulu</w:t>
            </w:r>
            <w:proofErr w:type="spellEnd"/>
          </w:p>
        </w:tc>
        <w:tc>
          <w:tcPr>
            <w:tcW w:w="863" w:type="dxa"/>
          </w:tcPr>
          <w:p w14:paraId="6E5C4672"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61</w:t>
            </w:r>
          </w:p>
        </w:tc>
        <w:tc>
          <w:tcPr>
            <w:tcW w:w="863" w:type="dxa"/>
          </w:tcPr>
          <w:p w14:paraId="65077B5F"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18.5</w:t>
            </w:r>
          </w:p>
        </w:tc>
      </w:tr>
      <w:tr w:rsidR="0013238B" w:rsidRPr="00885153" w14:paraId="5310F497" w14:textId="77777777" w:rsidTr="00600EB5">
        <w:tc>
          <w:tcPr>
            <w:tcW w:w="1980" w:type="dxa"/>
          </w:tcPr>
          <w:p w14:paraId="1B89E9D4"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14DC3147"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Waru</w:t>
            </w:r>
          </w:p>
        </w:tc>
        <w:tc>
          <w:tcPr>
            <w:tcW w:w="863" w:type="dxa"/>
          </w:tcPr>
          <w:p w14:paraId="5E5B1A4D"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51</w:t>
            </w:r>
          </w:p>
        </w:tc>
        <w:tc>
          <w:tcPr>
            <w:tcW w:w="863" w:type="dxa"/>
          </w:tcPr>
          <w:p w14:paraId="680CEDF0"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15.5</w:t>
            </w:r>
          </w:p>
        </w:tc>
      </w:tr>
      <w:tr w:rsidR="0013238B" w:rsidRPr="00885153" w14:paraId="67F69B4B" w14:textId="77777777" w:rsidTr="00600EB5">
        <w:tc>
          <w:tcPr>
            <w:tcW w:w="1980" w:type="dxa"/>
          </w:tcPr>
          <w:p w14:paraId="4C842DFB"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lastRenderedPageBreak/>
              <w:t>Educational attainment</w:t>
            </w:r>
          </w:p>
        </w:tc>
        <w:tc>
          <w:tcPr>
            <w:tcW w:w="4262" w:type="dxa"/>
          </w:tcPr>
          <w:p w14:paraId="05E4C9F5"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Bachelor’s degree</w:t>
            </w:r>
          </w:p>
        </w:tc>
        <w:tc>
          <w:tcPr>
            <w:tcW w:w="863" w:type="dxa"/>
          </w:tcPr>
          <w:p w14:paraId="35247254"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129</w:t>
            </w:r>
          </w:p>
        </w:tc>
        <w:tc>
          <w:tcPr>
            <w:tcW w:w="863" w:type="dxa"/>
          </w:tcPr>
          <w:p w14:paraId="5242CE71"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39.2</w:t>
            </w:r>
          </w:p>
        </w:tc>
      </w:tr>
      <w:tr w:rsidR="0013238B" w:rsidRPr="00885153" w14:paraId="776E5C76" w14:textId="77777777" w:rsidTr="00600EB5">
        <w:tc>
          <w:tcPr>
            <w:tcW w:w="1980" w:type="dxa"/>
          </w:tcPr>
          <w:p w14:paraId="7AB068B4"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5CADC723"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Senior high school / vocational</w:t>
            </w:r>
          </w:p>
        </w:tc>
        <w:tc>
          <w:tcPr>
            <w:tcW w:w="863" w:type="dxa"/>
          </w:tcPr>
          <w:p w14:paraId="11BD6C66"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117</w:t>
            </w:r>
          </w:p>
        </w:tc>
        <w:tc>
          <w:tcPr>
            <w:tcW w:w="863" w:type="dxa"/>
          </w:tcPr>
          <w:p w14:paraId="2AF44100"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35.6</w:t>
            </w:r>
          </w:p>
        </w:tc>
      </w:tr>
      <w:tr w:rsidR="0013238B" w:rsidRPr="00885153" w14:paraId="65047F76" w14:textId="77777777" w:rsidTr="00600EB5">
        <w:tc>
          <w:tcPr>
            <w:tcW w:w="1980" w:type="dxa"/>
          </w:tcPr>
          <w:p w14:paraId="5FDE154C"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65E3FD51"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Diploma (D3/D4 equivalent)</w:t>
            </w:r>
          </w:p>
        </w:tc>
        <w:tc>
          <w:tcPr>
            <w:tcW w:w="863" w:type="dxa"/>
          </w:tcPr>
          <w:p w14:paraId="7679FE2A"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66</w:t>
            </w:r>
          </w:p>
        </w:tc>
        <w:tc>
          <w:tcPr>
            <w:tcW w:w="863" w:type="dxa"/>
          </w:tcPr>
          <w:p w14:paraId="4118871F"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20.1</w:t>
            </w:r>
          </w:p>
        </w:tc>
      </w:tr>
      <w:tr w:rsidR="0013238B" w:rsidRPr="00885153" w14:paraId="75343440" w14:textId="77777777" w:rsidTr="00600EB5">
        <w:tc>
          <w:tcPr>
            <w:tcW w:w="1980" w:type="dxa"/>
          </w:tcPr>
          <w:p w14:paraId="789AAB7A"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60B170D0" w14:textId="36599379" w:rsidR="0013238B" w:rsidRPr="00885153" w:rsidRDefault="00F25C56" w:rsidP="0013238B">
            <w:pPr>
              <w:spacing w:after="0" w:line="240" w:lineRule="auto"/>
              <w:jc w:val="both"/>
              <w:rPr>
                <w:rFonts w:ascii="Arial" w:hAnsi="Arial" w:cs="Arial"/>
                <w:sz w:val="20"/>
                <w:szCs w:val="20"/>
              </w:rPr>
            </w:pPr>
            <w:r>
              <w:rPr>
                <w:rFonts w:ascii="Arial" w:hAnsi="Arial" w:cs="Arial"/>
                <w:color w:val="000000"/>
                <w:sz w:val="20"/>
                <w:szCs w:val="20"/>
              </w:rPr>
              <w:t>Postgraduate/professional</w:t>
            </w:r>
          </w:p>
        </w:tc>
        <w:tc>
          <w:tcPr>
            <w:tcW w:w="863" w:type="dxa"/>
          </w:tcPr>
          <w:p w14:paraId="1241C165"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17</w:t>
            </w:r>
          </w:p>
        </w:tc>
        <w:tc>
          <w:tcPr>
            <w:tcW w:w="863" w:type="dxa"/>
          </w:tcPr>
          <w:p w14:paraId="7FA4ED65"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5.2</w:t>
            </w:r>
          </w:p>
        </w:tc>
      </w:tr>
      <w:tr w:rsidR="0013238B" w:rsidRPr="00885153" w14:paraId="34CE7D04" w14:textId="77777777" w:rsidTr="00600EB5">
        <w:tc>
          <w:tcPr>
            <w:tcW w:w="1980" w:type="dxa"/>
          </w:tcPr>
          <w:p w14:paraId="6EC55F20"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Occupation</w:t>
            </w:r>
          </w:p>
        </w:tc>
        <w:tc>
          <w:tcPr>
            <w:tcW w:w="4262" w:type="dxa"/>
          </w:tcPr>
          <w:p w14:paraId="24DF53C6"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Self-employed / entrepreneur</w:t>
            </w:r>
          </w:p>
        </w:tc>
        <w:tc>
          <w:tcPr>
            <w:tcW w:w="863" w:type="dxa"/>
          </w:tcPr>
          <w:p w14:paraId="269DA43B"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112</w:t>
            </w:r>
          </w:p>
        </w:tc>
        <w:tc>
          <w:tcPr>
            <w:tcW w:w="863" w:type="dxa"/>
          </w:tcPr>
          <w:p w14:paraId="08B221FC"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34.0</w:t>
            </w:r>
          </w:p>
        </w:tc>
      </w:tr>
      <w:tr w:rsidR="0013238B" w:rsidRPr="00885153" w14:paraId="1DFB8D3A" w14:textId="77777777" w:rsidTr="00600EB5">
        <w:tc>
          <w:tcPr>
            <w:tcW w:w="1980" w:type="dxa"/>
          </w:tcPr>
          <w:p w14:paraId="709ECC54"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1711B678"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Private-sector employee</w:t>
            </w:r>
          </w:p>
        </w:tc>
        <w:tc>
          <w:tcPr>
            <w:tcW w:w="863" w:type="dxa"/>
          </w:tcPr>
          <w:p w14:paraId="1D91C820"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96</w:t>
            </w:r>
          </w:p>
        </w:tc>
        <w:tc>
          <w:tcPr>
            <w:tcW w:w="863" w:type="dxa"/>
          </w:tcPr>
          <w:p w14:paraId="7CB745BE"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29.2</w:t>
            </w:r>
          </w:p>
        </w:tc>
      </w:tr>
      <w:tr w:rsidR="0013238B" w:rsidRPr="00885153" w14:paraId="5CC4D053" w14:textId="77777777" w:rsidTr="00600EB5">
        <w:tc>
          <w:tcPr>
            <w:tcW w:w="1980" w:type="dxa"/>
          </w:tcPr>
          <w:p w14:paraId="56659FA5"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13AA51EA"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Professional / construction-related</w:t>
            </w:r>
          </w:p>
        </w:tc>
        <w:tc>
          <w:tcPr>
            <w:tcW w:w="863" w:type="dxa"/>
          </w:tcPr>
          <w:p w14:paraId="081530BD"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49</w:t>
            </w:r>
          </w:p>
        </w:tc>
        <w:tc>
          <w:tcPr>
            <w:tcW w:w="863" w:type="dxa"/>
          </w:tcPr>
          <w:p w14:paraId="2FFB7503"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14.9</w:t>
            </w:r>
          </w:p>
        </w:tc>
      </w:tr>
      <w:tr w:rsidR="0013238B" w:rsidRPr="00885153" w14:paraId="3955BF59" w14:textId="77777777" w:rsidTr="00600EB5">
        <w:tc>
          <w:tcPr>
            <w:tcW w:w="1980" w:type="dxa"/>
          </w:tcPr>
          <w:p w14:paraId="0578F100"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0BC22F3F"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Civil servant (government employee)</w:t>
            </w:r>
          </w:p>
        </w:tc>
        <w:tc>
          <w:tcPr>
            <w:tcW w:w="863" w:type="dxa"/>
          </w:tcPr>
          <w:p w14:paraId="339B37BD"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44</w:t>
            </w:r>
          </w:p>
        </w:tc>
        <w:tc>
          <w:tcPr>
            <w:tcW w:w="863" w:type="dxa"/>
          </w:tcPr>
          <w:p w14:paraId="64B61BCF"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13.4</w:t>
            </w:r>
          </w:p>
        </w:tc>
      </w:tr>
      <w:tr w:rsidR="0013238B" w:rsidRPr="00885153" w14:paraId="068FCBA7" w14:textId="77777777" w:rsidTr="00600EB5">
        <w:tc>
          <w:tcPr>
            <w:tcW w:w="1980" w:type="dxa"/>
          </w:tcPr>
          <w:p w14:paraId="299A896F"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28972178"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Freelance worker</w:t>
            </w:r>
          </w:p>
        </w:tc>
        <w:tc>
          <w:tcPr>
            <w:tcW w:w="863" w:type="dxa"/>
          </w:tcPr>
          <w:p w14:paraId="48EBD0A2"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25</w:t>
            </w:r>
          </w:p>
        </w:tc>
        <w:tc>
          <w:tcPr>
            <w:tcW w:w="863" w:type="dxa"/>
          </w:tcPr>
          <w:p w14:paraId="19AFC11A"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7.6</w:t>
            </w:r>
          </w:p>
        </w:tc>
      </w:tr>
      <w:tr w:rsidR="0013238B" w:rsidRPr="00885153" w14:paraId="10407B6F" w14:textId="77777777" w:rsidTr="00600EB5">
        <w:tc>
          <w:tcPr>
            <w:tcW w:w="1980" w:type="dxa"/>
          </w:tcPr>
          <w:p w14:paraId="55848AE7"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58D19376"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State-owned enterprise employee</w:t>
            </w:r>
          </w:p>
        </w:tc>
        <w:tc>
          <w:tcPr>
            <w:tcW w:w="863" w:type="dxa"/>
          </w:tcPr>
          <w:p w14:paraId="7B130402"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3</w:t>
            </w:r>
          </w:p>
        </w:tc>
        <w:tc>
          <w:tcPr>
            <w:tcW w:w="863" w:type="dxa"/>
          </w:tcPr>
          <w:p w14:paraId="238DC161"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0.9</w:t>
            </w:r>
          </w:p>
        </w:tc>
      </w:tr>
      <w:tr w:rsidR="0013238B" w:rsidRPr="00885153" w14:paraId="5FFAC310" w14:textId="77777777" w:rsidTr="00600EB5">
        <w:tc>
          <w:tcPr>
            <w:tcW w:w="1980" w:type="dxa"/>
          </w:tcPr>
          <w:p w14:paraId="14CC18F5"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Household dependents</w:t>
            </w:r>
          </w:p>
        </w:tc>
        <w:tc>
          <w:tcPr>
            <w:tcW w:w="4262" w:type="dxa"/>
          </w:tcPr>
          <w:p w14:paraId="74E63B5A"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0–2 persons</w:t>
            </w:r>
          </w:p>
        </w:tc>
        <w:tc>
          <w:tcPr>
            <w:tcW w:w="863" w:type="dxa"/>
          </w:tcPr>
          <w:p w14:paraId="3F7FEF6B"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99</w:t>
            </w:r>
          </w:p>
        </w:tc>
        <w:tc>
          <w:tcPr>
            <w:tcW w:w="863" w:type="dxa"/>
          </w:tcPr>
          <w:p w14:paraId="2A10C24D"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30.1</w:t>
            </w:r>
          </w:p>
        </w:tc>
      </w:tr>
      <w:tr w:rsidR="0013238B" w:rsidRPr="00885153" w14:paraId="1044C0F9" w14:textId="77777777" w:rsidTr="00600EB5">
        <w:tc>
          <w:tcPr>
            <w:tcW w:w="1980" w:type="dxa"/>
          </w:tcPr>
          <w:p w14:paraId="321A1468"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2D8D9A39"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3–4 persons</w:t>
            </w:r>
          </w:p>
        </w:tc>
        <w:tc>
          <w:tcPr>
            <w:tcW w:w="863" w:type="dxa"/>
          </w:tcPr>
          <w:p w14:paraId="2C623847"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164</w:t>
            </w:r>
          </w:p>
        </w:tc>
        <w:tc>
          <w:tcPr>
            <w:tcW w:w="863" w:type="dxa"/>
          </w:tcPr>
          <w:p w14:paraId="4F15BEC7"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49.8</w:t>
            </w:r>
          </w:p>
        </w:tc>
      </w:tr>
      <w:tr w:rsidR="0013238B" w:rsidRPr="00885153" w14:paraId="13F995F6" w14:textId="77777777" w:rsidTr="00600EB5">
        <w:tc>
          <w:tcPr>
            <w:tcW w:w="1980" w:type="dxa"/>
          </w:tcPr>
          <w:p w14:paraId="38ABBA6B" w14:textId="77777777" w:rsidR="0013238B" w:rsidRPr="00885153" w:rsidRDefault="0013238B" w:rsidP="0013238B">
            <w:pPr>
              <w:spacing w:after="0" w:line="240" w:lineRule="auto"/>
              <w:jc w:val="both"/>
              <w:rPr>
                <w:rFonts w:ascii="Arial" w:hAnsi="Arial" w:cs="Arial"/>
                <w:sz w:val="20"/>
                <w:szCs w:val="20"/>
              </w:rPr>
            </w:pPr>
          </w:p>
        </w:tc>
        <w:tc>
          <w:tcPr>
            <w:tcW w:w="4262" w:type="dxa"/>
          </w:tcPr>
          <w:p w14:paraId="2F1B69EC"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≥5 persons</w:t>
            </w:r>
          </w:p>
        </w:tc>
        <w:tc>
          <w:tcPr>
            <w:tcW w:w="863" w:type="dxa"/>
          </w:tcPr>
          <w:p w14:paraId="49BB4E69"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66</w:t>
            </w:r>
          </w:p>
        </w:tc>
        <w:tc>
          <w:tcPr>
            <w:tcW w:w="863" w:type="dxa"/>
          </w:tcPr>
          <w:p w14:paraId="31BBFD85" w14:textId="77777777" w:rsidR="0013238B" w:rsidRPr="00885153" w:rsidRDefault="0013238B" w:rsidP="0013238B">
            <w:pPr>
              <w:spacing w:after="0" w:line="240" w:lineRule="auto"/>
              <w:jc w:val="both"/>
              <w:rPr>
                <w:rFonts w:ascii="Arial" w:hAnsi="Arial" w:cs="Arial"/>
                <w:sz w:val="20"/>
                <w:szCs w:val="20"/>
              </w:rPr>
            </w:pPr>
            <w:r w:rsidRPr="00885153">
              <w:rPr>
                <w:rFonts w:ascii="Arial" w:hAnsi="Arial" w:cs="Arial"/>
                <w:color w:val="000000"/>
                <w:sz w:val="20"/>
                <w:szCs w:val="20"/>
              </w:rPr>
              <w:t>20.1</w:t>
            </w:r>
          </w:p>
        </w:tc>
      </w:tr>
    </w:tbl>
    <w:p w14:paraId="68FAAC25" w14:textId="77777777" w:rsidR="0013238B" w:rsidRPr="00885153" w:rsidRDefault="0013238B" w:rsidP="0013238B">
      <w:pPr>
        <w:spacing w:line="240" w:lineRule="auto"/>
        <w:ind w:firstLine="720"/>
        <w:rPr>
          <w:rFonts w:ascii="Arial" w:hAnsi="Arial" w:cs="Arial"/>
          <w:sz w:val="20"/>
          <w:szCs w:val="20"/>
        </w:rPr>
      </w:pPr>
      <w:r w:rsidRPr="00885153">
        <w:rPr>
          <w:rFonts w:ascii="Arial" w:hAnsi="Arial" w:cs="Arial"/>
          <w:i/>
          <w:sz w:val="20"/>
          <w:szCs w:val="20"/>
        </w:rPr>
        <w:t>Source: Research Data, 2025.</w:t>
      </w:r>
    </w:p>
    <w:p w14:paraId="73AB06F7" w14:textId="77777777" w:rsidR="0013238B" w:rsidRPr="00885153" w:rsidRDefault="0013238B" w:rsidP="0013238B">
      <w:pPr>
        <w:spacing w:after="0" w:line="240" w:lineRule="auto"/>
        <w:jc w:val="both"/>
        <w:rPr>
          <w:rFonts w:ascii="Arial" w:hAnsi="Arial" w:cs="Arial"/>
          <w:sz w:val="20"/>
          <w:szCs w:val="20"/>
        </w:rPr>
      </w:pPr>
    </w:p>
    <w:p w14:paraId="033737C8" w14:textId="77777777" w:rsidR="0013238B" w:rsidRPr="00885153" w:rsidRDefault="0013238B" w:rsidP="0013238B">
      <w:pPr>
        <w:pStyle w:val="ListParagraph"/>
        <w:numPr>
          <w:ilvl w:val="0"/>
          <w:numId w:val="18"/>
        </w:numPr>
        <w:spacing w:after="0" w:line="240" w:lineRule="auto"/>
        <w:ind w:left="491" w:hanging="491"/>
        <w:jc w:val="both"/>
        <w:rPr>
          <w:rFonts w:ascii="Arial" w:hAnsi="Arial" w:cs="Arial"/>
          <w:b/>
          <w:bCs/>
          <w:sz w:val="20"/>
          <w:szCs w:val="20"/>
        </w:rPr>
      </w:pPr>
      <w:r w:rsidRPr="00885153">
        <w:rPr>
          <w:rFonts w:ascii="Arial" w:hAnsi="Arial" w:cs="Arial"/>
          <w:b/>
          <w:bCs/>
          <w:sz w:val="20"/>
          <w:szCs w:val="20"/>
        </w:rPr>
        <w:t>Descriptive Analysis of Research Variables</w:t>
      </w:r>
    </w:p>
    <w:p w14:paraId="7863A57B"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Table 2 displays descriptive statistics (mean scores and achievement percentages) for the four latent components identified in the final structural model: Community Skills, Community Motivation, Community Education, and Community Readiness. Dimension-level summaries are included to offer a succinct summary of each construct's internal profile and to contextualize subsequent structural-path analyses.</w:t>
      </w:r>
    </w:p>
    <w:p w14:paraId="21D057E0" w14:textId="77777777" w:rsidR="0013238B" w:rsidRPr="00885153" w:rsidRDefault="0013238B" w:rsidP="0013238B">
      <w:pPr>
        <w:spacing w:line="240" w:lineRule="auto"/>
        <w:ind w:firstLine="720"/>
        <w:rPr>
          <w:rFonts w:ascii="Arial" w:hAnsi="Arial" w:cs="Arial"/>
          <w:bCs/>
          <w:sz w:val="20"/>
          <w:szCs w:val="20"/>
        </w:rPr>
      </w:pPr>
      <w:r w:rsidRPr="00885153">
        <w:rPr>
          <w:rFonts w:ascii="Arial" w:hAnsi="Arial" w:cs="Arial"/>
          <w:bCs/>
          <w:sz w:val="20"/>
          <w:szCs w:val="20"/>
        </w:rPr>
        <w:t>Table 2. Descriptive Statistics of Research Variables</w:t>
      </w:r>
    </w:p>
    <w:tbl>
      <w:tblPr>
        <w:tblW w:w="8414" w:type="dxa"/>
        <w:tblInd w:w="426" w:type="dxa"/>
        <w:tblBorders>
          <w:top w:val="single" w:sz="8" w:space="0" w:color="000000"/>
          <w:bottom w:val="single" w:sz="8" w:space="0" w:color="000000"/>
        </w:tblBorders>
        <w:tblLook w:val="04A0" w:firstRow="1" w:lastRow="0" w:firstColumn="1" w:lastColumn="0" w:noHBand="0" w:noVBand="1"/>
      </w:tblPr>
      <w:tblGrid>
        <w:gridCol w:w="2268"/>
        <w:gridCol w:w="2268"/>
        <w:gridCol w:w="1185"/>
        <w:gridCol w:w="1468"/>
        <w:gridCol w:w="1225"/>
      </w:tblGrid>
      <w:tr w:rsidR="0013238B" w:rsidRPr="00885153" w14:paraId="25600426" w14:textId="77777777" w:rsidTr="00600EB5">
        <w:tc>
          <w:tcPr>
            <w:tcW w:w="2268" w:type="dxa"/>
            <w:tcBorders>
              <w:top w:val="single" w:sz="8" w:space="0" w:color="000000"/>
              <w:bottom w:val="single" w:sz="8" w:space="0" w:color="000000"/>
            </w:tcBorders>
          </w:tcPr>
          <w:p w14:paraId="50C7DE0D" w14:textId="77777777" w:rsidR="0013238B" w:rsidRPr="00885153" w:rsidRDefault="0013238B" w:rsidP="0013238B">
            <w:pPr>
              <w:spacing w:after="0" w:line="240" w:lineRule="auto"/>
              <w:rPr>
                <w:rFonts w:ascii="Arial" w:hAnsi="Arial" w:cs="Arial"/>
                <w:bCs/>
                <w:sz w:val="20"/>
                <w:szCs w:val="20"/>
              </w:rPr>
            </w:pPr>
            <w:r w:rsidRPr="00885153">
              <w:rPr>
                <w:rFonts w:ascii="Arial" w:hAnsi="Arial" w:cs="Arial"/>
                <w:bCs/>
                <w:color w:val="000000"/>
                <w:sz w:val="20"/>
                <w:szCs w:val="20"/>
              </w:rPr>
              <w:t>Construct</w:t>
            </w:r>
          </w:p>
        </w:tc>
        <w:tc>
          <w:tcPr>
            <w:tcW w:w="2268" w:type="dxa"/>
            <w:tcBorders>
              <w:top w:val="single" w:sz="8" w:space="0" w:color="000000"/>
              <w:bottom w:val="single" w:sz="8" w:space="0" w:color="000000"/>
            </w:tcBorders>
          </w:tcPr>
          <w:p w14:paraId="1E9E82F9" w14:textId="77777777" w:rsidR="0013238B" w:rsidRPr="00885153" w:rsidRDefault="0013238B" w:rsidP="0013238B">
            <w:pPr>
              <w:spacing w:after="0" w:line="240" w:lineRule="auto"/>
              <w:rPr>
                <w:rFonts w:ascii="Arial" w:hAnsi="Arial" w:cs="Arial"/>
                <w:bCs/>
                <w:sz w:val="20"/>
                <w:szCs w:val="20"/>
              </w:rPr>
            </w:pPr>
            <w:r w:rsidRPr="00885153">
              <w:rPr>
                <w:rFonts w:ascii="Arial" w:hAnsi="Arial" w:cs="Arial"/>
                <w:bCs/>
                <w:color w:val="000000"/>
                <w:sz w:val="20"/>
                <w:szCs w:val="20"/>
              </w:rPr>
              <w:t>Indicator / Dimension</w:t>
            </w:r>
          </w:p>
        </w:tc>
        <w:tc>
          <w:tcPr>
            <w:tcW w:w="1185" w:type="dxa"/>
            <w:tcBorders>
              <w:top w:val="single" w:sz="8" w:space="0" w:color="000000"/>
              <w:bottom w:val="single" w:sz="8" w:space="0" w:color="000000"/>
            </w:tcBorders>
          </w:tcPr>
          <w:p w14:paraId="421353AA" w14:textId="77777777" w:rsidR="0013238B" w:rsidRPr="00885153" w:rsidRDefault="0013238B" w:rsidP="0013238B">
            <w:pPr>
              <w:spacing w:after="0" w:line="240" w:lineRule="auto"/>
              <w:rPr>
                <w:rFonts w:ascii="Arial" w:hAnsi="Arial" w:cs="Arial"/>
                <w:bCs/>
                <w:sz w:val="20"/>
                <w:szCs w:val="20"/>
              </w:rPr>
            </w:pPr>
            <w:r w:rsidRPr="00885153">
              <w:rPr>
                <w:rFonts w:ascii="Arial" w:hAnsi="Arial" w:cs="Arial"/>
                <w:bCs/>
                <w:color w:val="000000"/>
                <w:sz w:val="20"/>
                <w:szCs w:val="20"/>
              </w:rPr>
              <w:t>Mean score</w:t>
            </w:r>
          </w:p>
        </w:tc>
        <w:tc>
          <w:tcPr>
            <w:tcW w:w="1468" w:type="dxa"/>
            <w:tcBorders>
              <w:top w:val="single" w:sz="8" w:space="0" w:color="000000"/>
              <w:bottom w:val="single" w:sz="8" w:space="0" w:color="000000"/>
            </w:tcBorders>
          </w:tcPr>
          <w:p w14:paraId="7A7D65FD" w14:textId="77777777" w:rsidR="0013238B" w:rsidRPr="00885153" w:rsidRDefault="0013238B" w:rsidP="0013238B">
            <w:pPr>
              <w:spacing w:after="0" w:line="240" w:lineRule="auto"/>
              <w:rPr>
                <w:rFonts w:ascii="Arial" w:hAnsi="Arial" w:cs="Arial"/>
                <w:bCs/>
                <w:sz w:val="20"/>
                <w:szCs w:val="20"/>
              </w:rPr>
            </w:pPr>
            <w:r w:rsidRPr="00885153">
              <w:rPr>
                <w:rFonts w:ascii="Arial" w:hAnsi="Arial" w:cs="Arial"/>
                <w:bCs/>
                <w:color w:val="000000"/>
                <w:sz w:val="20"/>
                <w:szCs w:val="20"/>
              </w:rPr>
              <w:t>Achievement (%)</w:t>
            </w:r>
          </w:p>
        </w:tc>
        <w:tc>
          <w:tcPr>
            <w:tcW w:w="1225" w:type="dxa"/>
            <w:tcBorders>
              <w:top w:val="single" w:sz="8" w:space="0" w:color="000000"/>
              <w:bottom w:val="single" w:sz="8" w:space="0" w:color="000000"/>
            </w:tcBorders>
          </w:tcPr>
          <w:p w14:paraId="37BE94D2" w14:textId="77777777" w:rsidR="0013238B" w:rsidRPr="00885153" w:rsidRDefault="0013238B" w:rsidP="0013238B">
            <w:pPr>
              <w:spacing w:after="0" w:line="240" w:lineRule="auto"/>
              <w:rPr>
                <w:rFonts w:ascii="Arial" w:hAnsi="Arial" w:cs="Arial"/>
                <w:bCs/>
                <w:sz w:val="20"/>
                <w:szCs w:val="20"/>
              </w:rPr>
            </w:pPr>
            <w:r w:rsidRPr="00885153">
              <w:rPr>
                <w:rFonts w:ascii="Arial" w:hAnsi="Arial" w:cs="Arial"/>
                <w:bCs/>
                <w:color w:val="000000"/>
                <w:sz w:val="20"/>
                <w:szCs w:val="20"/>
              </w:rPr>
              <w:t>Category</w:t>
            </w:r>
          </w:p>
        </w:tc>
      </w:tr>
      <w:tr w:rsidR="0013238B" w:rsidRPr="00885153" w14:paraId="4F2D2C9A" w14:textId="77777777" w:rsidTr="00600EB5">
        <w:tc>
          <w:tcPr>
            <w:tcW w:w="2268" w:type="dxa"/>
            <w:tcBorders>
              <w:top w:val="single" w:sz="8" w:space="0" w:color="000000"/>
            </w:tcBorders>
          </w:tcPr>
          <w:p w14:paraId="6F8BE0B2"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Skills</w:t>
            </w:r>
          </w:p>
        </w:tc>
        <w:tc>
          <w:tcPr>
            <w:tcW w:w="2268" w:type="dxa"/>
            <w:tcBorders>
              <w:top w:val="single" w:sz="8" w:space="0" w:color="000000"/>
            </w:tcBorders>
          </w:tcPr>
          <w:p w14:paraId="6438040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Basic Literacy Skill</w:t>
            </w:r>
          </w:p>
        </w:tc>
        <w:tc>
          <w:tcPr>
            <w:tcW w:w="1185" w:type="dxa"/>
            <w:tcBorders>
              <w:top w:val="single" w:sz="8" w:space="0" w:color="000000"/>
            </w:tcBorders>
          </w:tcPr>
          <w:p w14:paraId="53FF41A8"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3.21</w:t>
            </w:r>
          </w:p>
        </w:tc>
        <w:tc>
          <w:tcPr>
            <w:tcW w:w="1468" w:type="dxa"/>
            <w:tcBorders>
              <w:top w:val="single" w:sz="8" w:space="0" w:color="000000"/>
            </w:tcBorders>
          </w:tcPr>
          <w:p w14:paraId="02869DF4"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64.18</w:t>
            </w:r>
          </w:p>
        </w:tc>
        <w:tc>
          <w:tcPr>
            <w:tcW w:w="1225" w:type="dxa"/>
            <w:tcBorders>
              <w:top w:val="single" w:sz="8" w:space="0" w:color="000000"/>
            </w:tcBorders>
          </w:tcPr>
          <w:p w14:paraId="01665DE8"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Neutral</w:t>
            </w:r>
          </w:p>
        </w:tc>
      </w:tr>
      <w:tr w:rsidR="0013238B" w:rsidRPr="00885153" w14:paraId="0A9AC9A5" w14:textId="77777777" w:rsidTr="00600EB5">
        <w:tc>
          <w:tcPr>
            <w:tcW w:w="2268" w:type="dxa"/>
          </w:tcPr>
          <w:p w14:paraId="1314FDF0" w14:textId="77777777" w:rsidR="0013238B" w:rsidRPr="00885153" w:rsidRDefault="0013238B" w:rsidP="0013238B">
            <w:pPr>
              <w:spacing w:after="0" w:line="240" w:lineRule="auto"/>
              <w:rPr>
                <w:rFonts w:ascii="Arial" w:hAnsi="Arial" w:cs="Arial"/>
                <w:sz w:val="20"/>
                <w:szCs w:val="20"/>
              </w:rPr>
            </w:pPr>
          </w:p>
        </w:tc>
        <w:tc>
          <w:tcPr>
            <w:tcW w:w="2268" w:type="dxa"/>
          </w:tcPr>
          <w:p w14:paraId="275E996F"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Technical Skill</w:t>
            </w:r>
          </w:p>
        </w:tc>
        <w:tc>
          <w:tcPr>
            <w:tcW w:w="1185" w:type="dxa"/>
          </w:tcPr>
          <w:p w14:paraId="73310878"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3.30</w:t>
            </w:r>
          </w:p>
        </w:tc>
        <w:tc>
          <w:tcPr>
            <w:tcW w:w="1468" w:type="dxa"/>
          </w:tcPr>
          <w:p w14:paraId="3B1ED8E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66.05</w:t>
            </w:r>
          </w:p>
        </w:tc>
        <w:tc>
          <w:tcPr>
            <w:tcW w:w="1225" w:type="dxa"/>
          </w:tcPr>
          <w:p w14:paraId="29750DAF"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Neutral</w:t>
            </w:r>
          </w:p>
        </w:tc>
      </w:tr>
      <w:tr w:rsidR="0013238B" w:rsidRPr="00885153" w14:paraId="5C1F189F" w14:textId="77777777" w:rsidTr="00600EB5">
        <w:tc>
          <w:tcPr>
            <w:tcW w:w="2268" w:type="dxa"/>
            <w:tcBorders>
              <w:bottom w:val="nil"/>
            </w:tcBorders>
          </w:tcPr>
          <w:p w14:paraId="6F3674F6" w14:textId="77777777" w:rsidR="0013238B" w:rsidRPr="00885153" w:rsidRDefault="0013238B" w:rsidP="0013238B">
            <w:pPr>
              <w:spacing w:after="0" w:line="240" w:lineRule="auto"/>
              <w:rPr>
                <w:rFonts w:ascii="Arial" w:hAnsi="Arial" w:cs="Arial"/>
                <w:sz w:val="20"/>
                <w:szCs w:val="20"/>
              </w:rPr>
            </w:pPr>
          </w:p>
        </w:tc>
        <w:tc>
          <w:tcPr>
            <w:tcW w:w="2268" w:type="dxa"/>
            <w:tcBorders>
              <w:bottom w:val="nil"/>
            </w:tcBorders>
          </w:tcPr>
          <w:p w14:paraId="1732002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Problem-Solving Skill</w:t>
            </w:r>
          </w:p>
        </w:tc>
        <w:tc>
          <w:tcPr>
            <w:tcW w:w="1185" w:type="dxa"/>
            <w:tcBorders>
              <w:bottom w:val="nil"/>
            </w:tcBorders>
          </w:tcPr>
          <w:p w14:paraId="743C722A"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3.16</w:t>
            </w:r>
          </w:p>
        </w:tc>
        <w:tc>
          <w:tcPr>
            <w:tcW w:w="1468" w:type="dxa"/>
            <w:tcBorders>
              <w:bottom w:val="nil"/>
            </w:tcBorders>
          </w:tcPr>
          <w:p w14:paraId="4DF4B695"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63.20</w:t>
            </w:r>
          </w:p>
        </w:tc>
        <w:tc>
          <w:tcPr>
            <w:tcW w:w="1225" w:type="dxa"/>
            <w:tcBorders>
              <w:bottom w:val="nil"/>
            </w:tcBorders>
          </w:tcPr>
          <w:p w14:paraId="400D5FC0"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Neutral</w:t>
            </w:r>
          </w:p>
        </w:tc>
      </w:tr>
      <w:tr w:rsidR="0013238B" w:rsidRPr="00885153" w14:paraId="51A34473" w14:textId="77777777" w:rsidTr="00600EB5">
        <w:tc>
          <w:tcPr>
            <w:tcW w:w="2268" w:type="dxa"/>
            <w:tcBorders>
              <w:top w:val="nil"/>
              <w:bottom w:val="single" w:sz="8" w:space="0" w:color="000000"/>
            </w:tcBorders>
          </w:tcPr>
          <w:p w14:paraId="30007DBB" w14:textId="77777777" w:rsidR="0013238B" w:rsidRPr="00885153" w:rsidRDefault="0013238B" w:rsidP="0013238B">
            <w:pPr>
              <w:spacing w:after="0" w:line="240" w:lineRule="auto"/>
              <w:rPr>
                <w:rFonts w:ascii="Arial" w:hAnsi="Arial" w:cs="Arial"/>
                <w:sz w:val="20"/>
                <w:szCs w:val="20"/>
              </w:rPr>
            </w:pPr>
          </w:p>
        </w:tc>
        <w:tc>
          <w:tcPr>
            <w:tcW w:w="2268" w:type="dxa"/>
            <w:tcBorders>
              <w:top w:val="nil"/>
              <w:bottom w:val="single" w:sz="8" w:space="0" w:color="000000"/>
            </w:tcBorders>
          </w:tcPr>
          <w:p w14:paraId="1DE42CFA"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Summary (Skills)</w:t>
            </w:r>
          </w:p>
        </w:tc>
        <w:tc>
          <w:tcPr>
            <w:tcW w:w="1185" w:type="dxa"/>
            <w:tcBorders>
              <w:top w:val="nil"/>
              <w:bottom w:val="single" w:sz="8" w:space="0" w:color="000000"/>
            </w:tcBorders>
          </w:tcPr>
          <w:p w14:paraId="559E3595"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3.22</w:t>
            </w:r>
          </w:p>
        </w:tc>
        <w:tc>
          <w:tcPr>
            <w:tcW w:w="1468" w:type="dxa"/>
            <w:tcBorders>
              <w:top w:val="nil"/>
              <w:bottom w:val="single" w:sz="8" w:space="0" w:color="000000"/>
            </w:tcBorders>
          </w:tcPr>
          <w:p w14:paraId="317A68E6"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64.48</w:t>
            </w:r>
          </w:p>
        </w:tc>
        <w:tc>
          <w:tcPr>
            <w:tcW w:w="1225" w:type="dxa"/>
            <w:tcBorders>
              <w:top w:val="nil"/>
              <w:bottom w:val="single" w:sz="8" w:space="0" w:color="000000"/>
            </w:tcBorders>
          </w:tcPr>
          <w:p w14:paraId="40171C3E"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Neutral</w:t>
            </w:r>
          </w:p>
        </w:tc>
      </w:tr>
      <w:tr w:rsidR="0013238B" w:rsidRPr="00885153" w14:paraId="4717B92D" w14:textId="77777777" w:rsidTr="00600EB5">
        <w:tc>
          <w:tcPr>
            <w:tcW w:w="2268" w:type="dxa"/>
            <w:tcBorders>
              <w:top w:val="single" w:sz="8" w:space="0" w:color="000000"/>
            </w:tcBorders>
          </w:tcPr>
          <w:p w14:paraId="7F85C604"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Motivation</w:t>
            </w:r>
          </w:p>
        </w:tc>
        <w:tc>
          <w:tcPr>
            <w:tcW w:w="2268" w:type="dxa"/>
            <w:tcBorders>
              <w:top w:val="single" w:sz="8" w:space="0" w:color="000000"/>
            </w:tcBorders>
          </w:tcPr>
          <w:p w14:paraId="4A0A8A47"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Existence</w:t>
            </w:r>
          </w:p>
        </w:tc>
        <w:tc>
          <w:tcPr>
            <w:tcW w:w="1185" w:type="dxa"/>
            <w:tcBorders>
              <w:top w:val="single" w:sz="8" w:space="0" w:color="000000"/>
            </w:tcBorders>
          </w:tcPr>
          <w:p w14:paraId="1167A554"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3.54</w:t>
            </w:r>
          </w:p>
        </w:tc>
        <w:tc>
          <w:tcPr>
            <w:tcW w:w="1468" w:type="dxa"/>
            <w:tcBorders>
              <w:top w:val="single" w:sz="8" w:space="0" w:color="000000"/>
            </w:tcBorders>
          </w:tcPr>
          <w:p w14:paraId="503E51B2"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70.90</w:t>
            </w:r>
          </w:p>
        </w:tc>
        <w:tc>
          <w:tcPr>
            <w:tcW w:w="1225" w:type="dxa"/>
            <w:tcBorders>
              <w:top w:val="single" w:sz="8" w:space="0" w:color="000000"/>
            </w:tcBorders>
          </w:tcPr>
          <w:p w14:paraId="01D0ECC3"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Willing</w:t>
            </w:r>
          </w:p>
        </w:tc>
      </w:tr>
      <w:tr w:rsidR="0013238B" w:rsidRPr="00885153" w14:paraId="7764C164" w14:textId="77777777" w:rsidTr="00600EB5">
        <w:tc>
          <w:tcPr>
            <w:tcW w:w="2268" w:type="dxa"/>
          </w:tcPr>
          <w:p w14:paraId="7427C000" w14:textId="77777777" w:rsidR="0013238B" w:rsidRPr="00885153" w:rsidRDefault="0013238B" w:rsidP="0013238B">
            <w:pPr>
              <w:spacing w:after="0" w:line="240" w:lineRule="auto"/>
              <w:rPr>
                <w:rFonts w:ascii="Arial" w:hAnsi="Arial" w:cs="Arial"/>
                <w:sz w:val="20"/>
                <w:szCs w:val="20"/>
              </w:rPr>
            </w:pPr>
          </w:p>
        </w:tc>
        <w:tc>
          <w:tcPr>
            <w:tcW w:w="2268" w:type="dxa"/>
          </w:tcPr>
          <w:p w14:paraId="33FDA9E0"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Relatedness</w:t>
            </w:r>
          </w:p>
        </w:tc>
        <w:tc>
          <w:tcPr>
            <w:tcW w:w="1185" w:type="dxa"/>
          </w:tcPr>
          <w:p w14:paraId="256AC32E"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3.50</w:t>
            </w:r>
          </w:p>
        </w:tc>
        <w:tc>
          <w:tcPr>
            <w:tcW w:w="1468" w:type="dxa"/>
          </w:tcPr>
          <w:p w14:paraId="0BCE762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70.05</w:t>
            </w:r>
          </w:p>
        </w:tc>
        <w:tc>
          <w:tcPr>
            <w:tcW w:w="1225" w:type="dxa"/>
          </w:tcPr>
          <w:p w14:paraId="0A97AA1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Willing</w:t>
            </w:r>
          </w:p>
        </w:tc>
      </w:tr>
      <w:tr w:rsidR="0013238B" w:rsidRPr="00885153" w14:paraId="640BD461" w14:textId="77777777" w:rsidTr="00600EB5">
        <w:tc>
          <w:tcPr>
            <w:tcW w:w="2268" w:type="dxa"/>
            <w:tcBorders>
              <w:bottom w:val="nil"/>
            </w:tcBorders>
          </w:tcPr>
          <w:p w14:paraId="6F5C0A64" w14:textId="77777777" w:rsidR="0013238B" w:rsidRPr="00885153" w:rsidRDefault="0013238B" w:rsidP="0013238B">
            <w:pPr>
              <w:spacing w:after="0" w:line="240" w:lineRule="auto"/>
              <w:rPr>
                <w:rFonts w:ascii="Arial" w:hAnsi="Arial" w:cs="Arial"/>
                <w:sz w:val="20"/>
                <w:szCs w:val="20"/>
              </w:rPr>
            </w:pPr>
          </w:p>
        </w:tc>
        <w:tc>
          <w:tcPr>
            <w:tcW w:w="2268" w:type="dxa"/>
            <w:tcBorders>
              <w:bottom w:val="nil"/>
            </w:tcBorders>
          </w:tcPr>
          <w:p w14:paraId="3907A247"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Growth</w:t>
            </w:r>
          </w:p>
        </w:tc>
        <w:tc>
          <w:tcPr>
            <w:tcW w:w="1185" w:type="dxa"/>
            <w:tcBorders>
              <w:bottom w:val="nil"/>
            </w:tcBorders>
          </w:tcPr>
          <w:p w14:paraId="74E952A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3.56</w:t>
            </w:r>
          </w:p>
        </w:tc>
        <w:tc>
          <w:tcPr>
            <w:tcW w:w="1468" w:type="dxa"/>
            <w:tcBorders>
              <w:bottom w:val="nil"/>
            </w:tcBorders>
          </w:tcPr>
          <w:p w14:paraId="3615FC0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71.21</w:t>
            </w:r>
          </w:p>
        </w:tc>
        <w:tc>
          <w:tcPr>
            <w:tcW w:w="1225" w:type="dxa"/>
            <w:tcBorders>
              <w:bottom w:val="nil"/>
            </w:tcBorders>
          </w:tcPr>
          <w:p w14:paraId="0473A84A"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Willing</w:t>
            </w:r>
          </w:p>
        </w:tc>
      </w:tr>
      <w:tr w:rsidR="0013238B" w:rsidRPr="00885153" w14:paraId="0F28014B" w14:textId="77777777" w:rsidTr="00600EB5">
        <w:tc>
          <w:tcPr>
            <w:tcW w:w="2268" w:type="dxa"/>
            <w:tcBorders>
              <w:top w:val="nil"/>
              <w:bottom w:val="single" w:sz="8" w:space="0" w:color="000000"/>
            </w:tcBorders>
          </w:tcPr>
          <w:p w14:paraId="34DF819A" w14:textId="77777777" w:rsidR="0013238B" w:rsidRPr="00885153" w:rsidRDefault="0013238B" w:rsidP="0013238B">
            <w:pPr>
              <w:spacing w:after="0" w:line="240" w:lineRule="auto"/>
              <w:rPr>
                <w:rFonts w:ascii="Arial" w:hAnsi="Arial" w:cs="Arial"/>
                <w:sz w:val="20"/>
                <w:szCs w:val="20"/>
              </w:rPr>
            </w:pPr>
          </w:p>
        </w:tc>
        <w:tc>
          <w:tcPr>
            <w:tcW w:w="2268" w:type="dxa"/>
            <w:tcBorders>
              <w:top w:val="nil"/>
              <w:bottom w:val="single" w:sz="8" w:space="0" w:color="000000"/>
            </w:tcBorders>
          </w:tcPr>
          <w:p w14:paraId="7D7BCE27"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Summary (Motivation)</w:t>
            </w:r>
          </w:p>
        </w:tc>
        <w:tc>
          <w:tcPr>
            <w:tcW w:w="1185" w:type="dxa"/>
            <w:tcBorders>
              <w:top w:val="nil"/>
              <w:bottom w:val="single" w:sz="8" w:space="0" w:color="000000"/>
            </w:tcBorders>
          </w:tcPr>
          <w:p w14:paraId="11A0ACE0"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3.54</w:t>
            </w:r>
          </w:p>
        </w:tc>
        <w:tc>
          <w:tcPr>
            <w:tcW w:w="1468" w:type="dxa"/>
            <w:tcBorders>
              <w:top w:val="nil"/>
              <w:bottom w:val="single" w:sz="8" w:space="0" w:color="000000"/>
            </w:tcBorders>
          </w:tcPr>
          <w:p w14:paraId="5C14C6D8"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70.72</w:t>
            </w:r>
          </w:p>
        </w:tc>
        <w:tc>
          <w:tcPr>
            <w:tcW w:w="1225" w:type="dxa"/>
            <w:tcBorders>
              <w:top w:val="nil"/>
              <w:bottom w:val="single" w:sz="8" w:space="0" w:color="000000"/>
            </w:tcBorders>
          </w:tcPr>
          <w:p w14:paraId="241D328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Willing</w:t>
            </w:r>
          </w:p>
        </w:tc>
      </w:tr>
      <w:tr w:rsidR="0013238B" w:rsidRPr="00885153" w14:paraId="68A1CD5A" w14:textId="77777777" w:rsidTr="00600EB5">
        <w:tc>
          <w:tcPr>
            <w:tcW w:w="2268" w:type="dxa"/>
            <w:tcBorders>
              <w:top w:val="single" w:sz="8" w:space="0" w:color="000000"/>
            </w:tcBorders>
          </w:tcPr>
          <w:p w14:paraId="0CC66015"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Education</w:t>
            </w:r>
          </w:p>
        </w:tc>
        <w:tc>
          <w:tcPr>
            <w:tcW w:w="2268" w:type="dxa"/>
            <w:tcBorders>
              <w:top w:val="single" w:sz="8" w:space="0" w:color="000000"/>
            </w:tcBorders>
          </w:tcPr>
          <w:p w14:paraId="3160C432"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Formal Education</w:t>
            </w:r>
          </w:p>
        </w:tc>
        <w:tc>
          <w:tcPr>
            <w:tcW w:w="1185" w:type="dxa"/>
            <w:tcBorders>
              <w:top w:val="single" w:sz="8" w:space="0" w:color="000000"/>
            </w:tcBorders>
          </w:tcPr>
          <w:p w14:paraId="68537F57"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3.57</w:t>
            </w:r>
          </w:p>
        </w:tc>
        <w:tc>
          <w:tcPr>
            <w:tcW w:w="1468" w:type="dxa"/>
            <w:tcBorders>
              <w:top w:val="single" w:sz="8" w:space="0" w:color="000000"/>
            </w:tcBorders>
          </w:tcPr>
          <w:p w14:paraId="664909E4"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71.33</w:t>
            </w:r>
          </w:p>
        </w:tc>
        <w:tc>
          <w:tcPr>
            <w:tcW w:w="1225" w:type="dxa"/>
            <w:tcBorders>
              <w:top w:val="single" w:sz="8" w:space="0" w:color="000000"/>
            </w:tcBorders>
          </w:tcPr>
          <w:p w14:paraId="1B0D4F24"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Capable</w:t>
            </w:r>
          </w:p>
        </w:tc>
      </w:tr>
      <w:tr w:rsidR="0013238B" w:rsidRPr="00885153" w14:paraId="4BBB4CD2" w14:textId="77777777" w:rsidTr="00600EB5">
        <w:tc>
          <w:tcPr>
            <w:tcW w:w="2268" w:type="dxa"/>
            <w:tcBorders>
              <w:bottom w:val="nil"/>
            </w:tcBorders>
          </w:tcPr>
          <w:p w14:paraId="224FD528" w14:textId="77777777" w:rsidR="0013238B" w:rsidRPr="00885153" w:rsidRDefault="0013238B" w:rsidP="0013238B">
            <w:pPr>
              <w:spacing w:after="0" w:line="240" w:lineRule="auto"/>
              <w:rPr>
                <w:rFonts w:ascii="Arial" w:hAnsi="Arial" w:cs="Arial"/>
                <w:sz w:val="20"/>
                <w:szCs w:val="20"/>
              </w:rPr>
            </w:pPr>
          </w:p>
        </w:tc>
        <w:tc>
          <w:tcPr>
            <w:tcW w:w="2268" w:type="dxa"/>
            <w:tcBorders>
              <w:bottom w:val="nil"/>
            </w:tcBorders>
          </w:tcPr>
          <w:p w14:paraId="6BB122BD"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Non-formal Education</w:t>
            </w:r>
          </w:p>
        </w:tc>
        <w:tc>
          <w:tcPr>
            <w:tcW w:w="1185" w:type="dxa"/>
            <w:tcBorders>
              <w:bottom w:val="nil"/>
            </w:tcBorders>
          </w:tcPr>
          <w:p w14:paraId="058EAA3E"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3.56</w:t>
            </w:r>
          </w:p>
        </w:tc>
        <w:tc>
          <w:tcPr>
            <w:tcW w:w="1468" w:type="dxa"/>
            <w:tcBorders>
              <w:bottom w:val="nil"/>
            </w:tcBorders>
          </w:tcPr>
          <w:p w14:paraId="4D25D07C"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71.24</w:t>
            </w:r>
          </w:p>
        </w:tc>
        <w:tc>
          <w:tcPr>
            <w:tcW w:w="1225" w:type="dxa"/>
            <w:tcBorders>
              <w:bottom w:val="nil"/>
            </w:tcBorders>
          </w:tcPr>
          <w:p w14:paraId="3EBBF538"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Capable</w:t>
            </w:r>
          </w:p>
        </w:tc>
      </w:tr>
      <w:tr w:rsidR="0013238B" w:rsidRPr="00885153" w14:paraId="6E30BA0A" w14:textId="77777777" w:rsidTr="00600EB5">
        <w:tc>
          <w:tcPr>
            <w:tcW w:w="2268" w:type="dxa"/>
            <w:tcBorders>
              <w:top w:val="nil"/>
              <w:bottom w:val="single" w:sz="8" w:space="0" w:color="000000"/>
            </w:tcBorders>
          </w:tcPr>
          <w:p w14:paraId="6B7EE835" w14:textId="77777777" w:rsidR="0013238B" w:rsidRPr="00885153" w:rsidRDefault="0013238B" w:rsidP="0013238B">
            <w:pPr>
              <w:spacing w:after="0" w:line="240" w:lineRule="auto"/>
              <w:rPr>
                <w:rFonts w:ascii="Arial" w:hAnsi="Arial" w:cs="Arial"/>
                <w:sz w:val="20"/>
                <w:szCs w:val="20"/>
              </w:rPr>
            </w:pPr>
          </w:p>
        </w:tc>
        <w:tc>
          <w:tcPr>
            <w:tcW w:w="2268" w:type="dxa"/>
            <w:tcBorders>
              <w:top w:val="nil"/>
              <w:bottom w:val="single" w:sz="8" w:space="0" w:color="000000"/>
            </w:tcBorders>
          </w:tcPr>
          <w:p w14:paraId="7E9F23E0"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Summary (Education)</w:t>
            </w:r>
          </w:p>
        </w:tc>
        <w:tc>
          <w:tcPr>
            <w:tcW w:w="1185" w:type="dxa"/>
            <w:tcBorders>
              <w:top w:val="nil"/>
              <w:bottom w:val="single" w:sz="8" w:space="0" w:color="000000"/>
            </w:tcBorders>
          </w:tcPr>
          <w:p w14:paraId="3A30347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3.56</w:t>
            </w:r>
          </w:p>
        </w:tc>
        <w:tc>
          <w:tcPr>
            <w:tcW w:w="1468" w:type="dxa"/>
            <w:tcBorders>
              <w:top w:val="nil"/>
              <w:bottom w:val="single" w:sz="8" w:space="0" w:color="000000"/>
            </w:tcBorders>
          </w:tcPr>
          <w:p w14:paraId="665ACA2B"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71.27</w:t>
            </w:r>
          </w:p>
        </w:tc>
        <w:tc>
          <w:tcPr>
            <w:tcW w:w="1225" w:type="dxa"/>
            <w:tcBorders>
              <w:top w:val="nil"/>
              <w:bottom w:val="single" w:sz="8" w:space="0" w:color="000000"/>
            </w:tcBorders>
          </w:tcPr>
          <w:p w14:paraId="440AD240"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Capable</w:t>
            </w:r>
          </w:p>
        </w:tc>
      </w:tr>
      <w:tr w:rsidR="0013238B" w:rsidRPr="00885153" w14:paraId="52687B54" w14:textId="77777777" w:rsidTr="00600EB5">
        <w:tc>
          <w:tcPr>
            <w:tcW w:w="2268" w:type="dxa"/>
            <w:tcBorders>
              <w:top w:val="single" w:sz="8" w:space="0" w:color="000000"/>
            </w:tcBorders>
          </w:tcPr>
          <w:p w14:paraId="5E5DF4D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Readiness</w:t>
            </w:r>
          </w:p>
        </w:tc>
        <w:tc>
          <w:tcPr>
            <w:tcW w:w="2268" w:type="dxa"/>
            <w:tcBorders>
              <w:top w:val="single" w:sz="8" w:space="0" w:color="000000"/>
            </w:tcBorders>
          </w:tcPr>
          <w:p w14:paraId="5586A27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Effort</w:t>
            </w:r>
          </w:p>
        </w:tc>
        <w:tc>
          <w:tcPr>
            <w:tcW w:w="1185" w:type="dxa"/>
            <w:tcBorders>
              <w:top w:val="single" w:sz="8" w:space="0" w:color="000000"/>
            </w:tcBorders>
          </w:tcPr>
          <w:p w14:paraId="29137836"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3.17</w:t>
            </w:r>
          </w:p>
        </w:tc>
        <w:tc>
          <w:tcPr>
            <w:tcW w:w="1468" w:type="dxa"/>
            <w:tcBorders>
              <w:top w:val="single" w:sz="8" w:space="0" w:color="000000"/>
            </w:tcBorders>
          </w:tcPr>
          <w:p w14:paraId="6AF7864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65.22</w:t>
            </w:r>
          </w:p>
        </w:tc>
        <w:tc>
          <w:tcPr>
            <w:tcW w:w="1225" w:type="dxa"/>
            <w:tcBorders>
              <w:top w:val="single" w:sz="8" w:space="0" w:color="000000"/>
            </w:tcBorders>
          </w:tcPr>
          <w:p w14:paraId="34E8649C"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Occasional</w:t>
            </w:r>
          </w:p>
        </w:tc>
      </w:tr>
      <w:tr w:rsidR="0013238B" w:rsidRPr="00885153" w14:paraId="05251B5F" w14:textId="77777777" w:rsidTr="00600EB5">
        <w:tc>
          <w:tcPr>
            <w:tcW w:w="2268" w:type="dxa"/>
          </w:tcPr>
          <w:p w14:paraId="0D502A5F" w14:textId="77777777" w:rsidR="0013238B" w:rsidRPr="00885153" w:rsidRDefault="0013238B" w:rsidP="0013238B">
            <w:pPr>
              <w:spacing w:after="0" w:line="240" w:lineRule="auto"/>
              <w:rPr>
                <w:rFonts w:ascii="Arial" w:hAnsi="Arial" w:cs="Arial"/>
                <w:sz w:val="20"/>
                <w:szCs w:val="20"/>
              </w:rPr>
            </w:pPr>
          </w:p>
        </w:tc>
        <w:tc>
          <w:tcPr>
            <w:tcW w:w="2268" w:type="dxa"/>
          </w:tcPr>
          <w:p w14:paraId="577644B8"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Program Knowledge</w:t>
            </w:r>
          </w:p>
        </w:tc>
        <w:tc>
          <w:tcPr>
            <w:tcW w:w="1185" w:type="dxa"/>
          </w:tcPr>
          <w:p w14:paraId="6F37283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3.20</w:t>
            </w:r>
          </w:p>
        </w:tc>
        <w:tc>
          <w:tcPr>
            <w:tcW w:w="1468" w:type="dxa"/>
          </w:tcPr>
          <w:p w14:paraId="320FFE2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64.03</w:t>
            </w:r>
          </w:p>
        </w:tc>
        <w:tc>
          <w:tcPr>
            <w:tcW w:w="1225" w:type="dxa"/>
          </w:tcPr>
          <w:p w14:paraId="2A97304F"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Occasional</w:t>
            </w:r>
          </w:p>
        </w:tc>
      </w:tr>
      <w:tr w:rsidR="0013238B" w:rsidRPr="00885153" w14:paraId="09FD8B11" w14:textId="77777777" w:rsidTr="00600EB5">
        <w:tc>
          <w:tcPr>
            <w:tcW w:w="2268" w:type="dxa"/>
          </w:tcPr>
          <w:p w14:paraId="7B97C8BA" w14:textId="77777777" w:rsidR="0013238B" w:rsidRPr="00885153" w:rsidRDefault="0013238B" w:rsidP="0013238B">
            <w:pPr>
              <w:spacing w:after="0" w:line="240" w:lineRule="auto"/>
              <w:rPr>
                <w:rFonts w:ascii="Arial" w:hAnsi="Arial" w:cs="Arial"/>
                <w:sz w:val="20"/>
                <w:szCs w:val="20"/>
              </w:rPr>
            </w:pPr>
          </w:p>
        </w:tc>
        <w:tc>
          <w:tcPr>
            <w:tcW w:w="2268" w:type="dxa"/>
          </w:tcPr>
          <w:p w14:paraId="08FC70C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Leadership</w:t>
            </w:r>
          </w:p>
        </w:tc>
        <w:tc>
          <w:tcPr>
            <w:tcW w:w="1185" w:type="dxa"/>
          </w:tcPr>
          <w:p w14:paraId="577F104E"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3.11</w:t>
            </w:r>
          </w:p>
        </w:tc>
        <w:tc>
          <w:tcPr>
            <w:tcW w:w="1468" w:type="dxa"/>
          </w:tcPr>
          <w:p w14:paraId="40A158E7"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62.28</w:t>
            </w:r>
          </w:p>
        </w:tc>
        <w:tc>
          <w:tcPr>
            <w:tcW w:w="1225" w:type="dxa"/>
          </w:tcPr>
          <w:p w14:paraId="08DC6439"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Occasional</w:t>
            </w:r>
          </w:p>
        </w:tc>
      </w:tr>
      <w:tr w:rsidR="0013238B" w:rsidRPr="00885153" w14:paraId="545A9A0D" w14:textId="77777777" w:rsidTr="00600EB5">
        <w:tc>
          <w:tcPr>
            <w:tcW w:w="2268" w:type="dxa"/>
          </w:tcPr>
          <w:p w14:paraId="5ECCD308" w14:textId="77777777" w:rsidR="0013238B" w:rsidRPr="00885153" w:rsidRDefault="0013238B" w:rsidP="0013238B">
            <w:pPr>
              <w:spacing w:after="0" w:line="240" w:lineRule="auto"/>
              <w:rPr>
                <w:rFonts w:ascii="Arial" w:hAnsi="Arial" w:cs="Arial"/>
                <w:sz w:val="20"/>
                <w:szCs w:val="20"/>
              </w:rPr>
            </w:pPr>
          </w:p>
        </w:tc>
        <w:tc>
          <w:tcPr>
            <w:tcW w:w="2268" w:type="dxa"/>
          </w:tcPr>
          <w:p w14:paraId="72C8BB29"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Community Climate</w:t>
            </w:r>
          </w:p>
        </w:tc>
        <w:tc>
          <w:tcPr>
            <w:tcW w:w="1185" w:type="dxa"/>
          </w:tcPr>
          <w:p w14:paraId="19C10B42"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3.12</w:t>
            </w:r>
          </w:p>
        </w:tc>
        <w:tc>
          <w:tcPr>
            <w:tcW w:w="1468" w:type="dxa"/>
          </w:tcPr>
          <w:p w14:paraId="1DD9A417"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62.47</w:t>
            </w:r>
          </w:p>
        </w:tc>
        <w:tc>
          <w:tcPr>
            <w:tcW w:w="1225" w:type="dxa"/>
          </w:tcPr>
          <w:p w14:paraId="4178DA47"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Occasional</w:t>
            </w:r>
          </w:p>
        </w:tc>
      </w:tr>
      <w:tr w:rsidR="0013238B" w:rsidRPr="00885153" w14:paraId="77368286" w14:textId="77777777" w:rsidTr="00600EB5">
        <w:tc>
          <w:tcPr>
            <w:tcW w:w="2268" w:type="dxa"/>
          </w:tcPr>
          <w:p w14:paraId="32D4D0C5" w14:textId="77777777" w:rsidR="0013238B" w:rsidRPr="00885153" w:rsidRDefault="0013238B" w:rsidP="0013238B">
            <w:pPr>
              <w:spacing w:after="0" w:line="240" w:lineRule="auto"/>
              <w:rPr>
                <w:rFonts w:ascii="Arial" w:hAnsi="Arial" w:cs="Arial"/>
                <w:sz w:val="20"/>
                <w:szCs w:val="20"/>
              </w:rPr>
            </w:pPr>
          </w:p>
        </w:tc>
        <w:tc>
          <w:tcPr>
            <w:tcW w:w="2268" w:type="dxa"/>
          </w:tcPr>
          <w:p w14:paraId="2959EC8F"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Problem Understanding</w:t>
            </w:r>
          </w:p>
        </w:tc>
        <w:tc>
          <w:tcPr>
            <w:tcW w:w="1185" w:type="dxa"/>
          </w:tcPr>
          <w:p w14:paraId="79D4FF5D"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2.46</w:t>
            </w:r>
          </w:p>
        </w:tc>
        <w:tc>
          <w:tcPr>
            <w:tcW w:w="1468" w:type="dxa"/>
          </w:tcPr>
          <w:p w14:paraId="7B5595AE"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49.26</w:t>
            </w:r>
          </w:p>
        </w:tc>
        <w:tc>
          <w:tcPr>
            <w:tcW w:w="1225" w:type="dxa"/>
          </w:tcPr>
          <w:p w14:paraId="1D5C4101"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Rare</w:t>
            </w:r>
          </w:p>
        </w:tc>
      </w:tr>
      <w:tr w:rsidR="0013238B" w:rsidRPr="00885153" w14:paraId="18626359" w14:textId="77777777" w:rsidTr="00600EB5">
        <w:tc>
          <w:tcPr>
            <w:tcW w:w="2268" w:type="dxa"/>
          </w:tcPr>
          <w:p w14:paraId="013A539B" w14:textId="77777777" w:rsidR="0013238B" w:rsidRPr="00885153" w:rsidRDefault="0013238B" w:rsidP="0013238B">
            <w:pPr>
              <w:spacing w:after="0" w:line="240" w:lineRule="auto"/>
              <w:rPr>
                <w:rFonts w:ascii="Arial" w:hAnsi="Arial" w:cs="Arial"/>
                <w:sz w:val="20"/>
                <w:szCs w:val="20"/>
              </w:rPr>
            </w:pPr>
          </w:p>
        </w:tc>
        <w:tc>
          <w:tcPr>
            <w:tcW w:w="2268" w:type="dxa"/>
          </w:tcPr>
          <w:p w14:paraId="35A61DC7"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Resources</w:t>
            </w:r>
          </w:p>
        </w:tc>
        <w:tc>
          <w:tcPr>
            <w:tcW w:w="1185" w:type="dxa"/>
          </w:tcPr>
          <w:p w14:paraId="40D1252C"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3.05</w:t>
            </w:r>
          </w:p>
        </w:tc>
        <w:tc>
          <w:tcPr>
            <w:tcW w:w="1468" w:type="dxa"/>
          </w:tcPr>
          <w:p w14:paraId="328BF20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60.96</w:t>
            </w:r>
          </w:p>
        </w:tc>
        <w:tc>
          <w:tcPr>
            <w:tcW w:w="1225" w:type="dxa"/>
          </w:tcPr>
          <w:p w14:paraId="3DD11012"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Occasional</w:t>
            </w:r>
          </w:p>
        </w:tc>
      </w:tr>
      <w:tr w:rsidR="0013238B" w:rsidRPr="00885153" w14:paraId="67B215F9" w14:textId="77777777" w:rsidTr="00600EB5">
        <w:tc>
          <w:tcPr>
            <w:tcW w:w="2268" w:type="dxa"/>
          </w:tcPr>
          <w:p w14:paraId="118A1AE3" w14:textId="77777777" w:rsidR="0013238B" w:rsidRPr="00885153" w:rsidRDefault="0013238B" w:rsidP="0013238B">
            <w:pPr>
              <w:spacing w:after="0" w:line="240" w:lineRule="auto"/>
              <w:rPr>
                <w:rFonts w:ascii="Arial" w:hAnsi="Arial" w:cs="Arial"/>
                <w:sz w:val="20"/>
                <w:szCs w:val="20"/>
              </w:rPr>
            </w:pPr>
          </w:p>
        </w:tc>
        <w:tc>
          <w:tcPr>
            <w:tcW w:w="2268" w:type="dxa"/>
          </w:tcPr>
          <w:p w14:paraId="7A3629DD"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Summary (Readiness)</w:t>
            </w:r>
          </w:p>
        </w:tc>
        <w:tc>
          <w:tcPr>
            <w:tcW w:w="1185" w:type="dxa"/>
          </w:tcPr>
          <w:p w14:paraId="0AF0F45B"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3.02</w:t>
            </w:r>
          </w:p>
        </w:tc>
        <w:tc>
          <w:tcPr>
            <w:tcW w:w="1468" w:type="dxa"/>
          </w:tcPr>
          <w:p w14:paraId="58DAFE48"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color w:val="000000"/>
                <w:sz w:val="20"/>
                <w:szCs w:val="20"/>
              </w:rPr>
              <w:t>45.30</w:t>
            </w:r>
          </w:p>
        </w:tc>
        <w:tc>
          <w:tcPr>
            <w:tcW w:w="1225" w:type="dxa"/>
          </w:tcPr>
          <w:p w14:paraId="6459E4F9"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color w:val="000000"/>
                <w:sz w:val="20"/>
                <w:szCs w:val="20"/>
              </w:rPr>
              <w:t>Occasional</w:t>
            </w:r>
          </w:p>
        </w:tc>
      </w:tr>
    </w:tbl>
    <w:p w14:paraId="3601D26A" w14:textId="77777777" w:rsidR="0013238B" w:rsidRPr="00885153" w:rsidRDefault="0013238B" w:rsidP="0013238B">
      <w:pPr>
        <w:spacing w:line="240" w:lineRule="auto"/>
        <w:ind w:firstLine="720"/>
        <w:rPr>
          <w:rFonts w:ascii="Arial" w:hAnsi="Arial" w:cs="Arial"/>
          <w:sz w:val="20"/>
          <w:szCs w:val="20"/>
        </w:rPr>
      </w:pPr>
      <w:r w:rsidRPr="00885153">
        <w:rPr>
          <w:rFonts w:ascii="Arial" w:hAnsi="Arial" w:cs="Arial"/>
          <w:i/>
          <w:sz w:val="20"/>
          <w:szCs w:val="20"/>
        </w:rPr>
        <w:t>Source: Research Data, 2025.</w:t>
      </w:r>
    </w:p>
    <w:p w14:paraId="7EF207FE" w14:textId="77777777" w:rsidR="0013238B" w:rsidRPr="00885153" w:rsidRDefault="0013238B" w:rsidP="0013238B">
      <w:pPr>
        <w:spacing w:after="0" w:line="240" w:lineRule="auto"/>
        <w:ind w:firstLine="720"/>
        <w:contextualSpacing/>
        <w:jc w:val="both"/>
        <w:rPr>
          <w:rFonts w:ascii="Arial" w:hAnsi="Arial" w:cs="Arial"/>
          <w:sz w:val="20"/>
          <w:szCs w:val="20"/>
        </w:rPr>
      </w:pPr>
    </w:p>
    <w:p w14:paraId="26299329"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Community Motivation (Mean = 3.54; 70.72%) and Community Education (Mean = 3.56; 71.27%) have rather robust profiles, signifying greater willingness and sufficient educational exposure among respondents. In contrast, Community Skills are more tentative (Mean = 3.22; 64.48%), indicating that practical competencies for employing technology-enabled infrastructure still necessitate enhancement. Community Readiness predominantly resides at a 'occasional' level across various dimensions (e.g., </w:t>
      </w:r>
      <w:r w:rsidRPr="00885153">
        <w:rPr>
          <w:rFonts w:ascii="Arial" w:hAnsi="Arial" w:cs="Arial"/>
          <w:sz w:val="20"/>
          <w:szCs w:val="20"/>
        </w:rPr>
        <w:lastRenderedPageBreak/>
        <w:t>community effort, program knowledge, leadership, climate, and resources), whereas Problem Understanding emerges as the most deficient component (Mean = 2.46; 49.26%), indicating a restricted awareness of developmental impacts and solution pathways—an element that may hinder the conversion of motivation and education into effective infrastructure utilization.</w:t>
      </w:r>
    </w:p>
    <w:p w14:paraId="23FF5759" w14:textId="77777777" w:rsidR="0013238B" w:rsidRPr="00885153" w:rsidRDefault="0013238B" w:rsidP="0013238B">
      <w:pPr>
        <w:pStyle w:val="ListParagraph"/>
        <w:numPr>
          <w:ilvl w:val="0"/>
          <w:numId w:val="18"/>
        </w:numPr>
        <w:spacing w:before="120" w:after="0" w:line="240" w:lineRule="auto"/>
        <w:ind w:left="493" w:hanging="493"/>
        <w:jc w:val="both"/>
        <w:rPr>
          <w:rFonts w:ascii="Arial" w:hAnsi="Arial" w:cs="Arial"/>
          <w:sz w:val="20"/>
          <w:szCs w:val="20"/>
        </w:rPr>
      </w:pPr>
      <w:r w:rsidRPr="00885153">
        <w:rPr>
          <w:rFonts w:ascii="Arial" w:hAnsi="Arial" w:cs="Arial"/>
          <w:b/>
          <w:bCs/>
          <w:sz w:val="20"/>
          <w:szCs w:val="20"/>
        </w:rPr>
        <w:t>Measurement</w:t>
      </w:r>
      <w:r w:rsidRPr="00885153">
        <w:rPr>
          <w:rFonts w:ascii="Arial" w:hAnsi="Arial" w:cs="Arial"/>
          <w:b/>
          <w:sz w:val="20"/>
          <w:szCs w:val="20"/>
        </w:rPr>
        <w:t xml:space="preserve"> Model Quality Assessment: Reliability, Convergent Validity, and Discriminant Validity </w:t>
      </w:r>
    </w:p>
    <w:p w14:paraId="15C6C7CD" w14:textId="1E672F76"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Figure 1 illustrates the CVA measurement model for community readiness within the IKN core government area, comprising four latent constructs—Community Motivation, Community Skills, Community Education, and Community Readiness—assessed through 14 indicators (df = 69), signifying an over-identified CB-SEM model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(Hair at al., 2019; Kline R.B, 2016)</w:t>
      </w:r>
      <w:r w:rsidRPr="00885153">
        <w:rPr>
          <w:rFonts w:ascii="Arial" w:hAnsi="Arial" w:cs="Arial"/>
          <w:sz w:val="20"/>
          <w:szCs w:val="20"/>
        </w:rPr>
        <w:fldChar w:fldCharType="end"/>
      </w:r>
      <w:r w:rsidRPr="00885153">
        <w:rPr>
          <w:rFonts w:ascii="Arial" w:hAnsi="Arial" w:cs="Arial"/>
          <w:sz w:val="20"/>
          <w:szCs w:val="20"/>
        </w:rPr>
        <w:t>.  The model fit is deemed acceptable to marginal (χ² = 172.461, p &lt; 0.001; CMIN/DF = 2.499; RMSEA = 0.067; GFI = 0.934; AGFI = 0.900; TLI = 0.838; CFI = 0.877), with all standardized loadings satisfying the ≥0.50 criterion (ranging from 0.51 to 0.82). The strongest indicators include Existence (0.71), Problem Solving Skill (0.82), Non-formal Education</w:t>
      </w:r>
      <w:r w:rsidR="00B5767E">
        <w:rPr>
          <w:rFonts w:ascii="Arial" w:hAnsi="Arial" w:cs="Arial"/>
          <w:sz w:val="20"/>
          <w:szCs w:val="20"/>
        </w:rPr>
        <w:t xml:space="preserve"> (</w:t>
      </w:r>
      <w:r w:rsidRPr="00885153">
        <w:rPr>
          <w:rFonts w:ascii="Arial" w:hAnsi="Arial" w:cs="Arial"/>
          <w:sz w:val="20"/>
          <w:szCs w:val="20"/>
        </w:rPr>
        <w:t xml:space="preserve">0.73), and Resources (0.63), while Technical Skill and Community Effort are the weakest indicators (both </w:t>
      </w:r>
      <w:r w:rsidRPr="00885153">
        <w:rPr>
          <w:rFonts w:ascii="Arial" w:hAnsi="Arial" w:cs="Arial"/>
          <w:noProof/>
          <w:sz w:val="20"/>
          <w:szCs w:val="20"/>
        </w:rPr>
        <w:drawing>
          <wp:anchor distT="0" distB="0" distL="114300" distR="114300" simplePos="0" relativeHeight="251659264" behindDoc="0" locked="0" layoutInCell="1" allowOverlap="1" wp14:anchorId="3C73F900" wp14:editId="392679EF">
            <wp:simplePos x="0" y="0"/>
            <wp:positionH relativeFrom="margin">
              <wp:align>left</wp:align>
            </wp:positionH>
            <wp:positionV relativeFrom="paragraph">
              <wp:posOffset>820420</wp:posOffset>
            </wp:positionV>
            <wp:extent cx="5486400" cy="44850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5486400" cy="4485005"/>
                    </a:xfrm>
                    <a:prstGeom prst="rect">
                      <a:avLst/>
                    </a:prstGeom>
                  </pic:spPr>
                </pic:pic>
              </a:graphicData>
            </a:graphic>
            <wp14:sizeRelH relativeFrom="page">
              <wp14:pctWidth>0</wp14:pctWidth>
            </wp14:sizeRelH>
            <wp14:sizeRelV relativeFrom="page">
              <wp14:pctHeight>0</wp14:pctHeight>
            </wp14:sizeRelV>
          </wp:anchor>
        </w:drawing>
      </w:r>
      <w:r w:rsidRPr="00885153">
        <w:rPr>
          <w:rFonts w:ascii="Arial" w:hAnsi="Arial" w:cs="Arial"/>
          <w:sz w:val="20"/>
          <w:szCs w:val="20"/>
        </w:rPr>
        <w:t>at 0.51) yet remain acceptable.</w:t>
      </w:r>
    </w:p>
    <w:p w14:paraId="6FA27EC5" w14:textId="1F4E0A9E" w:rsidR="0013238B" w:rsidRPr="00885153" w:rsidRDefault="0013238B" w:rsidP="0013238B">
      <w:pPr>
        <w:spacing w:after="0" w:line="240" w:lineRule="auto"/>
        <w:ind w:firstLine="720"/>
        <w:jc w:val="center"/>
        <w:rPr>
          <w:rStyle w:val="Strong"/>
          <w:rFonts w:ascii="Arial" w:hAnsi="Arial" w:cs="Arial"/>
          <w:sz w:val="20"/>
          <w:szCs w:val="20"/>
        </w:rPr>
      </w:pPr>
    </w:p>
    <w:p w14:paraId="47E642A1" w14:textId="77777777" w:rsidR="0013238B" w:rsidRPr="00885153" w:rsidRDefault="0013238B" w:rsidP="0013238B">
      <w:pPr>
        <w:spacing w:after="0" w:line="240" w:lineRule="auto"/>
        <w:jc w:val="center"/>
        <w:rPr>
          <w:rStyle w:val="Strong"/>
          <w:rFonts w:ascii="Arial" w:hAnsi="Arial" w:cs="Arial"/>
          <w:b w:val="0"/>
          <w:bCs w:val="0"/>
          <w:sz w:val="20"/>
          <w:szCs w:val="20"/>
        </w:rPr>
      </w:pPr>
      <w:r w:rsidRPr="00885153">
        <w:rPr>
          <w:rStyle w:val="Strong"/>
          <w:rFonts w:ascii="Arial" w:hAnsi="Arial" w:cs="Arial"/>
          <w:sz w:val="20"/>
          <w:szCs w:val="20"/>
        </w:rPr>
        <w:t>Fig 1. Higher-Order Measurement Model</w:t>
      </w:r>
    </w:p>
    <w:p w14:paraId="6796E617" w14:textId="77777777" w:rsidR="0013238B" w:rsidRPr="00885153" w:rsidRDefault="0013238B" w:rsidP="0013238B">
      <w:pPr>
        <w:spacing w:after="0" w:line="240" w:lineRule="auto"/>
        <w:contextualSpacing/>
        <w:jc w:val="center"/>
        <w:rPr>
          <w:rFonts w:ascii="Arial" w:hAnsi="Arial" w:cs="Arial"/>
          <w:sz w:val="20"/>
          <w:szCs w:val="20"/>
        </w:rPr>
      </w:pPr>
      <w:r w:rsidRPr="00885153">
        <w:rPr>
          <w:rStyle w:val="Emphasis"/>
          <w:rFonts w:ascii="Arial" w:hAnsi="Arial" w:cs="Arial"/>
          <w:sz w:val="20"/>
          <w:szCs w:val="20"/>
        </w:rPr>
        <w:t>Source: Field survey data, 2025</w:t>
      </w:r>
    </w:p>
    <w:p w14:paraId="2305E4C3"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Based on the indicator-level evidence presented in Figure 1, the measurement model was subsequently assessed using construct-level criteria detailed in Tables 3–5. Table 3 delineates internal consistency reliability (CR and Cronbach’s α) and convergent validity (AVE), whereas discriminant validity is evaluated through the Fornell–Larcker criterion (Table 4) and the AVE–MSV/ASV comparison (Table 5) to ensure that each construct is empirically distinct before estimating the structural relationships.</w:t>
      </w:r>
    </w:p>
    <w:p w14:paraId="3425CF9A" w14:textId="77777777" w:rsidR="0013238B" w:rsidRPr="00885153" w:rsidRDefault="0013238B" w:rsidP="0013238B">
      <w:pPr>
        <w:spacing w:after="0" w:line="240" w:lineRule="auto"/>
        <w:ind w:firstLine="720"/>
        <w:contextualSpacing/>
        <w:jc w:val="both"/>
        <w:rPr>
          <w:rFonts w:ascii="Arial" w:hAnsi="Arial" w:cs="Arial"/>
          <w:sz w:val="20"/>
          <w:szCs w:val="20"/>
        </w:rPr>
      </w:pPr>
    </w:p>
    <w:p w14:paraId="76528719" w14:textId="77777777" w:rsidR="0013238B" w:rsidRPr="00885153" w:rsidRDefault="0013238B" w:rsidP="0013238B">
      <w:pPr>
        <w:pStyle w:val="ListParagraph"/>
        <w:numPr>
          <w:ilvl w:val="0"/>
          <w:numId w:val="18"/>
        </w:numPr>
        <w:spacing w:before="120" w:after="0" w:line="240" w:lineRule="auto"/>
        <w:ind w:left="493" w:hanging="493"/>
        <w:jc w:val="both"/>
        <w:rPr>
          <w:rFonts w:ascii="Arial" w:hAnsi="Arial" w:cs="Arial"/>
          <w:sz w:val="20"/>
          <w:szCs w:val="20"/>
        </w:rPr>
      </w:pPr>
      <w:r w:rsidRPr="0013238B">
        <w:rPr>
          <w:rFonts w:ascii="Arial" w:hAnsi="Arial" w:cs="Arial"/>
          <w:b/>
          <w:sz w:val="20"/>
          <w:szCs w:val="20"/>
        </w:rPr>
        <w:lastRenderedPageBreak/>
        <w:t>Internal</w:t>
      </w:r>
      <w:r w:rsidRPr="00885153">
        <w:rPr>
          <w:rFonts w:ascii="Arial" w:hAnsi="Arial" w:cs="Arial"/>
          <w:b/>
          <w:sz w:val="20"/>
          <w:szCs w:val="20"/>
        </w:rPr>
        <w:t xml:space="preserve"> Consistency Reliability and Convergent Validity</w:t>
      </w:r>
    </w:p>
    <w:p w14:paraId="5715CCE8" w14:textId="384D0E6C" w:rsidR="0013238B"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Table 3 presents the Average Variance Extracted (AVE), Composite Reliability (CR), and Cronbach's alpha (α) for the four latent constructs: Community Motivation, Community Skills, Community Education, and Community Readiness. AVE denotes the ratio of indicator variance accounted for by the construct in relation to measurement error. CR and α indicate the internal consistency of the indicators within each construct. Values that meet or surpass the recommended criteria signify that the indicators accurately reflect their intended latent variables and that the constructs exhibit sufficient convergent validity.</w:t>
      </w:r>
    </w:p>
    <w:p w14:paraId="7F2F0EE3" w14:textId="071C21ED" w:rsidR="0013238B" w:rsidRDefault="0013238B" w:rsidP="0013238B">
      <w:pPr>
        <w:spacing w:after="0" w:line="240" w:lineRule="auto"/>
        <w:ind w:firstLine="720"/>
        <w:contextualSpacing/>
        <w:jc w:val="both"/>
        <w:rPr>
          <w:rFonts w:ascii="Arial" w:hAnsi="Arial" w:cs="Arial"/>
          <w:sz w:val="20"/>
          <w:szCs w:val="20"/>
        </w:rPr>
      </w:pPr>
    </w:p>
    <w:p w14:paraId="5D4E4535" w14:textId="286D937F" w:rsidR="0013238B" w:rsidRDefault="0013238B" w:rsidP="0013238B">
      <w:pPr>
        <w:spacing w:after="0" w:line="240" w:lineRule="auto"/>
        <w:ind w:firstLine="720"/>
        <w:contextualSpacing/>
        <w:jc w:val="both"/>
        <w:rPr>
          <w:rFonts w:ascii="Arial" w:hAnsi="Arial" w:cs="Arial"/>
          <w:sz w:val="20"/>
          <w:szCs w:val="20"/>
        </w:rPr>
      </w:pPr>
    </w:p>
    <w:p w14:paraId="507F3F59" w14:textId="77777777" w:rsidR="00B5767E" w:rsidRDefault="00B5767E" w:rsidP="0013238B">
      <w:pPr>
        <w:spacing w:after="0" w:line="240" w:lineRule="auto"/>
        <w:ind w:firstLine="720"/>
        <w:contextualSpacing/>
        <w:jc w:val="both"/>
        <w:rPr>
          <w:rFonts w:ascii="Arial" w:hAnsi="Arial" w:cs="Arial"/>
          <w:sz w:val="20"/>
          <w:szCs w:val="20"/>
        </w:rPr>
      </w:pPr>
    </w:p>
    <w:p w14:paraId="3624D15F" w14:textId="77777777" w:rsidR="00B5767E" w:rsidRDefault="00B5767E" w:rsidP="0013238B">
      <w:pPr>
        <w:spacing w:after="0" w:line="240" w:lineRule="auto"/>
        <w:ind w:firstLine="720"/>
        <w:contextualSpacing/>
        <w:jc w:val="both"/>
        <w:rPr>
          <w:rFonts w:ascii="Arial" w:hAnsi="Arial" w:cs="Arial"/>
          <w:sz w:val="20"/>
          <w:szCs w:val="20"/>
        </w:rPr>
      </w:pPr>
    </w:p>
    <w:p w14:paraId="6B64ABB7" w14:textId="77777777" w:rsidR="00B5767E" w:rsidRDefault="00B5767E" w:rsidP="0013238B">
      <w:pPr>
        <w:spacing w:after="0" w:line="240" w:lineRule="auto"/>
        <w:ind w:firstLine="720"/>
        <w:contextualSpacing/>
        <w:jc w:val="both"/>
        <w:rPr>
          <w:rFonts w:ascii="Arial" w:hAnsi="Arial" w:cs="Arial"/>
          <w:sz w:val="20"/>
          <w:szCs w:val="20"/>
        </w:rPr>
      </w:pPr>
    </w:p>
    <w:p w14:paraId="0EC02A09" w14:textId="77777777" w:rsidR="0013238B" w:rsidRPr="00885153" w:rsidRDefault="0013238B" w:rsidP="0013238B">
      <w:pPr>
        <w:spacing w:after="0" w:line="240" w:lineRule="auto"/>
        <w:ind w:firstLine="720"/>
        <w:contextualSpacing/>
        <w:jc w:val="both"/>
        <w:rPr>
          <w:rFonts w:ascii="Arial" w:hAnsi="Arial" w:cs="Arial"/>
          <w:sz w:val="20"/>
          <w:szCs w:val="20"/>
        </w:rPr>
      </w:pPr>
    </w:p>
    <w:p w14:paraId="7A62BFD0" w14:textId="77777777" w:rsidR="0013238B" w:rsidRPr="00885153" w:rsidRDefault="0013238B" w:rsidP="0013238B">
      <w:pPr>
        <w:spacing w:after="0" w:line="240" w:lineRule="auto"/>
        <w:ind w:left="720"/>
        <w:contextualSpacing/>
        <w:jc w:val="both"/>
        <w:rPr>
          <w:rFonts w:ascii="Arial" w:hAnsi="Arial" w:cs="Arial"/>
          <w:bCs/>
          <w:sz w:val="20"/>
          <w:szCs w:val="20"/>
        </w:rPr>
      </w:pPr>
      <w:r w:rsidRPr="00885153">
        <w:rPr>
          <w:rFonts w:ascii="Arial" w:hAnsi="Arial" w:cs="Arial"/>
          <w:bCs/>
          <w:sz w:val="20"/>
          <w:szCs w:val="20"/>
        </w:rPr>
        <w:t>Table 3. Reliability and Convergent Validity Assessment</w:t>
      </w:r>
    </w:p>
    <w:tbl>
      <w:tblPr>
        <w:tblW w:w="6510" w:type="dxa"/>
        <w:tblInd w:w="720" w:type="dxa"/>
        <w:tblLook w:val="04A0" w:firstRow="1" w:lastRow="0" w:firstColumn="1" w:lastColumn="0" w:noHBand="0" w:noVBand="1"/>
      </w:tblPr>
      <w:tblGrid>
        <w:gridCol w:w="2660"/>
        <w:gridCol w:w="884"/>
        <w:gridCol w:w="1690"/>
        <w:gridCol w:w="1276"/>
      </w:tblGrid>
      <w:tr w:rsidR="0013238B" w:rsidRPr="00885153" w14:paraId="10778501" w14:textId="77777777" w:rsidTr="000A325E">
        <w:tc>
          <w:tcPr>
            <w:tcW w:w="2660" w:type="dxa"/>
            <w:tcBorders>
              <w:top w:val="single" w:sz="4" w:space="0" w:color="auto"/>
              <w:bottom w:val="single" w:sz="4" w:space="0" w:color="auto"/>
            </w:tcBorders>
          </w:tcPr>
          <w:p w14:paraId="39657F1B"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Latent Variables</w:t>
            </w:r>
          </w:p>
        </w:tc>
        <w:tc>
          <w:tcPr>
            <w:tcW w:w="884" w:type="dxa"/>
            <w:tcBorders>
              <w:top w:val="single" w:sz="4" w:space="0" w:color="auto"/>
              <w:bottom w:val="single" w:sz="4" w:space="0" w:color="auto"/>
            </w:tcBorders>
          </w:tcPr>
          <w:p w14:paraId="05CA020F"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AVE</w:t>
            </w:r>
          </w:p>
        </w:tc>
        <w:tc>
          <w:tcPr>
            <w:tcW w:w="1690" w:type="dxa"/>
            <w:tcBorders>
              <w:top w:val="single" w:sz="4" w:space="0" w:color="auto"/>
              <w:bottom w:val="single" w:sz="4" w:space="0" w:color="auto"/>
            </w:tcBorders>
          </w:tcPr>
          <w:p w14:paraId="31BDA55C"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Composite Reliability (CR)</w:t>
            </w:r>
          </w:p>
        </w:tc>
        <w:tc>
          <w:tcPr>
            <w:tcW w:w="1276" w:type="dxa"/>
            <w:tcBorders>
              <w:top w:val="single" w:sz="4" w:space="0" w:color="auto"/>
              <w:bottom w:val="single" w:sz="4" w:space="0" w:color="auto"/>
            </w:tcBorders>
          </w:tcPr>
          <w:p w14:paraId="537D7ED5"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Cronbach’s Alpha (α)</w:t>
            </w:r>
          </w:p>
        </w:tc>
      </w:tr>
      <w:tr w:rsidR="0013238B" w:rsidRPr="00885153" w14:paraId="452D469D" w14:textId="77777777" w:rsidTr="000A325E">
        <w:tc>
          <w:tcPr>
            <w:tcW w:w="2660" w:type="dxa"/>
            <w:tcBorders>
              <w:top w:val="single" w:sz="4" w:space="0" w:color="auto"/>
            </w:tcBorders>
          </w:tcPr>
          <w:p w14:paraId="54361FC0"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Community Motivation</w:t>
            </w:r>
          </w:p>
        </w:tc>
        <w:tc>
          <w:tcPr>
            <w:tcW w:w="884" w:type="dxa"/>
            <w:tcBorders>
              <w:top w:val="single" w:sz="4" w:space="0" w:color="auto"/>
            </w:tcBorders>
          </w:tcPr>
          <w:p w14:paraId="3B6CDEEB"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0.659</w:t>
            </w:r>
          </w:p>
        </w:tc>
        <w:tc>
          <w:tcPr>
            <w:tcW w:w="1690" w:type="dxa"/>
            <w:tcBorders>
              <w:top w:val="single" w:sz="4" w:space="0" w:color="auto"/>
            </w:tcBorders>
          </w:tcPr>
          <w:p w14:paraId="5AB0B2DD"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0.717</w:t>
            </w:r>
          </w:p>
        </w:tc>
        <w:tc>
          <w:tcPr>
            <w:tcW w:w="1276" w:type="dxa"/>
            <w:tcBorders>
              <w:top w:val="single" w:sz="4" w:space="0" w:color="auto"/>
            </w:tcBorders>
          </w:tcPr>
          <w:p w14:paraId="47CAABCA"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0.717</w:t>
            </w:r>
          </w:p>
        </w:tc>
      </w:tr>
      <w:tr w:rsidR="0013238B" w:rsidRPr="00885153" w14:paraId="00B21B31" w14:textId="77777777" w:rsidTr="000A325E">
        <w:tc>
          <w:tcPr>
            <w:tcW w:w="2660" w:type="dxa"/>
          </w:tcPr>
          <w:p w14:paraId="74FAD3E4"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Community Skills</w:t>
            </w:r>
          </w:p>
        </w:tc>
        <w:tc>
          <w:tcPr>
            <w:tcW w:w="884" w:type="dxa"/>
          </w:tcPr>
          <w:p w14:paraId="559FD062"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0.688</w:t>
            </w:r>
          </w:p>
        </w:tc>
        <w:tc>
          <w:tcPr>
            <w:tcW w:w="1690" w:type="dxa"/>
          </w:tcPr>
          <w:p w14:paraId="6F0A117F"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0.734</w:t>
            </w:r>
          </w:p>
        </w:tc>
        <w:tc>
          <w:tcPr>
            <w:tcW w:w="1276" w:type="dxa"/>
          </w:tcPr>
          <w:p w14:paraId="704E236E"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0.721</w:t>
            </w:r>
          </w:p>
        </w:tc>
      </w:tr>
      <w:tr w:rsidR="0013238B" w:rsidRPr="00885153" w14:paraId="3F56A978" w14:textId="77777777" w:rsidTr="000A325E">
        <w:tc>
          <w:tcPr>
            <w:tcW w:w="2660" w:type="dxa"/>
          </w:tcPr>
          <w:p w14:paraId="4BC9CD63"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Community Education</w:t>
            </w:r>
          </w:p>
        </w:tc>
        <w:tc>
          <w:tcPr>
            <w:tcW w:w="884" w:type="dxa"/>
          </w:tcPr>
          <w:p w14:paraId="17D93DB6"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0.618</w:t>
            </w:r>
          </w:p>
        </w:tc>
        <w:tc>
          <w:tcPr>
            <w:tcW w:w="1690" w:type="dxa"/>
          </w:tcPr>
          <w:p w14:paraId="04213FE5"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0.783</w:t>
            </w:r>
          </w:p>
        </w:tc>
        <w:tc>
          <w:tcPr>
            <w:tcW w:w="1276" w:type="dxa"/>
          </w:tcPr>
          <w:p w14:paraId="0A9CE054"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0.782</w:t>
            </w:r>
          </w:p>
        </w:tc>
      </w:tr>
      <w:tr w:rsidR="0013238B" w:rsidRPr="00885153" w14:paraId="0FD2DC98" w14:textId="77777777" w:rsidTr="000A325E">
        <w:tc>
          <w:tcPr>
            <w:tcW w:w="2660" w:type="dxa"/>
            <w:tcBorders>
              <w:bottom w:val="single" w:sz="4" w:space="0" w:color="auto"/>
            </w:tcBorders>
          </w:tcPr>
          <w:p w14:paraId="7AB027D9"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Community Readiness</w:t>
            </w:r>
          </w:p>
        </w:tc>
        <w:tc>
          <w:tcPr>
            <w:tcW w:w="884" w:type="dxa"/>
            <w:tcBorders>
              <w:bottom w:val="single" w:sz="4" w:space="0" w:color="auto"/>
            </w:tcBorders>
          </w:tcPr>
          <w:p w14:paraId="52F5A611"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0.615</w:t>
            </w:r>
          </w:p>
        </w:tc>
        <w:tc>
          <w:tcPr>
            <w:tcW w:w="1690" w:type="dxa"/>
            <w:tcBorders>
              <w:bottom w:val="single" w:sz="4" w:space="0" w:color="auto"/>
            </w:tcBorders>
          </w:tcPr>
          <w:p w14:paraId="34F0CC4B"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0.733</w:t>
            </w:r>
          </w:p>
        </w:tc>
        <w:tc>
          <w:tcPr>
            <w:tcW w:w="1276" w:type="dxa"/>
            <w:tcBorders>
              <w:bottom w:val="single" w:sz="4" w:space="0" w:color="auto"/>
            </w:tcBorders>
          </w:tcPr>
          <w:p w14:paraId="14DA253A" w14:textId="77777777" w:rsidR="0013238B" w:rsidRPr="00885153" w:rsidRDefault="0013238B" w:rsidP="00600EB5">
            <w:pPr>
              <w:spacing w:after="0" w:line="240" w:lineRule="auto"/>
              <w:jc w:val="both"/>
              <w:rPr>
                <w:rFonts w:ascii="Arial" w:hAnsi="Arial" w:cs="Arial"/>
                <w:sz w:val="20"/>
                <w:szCs w:val="20"/>
              </w:rPr>
            </w:pPr>
            <w:r w:rsidRPr="00885153">
              <w:rPr>
                <w:rFonts w:ascii="Arial" w:hAnsi="Arial" w:cs="Arial"/>
                <w:sz w:val="20"/>
                <w:szCs w:val="20"/>
              </w:rPr>
              <w:t>0.732</w:t>
            </w:r>
          </w:p>
        </w:tc>
      </w:tr>
    </w:tbl>
    <w:p w14:paraId="27656160" w14:textId="77777777" w:rsidR="0013238B" w:rsidRPr="00885153" w:rsidRDefault="0013238B" w:rsidP="0013238B">
      <w:pPr>
        <w:spacing w:after="0" w:line="240" w:lineRule="auto"/>
        <w:ind w:left="720"/>
        <w:contextualSpacing/>
        <w:jc w:val="both"/>
        <w:rPr>
          <w:rFonts w:ascii="Arial" w:hAnsi="Arial" w:cs="Arial"/>
          <w:sz w:val="20"/>
          <w:szCs w:val="20"/>
        </w:rPr>
      </w:pPr>
      <w:r w:rsidRPr="00885153">
        <w:rPr>
          <w:rFonts w:ascii="Arial" w:hAnsi="Arial" w:cs="Arial"/>
          <w:sz w:val="20"/>
          <w:szCs w:val="20"/>
        </w:rPr>
        <w:t>Source: Research Data Analysis, 2025 (CVA/AMOS).</w:t>
      </w:r>
    </w:p>
    <w:p w14:paraId="77557584"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Table 5 demonstrates that all constructs attained AVE values beyond 0.50 (range = 0.615–0.688), hence corroborating convergent validity. The internal consistency was deemed excellent, with composite reliability (CR) values over 0.70 for all constructs (range = 0.717–0.783) and Cronbach’s alpha values similarly surpassing 0.70 (range = 0.717–0.782). Collectively, these findings suggest that the measurement model demonstrates sufficient reliability and convergent validity, establishing a robust foundation for subsequent structural investigation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London","id":"ITEM-1","issue":"1","issued":{"date-parts":[["2016","7","12"]]},"number-of-pages":"59","title":"Principles and Practice of Structural Equation Modeling","type":"book","volume":"1"},"uris":["http://www.mendeley.com/documents/?uuid=2d907137-4a37-4fca-8200-b5a7eb63a4e3"]},{"id":"ITEM-2","itemData":{"ISBN":"978-1-4737-5654-0","ISSN":"0921-5077","abstract":"Meer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Ainscow","id":"ITEM-2","issue":"3","issued":{"date-parts":[["2019","9","1"]]},"title":"Multivariate Data Analysis (Sixth Edition)","type":"book","volume":"19"},"uris":["http://www.mendeley.com/documents/?uuid=50c8c6c4-a217-475e-9b5e-858c5a1888b2"]}],"mendeley":{"formattedCitation":"(Hair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(Hair at al., 2019; Kline R.B, 2016)</w:t>
      </w:r>
      <w:r w:rsidRPr="00885153">
        <w:rPr>
          <w:rFonts w:ascii="Arial" w:hAnsi="Arial" w:cs="Arial"/>
          <w:sz w:val="20"/>
          <w:szCs w:val="20"/>
        </w:rPr>
        <w:fldChar w:fldCharType="end"/>
      </w:r>
      <w:r w:rsidRPr="00885153">
        <w:rPr>
          <w:rFonts w:ascii="Arial" w:hAnsi="Arial" w:cs="Arial"/>
          <w:sz w:val="20"/>
          <w:szCs w:val="20"/>
        </w:rPr>
        <w:t>.</w:t>
      </w:r>
    </w:p>
    <w:p w14:paraId="248A3A66" w14:textId="739AD024" w:rsidR="0013238B" w:rsidRPr="0013238B" w:rsidRDefault="0013238B" w:rsidP="0013238B">
      <w:pPr>
        <w:pStyle w:val="ListParagraph"/>
        <w:numPr>
          <w:ilvl w:val="0"/>
          <w:numId w:val="18"/>
        </w:numPr>
        <w:spacing w:before="120" w:after="0" w:line="240" w:lineRule="auto"/>
        <w:ind w:left="493" w:hanging="493"/>
        <w:jc w:val="both"/>
        <w:rPr>
          <w:rFonts w:ascii="Arial" w:hAnsi="Arial" w:cs="Arial"/>
          <w:sz w:val="20"/>
          <w:szCs w:val="20"/>
        </w:rPr>
      </w:pPr>
      <w:r w:rsidRPr="0013238B">
        <w:rPr>
          <w:rFonts w:ascii="Arial" w:hAnsi="Arial" w:cs="Arial"/>
          <w:b/>
          <w:sz w:val="20"/>
          <w:szCs w:val="20"/>
        </w:rPr>
        <w:t>Discriminant</w:t>
      </w:r>
      <w:r w:rsidRPr="00885153">
        <w:rPr>
          <w:rFonts w:ascii="Arial" w:hAnsi="Arial" w:cs="Arial"/>
          <w:b/>
          <w:sz w:val="20"/>
          <w:szCs w:val="20"/>
        </w:rPr>
        <w:t xml:space="preserve"> Validity</w:t>
      </w:r>
    </w:p>
    <w:p w14:paraId="152FF369" w14:textId="77777777" w:rsidR="0013238B" w:rsidRPr="00885153" w:rsidRDefault="0013238B" w:rsidP="0013238B">
      <w:pPr>
        <w:pStyle w:val="ListParagraph"/>
        <w:spacing w:before="120" w:after="0" w:line="240" w:lineRule="auto"/>
        <w:ind w:left="493"/>
        <w:jc w:val="both"/>
        <w:rPr>
          <w:rFonts w:ascii="Arial" w:hAnsi="Arial" w:cs="Arial"/>
          <w:sz w:val="20"/>
          <w:szCs w:val="20"/>
        </w:rPr>
      </w:pPr>
    </w:p>
    <w:p w14:paraId="65EF0ED4"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Discriminant validity assesses whether theoretically distinct constructs are empirically distinct as well. Two supplementary verifications were conducted. The Fornell–Larcker criterion stipulates that the square root of each construct's average variance extracted (√AVE) must surpass its correlations with other constructs. Secondly, the comparison of AVE and MSV necessitates that the Average Variance Extracted (AVE) for each construct above its Maximum Shared Variance (MSV)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(Hair at al., 2019; Kline R.B, 2016)</w:t>
      </w:r>
      <w:r w:rsidRPr="00885153">
        <w:rPr>
          <w:rFonts w:ascii="Arial" w:hAnsi="Arial" w:cs="Arial"/>
          <w:sz w:val="20"/>
          <w:szCs w:val="20"/>
        </w:rPr>
        <w:fldChar w:fldCharType="end"/>
      </w:r>
      <w:r w:rsidRPr="00885153">
        <w:rPr>
          <w:rFonts w:ascii="Arial" w:hAnsi="Arial" w:cs="Arial"/>
          <w:sz w:val="20"/>
          <w:szCs w:val="20"/>
        </w:rPr>
        <w:t>, signifying that the construct accounts for a greater proportion of variance in its indicators than it shares with any other construct.</w:t>
      </w:r>
    </w:p>
    <w:p w14:paraId="1F18C890" w14:textId="77777777" w:rsidR="0013238B" w:rsidRPr="00885153" w:rsidRDefault="0013238B" w:rsidP="0013238B">
      <w:pPr>
        <w:spacing w:after="0" w:line="240" w:lineRule="auto"/>
        <w:ind w:left="720"/>
        <w:contextualSpacing/>
        <w:jc w:val="both"/>
        <w:rPr>
          <w:rFonts w:ascii="Arial" w:hAnsi="Arial" w:cs="Arial"/>
          <w:bCs/>
          <w:sz w:val="20"/>
          <w:szCs w:val="20"/>
        </w:rPr>
      </w:pPr>
      <w:r w:rsidRPr="00885153">
        <w:rPr>
          <w:rFonts w:ascii="Arial" w:hAnsi="Arial" w:cs="Arial"/>
          <w:bCs/>
          <w:sz w:val="20"/>
          <w:szCs w:val="20"/>
        </w:rPr>
        <w:t xml:space="preserve">Table 4. Fornell–Larcker Criterion </w:t>
      </w:r>
    </w:p>
    <w:tbl>
      <w:tblPr>
        <w:tblW w:w="0" w:type="auto"/>
        <w:tblInd w:w="720" w:type="dxa"/>
        <w:tblLook w:val="04A0" w:firstRow="1" w:lastRow="0" w:firstColumn="1" w:lastColumn="0" w:noHBand="0" w:noVBand="1"/>
      </w:tblPr>
      <w:tblGrid>
        <w:gridCol w:w="1795"/>
        <w:gridCol w:w="1324"/>
        <w:gridCol w:w="992"/>
        <w:gridCol w:w="1276"/>
        <w:gridCol w:w="1715"/>
      </w:tblGrid>
      <w:tr w:rsidR="0013238B" w:rsidRPr="00885153" w14:paraId="22905405" w14:textId="77777777" w:rsidTr="00600EB5">
        <w:tc>
          <w:tcPr>
            <w:tcW w:w="1795" w:type="dxa"/>
            <w:tcBorders>
              <w:top w:val="single" w:sz="4" w:space="0" w:color="auto"/>
              <w:bottom w:val="single" w:sz="4" w:space="0" w:color="auto"/>
            </w:tcBorders>
          </w:tcPr>
          <w:p w14:paraId="14D30538" w14:textId="77777777" w:rsidR="0013238B" w:rsidRPr="00885153" w:rsidRDefault="0013238B" w:rsidP="00600EB5">
            <w:pPr>
              <w:spacing w:after="0" w:line="240" w:lineRule="auto"/>
              <w:contextualSpacing/>
              <w:jc w:val="both"/>
              <w:rPr>
                <w:rFonts w:ascii="Arial" w:hAnsi="Arial" w:cs="Arial"/>
                <w:sz w:val="20"/>
                <w:szCs w:val="20"/>
              </w:rPr>
            </w:pPr>
          </w:p>
        </w:tc>
        <w:tc>
          <w:tcPr>
            <w:tcW w:w="1324" w:type="dxa"/>
            <w:tcBorders>
              <w:top w:val="single" w:sz="4" w:space="0" w:color="auto"/>
              <w:bottom w:val="single" w:sz="4" w:space="0" w:color="auto"/>
            </w:tcBorders>
          </w:tcPr>
          <w:p w14:paraId="7E7C0510"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Motivation</w:t>
            </w:r>
          </w:p>
        </w:tc>
        <w:tc>
          <w:tcPr>
            <w:tcW w:w="992" w:type="dxa"/>
            <w:tcBorders>
              <w:top w:val="single" w:sz="4" w:space="0" w:color="auto"/>
              <w:bottom w:val="single" w:sz="4" w:space="0" w:color="auto"/>
            </w:tcBorders>
          </w:tcPr>
          <w:p w14:paraId="76DB4134"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Skills</w:t>
            </w:r>
          </w:p>
        </w:tc>
        <w:tc>
          <w:tcPr>
            <w:tcW w:w="1276" w:type="dxa"/>
            <w:tcBorders>
              <w:top w:val="single" w:sz="4" w:space="0" w:color="auto"/>
              <w:bottom w:val="single" w:sz="4" w:space="0" w:color="auto"/>
            </w:tcBorders>
          </w:tcPr>
          <w:p w14:paraId="5461549C"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Education</w:t>
            </w:r>
          </w:p>
        </w:tc>
        <w:tc>
          <w:tcPr>
            <w:tcW w:w="1715" w:type="dxa"/>
            <w:tcBorders>
              <w:top w:val="single" w:sz="4" w:space="0" w:color="auto"/>
              <w:bottom w:val="single" w:sz="4" w:space="0" w:color="auto"/>
            </w:tcBorders>
          </w:tcPr>
          <w:p w14:paraId="34F7D417"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Readiness</w:t>
            </w:r>
          </w:p>
        </w:tc>
      </w:tr>
      <w:tr w:rsidR="0013238B" w:rsidRPr="00885153" w14:paraId="542FC501" w14:textId="77777777" w:rsidTr="00600EB5">
        <w:tc>
          <w:tcPr>
            <w:tcW w:w="1795" w:type="dxa"/>
            <w:tcBorders>
              <w:top w:val="single" w:sz="4" w:space="0" w:color="auto"/>
            </w:tcBorders>
          </w:tcPr>
          <w:p w14:paraId="15F3F93E"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Motivation</w:t>
            </w:r>
          </w:p>
        </w:tc>
        <w:tc>
          <w:tcPr>
            <w:tcW w:w="1324" w:type="dxa"/>
            <w:tcBorders>
              <w:top w:val="single" w:sz="4" w:space="0" w:color="auto"/>
            </w:tcBorders>
          </w:tcPr>
          <w:p w14:paraId="4BAD868E"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0.812</w:t>
            </w:r>
          </w:p>
        </w:tc>
        <w:tc>
          <w:tcPr>
            <w:tcW w:w="992" w:type="dxa"/>
            <w:tcBorders>
              <w:top w:val="single" w:sz="4" w:space="0" w:color="auto"/>
            </w:tcBorders>
          </w:tcPr>
          <w:p w14:paraId="5B0FD6EB"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0.520</w:t>
            </w:r>
          </w:p>
        </w:tc>
        <w:tc>
          <w:tcPr>
            <w:tcW w:w="1276" w:type="dxa"/>
            <w:tcBorders>
              <w:top w:val="single" w:sz="4" w:space="0" w:color="auto"/>
            </w:tcBorders>
          </w:tcPr>
          <w:p w14:paraId="09B4CD57"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0.630</w:t>
            </w:r>
          </w:p>
        </w:tc>
        <w:tc>
          <w:tcPr>
            <w:tcW w:w="1715" w:type="dxa"/>
            <w:tcBorders>
              <w:top w:val="single" w:sz="4" w:space="0" w:color="auto"/>
            </w:tcBorders>
          </w:tcPr>
          <w:p w14:paraId="78363F85"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0.620</w:t>
            </w:r>
          </w:p>
        </w:tc>
      </w:tr>
      <w:tr w:rsidR="0013238B" w:rsidRPr="00885153" w14:paraId="4A4A3470" w14:textId="77777777" w:rsidTr="00600EB5">
        <w:tc>
          <w:tcPr>
            <w:tcW w:w="1795" w:type="dxa"/>
          </w:tcPr>
          <w:p w14:paraId="47A5A296"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Skills</w:t>
            </w:r>
          </w:p>
        </w:tc>
        <w:tc>
          <w:tcPr>
            <w:tcW w:w="1324" w:type="dxa"/>
          </w:tcPr>
          <w:p w14:paraId="385B2B8F"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0.520</w:t>
            </w:r>
          </w:p>
        </w:tc>
        <w:tc>
          <w:tcPr>
            <w:tcW w:w="992" w:type="dxa"/>
          </w:tcPr>
          <w:p w14:paraId="1CA2E957"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0.829</w:t>
            </w:r>
          </w:p>
        </w:tc>
        <w:tc>
          <w:tcPr>
            <w:tcW w:w="1276" w:type="dxa"/>
          </w:tcPr>
          <w:p w14:paraId="30DE60A9"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0.410</w:t>
            </w:r>
          </w:p>
        </w:tc>
        <w:tc>
          <w:tcPr>
            <w:tcW w:w="1715" w:type="dxa"/>
          </w:tcPr>
          <w:p w14:paraId="5E2EF3C2"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0.450</w:t>
            </w:r>
          </w:p>
        </w:tc>
      </w:tr>
      <w:tr w:rsidR="0013238B" w:rsidRPr="00885153" w14:paraId="22101D7A" w14:textId="77777777" w:rsidTr="00600EB5">
        <w:tc>
          <w:tcPr>
            <w:tcW w:w="1795" w:type="dxa"/>
          </w:tcPr>
          <w:p w14:paraId="1BCA9A29"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Education</w:t>
            </w:r>
          </w:p>
        </w:tc>
        <w:tc>
          <w:tcPr>
            <w:tcW w:w="1324" w:type="dxa"/>
          </w:tcPr>
          <w:p w14:paraId="4688D8D5"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0.630</w:t>
            </w:r>
          </w:p>
        </w:tc>
        <w:tc>
          <w:tcPr>
            <w:tcW w:w="992" w:type="dxa"/>
          </w:tcPr>
          <w:p w14:paraId="0AF3373A"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0.410</w:t>
            </w:r>
          </w:p>
        </w:tc>
        <w:tc>
          <w:tcPr>
            <w:tcW w:w="1276" w:type="dxa"/>
          </w:tcPr>
          <w:p w14:paraId="2F9A695D"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0.786</w:t>
            </w:r>
          </w:p>
        </w:tc>
        <w:tc>
          <w:tcPr>
            <w:tcW w:w="1715" w:type="dxa"/>
          </w:tcPr>
          <w:p w14:paraId="51C8DE97"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0.460</w:t>
            </w:r>
          </w:p>
        </w:tc>
      </w:tr>
      <w:tr w:rsidR="0013238B" w:rsidRPr="00885153" w14:paraId="41F49310" w14:textId="77777777" w:rsidTr="00600EB5">
        <w:tc>
          <w:tcPr>
            <w:tcW w:w="1795" w:type="dxa"/>
            <w:tcBorders>
              <w:bottom w:val="single" w:sz="4" w:space="0" w:color="auto"/>
            </w:tcBorders>
          </w:tcPr>
          <w:p w14:paraId="5F4783E5"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Readiness</w:t>
            </w:r>
          </w:p>
        </w:tc>
        <w:tc>
          <w:tcPr>
            <w:tcW w:w="1324" w:type="dxa"/>
            <w:tcBorders>
              <w:bottom w:val="single" w:sz="4" w:space="0" w:color="auto"/>
            </w:tcBorders>
          </w:tcPr>
          <w:p w14:paraId="559BD955"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0.620</w:t>
            </w:r>
          </w:p>
        </w:tc>
        <w:tc>
          <w:tcPr>
            <w:tcW w:w="992" w:type="dxa"/>
            <w:tcBorders>
              <w:bottom w:val="single" w:sz="4" w:space="0" w:color="auto"/>
            </w:tcBorders>
          </w:tcPr>
          <w:p w14:paraId="56ED765B"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0.450</w:t>
            </w:r>
          </w:p>
        </w:tc>
        <w:tc>
          <w:tcPr>
            <w:tcW w:w="1276" w:type="dxa"/>
            <w:tcBorders>
              <w:bottom w:val="single" w:sz="4" w:space="0" w:color="auto"/>
            </w:tcBorders>
          </w:tcPr>
          <w:p w14:paraId="6EE27126"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0.460</w:t>
            </w:r>
          </w:p>
        </w:tc>
        <w:tc>
          <w:tcPr>
            <w:tcW w:w="1715" w:type="dxa"/>
            <w:tcBorders>
              <w:bottom w:val="single" w:sz="4" w:space="0" w:color="auto"/>
            </w:tcBorders>
          </w:tcPr>
          <w:p w14:paraId="001BB4D2"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0.784</w:t>
            </w:r>
          </w:p>
        </w:tc>
      </w:tr>
    </w:tbl>
    <w:p w14:paraId="5EBA9E2F" w14:textId="77777777" w:rsidR="0013238B" w:rsidRPr="00885153" w:rsidRDefault="0013238B" w:rsidP="0013238B">
      <w:pPr>
        <w:spacing w:after="0" w:line="240" w:lineRule="auto"/>
        <w:ind w:left="720"/>
        <w:contextualSpacing/>
        <w:jc w:val="both"/>
        <w:rPr>
          <w:rFonts w:ascii="Arial" w:hAnsi="Arial" w:cs="Arial"/>
          <w:sz w:val="20"/>
          <w:szCs w:val="20"/>
        </w:rPr>
      </w:pPr>
      <w:r w:rsidRPr="00885153">
        <w:rPr>
          <w:rFonts w:ascii="Arial" w:hAnsi="Arial" w:cs="Arial"/>
          <w:sz w:val="20"/>
          <w:szCs w:val="20"/>
        </w:rPr>
        <w:t>Source: Research Data Analysis, 2025 (CVA/AMOS).</w:t>
      </w:r>
    </w:p>
    <w:p w14:paraId="38536357"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Table 4 demonstrates that each diagonal element (√AVE) exceeds the equivalent off-diagonal correlations, signifying that each construct possesses larger variance with its own indicators than with those of other constructs. The highest inter-construct correlation (0.630) is below the lowest √AVE among the constructs (0.784), hence affirming discriminant validity according to the Fornell–Larcker criterion.</w:t>
      </w:r>
    </w:p>
    <w:p w14:paraId="7216DA84" w14:textId="77777777" w:rsidR="0013238B" w:rsidRPr="00885153" w:rsidRDefault="0013238B" w:rsidP="0013238B">
      <w:pPr>
        <w:spacing w:after="0" w:line="240" w:lineRule="auto"/>
        <w:ind w:left="720"/>
        <w:contextualSpacing/>
        <w:jc w:val="both"/>
        <w:rPr>
          <w:rFonts w:ascii="Arial" w:hAnsi="Arial" w:cs="Arial"/>
          <w:bCs/>
          <w:sz w:val="20"/>
          <w:szCs w:val="20"/>
        </w:rPr>
      </w:pPr>
      <w:r w:rsidRPr="00885153">
        <w:rPr>
          <w:rFonts w:ascii="Arial" w:hAnsi="Arial" w:cs="Arial"/>
          <w:bCs/>
          <w:sz w:val="20"/>
          <w:szCs w:val="20"/>
        </w:rPr>
        <w:t>Table 5. MSV/ASV Assessment</w:t>
      </w:r>
    </w:p>
    <w:tbl>
      <w:tblPr>
        <w:tblW w:w="7529" w:type="dxa"/>
        <w:tblInd w:w="720" w:type="dxa"/>
        <w:tblLook w:val="04A0" w:firstRow="1" w:lastRow="0" w:firstColumn="1" w:lastColumn="0" w:noHBand="0" w:noVBand="1"/>
      </w:tblPr>
      <w:tblGrid>
        <w:gridCol w:w="2660"/>
        <w:gridCol w:w="1134"/>
        <w:gridCol w:w="1134"/>
        <w:gridCol w:w="873"/>
        <w:gridCol w:w="1728"/>
      </w:tblGrid>
      <w:tr w:rsidR="0013238B" w:rsidRPr="00885153" w14:paraId="2A0D4EFF" w14:textId="77777777" w:rsidTr="00600EB5">
        <w:tc>
          <w:tcPr>
            <w:tcW w:w="2660" w:type="dxa"/>
            <w:tcBorders>
              <w:top w:val="single" w:sz="4" w:space="0" w:color="auto"/>
              <w:bottom w:val="single" w:sz="4" w:space="0" w:color="auto"/>
            </w:tcBorders>
          </w:tcPr>
          <w:p w14:paraId="71C9F8F4"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Latent Variables</w:t>
            </w:r>
          </w:p>
        </w:tc>
        <w:tc>
          <w:tcPr>
            <w:tcW w:w="1134" w:type="dxa"/>
            <w:tcBorders>
              <w:top w:val="single" w:sz="4" w:space="0" w:color="auto"/>
              <w:bottom w:val="single" w:sz="4" w:space="0" w:color="auto"/>
            </w:tcBorders>
          </w:tcPr>
          <w:p w14:paraId="6C60A458"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AVE</w:t>
            </w:r>
          </w:p>
        </w:tc>
        <w:tc>
          <w:tcPr>
            <w:tcW w:w="1134" w:type="dxa"/>
            <w:tcBorders>
              <w:top w:val="single" w:sz="4" w:space="0" w:color="auto"/>
              <w:bottom w:val="single" w:sz="4" w:space="0" w:color="auto"/>
            </w:tcBorders>
          </w:tcPr>
          <w:p w14:paraId="528DBFF9"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MSV</w:t>
            </w:r>
          </w:p>
        </w:tc>
        <w:tc>
          <w:tcPr>
            <w:tcW w:w="873" w:type="dxa"/>
            <w:tcBorders>
              <w:top w:val="single" w:sz="4" w:space="0" w:color="auto"/>
              <w:bottom w:val="single" w:sz="4" w:space="0" w:color="auto"/>
            </w:tcBorders>
          </w:tcPr>
          <w:p w14:paraId="230AA4FA"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ASV</w:t>
            </w:r>
          </w:p>
        </w:tc>
        <w:tc>
          <w:tcPr>
            <w:tcW w:w="1728" w:type="dxa"/>
            <w:tcBorders>
              <w:top w:val="single" w:sz="4" w:space="0" w:color="auto"/>
              <w:bottom w:val="single" w:sz="4" w:space="0" w:color="auto"/>
            </w:tcBorders>
          </w:tcPr>
          <w:p w14:paraId="6A67C569"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AVE &gt; MSV?</w:t>
            </w:r>
          </w:p>
        </w:tc>
      </w:tr>
      <w:tr w:rsidR="0013238B" w:rsidRPr="00885153" w14:paraId="44FD6956" w14:textId="77777777" w:rsidTr="00600EB5">
        <w:tc>
          <w:tcPr>
            <w:tcW w:w="2660" w:type="dxa"/>
            <w:tcBorders>
              <w:top w:val="single" w:sz="4" w:space="0" w:color="auto"/>
            </w:tcBorders>
          </w:tcPr>
          <w:p w14:paraId="5B9C5E28"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Community Motivation</w:t>
            </w:r>
          </w:p>
        </w:tc>
        <w:tc>
          <w:tcPr>
            <w:tcW w:w="1134" w:type="dxa"/>
            <w:tcBorders>
              <w:top w:val="single" w:sz="4" w:space="0" w:color="auto"/>
            </w:tcBorders>
          </w:tcPr>
          <w:p w14:paraId="18D5165A"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0.659</w:t>
            </w:r>
          </w:p>
        </w:tc>
        <w:tc>
          <w:tcPr>
            <w:tcW w:w="1134" w:type="dxa"/>
            <w:tcBorders>
              <w:top w:val="single" w:sz="4" w:space="0" w:color="auto"/>
            </w:tcBorders>
          </w:tcPr>
          <w:p w14:paraId="41C72ACD"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0.397</w:t>
            </w:r>
          </w:p>
        </w:tc>
        <w:tc>
          <w:tcPr>
            <w:tcW w:w="873" w:type="dxa"/>
            <w:tcBorders>
              <w:top w:val="single" w:sz="4" w:space="0" w:color="auto"/>
            </w:tcBorders>
          </w:tcPr>
          <w:p w14:paraId="10C1C57B"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0.351</w:t>
            </w:r>
          </w:p>
        </w:tc>
        <w:tc>
          <w:tcPr>
            <w:tcW w:w="1728" w:type="dxa"/>
            <w:tcBorders>
              <w:top w:val="single" w:sz="4" w:space="0" w:color="auto"/>
            </w:tcBorders>
          </w:tcPr>
          <w:p w14:paraId="74C1AC57"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Yes</w:t>
            </w:r>
          </w:p>
        </w:tc>
      </w:tr>
      <w:tr w:rsidR="0013238B" w:rsidRPr="00885153" w14:paraId="737151AC" w14:textId="77777777" w:rsidTr="00600EB5">
        <w:tc>
          <w:tcPr>
            <w:tcW w:w="2660" w:type="dxa"/>
          </w:tcPr>
          <w:p w14:paraId="48BED917"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Community Skills</w:t>
            </w:r>
          </w:p>
        </w:tc>
        <w:tc>
          <w:tcPr>
            <w:tcW w:w="1134" w:type="dxa"/>
          </w:tcPr>
          <w:p w14:paraId="5C9B20D2"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0.688</w:t>
            </w:r>
          </w:p>
        </w:tc>
        <w:tc>
          <w:tcPr>
            <w:tcW w:w="1134" w:type="dxa"/>
          </w:tcPr>
          <w:p w14:paraId="4646ED7C"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0.270</w:t>
            </w:r>
          </w:p>
        </w:tc>
        <w:tc>
          <w:tcPr>
            <w:tcW w:w="873" w:type="dxa"/>
          </w:tcPr>
          <w:p w14:paraId="2A1175AE"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0.214</w:t>
            </w:r>
          </w:p>
        </w:tc>
        <w:tc>
          <w:tcPr>
            <w:tcW w:w="1728" w:type="dxa"/>
          </w:tcPr>
          <w:p w14:paraId="7ADC608F"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Yes</w:t>
            </w:r>
          </w:p>
        </w:tc>
      </w:tr>
      <w:tr w:rsidR="0013238B" w:rsidRPr="00885153" w14:paraId="3C6FD247" w14:textId="77777777" w:rsidTr="00600EB5">
        <w:tc>
          <w:tcPr>
            <w:tcW w:w="2660" w:type="dxa"/>
          </w:tcPr>
          <w:p w14:paraId="5D5719E9"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Community Education</w:t>
            </w:r>
          </w:p>
        </w:tc>
        <w:tc>
          <w:tcPr>
            <w:tcW w:w="1134" w:type="dxa"/>
          </w:tcPr>
          <w:p w14:paraId="7189E52B"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0.618</w:t>
            </w:r>
          </w:p>
        </w:tc>
        <w:tc>
          <w:tcPr>
            <w:tcW w:w="1134" w:type="dxa"/>
          </w:tcPr>
          <w:p w14:paraId="5229A78B"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0.397</w:t>
            </w:r>
          </w:p>
        </w:tc>
        <w:tc>
          <w:tcPr>
            <w:tcW w:w="873" w:type="dxa"/>
          </w:tcPr>
          <w:p w14:paraId="230D6254"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0.259</w:t>
            </w:r>
          </w:p>
        </w:tc>
        <w:tc>
          <w:tcPr>
            <w:tcW w:w="1728" w:type="dxa"/>
          </w:tcPr>
          <w:p w14:paraId="5381FA65"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Yes</w:t>
            </w:r>
          </w:p>
        </w:tc>
      </w:tr>
      <w:tr w:rsidR="0013238B" w:rsidRPr="00885153" w14:paraId="21423B40" w14:textId="77777777" w:rsidTr="00600EB5">
        <w:tc>
          <w:tcPr>
            <w:tcW w:w="2660" w:type="dxa"/>
            <w:tcBorders>
              <w:bottom w:val="single" w:sz="4" w:space="0" w:color="auto"/>
            </w:tcBorders>
          </w:tcPr>
          <w:p w14:paraId="28E2C29D" w14:textId="77777777" w:rsidR="0013238B" w:rsidRPr="00885153" w:rsidRDefault="0013238B" w:rsidP="00600EB5">
            <w:pPr>
              <w:spacing w:after="0" w:line="240" w:lineRule="auto"/>
              <w:contextualSpacing/>
              <w:jc w:val="both"/>
              <w:rPr>
                <w:rFonts w:ascii="Arial" w:hAnsi="Arial" w:cs="Arial"/>
                <w:sz w:val="20"/>
                <w:szCs w:val="20"/>
              </w:rPr>
            </w:pPr>
            <w:r w:rsidRPr="00885153">
              <w:rPr>
                <w:rFonts w:ascii="Arial" w:hAnsi="Arial" w:cs="Arial"/>
                <w:sz w:val="20"/>
                <w:szCs w:val="20"/>
              </w:rPr>
              <w:t>Community Readiness</w:t>
            </w:r>
          </w:p>
        </w:tc>
        <w:tc>
          <w:tcPr>
            <w:tcW w:w="1134" w:type="dxa"/>
            <w:tcBorders>
              <w:bottom w:val="single" w:sz="4" w:space="0" w:color="auto"/>
            </w:tcBorders>
          </w:tcPr>
          <w:p w14:paraId="1E50CC31"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0.615</w:t>
            </w:r>
          </w:p>
        </w:tc>
        <w:tc>
          <w:tcPr>
            <w:tcW w:w="1134" w:type="dxa"/>
            <w:tcBorders>
              <w:bottom w:val="single" w:sz="4" w:space="0" w:color="auto"/>
            </w:tcBorders>
          </w:tcPr>
          <w:p w14:paraId="1CB62E66"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0.384</w:t>
            </w:r>
          </w:p>
        </w:tc>
        <w:tc>
          <w:tcPr>
            <w:tcW w:w="873" w:type="dxa"/>
            <w:tcBorders>
              <w:bottom w:val="single" w:sz="4" w:space="0" w:color="auto"/>
            </w:tcBorders>
          </w:tcPr>
          <w:p w14:paraId="141EB42F"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0.266</w:t>
            </w:r>
          </w:p>
        </w:tc>
        <w:tc>
          <w:tcPr>
            <w:tcW w:w="1728" w:type="dxa"/>
            <w:tcBorders>
              <w:bottom w:val="single" w:sz="4" w:space="0" w:color="auto"/>
            </w:tcBorders>
          </w:tcPr>
          <w:p w14:paraId="78F31A3B" w14:textId="77777777" w:rsidR="0013238B" w:rsidRPr="00885153" w:rsidRDefault="0013238B" w:rsidP="00600EB5">
            <w:pPr>
              <w:spacing w:after="0" w:line="240" w:lineRule="auto"/>
              <w:contextualSpacing/>
              <w:jc w:val="center"/>
              <w:rPr>
                <w:rFonts w:ascii="Arial" w:hAnsi="Arial" w:cs="Arial"/>
                <w:sz w:val="20"/>
                <w:szCs w:val="20"/>
              </w:rPr>
            </w:pPr>
            <w:r w:rsidRPr="00885153">
              <w:rPr>
                <w:rFonts w:ascii="Arial" w:hAnsi="Arial" w:cs="Arial"/>
                <w:sz w:val="20"/>
                <w:szCs w:val="20"/>
              </w:rPr>
              <w:t>Yes</w:t>
            </w:r>
          </w:p>
        </w:tc>
      </w:tr>
    </w:tbl>
    <w:p w14:paraId="04E7DCCC"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Source: Research Data Analysis, 2025 (CVA/AMOS).</w:t>
      </w:r>
    </w:p>
    <w:p w14:paraId="4E0E29B8" w14:textId="77777777" w:rsidR="0013238B" w:rsidRPr="00885153" w:rsidRDefault="0013238B" w:rsidP="0013238B">
      <w:pPr>
        <w:spacing w:after="0" w:line="240" w:lineRule="auto"/>
        <w:ind w:left="720"/>
        <w:contextualSpacing/>
        <w:jc w:val="both"/>
        <w:rPr>
          <w:rFonts w:ascii="Arial" w:hAnsi="Arial" w:cs="Arial"/>
          <w:sz w:val="20"/>
          <w:szCs w:val="20"/>
        </w:rPr>
      </w:pPr>
      <w:r w:rsidRPr="00885153">
        <w:rPr>
          <w:rFonts w:ascii="Arial" w:hAnsi="Arial" w:cs="Arial"/>
          <w:sz w:val="20"/>
          <w:szCs w:val="20"/>
        </w:rPr>
        <w:lastRenderedPageBreak/>
        <w:t xml:space="preserve">Note: If additional robustness is required, discriminant validity may also be assessed using the </w:t>
      </w:r>
      <w:proofErr w:type="spellStart"/>
      <w:r w:rsidRPr="00885153">
        <w:rPr>
          <w:rFonts w:ascii="Arial" w:hAnsi="Arial" w:cs="Arial"/>
          <w:sz w:val="20"/>
          <w:szCs w:val="20"/>
        </w:rPr>
        <w:t>Heterotrait</w:t>
      </w:r>
      <w:proofErr w:type="spellEnd"/>
      <w:r w:rsidRPr="00885153">
        <w:rPr>
          <w:rFonts w:ascii="Arial" w:hAnsi="Arial" w:cs="Arial"/>
          <w:sz w:val="20"/>
          <w:szCs w:val="20"/>
        </w:rPr>
        <w:t>–</w:t>
      </w:r>
      <w:proofErr w:type="spellStart"/>
      <w:r w:rsidRPr="00885153">
        <w:rPr>
          <w:rFonts w:ascii="Arial" w:hAnsi="Arial" w:cs="Arial"/>
          <w:sz w:val="20"/>
          <w:szCs w:val="20"/>
        </w:rPr>
        <w:t>Monotrait</w:t>
      </w:r>
      <w:proofErr w:type="spellEnd"/>
      <w:r w:rsidRPr="00885153">
        <w:rPr>
          <w:rFonts w:ascii="Arial" w:hAnsi="Arial" w:cs="Arial"/>
          <w:sz w:val="20"/>
          <w:szCs w:val="20"/>
        </w:rPr>
        <w:t xml:space="preserve"> ratio (HTMT). HTMT computation requires the indicator-level correlation matrix (raw data).</w:t>
      </w:r>
    </w:p>
    <w:p w14:paraId="106346BF" w14:textId="77777777" w:rsidR="0013238B" w:rsidRPr="00885153" w:rsidRDefault="0013238B" w:rsidP="0013238B">
      <w:pPr>
        <w:spacing w:after="0" w:line="240" w:lineRule="auto"/>
        <w:ind w:firstLine="720"/>
        <w:contextualSpacing/>
        <w:jc w:val="both"/>
        <w:rPr>
          <w:rFonts w:ascii="Arial" w:hAnsi="Arial" w:cs="Arial"/>
          <w:sz w:val="20"/>
          <w:szCs w:val="20"/>
        </w:rPr>
      </w:pPr>
    </w:p>
    <w:p w14:paraId="4B9DCB21"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In accordance with the Fornell–Larcker findings, Table 5 demonstrates that the Average variation Extracted (AVE) surpasses the Maximum Shared Variance (MSV) for all constructs, further substantiating that the shared variation with other constructs does not overshadow the variance represented by the indicators of each construct. The measuring model exhibits satisfactory discriminant validity. </w:t>
      </w:r>
    </w:p>
    <w:p w14:paraId="7F867E3C" w14:textId="77777777" w:rsidR="0013238B" w:rsidRPr="00885153" w:rsidRDefault="0013238B" w:rsidP="0013238B">
      <w:pPr>
        <w:spacing w:after="0" w:line="240" w:lineRule="auto"/>
        <w:ind w:firstLine="720"/>
        <w:contextualSpacing/>
        <w:jc w:val="both"/>
        <w:rPr>
          <w:rFonts w:ascii="Arial" w:hAnsi="Arial" w:cs="Arial"/>
          <w:sz w:val="20"/>
          <w:szCs w:val="20"/>
        </w:rPr>
      </w:pPr>
    </w:p>
    <w:p w14:paraId="488A6BBD" w14:textId="1E6B1D28" w:rsidR="0013238B" w:rsidRPr="00885153" w:rsidRDefault="0013238B" w:rsidP="0013238B">
      <w:pPr>
        <w:pStyle w:val="ListParagraph"/>
        <w:numPr>
          <w:ilvl w:val="0"/>
          <w:numId w:val="18"/>
        </w:numPr>
        <w:spacing w:before="120" w:after="0" w:line="240" w:lineRule="auto"/>
        <w:ind w:left="493" w:hanging="493"/>
        <w:jc w:val="both"/>
        <w:rPr>
          <w:rFonts w:ascii="Arial" w:hAnsi="Arial" w:cs="Arial"/>
          <w:b/>
          <w:bCs/>
          <w:sz w:val="20"/>
          <w:szCs w:val="20"/>
        </w:rPr>
      </w:pPr>
      <w:r w:rsidRPr="00885153">
        <w:rPr>
          <w:rFonts w:ascii="Arial" w:hAnsi="Arial" w:cs="Arial"/>
          <w:b/>
          <w:bCs/>
          <w:sz w:val="20"/>
          <w:szCs w:val="20"/>
        </w:rPr>
        <w:t>Structural Model Assessment</w:t>
      </w:r>
    </w:p>
    <w:p w14:paraId="0154079B" w14:textId="43725F55"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Figure 2 illustrates the </w:t>
      </w:r>
      <w:r w:rsidR="00F25C56">
        <w:rPr>
          <w:rFonts w:ascii="Arial" w:hAnsi="Arial" w:cs="Arial"/>
          <w:sz w:val="20"/>
          <w:szCs w:val="20"/>
        </w:rPr>
        <w:t xml:space="preserve">final structural model delineating the impacts of Community Motivation, Community Skills, and Community Education on Community Readiness within </w:t>
      </w:r>
      <w:r w:rsidRPr="00885153">
        <w:rPr>
          <w:rFonts w:ascii="Arial" w:hAnsi="Arial" w:cs="Arial"/>
          <w:sz w:val="20"/>
          <w:szCs w:val="20"/>
        </w:rPr>
        <w:t xml:space="preserve">the IKN core government region. Model refinement adhered to </w:t>
      </w:r>
      <w:r w:rsidR="00F25C56">
        <w:rPr>
          <w:rFonts w:ascii="Arial" w:hAnsi="Arial" w:cs="Arial"/>
          <w:sz w:val="20"/>
          <w:szCs w:val="20"/>
        </w:rPr>
        <w:t>the conventional CB-SEM methodology, in which</w:t>
      </w:r>
      <w:r w:rsidRPr="00885153">
        <w:rPr>
          <w:rFonts w:ascii="Arial" w:hAnsi="Arial" w:cs="Arial"/>
          <w:sz w:val="20"/>
          <w:szCs w:val="20"/>
        </w:rPr>
        <w:t xml:space="preserve"> theoretically justified alterations, such as specific error covariances indicated by modification indices, were assessed to enhance model fit.</w:t>
      </w:r>
    </w:p>
    <w:p w14:paraId="0FB485E6" w14:textId="77777777" w:rsidR="0013238B" w:rsidRPr="00885153" w:rsidRDefault="0013238B" w:rsidP="0013238B">
      <w:pPr>
        <w:spacing w:after="0" w:line="240" w:lineRule="auto"/>
        <w:contextualSpacing/>
        <w:rPr>
          <w:rFonts w:ascii="Arial" w:hAnsi="Arial" w:cs="Arial"/>
          <w:sz w:val="20"/>
          <w:szCs w:val="20"/>
        </w:rPr>
      </w:pPr>
    </w:p>
    <w:p w14:paraId="1B819210" w14:textId="77777777" w:rsidR="0013238B" w:rsidRPr="00885153" w:rsidRDefault="0013238B" w:rsidP="0013238B">
      <w:pPr>
        <w:spacing w:after="0" w:line="240" w:lineRule="auto"/>
        <w:contextualSpacing/>
        <w:rPr>
          <w:rFonts w:ascii="Arial" w:hAnsi="Arial" w:cs="Arial"/>
          <w:sz w:val="20"/>
          <w:szCs w:val="20"/>
        </w:rPr>
      </w:pPr>
      <w:r w:rsidRPr="00885153">
        <w:rPr>
          <w:rFonts w:ascii="Arial" w:hAnsi="Arial" w:cs="Arial"/>
          <w:noProof/>
          <w:sz w:val="20"/>
          <w:szCs w:val="20"/>
        </w:rPr>
        <w:drawing>
          <wp:inline distT="0" distB="0" distL="0" distR="0" wp14:anchorId="35784E31" wp14:editId="635C6FD0">
            <wp:extent cx="5943600" cy="4606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zky Artikel model modifikasi final.jpg"/>
                    <pic:cNvPicPr/>
                  </pic:nvPicPr>
                  <pic:blipFill>
                    <a:blip r:embed="rId9"/>
                    <a:stretch>
                      <a:fillRect/>
                    </a:stretch>
                  </pic:blipFill>
                  <pic:spPr>
                    <a:xfrm>
                      <a:off x="0" y="0"/>
                      <a:ext cx="5943600" cy="4606111"/>
                    </a:xfrm>
                    <a:prstGeom prst="rect">
                      <a:avLst/>
                    </a:prstGeom>
                  </pic:spPr>
                </pic:pic>
              </a:graphicData>
            </a:graphic>
          </wp:inline>
        </w:drawing>
      </w:r>
    </w:p>
    <w:p w14:paraId="54CD360F" w14:textId="77777777" w:rsidR="0013238B" w:rsidRPr="00885153" w:rsidRDefault="0013238B" w:rsidP="0013238B">
      <w:pPr>
        <w:spacing w:after="0" w:line="240" w:lineRule="auto"/>
        <w:contextualSpacing/>
        <w:jc w:val="center"/>
        <w:rPr>
          <w:rFonts w:ascii="Arial" w:hAnsi="Arial" w:cs="Arial"/>
          <w:sz w:val="20"/>
          <w:szCs w:val="20"/>
        </w:rPr>
      </w:pPr>
      <w:r w:rsidRPr="00885153">
        <w:rPr>
          <w:rFonts w:ascii="Arial" w:hAnsi="Arial" w:cs="Arial"/>
          <w:sz w:val="20"/>
          <w:szCs w:val="20"/>
        </w:rPr>
        <w:t>Fig. 2. Final structural model of community readiness (AMOS output).</w:t>
      </w:r>
    </w:p>
    <w:p w14:paraId="5F9FAF28" w14:textId="77777777" w:rsidR="0013238B" w:rsidRPr="00885153" w:rsidRDefault="0013238B" w:rsidP="0013238B">
      <w:pPr>
        <w:spacing w:after="0" w:line="240" w:lineRule="auto"/>
        <w:contextualSpacing/>
        <w:jc w:val="center"/>
        <w:rPr>
          <w:rFonts w:ascii="Arial" w:hAnsi="Arial" w:cs="Arial"/>
          <w:sz w:val="20"/>
          <w:szCs w:val="20"/>
        </w:rPr>
      </w:pPr>
    </w:p>
    <w:p w14:paraId="0C0F81A1" w14:textId="67DB0E20" w:rsidR="0013238B" w:rsidRDefault="0013238B" w:rsidP="0013238B">
      <w:pPr>
        <w:spacing w:after="0" w:line="240" w:lineRule="auto"/>
        <w:contextualSpacing/>
        <w:jc w:val="center"/>
        <w:rPr>
          <w:rFonts w:ascii="Arial" w:hAnsi="Arial" w:cs="Arial"/>
          <w:sz w:val="20"/>
          <w:szCs w:val="20"/>
        </w:rPr>
      </w:pPr>
    </w:p>
    <w:p w14:paraId="59B9C8F3" w14:textId="330D7DA9" w:rsidR="0013238B" w:rsidRDefault="0013238B" w:rsidP="0013238B">
      <w:pPr>
        <w:spacing w:after="0" w:line="240" w:lineRule="auto"/>
        <w:contextualSpacing/>
        <w:jc w:val="center"/>
        <w:rPr>
          <w:rFonts w:ascii="Arial" w:hAnsi="Arial" w:cs="Arial"/>
          <w:sz w:val="20"/>
          <w:szCs w:val="20"/>
        </w:rPr>
      </w:pPr>
    </w:p>
    <w:p w14:paraId="653298AD" w14:textId="77777777" w:rsidR="0013238B" w:rsidRPr="00885153" w:rsidRDefault="0013238B" w:rsidP="0013238B">
      <w:pPr>
        <w:pStyle w:val="ListParagraph"/>
        <w:numPr>
          <w:ilvl w:val="0"/>
          <w:numId w:val="18"/>
        </w:numPr>
        <w:spacing w:before="120" w:after="120" w:line="240" w:lineRule="auto"/>
        <w:ind w:left="493" w:hanging="493"/>
        <w:contextualSpacing w:val="0"/>
        <w:jc w:val="both"/>
        <w:rPr>
          <w:rFonts w:ascii="Arial" w:hAnsi="Arial" w:cs="Arial"/>
          <w:b/>
          <w:bCs/>
          <w:sz w:val="20"/>
          <w:szCs w:val="20"/>
        </w:rPr>
      </w:pPr>
      <w:r w:rsidRPr="00885153">
        <w:rPr>
          <w:rFonts w:ascii="Arial" w:hAnsi="Arial" w:cs="Arial"/>
          <w:b/>
          <w:bCs/>
          <w:sz w:val="20"/>
          <w:szCs w:val="20"/>
        </w:rPr>
        <w:t>Fit of the Overall Structural Model</w:t>
      </w:r>
    </w:p>
    <w:p w14:paraId="61180CD9" w14:textId="77777777" w:rsidR="0013238B"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The structural model exhibits a robust global fit (χ² = 59.770, df = 54, p = 0.274), with CMIN/DF = 1.107 and RMSEA = 0.018, signifying a close fit. The incremental and absolute fit indices above traditional </w:t>
      </w:r>
      <w:r w:rsidRPr="00885153">
        <w:rPr>
          <w:rFonts w:ascii="Arial" w:hAnsi="Arial" w:cs="Arial"/>
          <w:sz w:val="20"/>
          <w:szCs w:val="20"/>
        </w:rPr>
        <w:lastRenderedPageBreak/>
        <w:t>thresholds (GFI = 0.975; AGFI = 0.952; NFI = 0.936; IFI = 0.993; TLI = 0.988; CFI = 0.993), hence affirming the model's suitability for structural interpretation.</w:t>
      </w:r>
    </w:p>
    <w:p w14:paraId="44376AD0" w14:textId="77777777" w:rsidR="007C45BE" w:rsidRPr="00885153" w:rsidRDefault="007C45BE" w:rsidP="0013238B">
      <w:pPr>
        <w:spacing w:after="0" w:line="240" w:lineRule="auto"/>
        <w:ind w:firstLine="720"/>
        <w:contextualSpacing/>
        <w:jc w:val="both"/>
        <w:rPr>
          <w:rFonts w:ascii="Arial" w:hAnsi="Arial" w:cs="Arial"/>
          <w:sz w:val="20"/>
          <w:szCs w:val="20"/>
        </w:rPr>
      </w:pPr>
    </w:p>
    <w:p w14:paraId="72B1BF2A" w14:textId="77777777" w:rsidR="0013238B" w:rsidRPr="00885153" w:rsidRDefault="0013238B" w:rsidP="0013238B">
      <w:pPr>
        <w:spacing w:after="0" w:line="240" w:lineRule="auto"/>
        <w:contextualSpacing/>
        <w:rPr>
          <w:rFonts w:ascii="Arial" w:hAnsi="Arial" w:cs="Arial"/>
          <w:sz w:val="20"/>
          <w:szCs w:val="20"/>
        </w:rPr>
      </w:pPr>
      <w:r w:rsidRPr="00885153">
        <w:rPr>
          <w:rFonts w:ascii="Arial" w:hAnsi="Arial" w:cs="Arial"/>
          <w:sz w:val="20"/>
          <w:szCs w:val="20"/>
        </w:rPr>
        <w:t>Table 6 summarizes the structural model goodness-of-fit statistics against commonly used cut-off values.</w:t>
      </w:r>
    </w:p>
    <w:tbl>
      <w:tblPr>
        <w:tblStyle w:val="TableGrid"/>
        <w:tblW w:w="0" w:type="auto"/>
        <w:tblInd w:w="42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2977"/>
      </w:tblGrid>
      <w:tr w:rsidR="0013238B" w:rsidRPr="00885153" w14:paraId="7B48370A" w14:textId="77777777" w:rsidTr="00600EB5">
        <w:tc>
          <w:tcPr>
            <w:tcW w:w="2694" w:type="dxa"/>
            <w:tcBorders>
              <w:top w:val="single" w:sz="4" w:space="0" w:color="auto"/>
              <w:bottom w:val="single" w:sz="4" w:space="0" w:color="auto"/>
            </w:tcBorders>
          </w:tcPr>
          <w:p w14:paraId="27FFA266" w14:textId="77777777" w:rsidR="0013238B" w:rsidRPr="00885153" w:rsidRDefault="0013238B" w:rsidP="0013238B">
            <w:pPr>
              <w:spacing w:after="0" w:line="240" w:lineRule="auto"/>
              <w:rPr>
                <w:rFonts w:ascii="Arial" w:hAnsi="Arial" w:cs="Arial"/>
                <w:sz w:val="20"/>
                <w:szCs w:val="20"/>
              </w:rPr>
            </w:pPr>
            <w:r w:rsidRPr="00885153">
              <w:rPr>
                <w:rFonts w:ascii="Arial" w:hAnsi="Arial" w:cs="Arial"/>
                <w:b/>
                <w:sz w:val="20"/>
                <w:szCs w:val="20"/>
              </w:rPr>
              <w:t>Fit Index</w:t>
            </w:r>
          </w:p>
        </w:tc>
        <w:tc>
          <w:tcPr>
            <w:tcW w:w="2126" w:type="dxa"/>
            <w:tcBorders>
              <w:top w:val="single" w:sz="4" w:space="0" w:color="auto"/>
              <w:bottom w:val="single" w:sz="4" w:space="0" w:color="auto"/>
            </w:tcBorders>
          </w:tcPr>
          <w:p w14:paraId="1505EB83"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b/>
                <w:sz w:val="20"/>
                <w:szCs w:val="20"/>
              </w:rPr>
              <w:t>Model Value</w:t>
            </w:r>
          </w:p>
        </w:tc>
        <w:tc>
          <w:tcPr>
            <w:tcW w:w="2977" w:type="dxa"/>
            <w:tcBorders>
              <w:top w:val="single" w:sz="4" w:space="0" w:color="auto"/>
              <w:bottom w:val="single" w:sz="4" w:space="0" w:color="auto"/>
            </w:tcBorders>
          </w:tcPr>
          <w:p w14:paraId="1F28CCD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b/>
                <w:sz w:val="20"/>
                <w:szCs w:val="20"/>
              </w:rPr>
              <w:t>Recommended Cut-off (Acceptable)</w:t>
            </w:r>
          </w:p>
        </w:tc>
      </w:tr>
      <w:tr w:rsidR="0013238B" w:rsidRPr="00885153" w14:paraId="6B0DA6C6" w14:textId="77777777" w:rsidTr="00600EB5">
        <w:tc>
          <w:tcPr>
            <w:tcW w:w="2694" w:type="dxa"/>
            <w:tcBorders>
              <w:top w:val="single" w:sz="4" w:space="0" w:color="auto"/>
            </w:tcBorders>
          </w:tcPr>
          <w:p w14:paraId="1C74650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Chi-square (χ²)</w:t>
            </w:r>
          </w:p>
        </w:tc>
        <w:tc>
          <w:tcPr>
            <w:tcW w:w="2126" w:type="dxa"/>
            <w:tcBorders>
              <w:top w:val="single" w:sz="4" w:space="0" w:color="auto"/>
            </w:tcBorders>
          </w:tcPr>
          <w:p w14:paraId="3854BB0C"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59.770</w:t>
            </w:r>
          </w:p>
        </w:tc>
        <w:tc>
          <w:tcPr>
            <w:tcW w:w="2977" w:type="dxa"/>
            <w:tcBorders>
              <w:top w:val="single" w:sz="4" w:space="0" w:color="auto"/>
            </w:tcBorders>
          </w:tcPr>
          <w:p w14:paraId="25989EB7"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Lower is better; non-significant preferred</w:t>
            </w:r>
          </w:p>
        </w:tc>
      </w:tr>
      <w:tr w:rsidR="0013238B" w:rsidRPr="00885153" w14:paraId="7F94BA55" w14:textId="77777777" w:rsidTr="00600EB5">
        <w:tc>
          <w:tcPr>
            <w:tcW w:w="2694" w:type="dxa"/>
          </w:tcPr>
          <w:p w14:paraId="05C3E10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Degrees of freedom (df)</w:t>
            </w:r>
          </w:p>
        </w:tc>
        <w:tc>
          <w:tcPr>
            <w:tcW w:w="2126" w:type="dxa"/>
          </w:tcPr>
          <w:p w14:paraId="469CC75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54</w:t>
            </w:r>
          </w:p>
        </w:tc>
        <w:tc>
          <w:tcPr>
            <w:tcW w:w="2977" w:type="dxa"/>
          </w:tcPr>
          <w:p w14:paraId="07987A33"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w:t>
            </w:r>
          </w:p>
        </w:tc>
      </w:tr>
      <w:tr w:rsidR="0013238B" w:rsidRPr="00885153" w14:paraId="16B0E6F5" w14:textId="77777777" w:rsidTr="00600EB5">
        <w:tc>
          <w:tcPr>
            <w:tcW w:w="2694" w:type="dxa"/>
          </w:tcPr>
          <w:p w14:paraId="07BD5DD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Probability (p)</w:t>
            </w:r>
          </w:p>
        </w:tc>
        <w:tc>
          <w:tcPr>
            <w:tcW w:w="2126" w:type="dxa"/>
          </w:tcPr>
          <w:p w14:paraId="06C5F0D4"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0.274</w:t>
            </w:r>
          </w:p>
        </w:tc>
        <w:tc>
          <w:tcPr>
            <w:tcW w:w="2977" w:type="dxa"/>
          </w:tcPr>
          <w:p w14:paraId="72B4A1D2"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0.05</w:t>
            </w:r>
          </w:p>
        </w:tc>
      </w:tr>
      <w:tr w:rsidR="0013238B" w:rsidRPr="00885153" w14:paraId="15BB872F" w14:textId="77777777" w:rsidTr="00600EB5">
        <w:tc>
          <w:tcPr>
            <w:tcW w:w="2694" w:type="dxa"/>
          </w:tcPr>
          <w:p w14:paraId="1B990D9D"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CMIN/DF</w:t>
            </w:r>
          </w:p>
        </w:tc>
        <w:tc>
          <w:tcPr>
            <w:tcW w:w="2126" w:type="dxa"/>
          </w:tcPr>
          <w:p w14:paraId="59ABF3E2"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1.107</w:t>
            </w:r>
          </w:p>
        </w:tc>
        <w:tc>
          <w:tcPr>
            <w:tcW w:w="2977" w:type="dxa"/>
          </w:tcPr>
          <w:p w14:paraId="34B8199E"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&lt; 3.00</w:t>
            </w:r>
          </w:p>
        </w:tc>
      </w:tr>
      <w:tr w:rsidR="0013238B" w:rsidRPr="00885153" w14:paraId="71EF00CF" w14:textId="77777777" w:rsidTr="00600EB5">
        <w:tc>
          <w:tcPr>
            <w:tcW w:w="2694" w:type="dxa"/>
          </w:tcPr>
          <w:p w14:paraId="563DE62C"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RMR</w:t>
            </w:r>
          </w:p>
        </w:tc>
        <w:tc>
          <w:tcPr>
            <w:tcW w:w="2126" w:type="dxa"/>
          </w:tcPr>
          <w:p w14:paraId="1FB4067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0.042</w:t>
            </w:r>
          </w:p>
        </w:tc>
        <w:tc>
          <w:tcPr>
            <w:tcW w:w="2977" w:type="dxa"/>
          </w:tcPr>
          <w:p w14:paraId="5869E7D0"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&lt; 0.08</w:t>
            </w:r>
          </w:p>
        </w:tc>
      </w:tr>
      <w:tr w:rsidR="0013238B" w:rsidRPr="00885153" w14:paraId="49618B5C" w14:textId="77777777" w:rsidTr="00600EB5">
        <w:tc>
          <w:tcPr>
            <w:tcW w:w="2694" w:type="dxa"/>
          </w:tcPr>
          <w:p w14:paraId="78FEF4C4"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RMSEA</w:t>
            </w:r>
          </w:p>
        </w:tc>
        <w:tc>
          <w:tcPr>
            <w:tcW w:w="2126" w:type="dxa"/>
          </w:tcPr>
          <w:p w14:paraId="6800EED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0.018</w:t>
            </w:r>
          </w:p>
        </w:tc>
        <w:tc>
          <w:tcPr>
            <w:tcW w:w="2977" w:type="dxa"/>
          </w:tcPr>
          <w:p w14:paraId="06D8E1F8"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&lt; 0.08 (≤ 0.05 desirable)</w:t>
            </w:r>
          </w:p>
        </w:tc>
      </w:tr>
      <w:tr w:rsidR="0013238B" w:rsidRPr="00885153" w14:paraId="57E975FC" w14:textId="77777777" w:rsidTr="00600EB5">
        <w:tc>
          <w:tcPr>
            <w:tcW w:w="2694" w:type="dxa"/>
          </w:tcPr>
          <w:p w14:paraId="3E2C1EF7"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GFI</w:t>
            </w:r>
          </w:p>
        </w:tc>
        <w:tc>
          <w:tcPr>
            <w:tcW w:w="2126" w:type="dxa"/>
          </w:tcPr>
          <w:p w14:paraId="3DACBBB4"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0.975</w:t>
            </w:r>
          </w:p>
        </w:tc>
        <w:tc>
          <w:tcPr>
            <w:tcW w:w="2977" w:type="dxa"/>
          </w:tcPr>
          <w:p w14:paraId="26A9B74B"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0.90</w:t>
            </w:r>
          </w:p>
        </w:tc>
      </w:tr>
      <w:tr w:rsidR="0013238B" w:rsidRPr="00885153" w14:paraId="07EFF14A" w14:textId="77777777" w:rsidTr="00600EB5">
        <w:tc>
          <w:tcPr>
            <w:tcW w:w="2694" w:type="dxa"/>
          </w:tcPr>
          <w:p w14:paraId="3260382A"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AGFI</w:t>
            </w:r>
          </w:p>
        </w:tc>
        <w:tc>
          <w:tcPr>
            <w:tcW w:w="2126" w:type="dxa"/>
          </w:tcPr>
          <w:p w14:paraId="30576126"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0.952</w:t>
            </w:r>
          </w:p>
        </w:tc>
        <w:tc>
          <w:tcPr>
            <w:tcW w:w="2977" w:type="dxa"/>
          </w:tcPr>
          <w:p w14:paraId="2336C9F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0.90</w:t>
            </w:r>
          </w:p>
        </w:tc>
      </w:tr>
      <w:tr w:rsidR="0013238B" w:rsidRPr="00885153" w14:paraId="0EC39614" w14:textId="77777777" w:rsidTr="00600EB5">
        <w:tc>
          <w:tcPr>
            <w:tcW w:w="2694" w:type="dxa"/>
          </w:tcPr>
          <w:p w14:paraId="1B085976"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NFI</w:t>
            </w:r>
          </w:p>
        </w:tc>
        <w:tc>
          <w:tcPr>
            <w:tcW w:w="2126" w:type="dxa"/>
          </w:tcPr>
          <w:p w14:paraId="2A5CB27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0.936</w:t>
            </w:r>
          </w:p>
        </w:tc>
        <w:tc>
          <w:tcPr>
            <w:tcW w:w="2977" w:type="dxa"/>
          </w:tcPr>
          <w:p w14:paraId="4137A50C"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0.90</w:t>
            </w:r>
          </w:p>
        </w:tc>
      </w:tr>
      <w:tr w:rsidR="0013238B" w:rsidRPr="00885153" w14:paraId="444BB430" w14:textId="77777777" w:rsidTr="00600EB5">
        <w:tc>
          <w:tcPr>
            <w:tcW w:w="2694" w:type="dxa"/>
          </w:tcPr>
          <w:p w14:paraId="00613325"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RFI</w:t>
            </w:r>
          </w:p>
        </w:tc>
        <w:tc>
          <w:tcPr>
            <w:tcW w:w="2126" w:type="dxa"/>
          </w:tcPr>
          <w:p w14:paraId="2BF3B68F"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0.892</w:t>
            </w:r>
          </w:p>
        </w:tc>
        <w:tc>
          <w:tcPr>
            <w:tcW w:w="2977" w:type="dxa"/>
          </w:tcPr>
          <w:p w14:paraId="3FAF548E"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 0.90 (marginal if slightly below)</w:t>
            </w:r>
          </w:p>
        </w:tc>
      </w:tr>
      <w:tr w:rsidR="0013238B" w:rsidRPr="00885153" w14:paraId="078AF362" w14:textId="77777777" w:rsidTr="00600EB5">
        <w:tc>
          <w:tcPr>
            <w:tcW w:w="2694" w:type="dxa"/>
          </w:tcPr>
          <w:p w14:paraId="274C5ECB"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IFI</w:t>
            </w:r>
          </w:p>
        </w:tc>
        <w:tc>
          <w:tcPr>
            <w:tcW w:w="2126" w:type="dxa"/>
          </w:tcPr>
          <w:p w14:paraId="37DD64EB"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0.993</w:t>
            </w:r>
          </w:p>
        </w:tc>
        <w:tc>
          <w:tcPr>
            <w:tcW w:w="2977" w:type="dxa"/>
          </w:tcPr>
          <w:p w14:paraId="437556AD"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0.90</w:t>
            </w:r>
          </w:p>
        </w:tc>
      </w:tr>
      <w:tr w:rsidR="0013238B" w:rsidRPr="00885153" w14:paraId="2A995BE4" w14:textId="77777777" w:rsidTr="00600EB5">
        <w:tc>
          <w:tcPr>
            <w:tcW w:w="2694" w:type="dxa"/>
          </w:tcPr>
          <w:p w14:paraId="78A7A37B"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TLI</w:t>
            </w:r>
          </w:p>
        </w:tc>
        <w:tc>
          <w:tcPr>
            <w:tcW w:w="2126" w:type="dxa"/>
          </w:tcPr>
          <w:p w14:paraId="52379E51"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0.988</w:t>
            </w:r>
          </w:p>
        </w:tc>
        <w:tc>
          <w:tcPr>
            <w:tcW w:w="2977" w:type="dxa"/>
          </w:tcPr>
          <w:p w14:paraId="3AC17459"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0.90</w:t>
            </w:r>
          </w:p>
        </w:tc>
      </w:tr>
      <w:tr w:rsidR="0013238B" w:rsidRPr="00885153" w14:paraId="7E9661A0" w14:textId="77777777" w:rsidTr="00600EB5">
        <w:tc>
          <w:tcPr>
            <w:tcW w:w="2694" w:type="dxa"/>
          </w:tcPr>
          <w:p w14:paraId="58670056"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CFI</w:t>
            </w:r>
          </w:p>
        </w:tc>
        <w:tc>
          <w:tcPr>
            <w:tcW w:w="2126" w:type="dxa"/>
          </w:tcPr>
          <w:p w14:paraId="0284BA2A"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0.993</w:t>
            </w:r>
          </w:p>
        </w:tc>
        <w:tc>
          <w:tcPr>
            <w:tcW w:w="2977" w:type="dxa"/>
          </w:tcPr>
          <w:p w14:paraId="38E68558" w14:textId="77777777" w:rsidR="0013238B" w:rsidRPr="00885153" w:rsidRDefault="0013238B" w:rsidP="0013238B">
            <w:pPr>
              <w:spacing w:after="0" w:line="240" w:lineRule="auto"/>
              <w:jc w:val="center"/>
              <w:rPr>
                <w:rFonts w:ascii="Arial" w:hAnsi="Arial" w:cs="Arial"/>
                <w:sz w:val="20"/>
                <w:szCs w:val="20"/>
              </w:rPr>
            </w:pPr>
            <w:r w:rsidRPr="00885153">
              <w:rPr>
                <w:rFonts w:ascii="Arial" w:hAnsi="Arial" w:cs="Arial"/>
                <w:sz w:val="20"/>
                <w:szCs w:val="20"/>
              </w:rPr>
              <w:t>&gt; 0.90</w:t>
            </w:r>
          </w:p>
        </w:tc>
      </w:tr>
    </w:tbl>
    <w:p w14:paraId="6A2C341A" w14:textId="77777777" w:rsidR="0013238B" w:rsidRPr="00885153" w:rsidRDefault="0013238B" w:rsidP="0013238B">
      <w:pPr>
        <w:spacing w:after="0" w:line="240" w:lineRule="auto"/>
        <w:ind w:left="426"/>
        <w:contextualSpacing/>
        <w:rPr>
          <w:rFonts w:ascii="Arial" w:hAnsi="Arial" w:cs="Arial"/>
          <w:sz w:val="20"/>
          <w:szCs w:val="20"/>
        </w:rPr>
      </w:pPr>
      <w:r w:rsidRPr="00885153">
        <w:rPr>
          <w:rFonts w:ascii="Arial" w:hAnsi="Arial" w:cs="Arial"/>
          <w:sz w:val="20"/>
          <w:szCs w:val="20"/>
        </w:rPr>
        <w:t>Source: Research data analysis (AMOS output), 2025.</w:t>
      </w:r>
    </w:p>
    <w:p w14:paraId="3CD7C8C0"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Table 6 demonstrates that nearly all indices satisfy the specified requirements, signifying an exceptional fit. Despite the RFI being marginally below 0.90, it stays near the threshold and does not significantly compromise the conclusion that the model well represents the observed covariance structure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London","id":"ITEM-1","issue":"1","issued":{"date-parts":[["2016","7","12"]]},"number-of-pages":"59","title":"Principles and Practice of Structural Equation Modeling","type":"book","volume":"1"},"uris":["http://www.mendeley.com/documents/?uuid=2d907137-4a37-4fca-8200-b5a7eb63a4e3"]},{"id":"ITEM-2","itemData":{"ISBN":"978-1-4737-5654-0","ISSN":"0921-5077","abstract":"Meer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Ainscow","id":"ITEM-2","issue":"3","issued":{"date-parts":[["2019","9","1"]]},"title":"Multivariate Data Analysis (Sixth Edition)","type":"book","volume":"19"},"uris":["http://www.mendeley.com/documents/?uuid=50c8c6c4-a217-475e-9b5e-858c5a1888b2"]}],"mendeley":{"formattedCitation":"(Hair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(Hair at al., 2019; Kline R.B, 2016)</w:t>
      </w:r>
      <w:r w:rsidRPr="00885153">
        <w:rPr>
          <w:rFonts w:ascii="Arial" w:hAnsi="Arial" w:cs="Arial"/>
          <w:sz w:val="20"/>
          <w:szCs w:val="20"/>
        </w:rPr>
        <w:fldChar w:fldCharType="end"/>
      </w:r>
      <w:r w:rsidRPr="00885153">
        <w:rPr>
          <w:rFonts w:ascii="Arial" w:hAnsi="Arial" w:cs="Arial"/>
          <w:sz w:val="20"/>
          <w:szCs w:val="20"/>
        </w:rPr>
        <w:t>.</w:t>
      </w:r>
    </w:p>
    <w:p w14:paraId="3D3D3887" w14:textId="77777777" w:rsidR="0013238B" w:rsidRPr="00885153" w:rsidRDefault="0013238B" w:rsidP="0013238B">
      <w:pPr>
        <w:spacing w:after="0" w:line="240" w:lineRule="auto"/>
        <w:ind w:firstLine="720"/>
        <w:contextualSpacing/>
        <w:jc w:val="both"/>
        <w:rPr>
          <w:rFonts w:ascii="Arial" w:hAnsi="Arial" w:cs="Arial"/>
          <w:sz w:val="20"/>
          <w:szCs w:val="20"/>
        </w:rPr>
      </w:pPr>
    </w:p>
    <w:p w14:paraId="5791F031" w14:textId="77777777" w:rsidR="0013238B" w:rsidRPr="00885153" w:rsidRDefault="0013238B" w:rsidP="0013238B">
      <w:pPr>
        <w:pStyle w:val="ListParagraph"/>
        <w:numPr>
          <w:ilvl w:val="0"/>
          <w:numId w:val="18"/>
        </w:numPr>
        <w:spacing w:before="120" w:after="120" w:line="240" w:lineRule="auto"/>
        <w:ind w:left="493" w:hanging="493"/>
        <w:contextualSpacing w:val="0"/>
        <w:jc w:val="both"/>
        <w:rPr>
          <w:rFonts w:ascii="Arial" w:hAnsi="Arial" w:cs="Arial"/>
          <w:b/>
          <w:bCs/>
          <w:sz w:val="20"/>
          <w:szCs w:val="20"/>
        </w:rPr>
      </w:pPr>
      <w:r w:rsidRPr="00885153">
        <w:rPr>
          <w:rFonts w:ascii="Arial" w:hAnsi="Arial" w:cs="Arial"/>
          <w:b/>
          <w:bCs/>
          <w:sz w:val="20"/>
          <w:szCs w:val="20"/>
        </w:rPr>
        <w:t>Structural Relationships and Hypothesis Testing</w:t>
      </w:r>
    </w:p>
    <w:p w14:paraId="14B8702E" w14:textId="77777777" w:rsidR="0013238B"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Hypotheses were assessed utilizing maximum-likelihood estimations, presenting both unstandardized (B) and standardized (β) coefficients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{"citationItems":[{"id":"ITEM-1","itemData":{"ISBN":"978-1-4737-5654-0","ISSN":"0921-5077","abstract":"Meer dan 25 jaar geleden verscheen de eerste editie van dit toegepaste handboek over multivariate data-analyse. Deze zesde editie is dan ook een update van zijn voorgangers, maar kent een aantal opmerkelijke verbeteringen, zoals een nieuwe database om allerlei technieken te oefenen, handige gebruiksregels voor de toepassing en interpretatie van technieken, en als klap op de vuurpijl maar liefst drie nieuwe hoofdstukken over covariantie-structuuranalyse.","author":[{"dropping-particle":"","family":"Hair at al.","given":"","non-dropping-particle":"","parse-names":false,"suffix":""}],"container-title":"Annabel Ainscow","id":"ITEM-1","issue":"3","issued":{"date-parts":[["2019","9","1"]]},"title":"Multivariate Data Analysis (Sixth Edition)","type":"book","volume":"19"},"uris":["http://www.mendeley.com/documents/?uuid=50c8c6c4-a217-475e-9b5e-858c5a1888b2"]},{"id":"ITEM-2","itemData":{"ISBN":"9781462523344","ISSN":"1927-9825","abstract":"This bestselling text provides a balance between the technical and practical aspects of structural equation modeling (SEM). Using clear and accessible language, Rex B. Kline covers core techniques, potential pitfalls, and applications across the behavioral and social sciences. Some more advanced topics are also covered, including estimation of interactive effects of latent variables and multilevel SEM. The companion Web page offers downloadable syntax, data, and output files for each detailed example for EQS, LISREL, and Mplus, allowing readers to view the results of the same analysis generated by three different computer tools. New to This Edition Thoroughly revised and restructured to follow the phases of most SEM analyses. Syntax, data, and output files for all detailed research examples are now provided online. Exercises with answers, which support self-study. Topic boxes on specialized issues, such as dealing with problems in the analysis; the assessment of construct measurement reliability; and more. Updated coverage of a more rigorous approach to hypothesis and model testing; the evaluation of measurement invariance; and more.","author":[{"dropping-particle":"","family":"Kline R.B","given":"","non-dropping-particle":"","parse-names":false,"suffix":""}],"container-title":"thE GuiLFord PrESS new York London","id":"ITEM-2","issue":"1","issued":{"date-parts":[["2016","7","12"]]},"number-of-pages":"59","title":"Principles and Practice of Structural Equation Modeling","type":"book","volume":"1"},"uris":["http://www.mendeley.com/documents/?uuid=2d907137-4a37-4fca-8200-b5a7eb63a4e3"]}],"mendeley":{"formattedCitation":"(Hair at al., 2019; Kline R.B, 2016)","plainTextFormattedCitation":"(Hair at al., 2019; Kline R.B, 2016)","previouslyFormattedCitation":"(Hair at al., 2019; Kline R.B, 2016)"},"properties":{"noteIndex":0},"schema":"https://github.com/citation-style-language/schema/raw/master/csl-citation.json"}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(Hair at al., 2019; Kline R.B, 2016)</w:t>
      </w:r>
      <w:r w:rsidRPr="00885153">
        <w:rPr>
          <w:rFonts w:ascii="Arial" w:hAnsi="Arial" w:cs="Arial"/>
          <w:sz w:val="20"/>
          <w:szCs w:val="20"/>
        </w:rPr>
        <w:fldChar w:fldCharType="end"/>
      </w:r>
      <w:r w:rsidRPr="00885153">
        <w:rPr>
          <w:rFonts w:ascii="Arial" w:hAnsi="Arial" w:cs="Arial"/>
          <w:sz w:val="20"/>
          <w:szCs w:val="20"/>
        </w:rPr>
        <w:t>.</w:t>
      </w:r>
    </w:p>
    <w:p w14:paraId="1E039D5D" w14:textId="77777777" w:rsidR="007C45BE" w:rsidRPr="00885153" w:rsidRDefault="007C45BE" w:rsidP="0013238B">
      <w:pPr>
        <w:spacing w:after="0" w:line="240" w:lineRule="auto"/>
        <w:ind w:firstLine="720"/>
        <w:contextualSpacing/>
        <w:jc w:val="both"/>
        <w:rPr>
          <w:rFonts w:ascii="Arial" w:hAnsi="Arial" w:cs="Arial"/>
          <w:sz w:val="20"/>
          <w:szCs w:val="20"/>
        </w:rPr>
      </w:pPr>
    </w:p>
    <w:p w14:paraId="02B4492A" w14:textId="77777777" w:rsidR="0013238B" w:rsidRPr="00885153" w:rsidRDefault="0013238B" w:rsidP="0013238B">
      <w:pPr>
        <w:spacing w:after="0" w:line="240" w:lineRule="auto"/>
        <w:contextualSpacing/>
        <w:jc w:val="both"/>
        <w:rPr>
          <w:rFonts w:ascii="Arial" w:hAnsi="Arial" w:cs="Arial"/>
          <w:sz w:val="20"/>
          <w:szCs w:val="20"/>
        </w:rPr>
      </w:pPr>
      <w:r w:rsidRPr="00885153">
        <w:rPr>
          <w:rFonts w:ascii="Arial" w:hAnsi="Arial" w:cs="Arial"/>
          <w:sz w:val="20"/>
          <w:szCs w:val="20"/>
        </w:rPr>
        <w:t>Table 7 presents the direct impacts of the three antecedent constructs on Community Readiness.</w:t>
      </w:r>
    </w:p>
    <w:tbl>
      <w:tblPr>
        <w:tblStyle w:val="TableGrid"/>
        <w:tblW w:w="90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02"/>
        <w:gridCol w:w="898"/>
        <w:gridCol w:w="767"/>
        <w:gridCol w:w="844"/>
        <w:gridCol w:w="974"/>
        <w:gridCol w:w="1234"/>
      </w:tblGrid>
      <w:tr w:rsidR="0013238B" w:rsidRPr="00885153" w14:paraId="36617222" w14:textId="77777777" w:rsidTr="00600EB5">
        <w:tc>
          <w:tcPr>
            <w:tcW w:w="3114" w:type="dxa"/>
            <w:tcBorders>
              <w:top w:val="single" w:sz="4" w:space="0" w:color="auto"/>
              <w:bottom w:val="single" w:sz="4" w:space="0" w:color="auto"/>
            </w:tcBorders>
          </w:tcPr>
          <w:p w14:paraId="5967896D"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Hypothesis / Path</w:t>
            </w:r>
          </w:p>
        </w:tc>
        <w:tc>
          <w:tcPr>
            <w:tcW w:w="1202" w:type="dxa"/>
            <w:tcBorders>
              <w:top w:val="single" w:sz="4" w:space="0" w:color="auto"/>
              <w:bottom w:val="single" w:sz="4" w:space="0" w:color="auto"/>
            </w:tcBorders>
          </w:tcPr>
          <w:p w14:paraId="74100B24"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B (</w:t>
            </w:r>
            <w:proofErr w:type="spellStart"/>
            <w:r w:rsidRPr="00885153">
              <w:rPr>
                <w:rFonts w:ascii="Arial" w:hAnsi="Arial" w:cs="Arial"/>
                <w:bCs/>
                <w:sz w:val="20"/>
                <w:szCs w:val="20"/>
              </w:rPr>
              <w:t>Unstd</w:t>
            </w:r>
            <w:proofErr w:type="spellEnd"/>
            <w:r w:rsidRPr="00885153">
              <w:rPr>
                <w:rFonts w:ascii="Arial" w:hAnsi="Arial" w:cs="Arial"/>
                <w:bCs/>
                <w:sz w:val="20"/>
                <w:szCs w:val="20"/>
              </w:rPr>
              <w:t>.)</w:t>
            </w:r>
          </w:p>
        </w:tc>
        <w:tc>
          <w:tcPr>
            <w:tcW w:w="898" w:type="dxa"/>
            <w:tcBorders>
              <w:top w:val="single" w:sz="4" w:space="0" w:color="auto"/>
              <w:bottom w:val="single" w:sz="4" w:space="0" w:color="auto"/>
            </w:tcBorders>
          </w:tcPr>
          <w:p w14:paraId="26884E2E"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β (Std.)</w:t>
            </w:r>
          </w:p>
        </w:tc>
        <w:tc>
          <w:tcPr>
            <w:tcW w:w="767" w:type="dxa"/>
            <w:tcBorders>
              <w:top w:val="single" w:sz="4" w:space="0" w:color="auto"/>
              <w:bottom w:val="single" w:sz="4" w:space="0" w:color="auto"/>
            </w:tcBorders>
          </w:tcPr>
          <w:p w14:paraId="562BF5FA"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S.E.</w:t>
            </w:r>
          </w:p>
        </w:tc>
        <w:tc>
          <w:tcPr>
            <w:tcW w:w="844" w:type="dxa"/>
            <w:tcBorders>
              <w:top w:val="single" w:sz="4" w:space="0" w:color="auto"/>
              <w:bottom w:val="single" w:sz="4" w:space="0" w:color="auto"/>
            </w:tcBorders>
          </w:tcPr>
          <w:p w14:paraId="6F886BA8"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C.R.</w:t>
            </w:r>
          </w:p>
        </w:tc>
        <w:tc>
          <w:tcPr>
            <w:tcW w:w="974" w:type="dxa"/>
            <w:tcBorders>
              <w:top w:val="single" w:sz="4" w:space="0" w:color="auto"/>
              <w:bottom w:val="single" w:sz="4" w:space="0" w:color="auto"/>
            </w:tcBorders>
          </w:tcPr>
          <w:p w14:paraId="5F970530"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p-value</w:t>
            </w:r>
          </w:p>
        </w:tc>
        <w:tc>
          <w:tcPr>
            <w:tcW w:w="1234" w:type="dxa"/>
            <w:tcBorders>
              <w:top w:val="single" w:sz="4" w:space="0" w:color="auto"/>
              <w:bottom w:val="single" w:sz="4" w:space="0" w:color="auto"/>
            </w:tcBorders>
          </w:tcPr>
          <w:p w14:paraId="3FAEF7B3" w14:textId="77777777" w:rsidR="0013238B" w:rsidRPr="00885153" w:rsidRDefault="0013238B" w:rsidP="00600EB5">
            <w:pPr>
              <w:spacing w:line="240" w:lineRule="auto"/>
              <w:contextualSpacing/>
              <w:jc w:val="center"/>
              <w:rPr>
                <w:rFonts w:ascii="Arial" w:hAnsi="Arial" w:cs="Arial"/>
                <w:bCs/>
                <w:sz w:val="20"/>
                <w:szCs w:val="20"/>
              </w:rPr>
            </w:pPr>
            <w:r w:rsidRPr="00885153">
              <w:rPr>
                <w:rFonts w:ascii="Arial" w:hAnsi="Arial" w:cs="Arial"/>
                <w:bCs/>
                <w:sz w:val="20"/>
                <w:szCs w:val="20"/>
              </w:rPr>
              <w:t>Decision</w:t>
            </w:r>
          </w:p>
        </w:tc>
      </w:tr>
      <w:tr w:rsidR="0013238B" w:rsidRPr="00885153" w14:paraId="471EAB1B" w14:textId="77777777" w:rsidTr="00600EB5">
        <w:tc>
          <w:tcPr>
            <w:tcW w:w="3114" w:type="dxa"/>
            <w:tcBorders>
              <w:top w:val="single" w:sz="4" w:space="0" w:color="auto"/>
            </w:tcBorders>
          </w:tcPr>
          <w:p w14:paraId="53644F9A"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H1: Community Motivation → Community Readiness</w:t>
            </w:r>
          </w:p>
        </w:tc>
        <w:tc>
          <w:tcPr>
            <w:tcW w:w="1202" w:type="dxa"/>
            <w:tcBorders>
              <w:top w:val="single" w:sz="4" w:space="0" w:color="auto"/>
            </w:tcBorders>
          </w:tcPr>
          <w:p w14:paraId="4A4EAB33"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0.671</w:t>
            </w:r>
          </w:p>
        </w:tc>
        <w:tc>
          <w:tcPr>
            <w:tcW w:w="898" w:type="dxa"/>
            <w:tcBorders>
              <w:top w:val="single" w:sz="4" w:space="0" w:color="auto"/>
            </w:tcBorders>
          </w:tcPr>
          <w:p w14:paraId="470A9EB7"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0.737</w:t>
            </w:r>
          </w:p>
        </w:tc>
        <w:tc>
          <w:tcPr>
            <w:tcW w:w="767" w:type="dxa"/>
            <w:tcBorders>
              <w:top w:val="single" w:sz="4" w:space="0" w:color="auto"/>
            </w:tcBorders>
          </w:tcPr>
          <w:p w14:paraId="7D77AE7D"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0.570</w:t>
            </w:r>
          </w:p>
        </w:tc>
        <w:tc>
          <w:tcPr>
            <w:tcW w:w="844" w:type="dxa"/>
            <w:tcBorders>
              <w:top w:val="single" w:sz="4" w:space="0" w:color="auto"/>
            </w:tcBorders>
          </w:tcPr>
          <w:p w14:paraId="736DF3B5"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1.177</w:t>
            </w:r>
          </w:p>
        </w:tc>
        <w:tc>
          <w:tcPr>
            <w:tcW w:w="974" w:type="dxa"/>
            <w:tcBorders>
              <w:top w:val="single" w:sz="4" w:space="0" w:color="auto"/>
            </w:tcBorders>
          </w:tcPr>
          <w:p w14:paraId="5C2B6229"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0.039</w:t>
            </w:r>
          </w:p>
        </w:tc>
        <w:tc>
          <w:tcPr>
            <w:tcW w:w="1234" w:type="dxa"/>
            <w:tcBorders>
              <w:top w:val="single" w:sz="4" w:space="0" w:color="auto"/>
            </w:tcBorders>
          </w:tcPr>
          <w:p w14:paraId="07619F08"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Supported</w:t>
            </w:r>
          </w:p>
        </w:tc>
      </w:tr>
      <w:tr w:rsidR="0013238B" w:rsidRPr="00885153" w14:paraId="6D2CCEA7" w14:textId="77777777" w:rsidTr="00600EB5">
        <w:tc>
          <w:tcPr>
            <w:tcW w:w="3114" w:type="dxa"/>
          </w:tcPr>
          <w:p w14:paraId="7E97034C"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H2: Community Skills → Community Readiness</w:t>
            </w:r>
          </w:p>
        </w:tc>
        <w:tc>
          <w:tcPr>
            <w:tcW w:w="1202" w:type="dxa"/>
          </w:tcPr>
          <w:p w14:paraId="0266684F"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0.043</w:t>
            </w:r>
          </w:p>
        </w:tc>
        <w:tc>
          <w:tcPr>
            <w:tcW w:w="898" w:type="dxa"/>
          </w:tcPr>
          <w:p w14:paraId="2DBC4F2E"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0.310</w:t>
            </w:r>
          </w:p>
        </w:tc>
        <w:tc>
          <w:tcPr>
            <w:tcW w:w="767" w:type="dxa"/>
          </w:tcPr>
          <w:p w14:paraId="2C365F32"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0.064</w:t>
            </w:r>
          </w:p>
        </w:tc>
        <w:tc>
          <w:tcPr>
            <w:tcW w:w="844" w:type="dxa"/>
          </w:tcPr>
          <w:p w14:paraId="3CEED695"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0.675</w:t>
            </w:r>
          </w:p>
        </w:tc>
        <w:tc>
          <w:tcPr>
            <w:tcW w:w="974" w:type="dxa"/>
          </w:tcPr>
          <w:p w14:paraId="31AAEEAB"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0.002</w:t>
            </w:r>
          </w:p>
        </w:tc>
        <w:tc>
          <w:tcPr>
            <w:tcW w:w="1234" w:type="dxa"/>
          </w:tcPr>
          <w:p w14:paraId="0592D61D"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Supported</w:t>
            </w:r>
          </w:p>
        </w:tc>
      </w:tr>
      <w:tr w:rsidR="0013238B" w:rsidRPr="00885153" w14:paraId="16DFAC94" w14:textId="77777777" w:rsidTr="00600EB5">
        <w:tc>
          <w:tcPr>
            <w:tcW w:w="3114" w:type="dxa"/>
          </w:tcPr>
          <w:p w14:paraId="6B00DEBE"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H3: Community Education → Community Readiness</w:t>
            </w:r>
          </w:p>
        </w:tc>
        <w:tc>
          <w:tcPr>
            <w:tcW w:w="1202" w:type="dxa"/>
          </w:tcPr>
          <w:p w14:paraId="1B6E0574"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0.274</w:t>
            </w:r>
          </w:p>
        </w:tc>
        <w:tc>
          <w:tcPr>
            <w:tcW w:w="898" w:type="dxa"/>
          </w:tcPr>
          <w:p w14:paraId="66D3F24E"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0.525</w:t>
            </w:r>
          </w:p>
        </w:tc>
        <w:tc>
          <w:tcPr>
            <w:tcW w:w="767" w:type="dxa"/>
          </w:tcPr>
          <w:p w14:paraId="6C0378E5"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0.278</w:t>
            </w:r>
          </w:p>
        </w:tc>
        <w:tc>
          <w:tcPr>
            <w:tcW w:w="844" w:type="dxa"/>
          </w:tcPr>
          <w:p w14:paraId="5C41CBDF"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0.986</w:t>
            </w:r>
          </w:p>
        </w:tc>
        <w:tc>
          <w:tcPr>
            <w:tcW w:w="974" w:type="dxa"/>
          </w:tcPr>
          <w:p w14:paraId="63370C64"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0.024</w:t>
            </w:r>
          </w:p>
        </w:tc>
        <w:tc>
          <w:tcPr>
            <w:tcW w:w="1234" w:type="dxa"/>
          </w:tcPr>
          <w:p w14:paraId="51E34520" w14:textId="77777777" w:rsidR="0013238B" w:rsidRPr="00885153" w:rsidRDefault="0013238B" w:rsidP="00600EB5">
            <w:pPr>
              <w:spacing w:line="240" w:lineRule="auto"/>
              <w:contextualSpacing/>
              <w:rPr>
                <w:rFonts w:ascii="Arial" w:hAnsi="Arial" w:cs="Arial"/>
                <w:sz w:val="20"/>
                <w:szCs w:val="20"/>
              </w:rPr>
            </w:pPr>
            <w:r w:rsidRPr="00885153">
              <w:rPr>
                <w:rFonts w:ascii="Arial" w:hAnsi="Arial" w:cs="Arial"/>
                <w:sz w:val="20"/>
                <w:szCs w:val="20"/>
              </w:rPr>
              <w:t>Supported</w:t>
            </w:r>
          </w:p>
        </w:tc>
      </w:tr>
    </w:tbl>
    <w:p w14:paraId="1DEC55FA" w14:textId="77777777" w:rsidR="0013238B" w:rsidRPr="00885153" w:rsidRDefault="0013238B" w:rsidP="0013238B">
      <w:pPr>
        <w:spacing w:after="0" w:line="240" w:lineRule="auto"/>
        <w:contextualSpacing/>
        <w:rPr>
          <w:rFonts w:ascii="Arial" w:hAnsi="Arial" w:cs="Arial"/>
          <w:sz w:val="20"/>
          <w:szCs w:val="20"/>
        </w:rPr>
      </w:pPr>
      <w:r w:rsidRPr="00885153">
        <w:rPr>
          <w:rFonts w:ascii="Arial" w:hAnsi="Arial" w:cs="Arial"/>
          <w:sz w:val="20"/>
          <w:szCs w:val="20"/>
        </w:rPr>
        <w:t>Note: B = unstandardized coefficient; β = standardized coefficient; S.E. = standard error; C.R. = critical ratio; significance at α = 0.05.</w:t>
      </w:r>
    </w:p>
    <w:p w14:paraId="0EAB11BE" w14:textId="77777777" w:rsidR="0013238B" w:rsidRPr="00885153" w:rsidRDefault="0013238B" w:rsidP="0013238B">
      <w:pPr>
        <w:spacing w:after="0" w:line="240" w:lineRule="auto"/>
        <w:ind w:firstLine="720"/>
        <w:contextualSpacing/>
        <w:jc w:val="both"/>
        <w:rPr>
          <w:rFonts w:ascii="Arial" w:hAnsi="Arial" w:cs="Arial"/>
          <w:sz w:val="20"/>
          <w:szCs w:val="20"/>
        </w:rPr>
      </w:pPr>
    </w:p>
    <w:p w14:paraId="53D46929" w14:textId="5B20DB70"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All three pathways are positive and statistically significant, with Community Motivation demonstrating the most substantial standardized influence on Community Readiness (β = 0.737), </w:t>
      </w:r>
      <w:r w:rsidR="00F25C56">
        <w:rPr>
          <w:rFonts w:ascii="Arial" w:hAnsi="Arial" w:cs="Arial"/>
          <w:sz w:val="20"/>
          <w:szCs w:val="20"/>
        </w:rPr>
        <w:t>followed</w:t>
      </w:r>
      <w:r w:rsidRPr="00885153">
        <w:rPr>
          <w:rFonts w:ascii="Arial" w:hAnsi="Arial" w:cs="Arial"/>
          <w:sz w:val="20"/>
          <w:szCs w:val="20"/>
        </w:rPr>
        <w:t xml:space="preserve"> by Community Education (β = 0.525) and Community Skills (β = 0.310). The model accounts for 37.0% of the variation in Community Readiness (R² = 0.370), demonstrating significant explanatory capacity within a social-behavioral SEM framework. The correlations between the antecedent constructs were moderate to strong (Motivation–Education r = 0.711; Motivation–Skills r = 0.586; Skills–Education r = 0.503), indicating that they are connected yet distinct predictors.</w:t>
      </w:r>
    </w:p>
    <w:p w14:paraId="16D31A25" w14:textId="77777777" w:rsidR="0013238B" w:rsidRPr="00885153" w:rsidRDefault="0013238B" w:rsidP="0013238B">
      <w:pPr>
        <w:spacing w:after="0" w:line="240" w:lineRule="auto"/>
        <w:ind w:firstLine="720"/>
        <w:contextualSpacing/>
        <w:jc w:val="both"/>
        <w:rPr>
          <w:rFonts w:ascii="Arial" w:hAnsi="Arial" w:cs="Arial"/>
          <w:sz w:val="20"/>
          <w:szCs w:val="20"/>
        </w:rPr>
      </w:pPr>
    </w:p>
    <w:p w14:paraId="3B9EC586" w14:textId="13E1442D" w:rsidR="0013238B" w:rsidRPr="00885153" w:rsidRDefault="006E45C4" w:rsidP="0013238B">
      <w:pPr>
        <w:pStyle w:val="AbstHead"/>
        <w:numPr>
          <w:ilvl w:val="0"/>
          <w:numId w:val="6"/>
        </w:numPr>
        <w:spacing w:before="120" w:after="120"/>
        <w:ind w:left="284" w:hanging="284"/>
        <w:jc w:val="both"/>
        <w:rPr>
          <w:rFonts w:ascii="Arial" w:hAnsi="Arial" w:cs="Arial"/>
          <w:sz w:val="20"/>
        </w:rPr>
      </w:pPr>
      <w:r w:rsidRPr="0013238B">
        <w:rPr>
          <w:rFonts w:ascii="Arial" w:hAnsi="Arial" w:cs="Arial"/>
          <w:caps w:val="0"/>
        </w:rPr>
        <w:lastRenderedPageBreak/>
        <w:t>Discussion</w:t>
      </w:r>
    </w:p>
    <w:p w14:paraId="550C757A" w14:textId="77777777" w:rsidR="0013238B" w:rsidRPr="00885153" w:rsidRDefault="0013238B" w:rsidP="0013238B">
      <w:pPr>
        <w:pStyle w:val="Heading3"/>
        <w:numPr>
          <w:ilvl w:val="0"/>
          <w:numId w:val="19"/>
        </w:numPr>
        <w:tabs>
          <w:tab w:val="num" w:pos="360"/>
        </w:tabs>
        <w:spacing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Hypothesis 1 (H1: Community Motivation → Community Readiness)</w:t>
      </w:r>
    </w:p>
    <w:p w14:paraId="5A03B451" w14:textId="7686DFDA"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The structural model corroborates H1, demonstrating that community motivation has the most significant beneficial impact on community readiness (β = 0.737). This indicates that when residents' motivation—reflected in existence, relatedness, and growth orientations—is elevated, the community is more inclined to mobilize collective efforts, embrace program information, and coordinate leadership and resources to leverage IKN-related infrastructure. This aligns with recent evidence in smart-city governance</w:t>
      </w:r>
      <w:r w:rsidR="00F25C56">
        <w:rPr>
          <w:rFonts w:ascii="Arial" w:hAnsi="Arial" w:cs="Arial"/>
          <w:sz w:val="20"/>
          <w:szCs w:val="20"/>
        </w:rPr>
        <w:t>,</w:t>
      </w:r>
      <w:r w:rsidRPr="00885153">
        <w:rPr>
          <w:rFonts w:ascii="Arial" w:hAnsi="Arial" w:cs="Arial"/>
          <w:sz w:val="20"/>
          <w:szCs w:val="20"/>
        </w:rPr>
        <w:t xml:space="preserve"> indicating that program efficacy relies not solely on technology implementation but also on citizens' attitudes, perceived risks, and conditions for participation, with governance quality and inclusivity influencing the translation of initiatives into genuine engagement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(Ghasemzadeh et al., 2026)</w:t>
      </w:r>
      <w:r w:rsidRPr="00885153">
        <w:rPr>
          <w:rFonts w:ascii="Arial" w:hAnsi="Arial" w:cs="Arial"/>
          <w:sz w:val="20"/>
          <w:szCs w:val="20"/>
        </w:rPr>
        <w:fldChar w:fldCharType="end"/>
      </w:r>
      <w:r w:rsidRPr="00885153">
        <w:rPr>
          <w:rFonts w:ascii="Arial" w:hAnsi="Arial" w:cs="Arial"/>
          <w:sz w:val="20"/>
          <w:szCs w:val="20"/>
        </w:rPr>
        <w:t xml:space="preserve">. </w:t>
      </w:r>
    </w:p>
    <w:p w14:paraId="5B296FF3" w14:textId="71256088"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Recent empirical research highlights a "smart governance paradox</w:t>
      </w:r>
      <w:r w:rsidR="00F25C56">
        <w:rPr>
          <w:rFonts w:ascii="Arial" w:hAnsi="Arial" w:cs="Arial"/>
          <w:sz w:val="20"/>
          <w:szCs w:val="20"/>
        </w:rPr>
        <w:t>":</w:t>
      </w:r>
      <w:r w:rsidRPr="00885153">
        <w:rPr>
          <w:rFonts w:ascii="Arial" w:hAnsi="Arial" w:cs="Arial"/>
          <w:sz w:val="20"/>
          <w:szCs w:val="20"/>
        </w:rPr>
        <w:t xml:space="preserve"> technological progress may lead to diminished civic engagement. This underscores the necessity of aligning motivations and designing meaningful engagement to avert passive or tokenistic participation in extensive urban transformations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{"citationItems":[{"id":"ITEM-1","itemData":{"DOI":"10.1016/j.tele.2026.102376","ISSN":"07365853","abstract":"As smart city initiatives proliferate globally, whether they genuinely foster inclusive and participatory governance remains unclear. This study examines the “smart governance paradox” by integrating macro-level evaluations of urban smartness with micro-level analyses of citizen perceptions across six large Chinese cities. At the macro level, we construct a Smart City Development Index using factor analysis and a neural network optimized by genetic algorithms. Results reveal significant regional disparities: some cities (Beijing and Shanghai) lead in smart economy, infrastructure, and innovation, while others lag in mobility and connectivity, highlighting uneven implementation capacities. At the micro level, we analyze 2021 Chinese Social Survey data using ordered logit models to examine associations between smart city development and public perceptions. Smart city development is positively associated with perceived trust, fairness, and protection, but negatively associated with civic participation—especially among younger demographics. This disconnect suggests that technological development may accompany favorable service-related perceptions while correlating with lower community engagement, potentially reflecting digital substitution and governance centralization. We propose reframing “smartness” as a socio-political construct emphasizing inclusion, responsiveness, and equity, and offer policy recommendations bridging digital efficiency with democratic engagement.","author":[{"dropping-particle":"","family":"Tang","given":"Beizhen","non-dropping-particle":"","parse-names":false,"suffix":""},{"dropping-particle":"","family":"Aldrich","given":"Daniel P.","non-dropping-particle":"","parse-names":false,"suffix":""}],"container-title":"Telematics and Informatics","id":"ITEM-1","issued":{"date-parts":[["2026","2"]]},"page":"102376","title":"The paradox of smart cities: technological advancements and the disconnection from social participation","type":"article-journal","volume":"105"},"uris":["http://www.mendeley.com/documents/?uuid=653101c2-7ea7-42f6-9bd8-5d758b988289"]}],"mendeley":{"formattedCitation":"(Tang &amp; Aldrich, 2026)","plainTextFormattedCitation":"(Tang &amp; Aldrich, 2026)","previouslyFormattedCitation":"(Tang &amp; Aldrich, 2026)"},"properties":{"noteIndex":0},"schema":"https://github.com/citation-style-language/schema/raw/master/csl-citation.json"}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(Tang &amp; Aldrich, 2026)</w:t>
      </w:r>
      <w:r w:rsidRPr="00885153">
        <w:rPr>
          <w:rFonts w:ascii="Arial" w:hAnsi="Arial" w:cs="Arial"/>
          <w:sz w:val="20"/>
          <w:szCs w:val="20"/>
        </w:rPr>
        <w:fldChar w:fldCharType="end"/>
      </w:r>
      <w:r w:rsidRPr="00885153">
        <w:rPr>
          <w:rFonts w:ascii="Arial" w:hAnsi="Arial" w:cs="Arial"/>
          <w:sz w:val="20"/>
          <w:szCs w:val="20"/>
        </w:rPr>
        <w:t>.</w:t>
      </w:r>
    </w:p>
    <w:p w14:paraId="5FB8A607" w14:textId="77777777" w:rsidR="0013238B" w:rsidRPr="00885153" w:rsidRDefault="0013238B" w:rsidP="0013238B">
      <w:pPr>
        <w:pStyle w:val="Heading3"/>
        <w:numPr>
          <w:ilvl w:val="0"/>
          <w:numId w:val="19"/>
        </w:numPr>
        <w:tabs>
          <w:tab w:val="num" w:pos="360"/>
        </w:tabs>
        <w:spacing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Hypothesis 2 (H2: Community Education → Community Readiness)</w:t>
      </w:r>
    </w:p>
    <w:p w14:paraId="49C631D6" w14:textId="5B1CFB12"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The results corroborate H2, indicating that community education substantially improves readiness (β = 0.525). This suggests that formal and non-formal education enhances </w:t>
      </w:r>
      <w:r w:rsidR="00F25C56">
        <w:rPr>
          <w:rFonts w:ascii="Arial" w:hAnsi="Arial" w:cs="Arial"/>
          <w:sz w:val="20"/>
          <w:szCs w:val="20"/>
        </w:rPr>
        <w:t>people's</w:t>
      </w:r>
      <w:r w:rsidRPr="00885153">
        <w:rPr>
          <w:rFonts w:ascii="Arial" w:hAnsi="Arial" w:cs="Arial"/>
          <w:sz w:val="20"/>
          <w:szCs w:val="20"/>
        </w:rPr>
        <w:t xml:space="preserve"> capacity to comprehend policy signals, maneuver through public-service processes, and transform infrastructure availability into practical opportunities. This corresponds with contemporary work on digital governance, highlighting that exclusion may arise throughout the policy process, especially when automation and digital services impose participation barriers, necessitating intentional inclusion initiatives and capability-support systems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(Ghasemzadeh et al., 2026)</w:t>
      </w:r>
      <w:r w:rsidRPr="00885153">
        <w:rPr>
          <w:rFonts w:ascii="Arial" w:hAnsi="Arial" w:cs="Arial"/>
          <w:sz w:val="20"/>
          <w:szCs w:val="20"/>
        </w:rPr>
        <w:fldChar w:fldCharType="end"/>
      </w:r>
      <w:r w:rsidRPr="00885153">
        <w:rPr>
          <w:rFonts w:ascii="Arial" w:hAnsi="Arial" w:cs="Arial"/>
          <w:sz w:val="20"/>
          <w:szCs w:val="20"/>
        </w:rPr>
        <w:t xml:space="preserve">. </w:t>
      </w:r>
    </w:p>
    <w:p w14:paraId="5372A9AB"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Simultaneously, research on smart-city inclusion posits that addressing the digital divide necessitates a multifaceted approach: enhancement of infrastructure, educational and skill development initiatives, and governance methods that are inclusive and adapted to local socioeconomic contexts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{"citationItems":[{"id":"ITEM-1","itemData":{"DOI":"10.3390/su17135735","ISSN":"2071-1050","abstract":"The current research examines the issue of social inclusivity in the context of digitalization of smart city governance and explores ways to overcome the digital divide, which impedes equal access to online services for vulnerable population groups (elderly people, people with disabilities, low-income individuals, and residents of remote areas). Based on a literature review, the study outlines three generations of the digital divide: access, digital skills, and the ability to derive socio-economic benefits. A methodology is proposed that combines cluster analysis of 27 European cities using 11 integrated indicators, aimed at identifying typical development profiles while accounting for infrastructure, air quality, and levels of digital literacy. The results revealed four clusters: “Digital Leaders with Environmental Awareness”, “Mid-Level Cities with Development Potential”, “Opportunities with Environmental Challenges”, and “Advanced Digital Hubs with High Quality of Life”. The study confirms the hypothesis regarding the effectiveness of a comprehensive approach that integrates infrastructure investment, educational programs, and inclusive planning. The article’s conclusions emphasize the need to apply universal design principles, subsidize internet access, and regularly monitor digital inclusion indices to achieve SDGs 11 and 16.","author":[{"dropping-particle":"","family":"Kruhlov","given":"Vitalii","non-dropping-particle":"","parse-names":false,"suffix":""},{"dropping-particle":"","family":"Dvorak","given":"Jaroslav","non-dropping-particle":"","parse-names":false,"suffix":""}],"container-title":"Sustainability","id":"ITEM-1","issue":"13","issued":{"date-parts":[["2025","6","22"]]},"page":"5735","title":"Social Inclusivity in the Smart City Governance: Overcoming the Digital Divide","type":"article-journal","volume":"17"},"uris":["http://www.mendeley.com/documents/?uuid=a351fd90-fb26-4c00-be09-52a8d4b9b9d8"]}],"mendeley":{"formattedCitation":"(Kruhlov &amp; Dvorak, 2025)","plainTextFormattedCitation":"(Kruhlov &amp; Dvorak, 2025)","previouslyFormattedCitation":"(Kruhlov &amp; Dvorak, 2025)"},"properties":{"noteIndex":0},"schema":"https://github.com/citation-style-language/schema/raw/master/csl-citation.json"}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(Kruhlov &amp; Dvorak, 2025)</w:t>
      </w:r>
      <w:r w:rsidRPr="00885153">
        <w:rPr>
          <w:rFonts w:ascii="Arial" w:hAnsi="Arial" w:cs="Arial"/>
          <w:sz w:val="20"/>
          <w:szCs w:val="20"/>
        </w:rPr>
        <w:fldChar w:fldCharType="end"/>
      </w:r>
      <w:r w:rsidRPr="00885153">
        <w:rPr>
          <w:rFonts w:ascii="Arial" w:hAnsi="Arial" w:cs="Arial"/>
          <w:sz w:val="20"/>
          <w:szCs w:val="20"/>
        </w:rPr>
        <w:t>.</w:t>
      </w:r>
    </w:p>
    <w:p w14:paraId="70E3F789" w14:textId="77777777" w:rsidR="0013238B" w:rsidRPr="00885153" w:rsidRDefault="0013238B" w:rsidP="0013238B">
      <w:pPr>
        <w:pStyle w:val="Heading3"/>
        <w:numPr>
          <w:ilvl w:val="0"/>
          <w:numId w:val="19"/>
        </w:numPr>
        <w:tabs>
          <w:tab w:val="num" w:pos="360"/>
        </w:tabs>
        <w:spacing w:after="120" w:line="240" w:lineRule="auto"/>
        <w:ind w:left="493" w:hanging="493"/>
        <w:jc w:val="both"/>
        <w:rPr>
          <w:rFonts w:ascii="Arial" w:hAnsi="Arial" w:cs="Arial"/>
          <w:color w:val="auto"/>
          <w:sz w:val="20"/>
          <w:szCs w:val="20"/>
        </w:rPr>
      </w:pPr>
      <w:r w:rsidRPr="00885153">
        <w:rPr>
          <w:rFonts w:ascii="Arial" w:hAnsi="Arial" w:cs="Arial"/>
          <w:color w:val="auto"/>
          <w:sz w:val="20"/>
          <w:szCs w:val="20"/>
        </w:rPr>
        <w:t>Hypothesis 3 (H3: Community Skills → Community Readiness)</w:t>
      </w:r>
    </w:p>
    <w:p w14:paraId="749C2A9E" w14:textId="33BE51AA" w:rsidR="0013238B" w:rsidRPr="0013238B" w:rsidRDefault="0013238B" w:rsidP="0013238B">
      <w:pPr>
        <w:spacing w:after="0" w:line="240" w:lineRule="auto"/>
        <w:ind w:firstLine="720"/>
        <w:contextualSpacing/>
        <w:jc w:val="both"/>
        <w:rPr>
          <w:rStyle w:val="Strong"/>
          <w:rFonts w:ascii="Arial" w:hAnsi="Arial" w:cs="Arial"/>
          <w:b w:val="0"/>
          <w:bCs w:val="0"/>
          <w:sz w:val="20"/>
          <w:szCs w:val="20"/>
        </w:rPr>
      </w:pPr>
      <w:r w:rsidRPr="0013238B">
        <w:rPr>
          <w:rStyle w:val="Strong"/>
          <w:rFonts w:ascii="Arial" w:hAnsi="Arial" w:cs="Arial"/>
          <w:b w:val="0"/>
          <w:bCs w:val="0"/>
          <w:sz w:val="20"/>
          <w:szCs w:val="20"/>
        </w:rPr>
        <w:t xml:space="preserve">The findings corroborate H3, demonstrating that community skills positively affect community readiness to employ IKN-related infrastructure (β = 0.310). This indicates that fundamental literacy, technical proficiency, and problem-solving skills serve as </w:t>
      </w:r>
      <w:r w:rsidR="00F25C56">
        <w:rPr>
          <w:rStyle w:val="Strong"/>
          <w:rFonts w:ascii="Arial" w:hAnsi="Arial" w:cs="Arial"/>
          <w:b w:val="0"/>
          <w:bCs w:val="0"/>
          <w:sz w:val="20"/>
          <w:szCs w:val="20"/>
        </w:rPr>
        <w:t>facilitators that reduce operational obstacles when citizens seek information, understand procedures, and use</w:t>
      </w:r>
      <w:r w:rsidRPr="0013238B">
        <w:rPr>
          <w:rStyle w:val="Strong"/>
          <w:rFonts w:ascii="Arial" w:hAnsi="Arial" w:cs="Arial"/>
          <w:b w:val="0"/>
          <w:bCs w:val="0"/>
          <w:sz w:val="20"/>
          <w:szCs w:val="20"/>
        </w:rPr>
        <w:t xml:space="preserve"> technology-mediated services. Recent findings from e-government research indicate that ICT/e-skills are a crucial factor in the effective usage of e-government and are essential to current theories of the "digital divide," suggesting that disparities in abilities might lead to unequal participation and utilization outcomes </w:t>
      </w:r>
      <w:r w:rsidRPr="0013238B">
        <w:rPr>
          <w:rStyle w:val="Strong"/>
          <w:rFonts w:ascii="Arial" w:hAnsi="Arial" w:cs="Arial"/>
          <w:b w:val="0"/>
          <w:bCs w:val="0"/>
          <w:sz w:val="20"/>
          <w:szCs w:val="20"/>
        </w:rPr>
        <w:fldChar w:fldCharType="begin" w:fldLock="1"/>
      </w:r>
      <w:r w:rsidRPr="0013238B">
        <w:rPr>
          <w:rStyle w:val="Strong"/>
          <w:rFonts w:ascii="Arial" w:hAnsi="Arial" w:cs="Arial"/>
          <w:b w:val="0"/>
          <w:bCs w:val="0"/>
          <w:sz w:val="20"/>
          <w:szCs w:val="20"/>
        </w:rPr>
        <w:instrText>ADDIN CSL_CITATION {"citationItems":[{"id":"ITEM-1","itemData":{"DOI":"10.1016/j.telpol.2025.102918","ISSN":"03085961","abstract":"This paper examines the factors that determine the use of e-government services in Spain. It identifies key determinants, including e-services usage synergies, e-trust, e-skills and socio-demographic determinants of e-government use as an outcome of a logit model with national data from 2023. The main results highlight the key role of ICT skills, confidence in technology and the quality of Internet connectivity, revealing significant disparities between socio-economic groups. Meanwhile, it explores the second and third levels of the digital divide, with a special focus on the information and ICT domain and its effective application, analysing the penetration and main uses of e-government in Spain. Policy recommendations call for the enhancement of digital literacy, the fostering of trust in e-government and the improvement of Internet access for vulnerable populations to promote inclusive digital governance.","author":[{"dropping-particle":"","family":"Gijón","given":"Covadonga","non-dropping-particle":"","parse-names":false,"suffix":""},{"dropping-particle":"","family":"Fernández-Bonilla","given":"Fernando","non-dropping-particle":"","parse-names":false,"suffix":""},{"dropping-particle":"","family":"Ruíz-Rúa","given":"Aurora","non-dropping-particle":"","parse-names":false,"suffix":""}],"container-title":"Telecommunications Policy","id":"ITEM-1","issue":"3","issued":{"date-parts":[["2025","4"]]},"page":"102918","title":"Different approaches to Spanish e-government: From use to impact","type":"article-journal","volume":"49"},"uris":["http://www.mendeley.com/documents/?uuid=144ddf2a-0af4-492d-bd61-4f74ed1b9f30"]}],"mendeley":{"formattedCitation":"(Gijón et al., 2025)","plainTextFormattedCitation":"(Gijón et al., 2025)","previouslyFormattedCitation":"(Gijón et al., 2025)"},"properties":{"noteIndex":0},"schema":"https://github.com/citation-style-language/schema/raw/master/csl-citation.json"}</w:instrText>
      </w:r>
      <w:r w:rsidRPr="0013238B">
        <w:rPr>
          <w:rStyle w:val="Strong"/>
          <w:rFonts w:ascii="Arial" w:hAnsi="Arial" w:cs="Arial"/>
          <w:b w:val="0"/>
          <w:bCs w:val="0"/>
          <w:sz w:val="20"/>
          <w:szCs w:val="20"/>
        </w:rPr>
        <w:fldChar w:fldCharType="separate"/>
      </w:r>
      <w:r w:rsidRPr="0013238B">
        <w:rPr>
          <w:rStyle w:val="Strong"/>
          <w:rFonts w:ascii="Arial" w:hAnsi="Arial" w:cs="Arial"/>
          <w:b w:val="0"/>
          <w:bCs w:val="0"/>
          <w:noProof/>
          <w:sz w:val="20"/>
          <w:szCs w:val="20"/>
        </w:rPr>
        <w:t>(Gijón et al., 2025)</w:t>
      </w:r>
      <w:r w:rsidRPr="0013238B">
        <w:rPr>
          <w:rStyle w:val="Strong"/>
          <w:rFonts w:ascii="Arial" w:hAnsi="Arial" w:cs="Arial"/>
          <w:b w:val="0"/>
          <w:bCs w:val="0"/>
          <w:sz w:val="20"/>
          <w:szCs w:val="20"/>
        </w:rPr>
        <w:fldChar w:fldCharType="end"/>
      </w:r>
      <w:r w:rsidRPr="0013238B">
        <w:rPr>
          <w:rStyle w:val="Strong"/>
          <w:rFonts w:ascii="Arial" w:hAnsi="Arial" w:cs="Arial"/>
          <w:b w:val="0"/>
          <w:bCs w:val="0"/>
          <w:sz w:val="20"/>
          <w:szCs w:val="20"/>
        </w:rPr>
        <w:t xml:space="preserve">. Furthermore, the digital government study underscores that automation may lead to exclusion throughout policy phases unless inclusion mechanisms specifically tackle citizens' capability limitations, hence highlighting the importance of skills as a fundamental readiness element </w:t>
      </w:r>
      <w:r w:rsidRPr="0013238B">
        <w:rPr>
          <w:rStyle w:val="Strong"/>
          <w:rFonts w:ascii="Arial" w:hAnsi="Arial" w:cs="Arial"/>
          <w:b w:val="0"/>
          <w:bCs w:val="0"/>
          <w:sz w:val="20"/>
          <w:szCs w:val="20"/>
        </w:rPr>
        <w:fldChar w:fldCharType="begin" w:fldLock="1"/>
      </w:r>
      <w:r w:rsidRPr="0013238B">
        <w:rPr>
          <w:rStyle w:val="Strong"/>
          <w:rFonts w:ascii="Arial" w:hAnsi="Arial" w:cs="Arial"/>
          <w:b w:val="0"/>
          <w:bCs w:val="0"/>
          <w:sz w:val="20"/>
          <w:szCs w:val="20"/>
        </w:rPr>
        <w:instrText>ADDIN CSL_CITATION {"citationItems":[{"id":"ITEM-1","itemData":{"DOI":"10.1016/j.giq.2025.102028","ISSN":"0740624X","abstract":"The idea of ‘digital government inclusion’ – which builds upon notions of digital and social equity – implies that every person is equally able to participate in and benefit from digital government applications and procedures. In this article, through a policy stages lens, we explore aspects of government automation that complicate various dimensions of equity and inclusion as well as propose mitigating mechanisms that can improve digital government equity and inclusion. For a broader understanding of digital government inclusion, we start with a historical exploration of how data collection and digital government are inherently intertwined with notions of (statistical) normality. We then identify key findings from the broader literature and the articles included in GIQ's special issue on digital government inclusion that point to challenges as well as some potential tools to confront these issues.","author":[{"dropping-particle":"","family":"Peeters","given":"Rik","non-dropping-particle":"","parse-names":false,"suffix":""},{"dropping-particle":"","family":"Miller","given":"Susan M.","non-dropping-particle":"","parse-names":false,"suffix":""},{"dropping-particle":"","family":"Schuilenburg","given":"Marc","non-dropping-particle":"","parse-names":false,"suffix":""}],"container-title":"Government Information Quarterly","id":"ITEM-1","issue":"2","issued":{"date-parts":[["2025"]]},"page":"102028","publisher":"Elsevier Inc.","title":"Digital government inclusion: Exploring strategies for inclusive government automation","type":"article-journal","volume":"42"},"uris":["http://www.mendeley.com/documents/?uuid=f7db0975-5f19-4799-a7aa-0c5a1f9c1f5c"]}],"mendeley":{"formattedCitation":"(Peeters et al., 2025)","plainTextFormattedCitation":"(Peeters et al., 2025)","previouslyFormattedCitation":"(Peeters et al., 2025)"},"properties":{"noteIndex":0},"schema":"https://github.com/citation-style-language/schema/raw/master/csl-citation.json"}</w:instrText>
      </w:r>
      <w:r w:rsidRPr="0013238B">
        <w:rPr>
          <w:rStyle w:val="Strong"/>
          <w:rFonts w:ascii="Arial" w:hAnsi="Arial" w:cs="Arial"/>
          <w:b w:val="0"/>
          <w:bCs w:val="0"/>
          <w:sz w:val="20"/>
          <w:szCs w:val="20"/>
        </w:rPr>
        <w:fldChar w:fldCharType="separate"/>
      </w:r>
      <w:r w:rsidRPr="0013238B">
        <w:rPr>
          <w:rStyle w:val="Strong"/>
          <w:rFonts w:ascii="Arial" w:hAnsi="Arial" w:cs="Arial"/>
          <w:b w:val="0"/>
          <w:bCs w:val="0"/>
          <w:noProof/>
          <w:sz w:val="20"/>
          <w:szCs w:val="20"/>
        </w:rPr>
        <w:t>(Peeters et al., 2025)</w:t>
      </w:r>
      <w:r w:rsidRPr="0013238B">
        <w:rPr>
          <w:rStyle w:val="Strong"/>
          <w:rFonts w:ascii="Arial" w:hAnsi="Arial" w:cs="Arial"/>
          <w:b w:val="0"/>
          <w:bCs w:val="0"/>
          <w:sz w:val="20"/>
          <w:szCs w:val="20"/>
        </w:rPr>
        <w:fldChar w:fldCharType="end"/>
      </w:r>
      <w:r w:rsidRPr="0013238B">
        <w:rPr>
          <w:rStyle w:val="Strong"/>
          <w:rFonts w:ascii="Arial" w:hAnsi="Arial" w:cs="Arial"/>
          <w:b w:val="0"/>
          <w:bCs w:val="0"/>
          <w:sz w:val="20"/>
          <w:szCs w:val="20"/>
        </w:rPr>
        <w:t xml:space="preserve">. Smart-city literature emphasizes user capacity as a fundamental social obstacle influencing participation and fairness, asserting that urban digital participation necessitates not only platforms but also residents' proficiency in engaging with data-driven practices and post-participation procedures </w:t>
      </w:r>
      <w:r w:rsidRPr="0013238B">
        <w:rPr>
          <w:rStyle w:val="Strong"/>
          <w:rFonts w:ascii="Arial" w:hAnsi="Arial" w:cs="Arial"/>
          <w:b w:val="0"/>
          <w:bCs w:val="0"/>
          <w:sz w:val="20"/>
          <w:szCs w:val="20"/>
        </w:rPr>
        <w:fldChar w:fldCharType="begin" w:fldLock="1"/>
      </w:r>
      <w:r w:rsidRPr="0013238B">
        <w:rPr>
          <w:rStyle w:val="Strong"/>
          <w:rFonts w:ascii="Arial" w:hAnsi="Arial" w:cs="Arial"/>
          <w:b w:val="0"/>
          <w:bCs w:val="0"/>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Pr="0013238B">
        <w:rPr>
          <w:rStyle w:val="Strong"/>
          <w:rFonts w:ascii="Arial" w:hAnsi="Arial" w:cs="Arial"/>
          <w:b w:val="0"/>
          <w:bCs w:val="0"/>
          <w:sz w:val="20"/>
          <w:szCs w:val="20"/>
        </w:rPr>
        <w:fldChar w:fldCharType="separate"/>
      </w:r>
      <w:r w:rsidRPr="0013238B">
        <w:rPr>
          <w:rStyle w:val="Strong"/>
          <w:rFonts w:ascii="Arial" w:hAnsi="Arial" w:cs="Arial"/>
          <w:b w:val="0"/>
          <w:bCs w:val="0"/>
          <w:noProof/>
          <w:sz w:val="20"/>
          <w:szCs w:val="20"/>
        </w:rPr>
        <w:t>(Ghasemzadeh et al., 2026)</w:t>
      </w:r>
      <w:r w:rsidRPr="0013238B">
        <w:rPr>
          <w:rStyle w:val="Strong"/>
          <w:rFonts w:ascii="Arial" w:hAnsi="Arial" w:cs="Arial"/>
          <w:b w:val="0"/>
          <w:bCs w:val="0"/>
          <w:sz w:val="20"/>
          <w:szCs w:val="20"/>
        </w:rPr>
        <w:fldChar w:fldCharType="end"/>
      </w:r>
      <w:r w:rsidRPr="0013238B">
        <w:rPr>
          <w:rStyle w:val="Strong"/>
          <w:rFonts w:ascii="Arial" w:hAnsi="Arial" w:cs="Arial"/>
          <w:b w:val="0"/>
          <w:bCs w:val="0"/>
          <w:sz w:val="20"/>
          <w:szCs w:val="20"/>
        </w:rPr>
        <w:t xml:space="preserve">. Consequently, within the IKN framework, skill-building initiatives </w:t>
      </w:r>
      <w:r w:rsidR="00F25C56">
        <w:rPr>
          <w:rStyle w:val="Strong"/>
          <w:rFonts w:ascii="Arial" w:hAnsi="Arial" w:cs="Arial"/>
          <w:b w:val="0"/>
          <w:bCs w:val="0"/>
          <w:sz w:val="20"/>
          <w:szCs w:val="20"/>
        </w:rPr>
        <w:t>should be formulated as practical, use-case-focused programs (e.g., service navigation, digital transaction procedures, and problem-solving exercises) to ensure</w:t>
      </w:r>
      <w:r w:rsidRPr="0013238B">
        <w:rPr>
          <w:rStyle w:val="Strong"/>
          <w:rFonts w:ascii="Arial" w:hAnsi="Arial" w:cs="Arial"/>
          <w:b w:val="0"/>
          <w:bCs w:val="0"/>
          <w:sz w:val="20"/>
          <w:szCs w:val="20"/>
        </w:rPr>
        <w:t xml:space="preserve"> that infrastructure accessibility translates into inclusive and enduring community engagement. </w:t>
      </w:r>
    </w:p>
    <w:p w14:paraId="261BE650" w14:textId="77777777" w:rsidR="0013238B" w:rsidRPr="00885153" w:rsidRDefault="0013238B" w:rsidP="0013238B">
      <w:pPr>
        <w:pStyle w:val="Heading3"/>
        <w:numPr>
          <w:ilvl w:val="0"/>
          <w:numId w:val="19"/>
        </w:numPr>
        <w:tabs>
          <w:tab w:val="num" w:pos="360"/>
        </w:tabs>
        <w:spacing w:after="120" w:line="240" w:lineRule="auto"/>
        <w:ind w:left="493" w:hanging="493"/>
        <w:jc w:val="both"/>
        <w:rPr>
          <w:rFonts w:ascii="Arial" w:hAnsi="Arial" w:cs="Arial"/>
          <w:b w:val="0"/>
          <w:bCs/>
          <w:color w:val="auto"/>
          <w:sz w:val="20"/>
          <w:szCs w:val="20"/>
        </w:rPr>
      </w:pPr>
      <w:r w:rsidRPr="00885153">
        <w:rPr>
          <w:rFonts w:ascii="Arial" w:hAnsi="Arial" w:cs="Arial"/>
          <w:color w:val="auto"/>
          <w:sz w:val="20"/>
          <w:szCs w:val="20"/>
        </w:rPr>
        <w:t>Integrated Interpretation and Theoretical Contribution</w:t>
      </w:r>
    </w:p>
    <w:p w14:paraId="175F48BB"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The results suggest a motivation-capability framework of readiness: motivation (ERG-oriented needs) serves as the major impetus for participation, while education and skills furnish the informational and technical resources necessary for action. This cohesive pattern aligns with recent analyses that recognize user capacity, attitudes, and inequality-related obstacles as essential factors influencing the efficacy of smart-city initiatives, highlighting the necessity of participatory governance and participation for achieving equitable results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{"citationItems":[{"id":"ITEM-1","itemData":{"DOI":"10.1016/j.techsoc.2025.103130","ISSN":"0160791X","abstract":"The growing role of advanced technologies in urban life, often in the context of policy initiatives like ‘smart cities,’ is leading to social change that calls for policy attention and scholarly analysis. The academic literature has made progress incorporating social dimensions into the analysis of smart cities, but a more robust understanding is needed about social challenges specifically – including patterns of exclusion, inequality, and marginalization. This study presents the results of a scoping review and thematic analysis of academic literature that codes and categorizes accounts of social challenges related to the proliferation of smart city technologies. The cross-disciplinary sample draws on studies published since 2000, including works that provide theoretical and social context and those that capture emerging socio-political and technological trends. Results reveal a variety of social challenges associated with age, gender, race, income, citizenship status, and other personal characteristics. Results also reveal patterns in how personal attitudes, concerns about privacy, and technology skill impact the effectiveness of smart city programs. At a higher level, governance quality and power dynamics are increasingly recognized by the literature as mediators of smart cities effectiveness, encompassing issues like stakeholder collaboration, policymaking processes, and data ownership and control. This article summarizes these points in a novel framework applicable to future research, and provides practical recommendations to address social challenges in smart cities, including distributional fairness, public participation, and enhanced user capacity.","author":[{"dropping-particle":"","family":"Ghasemzadeh","given":"Behnam","non-dropping-particle":"","parse-names":false,"suffix":""},{"dropping-particle":"","family":"Rasoulzadeh Aghdam","given":"Samad","non-dropping-particle":"","parse-names":false,"suffix":""},{"dropping-particle":"","family":"Hartley","given":"Kris","non-dropping-particle":"","parse-names":false,"suffix":""},{"dropping-particle":"","family":"Bababeimorad","given":"Behnaz","non-dropping-particle":"","parse-names":false,"suffix":""},{"dropping-particle":"","family":"Rahnamayiezekavat","given":"Payam","non-dropping-particle":"","parse-names":false,"suffix":""}],"container-title":"Technology in Society","id":"ITEM-1","issue":"February 2025","issued":{"date-parts":[["2026","3"]]},"page":"103130","publisher":"Elsevier Ltd","title":"Social challenges in smart cities: a scoping review and framework for policy action","type":"article-journal","volume":"84"},"uris":["http://www.mendeley.com/documents/?uuid=cbe6aafa-db0e-4931-8669-fb520eb64bc4"]}],"mendeley":{"formattedCitation":"(Ghasemzadeh et al., 2026)","plainTextFormattedCitation":"(Ghasemzadeh et al., 2026)","previouslyFormattedCitation":"(Ghasemzadeh et al., 2026)"},"properties":{"noteIndex":0},"schema":"https://github.com/citation-style-language/schema/raw/master/csl-citation.json"}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(Ghasemzadeh et al., 2026)</w:t>
      </w:r>
      <w:r w:rsidRPr="00885153">
        <w:rPr>
          <w:rFonts w:ascii="Arial" w:hAnsi="Arial" w:cs="Arial"/>
          <w:sz w:val="20"/>
          <w:szCs w:val="20"/>
        </w:rPr>
        <w:fldChar w:fldCharType="end"/>
      </w:r>
      <w:r w:rsidRPr="00885153">
        <w:rPr>
          <w:rFonts w:ascii="Arial" w:hAnsi="Arial" w:cs="Arial"/>
          <w:sz w:val="20"/>
          <w:szCs w:val="20"/>
        </w:rPr>
        <w:t xml:space="preserve">. </w:t>
      </w:r>
    </w:p>
    <w:p w14:paraId="3D75F438"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lastRenderedPageBreak/>
        <w:t xml:space="preserve">This study's theoretical contribution is the empirical integration of an ERG-based motivational framework (existence–relatedness–growth) with a multidimensional community readiness model (efforts, knowledge, leadership, climate, issue understanding, resources). Current assessments of readiness underscore its essentially complex nature, indicating that deficiencies in any one factor might impede systemic transformation </w:t>
      </w:r>
      <w:r w:rsidRPr="00885153">
        <w:rPr>
          <w:rFonts w:ascii="Arial" w:hAnsi="Arial" w:cs="Arial"/>
          <w:sz w:val="20"/>
          <w:szCs w:val="20"/>
        </w:rPr>
        <w:fldChar w:fldCharType="begin" w:fldLock="1"/>
      </w:r>
      <w:r w:rsidRPr="00885153">
        <w:rPr>
          <w:rFonts w:ascii="Arial" w:hAnsi="Arial" w:cs="Arial"/>
          <w:sz w:val="20"/>
          <w:szCs w:val="20"/>
        </w:rPr>
        <w:instrText>ADDIN CSL_CITATION {"citationItems":[{"id":"ITEM-1","itemData":{"DOI":"10.3390/bs16010153","ISSN":"2076-328X","abstract":"Background: Community readiness assessment is used to gauge a community’s ability to address systemic issues and inform action. The Community Readiness Instrument (CRI) is the only published tool to have undergone rigorous development and testing. The purpose of this study is to further refine the CRI and establish its score reliability and validity evidence so that healthcare professionals, community advocates, and researchers have a strong assessment of community readiness. Methods: The present study details continued assessment of the CRI through full-scale testing. We conducted a second-order confirmatory factor analysis to analyze the CRI’s six-factor structure. We also conducted Rasch analyses to determine the item-level fit statistics for each subscale. Results: Our results suggest that the CRI is a well-structured quantitative tool with items demonstrating sufficient fit under each first-order latent factor. The items each fell into one-factor solutions, and the six subscales collectively formed a higher-order construct of Community Readiness. The CRI continues to demonstrate strong psychometric properties, score reliability, and validity evidence. Conclusions: Mental health and addiction professionals can use the CRI to explore change readiness toward a specific issue in their communities. Implications for practitioners, community advocates, and future researchers are provided.","author":[{"dropping-particle":"","family":"Ricciutti","given":"Natalie M.","non-dropping-particle":"","parse-names":false,"suffix":""},{"dropping-particle":"","family":"Cureton","given":"Jenny L.","non-dropping-particle":"","parse-names":false,"suffix":""},{"dropping-particle":"","family":"Zhang","given":"Sijia","non-dropping-particle":"","parse-names":false,"suffix":""}],"container-title":"Behavioral Sciences","id":"ITEM-1","issue":"1","issued":{"date-parts":[["2026","1","22"]]},"page":"153","title":"The Community Readiness Instrument: A Quantitative Measurement Using Statistical Best Practices to Assess Systemic Change Readiness","type":"article-journal","volume":"16"},"uris":["http://www.mendeley.com/documents/?uuid=e9323dd0-1237-4999-a0b4-7be9ef7b8c94"]}],"mendeley":{"formattedCitation":"(Ricciutti et al., 2026)","plainTextFormattedCitation":"(Ricciutti et al., 2026)","previouslyFormattedCitation":"(Ricciutti et al., 2026)"},"properties":{"noteIndex":0},"schema":"https://github.com/citation-style-language/schema/raw/master/csl-citation.json"}</w:instrText>
      </w:r>
      <w:r w:rsidRPr="00885153">
        <w:rPr>
          <w:rFonts w:ascii="Arial" w:hAnsi="Arial" w:cs="Arial"/>
          <w:sz w:val="20"/>
          <w:szCs w:val="20"/>
        </w:rPr>
        <w:fldChar w:fldCharType="separate"/>
      </w:r>
      <w:r w:rsidRPr="00885153">
        <w:rPr>
          <w:rFonts w:ascii="Arial" w:hAnsi="Arial" w:cs="Arial"/>
          <w:noProof/>
          <w:sz w:val="20"/>
          <w:szCs w:val="20"/>
        </w:rPr>
        <w:t>(Ricciutti et al., 2026)</w:t>
      </w:r>
      <w:r w:rsidRPr="00885153">
        <w:rPr>
          <w:rFonts w:ascii="Arial" w:hAnsi="Arial" w:cs="Arial"/>
          <w:sz w:val="20"/>
          <w:szCs w:val="20"/>
        </w:rPr>
        <w:fldChar w:fldCharType="end"/>
      </w:r>
      <w:r w:rsidRPr="00885153">
        <w:rPr>
          <w:rFonts w:ascii="Arial" w:hAnsi="Arial" w:cs="Arial"/>
          <w:sz w:val="20"/>
          <w:szCs w:val="20"/>
        </w:rPr>
        <w:t xml:space="preserve">. </w:t>
      </w:r>
    </w:p>
    <w:p w14:paraId="7126CA5A" w14:textId="77777777"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In the context of the IKN megaproject, interventions that solely emphasize technical training may underachieve unless they also enhance motivational alignment—connecting infrastructure to welfare, security, social belonging, and growth opportunities—and foster a deeper understanding of issues and program knowledge through continuous, inclusive engagement.</w:t>
      </w:r>
    </w:p>
    <w:p w14:paraId="782DDFDE" w14:textId="77777777" w:rsidR="0013238B" w:rsidRPr="00885153" w:rsidRDefault="0013238B" w:rsidP="0013238B">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Implications</w:t>
      </w:r>
    </w:p>
    <w:p w14:paraId="12F24D8C" w14:textId="77777777" w:rsidR="0013238B" w:rsidRPr="00885153" w:rsidRDefault="0013238B" w:rsidP="0013238B">
      <w:pPr>
        <w:pStyle w:val="NormalWeb"/>
        <w:spacing w:before="0" w:beforeAutospacing="0" w:after="0" w:afterAutospacing="0"/>
        <w:jc w:val="both"/>
        <w:rPr>
          <w:rFonts w:ascii="Arial" w:hAnsi="Arial" w:cs="Arial"/>
          <w:sz w:val="20"/>
          <w:szCs w:val="20"/>
          <w:lang w:val="en-US" w:eastAsia="en-US"/>
        </w:rPr>
      </w:pPr>
      <w:r w:rsidRPr="00885153">
        <w:rPr>
          <w:rFonts w:ascii="Arial" w:hAnsi="Arial" w:cs="Arial"/>
          <w:sz w:val="20"/>
          <w:szCs w:val="20"/>
          <w:lang w:val="en-US" w:eastAsia="en-US"/>
        </w:rPr>
        <w:t xml:space="preserve">This analysis suggests that Community Readiness in the IKN host area should be regarded as a readiness-building initiative rather than solely an infrastructure delivery initiative. The structural findings indicate that readiness is most influenced by Community Motivation, succeeded by Community Education and Community Skills. </w:t>
      </w:r>
    </w:p>
    <w:p w14:paraId="7495BE1C" w14:textId="77777777" w:rsidR="0013238B" w:rsidRDefault="0013238B" w:rsidP="0013238B">
      <w:pPr>
        <w:pStyle w:val="NormalWeb"/>
        <w:spacing w:before="0" w:beforeAutospacing="0" w:after="0" w:afterAutospacing="0"/>
        <w:jc w:val="both"/>
        <w:rPr>
          <w:rFonts w:ascii="Arial" w:hAnsi="Arial" w:cs="Arial"/>
          <w:sz w:val="20"/>
          <w:szCs w:val="20"/>
          <w:lang w:val="en-US" w:eastAsia="en-US"/>
        </w:rPr>
      </w:pPr>
      <w:r w:rsidRPr="00885153">
        <w:rPr>
          <w:rFonts w:ascii="Arial" w:hAnsi="Arial" w:cs="Arial"/>
          <w:sz w:val="20"/>
          <w:szCs w:val="20"/>
          <w:lang w:val="en-US" w:eastAsia="en-US"/>
        </w:rPr>
        <w:t xml:space="preserve">Inclusion initiatives should (1) enhance motivation by associating IKN programs with welfare/security, social inclusion, and growth opportunities, (2) broaden non-formal education to augment residents’ capacity to comprehend programs and procedures, and (3) provide practical skills assistance aimed at service navigation and problem-solving to diminish access barriers and elevate participation. </w:t>
      </w:r>
    </w:p>
    <w:p w14:paraId="6E0C4730" w14:textId="77777777" w:rsidR="00F25C56" w:rsidRDefault="00F25C56" w:rsidP="0013238B">
      <w:pPr>
        <w:pStyle w:val="NormalWeb"/>
        <w:spacing w:before="0" w:beforeAutospacing="0" w:after="0" w:afterAutospacing="0"/>
        <w:jc w:val="both"/>
        <w:rPr>
          <w:rFonts w:ascii="Arial" w:hAnsi="Arial" w:cs="Arial"/>
          <w:sz w:val="20"/>
          <w:szCs w:val="20"/>
          <w:lang w:val="en-US" w:eastAsia="en-US"/>
        </w:rPr>
      </w:pPr>
    </w:p>
    <w:p w14:paraId="0769E5CE" w14:textId="77777777" w:rsidR="00F25C56" w:rsidRPr="00885153" w:rsidRDefault="00F25C56" w:rsidP="0013238B">
      <w:pPr>
        <w:pStyle w:val="NormalWeb"/>
        <w:spacing w:before="0" w:beforeAutospacing="0" w:after="0" w:afterAutospacing="0"/>
        <w:jc w:val="both"/>
        <w:rPr>
          <w:rFonts w:ascii="Arial" w:hAnsi="Arial" w:cs="Arial"/>
          <w:sz w:val="20"/>
          <w:szCs w:val="20"/>
        </w:rPr>
      </w:pPr>
    </w:p>
    <w:p w14:paraId="665BADA9" w14:textId="77777777" w:rsidR="0013238B" w:rsidRPr="00885153" w:rsidRDefault="0013238B" w:rsidP="0013238B">
      <w:pPr>
        <w:spacing w:after="0" w:line="240" w:lineRule="auto"/>
        <w:ind w:firstLine="720"/>
        <w:contextualSpacing/>
        <w:jc w:val="both"/>
        <w:rPr>
          <w:rFonts w:ascii="Arial" w:hAnsi="Arial" w:cs="Arial"/>
          <w:sz w:val="20"/>
          <w:szCs w:val="20"/>
        </w:rPr>
      </w:pPr>
    </w:p>
    <w:p w14:paraId="53FA1D56" w14:textId="77777777" w:rsidR="0013238B" w:rsidRPr="00885153" w:rsidRDefault="0013238B" w:rsidP="0013238B">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Conclusion</w:t>
      </w:r>
    </w:p>
    <w:p w14:paraId="3D444FE6" w14:textId="304BABB3" w:rsidR="0013238B"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This study establishes that community readiness in the IKN host region is elucidated by a motivation-capability process. All proposed pathways are empirically beneficial and significant. Community Motivation exerts the most substantial influence on Community Readiness (β = 0.737), followed by Community Education (β = 0.525) and Community Skills (β = 0.310), together accounting for 37.0% of the variance in readiness (R² = 0.370).  This suggests that communities are more equipped to participate in IKN-related transformation when residents (a) view the change as significant and worthwhile (motivation) and (b) have the interpretative and operational capabilities to act (knowledge and skills). Nonetheless, preparedness is not consistent across several dimensions. Descriptive results indicate that Problem Understanding is the least robust readiness component (Mean = 2.46; 49.26%), implying that a deficient comprehension of the changes, their impact on livelihoods, and the available actionable pathways to access benefits may hinder the conversion of willingness and human capital into effective utilization. Consequently, the inclusive implementation of IKN should emphasize continuous communication and experiential learning to bridge the "problem understanding" gap, </w:t>
      </w:r>
      <w:r w:rsidR="00F25C56">
        <w:rPr>
          <w:rFonts w:ascii="Arial" w:hAnsi="Arial" w:cs="Arial"/>
          <w:sz w:val="20"/>
          <w:szCs w:val="20"/>
        </w:rPr>
        <w:t>enabling communities to convert preparedness into sustained engagement and more equitable outcomes</w:t>
      </w:r>
      <w:r w:rsidRPr="00885153">
        <w:rPr>
          <w:rFonts w:ascii="Arial" w:hAnsi="Arial" w:cs="Arial"/>
          <w:sz w:val="20"/>
          <w:szCs w:val="20"/>
        </w:rPr>
        <w:t>.</w:t>
      </w:r>
    </w:p>
    <w:p w14:paraId="3CEA43F0" w14:textId="77777777" w:rsidR="007C45BE" w:rsidRDefault="007C45BE" w:rsidP="0013238B">
      <w:pPr>
        <w:spacing w:after="0" w:line="240" w:lineRule="auto"/>
        <w:ind w:firstLine="720"/>
        <w:contextualSpacing/>
        <w:jc w:val="both"/>
        <w:rPr>
          <w:rFonts w:ascii="Arial" w:hAnsi="Arial" w:cs="Arial"/>
          <w:sz w:val="20"/>
          <w:szCs w:val="20"/>
        </w:rPr>
      </w:pPr>
    </w:p>
    <w:p w14:paraId="3786155A" w14:textId="77777777" w:rsidR="007C45BE" w:rsidRPr="00885153" w:rsidRDefault="007C45BE" w:rsidP="007C45BE">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Limitations and Future Research</w:t>
      </w:r>
    </w:p>
    <w:p w14:paraId="2DEDE840" w14:textId="77777777" w:rsidR="007C45BE" w:rsidRPr="00885153" w:rsidRDefault="007C45BE" w:rsidP="007C45BE">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This research is cross-sectional and depends on self-reported survey data; hence, the findings should be regarded as robust relationships consistent with the suggested causal sequence rather than conclusive temporal causality. The sample is confined to the four IKN host subdistricts, </w:t>
      </w:r>
      <w:r>
        <w:rPr>
          <w:rFonts w:ascii="Arial" w:hAnsi="Arial" w:cs="Arial"/>
          <w:sz w:val="20"/>
          <w:szCs w:val="20"/>
        </w:rPr>
        <w:t>which may limit generalizability beyond</w:t>
      </w:r>
      <w:r w:rsidRPr="00885153">
        <w:rPr>
          <w:rFonts w:ascii="Arial" w:hAnsi="Arial" w:cs="Arial"/>
          <w:sz w:val="20"/>
          <w:szCs w:val="20"/>
        </w:rPr>
        <w:t xml:space="preserve"> the primary region. Future research should employ longitudinal or quasi-experimental designs and integrate objective indicators (e.g., confirmed service utilization or program participation records) to enhance causal inference and substantiate the behavioral translation of ready.</w:t>
      </w:r>
    </w:p>
    <w:p w14:paraId="5B3F08DC" w14:textId="77777777" w:rsidR="007C45BE" w:rsidRPr="00885153" w:rsidRDefault="007C45BE" w:rsidP="0013238B">
      <w:pPr>
        <w:spacing w:after="0" w:line="240" w:lineRule="auto"/>
        <w:ind w:firstLine="720"/>
        <w:contextualSpacing/>
        <w:jc w:val="both"/>
        <w:rPr>
          <w:rFonts w:ascii="Arial" w:hAnsi="Arial" w:cs="Arial"/>
          <w:sz w:val="20"/>
          <w:szCs w:val="20"/>
        </w:rPr>
      </w:pPr>
    </w:p>
    <w:p w14:paraId="00B9F45D" w14:textId="77777777" w:rsidR="0013238B" w:rsidRPr="00885153" w:rsidRDefault="0013238B" w:rsidP="0013238B">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Ethics Statement</w:t>
      </w:r>
    </w:p>
    <w:p w14:paraId="78E04409" w14:textId="3DCD2F2C" w:rsidR="0013238B" w:rsidRPr="00885153" w:rsidRDefault="0013238B" w:rsidP="0013238B">
      <w:pPr>
        <w:spacing w:after="0" w:line="240" w:lineRule="auto"/>
        <w:ind w:firstLine="720"/>
        <w:contextualSpacing/>
        <w:jc w:val="both"/>
        <w:rPr>
          <w:rFonts w:ascii="Arial" w:hAnsi="Arial" w:cs="Arial"/>
          <w:sz w:val="20"/>
          <w:szCs w:val="20"/>
        </w:rPr>
      </w:pPr>
      <w:r w:rsidRPr="00885153">
        <w:rPr>
          <w:rFonts w:ascii="Arial" w:hAnsi="Arial" w:cs="Arial"/>
          <w:sz w:val="20"/>
          <w:szCs w:val="20"/>
        </w:rPr>
        <w:t xml:space="preserve">Formal ethics approval was not </w:t>
      </w:r>
      <w:r w:rsidR="00F25C56">
        <w:rPr>
          <w:rFonts w:ascii="Arial" w:hAnsi="Arial" w:cs="Arial"/>
          <w:sz w:val="20"/>
          <w:szCs w:val="20"/>
        </w:rPr>
        <w:t>required, as the study involved a minimal-risk, anonymous questionnaire survey of adults, excluding therapeutic interventions and the collection</w:t>
      </w:r>
      <w:r w:rsidRPr="00885153">
        <w:rPr>
          <w:rFonts w:ascii="Arial" w:hAnsi="Arial" w:cs="Arial"/>
          <w:sz w:val="20"/>
          <w:szCs w:val="20"/>
        </w:rPr>
        <w:t xml:space="preserve"> of personally identifiable information. Nonetheless, the research adhered to established ethical protocols: voluntary participation, informed consent acquired from all participants before data collection, confidentiality and anonymity of responses, and the right to withdraw at any moment without repercussions. Data were securely stored and reported solely in aggregated form.</w:t>
      </w:r>
    </w:p>
    <w:p w14:paraId="4E9F0C93" w14:textId="77777777" w:rsidR="0013238B" w:rsidRPr="00885153" w:rsidRDefault="0013238B" w:rsidP="0013238B">
      <w:pPr>
        <w:spacing w:after="0" w:line="240" w:lineRule="auto"/>
        <w:ind w:firstLine="720"/>
        <w:contextualSpacing/>
        <w:jc w:val="both"/>
        <w:rPr>
          <w:rFonts w:ascii="Arial" w:hAnsi="Arial" w:cs="Arial"/>
          <w:sz w:val="20"/>
          <w:szCs w:val="20"/>
        </w:rPr>
      </w:pPr>
    </w:p>
    <w:p w14:paraId="05986196" w14:textId="77777777" w:rsidR="0013238B" w:rsidRPr="00885153" w:rsidRDefault="0013238B" w:rsidP="0013238B">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Data Availability</w:t>
      </w:r>
    </w:p>
    <w:p w14:paraId="41E4747C" w14:textId="4822198B" w:rsidR="0013238B" w:rsidRPr="00885153" w:rsidRDefault="0013238B" w:rsidP="0013238B">
      <w:pPr>
        <w:pStyle w:val="NormalWeb"/>
        <w:spacing w:before="0" w:beforeAutospacing="0" w:after="0" w:afterAutospacing="0"/>
        <w:jc w:val="both"/>
        <w:rPr>
          <w:rFonts w:ascii="Arial" w:hAnsi="Arial" w:cs="Arial"/>
          <w:sz w:val="20"/>
          <w:szCs w:val="20"/>
        </w:rPr>
      </w:pPr>
      <w:r w:rsidRPr="00885153">
        <w:rPr>
          <w:rFonts w:ascii="Arial" w:hAnsi="Arial" w:cs="Arial"/>
          <w:sz w:val="20"/>
          <w:szCs w:val="20"/>
        </w:rPr>
        <w:t xml:space="preserve">The data </w:t>
      </w:r>
      <w:r w:rsidR="00F25C56">
        <w:rPr>
          <w:rFonts w:ascii="Arial" w:hAnsi="Arial" w:cs="Arial"/>
          <w:sz w:val="20"/>
          <w:szCs w:val="20"/>
        </w:rPr>
        <w:t>underlying this article are available</w:t>
      </w:r>
      <w:r w:rsidRPr="00885153">
        <w:rPr>
          <w:rFonts w:ascii="Arial" w:hAnsi="Arial" w:cs="Arial"/>
          <w:sz w:val="20"/>
          <w:szCs w:val="20"/>
        </w:rPr>
        <w:t xml:space="preserve"> in the electronic supplementary materials.</w:t>
      </w:r>
    </w:p>
    <w:p w14:paraId="74558D57" w14:textId="77777777" w:rsidR="0013238B" w:rsidRPr="00885153" w:rsidRDefault="0013238B" w:rsidP="0013238B">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Conflict of Interest</w:t>
      </w:r>
    </w:p>
    <w:p w14:paraId="111C29B6" w14:textId="77777777" w:rsidR="0013238B" w:rsidRPr="00885153" w:rsidRDefault="0013238B" w:rsidP="0013238B">
      <w:pPr>
        <w:pStyle w:val="NormalWeb"/>
        <w:spacing w:before="0" w:beforeAutospacing="0" w:after="0" w:afterAutospacing="0"/>
        <w:jc w:val="both"/>
        <w:rPr>
          <w:rFonts w:ascii="Arial" w:hAnsi="Arial" w:cs="Arial"/>
          <w:sz w:val="20"/>
          <w:szCs w:val="20"/>
        </w:rPr>
      </w:pPr>
      <w:r w:rsidRPr="00885153">
        <w:rPr>
          <w:rFonts w:ascii="Arial" w:hAnsi="Arial" w:cs="Arial"/>
          <w:sz w:val="20"/>
          <w:szCs w:val="20"/>
        </w:rPr>
        <w:t>The data underpinning this article are accessible in the electronic supplementary materials.</w:t>
      </w:r>
    </w:p>
    <w:p w14:paraId="0FA2B1D7" w14:textId="77777777" w:rsidR="007C45BE" w:rsidRDefault="007C45BE" w:rsidP="0013238B">
      <w:pPr>
        <w:pStyle w:val="NormalWeb"/>
        <w:spacing w:before="0" w:beforeAutospacing="0" w:after="0" w:afterAutospacing="0"/>
        <w:jc w:val="both"/>
        <w:rPr>
          <w:rFonts w:ascii="Arial" w:hAnsi="Arial" w:cs="Arial"/>
          <w:sz w:val="20"/>
          <w:szCs w:val="20"/>
        </w:rPr>
      </w:pPr>
      <w:bookmarkStart w:id="0" w:name="_GoBack"/>
      <w:bookmarkEnd w:id="0"/>
    </w:p>
    <w:p w14:paraId="712530DB" w14:textId="77777777" w:rsidR="007C45BE" w:rsidRDefault="007C45BE" w:rsidP="0013238B">
      <w:pPr>
        <w:pStyle w:val="NormalWeb"/>
        <w:spacing w:before="0" w:beforeAutospacing="0" w:after="0" w:afterAutospacing="0"/>
        <w:jc w:val="both"/>
        <w:rPr>
          <w:rFonts w:ascii="Arial" w:hAnsi="Arial" w:cs="Arial"/>
          <w:sz w:val="20"/>
          <w:szCs w:val="20"/>
        </w:rPr>
      </w:pPr>
    </w:p>
    <w:p w14:paraId="709302B7" w14:textId="77777777" w:rsidR="007C45BE" w:rsidRDefault="007C45BE" w:rsidP="0013238B">
      <w:pPr>
        <w:pStyle w:val="NormalWeb"/>
        <w:spacing w:before="0" w:beforeAutospacing="0" w:after="0" w:afterAutospacing="0"/>
        <w:jc w:val="both"/>
        <w:rPr>
          <w:rFonts w:ascii="Arial" w:hAnsi="Arial" w:cs="Arial"/>
          <w:sz w:val="20"/>
          <w:szCs w:val="20"/>
        </w:rPr>
      </w:pPr>
    </w:p>
    <w:p w14:paraId="5DDA9ED4" w14:textId="77777777" w:rsidR="007C45BE" w:rsidRDefault="007C45BE" w:rsidP="0013238B">
      <w:pPr>
        <w:pStyle w:val="NormalWeb"/>
        <w:spacing w:before="0" w:beforeAutospacing="0" w:after="0" w:afterAutospacing="0"/>
        <w:jc w:val="both"/>
        <w:rPr>
          <w:rFonts w:ascii="Arial" w:hAnsi="Arial" w:cs="Arial"/>
          <w:sz w:val="20"/>
          <w:szCs w:val="20"/>
        </w:rPr>
      </w:pPr>
    </w:p>
    <w:p w14:paraId="3682A944" w14:textId="77777777" w:rsidR="007C45BE" w:rsidRPr="007C45BE" w:rsidRDefault="007C45BE" w:rsidP="007C45BE">
      <w:pPr>
        <w:pStyle w:val="NormalWeb"/>
        <w:spacing w:after="0"/>
        <w:jc w:val="both"/>
        <w:rPr>
          <w:rFonts w:ascii="Arial" w:hAnsi="Arial" w:cs="Arial"/>
          <w:sz w:val="20"/>
          <w:szCs w:val="20"/>
        </w:rPr>
      </w:pPr>
      <w:r w:rsidRPr="007C45BE">
        <w:rPr>
          <w:rFonts w:ascii="Arial" w:hAnsi="Arial" w:cs="Arial"/>
          <w:sz w:val="20"/>
          <w:szCs w:val="20"/>
        </w:rPr>
        <w:t>COMPETING INTERESTS DISCLAIMER:</w:t>
      </w:r>
    </w:p>
    <w:p w14:paraId="73C8ED8A" w14:textId="4DA46294" w:rsidR="007C45BE" w:rsidRDefault="007C45BE" w:rsidP="007C45BE">
      <w:pPr>
        <w:pStyle w:val="NormalWeb"/>
        <w:spacing w:before="0" w:beforeAutospacing="0" w:after="0" w:afterAutospacing="0"/>
        <w:jc w:val="both"/>
        <w:rPr>
          <w:rFonts w:ascii="Arial" w:hAnsi="Arial" w:cs="Arial"/>
          <w:sz w:val="20"/>
          <w:szCs w:val="20"/>
        </w:rPr>
      </w:pPr>
      <w:r w:rsidRPr="007C45BE">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A9B4CC0" w14:textId="77777777" w:rsidR="007C45BE" w:rsidRDefault="007C45BE" w:rsidP="0013238B">
      <w:pPr>
        <w:pStyle w:val="NormalWeb"/>
        <w:spacing w:before="0" w:beforeAutospacing="0" w:after="0" w:afterAutospacing="0"/>
        <w:jc w:val="both"/>
        <w:rPr>
          <w:rFonts w:ascii="Arial" w:hAnsi="Arial" w:cs="Arial"/>
          <w:sz w:val="20"/>
          <w:szCs w:val="20"/>
        </w:rPr>
      </w:pPr>
    </w:p>
    <w:p w14:paraId="0CEDE695" w14:textId="77777777" w:rsidR="007C45BE" w:rsidRPr="00885153" w:rsidRDefault="007C45BE" w:rsidP="0013238B">
      <w:pPr>
        <w:pStyle w:val="NormalWeb"/>
        <w:spacing w:before="0" w:beforeAutospacing="0" w:after="0" w:afterAutospacing="0"/>
        <w:jc w:val="both"/>
        <w:rPr>
          <w:rFonts w:ascii="Arial" w:hAnsi="Arial" w:cs="Arial"/>
          <w:sz w:val="20"/>
          <w:szCs w:val="20"/>
        </w:rPr>
      </w:pPr>
    </w:p>
    <w:p w14:paraId="312E1133" w14:textId="22064B5B" w:rsidR="0013238B" w:rsidRPr="00885153" w:rsidRDefault="00094ECF" w:rsidP="0013238B">
      <w:pPr>
        <w:pStyle w:val="NormalWeb"/>
        <w:spacing w:before="120" w:beforeAutospacing="0" w:after="120" w:afterAutospacing="0"/>
        <w:jc w:val="both"/>
        <w:rPr>
          <w:rFonts w:ascii="Arial" w:hAnsi="Arial" w:cs="Arial"/>
          <w:b/>
          <w:bCs/>
          <w:sz w:val="20"/>
          <w:szCs w:val="20"/>
        </w:rPr>
      </w:pPr>
      <w:r w:rsidRPr="00885153">
        <w:rPr>
          <w:rFonts w:ascii="Arial" w:hAnsi="Arial" w:cs="Arial"/>
          <w:b/>
          <w:bCs/>
          <w:sz w:val="20"/>
          <w:szCs w:val="20"/>
        </w:rPr>
        <w:t>References</w:t>
      </w:r>
    </w:p>
    <w:p w14:paraId="4F5693FD"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Style w:val="Strong"/>
          <w:rFonts w:ascii="Arial" w:hAnsi="Arial" w:cs="Arial"/>
          <w:b w:val="0"/>
          <w:bCs w:val="0"/>
          <w:sz w:val="20"/>
          <w:szCs w:val="20"/>
        </w:rPr>
        <w:fldChar w:fldCharType="begin" w:fldLock="1"/>
      </w:r>
      <w:r w:rsidRPr="00885153">
        <w:rPr>
          <w:rStyle w:val="Strong"/>
          <w:rFonts w:ascii="Arial" w:hAnsi="Arial" w:cs="Arial"/>
          <w:sz w:val="20"/>
          <w:szCs w:val="20"/>
        </w:rPr>
        <w:instrText xml:space="preserve">ADDIN Mendeley Bibliography CSL_BIBLIOGRAPHY </w:instrText>
      </w:r>
      <w:r w:rsidRPr="00885153">
        <w:rPr>
          <w:rStyle w:val="Strong"/>
          <w:rFonts w:ascii="Arial" w:hAnsi="Arial" w:cs="Arial"/>
          <w:b w:val="0"/>
          <w:bCs w:val="0"/>
          <w:sz w:val="20"/>
          <w:szCs w:val="20"/>
        </w:rPr>
        <w:fldChar w:fldCharType="separate"/>
      </w:r>
      <w:r w:rsidRPr="00885153">
        <w:rPr>
          <w:rFonts w:ascii="Arial" w:hAnsi="Arial" w:cs="Arial"/>
          <w:noProof/>
          <w:sz w:val="20"/>
          <w:szCs w:val="20"/>
        </w:rPr>
        <w:t xml:space="preserve">AbdulKareem, A. K., &amp; Oladimeji, K. A. (2024). Cultivating the digital citizen: trust, digital literacy and e-government adoption. </w:t>
      </w:r>
      <w:r w:rsidRPr="00885153">
        <w:rPr>
          <w:rFonts w:ascii="Arial" w:hAnsi="Arial" w:cs="Arial"/>
          <w:i/>
          <w:iCs/>
          <w:noProof/>
          <w:sz w:val="20"/>
          <w:szCs w:val="20"/>
        </w:rPr>
        <w:t>Transforming Government: People, Process and Policy</w:t>
      </w:r>
      <w:r w:rsidRPr="00885153">
        <w:rPr>
          <w:rFonts w:ascii="Arial" w:hAnsi="Arial" w:cs="Arial"/>
          <w:noProof/>
          <w:sz w:val="20"/>
          <w:szCs w:val="20"/>
        </w:rPr>
        <w:t xml:space="preserve">, </w:t>
      </w:r>
      <w:r w:rsidRPr="00885153">
        <w:rPr>
          <w:rFonts w:ascii="Arial" w:hAnsi="Arial" w:cs="Arial"/>
          <w:i/>
          <w:iCs/>
          <w:noProof/>
          <w:sz w:val="20"/>
          <w:szCs w:val="20"/>
        </w:rPr>
        <w:t>18</w:t>
      </w:r>
      <w:r w:rsidRPr="00885153">
        <w:rPr>
          <w:rFonts w:ascii="Arial" w:hAnsi="Arial" w:cs="Arial"/>
          <w:noProof/>
          <w:sz w:val="20"/>
          <w:szCs w:val="20"/>
        </w:rPr>
        <w:t>(2), 270–286. https://doi.org/10.1108/TG-11-2023-0196</w:t>
      </w:r>
    </w:p>
    <w:p w14:paraId="47782F2B"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p>
    <w:p w14:paraId="68B671CA"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Alan Bryman. (2016). Social Research Methodology. </w:t>
      </w:r>
      <w:r w:rsidRPr="00885153">
        <w:rPr>
          <w:rFonts w:ascii="Arial" w:hAnsi="Arial" w:cs="Arial"/>
          <w:i/>
          <w:iCs/>
          <w:noProof/>
          <w:sz w:val="20"/>
          <w:szCs w:val="20"/>
        </w:rPr>
        <w:t>Social Research Methodology</w:t>
      </w:r>
      <w:r w:rsidRPr="00885153">
        <w:rPr>
          <w:rFonts w:ascii="Arial" w:hAnsi="Arial" w:cs="Arial"/>
          <w:noProof/>
          <w:sz w:val="20"/>
          <w:szCs w:val="20"/>
        </w:rPr>
        <w:t>. https://doi.org/10.1007/978-0-230-22911-2</w:t>
      </w:r>
    </w:p>
    <w:p w14:paraId="3A38452C"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Cohen, S. (2004). Social relationships and health. </w:t>
      </w:r>
      <w:r w:rsidRPr="00885153">
        <w:rPr>
          <w:rFonts w:ascii="Arial" w:hAnsi="Arial" w:cs="Arial"/>
          <w:i/>
          <w:iCs/>
          <w:noProof/>
          <w:sz w:val="20"/>
          <w:szCs w:val="20"/>
        </w:rPr>
        <w:t>American Psychologist</w:t>
      </w:r>
      <w:r w:rsidRPr="00885153">
        <w:rPr>
          <w:rFonts w:ascii="Arial" w:hAnsi="Arial" w:cs="Arial"/>
          <w:noProof/>
          <w:sz w:val="20"/>
          <w:szCs w:val="20"/>
        </w:rPr>
        <w:t xml:space="preserve">, </w:t>
      </w:r>
      <w:r w:rsidRPr="00885153">
        <w:rPr>
          <w:rFonts w:ascii="Arial" w:hAnsi="Arial" w:cs="Arial"/>
          <w:i/>
          <w:iCs/>
          <w:noProof/>
          <w:sz w:val="20"/>
          <w:szCs w:val="20"/>
        </w:rPr>
        <w:t>59</w:t>
      </w:r>
      <w:r w:rsidRPr="00885153">
        <w:rPr>
          <w:rFonts w:ascii="Arial" w:hAnsi="Arial" w:cs="Arial"/>
          <w:noProof/>
          <w:sz w:val="20"/>
          <w:szCs w:val="20"/>
        </w:rPr>
        <w:t>(8), 676–684. https://doi.org/10.1037/0003-066X.59.8.676</w:t>
      </w:r>
    </w:p>
    <w:p w14:paraId="1BC28D51"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Creswell, J. W., &amp; Creswell, J. D. (2018). Mixed Methods Procedures. In </w:t>
      </w:r>
      <w:r w:rsidRPr="00885153">
        <w:rPr>
          <w:rFonts w:ascii="Arial" w:hAnsi="Arial" w:cs="Arial"/>
          <w:i/>
          <w:iCs/>
          <w:noProof/>
          <w:sz w:val="20"/>
          <w:szCs w:val="20"/>
        </w:rPr>
        <w:t>Research Defign: Qualitative, Quantitative, and Mixed M ethods Approaches</w:t>
      </w:r>
      <w:r w:rsidRPr="00885153">
        <w:rPr>
          <w:rFonts w:ascii="Arial" w:hAnsi="Arial" w:cs="Arial"/>
          <w:noProof/>
          <w:sz w:val="20"/>
          <w:szCs w:val="20"/>
        </w:rPr>
        <w:t>.</w:t>
      </w:r>
    </w:p>
    <w:p w14:paraId="11B41839"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F25C56">
        <w:rPr>
          <w:rFonts w:ascii="Arial" w:hAnsi="Arial" w:cs="Arial"/>
          <w:noProof/>
          <w:sz w:val="20"/>
          <w:szCs w:val="20"/>
          <w:lang w:val="sv-SE"/>
        </w:rPr>
        <w:t xml:space="preserve">Fornell, C., &amp; Larcker, D. F. (1981). </w:t>
      </w:r>
      <w:r w:rsidRPr="00885153">
        <w:rPr>
          <w:rFonts w:ascii="Arial" w:hAnsi="Arial" w:cs="Arial"/>
          <w:noProof/>
          <w:sz w:val="20"/>
          <w:szCs w:val="20"/>
        </w:rPr>
        <w:t xml:space="preserve">Structural Equation Models with Unobservable Variables and Measurement Error: Algebra and Statistics. </w:t>
      </w:r>
      <w:r w:rsidRPr="00885153">
        <w:rPr>
          <w:rFonts w:ascii="Arial" w:hAnsi="Arial" w:cs="Arial"/>
          <w:i/>
          <w:iCs/>
          <w:noProof/>
          <w:sz w:val="20"/>
          <w:szCs w:val="20"/>
        </w:rPr>
        <w:t>Journal of Marketing Research</w:t>
      </w:r>
      <w:r w:rsidRPr="00885153">
        <w:rPr>
          <w:rFonts w:ascii="Arial" w:hAnsi="Arial" w:cs="Arial"/>
          <w:noProof/>
          <w:sz w:val="20"/>
          <w:szCs w:val="20"/>
        </w:rPr>
        <w:t xml:space="preserve">, </w:t>
      </w:r>
      <w:r w:rsidRPr="00885153">
        <w:rPr>
          <w:rFonts w:ascii="Arial" w:hAnsi="Arial" w:cs="Arial"/>
          <w:i/>
          <w:iCs/>
          <w:noProof/>
          <w:sz w:val="20"/>
          <w:szCs w:val="20"/>
        </w:rPr>
        <w:t>18</w:t>
      </w:r>
      <w:r w:rsidRPr="00885153">
        <w:rPr>
          <w:rFonts w:ascii="Arial" w:hAnsi="Arial" w:cs="Arial"/>
          <w:noProof/>
          <w:sz w:val="20"/>
          <w:szCs w:val="20"/>
        </w:rPr>
        <w:t>(3), 382–388. https://doi.org/10.1177/002224378101800313</w:t>
      </w:r>
    </w:p>
    <w:p w14:paraId="4511F43C"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Ghasemzadeh, B., Rasoulzadeh Aghdam, S., Hartley, K., Bababeimorad, B., &amp; Rahnamayiezekavat, P. (2026). Social challenges in smart cities: a scoping review and framework for policy action. </w:t>
      </w:r>
      <w:r w:rsidRPr="00885153">
        <w:rPr>
          <w:rFonts w:ascii="Arial" w:hAnsi="Arial" w:cs="Arial"/>
          <w:i/>
          <w:iCs/>
          <w:noProof/>
          <w:sz w:val="20"/>
          <w:szCs w:val="20"/>
        </w:rPr>
        <w:t>Technology in Society</w:t>
      </w:r>
      <w:r w:rsidRPr="00885153">
        <w:rPr>
          <w:rFonts w:ascii="Arial" w:hAnsi="Arial" w:cs="Arial"/>
          <w:noProof/>
          <w:sz w:val="20"/>
          <w:szCs w:val="20"/>
        </w:rPr>
        <w:t xml:space="preserve">, </w:t>
      </w:r>
      <w:r w:rsidRPr="00885153">
        <w:rPr>
          <w:rFonts w:ascii="Arial" w:hAnsi="Arial" w:cs="Arial"/>
          <w:i/>
          <w:iCs/>
          <w:noProof/>
          <w:sz w:val="20"/>
          <w:szCs w:val="20"/>
        </w:rPr>
        <w:t>84</w:t>
      </w:r>
      <w:r w:rsidRPr="00885153">
        <w:rPr>
          <w:rFonts w:ascii="Arial" w:hAnsi="Arial" w:cs="Arial"/>
          <w:noProof/>
          <w:sz w:val="20"/>
          <w:szCs w:val="20"/>
        </w:rPr>
        <w:t>(February 2025), 103130. https://doi.org/10.1016/j.techsoc.2025.103130</w:t>
      </w:r>
    </w:p>
    <w:p w14:paraId="5CD37E1B"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Gibson et al. (2012). </w:t>
      </w:r>
      <w:r w:rsidRPr="00885153">
        <w:rPr>
          <w:rFonts w:ascii="Arial" w:hAnsi="Arial" w:cs="Arial"/>
          <w:i/>
          <w:iCs/>
          <w:noProof/>
          <w:sz w:val="20"/>
          <w:szCs w:val="20"/>
        </w:rPr>
        <w:t>Organization: Behavior, Structure, Processes</w:t>
      </w:r>
      <w:r w:rsidRPr="00885153">
        <w:rPr>
          <w:rFonts w:ascii="Arial" w:hAnsi="Arial" w:cs="Arial"/>
          <w:noProof/>
          <w:sz w:val="20"/>
          <w:szCs w:val="20"/>
        </w:rPr>
        <w:t>.</w:t>
      </w:r>
    </w:p>
    <w:p w14:paraId="3899C99F"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Gijón, C., Fernández-Bonilla, F., &amp; Ruíz-Rúa, A. (2025). Different approaches to Spanish e-government: From use to impact. </w:t>
      </w:r>
      <w:r w:rsidRPr="00885153">
        <w:rPr>
          <w:rFonts w:ascii="Arial" w:hAnsi="Arial" w:cs="Arial"/>
          <w:i/>
          <w:iCs/>
          <w:noProof/>
          <w:sz w:val="20"/>
          <w:szCs w:val="20"/>
        </w:rPr>
        <w:t>Telecommunications Policy</w:t>
      </w:r>
      <w:r w:rsidRPr="00885153">
        <w:rPr>
          <w:rFonts w:ascii="Arial" w:hAnsi="Arial" w:cs="Arial"/>
          <w:noProof/>
          <w:sz w:val="20"/>
          <w:szCs w:val="20"/>
        </w:rPr>
        <w:t xml:space="preserve">, </w:t>
      </w:r>
      <w:r w:rsidRPr="00885153">
        <w:rPr>
          <w:rFonts w:ascii="Arial" w:hAnsi="Arial" w:cs="Arial"/>
          <w:i/>
          <w:iCs/>
          <w:noProof/>
          <w:sz w:val="20"/>
          <w:szCs w:val="20"/>
        </w:rPr>
        <w:t>49</w:t>
      </w:r>
      <w:r w:rsidRPr="00885153">
        <w:rPr>
          <w:rFonts w:ascii="Arial" w:hAnsi="Arial" w:cs="Arial"/>
          <w:noProof/>
          <w:sz w:val="20"/>
          <w:szCs w:val="20"/>
        </w:rPr>
        <w:t>(3), 102918. https://doi.org/10.1016/j.telpol.2025.102918</w:t>
      </w:r>
    </w:p>
    <w:p w14:paraId="7ED89D3E"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Hair at al. (2019). Multivariate Data Analysis (Sixth Edition). In </w:t>
      </w:r>
      <w:r w:rsidRPr="00885153">
        <w:rPr>
          <w:rFonts w:ascii="Arial" w:hAnsi="Arial" w:cs="Arial"/>
          <w:i/>
          <w:iCs/>
          <w:noProof/>
          <w:sz w:val="20"/>
          <w:szCs w:val="20"/>
        </w:rPr>
        <w:t>Annabel Ainscow</w:t>
      </w:r>
      <w:r w:rsidRPr="00885153">
        <w:rPr>
          <w:rFonts w:ascii="Arial" w:hAnsi="Arial" w:cs="Arial"/>
          <w:noProof/>
          <w:sz w:val="20"/>
          <w:szCs w:val="20"/>
        </w:rPr>
        <w:t xml:space="preserve"> (Vol. 19, Issue 3). https://eli.johogo.com/Class/CCU/SEM/_Multivariate Data Analysis_Hair.pdf</w:t>
      </w:r>
    </w:p>
    <w:p w14:paraId="57155479"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Hair, J. F., Howard, M. C., &amp; Nitzl, C. (2020). Assessing measurement model quality in PLS-SEM using confirmatory composite analysis. </w:t>
      </w:r>
      <w:r w:rsidRPr="00885153">
        <w:rPr>
          <w:rFonts w:ascii="Arial" w:hAnsi="Arial" w:cs="Arial"/>
          <w:i/>
          <w:iCs/>
          <w:noProof/>
          <w:sz w:val="20"/>
          <w:szCs w:val="20"/>
        </w:rPr>
        <w:t>Journal of Business Research</w:t>
      </w:r>
      <w:r w:rsidRPr="00885153">
        <w:rPr>
          <w:rFonts w:ascii="Arial" w:hAnsi="Arial" w:cs="Arial"/>
          <w:noProof/>
          <w:sz w:val="20"/>
          <w:szCs w:val="20"/>
        </w:rPr>
        <w:t xml:space="preserve">, </w:t>
      </w:r>
      <w:r w:rsidRPr="00885153">
        <w:rPr>
          <w:rFonts w:ascii="Arial" w:hAnsi="Arial" w:cs="Arial"/>
          <w:i/>
          <w:iCs/>
          <w:noProof/>
          <w:sz w:val="20"/>
          <w:szCs w:val="20"/>
        </w:rPr>
        <w:t>109</w:t>
      </w:r>
      <w:r w:rsidRPr="00885153">
        <w:rPr>
          <w:rFonts w:ascii="Arial" w:hAnsi="Arial" w:cs="Arial"/>
          <w:noProof/>
          <w:sz w:val="20"/>
          <w:szCs w:val="20"/>
        </w:rPr>
        <w:t>(November 2019), 101–110. https://doi.org/10.1016/j.jbusres.2019.11.069</w:t>
      </w:r>
    </w:p>
    <w:p w14:paraId="68569706"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Henseler, J., Ringle, C. M., &amp; Sarstedt, M. (2015). A new criterion for assessing discriminant validity in variance-based structural equation modeling. </w:t>
      </w:r>
      <w:r w:rsidRPr="00885153">
        <w:rPr>
          <w:rFonts w:ascii="Arial" w:hAnsi="Arial" w:cs="Arial"/>
          <w:i/>
          <w:iCs/>
          <w:noProof/>
          <w:sz w:val="20"/>
          <w:szCs w:val="20"/>
        </w:rPr>
        <w:t>Journal of the Academy of Marketing Science</w:t>
      </w:r>
      <w:r w:rsidRPr="00885153">
        <w:rPr>
          <w:rFonts w:ascii="Arial" w:hAnsi="Arial" w:cs="Arial"/>
          <w:noProof/>
          <w:sz w:val="20"/>
          <w:szCs w:val="20"/>
        </w:rPr>
        <w:t xml:space="preserve">, </w:t>
      </w:r>
      <w:r w:rsidRPr="00885153">
        <w:rPr>
          <w:rFonts w:ascii="Arial" w:hAnsi="Arial" w:cs="Arial"/>
          <w:i/>
          <w:iCs/>
          <w:noProof/>
          <w:sz w:val="20"/>
          <w:szCs w:val="20"/>
        </w:rPr>
        <w:t>43</w:t>
      </w:r>
      <w:r w:rsidRPr="00885153">
        <w:rPr>
          <w:rFonts w:ascii="Arial" w:hAnsi="Arial" w:cs="Arial"/>
          <w:noProof/>
          <w:sz w:val="20"/>
          <w:szCs w:val="20"/>
        </w:rPr>
        <w:t>(1), 115–135. https://doi.org/10.1007/s11747-014-0403-8</w:t>
      </w:r>
    </w:p>
    <w:p w14:paraId="57423971"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Hudalah, D. (2023). Building a capital city, carving out a megaproject legacy? </w:t>
      </w:r>
      <w:r w:rsidRPr="00885153">
        <w:rPr>
          <w:rFonts w:ascii="Arial" w:hAnsi="Arial" w:cs="Arial"/>
          <w:i/>
          <w:iCs/>
          <w:noProof/>
          <w:sz w:val="20"/>
          <w:szCs w:val="20"/>
        </w:rPr>
        <w:t>Habitat International</w:t>
      </w:r>
      <w:r w:rsidRPr="00885153">
        <w:rPr>
          <w:rFonts w:ascii="Arial" w:hAnsi="Arial" w:cs="Arial"/>
          <w:noProof/>
          <w:sz w:val="20"/>
          <w:szCs w:val="20"/>
        </w:rPr>
        <w:t xml:space="preserve">, </w:t>
      </w:r>
      <w:r w:rsidRPr="00885153">
        <w:rPr>
          <w:rFonts w:ascii="Arial" w:hAnsi="Arial" w:cs="Arial"/>
          <w:i/>
          <w:iCs/>
          <w:noProof/>
          <w:sz w:val="20"/>
          <w:szCs w:val="20"/>
        </w:rPr>
        <w:t>141</w:t>
      </w:r>
      <w:r w:rsidRPr="00885153">
        <w:rPr>
          <w:rFonts w:ascii="Arial" w:hAnsi="Arial" w:cs="Arial"/>
          <w:noProof/>
          <w:sz w:val="20"/>
          <w:szCs w:val="20"/>
        </w:rPr>
        <w:t>, 102933. https://doi.org/10.1016/j.habitatint.2023.102933</w:t>
      </w:r>
    </w:p>
    <w:p w14:paraId="22A284C9"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Keefe, E. M., Naumann, R. B., Evenson, K. R., LaJeunesse, S., Heiny, S., &amp; Lich, K. H. (2024). Using an adapted community readiness assessment to inform Vision Zero and safe systems action. </w:t>
      </w:r>
      <w:r w:rsidRPr="00885153">
        <w:rPr>
          <w:rFonts w:ascii="Arial" w:hAnsi="Arial" w:cs="Arial"/>
          <w:i/>
          <w:iCs/>
          <w:noProof/>
          <w:sz w:val="20"/>
          <w:szCs w:val="20"/>
        </w:rPr>
        <w:t>Transportation Research Interdisciplinary Perspectives</w:t>
      </w:r>
      <w:r w:rsidRPr="00885153">
        <w:rPr>
          <w:rFonts w:ascii="Arial" w:hAnsi="Arial" w:cs="Arial"/>
          <w:noProof/>
          <w:sz w:val="20"/>
          <w:szCs w:val="20"/>
        </w:rPr>
        <w:t xml:space="preserve">, </w:t>
      </w:r>
      <w:r w:rsidRPr="00885153">
        <w:rPr>
          <w:rFonts w:ascii="Arial" w:hAnsi="Arial" w:cs="Arial"/>
          <w:i/>
          <w:iCs/>
          <w:noProof/>
          <w:sz w:val="20"/>
          <w:szCs w:val="20"/>
        </w:rPr>
        <w:t>23</w:t>
      </w:r>
      <w:r w:rsidRPr="00885153">
        <w:rPr>
          <w:rFonts w:ascii="Arial" w:hAnsi="Arial" w:cs="Arial"/>
          <w:noProof/>
          <w:sz w:val="20"/>
          <w:szCs w:val="20"/>
        </w:rPr>
        <w:t>(September 2023), 100992. https://doi.org/10.1016/j.trip.2023.100992</w:t>
      </w:r>
    </w:p>
    <w:p w14:paraId="4FCCD99A"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Kline R.B. (2016). Principles and Practice of Structural Equation Modeling. In </w:t>
      </w:r>
      <w:r w:rsidRPr="00885153">
        <w:rPr>
          <w:rFonts w:ascii="Arial" w:hAnsi="Arial" w:cs="Arial"/>
          <w:i/>
          <w:iCs/>
          <w:noProof/>
          <w:sz w:val="20"/>
          <w:szCs w:val="20"/>
        </w:rPr>
        <w:t xml:space="preserve">thE GuiLFord PrESS new </w:t>
      </w:r>
      <w:r w:rsidRPr="00885153">
        <w:rPr>
          <w:rFonts w:ascii="Arial" w:hAnsi="Arial" w:cs="Arial"/>
          <w:i/>
          <w:iCs/>
          <w:noProof/>
          <w:sz w:val="20"/>
          <w:szCs w:val="20"/>
        </w:rPr>
        <w:lastRenderedPageBreak/>
        <w:t>York London</w:t>
      </w:r>
      <w:r w:rsidRPr="00885153">
        <w:rPr>
          <w:rFonts w:ascii="Arial" w:hAnsi="Arial" w:cs="Arial"/>
          <w:noProof/>
          <w:sz w:val="20"/>
          <w:szCs w:val="20"/>
        </w:rPr>
        <w:t xml:space="preserve"> (Vol. 1, Issue 1).</w:t>
      </w:r>
    </w:p>
    <w:p w14:paraId="00C4C6D6"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Kruhlov, V., &amp; Dvorak, J. (2025). Social Inclusivity in the Smart City Governance: Overcoming the Digital Divide. </w:t>
      </w:r>
      <w:r w:rsidRPr="00885153">
        <w:rPr>
          <w:rFonts w:ascii="Arial" w:hAnsi="Arial" w:cs="Arial"/>
          <w:i/>
          <w:iCs/>
          <w:noProof/>
          <w:sz w:val="20"/>
          <w:szCs w:val="20"/>
        </w:rPr>
        <w:t>Sustainability</w:t>
      </w:r>
      <w:r w:rsidRPr="00885153">
        <w:rPr>
          <w:rFonts w:ascii="Arial" w:hAnsi="Arial" w:cs="Arial"/>
          <w:noProof/>
          <w:sz w:val="20"/>
          <w:szCs w:val="20"/>
        </w:rPr>
        <w:t xml:space="preserve">, </w:t>
      </w:r>
      <w:r w:rsidRPr="00885153">
        <w:rPr>
          <w:rFonts w:ascii="Arial" w:hAnsi="Arial" w:cs="Arial"/>
          <w:i/>
          <w:iCs/>
          <w:noProof/>
          <w:sz w:val="20"/>
          <w:szCs w:val="20"/>
        </w:rPr>
        <w:t>17</w:t>
      </w:r>
      <w:r w:rsidRPr="00885153">
        <w:rPr>
          <w:rFonts w:ascii="Arial" w:hAnsi="Arial" w:cs="Arial"/>
          <w:noProof/>
          <w:sz w:val="20"/>
          <w:szCs w:val="20"/>
        </w:rPr>
        <w:t>(13), 5735. https://doi.org/10.3390/su17135735</w:t>
      </w:r>
    </w:p>
    <w:p w14:paraId="180CA3B6"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Niknam, M., Omidvar, N., Amiri, P., Eini-Zinab, H., &amp; Kalantari, N. (2023). Adapting the Community Readiness Model and Validating a Community Readiness Tool for Childhood Obesity Prevention Programs in Iran. </w:t>
      </w:r>
      <w:r w:rsidRPr="00885153">
        <w:rPr>
          <w:rFonts w:ascii="Arial" w:hAnsi="Arial" w:cs="Arial"/>
          <w:i/>
          <w:iCs/>
          <w:noProof/>
          <w:sz w:val="20"/>
          <w:szCs w:val="20"/>
        </w:rPr>
        <w:t>Journal of Preventive Medicine and Public Health</w:t>
      </w:r>
      <w:r w:rsidRPr="00885153">
        <w:rPr>
          <w:rFonts w:ascii="Arial" w:hAnsi="Arial" w:cs="Arial"/>
          <w:noProof/>
          <w:sz w:val="20"/>
          <w:szCs w:val="20"/>
        </w:rPr>
        <w:t xml:space="preserve">, </w:t>
      </w:r>
      <w:r w:rsidRPr="00885153">
        <w:rPr>
          <w:rFonts w:ascii="Arial" w:hAnsi="Arial" w:cs="Arial"/>
          <w:i/>
          <w:iCs/>
          <w:noProof/>
          <w:sz w:val="20"/>
          <w:szCs w:val="20"/>
        </w:rPr>
        <w:t>56</w:t>
      </w:r>
      <w:r w:rsidRPr="00885153">
        <w:rPr>
          <w:rFonts w:ascii="Arial" w:hAnsi="Arial" w:cs="Arial"/>
          <w:noProof/>
          <w:sz w:val="20"/>
          <w:szCs w:val="20"/>
        </w:rPr>
        <w:t>(1), 77–87. https://doi.org/10.3961/jpmph.22.409</w:t>
      </w:r>
    </w:p>
    <w:p w14:paraId="37F137CA"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Pasamai, S., &amp; Salle, S. (2024). The Role of The National Land Agency (BPN) In Resolving Land Disputes In Indonesia. </w:t>
      </w:r>
      <w:r w:rsidRPr="00885153">
        <w:rPr>
          <w:rFonts w:ascii="Arial" w:hAnsi="Arial" w:cs="Arial"/>
          <w:i/>
          <w:iCs/>
          <w:noProof/>
          <w:sz w:val="20"/>
          <w:szCs w:val="20"/>
        </w:rPr>
        <w:t>Asian Journal of Social and Humanities</w:t>
      </w:r>
      <w:r w:rsidRPr="00885153">
        <w:rPr>
          <w:rFonts w:ascii="Arial" w:hAnsi="Arial" w:cs="Arial"/>
          <w:noProof/>
          <w:sz w:val="20"/>
          <w:szCs w:val="20"/>
        </w:rPr>
        <w:t xml:space="preserve">, </w:t>
      </w:r>
      <w:r w:rsidRPr="00885153">
        <w:rPr>
          <w:rFonts w:ascii="Arial" w:hAnsi="Arial" w:cs="Arial"/>
          <w:i/>
          <w:iCs/>
          <w:noProof/>
          <w:sz w:val="20"/>
          <w:szCs w:val="20"/>
        </w:rPr>
        <w:t>2</w:t>
      </w:r>
      <w:r w:rsidRPr="00885153">
        <w:rPr>
          <w:rFonts w:ascii="Arial" w:hAnsi="Arial" w:cs="Arial"/>
          <w:noProof/>
          <w:sz w:val="20"/>
          <w:szCs w:val="20"/>
        </w:rPr>
        <w:t>(10), 2195–2202. https://doi.org/10.59888/ajosh.v2i10.352</w:t>
      </w:r>
    </w:p>
    <w:p w14:paraId="3BF607FA"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Peeters, R., Miller, S. M., &amp; Schuilenburg, M. (2025). Digital government inclusion: Exploring strategies for inclusive government automation. </w:t>
      </w:r>
      <w:r w:rsidRPr="00885153">
        <w:rPr>
          <w:rFonts w:ascii="Arial" w:hAnsi="Arial" w:cs="Arial"/>
          <w:i/>
          <w:iCs/>
          <w:noProof/>
          <w:sz w:val="20"/>
          <w:szCs w:val="20"/>
        </w:rPr>
        <w:t>Government Information Quarterly</w:t>
      </w:r>
      <w:r w:rsidRPr="00885153">
        <w:rPr>
          <w:rFonts w:ascii="Arial" w:hAnsi="Arial" w:cs="Arial"/>
          <w:noProof/>
          <w:sz w:val="20"/>
          <w:szCs w:val="20"/>
        </w:rPr>
        <w:t xml:space="preserve">, </w:t>
      </w:r>
      <w:r w:rsidRPr="00885153">
        <w:rPr>
          <w:rFonts w:ascii="Arial" w:hAnsi="Arial" w:cs="Arial"/>
          <w:i/>
          <w:iCs/>
          <w:noProof/>
          <w:sz w:val="20"/>
          <w:szCs w:val="20"/>
        </w:rPr>
        <w:t>42</w:t>
      </w:r>
      <w:r w:rsidRPr="00885153">
        <w:rPr>
          <w:rFonts w:ascii="Arial" w:hAnsi="Arial" w:cs="Arial"/>
          <w:noProof/>
          <w:sz w:val="20"/>
          <w:szCs w:val="20"/>
        </w:rPr>
        <w:t>(2), 102028. https://doi.org/10.1016/j.giq.2025.102028</w:t>
      </w:r>
    </w:p>
    <w:p w14:paraId="689CDDD5"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Podsakoff, P. M., MacKenzie, S. B., &amp; Podsakoff, N. P. (2012). Sources of method bias in social science research and recommendations on how to control it. </w:t>
      </w:r>
      <w:r w:rsidRPr="00885153">
        <w:rPr>
          <w:rFonts w:ascii="Arial" w:hAnsi="Arial" w:cs="Arial"/>
          <w:i/>
          <w:iCs/>
          <w:noProof/>
          <w:sz w:val="20"/>
          <w:szCs w:val="20"/>
        </w:rPr>
        <w:t>Annual Review of Psychology</w:t>
      </w:r>
      <w:r w:rsidRPr="00885153">
        <w:rPr>
          <w:rFonts w:ascii="Arial" w:hAnsi="Arial" w:cs="Arial"/>
          <w:noProof/>
          <w:sz w:val="20"/>
          <w:szCs w:val="20"/>
        </w:rPr>
        <w:t xml:space="preserve">, </w:t>
      </w:r>
      <w:r w:rsidRPr="00885153">
        <w:rPr>
          <w:rFonts w:ascii="Arial" w:hAnsi="Arial" w:cs="Arial"/>
          <w:i/>
          <w:iCs/>
          <w:noProof/>
          <w:sz w:val="20"/>
          <w:szCs w:val="20"/>
        </w:rPr>
        <w:t>63</w:t>
      </w:r>
      <w:r w:rsidRPr="00885153">
        <w:rPr>
          <w:rFonts w:ascii="Arial" w:hAnsi="Arial" w:cs="Arial"/>
          <w:noProof/>
          <w:sz w:val="20"/>
          <w:szCs w:val="20"/>
        </w:rPr>
        <w:t>, 539–569. https://doi.org/10.1146/annurev-psych-120710-100452</w:t>
      </w:r>
    </w:p>
    <w:p w14:paraId="44C9A3C8"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Rasdi, N. N., Rusli, A. N., Zainal Abidin, N. A., &amp; Manssor, N. A. S. (2024). Motivation to Study from Home: Balancing Alderfer’s Theory. </w:t>
      </w:r>
      <w:r w:rsidRPr="00885153">
        <w:rPr>
          <w:rFonts w:ascii="Arial" w:hAnsi="Arial" w:cs="Arial"/>
          <w:i/>
          <w:iCs/>
          <w:noProof/>
          <w:sz w:val="20"/>
          <w:szCs w:val="20"/>
        </w:rPr>
        <w:t>International Journal of Academic Research in Business and Social Sciences</w:t>
      </w:r>
      <w:r w:rsidRPr="00885153">
        <w:rPr>
          <w:rFonts w:ascii="Arial" w:hAnsi="Arial" w:cs="Arial"/>
          <w:noProof/>
          <w:sz w:val="20"/>
          <w:szCs w:val="20"/>
        </w:rPr>
        <w:t xml:space="preserve">, </w:t>
      </w:r>
      <w:r w:rsidRPr="00885153">
        <w:rPr>
          <w:rFonts w:ascii="Arial" w:hAnsi="Arial" w:cs="Arial"/>
          <w:i/>
          <w:iCs/>
          <w:noProof/>
          <w:sz w:val="20"/>
          <w:szCs w:val="20"/>
        </w:rPr>
        <w:t>14</w:t>
      </w:r>
      <w:r w:rsidRPr="00885153">
        <w:rPr>
          <w:rFonts w:ascii="Arial" w:hAnsi="Arial" w:cs="Arial"/>
          <w:noProof/>
          <w:sz w:val="20"/>
          <w:szCs w:val="20"/>
        </w:rPr>
        <w:t>(6), 300–312. https://doi.org/10.6007/IJARBSS/v14-i6/21447</w:t>
      </w:r>
    </w:p>
    <w:p w14:paraId="069D0873"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Ricciutti, N. M., Cureton, J. L., &amp; Zhang, S. (2026). The Community Readiness Instrument: A Quantitative Measurement Using Statistical Best Practices to Assess Systemic Change Readiness. </w:t>
      </w:r>
      <w:r w:rsidRPr="00885153">
        <w:rPr>
          <w:rFonts w:ascii="Arial" w:hAnsi="Arial" w:cs="Arial"/>
          <w:i/>
          <w:iCs/>
          <w:noProof/>
          <w:sz w:val="20"/>
          <w:szCs w:val="20"/>
        </w:rPr>
        <w:t>Behavioral Sciences</w:t>
      </w:r>
      <w:r w:rsidRPr="00885153">
        <w:rPr>
          <w:rFonts w:ascii="Arial" w:hAnsi="Arial" w:cs="Arial"/>
          <w:noProof/>
          <w:sz w:val="20"/>
          <w:szCs w:val="20"/>
        </w:rPr>
        <w:t xml:space="preserve">, </w:t>
      </w:r>
      <w:r w:rsidRPr="00885153">
        <w:rPr>
          <w:rFonts w:ascii="Arial" w:hAnsi="Arial" w:cs="Arial"/>
          <w:i/>
          <w:iCs/>
          <w:noProof/>
          <w:sz w:val="20"/>
          <w:szCs w:val="20"/>
        </w:rPr>
        <w:t>16</w:t>
      </w:r>
      <w:r w:rsidRPr="00885153">
        <w:rPr>
          <w:rFonts w:ascii="Arial" w:hAnsi="Arial" w:cs="Arial"/>
          <w:noProof/>
          <w:sz w:val="20"/>
          <w:szCs w:val="20"/>
        </w:rPr>
        <w:t>(1), 153. https://doi.org/10.3390/bs16010153</w:t>
      </w:r>
    </w:p>
    <w:p w14:paraId="5159E09E"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Sharifi, A., Allam, Z., Bibri, S. E., &amp; Khavarian-Garmsir, A. R. (2024). Smart cities and sustainable development goals (SDGs): A systematic literature review of co-benefits and trade-offs. </w:t>
      </w:r>
      <w:r w:rsidRPr="00885153">
        <w:rPr>
          <w:rFonts w:ascii="Arial" w:hAnsi="Arial" w:cs="Arial"/>
          <w:i/>
          <w:iCs/>
          <w:noProof/>
          <w:sz w:val="20"/>
          <w:szCs w:val="20"/>
        </w:rPr>
        <w:t>Cities</w:t>
      </w:r>
      <w:r w:rsidRPr="00885153">
        <w:rPr>
          <w:rFonts w:ascii="Arial" w:hAnsi="Arial" w:cs="Arial"/>
          <w:noProof/>
          <w:sz w:val="20"/>
          <w:szCs w:val="20"/>
        </w:rPr>
        <w:t xml:space="preserve">, </w:t>
      </w:r>
      <w:r w:rsidRPr="00885153">
        <w:rPr>
          <w:rFonts w:ascii="Arial" w:hAnsi="Arial" w:cs="Arial"/>
          <w:i/>
          <w:iCs/>
          <w:noProof/>
          <w:sz w:val="20"/>
          <w:szCs w:val="20"/>
        </w:rPr>
        <w:t>146</w:t>
      </w:r>
      <w:r w:rsidRPr="00885153">
        <w:rPr>
          <w:rFonts w:ascii="Arial" w:hAnsi="Arial" w:cs="Arial"/>
          <w:noProof/>
          <w:sz w:val="20"/>
          <w:szCs w:val="20"/>
        </w:rPr>
        <w:t>(March 2023), 104659. https://doi.org/10.1016/j.cities.2023.104659</w:t>
      </w:r>
    </w:p>
    <w:p w14:paraId="000AFA20"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Syaban, A. S. N., &amp; Appiah-Opoku, S. (2024). Unveiling the Complexities of Land Use Transition in Indonesia’s New Capital City IKN Nusantara: A Multidimensional Conflict Analysis. </w:t>
      </w:r>
      <w:r w:rsidRPr="00885153">
        <w:rPr>
          <w:rFonts w:ascii="Arial" w:hAnsi="Arial" w:cs="Arial"/>
          <w:i/>
          <w:iCs/>
          <w:noProof/>
          <w:sz w:val="20"/>
          <w:szCs w:val="20"/>
        </w:rPr>
        <w:t>Land</w:t>
      </w:r>
      <w:r w:rsidRPr="00885153">
        <w:rPr>
          <w:rFonts w:ascii="Arial" w:hAnsi="Arial" w:cs="Arial"/>
          <w:noProof/>
          <w:sz w:val="20"/>
          <w:szCs w:val="20"/>
        </w:rPr>
        <w:t xml:space="preserve">, </w:t>
      </w:r>
      <w:r w:rsidRPr="00885153">
        <w:rPr>
          <w:rFonts w:ascii="Arial" w:hAnsi="Arial" w:cs="Arial"/>
          <w:i/>
          <w:iCs/>
          <w:noProof/>
          <w:sz w:val="20"/>
          <w:szCs w:val="20"/>
        </w:rPr>
        <w:t>13</w:t>
      </w:r>
      <w:r w:rsidRPr="00885153">
        <w:rPr>
          <w:rFonts w:ascii="Arial" w:hAnsi="Arial" w:cs="Arial"/>
          <w:noProof/>
          <w:sz w:val="20"/>
          <w:szCs w:val="20"/>
        </w:rPr>
        <w:t>(5), 606. https://doi.org/10.3390/land13050606</w:t>
      </w:r>
    </w:p>
    <w:p w14:paraId="402A403E"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Syafi’i, I., Suryani, D., Satriani, S., Aulia, D., Dhiaulhaq, A., &amp; Adaba, P. Y. (2025). Displaced by progress: The new capital development and the powers of exclusion in Balikpapan Bay, Indonesia. </w:t>
      </w:r>
      <w:r w:rsidRPr="00885153">
        <w:rPr>
          <w:rFonts w:ascii="Arial" w:hAnsi="Arial" w:cs="Arial"/>
          <w:i/>
          <w:iCs/>
          <w:noProof/>
          <w:sz w:val="20"/>
          <w:szCs w:val="20"/>
        </w:rPr>
        <w:t>Ocean &amp; Coastal Management</w:t>
      </w:r>
      <w:r w:rsidRPr="00885153">
        <w:rPr>
          <w:rFonts w:ascii="Arial" w:hAnsi="Arial" w:cs="Arial"/>
          <w:noProof/>
          <w:sz w:val="20"/>
          <w:szCs w:val="20"/>
        </w:rPr>
        <w:t xml:space="preserve">, </w:t>
      </w:r>
      <w:r w:rsidRPr="00885153">
        <w:rPr>
          <w:rFonts w:ascii="Arial" w:hAnsi="Arial" w:cs="Arial"/>
          <w:i/>
          <w:iCs/>
          <w:noProof/>
          <w:sz w:val="20"/>
          <w:szCs w:val="20"/>
        </w:rPr>
        <w:t>269</w:t>
      </w:r>
      <w:r w:rsidRPr="00885153">
        <w:rPr>
          <w:rFonts w:ascii="Arial" w:hAnsi="Arial" w:cs="Arial"/>
          <w:noProof/>
          <w:sz w:val="20"/>
          <w:szCs w:val="20"/>
        </w:rPr>
        <w:t>, 107801. https://doi.org/10.1016/j.ocecoaman.2025.107801</w:t>
      </w:r>
    </w:p>
    <w:p w14:paraId="2FEF6138"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Tang, B., &amp; Aldrich, D. P. (2026). The paradox of smart cities: technological advancements and the disconnection from social participation. </w:t>
      </w:r>
      <w:r w:rsidRPr="00885153">
        <w:rPr>
          <w:rFonts w:ascii="Arial" w:hAnsi="Arial" w:cs="Arial"/>
          <w:i/>
          <w:iCs/>
          <w:noProof/>
          <w:sz w:val="20"/>
          <w:szCs w:val="20"/>
        </w:rPr>
        <w:t>Telematics and Informatics</w:t>
      </w:r>
      <w:r w:rsidRPr="00885153">
        <w:rPr>
          <w:rFonts w:ascii="Arial" w:hAnsi="Arial" w:cs="Arial"/>
          <w:noProof/>
          <w:sz w:val="20"/>
          <w:szCs w:val="20"/>
        </w:rPr>
        <w:t xml:space="preserve">, </w:t>
      </w:r>
      <w:r w:rsidRPr="00885153">
        <w:rPr>
          <w:rFonts w:ascii="Arial" w:hAnsi="Arial" w:cs="Arial"/>
          <w:i/>
          <w:iCs/>
          <w:noProof/>
          <w:sz w:val="20"/>
          <w:szCs w:val="20"/>
        </w:rPr>
        <w:t>105</w:t>
      </w:r>
      <w:r w:rsidRPr="00885153">
        <w:rPr>
          <w:rFonts w:ascii="Arial" w:hAnsi="Arial" w:cs="Arial"/>
          <w:noProof/>
          <w:sz w:val="20"/>
          <w:szCs w:val="20"/>
        </w:rPr>
        <w:t>, 102376. https://doi.org/10.1016/j.tele.2026.102376</w:t>
      </w:r>
    </w:p>
    <w:p w14:paraId="0D716887" w14:textId="77777777" w:rsidR="0013238B" w:rsidRPr="00885153" w:rsidRDefault="0013238B" w:rsidP="0013238B">
      <w:pPr>
        <w:widowControl w:val="0"/>
        <w:autoSpaceDE w:val="0"/>
        <w:autoSpaceDN w:val="0"/>
        <w:adjustRightInd w:val="0"/>
        <w:spacing w:after="0" w:line="240" w:lineRule="auto"/>
        <w:ind w:left="480" w:hanging="480"/>
        <w:jc w:val="both"/>
        <w:rPr>
          <w:rFonts w:ascii="Arial" w:hAnsi="Arial" w:cs="Arial"/>
          <w:noProof/>
          <w:sz w:val="20"/>
          <w:szCs w:val="20"/>
        </w:rPr>
      </w:pPr>
      <w:r w:rsidRPr="00885153">
        <w:rPr>
          <w:rFonts w:ascii="Arial" w:hAnsi="Arial" w:cs="Arial"/>
          <w:noProof/>
          <w:sz w:val="20"/>
          <w:szCs w:val="20"/>
        </w:rPr>
        <w:t xml:space="preserve">Yang, Y., &amp; Ling, Q. (2023). The influence of existence–relatedness–growth need satisfaction and job burnout of young university teachers: the mediating role of job satisfaction. </w:t>
      </w:r>
      <w:r w:rsidRPr="00885153">
        <w:rPr>
          <w:rFonts w:ascii="Arial" w:hAnsi="Arial" w:cs="Arial"/>
          <w:i/>
          <w:iCs/>
          <w:noProof/>
          <w:sz w:val="20"/>
          <w:szCs w:val="20"/>
        </w:rPr>
        <w:t>Frontiers in Psychology</w:t>
      </w:r>
      <w:r w:rsidRPr="00885153">
        <w:rPr>
          <w:rFonts w:ascii="Arial" w:hAnsi="Arial" w:cs="Arial"/>
          <w:noProof/>
          <w:sz w:val="20"/>
          <w:szCs w:val="20"/>
        </w:rPr>
        <w:t xml:space="preserve">, </w:t>
      </w:r>
      <w:r w:rsidRPr="00885153">
        <w:rPr>
          <w:rFonts w:ascii="Arial" w:hAnsi="Arial" w:cs="Arial"/>
          <w:i/>
          <w:iCs/>
          <w:noProof/>
          <w:sz w:val="20"/>
          <w:szCs w:val="20"/>
        </w:rPr>
        <w:t>14</w:t>
      </w:r>
      <w:r w:rsidRPr="00885153">
        <w:rPr>
          <w:rFonts w:ascii="Arial" w:hAnsi="Arial" w:cs="Arial"/>
          <w:noProof/>
          <w:sz w:val="20"/>
          <w:szCs w:val="20"/>
        </w:rPr>
        <w:t>(August), 1–9. https://doi.org/10.3389/fpsyg.2023.1205742</w:t>
      </w:r>
    </w:p>
    <w:p w14:paraId="52C3CBF3" w14:textId="77777777" w:rsidR="0013238B" w:rsidRPr="00885153" w:rsidRDefault="0013238B" w:rsidP="0013238B">
      <w:pPr>
        <w:spacing w:after="0" w:line="240" w:lineRule="auto"/>
        <w:ind w:firstLine="720"/>
        <w:contextualSpacing/>
        <w:jc w:val="both"/>
        <w:rPr>
          <w:rStyle w:val="Strong"/>
          <w:rFonts w:ascii="Arial" w:hAnsi="Arial" w:cs="Arial"/>
          <w:b w:val="0"/>
          <w:bCs w:val="0"/>
          <w:sz w:val="20"/>
          <w:szCs w:val="20"/>
        </w:rPr>
      </w:pPr>
      <w:r w:rsidRPr="00885153">
        <w:rPr>
          <w:rStyle w:val="Strong"/>
          <w:rFonts w:ascii="Arial" w:hAnsi="Arial" w:cs="Arial"/>
          <w:b w:val="0"/>
          <w:bCs w:val="0"/>
          <w:sz w:val="20"/>
          <w:szCs w:val="20"/>
        </w:rPr>
        <w:fldChar w:fldCharType="end"/>
      </w:r>
    </w:p>
    <w:p w14:paraId="06952F00" w14:textId="31ED979D" w:rsidR="006B1660" w:rsidRDefault="006B1660" w:rsidP="00175425">
      <w:pPr>
        <w:widowControl w:val="0"/>
        <w:autoSpaceDE w:val="0"/>
        <w:autoSpaceDN w:val="0"/>
        <w:adjustRightInd w:val="0"/>
        <w:spacing w:line="240" w:lineRule="auto"/>
        <w:ind w:left="480" w:hanging="480"/>
        <w:jc w:val="both"/>
        <w:rPr>
          <w:rFonts w:ascii="Arial" w:hAnsi="Arial" w:cs="Arial"/>
          <w:sz w:val="20"/>
          <w:szCs w:val="20"/>
        </w:rPr>
      </w:pPr>
    </w:p>
    <w:sectPr w:rsidR="006B1660" w:rsidSect="002E31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9E0C6" w14:textId="77777777" w:rsidR="00F26B16" w:rsidRDefault="00F26B16" w:rsidP="002E31C9">
      <w:pPr>
        <w:spacing w:after="0" w:line="240" w:lineRule="auto"/>
      </w:pPr>
      <w:r>
        <w:separator/>
      </w:r>
    </w:p>
  </w:endnote>
  <w:endnote w:type="continuationSeparator" w:id="0">
    <w:p w14:paraId="40B7A989" w14:textId="77777777" w:rsidR="00F26B16" w:rsidRDefault="00F26B16" w:rsidP="002E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B817" w14:textId="77777777" w:rsidR="002E31C9" w:rsidRDefault="002E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B0B2" w14:textId="77777777" w:rsidR="002E31C9" w:rsidRDefault="002E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F0A0" w14:textId="77777777" w:rsidR="002E31C9" w:rsidRDefault="002E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39F" w14:textId="77777777" w:rsidR="00F26B16" w:rsidRDefault="00F26B16" w:rsidP="002E31C9">
      <w:pPr>
        <w:spacing w:after="0" w:line="240" w:lineRule="auto"/>
      </w:pPr>
      <w:r>
        <w:separator/>
      </w:r>
    </w:p>
  </w:footnote>
  <w:footnote w:type="continuationSeparator" w:id="0">
    <w:p w14:paraId="51E94CC2" w14:textId="77777777" w:rsidR="00F26B16" w:rsidRDefault="00F26B16" w:rsidP="002E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921E" w14:textId="12991356" w:rsidR="002E31C9" w:rsidRDefault="002E31C9">
    <w:pPr>
      <w:pStyle w:val="Header"/>
    </w:pPr>
    <w:r>
      <w:rPr>
        <w:noProof/>
      </w:rPr>
      <w:pict w14:anchorId="14DD8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015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0D04" w14:textId="53774999" w:rsidR="002E31C9" w:rsidRDefault="002E31C9">
    <w:pPr>
      <w:pStyle w:val="Header"/>
    </w:pPr>
    <w:r>
      <w:rPr>
        <w:noProof/>
      </w:rPr>
      <w:pict w14:anchorId="15FE2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015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8926" w14:textId="5244D48F" w:rsidR="002E31C9" w:rsidRDefault="002E31C9">
    <w:pPr>
      <w:pStyle w:val="Header"/>
    </w:pPr>
    <w:r>
      <w:rPr>
        <w:noProof/>
      </w:rPr>
      <w:pict w14:anchorId="0F47D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015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0DA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1D3C"/>
    <w:multiLevelType w:val="hybridMultilevel"/>
    <w:tmpl w:val="F4C824AE"/>
    <w:lvl w:ilvl="0" w:tplc="9E3C02AC">
      <w:start w:val="1"/>
      <w:numFmt w:val="decimal"/>
      <w:lvlText w:val="2.%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F82BFF"/>
    <w:multiLevelType w:val="hybridMultilevel"/>
    <w:tmpl w:val="220ECAF0"/>
    <w:lvl w:ilvl="0" w:tplc="1C402638">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AD7FE7"/>
    <w:multiLevelType w:val="hybridMultilevel"/>
    <w:tmpl w:val="2C9E292A"/>
    <w:lvl w:ilvl="0" w:tplc="63505180">
      <w:start w:val="1"/>
      <w:numFmt w:val="decimal"/>
      <w:lvlText w:val="3.%1."/>
      <w:lvlJc w:val="right"/>
      <w:pPr>
        <w:ind w:left="72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25861"/>
    <w:multiLevelType w:val="multilevel"/>
    <w:tmpl w:val="7B74A628"/>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30A6A"/>
    <w:multiLevelType w:val="hybridMultilevel"/>
    <w:tmpl w:val="10AE5FAA"/>
    <w:lvl w:ilvl="0" w:tplc="9072C8C0">
      <w:start w:val="1"/>
      <w:numFmt w:val="decimal"/>
      <w:lvlText w:val="5.%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035FB5"/>
    <w:multiLevelType w:val="multilevel"/>
    <w:tmpl w:val="F566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43420"/>
    <w:multiLevelType w:val="hybridMultilevel"/>
    <w:tmpl w:val="C7C437F0"/>
    <w:lvl w:ilvl="0" w:tplc="573AE73C">
      <w:start w:val="1"/>
      <w:numFmt w:val="decimal"/>
      <w:lvlText w:val="2.4.%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B111C1F"/>
    <w:multiLevelType w:val="hybridMultilevel"/>
    <w:tmpl w:val="F7D2E862"/>
    <w:lvl w:ilvl="0" w:tplc="273445A4">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BE4ACC"/>
    <w:multiLevelType w:val="multilevel"/>
    <w:tmpl w:val="4CAE2052"/>
    <w:lvl w:ilvl="0">
      <w:start w:val="1"/>
      <w:numFmt w:val="decimal"/>
      <w:lvlText w:val="%1."/>
      <w:lvlJc w:val="left"/>
      <w:pPr>
        <w:ind w:left="720" w:hanging="360"/>
      </w:pPr>
      <w:rPr>
        <w:sz w:val="20"/>
        <w:szCs w:val="2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6526C6"/>
    <w:multiLevelType w:val="multilevel"/>
    <w:tmpl w:val="7B226C6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C0A5E"/>
    <w:multiLevelType w:val="multilevel"/>
    <w:tmpl w:val="7B74A628"/>
    <w:styleLink w:val="CurrentList1"/>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8B6271"/>
    <w:multiLevelType w:val="hybridMultilevel"/>
    <w:tmpl w:val="9D1E3790"/>
    <w:lvl w:ilvl="0" w:tplc="814A9C7A">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D57157"/>
    <w:multiLevelType w:val="multilevel"/>
    <w:tmpl w:val="EBCC8D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905F4"/>
    <w:multiLevelType w:val="hybridMultilevel"/>
    <w:tmpl w:val="19CE47E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52A2678A"/>
    <w:multiLevelType w:val="hybridMultilevel"/>
    <w:tmpl w:val="B0E01466"/>
    <w:lvl w:ilvl="0" w:tplc="1A1630DA">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A720556"/>
    <w:multiLevelType w:val="multilevel"/>
    <w:tmpl w:val="CE9CCF5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B47CFE"/>
    <w:multiLevelType w:val="hybridMultilevel"/>
    <w:tmpl w:val="C9BE380C"/>
    <w:lvl w:ilvl="0" w:tplc="A0B0FF9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AC30B59"/>
    <w:multiLevelType w:val="hybridMultilevel"/>
    <w:tmpl w:val="6B622E10"/>
    <w:lvl w:ilvl="0" w:tplc="0E46D5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B5420BF"/>
    <w:multiLevelType w:val="hybridMultilevel"/>
    <w:tmpl w:val="4EF2EC3A"/>
    <w:lvl w:ilvl="0" w:tplc="2D34A200">
      <w:start w:val="1"/>
      <w:numFmt w:val="decimal"/>
      <w:lvlText w:val="4.%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8"/>
  </w:num>
  <w:num w:numId="5">
    <w:abstractNumId w:val="2"/>
  </w:num>
  <w:num w:numId="6">
    <w:abstractNumId w:val="9"/>
  </w:num>
  <w:num w:numId="7">
    <w:abstractNumId w:val="15"/>
  </w:num>
  <w:num w:numId="8">
    <w:abstractNumId w:val="7"/>
  </w:num>
  <w:num w:numId="9">
    <w:abstractNumId w:val="16"/>
  </w:num>
  <w:num w:numId="10">
    <w:abstractNumId w:val="13"/>
  </w:num>
  <w:num w:numId="11">
    <w:abstractNumId w:val="6"/>
  </w:num>
  <w:num w:numId="12">
    <w:abstractNumId w:val="10"/>
  </w:num>
  <w:num w:numId="13">
    <w:abstractNumId w:val="4"/>
  </w:num>
  <w:num w:numId="14">
    <w:abstractNumId w:val="17"/>
  </w:num>
  <w:num w:numId="15">
    <w:abstractNumId w:val="0"/>
  </w:num>
  <w:num w:numId="16">
    <w:abstractNumId w:val="14"/>
  </w:num>
  <w:num w:numId="17">
    <w:abstractNumId w:val="12"/>
  </w:num>
  <w:num w:numId="18">
    <w:abstractNumId w:val="19"/>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E"/>
    <w:rsid w:val="00026A8C"/>
    <w:rsid w:val="00041B1E"/>
    <w:rsid w:val="00094ECF"/>
    <w:rsid w:val="000A0D7B"/>
    <w:rsid w:val="000A325E"/>
    <w:rsid w:val="000B1137"/>
    <w:rsid w:val="000D7F1E"/>
    <w:rsid w:val="000F2216"/>
    <w:rsid w:val="000F7460"/>
    <w:rsid w:val="001047A2"/>
    <w:rsid w:val="00124732"/>
    <w:rsid w:val="0013238B"/>
    <w:rsid w:val="00141662"/>
    <w:rsid w:val="001718C4"/>
    <w:rsid w:val="00175425"/>
    <w:rsid w:val="00183B01"/>
    <w:rsid w:val="001A1694"/>
    <w:rsid w:val="001D5D4D"/>
    <w:rsid w:val="001E5EBF"/>
    <w:rsid w:val="001E7010"/>
    <w:rsid w:val="00226EBA"/>
    <w:rsid w:val="00287716"/>
    <w:rsid w:val="002B717B"/>
    <w:rsid w:val="002D713F"/>
    <w:rsid w:val="002D77C3"/>
    <w:rsid w:val="002E31C9"/>
    <w:rsid w:val="002F77ED"/>
    <w:rsid w:val="00316E99"/>
    <w:rsid w:val="00335C50"/>
    <w:rsid w:val="003518C6"/>
    <w:rsid w:val="00353A25"/>
    <w:rsid w:val="003B1C9E"/>
    <w:rsid w:val="003D792D"/>
    <w:rsid w:val="003E331D"/>
    <w:rsid w:val="003F60C7"/>
    <w:rsid w:val="004000C2"/>
    <w:rsid w:val="00407129"/>
    <w:rsid w:val="004165BA"/>
    <w:rsid w:val="0044216D"/>
    <w:rsid w:val="004966A5"/>
    <w:rsid w:val="004A4D59"/>
    <w:rsid w:val="004C436B"/>
    <w:rsid w:val="004C58A5"/>
    <w:rsid w:val="004D01B1"/>
    <w:rsid w:val="00524464"/>
    <w:rsid w:val="00547387"/>
    <w:rsid w:val="005A0E49"/>
    <w:rsid w:val="005B287C"/>
    <w:rsid w:val="005B4FB8"/>
    <w:rsid w:val="005C16D7"/>
    <w:rsid w:val="005C38BE"/>
    <w:rsid w:val="005E32B5"/>
    <w:rsid w:val="00615C90"/>
    <w:rsid w:val="006B1660"/>
    <w:rsid w:val="006E45C4"/>
    <w:rsid w:val="00717798"/>
    <w:rsid w:val="00730724"/>
    <w:rsid w:val="00741523"/>
    <w:rsid w:val="00747C63"/>
    <w:rsid w:val="00764370"/>
    <w:rsid w:val="00772343"/>
    <w:rsid w:val="007B79C6"/>
    <w:rsid w:val="007C45BE"/>
    <w:rsid w:val="00803EB6"/>
    <w:rsid w:val="0083481B"/>
    <w:rsid w:val="008358AB"/>
    <w:rsid w:val="008358D7"/>
    <w:rsid w:val="008436E2"/>
    <w:rsid w:val="00A01222"/>
    <w:rsid w:val="00A572C0"/>
    <w:rsid w:val="00A61E80"/>
    <w:rsid w:val="00A66E97"/>
    <w:rsid w:val="00A80F34"/>
    <w:rsid w:val="00A97FA9"/>
    <w:rsid w:val="00AA3303"/>
    <w:rsid w:val="00AB5872"/>
    <w:rsid w:val="00AD41AD"/>
    <w:rsid w:val="00AD5ECE"/>
    <w:rsid w:val="00AD6031"/>
    <w:rsid w:val="00B1457B"/>
    <w:rsid w:val="00B5767E"/>
    <w:rsid w:val="00B57F77"/>
    <w:rsid w:val="00BA2FBE"/>
    <w:rsid w:val="00BE22EA"/>
    <w:rsid w:val="00BE6C6A"/>
    <w:rsid w:val="00C131C9"/>
    <w:rsid w:val="00C210F9"/>
    <w:rsid w:val="00C71B5E"/>
    <w:rsid w:val="00C8248F"/>
    <w:rsid w:val="00C9192A"/>
    <w:rsid w:val="00CD2290"/>
    <w:rsid w:val="00CE2FB7"/>
    <w:rsid w:val="00D02EC2"/>
    <w:rsid w:val="00D10261"/>
    <w:rsid w:val="00D10E71"/>
    <w:rsid w:val="00D1788A"/>
    <w:rsid w:val="00D26233"/>
    <w:rsid w:val="00D35D03"/>
    <w:rsid w:val="00D46AAE"/>
    <w:rsid w:val="00D642C9"/>
    <w:rsid w:val="00DB7292"/>
    <w:rsid w:val="00DC781A"/>
    <w:rsid w:val="00DF1767"/>
    <w:rsid w:val="00E07951"/>
    <w:rsid w:val="00E16B78"/>
    <w:rsid w:val="00EA5CB1"/>
    <w:rsid w:val="00EB6BA0"/>
    <w:rsid w:val="00F25C56"/>
    <w:rsid w:val="00F26B16"/>
    <w:rsid w:val="00F271B5"/>
    <w:rsid w:val="00F935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8CEFA"/>
  <w15:chartTrackingRefBased/>
  <w15:docId w15:val="{C6F05CB0-7E52-446E-B64F-2BA485DC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kern w:val="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BE"/>
    <w:pPr>
      <w:spacing w:after="200" w:line="276" w:lineRule="auto"/>
    </w:pPr>
    <w:rPr>
      <w:rFonts w:ascii="Times New Roman" w:eastAsia="Times New Roman" w:hAnsi="Times New Roman" w:cstheme="minorBidi"/>
      <w:kern w:val="0"/>
      <w:sz w:val="24"/>
      <w:szCs w:val="22"/>
      <w14:ligatures w14:val="none"/>
    </w:rPr>
  </w:style>
  <w:style w:type="paragraph" w:styleId="Heading1">
    <w:name w:val="heading 1"/>
    <w:basedOn w:val="Normal"/>
    <w:next w:val="Normal"/>
    <w:link w:val="Heading1Char"/>
    <w:uiPriority w:val="9"/>
    <w:qFormat/>
    <w:rsid w:val="00041B1E"/>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nhideWhenUsed/>
    <w:qFormat/>
    <w:rsid w:val="00041B1E"/>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semiHidden/>
    <w:unhideWhenUsed/>
    <w:qFormat/>
    <w:rsid w:val="00041B1E"/>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semiHidden/>
    <w:unhideWhenUsed/>
    <w:qFormat/>
    <w:rsid w:val="00041B1E"/>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041B1E"/>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41B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B1E"/>
    <w:rPr>
      <w:rFonts w:ascii="Cambria" w:eastAsia="Cambria" w:hAnsi="Cambria" w:cs="Cambria"/>
      <w:b/>
      <w:sz w:val="32"/>
      <w:szCs w:val="32"/>
      <w:lang w:eastAsia="en-ID"/>
    </w:rPr>
  </w:style>
  <w:style w:type="character" w:customStyle="1" w:styleId="Heading2Char">
    <w:name w:val="Heading 2 Char"/>
    <w:basedOn w:val="DefaultParagraphFont"/>
    <w:link w:val="Heading2"/>
    <w:rsid w:val="00041B1E"/>
    <w:rPr>
      <w:rFonts w:ascii="Cambria" w:eastAsia="Cambria" w:hAnsi="Cambria" w:cs="Cambria"/>
      <w:b/>
      <w:color w:val="4F81BD"/>
      <w:sz w:val="26"/>
      <w:szCs w:val="26"/>
      <w:lang w:eastAsia="en-ID"/>
    </w:rPr>
  </w:style>
  <w:style w:type="character" w:customStyle="1" w:styleId="Heading3Char">
    <w:name w:val="Heading 3 Char"/>
    <w:basedOn w:val="DefaultParagraphFont"/>
    <w:link w:val="Heading3"/>
    <w:semiHidden/>
    <w:rsid w:val="00041B1E"/>
    <w:rPr>
      <w:rFonts w:ascii="Cambria" w:eastAsia="Cambria" w:hAnsi="Cambria" w:cs="Cambria"/>
      <w:b/>
      <w:color w:val="4F81BD"/>
      <w:sz w:val="22"/>
      <w:szCs w:val="22"/>
      <w:lang w:eastAsia="en-ID"/>
    </w:rPr>
  </w:style>
  <w:style w:type="character" w:customStyle="1" w:styleId="Heading4Char">
    <w:name w:val="Heading 4 Char"/>
    <w:basedOn w:val="DefaultParagraphFont"/>
    <w:link w:val="Heading4"/>
    <w:semiHidden/>
    <w:rsid w:val="00041B1E"/>
    <w:rPr>
      <w:b/>
      <w:sz w:val="24"/>
      <w:szCs w:val="24"/>
      <w:lang w:eastAsia="en-ID"/>
    </w:rPr>
  </w:style>
  <w:style w:type="character" w:customStyle="1" w:styleId="Heading5Char">
    <w:name w:val="Heading 5 Char"/>
    <w:basedOn w:val="DefaultParagraphFont"/>
    <w:link w:val="Heading5"/>
    <w:uiPriority w:val="9"/>
    <w:semiHidden/>
    <w:rsid w:val="00041B1E"/>
    <w:rPr>
      <w:b/>
      <w:sz w:val="22"/>
      <w:szCs w:val="22"/>
      <w:lang w:eastAsia="en-ID"/>
    </w:rPr>
  </w:style>
  <w:style w:type="character" w:customStyle="1" w:styleId="Heading6Char">
    <w:name w:val="Heading 6 Char"/>
    <w:basedOn w:val="DefaultParagraphFont"/>
    <w:link w:val="Heading6"/>
    <w:uiPriority w:val="9"/>
    <w:semiHidden/>
    <w:rsid w:val="00041B1E"/>
    <w:rPr>
      <w:b/>
      <w:lang w:eastAsia="en-ID"/>
    </w:rPr>
  </w:style>
  <w:style w:type="paragraph" w:styleId="Title">
    <w:name w:val="Title"/>
    <w:basedOn w:val="Normal"/>
    <w:next w:val="Normal"/>
    <w:link w:val="TitleChar"/>
    <w:uiPriority w:val="10"/>
    <w:qFormat/>
    <w:rsid w:val="00041B1E"/>
    <w:pPr>
      <w:keepNext/>
      <w:keepLines/>
      <w:spacing w:before="480" w:after="120"/>
    </w:pPr>
    <w:rPr>
      <w:b/>
      <w:sz w:val="72"/>
      <w:szCs w:val="72"/>
    </w:rPr>
  </w:style>
  <w:style w:type="character" w:customStyle="1" w:styleId="TitleChar">
    <w:name w:val="Title Char"/>
    <w:basedOn w:val="DefaultParagraphFont"/>
    <w:link w:val="Title"/>
    <w:uiPriority w:val="10"/>
    <w:rsid w:val="00041B1E"/>
    <w:rPr>
      <w:b/>
      <w:sz w:val="72"/>
      <w:szCs w:val="72"/>
      <w:lang w:eastAsia="en-ID"/>
    </w:rPr>
  </w:style>
  <w:style w:type="paragraph" w:styleId="BodyText">
    <w:name w:val="Body Text"/>
    <w:basedOn w:val="Normal"/>
    <w:link w:val="BodyTextChar"/>
    <w:uiPriority w:val="1"/>
    <w:qFormat/>
    <w:rsid w:val="00041B1E"/>
    <w:pPr>
      <w:widowControl w:val="0"/>
      <w:autoSpaceDE w:val="0"/>
      <w:autoSpaceDN w:val="0"/>
      <w:spacing w:after="0" w:line="240" w:lineRule="auto"/>
    </w:pPr>
    <w:rPr>
      <w:rFonts w:cs="Times New Roman"/>
      <w:szCs w:val="24"/>
    </w:rPr>
  </w:style>
  <w:style w:type="character" w:customStyle="1" w:styleId="BodyTextChar">
    <w:name w:val="Body Text Char"/>
    <w:link w:val="BodyText"/>
    <w:uiPriority w:val="1"/>
    <w:rsid w:val="00041B1E"/>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41B1E"/>
    <w:pPr>
      <w:spacing w:after="60" w:line="240" w:lineRule="auto"/>
      <w:jc w:val="center"/>
    </w:pPr>
    <w:rPr>
      <w:rFonts w:ascii="Arial" w:eastAsia="Arial" w:hAnsi="Arial" w:cs="Arial"/>
      <w:szCs w:val="24"/>
    </w:rPr>
  </w:style>
  <w:style w:type="character" w:customStyle="1" w:styleId="SubtitleChar">
    <w:name w:val="Subtitle Char"/>
    <w:basedOn w:val="DefaultParagraphFont"/>
    <w:link w:val="Subtitle"/>
    <w:uiPriority w:val="11"/>
    <w:rsid w:val="00041B1E"/>
    <w:rPr>
      <w:rFonts w:ascii="Arial" w:eastAsia="Arial" w:hAnsi="Arial" w:cs="Arial"/>
      <w:sz w:val="24"/>
      <w:szCs w:val="24"/>
      <w:lang w:eastAsia="en-ID"/>
    </w:rPr>
  </w:style>
  <w:style w:type="paragraph" w:styleId="ListParagraph">
    <w:name w:val="List Paragraph"/>
    <w:basedOn w:val="Normal"/>
    <w:uiPriority w:val="34"/>
    <w:qFormat/>
    <w:rsid w:val="00041B1E"/>
    <w:pPr>
      <w:ind w:left="720"/>
      <w:contextualSpacing/>
    </w:pPr>
  </w:style>
  <w:style w:type="paragraph" w:styleId="NormalWeb">
    <w:name w:val="Normal (Web)"/>
    <w:basedOn w:val="Normal"/>
    <w:uiPriority w:val="99"/>
    <w:semiHidden/>
    <w:unhideWhenUsed/>
    <w:rsid w:val="005C38BE"/>
    <w:pPr>
      <w:spacing w:before="100" w:beforeAutospacing="1" w:after="100" w:afterAutospacing="1" w:line="240" w:lineRule="auto"/>
    </w:pPr>
    <w:rPr>
      <w:rFonts w:cs="Times New Roman"/>
      <w:szCs w:val="24"/>
      <w:lang w:val="id-ID" w:eastAsia="id-ID"/>
    </w:rPr>
  </w:style>
  <w:style w:type="paragraph" w:customStyle="1" w:styleId="Body">
    <w:name w:val="Body"/>
    <w:basedOn w:val="Normal"/>
    <w:rsid w:val="005C38BE"/>
    <w:pPr>
      <w:spacing w:after="240" w:line="240" w:lineRule="auto"/>
      <w:jc w:val="both"/>
    </w:pPr>
    <w:rPr>
      <w:rFonts w:ascii="Helvetica" w:hAnsi="Helvetica" w:cs="Times New Roman"/>
      <w:sz w:val="20"/>
      <w:szCs w:val="20"/>
    </w:rPr>
  </w:style>
  <w:style w:type="paragraph" w:customStyle="1" w:styleId="AbstHead">
    <w:name w:val="Abst Head"/>
    <w:basedOn w:val="Normal"/>
    <w:rsid w:val="005C38BE"/>
    <w:pPr>
      <w:keepNext/>
      <w:spacing w:after="240" w:line="240" w:lineRule="auto"/>
    </w:pPr>
    <w:rPr>
      <w:rFonts w:ascii="Helvetica" w:hAnsi="Helvetica" w:cs="Times New Roman"/>
      <w:b/>
      <w:caps/>
      <w:sz w:val="22"/>
      <w:szCs w:val="20"/>
    </w:rPr>
  </w:style>
  <w:style w:type="paragraph" w:customStyle="1" w:styleId="ConcHead">
    <w:name w:val="Conc Head"/>
    <w:basedOn w:val="Normal"/>
    <w:rsid w:val="00EB6BA0"/>
    <w:pPr>
      <w:keepNext/>
      <w:spacing w:after="240" w:line="240" w:lineRule="auto"/>
    </w:pPr>
    <w:rPr>
      <w:rFonts w:ascii="Helvetica" w:hAnsi="Helvetica" w:cs="Times New Roman"/>
      <w:b/>
      <w:caps/>
      <w:sz w:val="22"/>
      <w:szCs w:val="20"/>
    </w:rPr>
  </w:style>
  <w:style w:type="paragraph" w:customStyle="1" w:styleId="Head1">
    <w:name w:val="Head1"/>
    <w:basedOn w:val="Normal"/>
    <w:rsid w:val="00EB6BA0"/>
    <w:pPr>
      <w:keepNext/>
      <w:spacing w:after="240" w:line="240" w:lineRule="auto"/>
    </w:pPr>
    <w:rPr>
      <w:rFonts w:ascii="Helvetica" w:hAnsi="Helvetica" w:cs="Times New Roman"/>
      <w:b/>
      <w:caps/>
      <w:sz w:val="22"/>
      <w:szCs w:val="20"/>
    </w:rPr>
  </w:style>
  <w:style w:type="table" w:styleId="TableGrid">
    <w:name w:val="Table Grid"/>
    <w:basedOn w:val="TableNormal"/>
    <w:uiPriority w:val="59"/>
    <w:rsid w:val="00EB6BA0"/>
    <w:rPr>
      <w:rFonts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EB6BA0"/>
    <w:rPr>
      <w:i/>
      <w:iCs/>
    </w:rPr>
  </w:style>
  <w:style w:type="character" w:styleId="Strong">
    <w:name w:val="Strong"/>
    <w:basedOn w:val="DefaultParagraphFont"/>
    <w:uiPriority w:val="22"/>
    <w:qFormat/>
    <w:rsid w:val="00EB6BA0"/>
    <w:rPr>
      <w:b/>
      <w:bCs/>
    </w:rPr>
  </w:style>
  <w:style w:type="paragraph" w:customStyle="1" w:styleId="ReferHead">
    <w:name w:val="Refer Head"/>
    <w:basedOn w:val="Normal"/>
    <w:rsid w:val="001718C4"/>
    <w:pPr>
      <w:keepNext/>
      <w:spacing w:after="240" w:line="240" w:lineRule="auto"/>
    </w:pPr>
    <w:rPr>
      <w:rFonts w:ascii="Helvetica" w:hAnsi="Helvetica" w:cs="Times New Roman"/>
      <w:b/>
      <w:caps/>
      <w:sz w:val="22"/>
      <w:szCs w:val="20"/>
    </w:rPr>
  </w:style>
  <w:style w:type="character" w:styleId="Hyperlink">
    <w:name w:val="Hyperlink"/>
    <w:basedOn w:val="DefaultParagraphFont"/>
    <w:uiPriority w:val="99"/>
    <w:unhideWhenUsed/>
    <w:rsid w:val="00CD2290"/>
    <w:rPr>
      <w:color w:val="0000FF"/>
      <w:u w:val="single"/>
    </w:rPr>
  </w:style>
  <w:style w:type="paragraph" w:customStyle="1" w:styleId="Author">
    <w:name w:val="Author"/>
    <w:basedOn w:val="Normal"/>
    <w:rsid w:val="00CD2290"/>
    <w:pPr>
      <w:spacing w:after="0" w:line="280" w:lineRule="exact"/>
      <w:jc w:val="right"/>
    </w:pPr>
    <w:rPr>
      <w:rFonts w:ascii="Helvetica" w:hAnsi="Helvetica" w:cs="Times New Roman"/>
      <w:b/>
      <w:szCs w:val="20"/>
    </w:rPr>
  </w:style>
  <w:style w:type="character" w:styleId="LineNumber">
    <w:name w:val="line number"/>
    <w:basedOn w:val="DefaultParagraphFont"/>
    <w:uiPriority w:val="99"/>
    <w:semiHidden/>
    <w:unhideWhenUsed/>
    <w:rsid w:val="003518C6"/>
  </w:style>
  <w:style w:type="paragraph" w:styleId="ListBullet">
    <w:name w:val="List Bullet"/>
    <w:basedOn w:val="Normal"/>
    <w:uiPriority w:val="99"/>
    <w:unhideWhenUsed/>
    <w:rsid w:val="00287716"/>
    <w:pPr>
      <w:numPr>
        <w:numId w:val="15"/>
      </w:numPr>
      <w:contextualSpacing/>
    </w:pPr>
  </w:style>
  <w:style w:type="numbering" w:customStyle="1" w:styleId="CurrentList1">
    <w:name w:val="Current List1"/>
    <w:uiPriority w:val="99"/>
    <w:rsid w:val="0013238B"/>
    <w:pPr>
      <w:numPr>
        <w:numId w:val="20"/>
      </w:numPr>
    </w:pPr>
  </w:style>
  <w:style w:type="character" w:styleId="UnresolvedMention">
    <w:name w:val="Unresolved Mention"/>
    <w:basedOn w:val="DefaultParagraphFont"/>
    <w:uiPriority w:val="99"/>
    <w:semiHidden/>
    <w:unhideWhenUsed/>
    <w:rsid w:val="005A0E49"/>
    <w:rPr>
      <w:color w:val="605E5C"/>
      <w:shd w:val="clear" w:color="auto" w:fill="E1DFDD"/>
    </w:rPr>
  </w:style>
  <w:style w:type="paragraph" w:styleId="Header">
    <w:name w:val="header"/>
    <w:basedOn w:val="Normal"/>
    <w:link w:val="HeaderChar"/>
    <w:uiPriority w:val="99"/>
    <w:unhideWhenUsed/>
    <w:rsid w:val="002E3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1C9"/>
    <w:rPr>
      <w:rFonts w:ascii="Times New Roman" w:eastAsia="Times New Roman" w:hAnsi="Times New Roman" w:cstheme="minorBidi"/>
      <w:kern w:val="0"/>
      <w:sz w:val="24"/>
      <w:szCs w:val="22"/>
      <w14:ligatures w14:val="none"/>
    </w:rPr>
  </w:style>
  <w:style w:type="paragraph" w:styleId="Footer">
    <w:name w:val="footer"/>
    <w:basedOn w:val="Normal"/>
    <w:link w:val="FooterChar"/>
    <w:uiPriority w:val="99"/>
    <w:unhideWhenUsed/>
    <w:rsid w:val="002E3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1C9"/>
    <w:rPr>
      <w:rFonts w:ascii="Times New Roman" w:eastAsia="Times New Roman" w:hAnsi="Times New Roman" w:cstheme="minorBidi"/>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2">
      <w:bodyDiv w:val="1"/>
      <w:marLeft w:val="0"/>
      <w:marRight w:val="0"/>
      <w:marTop w:val="0"/>
      <w:marBottom w:val="0"/>
      <w:divBdr>
        <w:top w:val="none" w:sz="0" w:space="0" w:color="auto"/>
        <w:left w:val="none" w:sz="0" w:space="0" w:color="auto"/>
        <w:bottom w:val="none" w:sz="0" w:space="0" w:color="auto"/>
        <w:right w:val="none" w:sz="0" w:space="0" w:color="auto"/>
      </w:divBdr>
    </w:div>
    <w:div w:id="123736496">
      <w:bodyDiv w:val="1"/>
      <w:marLeft w:val="0"/>
      <w:marRight w:val="0"/>
      <w:marTop w:val="0"/>
      <w:marBottom w:val="0"/>
      <w:divBdr>
        <w:top w:val="none" w:sz="0" w:space="0" w:color="auto"/>
        <w:left w:val="none" w:sz="0" w:space="0" w:color="auto"/>
        <w:bottom w:val="none" w:sz="0" w:space="0" w:color="auto"/>
        <w:right w:val="none" w:sz="0" w:space="0" w:color="auto"/>
      </w:divBdr>
    </w:div>
    <w:div w:id="258756125">
      <w:bodyDiv w:val="1"/>
      <w:marLeft w:val="0"/>
      <w:marRight w:val="0"/>
      <w:marTop w:val="0"/>
      <w:marBottom w:val="0"/>
      <w:divBdr>
        <w:top w:val="none" w:sz="0" w:space="0" w:color="auto"/>
        <w:left w:val="none" w:sz="0" w:space="0" w:color="auto"/>
        <w:bottom w:val="none" w:sz="0" w:space="0" w:color="auto"/>
        <w:right w:val="none" w:sz="0" w:space="0" w:color="auto"/>
      </w:divBdr>
    </w:div>
    <w:div w:id="386300630">
      <w:bodyDiv w:val="1"/>
      <w:marLeft w:val="0"/>
      <w:marRight w:val="0"/>
      <w:marTop w:val="0"/>
      <w:marBottom w:val="0"/>
      <w:divBdr>
        <w:top w:val="none" w:sz="0" w:space="0" w:color="auto"/>
        <w:left w:val="none" w:sz="0" w:space="0" w:color="auto"/>
        <w:bottom w:val="none" w:sz="0" w:space="0" w:color="auto"/>
        <w:right w:val="none" w:sz="0" w:space="0" w:color="auto"/>
      </w:divBdr>
    </w:div>
    <w:div w:id="432435689">
      <w:bodyDiv w:val="1"/>
      <w:marLeft w:val="0"/>
      <w:marRight w:val="0"/>
      <w:marTop w:val="0"/>
      <w:marBottom w:val="0"/>
      <w:divBdr>
        <w:top w:val="none" w:sz="0" w:space="0" w:color="auto"/>
        <w:left w:val="none" w:sz="0" w:space="0" w:color="auto"/>
        <w:bottom w:val="none" w:sz="0" w:space="0" w:color="auto"/>
        <w:right w:val="none" w:sz="0" w:space="0" w:color="auto"/>
      </w:divBdr>
    </w:div>
    <w:div w:id="599142537">
      <w:bodyDiv w:val="1"/>
      <w:marLeft w:val="0"/>
      <w:marRight w:val="0"/>
      <w:marTop w:val="0"/>
      <w:marBottom w:val="0"/>
      <w:divBdr>
        <w:top w:val="none" w:sz="0" w:space="0" w:color="auto"/>
        <w:left w:val="none" w:sz="0" w:space="0" w:color="auto"/>
        <w:bottom w:val="none" w:sz="0" w:space="0" w:color="auto"/>
        <w:right w:val="none" w:sz="0" w:space="0" w:color="auto"/>
      </w:divBdr>
    </w:div>
    <w:div w:id="685596972">
      <w:bodyDiv w:val="1"/>
      <w:marLeft w:val="0"/>
      <w:marRight w:val="0"/>
      <w:marTop w:val="0"/>
      <w:marBottom w:val="0"/>
      <w:divBdr>
        <w:top w:val="none" w:sz="0" w:space="0" w:color="auto"/>
        <w:left w:val="none" w:sz="0" w:space="0" w:color="auto"/>
        <w:bottom w:val="none" w:sz="0" w:space="0" w:color="auto"/>
        <w:right w:val="none" w:sz="0" w:space="0" w:color="auto"/>
      </w:divBdr>
    </w:div>
    <w:div w:id="768887929">
      <w:bodyDiv w:val="1"/>
      <w:marLeft w:val="0"/>
      <w:marRight w:val="0"/>
      <w:marTop w:val="0"/>
      <w:marBottom w:val="0"/>
      <w:divBdr>
        <w:top w:val="none" w:sz="0" w:space="0" w:color="auto"/>
        <w:left w:val="none" w:sz="0" w:space="0" w:color="auto"/>
        <w:bottom w:val="none" w:sz="0" w:space="0" w:color="auto"/>
        <w:right w:val="none" w:sz="0" w:space="0" w:color="auto"/>
      </w:divBdr>
    </w:div>
    <w:div w:id="825777586">
      <w:bodyDiv w:val="1"/>
      <w:marLeft w:val="0"/>
      <w:marRight w:val="0"/>
      <w:marTop w:val="0"/>
      <w:marBottom w:val="0"/>
      <w:divBdr>
        <w:top w:val="none" w:sz="0" w:space="0" w:color="auto"/>
        <w:left w:val="none" w:sz="0" w:space="0" w:color="auto"/>
        <w:bottom w:val="none" w:sz="0" w:space="0" w:color="auto"/>
        <w:right w:val="none" w:sz="0" w:space="0" w:color="auto"/>
      </w:divBdr>
    </w:div>
    <w:div w:id="905531612">
      <w:bodyDiv w:val="1"/>
      <w:marLeft w:val="0"/>
      <w:marRight w:val="0"/>
      <w:marTop w:val="0"/>
      <w:marBottom w:val="0"/>
      <w:divBdr>
        <w:top w:val="none" w:sz="0" w:space="0" w:color="auto"/>
        <w:left w:val="none" w:sz="0" w:space="0" w:color="auto"/>
        <w:bottom w:val="none" w:sz="0" w:space="0" w:color="auto"/>
        <w:right w:val="none" w:sz="0" w:space="0" w:color="auto"/>
      </w:divBdr>
      <w:divsChild>
        <w:div w:id="175835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251434">
      <w:bodyDiv w:val="1"/>
      <w:marLeft w:val="0"/>
      <w:marRight w:val="0"/>
      <w:marTop w:val="0"/>
      <w:marBottom w:val="0"/>
      <w:divBdr>
        <w:top w:val="none" w:sz="0" w:space="0" w:color="auto"/>
        <w:left w:val="none" w:sz="0" w:space="0" w:color="auto"/>
        <w:bottom w:val="none" w:sz="0" w:space="0" w:color="auto"/>
        <w:right w:val="none" w:sz="0" w:space="0" w:color="auto"/>
      </w:divBdr>
    </w:div>
    <w:div w:id="1097747773">
      <w:bodyDiv w:val="1"/>
      <w:marLeft w:val="0"/>
      <w:marRight w:val="0"/>
      <w:marTop w:val="0"/>
      <w:marBottom w:val="0"/>
      <w:divBdr>
        <w:top w:val="none" w:sz="0" w:space="0" w:color="auto"/>
        <w:left w:val="none" w:sz="0" w:space="0" w:color="auto"/>
        <w:bottom w:val="none" w:sz="0" w:space="0" w:color="auto"/>
        <w:right w:val="none" w:sz="0" w:space="0" w:color="auto"/>
      </w:divBdr>
    </w:div>
    <w:div w:id="1560242606">
      <w:bodyDiv w:val="1"/>
      <w:marLeft w:val="0"/>
      <w:marRight w:val="0"/>
      <w:marTop w:val="0"/>
      <w:marBottom w:val="0"/>
      <w:divBdr>
        <w:top w:val="none" w:sz="0" w:space="0" w:color="auto"/>
        <w:left w:val="none" w:sz="0" w:space="0" w:color="auto"/>
        <w:bottom w:val="none" w:sz="0" w:space="0" w:color="auto"/>
        <w:right w:val="none" w:sz="0" w:space="0" w:color="auto"/>
      </w:divBdr>
    </w:div>
    <w:div w:id="1611085633">
      <w:bodyDiv w:val="1"/>
      <w:marLeft w:val="0"/>
      <w:marRight w:val="0"/>
      <w:marTop w:val="0"/>
      <w:marBottom w:val="0"/>
      <w:divBdr>
        <w:top w:val="none" w:sz="0" w:space="0" w:color="auto"/>
        <w:left w:val="none" w:sz="0" w:space="0" w:color="auto"/>
        <w:bottom w:val="none" w:sz="0" w:space="0" w:color="auto"/>
        <w:right w:val="none" w:sz="0" w:space="0" w:color="auto"/>
      </w:divBdr>
    </w:div>
    <w:div w:id="1694502097">
      <w:bodyDiv w:val="1"/>
      <w:marLeft w:val="0"/>
      <w:marRight w:val="0"/>
      <w:marTop w:val="0"/>
      <w:marBottom w:val="0"/>
      <w:divBdr>
        <w:top w:val="none" w:sz="0" w:space="0" w:color="auto"/>
        <w:left w:val="none" w:sz="0" w:space="0" w:color="auto"/>
        <w:bottom w:val="none" w:sz="0" w:space="0" w:color="auto"/>
        <w:right w:val="none" w:sz="0" w:space="0" w:color="auto"/>
      </w:divBdr>
    </w:div>
    <w:div w:id="1694647813">
      <w:bodyDiv w:val="1"/>
      <w:marLeft w:val="0"/>
      <w:marRight w:val="0"/>
      <w:marTop w:val="0"/>
      <w:marBottom w:val="0"/>
      <w:divBdr>
        <w:top w:val="none" w:sz="0" w:space="0" w:color="auto"/>
        <w:left w:val="none" w:sz="0" w:space="0" w:color="auto"/>
        <w:bottom w:val="none" w:sz="0" w:space="0" w:color="auto"/>
        <w:right w:val="none" w:sz="0" w:space="0" w:color="auto"/>
      </w:divBdr>
      <w:divsChild>
        <w:div w:id="2144275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122442">
      <w:bodyDiv w:val="1"/>
      <w:marLeft w:val="0"/>
      <w:marRight w:val="0"/>
      <w:marTop w:val="0"/>
      <w:marBottom w:val="0"/>
      <w:divBdr>
        <w:top w:val="none" w:sz="0" w:space="0" w:color="auto"/>
        <w:left w:val="none" w:sz="0" w:space="0" w:color="auto"/>
        <w:bottom w:val="none" w:sz="0" w:space="0" w:color="auto"/>
        <w:right w:val="none" w:sz="0" w:space="0" w:color="auto"/>
      </w:divBdr>
    </w:div>
    <w:div w:id="1966932836">
      <w:bodyDiv w:val="1"/>
      <w:marLeft w:val="0"/>
      <w:marRight w:val="0"/>
      <w:marTop w:val="0"/>
      <w:marBottom w:val="0"/>
      <w:divBdr>
        <w:top w:val="none" w:sz="0" w:space="0" w:color="auto"/>
        <w:left w:val="none" w:sz="0" w:space="0" w:color="auto"/>
        <w:bottom w:val="none" w:sz="0" w:space="0" w:color="auto"/>
        <w:right w:val="none" w:sz="0" w:space="0" w:color="auto"/>
      </w:divBdr>
      <w:divsChild>
        <w:div w:id="190737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114C8F-E041-42E5-99EF-37294D8C1417}">
  <we:reference id="wa200000368" version="1.0.0.0" store="en-US" storeType="OMEX"/>
  <we:alternateReferences>
    <we:reference id="WA200000368" version="1.0.0.0" store="" storeType="OMEX"/>
  </we:alternateReferences>
  <we:properties>
    <we:property name="documentId" value="&quot;4f2f674a773bdef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F18B-2F87-4A5E-AA73-52C08CBE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27036</Words>
  <Characters>154107</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Risky</dc:creator>
  <cp:keywords/>
  <dc:description/>
  <cp:lastModifiedBy>SDI 1166</cp:lastModifiedBy>
  <cp:revision>15</cp:revision>
  <cp:lastPrinted>2026-03-02T09:11:00Z</cp:lastPrinted>
  <dcterms:created xsi:type="dcterms:W3CDTF">2026-03-16T01:47:00Z</dcterms:created>
  <dcterms:modified xsi:type="dcterms:W3CDTF">2026-03-27T08:19:00Z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https://csl.mendeley.com/styles/21371271/Jurnal-Agrikultura</vt:lpwstr>
  </property>
  <property fmtid="{D5CDD505-2E9C-101B-9397-08002B2CF9AE}" pid="17" name="Mendeley Recent Style Name 7_1">
    <vt:lpwstr>Jurnal Agrikultura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http://csl.mendeley.com/styles/754235221/vancouver</vt:lpwstr>
  </property>
  <property fmtid="{D5CDD505-2E9C-101B-9397-08002B2CF9AE}" pid="21" name="Mendeley Recent Style Name 9_1">
    <vt:lpwstr>Vancouver - Musa  Banunaek</vt:lpwstr>
  </property>
  <property fmtid="{D5CDD505-2E9C-101B-9397-08002B2CF9AE}" pid="22" name="Mendeley Document_1">
    <vt:lpwstr>True</vt:lpwstr>
  </property>
  <property fmtid="{D5CDD505-2E9C-101B-9397-08002B2CF9AE}" pid="23" name="Mendeley Unique User Id_1">
    <vt:lpwstr>c133c00e-4a55-3e52-afa7-f7dbcd81b28c</vt:lpwstr>
  </property>
  <property fmtid="{D5CDD505-2E9C-101B-9397-08002B2CF9AE}" pid="24" name="Mendeley Citation Style_1">
    <vt:lpwstr>http://www.zotero.org/styles/american-political-science-association</vt:lpwstr>
  </property>
  <property fmtid="{D5CDD505-2E9C-101B-9397-08002B2CF9AE}" pid="25" name="GrammarlyDocumentId">
    <vt:lpwstr>2c521d2a-464f-4ddb-8686-5b8859c20bdb</vt:lpwstr>
  </property>
</Properties>
</file>