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A9862" w14:textId="77777777" w:rsidR="00747876" w:rsidRDefault="00747876" w:rsidP="00BD744F">
      <w:pPr>
        <w:jc w:val="right"/>
        <w:rPr>
          <w:rFonts w:ascii="Arial" w:eastAsia="Calibri" w:hAnsi="Arial" w:cs="Arial"/>
          <w:b/>
          <w:bCs/>
          <w:sz w:val="36"/>
          <w:szCs w:val="36"/>
          <w:lang w:bidi="gu-IN"/>
        </w:rPr>
      </w:pPr>
      <w:r w:rsidRPr="00747876">
        <w:rPr>
          <w:rFonts w:ascii="Arial" w:eastAsia="Calibri" w:hAnsi="Arial" w:cs="Arial"/>
          <w:b/>
          <w:bCs/>
          <w:sz w:val="36"/>
          <w:szCs w:val="36"/>
          <w:lang w:bidi="gu-IN"/>
        </w:rPr>
        <w:t xml:space="preserve">Original Research Article </w:t>
      </w:r>
    </w:p>
    <w:p w14:paraId="6FACCEC3" w14:textId="77777777" w:rsidR="00747876" w:rsidRDefault="00747876" w:rsidP="00BD744F">
      <w:pPr>
        <w:jc w:val="right"/>
        <w:rPr>
          <w:rFonts w:ascii="Arial" w:eastAsia="Calibri" w:hAnsi="Arial" w:cs="Arial"/>
          <w:b/>
          <w:bCs/>
          <w:sz w:val="36"/>
          <w:szCs w:val="36"/>
          <w:lang w:bidi="gu-IN"/>
        </w:rPr>
      </w:pPr>
    </w:p>
    <w:p w14:paraId="25E072BE" w14:textId="427077B2" w:rsidR="004F784C" w:rsidRPr="00603DEF" w:rsidRDefault="004F784C" w:rsidP="00BD744F">
      <w:pPr>
        <w:jc w:val="right"/>
        <w:rPr>
          <w:rFonts w:ascii="Arial" w:eastAsia="Calibri" w:hAnsi="Arial" w:cs="Arial"/>
          <w:b/>
          <w:bCs/>
          <w:sz w:val="36"/>
          <w:szCs w:val="36"/>
          <w:lang w:bidi="gu-IN"/>
        </w:rPr>
      </w:pPr>
      <w:r w:rsidRPr="00603DEF">
        <w:rPr>
          <w:rFonts w:ascii="Arial" w:eastAsia="Calibri" w:hAnsi="Arial" w:cs="Arial"/>
          <w:b/>
          <w:bCs/>
          <w:sz w:val="36"/>
          <w:szCs w:val="36"/>
          <w:lang w:bidi="gu-IN"/>
        </w:rPr>
        <w:t>Revealed Comparative Advantage and Market Retention Analysis of India’s Marine Product Exports</w:t>
      </w:r>
    </w:p>
    <w:p w14:paraId="2E9E9D65" w14:textId="77777777" w:rsidR="0087554B" w:rsidRDefault="0087554B" w:rsidP="00BD744F">
      <w:pPr>
        <w:jc w:val="right"/>
        <w:rPr>
          <w:rFonts w:ascii="Arial" w:eastAsia="Calibri" w:hAnsi="Arial" w:cs="Arial"/>
          <w:b/>
          <w:bCs/>
          <w:sz w:val="24"/>
          <w:szCs w:val="24"/>
          <w:lang w:bidi="gu-IN"/>
        </w:rPr>
      </w:pPr>
    </w:p>
    <w:p w14:paraId="5C05AD0F" w14:textId="77777777" w:rsidR="00BD744F" w:rsidRPr="00603DEF" w:rsidRDefault="00BD744F" w:rsidP="004F784C">
      <w:pPr>
        <w:jc w:val="both"/>
        <w:rPr>
          <w:rFonts w:ascii="Arial" w:eastAsia="Calibri" w:hAnsi="Arial" w:cs="Arial"/>
          <w:b/>
          <w:bCs/>
          <w:sz w:val="24"/>
          <w:szCs w:val="24"/>
          <w:lang w:bidi="gu-IN"/>
        </w:rPr>
      </w:pPr>
    </w:p>
    <w:p w14:paraId="60CD0492" w14:textId="77777777" w:rsidR="004F784C" w:rsidRPr="00603DEF" w:rsidRDefault="004F784C" w:rsidP="003110DB">
      <w:pPr>
        <w:spacing w:after="120"/>
        <w:jc w:val="both"/>
        <w:rPr>
          <w:rFonts w:ascii="Arial" w:eastAsia="Calibri" w:hAnsi="Arial" w:cs="Arial"/>
          <w:b/>
          <w:bCs/>
          <w:lang w:bidi="gu-IN"/>
        </w:rPr>
      </w:pPr>
      <w:r w:rsidRPr="00603DEF">
        <w:rPr>
          <w:rFonts w:ascii="Arial" w:eastAsia="Calibri" w:hAnsi="Arial" w:cs="Arial"/>
          <w:b/>
          <w:bCs/>
          <w:lang w:bidi="gu-IN"/>
        </w:rPr>
        <w:t>ABSTRACT</w:t>
      </w:r>
    </w:p>
    <w:tbl>
      <w:tblPr>
        <w:tblStyle w:val="TableGrid"/>
        <w:tblW w:w="5000" w:type="pct"/>
        <w:tblLook w:val="04A0" w:firstRow="1" w:lastRow="0" w:firstColumn="1" w:lastColumn="0" w:noHBand="0" w:noVBand="1"/>
      </w:tblPr>
      <w:tblGrid>
        <w:gridCol w:w="7864"/>
      </w:tblGrid>
      <w:tr w:rsidR="00603DEF" w:rsidRPr="00603DEF" w14:paraId="1375B4CB" w14:textId="77777777" w:rsidTr="006757FA">
        <w:tc>
          <w:tcPr>
            <w:tcW w:w="5000" w:type="pct"/>
          </w:tcPr>
          <w:p w14:paraId="34353300" w14:textId="77777777" w:rsidR="00603DEF" w:rsidRPr="00603DEF" w:rsidRDefault="00603DEF" w:rsidP="003110DB">
            <w:pPr>
              <w:spacing w:after="120"/>
              <w:jc w:val="both"/>
              <w:rPr>
                <w:rFonts w:ascii="Arial" w:eastAsia="Calibri" w:hAnsi="Arial" w:cs="Arial"/>
                <w:sz w:val="20"/>
                <w:szCs w:val="20"/>
                <w:lang w:bidi="gu-IN"/>
              </w:rPr>
            </w:pPr>
            <w:r w:rsidRPr="00603DEF">
              <w:rPr>
                <w:rFonts w:ascii="Arial" w:eastAsia="Calibri" w:hAnsi="Arial" w:cs="Arial"/>
                <w:b/>
                <w:bCs/>
                <w:sz w:val="20"/>
                <w:szCs w:val="20"/>
                <w:lang w:bidi="gu-IN"/>
              </w:rPr>
              <w:t xml:space="preserve">Aims: </w:t>
            </w:r>
            <w:r w:rsidRPr="00603DEF">
              <w:rPr>
                <w:rFonts w:ascii="Arial" w:eastAsia="Calibri" w:hAnsi="Arial" w:cs="Arial"/>
                <w:sz w:val="20"/>
                <w:szCs w:val="20"/>
                <w:lang w:bidi="gu-IN"/>
              </w:rPr>
              <w:t>To analyse the competitiveness and export direction of In</w:t>
            </w:r>
            <w:r>
              <w:rPr>
                <w:rFonts w:ascii="Arial" w:eastAsia="Calibri" w:hAnsi="Arial" w:cs="Arial"/>
                <w:sz w:val="20"/>
                <w:szCs w:val="20"/>
                <w:lang w:bidi="gu-IN"/>
              </w:rPr>
              <w:t>dia’s marine products from 2004-05 to 2023-</w:t>
            </w:r>
            <w:r w:rsidRPr="00603DEF">
              <w:rPr>
                <w:rFonts w:ascii="Arial" w:eastAsia="Calibri" w:hAnsi="Arial" w:cs="Arial"/>
                <w:sz w:val="20"/>
                <w:szCs w:val="20"/>
                <w:lang w:bidi="gu-IN"/>
              </w:rPr>
              <w:t>24 using Revealed Comparative Advantage (RCA) and Markov Chain techniques.</w:t>
            </w:r>
          </w:p>
          <w:p w14:paraId="77F2584B" w14:textId="77777777" w:rsidR="00603DEF" w:rsidRPr="00603DEF" w:rsidRDefault="00603DEF" w:rsidP="003110DB">
            <w:pPr>
              <w:spacing w:after="120"/>
              <w:jc w:val="both"/>
              <w:rPr>
                <w:rFonts w:ascii="Arial" w:eastAsia="Calibri" w:hAnsi="Arial" w:cs="Arial"/>
                <w:sz w:val="20"/>
                <w:szCs w:val="20"/>
                <w:lang w:bidi="gu-IN"/>
              </w:rPr>
            </w:pPr>
            <w:r w:rsidRPr="00603DEF">
              <w:rPr>
                <w:rFonts w:ascii="Arial" w:eastAsia="Calibri" w:hAnsi="Arial" w:cs="Arial"/>
                <w:b/>
                <w:bCs/>
                <w:sz w:val="20"/>
                <w:szCs w:val="20"/>
                <w:lang w:bidi="gu-IN"/>
              </w:rPr>
              <w:t xml:space="preserve">Study Design: </w:t>
            </w:r>
            <w:r w:rsidRPr="00603DEF">
              <w:rPr>
                <w:rFonts w:ascii="Arial" w:eastAsia="Calibri" w:hAnsi="Arial" w:cs="Arial"/>
                <w:sz w:val="20"/>
                <w:szCs w:val="20"/>
                <w:lang w:bidi="gu-IN"/>
              </w:rPr>
              <w:t>Quantitative analytical study based on secondary time-series data, employing RCA and Markov Chain models to assess export competitiveness and market transitions.</w:t>
            </w:r>
          </w:p>
          <w:p w14:paraId="27323886" w14:textId="77777777" w:rsidR="00603DEF" w:rsidRPr="00603DEF" w:rsidRDefault="00603DEF" w:rsidP="003110DB">
            <w:pPr>
              <w:spacing w:after="120"/>
              <w:jc w:val="both"/>
              <w:rPr>
                <w:rFonts w:ascii="Arial" w:eastAsia="Calibri" w:hAnsi="Arial" w:cs="Arial"/>
                <w:sz w:val="20"/>
                <w:szCs w:val="20"/>
                <w:lang w:bidi="gu-IN"/>
              </w:rPr>
            </w:pPr>
            <w:r w:rsidRPr="00603DEF">
              <w:rPr>
                <w:rFonts w:ascii="Arial" w:eastAsia="Calibri" w:hAnsi="Arial" w:cs="Arial"/>
                <w:b/>
                <w:bCs/>
                <w:sz w:val="20"/>
                <w:szCs w:val="20"/>
                <w:lang w:bidi="gu-IN"/>
              </w:rPr>
              <w:t xml:space="preserve">Place and Duration of Study: </w:t>
            </w:r>
            <w:r w:rsidRPr="00603DEF">
              <w:rPr>
                <w:rFonts w:ascii="Arial" w:eastAsia="Calibri" w:hAnsi="Arial" w:cs="Arial"/>
                <w:sz w:val="20"/>
                <w:szCs w:val="20"/>
                <w:lang w:bidi="gu-IN"/>
              </w:rPr>
              <w:t>India; covering a p</w:t>
            </w:r>
            <w:r>
              <w:rPr>
                <w:rFonts w:ascii="Arial" w:eastAsia="Calibri" w:hAnsi="Arial" w:cs="Arial"/>
                <w:sz w:val="20"/>
                <w:szCs w:val="20"/>
                <w:lang w:bidi="gu-IN"/>
              </w:rPr>
              <w:t>eriod of twenty years from 2004-05 to 2023-</w:t>
            </w:r>
            <w:r w:rsidRPr="00603DEF">
              <w:rPr>
                <w:rFonts w:ascii="Arial" w:eastAsia="Calibri" w:hAnsi="Arial" w:cs="Arial"/>
                <w:sz w:val="20"/>
                <w:szCs w:val="20"/>
                <w:lang w:bidi="gu-IN"/>
              </w:rPr>
              <w:t>24.</w:t>
            </w:r>
          </w:p>
          <w:p w14:paraId="4CAF2925" w14:textId="77777777" w:rsidR="00603DEF" w:rsidRPr="00603DEF" w:rsidRDefault="00603DEF" w:rsidP="003110DB">
            <w:pPr>
              <w:spacing w:after="120"/>
              <w:jc w:val="both"/>
              <w:rPr>
                <w:rFonts w:ascii="Arial" w:eastAsia="Calibri" w:hAnsi="Arial" w:cs="Arial"/>
                <w:sz w:val="20"/>
                <w:szCs w:val="20"/>
                <w:lang w:bidi="gu-IN"/>
              </w:rPr>
            </w:pPr>
            <w:r w:rsidRPr="00603DEF">
              <w:rPr>
                <w:rFonts w:ascii="Arial" w:eastAsia="Calibri" w:hAnsi="Arial" w:cs="Arial"/>
                <w:b/>
                <w:bCs/>
                <w:sz w:val="20"/>
                <w:szCs w:val="20"/>
                <w:lang w:bidi="gu-IN"/>
              </w:rPr>
              <w:t xml:space="preserve">Methodology: </w:t>
            </w:r>
            <w:r w:rsidRPr="00603DEF">
              <w:rPr>
                <w:rFonts w:ascii="Arial" w:eastAsia="Calibri" w:hAnsi="Arial" w:cs="Arial"/>
                <w:sz w:val="20"/>
                <w:szCs w:val="20"/>
                <w:lang w:bidi="gu-IN"/>
              </w:rPr>
              <w:t>The study uses RCA to evaluate comparative advantage across major marine product categories such as frozen shrimp, frozen fish, cuttle</w:t>
            </w:r>
            <w:r>
              <w:rPr>
                <w:rFonts w:ascii="Arial" w:eastAsia="Calibri" w:hAnsi="Arial" w:cs="Arial"/>
                <w:sz w:val="20"/>
                <w:szCs w:val="20"/>
                <w:lang w:bidi="gu-IN"/>
              </w:rPr>
              <w:t xml:space="preserve"> </w:t>
            </w:r>
            <w:r w:rsidRPr="00603DEF">
              <w:rPr>
                <w:rFonts w:ascii="Arial" w:eastAsia="Calibri" w:hAnsi="Arial" w:cs="Arial"/>
                <w:sz w:val="20"/>
                <w:szCs w:val="20"/>
                <w:lang w:bidi="gu-IN"/>
              </w:rPr>
              <w:t>fish, squid, and other products. Markov Chain analysis is applied to examine the direction and stability of export markets, focusing on transition probabilities among major importing regions.</w:t>
            </w:r>
          </w:p>
          <w:p w14:paraId="76CA60AE" w14:textId="77777777" w:rsidR="00603DEF" w:rsidRPr="00603DEF" w:rsidRDefault="00603DEF" w:rsidP="003110DB">
            <w:pPr>
              <w:spacing w:after="120"/>
              <w:jc w:val="both"/>
              <w:rPr>
                <w:rFonts w:ascii="Arial" w:eastAsia="Calibri" w:hAnsi="Arial" w:cs="Arial"/>
                <w:sz w:val="20"/>
                <w:szCs w:val="20"/>
                <w:lang w:bidi="gu-IN"/>
              </w:rPr>
            </w:pPr>
            <w:r w:rsidRPr="00603DEF">
              <w:rPr>
                <w:rFonts w:ascii="Arial" w:eastAsia="Calibri" w:hAnsi="Arial" w:cs="Arial"/>
                <w:b/>
                <w:bCs/>
                <w:sz w:val="20"/>
                <w:szCs w:val="20"/>
                <w:lang w:bidi="gu-IN"/>
              </w:rPr>
              <w:t xml:space="preserve">Results: </w:t>
            </w:r>
            <w:r w:rsidRPr="00603DEF">
              <w:rPr>
                <w:rFonts w:ascii="Arial" w:eastAsia="Calibri" w:hAnsi="Arial" w:cs="Arial"/>
                <w:sz w:val="20"/>
                <w:szCs w:val="20"/>
                <w:lang w:bidi="gu-IN"/>
              </w:rPr>
              <w:t>The RCA analysis indicates a strong and consistent comparative advantage in frozen shrimp exports throughout the study period, while other product categories show either temporary or persistent comparative disadvantage. This reflects a structural dependence on shrimp in India’s marine export basket. Markov Chain results reveal varying degrees of market retention, with South East Asia and China emerging as stable and increasingly significant markets. In contrast, traditional destinations such as the United States and the European Union exhibit more dynamic and shifting patterns. The long-term trends suggest gradual diversification of export destinations and stronger regional integration within Asian markets.</w:t>
            </w:r>
          </w:p>
          <w:p w14:paraId="4CEBF729" w14:textId="77777777" w:rsidR="00603DEF" w:rsidRPr="00603DEF" w:rsidRDefault="00603DEF" w:rsidP="003110DB">
            <w:pPr>
              <w:spacing w:after="120"/>
              <w:jc w:val="both"/>
              <w:rPr>
                <w:rFonts w:ascii="Arial" w:eastAsia="Calibri" w:hAnsi="Arial" w:cs="Arial"/>
                <w:sz w:val="20"/>
                <w:szCs w:val="20"/>
                <w:lang w:bidi="gu-IN"/>
              </w:rPr>
            </w:pPr>
            <w:r w:rsidRPr="00603DEF">
              <w:rPr>
                <w:rFonts w:ascii="Arial" w:eastAsia="Calibri" w:hAnsi="Arial" w:cs="Arial"/>
                <w:b/>
                <w:bCs/>
                <w:sz w:val="20"/>
                <w:szCs w:val="20"/>
                <w:lang w:bidi="gu-IN"/>
              </w:rPr>
              <w:t xml:space="preserve">Conclusion: </w:t>
            </w:r>
            <w:r w:rsidRPr="00603DEF">
              <w:rPr>
                <w:rFonts w:ascii="Arial" w:eastAsia="Calibri" w:hAnsi="Arial" w:cs="Arial"/>
                <w:sz w:val="20"/>
                <w:szCs w:val="20"/>
                <w:lang w:bidi="gu-IN"/>
              </w:rPr>
              <w:t>The study highlights the need for diversification, value addition, infrastructure development, and targeted market strategies to sustain export competitiveness and reduce risks associated with product and market concentration. These findings provide important policy insights for enhancing the resilience and global positioning of India’s marine product exports.</w:t>
            </w:r>
          </w:p>
        </w:tc>
      </w:tr>
    </w:tbl>
    <w:p w14:paraId="25A57B82" w14:textId="77777777" w:rsidR="004F784C" w:rsidRPr="00603DEF" w:rsidRDefault="004F784C" w:rsidP="004F784C">
      <w:pPr>
        <w:jc w:val="both"/>
        <w:rPr>
          <w:rFonts w:ascii="Arial" w:eastAsia="Calibri" w:hAnsi="Arial" w:cs="Arial"/>
          <w:sz w:val="24"/>
          <w:szCs w:val="24"/>
          <w:lang w:bidi="gu-IN"/>
        </w:rPr>
      </w:pPr>
    </w:p>
    <w:p w14:paraId="587FE0B3" w14:textId="77777777" w:rsidR="004F784C" w:rsidRPr="00603DEF" w:rsidRDefault="004F784C" w:rsidP="004F784C">
      <w:pPr>
        <w:jc w:val="both"/>
        <w:rPr>
          <w:rFonts w:ascii="Arial" w:eastAsia="Calibri" w:hAnsi="Arial" w:cs="Arial"/>
          <w:i/>
          <w:iCs/>
          <w:sz w:val="20"/>
          <w:szCs w:val="20"/>
          <w:lang w:bidi="gu-IN"/>
        </w:rPr>
      </w:pPr>
      <w:r w:rsidRPr="00603DEF">
        <w:rPr>
          <w:rFonts w:ascii="Arial" w:eastAsia="Calibri" w:hAnsi="Arial" w:cs="Arial"/>
          <w:i/>
          <w:iCs/>
          <w:sz w:val="20"/>
          <w:szCs w:val="20"/>
          <w:lang w:bidi="gu-IN"/>
        </w:rPr>
        <w:t>Keywords: Marine exports, Revealed Comparative Advantage, Markov Chain, Market retention, Trade competitiveness</w:t>
      </w:r>
    </w:p>
    <w:p w14:paraId="3CDC0EE4" w14:textId="77777777" w:rsidR="004F784C" w:rsidRPr="00603DEF" w:rsidRDefault="004F784C" w:rsidP="004F784C">
      <w:pPr>
        <w:jc w:val="both"/>
        <w:rPr>
          <w:rFonts w:ascii="Arial" w:eastAsia="Calibri" w:hAnsi="Arial" w:cs="Arial"/>
          <w:b/>
          <w:bCs/>
          <w:sz w:val="24"/>
          <w:szCs w:val="24"/>
          <w:lang w:bidi="gu-IN"/>
        </w:rPr>
      </w:pPr>
    </w:p>
    <w:p w14:paraId="61340ED4" w14:textId="77777777" w:rsidR="004F784C" w:rsidRPr="0087554B" w:rsidRDefault="0087554B" w:rsidP="003110DB">
      <w:pPr>
        <w:spacing w:after="120"/>
        <w:jc w:val="both"/>
        <w:rPr>
          <w:rFonts w:ascii="Arial" w:eastAsia="Calibri" w:hAnsi="Arial" w:cs="Arial"/>
          <w:b/>
          <w:bCs/>
          <w:lang w:bidi="gu-IN"/>
        </w:rPr>
      </w:pPr>
      <w:r w:rsidRPr="0087554B">
        <w:rPr>
          <w:rFonts w:ascii="Arial" w:eastAsia="Calibri" w:hAnsi="Arial" w:cs="Arial"/>
          <w:b/>
          <w:bCs/>
          <w:lang w:bidi="gu-IN"/>
        </w:rPr>
        <w:t xml:space="preserve">1. </w:t>
      </w:r>
      <w:r w:rsidR="004F784C" w:rsidRPr="0087554B">
        <w:rPr>
          <w:rFonts w:ascii="Arial" w:eastAsia="Calibri" w:hAnsi="Arial" w:cs="Arial"/>
          <w:b/>
          <w:bCs/>
          <w:lang w:bidi="gu-IN"/>
        </w:rPr>
        <w:t>INTRODUCTION</w:t>
      </w:r>
    </w:p>
    <w:p w14:paraId="2529B83A" w14:textId="77777777"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Over the years, India has become an important player in the global marine products trade, exporting seafood to more than 130 countries across Asia, Europe, the Americas, the Middle East, and Africa (MPEDA, 2025). The sector has experienced steady growth in both export volumes and earnings, supported by improvements in aquaculture practices, better adherence to international quality standards, and deeper integration into global value chains (Chandrasekar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xml:space="preserve">., 2020; Jeevitha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2023). Institutional backing from the Marine Products Export Development Authority has significantly strengthened export promotion, quality assurance, and market diversification efforts.</w:t>
      </w:r>
    </w:p>
    <w:p w14:paraId="4C8D6169" w14:textId="77777777"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lastRenderedPageBreak/>
        <w:t>Recent data illustrate the scale of this growth. According to MPEDA (2025), India exported 16,98,170 metric tonnes of seafood during 2024-25, earning ₹62,408.45 crore (US$ 7.45 billion). Frozen shrimp continues to dominate the export basket, accounting for nearly 44% of both quantity and value. Other important items include frozen fish, squid, cuttlefish, and chilled or live products. The United States, China, and the European Union remain the principal export destinations, with the European Union contributing more than 15% of total exports (FAO, 2023; MPEDA, 2025). The concentration of exports in these high-demand markets reflects India’s strong position in selected marine commodities.</w:t>
      </w:r>
    </w:p>
    <w:p w14:paraId="66DED8E7" w14:textId="77777777"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The marine export sector is vital to the Indian economy. It contributes substantially to foreign exchange earnings, supports employment in rural and coastal regions, and strengthens the performance of agricultural and allied exports. Key production and processing hubs such as Andhra Pradesh, Tamil Nadu, Kerala, Gujarat, and West Bengal benefit from India’s long coastline, rich marine resources, and expanding processing infrastructure (Chandrasekar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xml:space="preserve">., 2020; IBEF, 2025). The rapid expansion of shrimp aquaculture, particularly </w:t>
      </w:r>
      <w:r w:rsidRPr="0087554B">
        <w:rPr>
          <w:rFonts w:ascii="Arial" w:eastAsia="Calibri" w:hAnsi="Arial" w:cs="Arial"/>
          <w:i/>
          <w:iCs/>
          <w:sz w:val="20"/>
          <w:szCs w:val="20"/>
          <w:lang w:bidi="gu-IN"/>
        </w:rPr>
        <w:t>Litopenaeus vannamei</w:t>
      </w:r>
      <w:r w:rsidRPr="0087554B">
        <w:rPr>
          <w:rFonts w:ascii="Arial" w:eastAsia="Calibri" w:hAnsi="Arial" w:cs="Arial"/>
          <w:sz w:val="20"/>
          <w:szCs w:val="20"/>
          <w:lang w:bidi="gu-IN"/>
        </w:rPr>
        <w:t>, has further enhanced export capacity and global competitiveness.</w:t>
      </w:r>
    </w:p>
    <w:p w14:paraId="0E33F501" w14:textId="77777777"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Over the past two decades, both the composition and direction of marine exports have evolved. Export value has often grown faster than quantity, suggesting better price realization and a gradual shift toward higher-value and value-added products (Chandrasekar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xml:space="preserve">., 2024; Kumari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2025). While frozen shrimp remains the backbone of export earnings (IBEF, 2025; MPEDA, 2025), changing consumer preferences, stricter sanitary and phytosanitary standards, and evolving import regulations in developed economies have reshaped trade patterns (Henson and Jaffee, 2008; FAO, 2022).</w:t>
      </w:r>
    </w:p>
    <w:p w14:paraId="7A4AEE18" w14:textId="77777777"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Despite steady progress, export performance has shown periodic volatility due to global economic slowdowns, exchange rate fluctuations, tariff changes, and supply chain disruptions (UNCTAD, 2023; Chandrasekar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2020). These developments underscore the need to examine not only export growth but also the underlying competitiveness and stability of India’s marine trade.</w:t>
      </w:r>
    </w:p>
    <w:p w14:paraId="279CFA8B" w14:textId="77777777"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In this context, assessing Revealed Comparative Advantage (RCA) is essential to determine whether India’s marine products maintain a sustained competitive edge in global markets. The RCA framework, introduced by Balassa (1965), measures export specialization relative to the world average. However, competitiveness alone does not ensure long-term success. The stability of export markets and the ability to retain destination shares are equally important. Market retention analysis using a Markov chain approach (Anderson and Goodman, 1957) helps examine shifts in trade direction and the probability of sustaining export shares across major importing countries.</w:t>
      </w:r>
    </w:p>
    <w:p w14:paraId="4C4468A8" w14:textId="77777777"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Against this backdrop, a combined analysis of comparative advantage and market retention provides deeper insight into the structural dynamics of India’s marine exports. Such an approach enables assessment of whether competitiveness is strengthening or weakening over time and whether key export markets remain stable or vulnerable. The findings can inform policies aimed at diversification, value addition, risk management, and strategic trade engagement, thereby reinforcing India’s long-term position in global seafood trade.</w:t>
      </w:r>
    </w:p>
    <w:p w14:paraId="776FDDC7" w14:textId="77777777" w:rsidR="004F784C" w:rsidRPr="0087554B" w:rsidRDefault="004F784C" w:rsidP="0087554B">
      <w:pPr>
        <w:jc w:val="both"/>
        <w:rPr>
          <w:rFonts w:ascii="Arial" w:eastAsia="Calibri" w:hAnsi="Arial" w:cs="Arial"/>
          <w:sz w:val="20"/>
          <w:szCs w:val="20"/>
          <w:lang w:bidi="gu-IN"/>
        </w:rPr>
      </w:pPr>
      <w:r w:rsidRPr="0087554B">
        <w:rPr>
          <w:rFonts w:ascii="Arial" w:eastAsia="Calibri" w:hAnsi="Arial" w:cs="Arial"/>
          <w:sz w:val="20"/>
          <w:szCs w:val="20"/>
          <w:lang w:bidi="gu-IN"/>
        </w:rPr>
        <w:t>The study is guided by the following objectives:</w:t>
      </w:r>
    </w:p>
    <w:p w14:paraId="199C18F3" w14:textId="77777777" w:rsidR="004F784C" w:rsidRPr="0087554B" w:rsidRDefault="004F784C" w:rsidP="004F784C">
      <w:pPr>
        <w:numPr>
          <w:ilvl w:val="0"/>
          <w:numId w:val="1"/>
        </w:numPr>
        <w:jc w:val="both"/>
        <w:rPr>
          <w:rFonts w:ascii="Arial" w:eastAsia="Calibri" w:hAnsi="Arial" w:cs="Arial"/>
          <w:sz w:val="20"/>
          <w:szCs w:val="20"/>
          <w:lang w:bidi="gu-IN"/>
        </w:rPr>
      </w:pPr>
      <w:r w:rsidRPr="0087554B">
        <w:rPr>
          <w:rFonts w:ascii="Arial" w:eastAsia="Calibri" w:hAnsi="Arial" w:cs="Arial"/>
          <w:sz w:val="20"/>
          <w:szCs w:val="20"/>
          <w:lang w:bidi="gu-IN"/>
        </w:rPr>
        <w:t>To estimate the revealed comparative advantage of India’s marine product exports over time.</w:t>
      </w:r>
    </w:p>
    <w:p w14:paraId="1475ED49" w14:textId="77777777" w:rsidR="004F784C" w:rsidRPr="0087554B" w:rsidRDefault="004F784C" w:rsidP="004F784C">
      <w:pPr>
        <w:numPr>
          <w:ilvl w:val="0"/>
          <w:numId w:val="1"/>
        </w:numPr>
        <w:jc w:val="both"/>
        <w:rPr>
          <w:rFonts w:ascii="Arial" w:eastAsia="Calibri" w:hAnsi="Arial" w:cs="Arial"/>
          <w:sz w:val="20"/>
          <w:szCs w:val="20"/>
          <w:lang w:bidi="gu-IN"/>
        </w:rPr>
      </w:pPr>
      <w:r w:rsidRPr="0087554B">
        <w:rPr>
          <w:rFonts w:ascii="Arial" w:eastAsia="Calibri" w:hAnsi="Arial" w:cs="Arial"/>
          <w:sz w:val="20"/>
          <w:szCs w:val="20"/>
          <w:lang w:bidi="gu-IN"/>
        </w:rPr>
        <w:t>To examine the stability and retention of major export markets using a Markov chain framework.</w:t>
      </w:r>
    </w:p>
    <w:p w14:paraId="0B1CB62E" w14:textId="77777777" w:rsidR="004F784C" w:rsidRPr="0087554B" w:rsidRDefault="004F784C" w:rsidP="004F784C">
      <w:pPr>
        <w:numPr>
          <w:ilvl w:val="0"/>
          <w:numId w:val="1"/>
        </w:numPr>
        <w:jc w:val="both"/>
        <w:rPr>
          <w:rFonts w:ascii="Arial" w:eastAsia="Calibri" w:hAnsi="Arial" w:cs="Arial"/>
          <w:sz w:val="20"/>
          <w:szCs w:val="20"/>
          <w:lang w:bidi="gu-IN"/>
        </w:rPr>
      </w:pPr>
      <w:r w:rsidRPr="0087554B">
        <w:rPr>
          <w:rFonts w:ascii="Arial" w:eastAsia="Calibri" w:hAnsi="Arial" w:cs="Arial"/>
          <w:sz w:val="20"/>
          <w:szCs w:val="20"/>
          <w:lang w:bidi="gu-IN"/>
        </w:rPr>
        <w:t>To analyse structural shifts in the direction of trade across key importing countries.</w:t>
      </w:r>
    </w:p>
    <w:p w14:paraId="6785C013" w14:textId="77777777" w:rsidR="004F784C" w:rsidRPr="0087554B" w:rsidRDefault="004F784C" w:rsidP="004F784C">
      <w:pPr>
        <w:numPr>
          <w:ilvl w:val="0"/>
          <w:numId w:val="1"/>
        </w:numPr>
        <w:jc w:val="both"/>
        <w:rPr>
          <w:rFonts w:ascii="Arial" w:eastAsia="Calibri" w:hAnsi="Arial" w:cs="Arial"/>
          <w:sz w:val="20"/>
          <w:szCs w:val="20"/>
          <w:lang w:bidi="gu-IN"/>
        </w:rPr>
      </w:pPr>
      <w:r w:rsidRPr="0087554B">
        <w:rPr>
          <w:rFonts w:ascii="Arial" w:eastAsia="Calibri" w:hAnsi="Arial" w:cs="Arial"/>
          <w:sz w:val="20"/>
          <w:szCs w:val="20"/>
          <w:lang w:bidi="gu-IN"/>
        </w:rPr>
        <w:t>To derive policy implications for sustaining competitiveness and enhancing export stability in the marine sector.</w:t>
      </w:r>
    </w:p>
    <w:p w14:paraId="1126900B" w14:textId="77777777" w:rsidR="004F784C" w:rsidRPr="00603DEF" w:rsidRDefault="004F784C" w:rsidP="004F784C">
      <w:pPr>
        <w:jc w:val="both"/>
        <w:rPr>
          <w:rFonts w:ascii="Arial" w:eastAsia="Calibri" w:hAnsi="Arial" w:cs="Arial"/>
          <w:sz w:val="24"/>
          <w:szCs w:val="24"/>
          <w:lang w:bidi="gu-IN"/>
        </w:rPr>
      </w:pPr>
    </w:p>
    <w:p w14:paraId="0F70A222" w14:textId="77777777" w:rsidR="004F784C" w:rsidRPr="0087554B" w:rsidRDefault="0087554B" w:rsidP="003110DB">
      <w:pPr>
        <w:spacing w:after="120"/>
        <w:jc w:val="both"/>
        <w:rPr>
          <w:rFonts w:ascii="Arial" w:eastAsia="Calibri" w:hAnsi="Arial" w:cs="Arial"/>
          <w:b/>
          <w:bCs/>
          <w:lang w:bidi="gu-IN"/>
        </w:rPr>
      </w:pPr>
      <w:r w:rsidRPr="0087554B">
        <w:rPr>
          <w:rFonts w:ascii="Arial" w:eastAsia="Calibri" w:hAnsi="Arial" w:cs="Arial"/>
          <w:b/>
          <w:bCs/>
          <w:lang w:bidi="gu-IN"/>
        </w:rPr>
        <w:t xml:space="preserve">2. </w:t>
      </w:r>
      <w:r w:rsidR="004F784C" w:rsidRPr="0087554B">
        <w:rPr>
          <w:rFonts w:ascii="Arial" w:eastAsia="Calibri" w:hAnsi="Arial" w:cs="Arial"/>
          <w:b/>
          <w:bCs/>
          <w:lang w:bidi="gu-IN"/>
        </w:rPr>
        <w:t>MATERIALS AND METHODS</w:t>
      </w:r>
    </w:p>
    <w:p w14:paraId="6F08A54D" w14:textId="77777777" w:rsidR="004F784C" w:rsidRPr="0087554B" w:rsidRDefault="004F784C" w:rsidP="003110DB">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lastRenderedPageBreak/>
        <w:t>The study is based entirely on secondary data covering the period 2004-05 to 2023-24. Data on export quantity and value of marine products were collected from official publications and statistical databases of the Marine Products Export Development Authority (MPEDA), Ministry of Commerce and Industry, Government of India. Data on world exports and total merchandise trade, required for estimating comparative advantage indices, were obtained from international databases and reports published by the Food and Agriculture Organization (FAO) and the World Trade Organization (WTO).</w:t>
      </w:r>
    </w:p>
    <w:p w14:paraId="39BA6898" w14:textId="77777777" w:rsidR="004F784C" w:rsidRPr="0087554B" w:rsidRDefault="004F784C" w:rsidP="0087554B">
      <w:pPr>
        <w:jc w:val="both"/>
        <w:rPr>
          <w:rFonts w:ascii="Arial" w:eastAsia="Calibri" w:hAnsi="Arial" w:cs="Arial"/>
          <w:sz w:val="20"/>
          <w:szCs w:val="20"/>
          <w:lang w:bidi="gu-IN"/>
        </w:rPr>
      </w:pPr>
      <w:r w:rsidRPr="0087554B">
        <w:rPr>
          <w:rFonts w:ascii="Arial" w:eastAsia="Calibri" w:hAnsi="Arial" w:cs="Arial"/>
          <w:sz w:val="20"/>
          <w:szCs w:val="20"/>
          <w:lang w:bidi="gu-IN"/>
        </w:rPr>
        <w:t>The analysis focuses on total marine product exports from India, with particular emphasis on major destination markets such as the United States, China, the European Union, Japan, and other emerging markets. These destinations account for a substantial share of India’s marine export earnings and provide a relevant basis for assessing competitiveness and market retention patterns.</w:t>
      </w:r>
    </w:p>
    <w:p w14:paraId="3F4B5F2B" w14:textId="77777777" w:rsidR="0087554B" w:rsidRDefault="0087554B" w:rsidP="0087554B">
      <w:pPr>
        <w:pStyle w:val="Heading2"/>
        <w:rPr>
          <w:rFonts w:ascii="Arial" w:eastAsia="Calibri" w:hAnsi="Arial" w:cs="Arial"/>
          <w:b/>
          <w:bCs/>
          <w:color w:val="auto"/>
          <w:sz w:val="22"/>
          <w:szCs w:val="22"/>
          <w:lang w:bidi="gu-IN"/>
        </w:rPr>
      </w:pPr>
    </w:p>
    <w:p w14:paraId="498EC731" w14:textId="77777777" w:rsidR="004F784C" w:rsidRPr="0087554B" w:rsidRDefault="0087554B" w:rsidP="0087554B">
      <w:pPr>
        <w:pStyle w:val="Heading2"/>
        <w:rPr>
          <w:rFonts w:ascii="Arial" w:eastAsia="Calibri" w:hAnsi="Arial" w:cs="Arial"/>
          <w:b/>
          <w:bCs/>
          <w:color w:val="auto"/>
          <w:sz w:val="22"/>
          <w:szCs w:val="22"/>
          <w:lang w:bidi="gu-IN"/>
        </w:rPr>
      </w:pPr>
      <w:r w:rsidRPr="0087554B">
        <w:rPr>
          <w:rFonts w:ascii="Arial" w:eastAsia="Calibri" w:hAnsi="Arial" w:cs="Arial"/>
          <w:b/>
          <w:bCs/>
          <w:color w:val="auto"/>
          <w:sz w:val="22"/>
          <w:szCs w:val="22"/>
          <w:lang w:bidi="gu-IN"/>
        </w:rPr>
        <w:t xml:space="preserve">2.1 </w:t>
      </w:r>
      <w:r w:rsidR="004F784C" w:rsidRPr="0087554B">
        <w:rPr>
          <w:rFonts w:ascii="Arial" w:eastAsia="Calibri" w:hAnsi="Arial" w:cs="Arial"/>
          <w:b/>
          <w:bCs/>
          <w:color w:val="auto"/>
          <w:sz w:val="22"/>
          <w:szCs w:val="22"/>
          <w:lang w:bidi="gu-IN"/>
        </w:rPr>
        <w:t>Revealed Comparative Advantage (RCA)</w:t>
      </w:r>
    </w:p>
    <w:p w14:paraId="057C8316"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To evaluate India’s export competitiveness in marine products, Balassa’s (1965) Revealed Comparative Advantage (RCA) index was employed. The RCA index measures a country’s export specialization in a specific commodity relative to the world average and is expressed as:</w:t>
      </w:r>
    </w:p>
    <w:p w14:paraId="14BDA622" w14:textId="77777777" w:rsidR="004F784C" w:rsidRPr="0087554B" w:rsidRDefault="00052F5B" w:rsidP="00D412B7">
      <w:pPr>
        <w:spacing w:after="120"/>
        <w:jc w:val="both"/>
        <w:rPr>
          <w:rFonts w:ascii="Arial" w:eastAsia="Calibri" w:hAnsi="Arial" w:cs="Arial"/>
          <w:sz w:val="20"/>
          <w:szCs w:val="20"/>
          <w:lang w:bidi="gu-IN"/>
        </w:rPr>
      </w:pPr>
      <m:oMathPara>
        <m:oMathParaPr>
          <m:jc m:val="left"/>
        </m:oMathParaPr>
        <m:oMath>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RCA</m:t>
              </m:r>
            </m:e>
            <m:sub>
              <m:r>
                <m:rPr>
                  <m:nor/>
                </m:rPr>
                <w:rPr>
                  <w:rFonts w:ascii="Arial" w:eastAsia="Calibri" w:hAnsi="Arial" w:cs="Arial"/>
                  <w:i/>
                  <w:sz w:val="20"/>
                  <w:szCs w:val="20"/>
                  <w:lang w:bidi="gu-IN"/>
                </w:rPr>
                <m:t>ij</m:t>
              </m:r>
            </m:sub>
          </m:sSub>
          <m:r>
            <m:rPr>
              <m:nor/>
            </m:rPr>
            <w:rPr>
              <w:rFonts w:ascii="Arial" w:eastAsia="Calibri" w:hAnsi="Arial" w:cs="Arial"/>
              <w:sz w:val="20"/>
              <w:szCs w:val="20"/>
              <w:lang w:bidi="gu-IN"/>
            </w:rPr>
            <m:t xml:space="preserve"> = </m:t>
          </m:r>
          <m:f>
            <m:fPr>
              <m:ctrlPr>
                <w:rPr>
                  <w:rFonts w:ascii="Cambria Math" w:eastAsia="Calibri" w:hAnsi="Cambria Math" w:cs="Arial"/>
                  <w:i/>
                  <w:sz w:val="20"/>
                  <w:szCs w:val="20"/>
                  <w:lang w:bidi="gu-IN"/>
                </w:rPr>
              </m:ctrlPr>
            </m:fPr>
            <m:num>
              <m:r>
                <m:rPr>
                  <m:nor/>
                </m:rPr>
                <w:rPr>
                  <w:rFonts w:ascii="Arial" w:eastAsia="Calibri" w:hAnsi="Arial" w:cs="Arial"/>
                  <w:sz w:val="20"/>
                  <w:szCs w:val="20"/>
                  <w:lang w:bidi="gu-IN"/>
                </w:rPr>
                <m:t>(</m:t>
              </m:r>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X</m:t>
                  </m:r>
                </m:e>
                <m:sub>
                  <m:r>
                    <m:rPr>
                      <m:nor/>
                    </m:rPr>
                    <w:rPr>
                      <w:rFonts w:ascii="Arial" w:eastAsia="Calibri" w:hAnsi="Arial" w:cs="Arial"/>
                      <w:i/>
                      <w:sz w:val="20"/>
                      <w:szCs w:val="20"/>
                      <w:lang w:bidi="gu-IN"/>
                    </w:rPr>
                    <m:t>ij</m:t>
                  </m:r>
                </m:sub>
              </m:sSub>
              <m:r>
                <m:rPr>
                  <m:nor/>
                </m:rPr>
                <w:rPr>
                  <w:rFonts w:ascii="Arial" w:eastAsia="Calibri" w:hAnsi="Arial" w:cs="Arial"/>
                  <w:sz w:val="20"/>
                  <w:szCs w:val="20"/>
                  <w:lang w:bidi="gu-IN"/>
                </w:rPr>
                <m:t xml:space="preserve"> / </m:t>
              </m:r>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X</m:t>
                  </m:r>
                </m:e>
                <m:sub>
                  <m:r>
                    <m:rPr>
                      <m:nor/>
                    </m:rPr>
                    <w:rPr>
                      <w:rFonts w:ascii="Arial" w:eastAsia="Calibri" w:hAnsi="Arial" w:cs="Arial"/>
                      <w:i/>
                      <w:sz w:val="20"/>
                      <w:szCs w:val="20"/>
                      <w:lang w:bidi="gu-IN"/>
                    </w:rPr>
                    <m:t>it</m:t>
                  </m:r>
                </m:sub>
              </m:sSub>
              <m:r>
                <m:rPr>
                  <m:nor/>
                </m:rPr>
                <w:rPr>
                  <w:rFonts w:ascii="Arial" w:eastAsia="Calibri" w:hAnsi="Arial" w:cs="Arial"/>
                  <w:sz w:val="20"/>
                  <w:szCs w:val="20"/>
                  <w:lang w:bidi="gu-IN"/>
                </w:rPr>
                <m:t>)</m:t>
              </m:r>
            </m:num>
            <m:den>
              <m:r>
                <m:rPr>
                  <m:nor/>
                </m:rPr>
                <w:rPr>
                  <w:rFonts w:ascii="Arial" w:eastAsia="Calibri" w:hAnsi="Arial" w:cs="Arial"/>
                  <w:sz w:val="20"/>
                  <w:szCs w:val="20"/>
                  <w:lang w:bidi="gu-IN"/>
                </w:rPr>
                <m:t>(</m:t>
              </m:r>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X</m:t>
                  </m:r>
                </m:e>
                <m:sub>
                  <m:r>
                    <m:rPr>
                      <m:nor/>
                    </m:rPr>
                    <w:rPr>
                      <w:rFonts w:ascii="Arial" w:eastAsia="Calibri" w:hAnsi="Arial" w:cs="Arial"/>
                      <w:i/>
                      <w:sz w:val="20"/>
                      <w:szCs w:val="20"/>
                      <w:lang w:bidi="gu-IN"/>
                    </w:rPr>
                    <m:t>wj</m:t>
                  </m:r>
                </m:sub>
              </m:sSub>
              <m:r>
                <m:rPr>
                  <m:nor/>
                </m:rPr>
                <w:rPr>
                  <w:rFonts w:ascii="Arial" w:eastAsia="Calibri" w:hAnsi="Arial" w:cs="Arial"/>
                  <w:sz w:val="20"/>
                  <w:szCs w:val="20"/>
                  <w:lang w:bidi="gu-IN"/>
                </w:rPr>
                <m:t xml:space="preserve"> / </m:t>
              </m:r>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X</m:t>
                  </m:r>
                </m:e>
                <m:sub>
                  <m:r>
                    <m:rPr>
                      <m:nor/>
                    </m:rPr>
                    <w:rPr>
                      <w:rFonts w:ascii="Arial" w:eastAsia="Calibri" w:hAnsi="Arial" w:cs="Arial"/>
                      <w:i/>
                      <w:sz w:val="20"/>
                      <w:szCs w:val="20"/>
                      <w:lang w:bidi="gu-IN"/>
                    </w:rPr>
                    <m:t>wt</m:t>
                  </m:r>
                </m:sub>
              </m:sSub>
              <m:r>
                <m:rPr>
                  <m:nor/>
                </m:rPr>
                <w:rPr>
                  <w:rFonts w:ascii="Arial" w:eastAsia="Calibri" w:hAnsi="Arial" w:cs="Arial"/>
                  <w:sz w:val="20"/>
                  <w:szCs w:val="20"/>
                  <w:lang w:bidi="gu-IN"/>
                </w:rPr>
                <m:t>)</m:t>
              </m:r>
            </m:den>
          </m:f>
        </m:oMath>
      </m:oMathPara>
    </w:p>
    <w:p w14:paraId="4A9B103C"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Where; </w:t>
      </w:r>
      <w:r w:rsidRPr="0087554B">
        <w:rPr>
          <w:rFonts w:ascii="Arial" w:eastAsia="Calibri" w:hAnsi="Arial" w:cs="Arial"/>
          <w:i/>
          <w:iCs/>
          <w:sz w:val="20"/>
          <w:szCs w:val="20"/>
          <w:lang w:bidi="gu-IN"/>
        </w:rPr>
        <w:t>X</w:t>
      </w:r>
      <w:r w:rsidRPr="0087554B">
        <w:rPr>
          <w:rFonts w:ascii="Arial" w:eastAsia="Calibri" w:hAnsi="Arial" w:cs="Arial"/>
          <w:i/>
          <w:iCs/>
          <w:sz w:val="20"/>
          <w:szCs w:val="20"/>
          <w:vertAlign w:val="subscript"/>
          <w:lang w:bidi="gu-IN"/>
        </w:rPr>
        <w:t>ij</w:t>
      </w:r>
      <w:r w:rsidRPr="0087554B">
        <w:rPr>
          <w:rFonts w:ascii="Arial" w:eastAsia="Calibri" w:hAnsi="Arial" w:cs="Arial"/>
          <w:sz w:val="20"/>
          <w:szCs w:val="20"/>
          <w:lang w:bidi="gu-IN"/>
        </w:rPr>
        <w:t xml:space="preserve">​ = India’s exports of marine products, </w:t>
      </w:r>
      <w:r w:rsidRPr="0087554B">
        <w:rPr>
          <w:rFonts w:ascii="Arial" w:eastAsia="Calibri" w:hAnsi="Arial" w:cs="Arial"/>
          <w:i/>
          <w:iCs/>
          <w:sz w:val="20"/>
          <w:szCs w:val="20"/>
          <w:lang w:bidi="gu-IN"/>
        </w:rPr>
        <w:t>X</w:t>
      </w:r>
      <w:r w:rsidRPr="0087554B">
        <w:rPr>
          <w:rFonts w:ascii="Arial" w:eastAsia="Calibri" w:hAnsi="Arial" w:cs="Arial"/>
          <w:i/>
          <w:iCs/>
          <w:sz w:val="20"/>
          <w:szCs w:val="20"/>
          <w:vertAlign w:val="subscript"/>
          <w:lang w:bidi="gu-IN"/>
        </w:rPr>
        <w:t>it</w:t>
      </w:r>
      <w:r w:rsidRPr="0087554B">
        <w:rPr>
          <w:rFonts w:ascii="Arial" w:eastAsia="Calibri" w:hAnsi="Arial" w:cs="Arial"/>
          <w:sz w:val="20"/>
          <w:szCs w:val="20"/>
          <w:lang w:bidi="gu-IN"/>
        </w:rPr>
        <w:t xml:space="preserve">​ = India’s total merchandise exports, </w:t>
      </w:r>
      <w:r w:rsidRPr="0087554B">
        <w:rPr>
          <w:rFonts w:ascii="Arial" w:eastAsia="Calibri" w:hAnsi="Arial" w:cs="Arial"/>
          <w:i/>
          <w:iCs/>
          <w:sz w:val="20"/>
          <w:szCs w:val="20"/>
          <w:lang w:bidi="gu-IN"/>
        </w:rPr>
        <w:t>X</w:t>
      </w:r>
      <w:r w:rsidRPr="0087554B">
        <w:rPr>
          <w:rFonts w:ascii="Arial" w:eastAsia="Calibri" w:hAnsi="Arial" w:cs="Arial"/>
          <w:i/>
          <w:iCs/>
          <w:sz w:val="20"/>
          <w:szCs w:val="20"/>
          <w:vertAlign w:val="subscript"/>
          <w:lang w:bidi="gu-IN"/>
        </w:rPr>
        <w:t>wj</w:t>
      </w:r>
      <w:r w:rsidRPr="0087554B">
        <w:rPr>
          <w:rFonts w:ascii="Arial" w:eastAsia="Calibri" w:hAnsi="Arial" w:cs="Arial"/>
          <w:sz w:val="20"/>
          <w:szCs w:val="20"/>
          <w:lang w:bidi="gu-IN"/>
        </w:rPr>
        <w:t xml:space="preserve">​ = World exports of marine products, </w:t>
      </w:r>
      <w:r w:rsidRPr="0087554B">
        <w:rPr>
          <w:rFonts w:ascii="Arial" w:eastAsia="Calibri" w:hAnsi="Arial" w:cs="Arial"/>
          <w:i/>
          <w:iCs/>
          <w:sz w:val="20"/>
          <w:szCs w:val="20"/>
          <w:lang w:bidi="gu-IN"/>
        </w:rPr>
        <w:t>X</w:t>
      </w:r>
      <w:r w:rsidRPr="0087554B">
        <w:rPr>
          <w:rFonts w:ascii="Arial" w:eastAsia="Calibri" w:hAnsi="Arial" w:cs="Arial"/>
          <w:i/>
          <w:iCs/>
          <w:sz w:val="20"/>
          <w:szCs w:val="20"/>
          <w:vertAlign w:val="subscript"/>
          <w:lang w:bidi="gu-IN"/>
        </w:rPr>
        <w:t>wt</w:t>
      </w:r>
      <w:r w:rsidRPr="0087554B">
        <w:rPr>
          <w:rFonts w:ascii="Arial" w:eastAsia="Calibri" w:hAnsi="Arial" w:cs="Arial"/>
          <w:sz w:val="20"/>
          <w:szCs w:val="20"/>
          <w:lang w:bidi="gu-IN"/>
        </w:rPr>
        <w:t>​ = Total world merchandise exports</w:t>
      </w:r>
    </w:p>
    <w:p w14:paraId="39CABC3E" w14:textId="77777777" w:rsidR="004F784C" w:rsidRPr="0087554B" w:rsidRDefault="004F784C" w:rsidP="00D412B7">
      <w:pPr>
        <w:jc w:val="both"/>
        <w:rPr>
          <w:rFonts w:ascii="Arial" w:eastAsia="Calibri" w:hAnsi="Arial" w:cs="Arial"/>
          <w:sz w:val="20"/>
          <w:szCs w:val="20"/>
          <w:lang w:bidi="gu-IN"/>
        </w:rPr>
      </w:pPr>
      <w:r w:rsidRPr="0087554B">
        <w:rPr>
          <w:rFonts w:ascii="Arial" w:eastAsia="Calibri" w:hAnsi="Arial" w:cs="Arial"/>
          <w:sz w:val="20"/>
          <w:szCs w:val="20"/>
          <w:lang w:bidi="gu-IN"/>
        </w:rPr>
        <w:t xml:space="preserve">An </w:t>
      </w:r>
      <w:r w:rsidRPr="0087554B">
        <w:rPr>
          <w:rFonts w:ascii="Arial" w:eastAsia="Calibri" w:hAnsi="Arial" w:cs="Arial"/>
          <w:i/>
          <w:iCs/>
          <w:sz w:val="20"/>
          <w:szCs w:val="20"/>
          <w:lang w:bidi="gu-IN"/>
        </w:rPr>
        <w:t>RCA</w:t>
      </w:r>
      <w:r w:rsidRPr="0087554B">
        <w:rPr>
          <w:rFonts w:ascii="Arial" w:eastAsia="Calibri" w:hAnsi="Arial" w:cs="Arial"/>
          <w:sz w:val="20"/>
          <w:szCs w:val="20"/>
          <w:lang w:bidi="gu-IN"/>
        </w:rPr>
        <w:t xml:space="preserve"> value greater than unity (</w:t>
      </w:r>
      <w:r w:rsidRPr="0087554B">
        <w:rPr>
          <w:rFonts w:ascii="Arial" w:eastAsia="Calibri" w:hAnsi="Arial" w:cs="Arial"/>
          <w:i/>
          <w:iCs/>
          <w:sz w:val="20"/>
          <w:szCs w:val="20"/>
          <w:lang w:bidi="gu-IN"/>
        </w:rPr>
        <w:t>RCA</w:t>
      </w:r>
      <w:r w:rsidRPr="0087554B">
        <w:rPr>
          <w:rFonts w:ascii="Arial" w:eastAsia="Calibri" w:hAnsi="Arial" w:cs="Arial"/>
          <w:sz w:val="20"/>
          <w:szCs w:val="20"/>
          <w:lang w:bidi="gu-IN"/>
        </w:rPr>
        <w:t xml:space="preserve"> &gt; 1) indicates revealed comparative advantage, while a value less than unity (</w:t>
      </w:r>
      <w:r w:rsidRPr="0087554B">
        <w:rPr>
          <w:rFonts w:ascii="Arial" w:eastAsia="Calibri" w:hAnsi="Arial" w:cs="Arial"/>
          <w:i/>
          <w:iCs/>
          <w:sz w:val="20"/>
          <w:szCs w:val="20"/>
          <w:lang w:bidi="gu-IN"/>
        </w:rPr>
        <w:t>RCA</w:t>
      </w:r>
      <w:r w:rsidRPr="0087554B">
        <w:rPr>
          <w:rFonts w:ascii="Arial" w:eastAsia="Calibri" w:hAnsi="Arial" w:cs="Arial"/>
          <w:sz w:val="20"/>
          <w:szCs w:val="20"/>
          <w:lang w:bidi="gu-IN"/>
        </w:rPr>
        <w:t xml:space="preserve"> &lt; 1) denotes comparative disadvantage.</w:t>
      </w:r>
    </w:p>
    <w:p w14:paraId="31A46653" w14:textId="77777777" w:rsidR="0087554B" w:rsidRDefault="0087554B" w:rsidP="004F784C">
      <w:pPr>
        <w:jc w:val="both"/>
        <w:rPr>
          <w:rFonts w:ascii="Arial" w:eastAsia="Calibri" w:hAnsi="Arial" w:cs="Arial"/>
          <w:b/>
          <w:bCs/>
          <w:lang w:bidi="gu-IN"/>
        </w:rPr>
      </w:pPr>
    </w:p>
    <w:p w14:paraId="0AF642CA" w14:textId="77777777" w:rsidR="004F784C" w:rsidRPr="0087554B" w:rsidRDefault="0087554B" w:rsidP="00D412B7">
      <w:pPr>
        <w:spacing w:after="120"/>
        <w:jc w:val="both"/>
        <w:rPr>
          <w:rFonts w:ascii="Arial" w:eastAsia="Calibri" w:hAnsi="Arial" w:cs="Arial"/>
          <w:b/>
          <w:bCs/>
          <w:lang w:bidi="gu-IN"/>
        </w:rPr>
      </w:pPr>
      <w:r>
        <w:rPr>
          <w:rFonts w:ascii="Arial" w:eastAsia="Calibri" w:hAnsi="Arial" w:cs="Arial"/>
          <w:b/>
          <w:bCs/>
          <w:lang w:bidi="gu-IN"/>
        </w:rPr>
        <w:t xml:space="preserve">2.2 </w:t>
      </w:r>
      <w:r w:rsidR="004F784C" w:rsidRPr="0087554B">
        <w:rPr>
          <w:rFonts w:ascii="Arial" w:eastAsia="Calibri" w:hAnsi="Arial" w:cs="Arial"/>
          <w:b/>
          <w:bCs/>
          <w:lang w:bidi="gu-IN"/>
        </w:rPr>
        <w:t>Market Retention and Direction of Trade: Markov Chain Analysis</w:t>
      </w:r>
    </w:p>
    <w:p w14:paraId="246D018C"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To examine the stability and direction of India’s marine exports across major importing countries, a first-order Markov Chain model was applied. The Markov framework assumes that the current distribution of export shares depends only on the distribution in the preceding period (Anderson and Goodman, 1957).</w:t>
      </w:r>
    </w:p>
    <w:p w14:paraId="04E11A40"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Let </w:t>
      </w:r>
      <w:r w:rsidRPr="0087554B">
        <w:rPr>
          <w:rFonts w:ascii="Arial" w:eastAsia="Calibri" w:hAnsi="Arial" w:cs="Arial"/>
          <w:i/>
          <w:iCs/>
          <w:sz w:val="20"/>
          <w:szCs w:val="20"/>
          <w:lang w:bidi="gu-IN"/>
        </w:rPr>
        <w:t>E</w:t>
      </w:r>
      <w:r w:rsidRPr="0087554B">
        <w:rPr>
          <w:rFonts w:ascii="Arial" w:eastAsia="Calibri" w:hAnsi="Arial" w:cs="Arial"/>
          <w:i/>
          <w:iCs/>
          <w:sz w:val="20"/>
          <w:szCs w:val="20"/>
          <w:vertAlign w:val="subscript"/>
          <w:lang w:bidi="gu-IN"/>
        </w:rPr>
        <w:t>jt</w:t>
      </w:r>
      <w:r w:rsidRPr="0087554B">
        <w:rPr>
          <w:rFonts w:ascii="Arial" w:eastAsia="Calibri" w:hAnsi="Arial" w:cs="Arial"/>
          <w:sz w:val="20"/>
          <w:szCs w:val="20"/>
          <w:lang w:bidi="gu-IN"/>
        </w:rPr>
        <w:t xml:space="preserve">​ represent exports to country </w:t>
      </w:r>
      <w:r w:rsidRPr="0087554B">
        <w:rPr>
          <w:rFonts w:ascii="Arial" w:eastAsia="Calibri" w:hAnsi="Arial" w:cs="Arial"/>
          <w:i/>
          <w:iCs/>
          <w:sz w:val="20"/>
          <w:szCs w:val="20"/>
          <w:lang w:bidi="gu-IN"/>
        </w:rPr>
        <w:t>j</w:t>
      </w:r>
      <w:r w:rsidRPr="0087554B">
        <w:rPr>
          <w:rFonts w:ascii="Arial" w:eastAsia="Calibri" w:hAnsi="Arial" w:cs="Arial"/>
          <w:sz w:val="20"/>
          <w:szCs w:val="20"/>
          <w:lang w:bidi="gu-IN"/>
        </w:rPr>
        <w:t xml:space="preserve"> in year </w:t>
      </w:r>
      <w:r w:rsidRPr="0087554B">
        <w:rPr>
          <w:rFonts w:ascii="Arial" w:eastAsia="Calibri" w:hAnsi="Arial" w:cs="Arial"/>
          <w:i/>
          <w:iCs/>
          <w:sz w:val="20"/>
          <w:szCs w:val="20"/>
          <w:lang w:bidi="gu-IN"/>
        </w:rPr>
        <w:t>t</w:t>
      </w:r>
      <w:r w:rsidRPr="0087554B">
        <w:rPr>
          <w:rFonts w:ascii="Arial" w:eastAsia="Calibri" w:hAnsi="Arial" w:cs="Arial"/>
          <w:sz w:val="20"/>
          <w:szCs w:val="20"/>
          <w:lang w:bidi="gu-IN"/>
        </w:rPr>
        <w:t xml:space="preserve">. The transitional probability matrix </w:t>
      </w:r>
      <w:r w:rsidRPr="0087554B">
        <w:rPr>
          <w:rFonts w:ascii="Arial" w:eastAsia="Calibri" w:hAnsi="Arial" w:cs="Arial"/>
          <w:i/>
          <w:iCs/>
          <w:sz w:val="20"/>
          <w:szCs w:val="20"/>
          <w:lang w:bidi="gu-IN"/>
        </w:rPr>
        <w:t>P</w:t>
      </w:r>
      <w:r w:rsidRPr="0087554B">
        <w:rPr>
          <w:rFonts w:ascii="Arial" w:eastAsia="Calibri" w:hAnsi="Arial" w:cs="Arial"/>
          <w:i/>
          <w:iCs/>
          <w:sz w:val="20"/>
          <w:szCs w:val="20"/>
          <w:vertAlign w:val="subscript"/>
          <w:lang w:bidi="gu-IN"/>
        </w:rPr>
        <w:t>ij</w:t>
      </w:r>
      <w:r w:rsidRPr="0087554B">
        <w:rPr>
          <w:rFonts w:ascii="Arial" w:eastAsia="Calibri" w:hAnsi="Arial" w:cs="Arial"/>
          <w:sz w:val="20"/>
          <w:szCs w:val="20"/>
          <w:lang w:bidi="gu-IN"/>
        </w:rPr>
        <w:t>​ is estimated as:</w:t>
      </w:r>
    </w:p>
    <w:p w14:paraId="4AB8BA2E" w14:textId="77777777" w:rsidR="004F784C" w:rsidRPr="0087554B" w:rsidRDefault="00052F5B" w:rsidP="00D412B7">
      <w:pPr>
        <w:spacing w:after="120"/>
        <w:jc w:val="both"/>
        <w:rPr>
          <w:rFonts w:ascii="Arial" w:eastAsia="Calibri" w:hAnsi="Arial" w:cs="Arial"/>
          <w:iCs/>
          <w:sz w:val="20"/>
          <w:szCs w:val="20"/>
          <w:lang w:bidi="gu-IN"/>
        </w:rPr>
      </w:pPr>
      <m:oMathPara>
        <m:oMathParaPr>
          <m:jc m:val="left"/>
        </m:oMathParaPr>
        <m:oMath>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E</m:t>
              </m:r>
            </m:e>
            <m:sub>
              <m:r>
                <m:rPr>
                  <m:nor/>
                </m:rPr>
                <w:rPr>
                  <w:rFonts w:ascii="Arial" w:eastAsia="Calibri" w:hAnsi="Arial" w:cs="Arial"/>
                  <w:i/>
                  <w:sz w:val="20"/>
                  <w:szCs w:val="20"/>
                  <w:lang w:bidi="gu-IN"/>
                </w:rPr>
                <m:t>jt</m:t>
              </m:r>
            </m:sub>
          </m:sSub>
          <m:r>
            <m:rPr>
              <m:nor/>
            </m:rPr>
            <w:rPr>
              <w:rFonts w:ascii="Arial" w:eastAsia="Calibri" w:hAnsi="Arial" w:cs="Arial"/>
              <w:iCs/>
              <w:sz w:val="20"/>
              <w:szCs w:val="20"/>
              <w:lang w:bidi="gu-IN"/>
            </w:rPr>
            <m:t xml:space="preserve"> = </m:t>
          </m:r>
          <m:nary>
            <m:naryPr>
              <m:chr m:val="∑"/>
              <m:limLoc m:val="undOvr"/>
              <m:ctrlPr>
                <w:rPr>
                  <w:rFonts w:ascii="Cambria Math" w:eastAsia="Calibri" w:hAnsi="Cambria Math" w:cs="Arial"/>
                  <w:iCs/>
                  <w:sz w:val="20"/>
                  <w:szCs w:val="20"/>
                  <w:lang w:bidi="gu-IN"/>
                </w:rPr>
              </m:ctrlPr>
            </m:naryPr>
            <m:sub>
              <m:r>
                <m:rPr>
                  <m:nor/>
                </m:rPr>
                <w:rPr>
                  <w:rFonts w:ascii="Arial" w:eastAsia="Calibri" w:hAnsi="Arial" w:cs="Arial"/>
                  <w:i/>
                  <w:sz w:val="20"/>
                  <w:szCs w:val="20"/>
                  <w:lang w:bidi="gu-IN"/>
                </w:rPr>
                <m:t xml:space="preserve">i </m:t>
              </m:r>
              <m:r>
                <m:rPr>
                  <m:nor/>
                </m:rPr>
                <w:rPr>
                  <w:rFonts w:ascii="Arial" w:eastAsia="Calibri" w:hAnsi="Arial" w:cs="Arial"/>
                  <w:iCs/>
                  <w:sz w:val="20"/>
                  <w:szCs w:val="20"/>
                  <w:lang w:bidi="gu-IN"/>
                </w:rPr>
                <m:t>= 1</m:t>
              </m:r>
            </m:sub>
            <m:sup>
              <m:r>
                <m:rPr>
                  <m:nor/>
                </m:rPr>
                <w:rPr>
                  <w:rFonts w:ascii="Arial" w:eastAsia="Calibri" w:hAnsi="Arial" w:cs="Arial"/>
                  <w:i/>
                  <w:sz w:val="20"/>
                  <w:szCs w:val="20"/>
                  <w:lang w:bidi="gu-IN"/>
                </w:rPr>
                <m:t>n</m:t>
              </m:r>
            </m:sup>
            <m:e>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E</m:t>
                  </m:r>
                </m:e>
                <m:sub>
                  <m:r>
                    <m:rPr>
                      <m:nor/>
                    </m:rPr>
                    <w:rPr>
                      <w:rFonts w:ascii="Arial" w:eastAsia="Calibri" w:hAnsi="Arial" w:cs="Arial"/>
                      <w:i/>
                      <w:sz w:val="20"/>
                      <w:szCs w:val="20"/>
                      <w:lang w:bidi="gu-IN"/>
                    </w:rPr>
                    <m:t xml:space="preserve">it - </m:t>
                  </m:r>
                  <m:r>
                    <m:rPr>
                      <m:nor/>
                    </m:rPr>
                    <w:rPr>
                      <w:rFonts w:ascii="Arial" w:eastAsia="Calibri" w:hAnsi="Arial" w:cs="Arial"/>
                      <w:iCs/>
                      <w:sz w:val="20"/>
                      <w:szCs w:val="20"/>
                      <w:lang w:bidi="gu-IN"/>
                    </w:rPr>
                    <m:t>1</m:t>
                  </m:r>
                  <m:r>
                    <m:rPr>
                      <m:nor/>
                    </m:rPr>
                    <w:rPr>
                      <w:rFonts w:ascii="Arial" w:eastAsia="Calibri" w:hAnsi="Arial" w:cs="Arial"/>
                      <w:i/>
                      <w:sz w:val="20"/>
                      <w:szCs w:val="20"/>
                      <w:lang w:bidi="gu-IN"/>
                    </w:rPr>
                    <m:t xml:space="preserve"> </m:t>
                  </m:r>
                </m:sub>
              </m:sSub>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P</m:t>
                  </m:r>
                </m:e>
                <m:sub>
                  <m:r>
                    <m:rPr>
                      <m:nor/>
                    </m:rPr>
                    <w:rPr>
                      <w:rFonts w:ascii="Arial" w:eastAsia="Calibri" w:hAnsi="Arial" w:cs="Arial"/>
                      <w:i/>
                      <w:sz w:val="20"/>
                      <w:szCs w:val="20"/>
                      <w:lang w:bidi="gu-IN"/>
                    </w:rPr>
                    <m:t>ij</m:t>
                  </m:r>
                </m:sub>
              </m:sSub>
            </m:e>
          </m:nary>
        </m:oMath>
      </m:oMathPara>
    </w:p>
    <w:p w14:paraId="2BCB41A4"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Where; </w:t>
      </w:r>
      <w:r w:rsidRPr="0087554B">
        <w:rPr>
          <w:rFonts w:ascii="Arial" w:eastAsia="Calibri" w:hAnsi="Arial" w:cs="Arial"/>
          <w:i/>
          <w:iCs/>
          <w:sz w:val="20"/>
          <w:szCs w:val="20"/>
          <w:lang w:bidi="gu-IN"/>
        </w:rPr>
        <w:t>P</w:t>
      </w:r>
      <w:r w:rsidRPr="0087554B">
        <w:rPr>
          <w:rFonts w:ascii="Arial" w:eastAsia="Calibri" w:hAnsi="Arial" w:cs="Arial"/>
          <w:i/>
          <w:iCs/>
          <w:sz w:val="20"/>
          <w:szCs w:val="20"/>
          <w:vertAlign w:val="subscript"/>
          <w:lang w:bidi="gu-IN"/>
        </w:rPr>
        <w:t>ij</w:t>
      </w:r>
      <w:r w:rsidRPr="0087554B">
        <w:rPr>
          <w:rFonts w:ascii="Arial" w:eastAsia="Calibri" w:hAnsi="Arial" w:cs="Arial"/>
          <w:sz w:val="20"/>
          <w:szCs w:val="20"/>
          <w:lang w:bidi="gu-IN"/>
        </w:rPr>
        <w:t xml:space="preserve">​ = Probability that exports shift from country </w:t>
      </w:r>
      <w:r w:rsidRPr="0087554B">
        <w:rPr>
          <w:rFonts w:ascii="Arial" w:eastAsia="Calibri" w:hAnsi="Arial" w:cs="Arial"/>
          <w:i/>
          <w:iCs/>
          <w:sz w:val="20"/>
          <w:szCs w:val="20"/>
          <w:lang w:bidi="gu-IN"/>
        </w:rPr>
        <w:t>i</w:t>
      </w:r>
      <w:r w:rsidRPr="0087554B">
        <w:rPr>
          <w:rFonts w:ascii="Arial" w:eastAsia="Calibri" w:hAnsi="Arial" w:cs="Arial"/>
          <w:sz w:val="20"/>
          <w:szCs w:val="20"/>
          <w:lang w:bidi="gu-IN"/>
        </w:rPr>
        <w:t xml:space="preserve"> to country </w:t>
      </w:r>
      <w:r w:rsidRPr="0087554B">
        <w:rPr>
          <w:rFonts w:ascii="Arial" w:eastAsia="Calibri" w:hAnsi="Arial" w:cs="Arial"/>
          <w:i/>
          <w:iCs/>
          <w:sz w:val="20"/>
          <w:szCs w:val="20"/>
          <w:lang w:bidi="gu-IN"/>
        </w:rPr>
        <w:t>j, n</w:t>
      </w:r>
      <w:r w:rsidRPr="0087554B">
        <w:rPr>
          <w:rFonts w:ascii="Arial" w:eastAsia="Calibri" w:hAnsi="Arial" w:cs="Arial"/>
          <w:sz w:val="20"/>
          <w:szCs w:val="20"/>
          <w:lang w:bidi="gu-IN"/>
        </w:rPr>
        <w:t xml:space="preserve"> = Number of importing countries</w:t>
      </w:r>
    </w:p>
    <w:p w14:paraId="2FA1FCA2"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The elements of the transition probability matrix satisfy the conditions:</w:t>
      </w:r>
    </w:p>
    <w:p w14:paraId="74659456" w14:textId="77777777" w:rsidR="004F784C" w:rsidRPr="0087554B" w:rsidRDefault="004F784C" w:rsidP="00D412B7">
      <w:pPr>
        <w:spacing w:after="120"/>
        <w:jc w:val="both"/>
        <w:rPr>
          <w:rFonts w:ascii="Arial" w:eastAsia="Calibri" w:hAnsi="Arial" w:cs="Arial"/>
          <w:sz w:val="20"/>
          <w:szCs w:val="20"/>
          <w:lang w:bidi="gu-IN"/>
        </w:rPr>
      </w:pPr>
      <m:oMathPara>
        <m:oMathParaPr>
          <m:jc m:val="left"/>
        </m:oMathParaPr>
        <m:oMath>
          <m:r>
            <m:rPr>
              <m:nor/>
            </m:rPr>
            <w:rPr>
              <w:rFonts w:ascii="Arial" w:eastAsia="Calibri" w:hAnsi="Arial" w:cs="Arial"/>
              <w:sz w:val="20"/>
              <w:szCs w:val="20"/>
              <w:lang w:bidi="gu-IN"/>
            </w:rPr>
            <m:t xml:space="preserve">0 ≤ </m:t>
          </m:r>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P</m:t>
              </m:r>
            </m:e>
            <m:sub>
              <m:r>
                <m:rPr>
                  <m:nor/>
                </m:rPr>
                <w:rPr>
                  <w:rFonts w:ascii="Arial" w:eastAsia="Calibri" w:hAnsi="Arial" w:cs="Arial"/>
                  <w:i/>
                  <w:sz w:val="20"/>
                  <w:szCs w:val="20"/>
                  <w:lang w:bidi="gu-IN"/>
                </w:rPr>
                <m:t xml:space="preserve">ij </m:t>
              </m:r>
            </m:sub>
          </m:sSub>
          <m:r>
            <m:rPr>
              <m:nor/>
            </m:rPr>
            <w:rPr>
              <w:rFonts w:ascii="Arial" w:eastAsia="Calibri" w:hAnsi="Arial" w:cs="Arial"/>
              <w:sz w:val="20"/>
              <w:szCs w:val="20"/>
              <w:lang w:bidi="gu-IN"/>
            </w:rPr>
            <m:t xml:space="preserve">≤ 1 and </m:t>
          </m:r>
          <m:nary>
            <m:naryPr>
              <m:chr m:val="∑"/>
              <m:limLoc m:val="undOvr"/>
              <m:ctrlPr>
                <w:rPr>
                  <w:rFonts w:ascii="Cambria Math" w:eastAsia="Calibri" w:hAnsi="Cambria Math" w:cs="Arial"/>
                  <w:i/>
                  <w:sz w:val="20"/>
                  <w:szCs w:val="20"/>
                  <w:lang w:bidi="gu-IN"/>
                </w:rPr>
              </m:ctrlPr>
            </m:naryPr>
            <m:sub>
              <m:r>
                <m:rPr>
                  <m:nor/>
                </m:rPr>
                <w:rPr>
                  <w:rFonts w:ascii="Arial" w:eastAsia="Calibri" w:hAnsi="Arial" w:cs="Arial"/>
                  <w:i/>
                  <w:iCs/>
                  <w:sz w:val="20"/>
                  <w:szCs w:val="20"/>
                  <w:lang w:bidi="gu-IN"/>
                </w:rPr>
                <m:t xml:space="preserve">j </m:t>
              </m:r>
              <m:r>
                <m:rPr>
                  <m:nor/>
                </m:rPr>
                <w:rPr>
                  <w:rFonts w:ascii="Arial" w:eastAsia="Calibri" w:hAnsi="Arial" w:cs="Arial"/>
                  <w:sz w:val="20"/>
                  <w:szCs w:val="20"/>
                  <w:lang w:bidi="gu-IN"/>
                </w:rPr>
                <m:t>= 1</m:t>
              </m:r>
            </m:sub>
            <m:sup>
              <m:r>
                <m:rPr>
                  <m:nor/>
                </m:rPr>
                <w:rPr>
                  <w:rFonts w:ascii="Arial" w:eastAsia="Calibri" w:hAnsi="Arial" w:cs="Arial"/>
                  <w:i/>
                  <w:iCs/>
                  <w:sz w:val="20"/>
                  <w:szCs w:val="20"/>
                  <w:lang w:bidi="gu-IN"/>
                </w:rPr>
                <m:t>n</m:t>
              </m:r>
            </m:sup>
            <m:e>
              <m:sSub>
                <m:sSubPr>
                  <m:ctrlPr>
                    <w:rPr>
                      <w:rFonts w:ascii="Cambria Math" w:eastAsia="Calibri" w:hAnsi="Cambria Math" w:cs="Arial"/>
                      <w:i/>
                      <w:sz w:val="20"/>
                      <w:szCs w:val="20"/>
                      <w:lang w:bidi="gu-IN"/>
                    </w:rPr>
                  </m:ctrlPr>
                </m:sSubPr>
                <m:e>
                  <m:r>
                    <m:rPr>
                      <m:nor/>
                    </m:rPr>
                    <w:rPr>
                      <w:rFonts w:ascii="Arial" w:eastAsia="Calibri" w:hAnsi="Arial" w:cs="Arial"/>
                      <w:i/>
                      <w:sz w:val="20"/>
                      <w:szCs w:val="20"/>
                      <w:lang w:bidi="gu-IN"/>
                    </w:rPr>
                    <m:t>P</m:t>
                  </m:r>
                </m:e>
                <m:sub>
                  <m:r>
                    <m:rPr>
                      <m:nor/>
                    </m:rPr>
                    <w:rPr>
                      <w:rFonts w:ascii="Arial" w:eastAsia="Calibri" w:hAnsi="Arial" w:cs="Arial"/>
                      <w:i/>
                      <w:sz w:val="20"/>
                      <w:szCs w:val="20"/>
                      <w:lang w:bidi="gu-IN"/>
                    </w:rPr>
                    <m:t>ij</m:t>
                  </m:r>
                </m:sub>
              </m:sSub>
            </m:e>
          </m:nary>
          <m:r>
            <m:rPr>
              <m:nor/>
            </m:rPr>
            <w:rPr>
              <w:rFonts w:ascii="Arial" w:eastAsia="Calibri" w:hAnsi="Arial" w:cs="Arial"/>
              <w:sz w:val="20"/>
              <w:szCs w:val="20"/>
              <w:lang w:bidi="gu-IN"/>
            </w:rPr>
            <m:t>= 1</m:t>
          </m:r>
        </m:oMath>
      </m:oMathPara>
    </w:p>
    <w:p w14:paraId="77F89E00"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The diagonal elements (</w:t>
      </w:r>
      <w:r w:rsidRPr="0087554B">
        <w:rPr>
          <w:rFonts w:ascii="Arial" w:eastAsia="Calibri" w:hAnsi="Arial" w:cs="Arial"/>
          <w:i/>
          <w:iCs/>
          <w:sz w:val="20"/>
          <w:szCs w:val="20"/>
          <w:lang w:bidi="gu-IN"/>
        </w:rPr>
        <w:t>P</w:t>
      </w:r>
      <w:r w:rsidRPr="0087554B">
        <w:rPr>
          <w:rFonts w:ascii="Arial" w:eastAsia="Calibri" w:hAnsi="Arial" w:cs="Arial"/>
          <w:i/>
          <w:iCs/>
          <w:sz w:val="20"/>
          <w:szCs w:val="20"/>
          <w:vertAlign w:val="subscript"/>
          <w:lang w:bidi="gu-IN"/>
        </w:rPr>
        <w:t>ii</w:t>
      </w:r>
      <w:r w:rsidRPr="0087554B">
        <w:rPr>
          <w:rFonts w:ascii="Arial" w:eastAsia="Calibri" w:hAnsi="Arial" w:cs="Arial"/>
          <w:sz w:val="20"/>
          <w:szCs w:val="20"/>
          <w:lang w:bidi="gu-IN"/>
        </w:rPr>
        <w:t>​) represent retention probabilities, indicating the likelihood that a country retains its export share from one period to the next. Higher diagonal values imply greater market stability, while larger off-diagonal elements reflect shifts in export shares among competing markets.</w:t>
      </w:r>
    </w:p>
    <w:p w14:paraId="17D26275" w14:textId="77777777" w:rsidR="004F784C" w:rsidRPr="0087554B" w:rsidRDefault="004F784C" w:rsidP="00D412B7">
      <w:pPr>
        <w:jc w:val="both"/>
        <w:rPr>
          <w:rFonts w:ascii="Arial" w:eastAsia="Calibri" w:hAnsi="Arial" w:cs="Arial"/>
          <w:sz w:val="20"/>
          <w:szCs w:val="20"/>
          <w:lang w:bidi="gu-IN"/>
        </w:rPr>
      </w:pPr>
      <w:r w:rsidRPr="0087554B">
        <w:rPr>
          <w:rFonts w:ascii="Arial" w:eastAsia="Calibri" w:hAnsi="Arial" w:cs="Arial"/>
          <w:sz w:val="20"/>
          <w:szCs w:val="20"/>
          <w:lang w:bidi="gu-IN"/>
        </w:rPr>
        <w:t>The transition probability matrix was estimated using linear programming techniques subject to probability constraints. This approach facilitates identification of stable markets, emerging destinations, and markets experiencing declining export shares over time.</w:t>
      </w:r>
    </w:p>
    <w:p w14:paraId="7D17F11A" w14:textId="77777777" w:rsidR="004F784C" w:rsidRPr="00603DEF" w:rsidRDefault="004F784C" w:rsidP="004F784C">
      <w:pPr>
        <w:jc w:val="both"/>
        <w:rPr>
          <w:rFonts w:ascii="Arial" w:eastAsia="Calibri" w:hAnsi="Arial" w:cs="Arial"/>
          <w:sz w:val="24"/>
          <w:szCs w:val="24"/>
          <w:lang w:bidi="gu-IN"/>
        </w:rPr>
      </w:pPr>
    </w:p>
    <w:p w14:paraId="1A89610B" w14:textId="77777777" w:rsidR="004F784C" w:rsidRPr="0087554B" w:rsidRDefault="0087554B" w:rsidP="004F784C">
      <w:pPr>
        <w:jc w:val="both"/>
        <w:rPr>
          <w:rFonts w:ascii="Arial" w:eastAsia="Calibri" w:hAnsi="Arial" w:cs="Arial"/>
          <w:b/>
          <w:bCs/>
          <w:lang w:bidi="gu-IN"/>
        </w:rPr>
      </w:pPr>
      <w:r w:rsidRPr="0087554B">
        <w:rPr>
          <w:rFonts w:ascii="Arial" w:eastAsia="Calibri" w:hAnsi="Arial" w:cs="Arial"/>
          <w:b/>
          <w:bCs/>
          <w:lang w:bidi="gu-IN"/>
        </w:rPr>
        <w:t xml:space="preserve">3. </w:t>
      </w:r>
      <w:r w:rsidR="004F784C" w:rsidRPr="0087554B">
        <w:rPr>
          <w:rFonts w:ascii="Arial" w:eastAsia="Calibri" w:hAnsi="Arial" w:cs="Arial"/>
          <w:b/>
          <w:bCs/>
          <w:lang w:bidi="gu-IN"/>
        </w:rPr>
        <w:t>RESULTS AND DISCUSSION</w:t>
      </w:r>
    </w:p>
    <w:p w14:paraId="235C9A5F" w14:textId="77777777" w:rsidR="0087554B" w:rsidRDefault="0087554B" w:rsidP="004F784C">
      <w:pPr>
        <w:jc w:val="both"/>
        <w:rPr>
          <w:rFonts w:ascii="Arial" w:eastAsia="Calibri" w:hAnsi="Arial" w:cs="Arial"/>
          <w:b/>
          <w:bCs/>
          <w:lang w:bidi="gu-IN"/>
        </w:rPr>
      </w:pPr>
    </w:p>
    <w:p w14:paraId="329AEAE8" w14:textId="77777777" w:rsidR="004F784C" w:rsidRPr="0087554B" w:rsidRDefault="0087554B" w:rsidP="00D412B7">
      <w:pPr>
        <w:spacing w:after="120"/>
        <w:jc w:val="both"/>
        <w:rPr>
          <w:rFonts w:ascii="Arial" w:eastAsia="Calibri" w:hAnsi="Arial" w:cs="Arial"/>
          <w:b/>
          <w:bCs/>
          <w:lang w:bidi="gu-IN"/>
        </w:rPr>
      </w:pPr>
      <w:r>
        <w:rPr>
          <w:rFonts w:ascii="Arial" w:eastAsia="Calibri" w:hAnsi="Arial" w:cs="Arial"/>
          <w:b/>
          <w:bCs/>
          <w:lang w:bidi="gu-IN"/>
        </w:rPr>
        <w:t xml:space="preserve">3.1 </w:t>
      </w:r>
      <w:r w:rsidR="004F784C" w:rsidRPr="0087554B">
        <w:rPr>
          <w:rFonts w:ascii="Arial" w:eastAsia="Calibri" w:hAnsi="Arial" w:cs="Arial"/>
          <w:b/>
          <w:bCs/>
          <w:lang w:bidi="gu-IN"/>
        </w:rPr>
        <w:t>Revealed Comparative Advantage</w:t>
      </w:r>
    </w:p>
    <w:p w14:paraId="7C328930"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The results (Table 1) indicate marked differences in export competitiveness across marine product categories. Frozen shrimp consistently exhibited a strong and sustained comparative advantage throughout the study period. The RCA increased from 4.46 in 2004-05 to 4.64 in 2023-24, reaching a peak of 5.27 in 2021-22. All values remained well above unity, confirming a high degree of export specialization. The strengthening of RCA during 2017-18 to 2021-22 coincided with rapid aquaculture expansion, improved disease management, and stronger access to high-value markets such as the United States, China, and the European Union (FAO, 2025; MPEDA, 2025). These findings reaffirm frozen shrimp as the core driver of India’s marine export competitiveness.</w:t>
      </w:r>
    </w:p>
    <w:p w14:paraId="39C5FE82"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In contrast, frozen fish showed a declining pattern of specialization. Although the RCA exceeded unity during the mid-2000s, peaking at 1.55 in 2009-10, it fell below one after 2012-13 and declined further to 0.66 in 2023-24. This shift reflects a loss of comparative advantage, possibly due to intensified global competition, variability in marine catches, and growing domestic consumption (Das and Ghosh, 2021; FAO, 2023).</w:t>
      </w:r>
    </w:p>
    <w:p w14:paraId="7BC195AB"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The frozen cuttle fish, frozen squid, dried items, live items, and chilled items consistently recorded RCA values below unity. Cuttle fish declined from 0.49 to 0.38 over the study period, while squid ranged between 0.45 and 0.74, showing modest improvement in recent years but not achieving comparative advantage. Dried (0.13-0.31), live (0.03-0.14), and chilled products (0.18-0.54) remained persistently below one, indicating structural disadvantage. These trends may be linked to limited technological modernization, logistical bottlenecks, stringent sanitary and phytosanitary standards, and strong competition from established exporters (FAO, 2023; MPEDA, 2023).</w:t>
      </w:r>
    </w:p>
    <w:p w14:paraId="4C97B629" w14:textId="77777777" w:rsidR="004F784C" w:rsidRPr="0087554B" w:rsidRDefault="004F784C" w:rsidP="0087554B">
      <w:pPr>
        <w:jc w:val="both"/>
        <w:rPr>
          <w:rFonts w:ascii="Arial" w:eastAsia="Calibri" w:hAnsi="Arial" w:cs="Arial"/>
          <w:sz w:val="20"/>
          <w:szCs w:val="20"/>
          <w:lang w:bidi="gu-IN"/>
        </w:rPr>
      </w:pPr>
      <w:r w:rsidRPr="0087554B">
        <w:rPr>
          <w:rFonts w:ascii="Arial" w:eastAsia="Calibri" w:hAnsi="Arial" w:cs="Arial"/>
          <w:sz w:val="20"/>
          <w:szCs w:val="20"/>
          <w:lang w:bidi="gu-IN"/>
        </w:rPr>
        <w:t>Overall, the RCA analysis highlights a high concentration of export competitiveness in frozen shrimp, with limited diversification across other segments. While shrimp exports demonstrate robust and sustained specialization, the weak performance of other products signals structural dependence on a single dominant commodity. Enhancing long-term sustainability will require diversification of the export basket, technological upgrading, greater value addition, and strengthened post-harvest and cold-chain infrastructure to broaden India’s comparative advantage in global seafood trade (Shinoj and Mathur, 2008; Das and Ghosh, 2021; FAO, 2024).</w:t>
      </w:r>
    </w:p>
    <w:p w14:paraId="7334123E" w14:textId="77777777" w:rsidR="004F784C" w:rsidRPr="0087554B" w:rsidRDefault="004F784C" w:rsidP="004F784C">
      <w:pPr>
        <w:ind w:left="900" w:hanging="900"/>
        <w:jc w:val="both"/>
        <w:rPr>
          <w:rFonts w:ascii="Arial" w:eastAsia="Calibri" w:hAnsi="Arial" w:cs="Arial"/>
          <w:b/>
          <w:bCs/>
          <w:sz w:val="20"/>
          <w:szCs w:val="20"/>
        </w:rPr>
      </w:pPr>
    </w:p>
    <w:p w14:paraId="2FACBC13" w14:textId="77777777" w:rsidR="004F784C" w:rsidRPr="0087554B" w:rsidRDefault="0087554B" w:rsidP="00D412B7">
      <w:pPr>
        <w:spacing w:after="120"/>
        <w:ind w:left="907" w:hanging="907"/>
        <w:jc w:val="both"/>
        <w:rPr>
          <w:rFonts w:ascii="Arial" w:eastAsia="Calibri" w:hAnsi="Arial" w:cs="Arial"/>
          <w:b/>
          <w:bCs/>
          <w:sz w:val="20"/>
          <w:szCs w:val="20"/>
        </w:rPr>
      </w:pPr>
      <w:r>
        <w:rPr>
          <w:rFonts w:ascii="Arial" w:eastAsia="Calibri" w:hAnsi="Arial" w:cs="Arial"/>
          <w:b/>
          <w:bCs/>
          <w:sz w:val="20"/>
          <w:szCs w:val="20"/>
        </w:rPr>
        <w:t>Table 1.</w:t>
      </w:r>
      <w:r>
        <w:rPr>
          <w:rFonts w:ascii="Arial" w:eastAsia="Calibri" w:hAnsi="Arial" w:cs="Arial"/>
          <w:b/>
          <w:bCs/>
          <w:sz w:val="20"/>
          <w:szCs w:val="20"/>
        </w:rPr>
        <w:tab/>
      </w:r>
      <w:r w:rsidR="004F784C" w:rsidRPr="0087554B">
        <w:rPr>
          <w:rFonts w:ascii="Arial" w:eastAsia="Calibri" w:hAnsi="Arial" w:cs="Arial"/>
          <w:b/>
          <w:bCs/>
          <w:sz w:val="20"/>
          <w:szCs w:val="20"/>
        </w:rPr>
        <w:t>Revealed Comparative Advantage (RCA) of marine products exported from India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86"/>
        <w:gridCol w:w="1079"/>
        <w:gridCol w:w="1080"/>
        <w:gridCol w:w="1335"/>
        <w:gridCol w:w="924"/>
        <w:gridCol w:w="780"/>
        <w:gridCol w:w="753"/>
        <w:gridCol w:w="927"/>
      </w:tblGrid>
      <w:tr w:rsidR="004F784C" w:rsidRPr="0087554B" w14:paraId="6DB929A2" w14:textId="77777777" w:rsidTr="00603DEF">
        <w:trPr>
          <w:cantSplit/>
        </w:trPr>
        <w:tc>
          <w:tcPr>
            <w:tcW w:w="986" w:type="dxa"/>
            <w:hideMark/>
          </w:tcPr>
          <w:p w14:paraId="10B7FFF2"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Year</w:t>
            </w:r>
          </w:p>
        </w:tc>
        <w:tc>
          <w:tcPr>
            <w:tcW w:w="1079" w:type="dxa"/>
            <w:hideMark/>
          </w:tcPr>
          <w:p w14:paraId="7DE28E9F"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Frozen Shrimp</w:t>
            </w:r>
          </w:p>
        </w:tc>
        <w:tc>
          <w:tcPr>
            <w:tcW w:w="1080" w:type="dxa"/>
            <w:hideMark/>
          </w:tcPr>
          <w:p w14:paraId="7786744D"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Frozen Fish</w:t>
            </w:r>
          </w:p>
        </w:tc>
        <w:tc>
          <w:tcPr>
            <w:tcW w:w="1335" w:type="dxa"/>
            <w:hideMark/>
          </w:tcPr>
          <w:p w14:paraId="7C28A8A0"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 xml:space="preserve">Frozen </w:t>
            </w:r>
          </w:p>
          <w:p w14:paraId="3EDA0FAA"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Cuttle Fish</w:t>
            </w:r>
          </w:p>
        </w:tc>
        <w:tc>
          <w:tcPr>
            <w:tcW w:w="0" w:type="auto"/>
            <w:hideMark/>
          </w:tcPr>
          <w:p w14:paraId="4E97CB3E"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Frozen Squid</w:t>
            </w:r>
          </w:p>
        </w:tc>
        <w:tc>
          <w:tcPr>
            <w:tcW w:w="0" w:type="auto"/>
            <w:hideMark/>
          </w:tcPr>
          <w:p w14:paraId="305CE53D"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Dried Items</w:t>
            </w:r>
          </w:p>
        </w:tc>
        <w:tc>
          <w:tcPr>
            <w:tcW w:w="0" w:type="auto"/>
            <w:hideMark/>
          </w:tcPr>
          <w:p w14:paraId="76D31539"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Live Items</w:t>
            </w:r>
          </w:p>
        </w:tc>
        <w:tc>
          <w:tcPr>
            <w:tcW w:w="0" w:type="auto"/>
            <w:hideMark/>
          </w:tcPr>
          <w:p w14:paraId="1AE2112A" w14:textId="77777777" w:rsidR="004F784C" w:rsidRPr="0087554B" w:rsidRDefault="004F784C" w:rsidP="004F784C">
            <w:pPr>
              <w:jc w:val="center"/>
              <w:rPr>
                <w:rFonts w:ascii="Arial" w:eastAsia="Calibri" w:hAnsi="Arial" w:cs="Arial"/>
                <w:b/>
                <w:bCs/>
                <w:sz w:val="20"/>
                <w:szCs w:val="20"/>
              </w:rPr>
            </w:pPr>
            <w:r w:rsidRPr="0087554B">
              <w:rPr>
                <w:rFonts w:ascii="Arial" w:eastAsia="Calibri" w:hAnsi="Arial" w:cs="Arial"/>
                <w:b/>
                <w:bCs/>
                <w:sz w:val="20"/>
                <w:szCs w:val="20"/>
              </w:rPr>
              <w:t>Chilled Items</w:t>
            </w:r>
          </w:p>
        </w:tc>
      </w:tr>
      <w:tr w:rsidR="004F784C" w:rsidRPr="0087554B" w14:paraId="196AB8F6" w14:textId="77777777" w:rsidTr="00603DEF">
        <w:trPr>
          <w:cantSplit/>
        </w:trPr>
        <w:tc>
          <w:tcPr>
            <w:tcW w:w="986" w:type="dxa"/>
            <w:hideMark/>
          </w:tcPr>
          <w:p w14:paraId="737F2096"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2004-05</w:t>
            </w:r>
          </w:p>
        </w:tc>
        <w:tc>
          <w:tcPr>
            <w:tcW w:w="1079" w:type="dxa"/>
            <w:hideMark/>
          </w:tcPr>
          <w:p w14:paraId="6F121AB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4.46</w:t>
            </w:r>
          </w:p>
        </w:tc>
        <w:tc>
          <w:tcPr>
            <w:tcW w:w="1080" w:type="dxa"/>
            <w:hideMark/>
          </w:tcPr>
          <w:p w14:paraId="2496F06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0.81</w:t>
            </w:r>
          </w:p>
        </w:tc>
        <w:tc>
          <w:tcPr>
            <w:tcW w:w="1335" w:type="dxa"/>
            <w:hideMark/>
          </w:tcPr>
          <w:p w14:paraId="4D91CC9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0.49</w:t>
            </w:r>
          </w:p>
        </w:tc>
        <w:tc>
          <w:tcPr>
            <w:tcW w:w="0" w:type="auto"/>
            <w:hideMark/>
          </w:tcPr>
          <w:p w14:paraId="6D621AD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0.45</w:t>
            </w:r>
          </w:p>
        </w:tc>
        <w:tc>
          <w:tcPr>
            <w:tcW w:w="0" w:type="auto"/>
            <w:hideMark/>
          </w:tcPr>
          <w:p w14:paraId="67AC721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0.16</w:t>
            </w:r>
          </w:p>
        </w:tc>
        <w:tc>
          <w:tcPr>
            <w:tcW w:w="0" w:type="auto"/>
            <w:hideMark/>
          </w:tcPr>
          <w:p w14:paraId="5DA28B7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0.09</w:t>
            </w:r>
          </w:p>
        </w:tc>
        <w:tc>
          <w:tcPr>
            <w:tcW w:w="0" w:type="auto"/>
            <w:hideMark/>
          </w:tcPr>
          <w:p w14:paraId="3FCC3DC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0.54</w:t>
            </w:r>
          </w:p>
        </w:tc>
      </w:tr>
      <w:tr w:rsidR="004F784C" w:rsidRPr="0087554B" w14:paraId="7268824F" w14:textId="77777777" w:rsidTr="00603DEF">
        <w:trPr>
          <w:cantSplit/>
        </w:trPr>
        <w:tc>
          <w:tcPr>
            <w:tcW w:w="986" w:type="dxa"/>
            <w:hideMark/>
          </w:tcPr>
          <w:p w14:paraId="2E467BA7"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2005-06</w:t>
            </w:r>
          </w:p>
        </w:tc>
        <w:tc>
          <w:tcPr>
            <w:tcW w:w="1079" w:type="dxa"/>
            <w:hideMark/>
          </w:tcPr>
          <w:p w14:paraId="610277A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4.13</w:t>
            </w:r>
          </w:p>
        </w:tc>
        <w:tc>
          <w:tcPr>
            <w:tcW w:w="1080" w:type="dxa"/>
            <w:hideMark/>
          </w:tcPr>
          <w:p w14:paraId="36B6290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1.11</w:t>
            </w:r>
          </w:p>
        </w:tc>
        <w:tc>
          <w:tcPr>
            <w:tcW w:w="1335" w:type="dxa"/>
            <w:hideMark/>
          </w:tcPr>
          <w:p w14:paraId="0550AAB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0.50</w:t>
            </w:r>
          </w:p>
        </w:tc>
        <w:tc>
          <w:tcPr>
            <w:tcW w:w="0" w:type="auto"/>
            <w:hideMark/>
          </w:tcPr>
          <w:p w14:paraId="02B1F8A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0.53</w:t>
            </w:r>
          </w:p>
        </w:tc>
        <w:tc>
          <w:tcPr>
            <w:tcW w:w="0" w:type="auto"/>
            <w:hideMark/>
          </w:tcPr>
          <w:p w14:paraId="009D3E7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0.14</w:t>
            </w:r>
          </w:p>
        </w:tc>
        <w:tc>
          <w:tcPr>
            <w:tcW w:w="0" w:type="auto"/>
            <w:hideMark/>
          </w:tcPr>
          <w:p w14:paraId="2B732C1D"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0.08</w:t>
            </w:r>
          </w:p>
        </w:tc>
        <w:tc>
          <w:tcPr>
            <w:tcW w:w="0" w:type="auto"/>
            <w:hideMark/>
          </w:tcPr>
          <w:p w14:paraId="7C7011D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0.51</w:t>
            </w:r>
          </w:p>
        </w:tc>
      </w:tr>
      <w:tr w:rsidR="004F784C" w:rsidRPr="0087554B" w14:paraId="4A0691D1" w14:textId="77777777" w:rsidTr="00603DEF">
        <w:trPr>
          <w:cantSplit/>
        </w:trPr>
        <w:tc>
          <w:tcPr>
            <w:tcW w:w="986" w:type="dxa"/>
            <w:hideMark/>
          </w:tcPr>
          <w:p w14:paraId="2E5C1134"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2006-07</w:t>
            </w:r>
          </w:p>
        </w:tc>
        <w:tc>
          <w:tcPr>
            <w:tcW w:w="1079" w:type="dxa"/>
            <w:hideMark/>
          </w:tcPr>
          <w:p w14:paraId="1D0CBF2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3.75</w:t>
            </w:r>
          </w:p>
        </w:tc>
        <w:tc>
          <w:tcPr>
            <w:tcW w:w="1080" w:type="dxa"/>
            <w:hideMark/>
          </w:tcPr>
          <w:p w14:paraId="0D0DE4A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1.34</w:t>
            </w:r>
          </w:p>
        </w:tc>
        <w:tc>
          <w:tcPr>
            <w:tcW w:w="1335" w:type="dxa"/>
            <w:hideMark/>
          </w:tcPr>
          <w:p w14:paraId="690AB2D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0.55</w:t>
            </w:r>
          </w:p>
        </w:tc>
        <w:tc>
          <w:tcPr>
            <w:tcW w:w="0" w:type="auto"/>
            <w:hideMark/>
          </w:tcPr>
          <w:p w14:paraId="5A7AB9F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0.65</w:t>
            </w:r>
          </w:p>
        </w:tc>
        <w:tc>
          <w:tcPr>
            <w:tcW w:w="0" w:type="auto"/>
            <w:hideMark/>
          </w:tcPr>
          <w:p w14:paraId="313D21DB"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0.13</w:t>
            </w:r>
          </w:p>
        </w:tc>
        <w:tc>
          <w:tcPr>
            <w:tcW w:w="0" w:type="auto"/>
            <w:hideMark/>
          </w:tcPr>
          <w:p w14:paraId="1148A25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0.07</w:t>
            </w:r>
          </w:p>
        </w:tc>
        <w:tc>
          <w:tcPr>
            <w:tcW w:w="0" w:type="auto"/>
            <w:hideMark/>
          </w:tcPr>
          <w:p w14:paraId="2A884D3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0.50</w:t>
            </w:r>
          </w:p>
        </w:tc>
      </w:tr>
      <w:tr w:rsidR="004F784C" w:rsidRPr="0087554B" w14:paraId="27EEE1B4" w14:textId="77777777" w:rsidTr="00603DEF">
        <w:trPr>
          <w:cantSplit/>
        </w:trPr>
        <w:tc>
          <w:tcPr>
            <w:tcW w:w="986" w:type="dxa"/>
            <w:hideMark/>
          </w:tcPr>
          <w:p w14:paraId="7914D52A"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2007-08</w:t>
            </w:r>
          </w:p>
        </w:tc>
        <w:tc>
          <w:tcPr>
            <w:tcW w:w="1079" w:type="dxa"/>
            <w:hideMark/>
          </w:tcPr>
          <w:p w14:paraId="2F42AF1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3.64</w:t>
            </w:r>
          </w:p>
        </w:tc>
        <w:tc>
          <w:tcPr>
            <w:tcW w:w="1080" w:type="dxa"/>
            <w:hideMark/>
          </w:tcPr>
          <w:p w14:paraId="2C43982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1.31</w:t>
            </w:r>
          </w:p>
        </w:tc>
        <w:tc>
          <w:tcPr>
            <w:tcW w:w="1335" w:type="dxa"/>
            <w:hideMark/>
          </w:tcPr>
          <w:p w14:paraId="38314D7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0.61</w:t>
            </w:r>
          </w:p>
        </w:tc>
        <w:tc>
          <w:tcPr>
            <w:tcW w:w="0" w:type="auto"/>
            <w:hideMark/>
          </w:tcPr>
          <w:p w14:paraId="567494C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0.77</w:t>
            </w:r>
          </w:p>
        </w:tc>
        <w:tc>
          <w:tcPr>
            <w:tcW w:w="0" w:type="auto"/>
            <w:hideMark/>
          </w:tcPr>
          <w:p w14:paraId="517CA75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0.15</w:t>
            </w:r>
          </w:p>
        </w:tc>
        <w:tc>
          <w:tcPr>
            <w:tcW w:w="0" w:type="auto"/>
            <w:hideMark/>
          </w:tcPr>
          <w:p w14:paraId="362D1AB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0.11</w:t>
            </w:r>
          </w:p>
        </w:tc>
        <w:tc>
          <w:tcPr>
            <w:tcW w:w="0" w:type="auto"/>
            <w:hideMark/>
          </w:tcPr>
          <w:p w14:paraId="7B668AF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0.42</w:t>
            </w:r>
          </w:p>
        </w:tc>
      </w:tr>
      <w:tr w:rsidR="004F784C" w:rsidRPr="0087554B" w14:paraId="341AF45A" w14:textId="77777777" w:rsidTr="00603DEF">
        <w:trPr>
          <w:cantSplit/>
        </w:trPr>
        <w:tc>
          <w:tcPr>
            <w:tcW w:w="986" w:type="dxa"/>
            <w:hideMark/>
          </w:tcPr>
          <w:p w14:paraId="12558F7C"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2008-09</w:t>
            </w:r>
          </w:p>
        </w:tc>
        <w:tc>
          <w:tcPr>
            <w:tcW w:w="1079" w:type="dxa"/>
            <w:hideMark/>
          </w:tcPr>
          <w:p w14:paraId="776E3A6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3.08</w:t>
            </w:r>
          </w:p>
        </w:tc>
        <w:tc>
          <w:tcPr>
            <w:tcW w:w="1080" w:type="dxa"/>
            <w:hideMark/>
          </w:tcPr>
          <w:p w14:paraId="5AC3374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1.54</w:t>
            </w:r>
          </w:p>
        </w:tc>
        <w:tc>
          <w:tcPr>
            <w:tcW w:w="1335" w:type="dxa"/>
            <w:hideMark/>
          </w:tcPr>
          <w:p w14:paraId="0E2D02C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0.78</w:t>
            </w:r>
          </w:p>
        </w:tc>
        <w:tc>
          <w:tcPr>
            <w:tcW w:w="0" w:type="auto"/>
            <w:hideMark/>
          </w:tcPr>
          <w:p w14:paraId="6FD1420B"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0.82</w:t>
            </w:r>
          </w:p>
        </w:tc>
        <w:tc>
          <w:tcPr>
            <w:tcW w:w="0" w:type="auto"/>
            <w:hideMark/>
          </w:tcPr>
          <w:p w14:paraId="49DF9C7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0.16</w:t>
            </w:r>
          </w:p>
        </w:tc>
        <w:tc>
          <w:tcPr>
            <w:tcW w:w="0" w:type="auto"/>
            <w:hideMark/>
          </w:tcPr>
          <w:p w14:paraId="2281DCB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0.14</w:t>
            </w:r>
          </w:p>
        </w:tc>
        <w:tc>
          <w:tcPr>
            <w:tcW w:w="0" w:type="auto"/>
            <w:hideMark/>
          </w:tcPr>
          <w:p w14:paraId="6AFE2D4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0.47</w:t>
            </w:r>
          </w:p>
        </w:tc>
      </w:tr>
      <w:tr w:rsidR="004F784C" w:rsidRPr="0087554B" w14:paraId="00C0D821" w14:textId="77777777" w:rsidTr="00603DEF">
        <w:trPr>
          <w:cantSplit/>
        </w:trPr>
        <w:tc>
          <w:tcPr>
            <w:tcW w:w="986" w:type="dxa"/>
            <w:hideMark/>
          </w:tcPr>
          <w:p w14:paraId="091CDD2B"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2009-10</w:t>
            </w:r>
          </w:p>
        </w:tc>
        <w:tc>
          <w:tcPr>
            <w:tcW w:w="1079" w:type="dxa"/>
            <w:hideMark/>
          </w:tcPr>
          <w:p w14:paraId="335D5E2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3.07</w:t>
            </w:r>
          </w:p>
        </w:tc>
        <w:tc>
          <w:tcPr>
            <w:tcW w:w="1080" w:type="dxa"/>
            <w:hideMark/>
          </w:tcPr>
          <w:p w14:paraId="1FF1424D"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1.55</w:t>
            </w:r>
          </w:p>
        </w:tc>
        <w:tc>
          <w:tcPr>
            <w:tcW w:w="1335" w:type="dxa"/>
            <w:hideMark/>
          </w:tcPr>
          <w:p w14:paraId="058958C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0.80</w:t>
            </w:r>
          </w:p>
        </w:tc>
        <w:tc>
          <w:tcPr>
            <w:tcW w:w="0" w:type="auto"/>
            <w:hideMark/>
          </w:tcPr>
          <w:p w14:paraId="01202EE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0.82</w:t>
            </w:r>
          </w:p>
        </w:tc>
        <w:tc>
          <w:tcPr>
            <w:tcW w:w="0" w:type="auto"/>
            <w:hideMark/>
          </w:tcPr>
          <w:p w14:paraId="4AB40E8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0.20</w:t>
            </w:r>
          </w:p>
        </w:tc>
        <w:tc>
          <w:tcPr>
            <w:tcW w:w="0" w:type="auto"/>
            <w:hideMark/>
          </w:tcPr>
          <w:p w14:paraId="789D931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0.13</w:t>
            </w:r>
          </w:p>
        </w:tc>
        <w:tc>
          <w:tcPr>
            <w:tcW w:w="0" w:type="auto"/>
            <w:hideMark/>
          </w:tcPr>
          <w:p w14:paraId="5020434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0.43</w:t>
            </w:r>
          </w:p>
        </w:tc>
      </w:tr>
      <w:tr w:rsidR="004F784C" w:rsidRPr="0087554B" w14:paraId="3D062D64" w14:textId="77777777" w:rsidTr="00603DEF">
        <w:trPr>
          <w:cantSplit/>
        </w:trPr>
        <w:tc>
          <w:tcPr>
            <w:tcW w:w="986" w:type="dxa"/>
            <w:hideMark/>
          </w:tcPr>
          <w:p w14:paraId="0130105B"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2010-11</w:t>
            </w:r>
          </w:p>
        </w:tc>
        <w:tc>
          <w:tcPr>
            <w:tcW w:w="1079" w:type="dxa"/>
            <w:hideMark/>
          </w:tcPr>
          <w:p w14:paraId="2BF02689"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3.09</w:t>
            </w:r>
          </w:p>
        </w:tc>
        <w:tc>
          <w:tcPr>
            <w:tcW w:w="1080" w:type="dxa"/>
            <w:hideMark/>
          </w:tcPr>
          <w:p w14:paraId="370332F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1.41</w:t>
            </w:r>
          </w:p>
        </w:tc>
        <w:tc>
          <w:tcPr>
            <w:tcW w:w="1335" w:type="dxa"/>
            <w:hideMark/>
          </w:tcPr>
          <w:p w14:paraId="10C6189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0.87</w:t>
            </w:r>
          </w:p>
        </w:tc>
        <w:tc>
          <w:tcPr>
            <w:tcW w:w="0" w:type="auto"/>
            <w:hideMark/>
          </w:tcPr>
          <w:p w14:paraId="1AAA0A29"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0.90</w:t>
            </w:r>
          </w:p>
        </w:tc>
        <w:tc>
          <w:tcPr>
            <w:tcW w:w="0" w:type="auto"/>
            <w:hideMark/>
          </w:tcPr>
          <w:p w14:paraId="08548E4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0.21</w:t>
            </w:r>
          </w:p>
        </w:tc>
        <w:tc>
          <w:tcPr>
            <w:tcW w:w="0" w:type="auto"/>
            <w:hideMark/>
          </w:tcPr>
          <w:p w14:paraId="2EE3FDC9"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0.12</w:t>
            </w:r>
          </w:p>
        </w:tc>
        <w:tc>
          <w:tcPr>
            <w:tcW w:w="0" w:type="auto"/>
            <w:hideMark/>
          </w:tcPr>
          <w:p w14:paraId="7B8BCB6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0.40</w:t>
            </w:r>
          </w:p>
        </w:tc>
      </w:tr>
      <w:tr w:rsidR="004F784C" w:rsidRPr="0087554B" w14:paraId="6F971FB1" w14:textId="77777777" w:rsidTr="00603DEF">
        <w:trPr>
          <w:cantSplit/>
        </w:trPr>
        <w:tc>
          <w:tcPr>
            <w:tcW w:w="986" w:type="dxa"/>
            <w:hideMark/>
          </w:tcPr>
          <w:p w14:paraId="3108378F"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2011-12</w:t>
            </w:r>
          </w:p>
        </w:tc>
        <w:tc>
          <w:tcPr>
            <w:tcW w:w="1079" w:type="dxa"/>
            <w:hideMark/>
          </w:tcPr>
          <w:p w14:paraId="234847C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3.48</w:t>
            </w:r>
          </w:p>
        </w:tc>
        <w:tc>
          <w:tcPr>
            <w:tcW w:w="1080" w:type="dxa"/>
            <w:hideMark/>
          </w:tcPr>
          <w:p w14:paraId="26F7A86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1.15</w:t>
            </w:r>
          </w:p>
        </w:tc>
        <w:tc>
          <w:tcPr>
            <w:tcW w:w="1335" w:type="dxa"/>
            <w:hideMark/>
          </w:tcPr>
          <w:p w14:paraId="0603D62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0.78</w:t>
            </w:r>
          </w:p>
        </w:tc>
        <w:tc>
          <w:tcPr>
            <w:tcW w:w="0" w:type="auto"/>
            <w:hideMark/>
          </w:tcPr>
          <w:p w14:paraId="5C3B572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0.88</w:t>
            </w:r>
          </w:p>
        </w:tc>
        <w:tc>
          <w:tcPr>
            <w:tcW w:w="0" w:type="auto"/>
            <w:hideMark/>
          </w:tcPr>
          <w:p w14:paraId="6B8A795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0.26</w:t>
            </w:r>
          </w:p>
        </w:tc>
        <w:tc>
          <w:tcPr>
            <w:tcW w:w="0" w:type="auto"/>
            <w:hideMark/>
          </w:tcPr>
          <w:p w14:paraId="3A5DA4B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0.09</w:t>
            </w:r>
          </w:p>
        </w:tc>
        <w:tc>
          <w:tcPr>
            <w:tcW w:w="0" w:type="auto"/>
            <w:hideMark/>
          </w:tcPr>
          <w:p w14:paraId="3585F86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0.36</w:t>
            </w:r>
          </w:p>
        </w:tc>
      </w:tr>
      <w:tr w:rsidR="004F784C" w:rsidRPr="0087554B" w14:paraId="18E9CAD8" w14:textId="77777777" w:rsidTr="00603DEF">
        <w:trPr>
          <w:cantSplit/>
        </w:trPr>
        <w:tc>
          <w:tcPr>
            <w:tcW w:w="986" w:type="dxa"/>
            <w:hideMark/>
          </w:tcPr>
          <w:p w14:paraId="13A7C3D0"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2012-13</w:t>
            </w:r>
          </w:p>
        </w:tc>
        <w:tc>
          <w:tcPr>
            <w:tcW w:w="1079" w:type="dxa"/>
            <w:hideMark/>
          </w:tcPr>
          <w:p w14:paraId="260FB57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3.58</w:t>
            </w:r>
          </w:p>
        </w:tc>
        <w:tc>
          <w:tcPr>
            <w:tcW w:w="1080" w:type="dxa"/>
            <w:hideMark/>
          </w:tcPr>
          <w:p w14:paraId="43B0705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1.09</w:t>
            </w:r>
          </w:p>
        </w:tc>
        <w:tc>
          <w:tcPr>
            <w:tcW w:w="1335" w:type="dxa"/>
            <w:hideMark/>
          </w:tcPr>
          <w:p w14:paraId="62D28D99"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0.73</w:t>
            </w:r>
          </w:p>
        </w:tc>
        <w:tc>
          <w:tcPr>
            <w:tcW w:w="0" w:type="auto"/>
            <w:hideMark/>
          </w:tcPr>
          <w:p w14:paraId="428F182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0.88</w:t>
            </w:r>
          </w:p>
        </w:tc>
        <w:tc>
          <w:tcPr>
            <w:tcW w:w="0" w:type="auto"/>
            <w:hideMark/>
          </w:tcPr>
          <w:p w14:paraId="069F37E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0.30</w:t>
            </w:r>
          </w:p>
        </w:tc>
        <w:tc>
          <w:tcPr>
            <w:tcW w:w="0" w:type="auto"/>
            <w:hideMark/>
          </w:tcPr>
          <w:p w14:paraId="2530BD0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0.09</w:t>
            </w:r>
          </w:p>
        </w:tc>
        <w:tc>
          <w:tcPr>
            <w:tcW w:w="0" w:type="auto"/>
            <w:hideMark/>
          </w:tcPr>
          <w:p w14:paraId="59CFEDF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0.34</w:t>
            </w:r>
          </w:p>
        </w:tc>
      </w:tr>
      <w:tr w:rsidR="004F784C" w:rsidRPr="0087554B" w14:paraId="056D38CE" w14:textId="77777777" w:rsidTr="00603DEF">
        <w:trPr>
          <w:cantSplit/>
        </w:trPr>
        <w:tc>
          <w:tcPr>
            <w:tcW w:w="986" w:type="dxa"/>
            <w:hideMark/>
          </w:tcPr>
          <w:p w14:paraId="5C178254"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2013-14</w:t>
            </w:r>
          </w:p>
        </w:tc>
        <w:tc>
          <w:tcPr>
            <w:tcW w:w="1079" w:type="dxa"/>
            <w:hideMark/>
          </w:tcPr>
          <w:p w14:paraId="0CEFC3C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4.49</w:t>
            </w:r>
          </w:p>
        </w:tc>
        <w:tc>
          <w:tcPr>
            <w:tcW w:w="1080" w:type="dxa"/>
            <w:hideMark/>
          </w:tcPr>
          <w:p w14:paraId="6535AAE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0.69</w:t>
            </w:r>
          </w:p>
        </w:tc>
        <w:tc>
          <w:tcPr>
            <w:tcW w:w="1335" w:type="dxa"/>
            <w:hideMark/>
          </w:tcPr>
          <w:p w14:paraId="56E9B64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0.50</w:t>
            </w:r>
          </w:p>
        </w:tc>
        <w:tc>
          <w:tcPr>
            <w:tcW w:w="0" w:type="auto"/>
            <w:hideMark/>
          </w:tcPr>
          <w:p w14:paraId="5F01DC1D"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0.67</w:t>
            </w:r>
          </w:p>
        </w:tc>
        <w:tc>
          <w:tcPr>
            <w:tcW w:w="0" w:type="auto"/>
            <w:hideMark/>
          </w:tcPr>
          <w:p w14:paraId="6566321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0.27</w:t>
            </w:r>
          </w:p>
        </w:tc>
        <w:tc>
          <w:tcPr>
            <w:tcW w:w="0" w:type="auto"/>
            <w:hideMark/>
          </w:tcPr>
          <w:p w14:paraId="1C9C1889"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0.06</w:t>
            </w:r>
          </w:p>
        </w:tc>
        <w:tc>
          <w:tcPr>
            <w:tcW w:w="0" w:type="auto"/>
            <w:hideMark/>
          </w:tcPr>
          <w:p w14:paraId="2B660F7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0.31</w:t>
            </w:r>
          </w:p>
        </w:tc>
      </w:tr>
      <w:tr w:rsidR="004F784C" w:rsidRPr="0087554B" w14:paraId="205EEFFE" w14:textId="77777777" w:rsidTr="00603DEF">
        <w:trPr>
          <w:cantSplit/>
        </w:trPr>
        <w:tc>
          <w:tcPr>
            <w:tcW w:w="986" w:type="dxa"/>
            <w:hideMark/>
          </w:tcPr>
          <w:p w14:paraId="4A28FD1E"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2014-15</w:t>
            </w:r>
          </w:p>
        </w:tc>
        <w:tc>
          <w:tcPr>
            <w:tcW w:w="1079" w:type="dxa"/>
            <w:hideMark/>
          </w:tcPr>
          <w:p w14:paraId="2183504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4.70</w:t>
            </w:r>
          </w:p>
        </w:tc>
        <w:tc>
          <w:tcPr>
            <w:tcW w:w="1080" w:type="dxa"/>
            <w:hideMark/>
          </w:tcPr>
          <w:p w14:paraId="45AB683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0.63</w:t>
            </w:r>
          </w:p>
        </w:tc>
        <w:tc>
          <w:tcPr>
            <w:tcW w:w="1335" w:type="dxa"/>
            <w:hideMark/>
          </w:tcPr>
          <w:p w14:paraId="5BCAF20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0.47</w:t>
            </w:r>
          </w:p>
        </w:tc>
        <w:tc>
          <w:tcPr>
            <w:tcW w:w="0" w:type="auto"/>
            <w:hideMark/>
          </w:tcPr>
          <w:p w14:paraId="13B4F3A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0.60</w:t>
            </w:r>
          </w:p>
        </w:tc>
        <w:tc>
          <w:tcPr>
            <w:tcW w:w="0" w:type="auto"/>
            <w:hideMark/>
          </w:tcPr>
          <w:p w14:paraId="1FF33A9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0.26</w:t>
            </w:r>
          </w:p>
        </w:tc>
        <w:tc>
          <w:tcPr>
            <w:tcW w:w="0" w:type="auto"/>
            <w:hideMark/>
          </w:tcPr>
          <w:p w14:paraId="511B50D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0.06</w:t>
            </w:r>
          </w:p>
        </w:tc>
        <w:tc>
          <w:tcPr>
            <w:tcW w:w="0" w:type="auto"/>
            <w:hideMark/>
          </w:tcPr>
          <w:p w14:paraId="1FF8A1AB"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0.28</w:t>
            </w:r>
          </w:p>
        </w:tc>
      </w:tr>
      <w:tr w:rsidR="004F784C" w:rsidRPr="0087554B" w14:paraId="7357B2BA" w14:textId="77777777" w:rsidTr="00603DEF">
        <w:trPr>
          <w:cantSplit/>
        </w:trPr>
        <w:tc>
          <w:tcPr>
            <w:tcW w:w="986" w:type="dxa"/>
            <w:hideMark/>
          </w:tcPr>
          <w:p w14:paraId="7529B910"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2015-16</w:t>
            </w:r>
          </w:p>
        </w:tc>
        <w:tc>
          <w:tcPr>
            <w:tcW w:w="1079" w:type="dxa"/>
            <w:hideMark/>
          </w:tcPr>
          <w:p w14:paraId="5CAD9A3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4.67</w:t>
            </w:r>
          </w:p>
        </w:tc>
        <w:tc>
          <w:tcPr>
            <w:tcW w:w="1080" w:type="dxa"/>
            <w:hideMark/>
          </w:tcPr>
          <w:p w14:paraId="0B011B8D"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0.65</w:t>
            </w:r>
          </w:p>
        </w:tc>
        <w:tc>
          <w:tcPr>
            <w:tcW w:w="1335" w:type="dxa"/>
            <w:hideMark/>
          </w:tcPr>
          <w:p w14:paraId="448AAA3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0.51</w:t>
            </w:r>
          </w:p>
        </w:tc>
        <w:tc>
          <w:tcPr>
            <w:tcW w:w="0" w:type="auto"/>
            <w:hideMark/>
          </w:tcPr>
          <w:p w14:paraId="16B0F07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0.59</w:t>
            </w:r>
          </w:p>
        </w:tc>
        <w:tc>
          <w:tcPr>
            <w:tcW w:w="0" w:type="auto"/>
            <w:hideMark/>
          </w:tcPr>
          <w:p w14:paraId="1D0537E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0.25</w:t>
            </w:r>
          </w:p>
        </w:tc>
        <w:tc>
          <w:tcPr>
            <w:tcW w:w="0" w:type="auto"/>
            <w:hideMark/>
          </w:tcPr>
          <w:p w14:paraId="6C3E87B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0.07</w:t>
            </w:r>
          </w:p>
        </w:tc>
        <w:tc>
          <w:tcPr>
            <w:tcW w:w="0" w:type="auto"/>
            <w:hideMark/>
          </w:tcPr>
          <w:p w14:paraId="35EA29F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0.27</w:t>
            </w:r>
          </w:p>
        </w:tc>
      </w:tr>
      <w:tr w:rsidR="004F784C" w:rsidRPr="0087554B" w14:paraId="66EB9305" w14:textId="77777777" w:rsidTr="00603DEF">
        <w:trPr>
          <w:cantSplit/>
        </w:trPr>
        <w:tc>
          <w:tcPr>
            <w:tcW w:w="986" w:type="dxa"/>
            <w:hideMark/>
          </w:tcPr>
          <w:p w14:paraId="067081E9"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2016-17</w:t>
            </w:r>
          </w:p>
        </w:tc>
        <w:tc>
          <w:tcPr>
            <w:tcW w:w="1079" w:type="dxa"/>
            <w:hideMark/>
          </w:tcPr>
          <w:p w14:paraId="2534705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4.45</w:t>
            </w:r>
          </w:p>
        </w:tc>
        <w:tc>
          <w:tcPr>
            <w:tcW w:w="1080" w:type="dxa"/>
            <w:hideMark/>
          </w:tcPr>
          <w:p w14:paraId="67C6388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0.81</w:t>
            </w:r>
          </w:p>
        </w:tc>
        <w:tc>
          <w:tcPr>
            <w:tcW w:w="1335" w:type="dxa"/>
            <w:hideMark/>
          </w:tcPr>
          <w:p w14:paraId="3A748AF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0.48</w:t>
            </w:r>
          </w:p>
        </w:tc>
        <w:tc>
          <w:tcPr>
            <w:tcW w:w="0" w:type="auto"/>
            <w:hideMark/>
          </w:tcPr>
          <w:p w14:paraId="2403BE0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0.66</w:t>
            </w:r>
          </w:p>
        </w:tc>
        <w:tc>
          <w:tcPr>
            <w:tcW w:w="0" w:type="auto"/>
            <w:hideMark/>
          </w:tcPr>
          <w:p w14:paraId="3E9D26D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0.28</w:t>
            </w:r>
          </w:p>
        </w:tc>
        <w:tc>
          <w:tcPr>
            <w:tcW w:w="0" w:type="auto"/>
            <w:hideMark/>
          </w:tcPr>
          <w:p w14:paraId="2DE9122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0.06</w:t>
            </w:r>
          </w:p>
        </w:tc>
        <w:tc>
          <w:tcPr>
            <w:tcW w:w="0" w:type="auto"/>
            <w:hideMark/>
          </w:tcPr>
          <w:p w14:paraId="616B280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0.27</w:t>
            </w:r>
          </w:p>
        </w:tc>
      </w:tr>
      <w:tr w:rsidR="004F784C" w:rsidRPr="0087554B" w14:paraId="07567F51" w14:textId="77777777" w:rsidTr="00603DEF">
        <w:trPr>
          <w:cantSplit/>
        </w:trPr>
        <w:tc>
          <w:tcPr>
            <w:tcW w:w="986" w:type="dxa"/>
            <w:hideMark/>
          </w:tcPr>
          <w:p w14:paraId="76741808"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2017-18</w:t>
            </w:r>
          </w:p>
        </w:tc>
        <w:tc>
          <w:tcPr>
            <w:tcW w:w="1079" w:type="dxa"/>
            <w:hideMark/>
          </w:tcPr>
          <w:p w14:paraId="5ECAD65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4.77</w:t>
            </w:r>
          </w:p>
        </w:tc>
        <w:tc>
          <w:tcPr>
            <w:tcW w:w="1080" w:type="dxa"/>
            <w:hideMark/>
          </w:tcPr>
          <w:p w14:paraId="268E26D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0.66</w:t>
            </w:r>
          </w:p>
        </w:tc>
        <w:tc>
          <w:tcPr>
            <w:tcW w:w="1335" w:type="dxa"/>
            <w:hideMark/>
          </w:tcPr>
          <w:p w14:paraId="3673FDE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0.41</w:t>
            </w:r>
          </w:p>
        </w:tc>
        <w:tc>
          <w:tcPr>
            <w:tcW w:w="0" w:type="auto"/>
            <w:hideMark/>
          </w:tcPr>
          <w:p w14:paraId="1ADFBEC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0.60</w:t>
            </w:r>
          </w:p>
        </w:tc>
        <w:tc>
          <w:tcPr>
            <w:tcW w:w="0" w:type="auto"/>
            <w:hideMark/>
          </w:tcPr>
          <w:p w14:paraId="14A61BC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0.26</w:t>
            </w:r>
          </w:p>
        </w:tc>
        <w:tc>
          <w:tcPr>
            <w:tcW w:w="0" w:type="auto"/>
            <w:hideMark/>
          </w:tcPr>
          <w:p w14:paraId="4383779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0.06</w:t>
            </w:r>
          </w:p>
        </w:tc>
        <w:tc>
          <w:tcPr>
            <w:tcW w:w="0" w:type="auto"/>
            <w:hideMark/>
          </w:tcPr>
          <w:p w14:paraId="258F590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0.24</w:t>
            </w:r>
          </w:p>
        </w:tc>
      </w:tr>
      <w:tr w:rsidR="004F784C" w:rsidRPr="0087554B" w14:paraId="5584D866" w14:textId="77777777" w:rsidTr="00603DEF">
        <w:trPr>
          <w:cantSplit/>
        </w:trPr>
        <w:tc>
          <w:tcPr>
            <w:tcW w:w="986" w:type="dxa"/>
            <w:hideMark/>
          </w:tcPr>
          <w:p w14:paraId="1C5EF4E2"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2018-19</w:t>
            </w:r>
          </w:p>
        </w:tc>
        <w:tc>
          <w:tcPr>
            <w:tcW w:w="1079" w:type="dxa"/>
            <w:hideMark/>
          </w:tcPr>
          <w:p w14:paraId="01E54D4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4.81</w:t>
            </w:r>
          </w:p>
        </w:tc>
        <w:tc>
          <w:tcPr>
            <w:tcW w:w="1080" w:type="dxa"/>
            <w:hideMark/>
          </w:tcPr>
          <w:p w14:paraId="54D1979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0.65</w:t>
            </w:r>
          </w:p>
        </w:tc>
        <w:tc>
          <w:tcPr>
            <w:tcW w:w="1335" w:type="dxa"/>
            <w:hideMark/>
          </w:tcPr>
          <w:p w14:paraId="07B0978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0.41</w:t>
            </w:r>
          </w:p>
        </w:tc>
        <w:tc>
          <w:tcPr>
            <w:tcW w:w="0" w:type="auto"/>
            <w:hideMark/>
          </w:tcPr>
          <w:p w14:paraId="1CB1FE9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0.58</w:t>
            </w:r>
          </w:p>
        </w:tc>
        <w:tc>
          <w:tcPr>
            <w:tcW w:w="0" w:type="auto"/>
            <w:hideMark/>
          </w:tcPr>
          <w:p w14:paraId="737FE96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0.26</w:t>
            </w:r>
          </w:p>
        </w:tc>
        <w:tc>
          <w:tcPr>
            <w:tcW w:w="0" w:type="auto"/>
            <w:hideMark/>
          </w:tcPr>
          <w:p w14:paraId="0D2AD1E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0.05</w:t>
            </w:r>
          </w:p>
        </w:tc>
        <w:tc>
          <w:tcPr>
            <w:tcW w:w="0" w:type="auto"/>
            <w:hideMark/>
          </w:tcPr>
          <w:p w14:paraId="3EC2E2D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0.24</w:t>
            </w:r>
          </w:p>
        </w:tc>
      </w:tr>
      <w:tr w:rsidR="004F784C" w:rsidRPr="0087554B" w14:paraId="0ECEE3C3" w14:textId="77777777" w:rsidTr="00603DEF">
        <w:trPr>
          <w:cantSplit/>
        </w:trPr>
        <w:tc>
          <w:tcPr>
            <w:tcW w:w="986" w:type="dxa"/>
            <w:hideMark/>
          </w:tcPr>
          <w:p w14:paraId="646EA4C8"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2019-20</w:t>
            </w:r>
          </w:p>
        </w:tc>
        <w:tc>
          <w:tcPr>
            <w:tcW w:w="1079" w:type="dxa"/>
            <w:hideMark/>
          </w:tcPr>
          <w:p w14:paraId="03B483C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5.12</w:t>
            </w:r>
          </w:p>
        </w:tc>
        <w:tc>
          <w:tcPr>
            <w:tcW w:w="1080" w:type="dxa"/>
            <w:hideMark/>
          </w:tcPr>
          <w:p w14:paraId="3F30D53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0.53</w:t>
            </w:r>
          </w:p>
        </w:tc>
        <w:tc>
          <w:tcPr>
            <w:tcW w:w="1335" w:type="dxa"/>
            <w:hideMark/>
          </w:tcPr>
          <w:p w14:paraId="4F7184D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0.33</w:t>
            </w:r>
          </w:p>
        </w:tc>
        <w:tc>
          <w:tcPr>
            <w:tcW w:w="0" w:type="auto"/>
            <w:hideMark/>
          </w:tcPr>
          <w:p w14:paraId="5101F35D"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0.50</w:t>
            </w:r>
          </w:p>
        </w:tc>
        <w:tc>
          <w:tcPr>
            <w:tcW w:w="0" w:type="auto"/>
            <w:hideMark/>
          </w:tcPr>
          <w:p w14:paraId="52E206A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0.26</w:t>
            </w:r>
          </w:p>
        </w:tc>
        <w:tc>
          <w:tcPr>
            <w:tcW w:w="0" w:type="auto"/>
            <w:hideMark/>
          </w:tcPr>
          <w:p w14:paraId="44264CF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0.04</w:t>
            </w:r>
          </w:p>
        </w:tc>
        <w:tc>
          <w:tcPr>
            <w:tcW w:w="0" w:type="auto"/>
            <w:hideMark/>
          </w:tcPr>
          <w:p w14:paraId="0C64B70B"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0.23</w:t>
            </w:r>
          </w:p>
        </w:tc>
      </w:tr>
      <w:tr w:rsidR="004F784C" w:rsidRPr="0087554B" w14:paraId="375DDCBE" w14:textId="77777777" w:rsidTr="00603DEF">
        <w:trPr>
          <w:cantSplit/>
        </w:trPr>
        <w:tc>
          <w:tcPr>
            <w:tcW w:w="986" w:type="dxa"/>
            <w:hideMark/>
          </w:tcPr>
          <w:p w14:paraId="32045D3F"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2020-21</w:t>
            </w:r>
          </w:p>
        </w:tc>
        <w:tc>
          <w:tcPr>
            <w:tcW w:w="1079" w:type="dxa"/>
            <w:hideMark/>
          </w:tcPr>
          <w:p w14:paraId="6C7A169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5.20</w:t>
            </w:r>
          </w:p>
        </w:tc>
        <w:tc>
          <w:tcPr>
            <w:tcW w:w="1080" w:type="dxa"/>
            <w:hideMark/>
          </w:tcPr>
          <w:p w14:paraId="22C0D35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0.46</w:t>
            </w:r>
          </w:p>
        </w:tc>
        <w:tc>
          <w:tcPr>
            <w:tcW w:w="1335" w:type="dxa"/>
            <w:hideMark/>
          </w:tcPr>
          <w:p w14:paraId="5A7813C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0.35</w:t>
            </w:r>
          </w:p>
        </w:tc>
        <w:tc>
          <w:tcPr>
            <w:tcW w:w="0" w:type="auto"/>
            <w:hideMark/>
          </w:tcPr>
          <w:p w14:paraId="4B9AD5F0"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0.49</w:t>
            </w:r>
          </w:p>
        </w:tc>
        <w:tc>
          <w:tcPr>
            <w:tcW w:w="0" w:type="auto"/>
            <w:hideMark/>
          </w:tcPr>
          <w:p w14:paraId="0E0E379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0.28</w:t>
            </w:r>
          </w:p>
        </w:tc>
        <w:tc>
          <w:tcPr>
            <w:tcW w:w="0" w:type="auto"/>
            <w:hideMark/>
          </w:tcPr>
          <w:p w14:paraId="5276BEA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0.03</w:t>
            </w:r>
          </w:p>
        </w:tc>
        <w:tc>
          <w:tcPr>
            <w:tcW w:w="0" w:type="auto"/>
            <w:hideMark/>
          </w:tcPr>
          <w:p w14:paraId="307C9B4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0.18</w:t>
            </w:r>
          </w:p>
        </w:tc>
      </w:tr>
      <w:tr w:rsidR="004F784C" w:rsidRPr="0087554B" w14:paraId="4F5C7046" w14:textId="77777777" w:rsidTr="00603DEF">
        <w:trPr>
          <w:cantSplit/>
        </w:trPr>
        <w:tc>
          <w:tcPr>
            <w:tcW w:w="986" w:type="dxa"/>
            <w:hideMark/>
          </w:tcPr>
          <w:p w14:paraId="26EA38B8"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lastRenderedPageBreak/>
              <w:t>2021-22</w:t>
            </w:r>
          </w:p>
        </w:tc>
        <w:tc>
          <w:tcPr>
            <w:tcW w:w="1079" w:type="dxa"/>
            <w:hideMark/>
          </w:tcPr>
          <w:p w14:paraId="028EC09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5.27</w:t>
            </w:r>
          </w:p>
        </w:tc>
        <w:tc>
          <w:tcPr>
            <w:tcW w:w="1080" w:type="dxa"/>
            <w:hideMark/>
          </w:tcPr>
          <w:p w14:paraId="397E265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0.42</w:t>
            </w:r>
          </w:p>
        </w:tc>
        <w:tc>
          <w:tcPr>
            <w:tcW w:w="1335" w:type="dxa"/>
            <w:hideMark/>
          </w:tcPr>
          <w:p w14:paraId="37926D4B"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0.30</w:t>
            </w:r>
          </w:p>
        </w:tc>
        <w:tc>
          <w:tcPr>
            <w:tcW w:w="0" w:type="auto"/>
            <w:hideMark/>
          </w:tcPr>
          <w:p w14:paraId="0777A6DF"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0.56</w:t>
            </w:r>
          </w:p>
        </w:tc>
        <w:tc>
          <w:tcPr>
            <w:tcW w:w="0" w:type="auto"/>
            <w:hideMark/>
          </w:tcPr>
          <w:p w14:paraId="14497D93"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0.23</w:t>
            </w:r>
          </w:p>
        </w:tc>
        <w:tc>
          <w:tcPr>
            <w:tcW w:w="0" w:type="auto"/>
            <w:hideMark/>
          </w:tcPr>
          <w:p w14:paraId="62632B9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0.04</w:t>
            </w:r>
          </w:p>
        </w:tc>
        <w:tc>
          <w:tcPr>
            <w:tcW w:w="0" w:type="auto"/>
            <w:hideMark/>
          </w:tcPr>
          <w:p w14:paraId="118C531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0.18</w:t>
            </w:r>
          </w:p>
        </w:tc>
      </w:tr>
      <w:tr w:rsidR="004F784C" w:rsidRPr="0087554B" w14:paraId="56D4FD6B" w14:textId="77777777" w:rsidTr="00603DEF">
        <w:trPr>
          <w:cantSplit/>
        </w:trPr>
        <w:tc>
          <w:tcPr>
            <w:tcW w:w="986" w:type="dxa"/>
            <w:hideMark/>
          </w:tcPr>
          <w:p w14:paraId="284BFBE2"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2022-23</w:t>
            </w:r>
          </w:p>
        </w:tc>
        <w:tc>
          <w:tcPr>
            <w:tcW w:w="1079" w:type="dxa"/>
            <w:hideMark/>
          </w:tcPr>
          <w:p w14:paraId="060AC766"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4.71</w:t>
            </w:r>
          </w:p>
        </w:tc>
        <w:tc>
          <w:tcPr>
            <w:tcW w:w="1080" w:type="dxa"/>
            <w:hideMark/>
          </w:tcPr>
          <w:p w14:paraId="669053AB"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0.62</w:t>
            </w:r>
          </w:p>
        </w:tc>
        <w:tc>
          <w:tcPr>
            <w:tcW w:w="1335" w:type="dxa"/>
            <w:hideMark/>
          </w:tcPr>
          <w:p w14:paraId="49E6A921"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0.35</w:t>
            </w:r>
          </w:p>
        </w:tc>
        <w:tc>
          <w:tcPr>
            <w:tcW w:w="0" w:type="auto"/>
            <w:hideMark/>
          </w:tcPr>
          <w:p w14:paraId="30F320F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0.73</w:t>
            </w:r>
          </w:p>
        </w:tc>
        <w:tc>
          <w:tcPr>
            <w:tcW w:w="0" w:type="auto"/>
            <w:hideMark/>
          </w:tcPr>
          <w:p w14:paraId="7A43A21A"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0.31</w:t>
            </w:r>
          </w:p>
        </w:tc>
        <w:tc>
          <w:tcPr>
            <w:tcW w:w="0" w:type="auto"/>
            <w:hideMark/>
          </w:tcPr>
          <w:p w14:paraId="0FAEB682"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0.06</w:t>
            </w:r>
          </w:p>
        </w:tc>
        <w:tc>
          <w:tcPr>
            <w:tcW w:w="0" w:type="auto"/>
            <w:hideMark/>
          </w:tcPr>
          <w:p w14:paraId="3C9C64D4"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0.22</w:t>
            </w:r>
          </w:p>
        </w:tc>
      </w:tr>
      <w:tr w:rsidR="004F784C" w:rsidRPr="0087554B" w14:paraId="6369D38C" w14:textId="77777777" w:rsidTr="00603DEF">
        <w:trPr>
          <w:cantSplit/>
        </w:trPr>
        <w:tc>
          <w:tcPr>
            <w:tcW w:w="986" w:type="dxa"/>
            <w:hideMark/>
          </w:tcPr>
          <w:p w14:paraId="440ADAFF" w14:textId="77777777" w:rsidR="004F784C" w:rsidRPr="0087554B" w:rsidRDefault="004F784C" w:rsidP="004F784C">
            <w:pPr>
              <w:rPr>
                <w:rFonts w:ascii="Arial" w:eastAsia="Calibri" w:hAnsi="Arial" w:cs="Arial"/>
                <w:sz w:val="20"/>
                <w:szCs w:val="20"/>
              </w:rPr>
            </w:pPr>
            <w:r w:rsidRPr="0087554B">
              <w:rPr>
                <w:rFonts w:ascii="Arial" w:eastAsia="Calibri" w:hAnsi="Arial" w:cs="Arial"/>
                <w:sz w:val="20"/>
                <w:szCs w:val="20"/>
              </w:rPr>
              <w:t>2023-24</w:t>
            </w:r>
          </w:p>
        </w:tc>
        <w:tc>
          <w:tcPr>
            <w:tcW w:w="1079" w:type="dxa"/>
            <w:hideMark/>
          </w:tcPr>
          <w:p w14:paraId="6F803C67"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4.64</w:t>
            </w:r>
          </w:p>
        </w:tc>
        <w:tc>
          <w:tcPr>
            <w:tcW w:w="1080" w:type="dxa"/>
            <w:hideMark/>
          </w:tcPr>
          <w:p w14:paraId="259A3E78"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0.66</w:t>
            </w:r>
          </w:p>
        </w:tc>
        <w:tc>
          <w:tcPr>
            <w:tcW w:w="1335" w:type="dxa"/>
            <w:hideMark/>
          </w:tcPr>
          <w:p w14:paraId="295B4F99"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0.38</w:t>
            </w:r>
          </w:p>
        </w:tc>
        <w:tc>
          <w:tcPr>
            <w:tcW w:w="0" w:type="auto"/>
            <w:hideMark/>
          </w:tcPr>
          <w:p w14:paraId="2F09576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0.74</w:t>
            </w:r>
          </w:p>
        </w:tc>
        <w:tc>
          <w:tcPr>
            <w:tcW w:w="0" w:type="auto"/>
            <w:hideMark/>
          </w:tcPr>
          <w:p w14:paraId="146BEF4E"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0.31</w:t>
            </w:r>
          </w:p>
        </w:tc>
        <w:tc>
          <w:tcPr>
            <w:tcW w:w="0" w:type="auto"/>
            <w:hideMark/>
          </w:tcPr>
          <w:p w14:paraId="0BC83CBC"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0.06</w:t>
            </w:r>
          </w:p>
        </w:tc>
        <w:tc>
          <w:tcPr>
            <w:tcW w:w="0" w:type="auto"/>
            <w:hideMark/>
          </w:tcPr>
          <w:p w14:paraId="1BCEB105" w14:textId="77777777" w:rsidR="004F784C" w:rsidRPr="0087554B" w:rsidRDefault="004F784C" w:rsidP="004F784C">
            <w:pPr>
              <w:jc w:val="center"/>
              <w:rPr>
                <w:rFonts w:ascii="Arial" w:eastAsia="Calibri" w:hAnsi="Arial" w:cs="Arial"/>
                <w:sz w:val="20"/>
                <w:szCs w:val="20"/>
              </w:rPr>
            </w:pPr>
            <w:r w:rsidRPr="0087554B">
              <w:rPr>
                <w:rFonts w:ascii="Arial" w:eastAsia="Calibri" w:hAnsi="Arial" w:cs="Arial"/>
                <w:sz w:val="20"/>
                <w:szCs w:val="20"/>
              </w:rPr>
              <w:t>0.21</w:t>
            </w:r>
          </w:p>
        </w:tc>
      </w:tr>
    </w:tbl>
    <w:p w14:paraId="6DE58DAE" w14:textId="77777777" w:rsidR="004F784C" w:rsidRPr="00603DEF" w:rsidRDefault="004F784C" w:rsidP="004F784C">
      <w:pPr>
        <w:jc w:val="both"/>
        <w:rPr>
          <w:rFonts w:ascii="Arial" w:eastAsia="Calibri" w:hAnsi="Arial" w:cs="Arial"/>
          <w:sz w:val="24"/>
          <w:szCs w:val="24"/>
          <w:lang w:bidi="gu-IN"/>
        </w:rPr>
      </w:pPr>
    </w:p>
    <w:p w14:paraId="1A7934AA" w14:textId="77777777" w:rsidR="004F784C" w:rsidRPr="0087554B" w:rsidRDefault="0087554B" w:rsidP="00D412B7">
      <w:pPr>
        <w:spacing w:after="120"/>
        <w:jc w:val="both"/>
        <w:rPr>
          <w:rFonts w:ascii="Arial" w:eastAsia="Calibri" w:hAnsi="Arial" w:cs="Arial"/>
          <w:b/>
          <w:bCs/>
          <w:lang w:bidi="gu-IN"/>
        </w:rPr>
      </w:pPr>
      <w:r>
        <w:rPr>
          <w:rFonts w:ascii="Arial" w:eastAsia="Calibri" w:hAnsi="Arial" w:cs="Arial"/>
          <w:b/>
          <w:bCs/>
          <w:lang w:bidi="gu-IN"/>
        </w:rPr>
        <w:t xml:space="preserve">3.2 </w:t>
      </w:r>
      <w:r w:rsidR="004F784C" w:rsidRPr="0087554B">
        <w:rPr>
          <w:rFonts w:ascii="Arial" w:eastAsia="Calibri" w:hAnsi="Arial" w:cs="Arial"/>
          <w:b/>
          <w:bCs/>
          <w:lang w:bidi="gu-IN"/>
        </w:rPr>
        <w:t>Market Retention and Direction of Trade</w:t>
      </w:r>
    </w:p>
    <w:p w14:paraId="36E61954" w14:textId="77777777" w:rsidR="004F784C" w:rsidRPr="0087554B" w:rsidRDefault="004F784C" w:rsidP="0087554B">
      <w:pPr>
        <w:jc w:val="both"/>
        <w:rPr>
          <w:rFonts w:ascii="Arial" w:eastAsia="Calibri" w:hAnsi="Arial" w:cs="Arial"/>
          <w:sz w:val="20"/>
          <w:szCs w:val="20"/>
          <w:lang w:bidi="gu-IN"/>
        </w:rPr>
      </w:pPr>
      <w:r w:rsidRPr="0087554B">
        <w:rPr>
          <w:rFonts w:ascii="Arial" w:eastAsia="Calibri" w:hAnsi="Arial" w:cs="Arial"/>
          <w:sz w:val="20"/>
          <w:szCs w:val="20"/>
          <w:lang w:bidi="gu-IN"/>
        </w:rPr>
        <w:t>The first-order Markov Chain analysis provides insights into the stability and directional shifts of India’s marine product exports across major destination markets. The transition probability matrix captures market loyalty through diagonal elements (retention probabilities) and inter-market shifts through off-diagonal elements (Kalaiarasi and Kavithambika, 2024). Results are discussed for two sub-periods (2004-05 to 2013-14 and 2014-15 to 2023-24) and for the overall period.</w:t>
      </w:r>
    </w:p>
    <w:p w14:paraId="34666E81" w14:textId="77777777" w:rsidR="00D412B7" w:rsidRDefault="00D412B7" w:rsidP="004F784C">
      <w:pPr>
        <w:jc w:val="both"/>
        <w:rPr>
          <w:rFonts w:ascii="Arial" w:eastAsia="Calibri" w:hAnsi="Arial" w:cs="Arial"/>
          <w:b/>
          <w:bCs/>
          <w:sz w:val="20"/>
          <w:szCs w:val="20"/>
          <w:lang w:bidi="gu-IN"/>
        </w:rPr>
      </w:pPr>
    </w:p>
    <w:p w14:paraId="58AA0D2C" w14:textId="77777777" w:rsidR="004F784C" w:rsidRPr="00DD1686" w:rsidRDefault="00DD1686" w:rsidP="00D412B7">
      <w:pPr>
        <w:spacing w:after="120"/>
        <w:jc w:val="both"/>
        <w:rPr>
          <w:rFonts w:ascii="Arial" w:eastAsia="Calibri" w:hAnsi="Arial" w:cs="Arial"/>
          <w:b/>
          <w:bCs/>
          <w:sz w:val="20"/>
          <w:szCs w:val="20"/>
          <w:lang w:bidi="gu-IN"/>
        </w:rPr>
      </w:pPr>
      <w:r>
        <w:rPr>
          <w:rFonts w:ascii="Arial" w:eastAsia="Calibri" w:hAnsi="Arial" w:cs="Arial"/>
          <w:b/>
          <w:bCs/>
          <w:sz w:val="20"/>
          <w:szCs w:val="20"/>
          <w:lang w:bidi="gu-IN"/>
        </w:rPr>
        <w:t xml:space="preserve">3.2.1 </w:t>
      </w:r>
      <w:r w:rsidRPr="00DD1686">
        <w:rPr>
          <w:rFonts w:ascii="Arial" w:eastAsia="Calibri" w:hAnsi="Arial" w:cs="Arial"/>
          <w:b/>
          <w:bCs/>
          <w:sz w:val="20"/>
          <w:szCs w:val="20"/>
          <w:lang w:bidi="gu-IN"/>
        </w:rPr>
        <w:t>Market s</w:t>
      </w:r>
      <w:r w:rsidR="004F784C" w:rsidRPr="00DD1686">
        <w:rPr>
          <w:rFonts w:ascii="Arial" w:eastAsia="Calibri" w:hAnsi="Arial" w:cs="Arial"/>
          <w:b/>
          <w:bCs/>
          <w:sz w:val="20"/>
          <w:szCs w:val="20"/>
          <w:lang w:bidi="gu-IN"/>
        </w:rPr>
        <w:t>tability</w:t>
      </w:r>
    </w:p>
    <w:p w14:paraId="0EC847AD"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 xml:space="preserve">During the first period (2004-05 to 2013-14), market stability was relatively strong. South East Asia (SEA) recorded the highest retention probability (0.8389), indicating a highly dependable market. China (0.6099), the Middle East (0.6172), the European Union (0.5538), Japan (0.5351), and the United States (0.5210) also showed moderate stability. Although no market achieved complete retention, the relatively high diagonal values suggest sustained trade relationships and steady demand conditions (Das and Ghosh, 2021; Ramadhan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2024).</w:t>
      </w:r>
    </w:p>
    <w:p w14:paraId="34726089" w14:textId="77777777" w:rsidR="004F784C" w:rsidRPr="0087554B" w:rsidRDefault="004F784C" w:rsidP="00D412B7">
      <w:pPr>
        <w:spacing w:after="120"/>
        <w:jc w:val="both"/>
        <w:rPr>
          <w:rFonts w:ascii="Arial" w:eastAsia="Calibri" w:hAnsi="Arial" w:cs="Arial"/>
          <w:sz w:val="20"/>
          <w:szCs w:val="20"/>
          <w:lang w:bidi="gu-IN"/>
        </w:rPr>
      </w:pPr>
      <w:r w:rsidRPr="0087554B">
        <w:rPr>
          <w:rFonts w:ascii="Arial" w:eastAsia="Calibri" w:hAnsi="Arial" w:cs="Arial"/>
          <w:sz w:val="20"/>
          <w:szCs w:val="20"/>
          <w:lang w:bidi="gu-IN"/>
        </w:rPr>
        <w:t>In the second period (2014-15 to 2023-24), stability patterns changed. Japan recorded zero retention, with its export share shifting entirely to the European Union (1.0000), indicating structural realignment. The USA (0.5864) and China (0.5413) maintained moderate retention, while SEA recorded 0.4872. In contrast, the EU’s retention probability declined sharply to 0.0823, with a dominant shift toward SEA (0.8817). These results reflect a gradual reorientation of India’s marine exports toward Asian markets amid evolving global demand patterns.</w:t>
      </w:r>
    </w:p>
    <w:p w14:paraId="22EE3373" w14:textId="77777777" w:rsidR="004F784C" w:rsidRPr="0087554B" w:rsidRDefault="004F784C" w:rsidP="00DD1686">
      <w:pPr>
        <w:jc w:val="both"/>
        <w:rPr>
          <w:rFonts w:ascii="Arial" w:eastAsia="Calibri" w:hAnsi="Arial" w:cs="Arial"/>
          <w:sz w:val="20"/>
          <w:szCs w:val="20"/>
          <w:lang w:bidi="gu-IN"/>
        </w:rPr>
      </w:pPr>
      <w:r w:rsidRPr="0087554B">
        <w:rPr>
          <w:rFonts w:ascii="Arial" w:eastAsia="Calibri" w:hAnsi="Arial" w:cs="Arial"/>
          <w:sz w:val="20"/>
          <w:szCs w:val="20"/>
          <w:lang w:bidi="gu-IN"/>
        </w:rPr>
        <w:t xml:space="preserve">Over the entire study period, retention probabilities were more evenly distributed (0.0466-0.3306). SEA recorded the highest long-run retention (0.3306), followed by China (0.1221), while other markets showed relatively lower and similar values. This suggests reduced long-term dependence on any single destination and increasing diversification of export markets (Thorat </w:t>
      </w:r>
      <w:r w:rsidRPr="0087554B">
        <w:rPr>
          <w:rFonts w:ascii="Arial" w:eastAsia="Calibri" w:hAnsi="Arial" w:cs="Arial"/>
          <w:i/>
          <w:iCs/>
          <w:sz w:val="20"/>
          <w:szCs w:val="20"/>
          <w:lang w:bidi="gu-IN"/>
        </w:rPr>
        <w:t>et al</w:t>
      </w:r>
      <w:r w:rsidRPr="0087554B">
        <w:rPr>
          <w:rFonts w:ascii="Arial" w:eastAsia="Calibri" w:hAnsi="Arial" w:cs="Arial"/>
          <w:sz w:val="20"/>
          <w:szCs w:val="20"/>
          <w:lang w:bidi="gu-IN"/>
        </w:rPr>
        <w:t>., 2020; Kalaiarasi and Kavithambika, 2024).</w:t>
      </w:r>
    </w:p>
    <w:p w14:paraId="273887CA" w14:textId="77777777" w:rsidR="00DD1686" w:rsidRDefault="00DD1686" w:rsidP="004F784C">
      <w:pPr>
        <w:jc w:val="both"/>
        <w:rPr>
          <w:rFonts w:ascii="Arial" w:eastAsia="Calibri" w:hAnsi="Arial" w:cs="Arial"/>
          <w:b/>
          <w:bCs/>
          <w:sz w:val="20"/>
          <w:szCs w:val="20"/>
          <w:lang w:bidi="gu-IN"/>
        </w:rPr>
      </w:pPr>
    </w:p>
    <w:p w14:paraId="3EBE0F06" w14:textId="77777777" w:rsidR="004F784C" w:rsidRPr="00DD1686" w:rsidRDefault="00DD1686" w:rsidP="00D412B7">
      <w:pPr>
        <w:spacing w:after="120"/>
        <w:jc w:val="both"/>
        <w:rPr>
          <w:rFonts w:ascii="Arial" w:eastAsia="Calibri" w:hAnsi="Arial" w:cs="Arial"/>
          <w:b/>
          <w:bCs/>
          <w:sz w:val="20"/>
          <w:szCs w:val="20"/>
          <w:lang w:bidi="gu-IN"/>
        </w:rPr>
      </w:pPr>
      <w:r>
        <w:rPr>
          <w:rFonts w:ascii="Arial" w:eastAsia="Calibri" w:hAnsi="Arial" w:cs="Arial"/>
          <w:b/>
          <w:bCs/>
          <w:sz w:val="20"/>
          <w:szCs w:val="20"/>
          <w:lang w:bidi="gu-IN"/>
        </w:rPr>
        <w:t xml:space="preserve">3.2.2 </w:t>
      </w:r>
      <w:r w:rsidR="004F784C" w:rsidRPr="00DD1686">
        <w:rPr>
          <w:rFonts w:ascii="Arial" w:eastAsia="Calibri" w:hAnsi="Arial" w:cs="Arial"/>
          <w:b/>
          <w:bCs/>
          <w:sz w:val="20"/>
          <w:szCs w:val="20"/>
          <w:lang w:bidi="gu-IN"/>
        </w:rPr>
        <w:t>Market Transition Dynamics</w:t>
      </w:r>
    </w:p>
    <w:p w14:paraId="1C532D54" w14:textId="77777777" w:rsidR="004F784C" w:rsidRPr="00DD1686" w:rsidRDefault="004F784C" w:rsidP="00D412B7">
      <w:pPr>
        <w:spacing w:after="120"/>
        <w:jc w:val="both"/>
        <w:rPr>
          <w:rFonts w:ascii="Arial" w:eastAsia="Calibri" w:hAnsi="Arial" w:cs="Arial"/>
          <w:sz w:val="20"/>
          <w:szCs w:val="20"/>
          <w:lang w:bidi="gu-IN"/>
        </w:rPr>
      </w:pPr>
      <w:r w:rsidRPr="00DD1686">
        <w:rPr>
          <w:rFonts w:ascii="Arial" w:eastAsia="Calibri" w:hAnsi="Arial" w:cs="Arial"/>
          <w:sz w:val="20"/>
          <w:szCs w:val="20"/>
          <w:lang w:bidi="gu-IN"/>
        </w:rPr>
        <w:t xml:space="preserve">The off-diagonal elements reveal significant inter-market movements. In the first period, exports from the USA showed a high probability of shifting to the EU (0.4487), indicating substitutability between these developed markets. The EU redirected notable shares toward China (0.2716) and the Middle East (0.0750), while China exhibited outward transitions to Japan (0.1525) and the EU (0.2168). The other markets category shifted substantially toward SEA (0.5499), reflecting consolidation in stable regional markets (Thorat </w:t>
      </w:r>
      <w:r w:rsidRPr="00DD1686">
        <w:rPr>
          <w:rFonts w:ascii="Arial" w:eastAsia="Calibri" w:hAnsi="Arial" w:cs="Arial"/>
          <w:i/>
          <w:iCs/>
          <w:sz w:val="20"/>
          <w:szCs w:val="20"/>
          <w:lang w:bidi="gu-IN"/>
        </w:rPr>
        <w:t>et al</w:t>
      </w:r>
      <w:r w:rsidRPr="00DD1686">
        <w:rPr>
          <w:rFonts w:ascii="Arial" w:eastAsia="Calibri" w:hAnsi="Arial" w:cs="Arial"/>
          <w:sz w:val="20"/>
          <w:szCs w:val="20"/>
          <w:lang w:bidi="gu-IN"/>
        </w:rPr>
        <w:t>., 2020; FAO, 2025).</w:t>
      </w:r>
    </w:p>
    <w:p w14:paraId="3DFEA251" w14:textId="77777777" w:rsidR="004F784C" w:rsidRPr="00DD1686" w:rsidRDefault="004F784C" w:rsidP="00D412B7">
      <w:pPr>
        <w:spacing w:after="120"/>
        <w:jc w:val="both"/>
        <w:rPr>
          <w:rFonts w:ascii="Arial" w:eastAsia="Calibri" w:hAnsi="Arial" w:cs="Arial"/>
          <w:sz w:val="20"/>
          <w:szCs w:val="20"/>
          <w:lang w:bidi="gu-IN"/>
        </w:rPr>
      </w:pPr>
      <w:r w:rsidRPr="00DD1686">
        <w:rPr>
          <w:rFonts w:ascii="Arial" w:eastAsia="Calibri" w:hAnsi="Arial" w:cs="Arial"/>
          <w:sz w:val="20"/>
          <w:szCs w:val="20"/>
          <w:lang w:bidi="gu-IN"/>
        </w:rPr>
        <w:t>In the second period, transitions intensified. The USA diversified toward China (0.2793) and Japan (0.0884), while China redistributed exports toward the USA (0.2313) and other markets (0.2028). SEA displayed multidirectional linkages, particularly with the USA (0.1978) and China (0.1123), underscoring its growing integration in global seafood trade. The EU’s dominant transition toward SEA (0.8817) further emphasized Asia’s rising importance.</w:t>
      </w:r>
    </w:p>
    <w:p w14:paraId="6CA5DD1B" w14:textId="77777777" w:rsidR="004F784C" w:rsidRPr="00DD1686" w:rsidRDefault="004F784C" w:rsidP="00DD1686">
      <w:pPr>
        <w:jc w:val="both"/>
        <w:rPr>
          <w:rFonts w:ascii="Arial" w:eastAsia="Calibri" w:hAnsi="Arial" w:cs="Arial"/>
          <w:sz w:val="20"/>
          <w:szCs w:val="20"/>
          <w:lang w:bidi="gu-IN"/>
        </w:rPr>
      </w:pPr>
      <w:r w:rsidRPr="00DD1686">
        <w:rPr>
          <w:rFonts w:ascii="Arial" w:eastAsia="Calibri" w:hAnsi="Arial" w:cs="Arial"/>
          <w:sz w:val="20"/>
          <w:szCs w:val="20"/>
          <w:lang w:bidi="gu-IN"/>
        </w:rPr>
        <w:t>Across the full period, movements became more balanced, with consistent reallocations toward SEA (0.2227-0.3306 across rows). This pattern indicates a diversified export structure where trade flows are continuously adjusted rather than concentrated in a single dominant market.</w:t>
      </w:r>
    </w:p>
    <w:p w14:paraId="3220534A" w14:textId="77777777" w:rsidR="00DD1686" w:rsidRDefault="00DD1686" w:rsidP="004F784C">
      <w:pPr>
        <w:jc w:val="both"/>
        <w:rPr>
          <w:rFonts w:ascii="Arial" w:eastAsia="Calibri" w:hAnsi="Arial" w:cs="Arial"/>
          <w:b/>
          <w:bCs/>
          <w:sz w:val="20"/>
          <w:szCs w:val="20"/>
          <w:lang w:bidi="gu-IN"/>
        </w:rPr>
      </w:pPr>
    </w:p>
    <w:p w14:paraId="1D2808BD" w14:textId="77777777" w:rsidR="004F784C" w:rsidRPr="00C376DE" w:rsidRDefault="00DD1686" w:rsidP="00D412B7">
      <w:pPr>
        <w:spacing w:after="120"/>
        <w:jc w:val="both"/>
        <w:rPr>
          <w:rFonts w:ascii="Arial" w:eastAsia="Calibri" w:hAnsi="Arial" w:cs="Arial"/>
          <w:b/>
          <w:bCs/>
          <w:lang w:bidi="gu-IN"/>
        </w:rPr>
      </w:pPr>
      <w:r w:rsidRPr="00C376DE">
        <w:rPr>
          <w:rFonts w:ascii="Arial" w:eastAsia="Calibri" w:hAnsi="Arial" w:cs="Arial"/>
          <w:b/>
          <w:bCs/>
          <w:lang w:bidi="gu-IN"/>
        </w:rPr>
        <w:t xml:space="preserve">3.3 </w:t>
      </w:r>
      <w:r w:rsidR="004F784C" w:rsidRPr="00C376DE">
        <w:rPr>
          <w:rFonts w:ascii="Arial" w:eastAsia="Calibri" w:hAnsi="Arial" w:cs="Arial"/>
          <w:b/>
          <w:bCs/>
          <w:lang w:bidi="gu-IN"/>
        </w:rPr>
        <w:t>Strategic Implications</w:t>
      </w:r>
    </w:p>
    <w:p w14:paraId="23E3FFBF" w14:textId="77777777" w:rsidR="004F784C" w:rsidRPr="00DD1686" w:rsidRDefault="004F784C" w:rsidP="00D412B7">
      <w:pPr>
        <w:spacing w:after="120"/>
        <w:jc w:val="both"/>
        <w:rPr>
          <w:rFonts w:ascii="Arial" w:eastAsia="Calibri" w:hAnsi="Arial" w:cs="Arial"/>
          <w:sz w:val="20"/>
          <w:szCs w:val="20"/>
          <w:lang w:bidi="gu-IN"/>
        </w:rPr>
      </w:pPr>
      <w:r w:rsidRPr="00DD1686">
        <w:rPr>
          <w:rFonts w:ascii="Arial" w:eastAsia="Calibri" w:hAnsi="Arial" w:cs="Arial"/>
          <w:sz w:val="20"/>
          <w:szCs w:val="20"/>
          <w:lang w:bidi="gu-IN"/>
        </w:rPr>
        <w:lastRenderedPageBreak/>
        <w:t>The Markov results highlight increasing regional integration, particularly within Asia. SEA emerged as a central and relatively stable hub, while China demonstrated strong linkages with both Asian and developed markets. The redirection of exports from the EU and other markets toward SEA underscores the growing prominence of Asian destinations in global marine trade (Rao and Menon, 2021).</w:t>
      </w:r>
    </w:p>
    <w:p w14:paraId="7CD707FE" w14:textId="77777777" w:rsidR="004F784C" w:rsidRPr="00DD1686" w:rsidRDefault="004F784C" w:rsidP="00DD1686">
      <w:pPr>
        <w:jc w:val="both"/>
        <w:rPr>
          <w:rFonts w:ascii="Arial" w:eastAsia="Calibri" w:hAnsi="Arial" w:cs="Arial"/>
          <w:sz w:val="20"/>
          <w:szCs w:val="20"/>
          <w:lang w:bidi="gu-IN"/>
        </w:rPr>
      </w:pPr>
      <w:r w:rsidRPr="00DD1686">
        <w:rPr>
          <w:rFonts w:ascii="Arial" w:eastAsia="Calibri" w:hAnsi="Arial" w:cs="Arial"/>
          <w:sz w:val="20"/>
          <w:szCs w:val="20"/>
          <w:lang w:bidi="gu-IN"/>
        </w:rPr>
        <w:t xml:space="preserve">Overall, the findings suggest that India’s marine exports are characterized by both stable anchor markets and dynamic reallocation across destinations. While continuous market adjustments reduce vulnerability to demand shocks and policy disruptions, sustaining competitiveness will require focused market development, improved quality compliance, stronger logistics, and proactive trade engagement. Long-term resilience will depend on maintaining stable relationships while strategically managing transitions in an evolving global trade environment (Thorat </w:t>
      </w:r>
      <w:r w:rsidRPr="00DD1686">
        <w:rPr>
          <w:rFonts w:ascii="Arial" w:eastAsia="Calibri" w:hAnsi="Arial" w:cs="Arial"/>
          <w:i/>
          <w:iCs/>
          <w:sz w:val="20"/>
          <w:szCs w:val="20"/>
          <w:lang w:bidi="gu-IN"/>
        </w:rPr>
        <w:t>et al</w:t>
      </w:r>
      <w:r w:rsidRPr="00DD1686">
        <w:rPr>
          <w:rFonts w:ascii="Arial" w:eastAsia="Calibri" w:hAnsi="Arial" w:cs="Arial"/>
          <w:sz w:val="20"/>
          <w:szCs w:val="20"/>
          <w:lang w:bidi="gu-IN"/>
        </w:rPr>
        <w:t>., 2020; FAO, 2025).</w:t>
      </w:r>
    </w:p>
    <w:p w14:paraId="605A91A9" w14:textId="77777777" w:rsidR="004F784C" w:rsidRPr="00DD1686" w:rsidRDefault="004F784C" w:rsidP="004F784C">
      <w:pPr>
        <w:ind w:left="1080" w:hanging="1080"/>
        <w:jc w:val="both"/>
        <w:rPr>
          <w:rFonts w:ascii="Arial" w:eastAsia="Calibri" w:hAnsi="Arial" w:cs="Arial"/>
          <w:b/>
          <w:bCs/>
          <w:sz w:val="20"/>
          <w:szCs w:val="20"/>
        </w:rPr>
      </w:pPr>
    </w:p>
    <w:p w14:paraId="0D92D9F0" w14:textId="77777777" w:rsidR="004F784C" w:rsidRPr="00DD1686" w:rsidRDefault="00DD1686" w:rsidP="00D412B7">
      <w:pPr>
        <w:spacing w:after="120"/>
        <w:ind w:left="907" w:hanging="907"/>
        <w:jc w:val="both"/>
        <w:rPr>
          <w:rFonts w:ascii="Arial" w:eastAsia="Calibri" w:hAnsi="Arial" w:cs="Arial"/>
          <w:b/>
          <w:bCs/>
          <w:sz w:val="20"/>
          <w:szCs w:val="20"/>
        </w:rPr>
      </w:pPr>
      <w:r>
        <w:rPr>
          <w:rFonts w:ascii="Arial" w:eastAsia="Calibri" w:hAnsi="Arial" w:cs="Arial"/>
          <w:b/>
          <w:bCs/>
          <w:sz w:val="20"/>
          <w:szCs w:val="20"/>
        </w:rPr>
        <w:t>Table 2.</w:t>
      </w:r>
      <w:r w:rsidR="004F784C" w:rsidRPr="00DD1686">
        <w:rPr>
          <w:rFonts w:ascii="Arial" w:eastAsia="Calibri" w:hAnsi="Arial" w:cs="Arial"/>
          <w:b/>
          <w:bCs/>
          <w:sz w:val="20"/>
          <w:szCs w:val="20"/>
        </w:rPr>
        <w:t xml:space="preserve"> </w:t>
      </w:r>
      <w:r>
        <w:rPr>
          <w:rFonts w:ascii="Arial" w:eastAsia="Calibri" w:hAnsi="Arial" w:cs="Arial"/>
          <w:b/>
          <w:bCs/>
          <w:sz w:val="20"/>
          <w:szCs w:val="20"/>
        </w:rPr>
        <w:tab/>
      </w:r>
      <w:r w:rsidR="004F784C" w:rsidRPr="00DD1686">
        <w:rPr>
          <w:rFonts w:ascii="Arial" w:eastAsia="Calibri" w:hAnsi="Arial" w:cs="Arial"/>
          <w:b/>
          <w:bCs/>
          <w:sz w:val="20"/>
          <w:szCs w:val="20"/>
        </w:rPr>
        <w:t>Transition probability matrices for selected export markets (2004-05 to 2023-24)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17"/>
        <w:gridCol w:w="892"/>
        <w:gridCol w:w="892"/>
        <w:gridCol w:w="893"/>
        <w:gridCol w:w="892"/>
        <w:gridCol w:w="893"/>
        <w:gridCol w:w="892"/>
        <w:gridCol w:w="893"/>
      </w:tblGrid>
      <w:tr w:rsidR="004F784C" w:rsidRPr="00DD1686" w14:paraId="2EEA8A6C" w14:textId="77777777" w:rsidTr="00603DEF">
        <w:tc>
          <w:tcPr>
            <w:tcW w:w="5000" w:type="pct"/>
            <w:gridSpan w:val="8"/>
          </w:tcPr>
          <w:p w14:paraId="55BF81F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Quantity (2004-05 to 2013-14)</w:t>
            </w:r>
          </w:p>
        </w:tc>
      </w:tr>
      <w:tr w:rsidR="004F784C" w:rsidRPr="00DD1686" w14:paraId="5B998CE8" w14:textId="77777777" w:rsidTr="00603DEF">
        <w:tc>
          <w:tcPr>
            <w:tcW w:w="1028" w:type="pct"/>
            <w:hideMark/>
          </w:tcPr>
          <w:p w14:paraId="76CD1DF5"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From \ To</w:t>
            </w:r>
          </w:p>
        </w:tc>
        <w:tc>
          <w:tcPr>
            <w:tcW w:w="567" w:type="pct"/>
            <w:hideMark/>
          </w:tcPr>
          <w:p w14:paraId="36034035"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Japan</w:t>
            </w:r>
          </w:p>
        </w:tc>
        <w:tc>
          <w:tcPr>
            <w:tcW w:w="567" w:type="pct"/>
            <w:hideMark/>
          </w:tcPr>
          <w:p w14:paraId="35C30300"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USA</w:t>
            </w:r>
          </w:p>
        </w:tc>
        <w:tc>
          <w:tcPr>
            <w:tcW w:w="568" w:type="pct"/>
            <w:hideMark/>
          </w:tcPr>
          <w:p w14:paraId="1556F75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EU</w:t>
            </w:r>
          </w:p>
        </w:tc>
        <w:tc>
          <w:tcPr>
            <w:tcW w:w="567" w:type="pct"/>
            <w:hideMark/>
          </w:tcPr>
          <w:p w14:paraId="445C4E87"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China</w:t>
            </w:r>
          </w:p>
        </w:tc>
        <w:tc>
          <w:tcPr>
            <w:tcW w:w="568" w:type="pct"/>
            <w:hideMark/>
          </w:tcPr>
          <w:p w14:paraId="243D5D2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SEA</w:t>
            </w:r>
          </w:p>
        </w:tc>
        <w:tc>
          <w:tcPr>
            <w:tcW w:w="567" w:type="pct"/>
            <w:hideMark/>
          </w:tcPr>
          <w:p w14:paraId="612C2970"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ME</w:t>
            </w:r>
          </w:p>
        </w:tc>
        <w:tc>
          <w:tcPr>
            <w:tcW w:w="568" w:type="pct"/>
            <w:hideMark/>
          </w:tcPr>
          <w:p w14:paraId="763EA053"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Others</w:t>
            </w:r>
          </w:p>
        </w:tc>
      </w:tr>
      <w:tr w:rsidR="004F784C" w:rsidRPr="00DD1686" w14:paraId="77D7012F" w14:textId="77777777" w:rsidTr="00603DEF">
        <w:tc>
          <w:tcPr>
            <w:tcW w:w="1028" w:type="pct"/>
            <w:hideMark/>
          </w:tcPr>
          <w:p w14:paraId="2CBF8AC1"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Japan</w:t>
            </w:r>
          </w:p>
        </w:tc>
        <w:tc>
          <w:tcPr>
            <w:tcW w:w="567" w:type="pct"/>
            <w:vAlign w:val="center"/>
            <w:hideMark/>
          </w:tcPr>
          <w:p w14:paraId="4B3AEC39"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0.5351</w:t>
            </w:r>
          </w:p>
        </w:tc>
        <w:tc>
          <w:tcPr>
            <w:tcW w:w="567" w:type="pct"/>
            <w:vAlign w:val="center"/>
            <w:hideMark/>
          </w:tcPr>
          <w:p w14:paraId="2E8525F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450D6338"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0.1477</w:t>
            </w:r>
          </w:p>
        </w:tc>
        <w:tc>
          <w:tcPr>
            <w:tcW w:w="567" w:type="pct"/>
            <w:vAlign w:val="center"/>
            <w:hideMark/>
          </w:tcPr>
          <w:p w14:paraId="2DA43EED"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110ECCF0"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7FD8C78F"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3A6CB7E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0.3172</w:t>
            </w:r>
          </w:p>
        </w:tc>
      </w:tr>
      <w:tr w:rsidR="004F784C" w:rsidRPr="00DD1686" w14:paraId="2B5DD057" w14:textId="77777777" w:rsidTr="00603DEF">
        <w:tc>
          <w:tcPr>
            <w:tcW w:w="1028" w:type="pct"/>
            <w:hideMark/>
          </w:tcPr>
          <w:p w14:paraId="0E556F19"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USA</w:t>
            </w:r>
          </w:p>
        </w:tc>
        <w:tc>
          <w:tcPr>
            <w:tcW w:w="567" w:type="pct"/>
            <w:vAlign w:val="center"/>
            <w:hideMark/>
          </w:tcPr>
          <w:p w14:paraId="7E93D1D8"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0.0303</w:t>
            </w:r>
          </w:p>
        </w:tc>
        <w:tc>
          <w:tcPr>
            <w:tcW w:w="567" w:type="pct"/>
            <w:vAlign w:val="center"/>
            <w:hideMark/>
          </w:tcPr>
          <w:p w14:paraId="07E63B6A"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0.5210</w:t>
            </w:r>
          </w:p>
        </w:tc>
        <w:tc>
          <w:tcPr>
            <w:tcW w:w="568" w:type="pct"/>
            <w:vAlign w:val="center"/>
            <w:hideMark/>
          </w:tcPr>
          <w:p w14:paraId="2682135F"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0.4487</w:t>
            </w:r>
          </w:p>
        </w:tc>
        <w:tc>
          <w:tcPr>
            <w:tcW w:w="567" w:type="pct"/>
            <w:vAlign w:val="center"/>
            <w:hideMark/>
          </w:tcPr>
          <w:p w14:paraId="672DF063"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686BEDBD"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0F8C5B7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169D4B48"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0028B0D1" w14:textId="77777777" w:rsidTr="00603DEF">
        <w:tc>
          <w:tcPr>
            <w:tcW w:w="1028" w:type="pct"/>
            <w:hideMark/>
          </w:tcPr>
          <w:p w14:paraId="490E6283"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EU</w:t>
            </w:r>
          </w:p>
        </w:tc>
        <w:tc>
          <w:tcPr>
            <w:tcW w:w="567" w:type="pct"/>
            <w:vAlign w:val="center"/>
            <w:hideMark/>
          </w:tcPr>
          <w:p w14:paraId="47E60B50"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5F4CE017"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233DBF01"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0.5538</w:t>
            </w:r>
          </w:p>
        </w:tc>
        <w:tc>
          <w:tcPr>
            <w:tcW w:w="567" w:type="pct"/>
            <w:vAlign w:val="center"/>
            <w:hideMark/>
          </w:tcPr>
          <w:p w14:paraId="12D54B6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0.2716</w:t>
            </w:r>
          </w:p>
        </w:tc>
        <w:tc>
          <w:tcPr>
            <w:tcW w:w="568" w:type="pct"/>
            <w:vAlign w:val="center"/>
            <w:hideMark/>
          </w:tcPr>
          <w:p w14:paraId="1BB97CB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35F14B79"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0.0750</w:t>
            </w:r>
          </w:p>
        </w:tc>
        <w:tc>
          <w:tcPr>
            <w:tcW w:w="568" w:type="pct"/>
            <w:vAlign w:val="center"/>
            <w:hideMark/>
          </w:tcPr>
          <w:p w14:paraId="04E92B2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0.0996</w:t>
            </w:r>
          </w:p>
        </w:tc>
      </w:tr>
      <w:tr w:rsidR="004F784C" w:rsidRPr="00DD1686" w14:paraId="42DAB0FE" w14:textId="77777777" w:rsidTr="00603DEF">
        <w:tc>
          <w:tcPr>
            <w:tcW w:w="1028" w:type="pct"/>
            <w:hideMark/>
          </w:tcPr>
          <w:p w14:paraId="3413DFE6"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China</w:t>
            </w:r>
          </w:p>
        </w:tc>
        <w:tc>
          <w:tcPr>
            <w:tcW w:w="567" w:type="pct"/>
            <w:vAlign w:val="center"/>
            <w:hideMark/>
          </w:tcPr>
          <w:p w14:paraId="7981473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0.1525</w:t>
            </w:r>
          </w:p>
        </w:tc>
        <w:tc>
          <w:tcPr>
            <w:tcW w:w="567" w:type="pct"/>
            <w:vAlign w:val="center"/>
            <w:hideMark/>
          </w:tcPr>
          <w:p w14:paraId="6F959D82"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0.0208</w:t>
            </w:r>
          </w:p>
        </w:tc>
        <w:tc>
          <w:tcPr>
            <w:tcW w:w="568" w:type="pct"/>
            <w:vAlign w:val="center"/>
            <w:hideMark/>
          </w:tcPr>
          <w:p w14:paraId="59C87BBC"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0.2168</w:t>
            </w:r>
          </w:p>
        </w:tc>
        <w:tc>
          <w:tcPr>
            <w:tcW w:w="567" w:type="pct"/>
            <w:vAlign w:val="center"/>
            <w:hideMark/>
          </w:tcPr>
          <w:p w14:paraId="7B3FD0B5"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0.6099</w:t>
            </w:r>
          </w:p>
        </w:tc>
        <w:tc>
          <w:tcPr>
            <w:tcW w:w="568" w:type="pct"/>
            <w:vAlign w:val="center"/>
            <w:hideMark/>
          </w:tcPr>
          <w:p w14:paraId="5A36A1CB"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7CE9D44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318127A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456FA501" w14:textId="77777777" w:rsidTr="00603DEF">
        <w:tc>
          <w:tcPr>
            <w:tcW w:w="1028" w:type="pct"/>
            <w:hideMark/>
          </w:tcPr>
          <w:p w14:paraId="5AC4E81F"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SEA</w:t>
            </w:r>
          </w:p>
        </w:tc>
        <w:tc>
          <w:tcPr>
            <w:tcW w:w="567" w:type="pct"/>
            <w:vAlign w:val="center"/>
            <w:hideMark/>
          </w:tcPr>
          <w:p w14:paraId="4F09E406"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0.0301</w:t>
            </w:r>
          </w:p>
        </w:tc>
        <w:tc>
          <w:tcPr>
            <w:tcW w:w="567" w:type="pct"/>
            <w:vAlign w:val="center"/>
            <w:hideMark/>
          </w:tcPr>
          <w:p w14:paraId="497D9032"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0.1280</w:t>
            </w:r>
          </w:p>
        </w:tc>
        <w:tc>
          <w:tcPr>
            <w:tcW w:w="568" w:type="pct"/>
            <w:vAlign w:val="center"/>
            <w:hideMark/>
          </w:tcPr>
          <w:p w14:paraId="7111BC1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50695D60"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75300D81"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0.8389</w:t>
            </w:r>
          </w:p>
        </w:tc>
        <w:tc>
          <w:tcPr>
            <w:tcW w:w="567" w:type="pct"/>
            <w:vAlign w:val="center"/>
            <w:hideMark/>
          </w:tcPr>
          <w:p w14:paraId="4F8301B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0.0030</w:t>
            </w:r>
          </w:p>
        </w:tc>
        <w:tc>
          <w:tcPr>
            <w:tcW w:w="568" w:type="pct"/>
            <w:vAlign w:val="center"/>
            <w:hideMark/>
          </w:tcPr>
          <w:p w14:paraId="6FE5295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38B9E311" w14:textId="77777777" w:rsidTr="00603DEF">
        <w:tc>
          <w:tcPr>
            <w:tcW w:w="1028" w:type="pct"/>
            <w:hideMark/>
          </w:tcPr>
          <w:p w14:paraId="6719EC68"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ME</w:t>
            </w:r>
          </w:p>
        </w:tc>
        <w:tc>
          <w:tcPr>
            <w:tcW w:w="567" w:type="pct"/>
            <w:vAlign w:val="center"/>
            <w:hideMark/>
          </w:tcPr>
          <w:p w14:paraId="688F31D6"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5877D9B3"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0.1166</w:t>
            </w:r>
          </w:p>
        </w:tc>
        <w:tc>
          <w:tcPr>
            <w:tcW w:w="568" w:type="pct"/>
            <w:vAlign w:val="center"/>
            <w:hideMark/>
          </w:tcPr>
          <w:p w14:paraId="08E784A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34D84E89"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6949B82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4C29CC70"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0.6172</w:t>
            </w:r>
          </w:p>
        </w:tc>
        <w:tc>
          <w:tcPr>
            <w:tcW w:w="568" w:type="pct"/>
            <w:vAlign w:val="center"/>
            <w:hideMark/>
          </w:tcPr>
          <w:p w14:paraId="7A94C797"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0.2662</w:t>
            </w:r>
          </w:p>
        </w:tc>
      </w:tr>
      <w:tr w:rsidR="004F784C" w:rsidRPr="00DD1686" w14:paraId="154C6C9F" w14:textId="77777777" w:rsidTr="00603DEF">
        <w:tc>
          <w:tcPr>
            <w:tcW w:w="1028" w:type="pct"/>
            <w:hideMark/>
          </w:tcPr>
          <w:p w14:paraId="4E48DCB7"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Others</w:t>
            </w:r>
          </w:p>
        </w:tc>
        <w:tc>
          <w:tcPr>
            <w:tcW w:w="567" w:type="pct"/>
            <w:vAlign w:val="center"/>
            <w:hideMark/>
          </w:tcPr>
          <w:p w14:paraId="5C4834A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59186173"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175F6BDF"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vAlign w:val="center"/>
            <w:hideMark/>
          </w:tcPr>
          <w:p w14:paraId="42B9FD7D"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vAlign w:val="center"/>
            <w:hideMark/>
          </w:tcPr>
          <w:p w14:paraId="743E761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0.5499</w:t>
            </w:r>
          </w:p>
        </w:tc>
        <w:tc>
          <w:tcPr>
            <w:tcW w:w="567" w:type="pct"/>
            <w:vAlign w:val="center"/>
            <w:hideMark/>
          </w:tcPr>
          <w:p w14:paraId="1B44DD0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0.0262</w:t>
            </w:r>
          </w:p>
        </w:tc>
        <w:tc>
          <w:tcPr>
            <w:tcW w:w="568" w:type="pct"/>
            <w:vAlign w:val="center"/>
            <w:hideMark/>
          </w:tcPr>
          <w:p w14:paraId="3BDFD71E"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0.4239</w:t>
            </w:r>
          </w:p>
        </w:tc>
      </w:tr>
      <w:tr w:rsidR="004F784C" w:rsidRPr="00DD1686" w14:paraId="1F2FA9A8" w14:textId="77777777" w:rsidTr="00603DEF">
        <w:tc>
          <w:tcPr>
            <w:tcW w:w="5000" w:type="pct"/>
            <w:gridSpan w:val="8"/>
          </w:tcPr>
          <w:p w14:paraId="2FEFD79F"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Quantity (2014-15 to 2023-24)</w:t>
            </w:r>
          </w:p>
        </w:tc>
      </w:tr>
      <w:tr w:rsidR="004F784C" w:rsidRPr="00DD1686" w14:paraId="0AFC7DD9" w14:textId="77777777" w:rsidTr="00603DEF">
        <w:tc>
          <w:tcPr>
            <w:tcW w:w="1028" w:type="pct"/>
            <w:hideMark/>
          </w:tcPr>
          <w:p w14:paraId="028C6308"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From \ To</w:t>
            </w:r>
          </w:p>
        </w:tc>
        <w:tc>
          <w:tcPr>
            <w:tcW w:w="567" w:type="pct"/>
            <w:hideMark/>
          </w:tcPr>
          <w:p w14:paraId="5EBFEAF1"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Japan</w:t>
            </w:r>
          </w:p>
        </w:tc>
        <w:tc>
          <w:tcPr>
            <w:tcW w:w="567" w:type="pct"/>
            <w:hideMark/>
          </w:tcPr>
          <w:p w14:paraId="03A512DF"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USA</w:t>
            </w:r>
          </w:p>
        </w:tc>
        <w:tc>
          <w:tcPr>
            <w:tcW w:w="568" w:type="pct"/>
            <w:hideMark/>
          </w:tcPr>
          <w:p w14:paraId="6ED1AE08"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EU</w:t>
            </w:r>
          </w:p>
        </w:tc>
        <w:tc>
          <w:tcPr>
            <w:tcW w:w="567" w:type="pct"/>
            <w:hideMark/>
          </w:tcPr>
          <w:p w14:paraId="7D0E4B82"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China</w:t>
            </w:r>
          </w:p>
        </w:tc>
        <w:tc>
          <w:tcPr>
            <w:tcW w:w="568" w:type="pct"/>
            <w:hideMark/>
          </w:tcPr>
          <w:p w14:paraId="2873BBEE"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SEA</w:t>
            </w:r>
          </w:p>
        </w:tc>
        <w:tc>
          <w:tcPr>
            <w:tcW w:w="567" w:type="pct"/>
            <w:hideMark/>
          </w:tcPr>
          <w:p w14:paraId="7AFD5D1E"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ME</w:t>
            </w:r>
          </w:p>
        </w:tc>
        <w:tc>
          <w:tcPr>
            <w:tcW w:w="568" w:type="pct"/>
            <w:hideMark/>
          </w:tcPr>
          <w:p w14:paraId="64EA48E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Others</w:t>
            </w:r>
          </w:p>
        </w:tc>
      </w:tr>
      <w:tr w:rsidR="004F784C" w:rsidRPr="00DD1686" w14:paraId="7F87F797" w14:textId="77777777" w:rsidTr="00603DEF">
        <w:tc>
          <w:tcPr>
            <w:tcW w:w="1028" w:type="pct"/>
            <w:hideMark/>
          </w:tcPr>
          <w:p w14:paraId="1374A7D4"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Japan</w:t>
            </w:r>
          </w:p>
        </w:tc>
        <w:tc>
          <w:tcPr>
            <w:tcW w:w="567" w:type="pct"/>
            <w:tcBorders>
              <w:top w:val="single" w:sz="4" w:space="0" w:color="auto"/>
              <w:left w:val="single" w:sz="4" w:space="0" w:color="auto"/>
              <w:bottom w:val="single" w:sz="4" w:space="0" w:color="auto"/>
              <w:right w:val="single" w:sz="4" w:space="0" w:color="auto"/>
            </w:tcBorders>
            <w:vAlign w:val="center"/>
            <w:hideMark/>
          </w:tcPr>
          <w:p w14:paraId="7D573A1E"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0.0000</w:t>
            </w:r>
          </w:p>
        </w:tc>
        <w:tc>
          <w:tcPr>
            <w:tcW w:w="567" w:type="pct"/>
            <w:tcBorders>
              <w:top w:val="single" w:sz="4" w:space="0" w:color="auto"/>
              <w:left w:val="nil"/>
              <w:bottom w:val="single" w:sz="4" w:space="0" w:color="auto"/>
              <w:right w:val="single" w:sz="4" w:space="0" w:color="auto"/>
            </w:tcBorders>
            <w:vAlign w:val="center"/>
            <w:hideMark/>
          </w:tcPr>
          <w:p w14:paraId="165D8364"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single" w:sz="4" w:space="0" w:color="auto"/>
              <w:left w:val="nil"/>
              <w:bottom w:val="single" w:sz="4" w:space="0" w:color="auto"/>
              <w:right w:val="single" w:sz="4" w:space="0" w:color="auto"/>
            </w:tcBorders>
            <w:vAlign w:val="center"/>
            <w:hideMark/>
          </w:tcPr>
          <w:p w14:paraId="1C865BC9"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1.0000</w:t>
            </w:r>
          </w:p>
        </w:tc>
        <w:tc>
          <w:tcPr>
            <w:tcW w:w="567" w:type="pct"/>
            <w:tcBorders>
              <w:top w:val="single" w:sz="4" w:space="0" w:color="auto"/>
              <w:left w:val="nil"/>
              <w:bottom w:val="single" w:sz="4" w:space="0" w:color="auto"/>
              <w:right w:val="single" w:sz="4" w:space="0" w:color="auto"/>
            </w:tcBorders>
            <w:vAlign w:val="center"/>
            <w:hideMark/>
          </w:tcPr>
          <w:p w14:paraId="697BFA4B"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single" w:sz="4" w:space="0" w:color="auto"/>
              <w:left w:val="nil"/>
              <w:bottom w:val="single" w:sz="4" w:space="0" w:color="auto"/>
              <w:right w:val="single" w:sz="4" w:space="0" w:color="auto"/>
            </w:tcBorders>
            <w:vAlign w:val="center"/>
            <w:hideMark/>
          </w:tcPr>
          <w:p w14:paraId="543E0C00"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single" w:sz="4" w:space="0" w:color="auto"/>
              <w:left w:val="nil"/>
              <w:bottom w:val="single" w:sz="4" w:space="0" w:color="auto"/>
              <w:right w:val="single" w:sz="4" w:space="0" w:color="auto"/>
            </w:tcBorders>
            <w:vAlign w:val="center"/>
            <w:hideMark/>
          </w:tcPr>
          <w:p w14:paraId="6B5F466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single" w:sz="4" w:space="0" w:color="auto"/>
              <w:left w:val="nil"/>
              <w:bottom w:val="single" w:sz="4" w:space="0" w:color="auto"/>
              <w:right w:val="single" w:sz="4" w:space="0" w:color="auto"/>
            </w:tcBorders>
            <w:vAlign w:val="center"/>
            <w:hideMark/>
          </w:tcPr>
          <w:p w14:paraId="411C8E32"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22C6A109" w14:textId="77777777" w:rsidTr="00603DEF">
        <w:tc>
          <w:tcPr>
            <w:tcW w:w="1028" w:type="pct"/>
            <w:hideMark/>
          </w:tcPr>
          <w:p w14:paraId="1E325D7C"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USA</w:t>
            </w:r>
          </w:p>
        </w:tc>
        <w:tc>
          <w:tcPr>
            <w:tcW w:w="567" w:type="pct"/>
            <w:tcBorders>
              <w:top w:val="nil"/>
              <w:left w:val="single" w:sz="4" w:space="0" w:color="auto"/>
              <w:bottom w:val="single" w:sz="4" w:space="0" w:color="auto"/>
              <w:right w:val="single" w:sz="4" w:space="0" w:color="auto"/>
            </w:tcBorders>
            <w:vAlign w:val="center"/>
            <w:hideMark/>
          </w:tcPr>
          <w:p w14:paraId="0D391AD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0.0884</w:t>
            </w:r>
          </w:p>
        </w:tc>
        <w:tc>
          <w:tcPr>
            <w:tcW w:w="567" w:type="pct"/>
            <w:tcBorders>
              <w:top w:val="nil"/>
              <w:left w:val="nil"/>
              <w:bottom w:val="single" w:sz="4" w:space="0" w:color="auto"/>
              <w:right w:val="single" w:sz="4" w:space="0" w:color="auto"/>
            </w:tcBorders>
            <w:vAlign w:val="center"/>
            <w:hideMark/>
          </w:tcPr>
          <w:p w14:paraId="62C68350"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0.5864</w:t>
            </w:r>
          </w:p>
        </w:tc>
        <w:tc>
          <w:tcPr>
            <w:tcW w:w="568" w:type="pct"/>
            <w:tcBorders>
              <w:top w:val="nil"/>
              <w:left w:val="nil"/>
              <w:bottom w:val="single" w:sz="4" w:space="0" w:color="auto"/>
              <w:right w:val="single" w:sz="4" w:space="0" w:color="auto"/>
            </w:tcBorders>
            <w:vAlign w:val="center"/>
            <w:hideMark/>
          </w:tcPr>
          <w:p w14:paraId="74A88786"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00641C5D"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0.2793</w:t>
            </w:r>
          </w:p>
        </w:tc>
        <w:tc>
          <w:tcPr>
            <w:tcW w:w="568" w:type="pct"/>
            <w:tcBorders>
              <w:top w:val="nil"/>
              <w:left w:val="nil"/>
              <w:bottom w:val="single" w:sz="4" w:space="0" w:color="auto"/>
              <w:right w:val="single" w:sz="4" w:space="0" w:color="auto"/>
            </w:tcBorders>
            <w:vAlign w:val="center"/>
            <w:hideMark/>
          </w:tcPr>
          <w:p w14:paraId="1BA0D8DB"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04ABFE77"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0.0459</w:t>
            </w:r>
          </w:p>
        </w:tc>
        <w:tc>
          <w:tcPr>
            <w:tcW w:w="568" w:type="pct"/>
            <w:tcBorders>
              <w:top w:val="nil"/>
              <w:left w:val="nil"/>
              <w:bottom w:val="single" w:sz="4" w:space="0" w:color="auto"/>
              <w:right w:val="single" w:sz="4" w:space="0" w:color="auto"/>
            </w:tcBorders>
            <w:vAlign w:val="center"/>
            <w:hideMark/>
          </w:tcPr>
          <w:p w14:paraId="554DBFDF"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04D05B11" w14:textId="77777777" w:rsidTr="00603DEF">
        <w:tc>
          <w:tcPr>
            <w:tcW w:w="1028" w:type="pct"/>
            <w:hideMark/>
          </w:tcPr>
          <w:p w14:paraId="391C93A3"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EU</w:t>
            </w:r>
          </w:p>
        </w:tc>
        <w:tc>
          <w:tcPr>
            <w:tcW w:w="567" w:type="pct"/>
            <w:tcBorders>
              <w:top w:val="nil"/>
              <w:left w:val="single" w:sz="4" w:space="0" w:color="auto"/>
              <w:bottom w:val="single" w:sz="4" w:space="0" w:color="auto"/>
              <w:right w:val="single" w:sz="4" w:space="0" w:color="auto"/>
            </w:tcBorders>
            <w:vAlign w:val="center"/>
            <w:hideMark/>
          </w:tcPr>
          <w:p w14:paraId="1858A4FE"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1BBE5069"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nil"/>
              <w:left w:val="nil"/>
              <w:bottom w:val="single" w:sz="4" w:space="0" w:color="auto"/>
              <w:right w:val="single" w:sz="4" w:space="0" w:color="auto"/>
            </w:tcBorders>
            <w:vAlign w:val="center"/>
            <w:hideMark/>
          </w:tcPr>
          <w:p w14:paraId="6F1F7F18"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0.0823</w:t>
            </w:r>
          </w:p>
        </w:tc>
        <w:tc>
          <w:tcPr>
            <w:tcW w:w="567" w:type="pct"/>
            <w:tcBorders>
              <w:top w:val="nil"/>
              <w:left w:val="nil"/>
              <w:bottom w:val="single" w:sz="4" w:space="0" w:color="auto"/>
              <w:right w:val="single" w:sz="4" w:space="0" w:color="auto"/>
            </w:tcBorders>
            <w:vAlign w:val="center"/>
            <w:hideMark/>
          </w:tcPr>
          <w:p w14:paraId="265BA957"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nil"/>
              <w:left w:val="nil"/>
              <w:bottom w:val="single" w:sz="4" w:space="0" w:color="auto"/>
              <w:right w:val="single" w:sz="4" w:space="0" w:color="auto"/>
            </w:tcBorders>
            <w:vAlign w:val="center"/>
            <w:hideMark/>
          </w:tcPr>
          <w:p w14:paraId="257C3E8E"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0.8817</w:t>
            </w:r>
          </w:p>
        </w:tc>
        <w:tc>
          <w:tcPr>
            <w:tcW w:w="567" w:type="pct"/>
            <w:tcBorders>
              <w:top w:val="nil"/>
              <w:left w:val="nil"/>
              <w:bottom w:val="single" w:sz="4" w:space="0" w:color="auto"/>
              <w:right w:val="single" w:sz="4" w:space="0" w:color="auto"/>
            </w:tcBorders>
            <w:vAlign w:val="center"/>
            <w:hideMark/>
          </w:tcPr>
          <w:p w14:paraId="2A78A029"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0.0359</w:t>
            </w:r>
          </w:p>
        </w:tc>
        <w:tc>
          <w:tcPr>
            <w:tcW w:w="568" w:type="pct"/>
            <w:tcBorders>
              <w:top w:val="nil"/>
              <w:left w:val="nil"/>
              <w:bottom w:val="single" w:sz="4" w:space="0" w:color="auto"/>
              <w:right w:val="single" w:sz="4" w:space="0" w:color="auto"/>
            </w:tcBorders>
            <w:vAlign w:val="center"/>
            <w:hideMark/>
          </w:tcPr>
          <w:p w14:paraId="70A4FED0"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34B73D55" w14:textId="77777777" w:rsidTr="00603DEF">
        <w:tc>
          <w:tcPr>
            <w:tcW w:w="1028" w:type="pct"/>
            <w:hideMark/>
          </w:tcPr>
          <w:p w14:paraId="4842450F"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China</w:t>
            </w:r>
          </w:p>
        </w:tc>
        <w:tc>
          <w:tcPr>
            <w:tcW w:w="567" w:type="pct"/>
            <w:tcBorders>
              <w:top w:val="nil"/>
              <w:left w:val="single" w:sz="4" w:space="0" w:color="auto"/>
              <w:bottom w:val="single" w:sz="4" w:space="0" w:color="auto"/>
              <w:right w:val="single" w:sz="4" w:space="0" w:color="auto"/>
            </w:tcBorders>
            <w:vAlign w:val="center"/>
            <w:hideMark/>
          </w:tcPr>
          <w:p w14:paraId="31603EE5"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0.0051</w:t>
            </w:r>
          </w:p>
        </w:tc>
        <w:tc>
          <w:tcPr>
            <w:tcW w:w="567" w:type="pct"/>
            <w:tcBorders>
              <w:top w:val="nil"/>
              <w:left w:val="nil"/>
              <w:bottom w:val="single" w:sz="4" w:space="0" w:color="auto"/>
              <w:right w:val="single" w:sz="4" w:space="0" w:color="auto"/>
            </w:tcBorders>
            <w:vAlign w:val="center"/>
            <w:hideMark/>
          </w:tcPr>
          <w:p w14:paraId="5459A6FD"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0.2313</w:t>
            </w:r>
          </w:p>
        </w:tc>
        <w:tc>
          <w:tcPr>
            <w:tcW w:w="568" w:type="pct"/>
            <w:tcBorders>
              <w:top w:val="nil"/>
              <w:left w:val="nil"/>
              <w:bottom w:val="single" w:sz="4" w:space="0" w:color="auto"/>
              <w:right w:val="single" w:sz="4" w:space="0" w:color="auto"/>
            </w:tcBorders>
            <w:vAlign w:val="center"/>
            <w:hideMark/>
          </w:tcPr>
          <w:p w14:paraId="0E6822E9"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4C1006CE"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0.5413</w:t>
            </w:r>
          </w:p>
        </w:tc>
        <w:tc>
          <w:tcPr>
            <w:tcW w:w="568" w:type="pct"/>
            <w:tcBorders>
              <w:top w:val="nil"/>
              <w:left w:val="nil"/>
              <w:bottom w:val="single" w:sz="4" w:space="0" w:color="auto"/>
              <w:right w:val="single" w:sz="4" w:space="0" w:color="auto"/>
            </w:tcBorders>
            <w:vAlign w:val="center"/>
            <w:hideMark/>
          </w:tcPr>
          <w:p w14:paraId="1DE1F597"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009752CA"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0.0195</w:t>
            </w:r>
          </w:p>
        </w:tc>
        <w:tc>
          <w:tcPr>
            <w:tcW w:w="568" w:type="pct"/>
            <w:tcBorders>
              <w:top w:val="nil"/>
              <w:left w:val="nil"/>
              <w:bottom w:val="single" w:sz="4" w:space="0" w:color="auto"/>
              <w:right w:val="single" w:sz="4" w:space="0" w:color="auto"/>
            </w:tcBorders>
            <w:vAlign w:val="center"/>
            <w:hideMark/>
          </w:tcPr>
          <w:p w14:paraId="484FB3F3"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0.2028</w:t>
            </w:r>
          </w:p>
        </w:tc>
      </w:tr>
      <w:tr w:rsidR="004F784C" w:rsidRPr="00DD1686" w14:paraId="0DBFAC60" w14:textId="77777777" w:rsidTr="00603DEF">
        <w:tc>
          <w:tcPr>
            <w:tcW w:w="1028" w:type="pct"/>
            <w:hideMark/>
          </w:tcPr>
          <w:p w14:paraId="74B8B2D4"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SEA</w:t>
            </w:r>
          </w:p>
        </w:tc>
        <w:tc>
          <w:tcPr>
            <w:tcW w:w="567" w:type="pct"/>
            <w:tcBorders>
              <w:top w:val="nil"/>
              <w:left w:val="single" w:sz="4" w:space="0" w:color="auto"/>
              <w:bottom w:val="single" w:sz="4" w:space="0" w:color="auto"/>
              <w:right w:val="single" w:sz="4" w:space="0" w:color="auto"/>
            </w:tcBorders>
            <w:vAlign w:val="center"/>
            <w:hideMark/>
          </w:tcPr>
          <w:p w14:paraId="6CB15DC2"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0.0491</w:t>
            </w:r>
          </w:p>
        </w:tc>
        <w:tc>
          <w:tcPr>
            <w:tcW w:w="567" w:type="pct"/>
            <w:tcBorders>
              <w:top w:val="nil"/>
              <w:left w:val="nil"/>
              <w:bottom w:val="single" w:sz="4" w:space="0" w:color="auto"/>
              <w:right w:val="single" w:sz="4" w:space="0" w:color="auto"/>
            </w:tcBorders>
            <w:vAlign w:val="center"/>
            <w:hideMark/>
          </w:tcPr>
          <w:p w14:paraId="6B66C74C"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0.1978</w:t>
            </w:r>
          </w:p>
        </w:tc>
        <w:tc>
          <w:tcPr>
            <w:tcW w:w="568" w:type="pct"/>
            <w:tcBorders>
              <w:top w:val="nil"/>
              <w:left w:val="nil"/>
              <w:bottom w:val="single" w:sz="4" w:space="0" w:color="auto"/>
              <w:right w:val="single" w:sz="4" w:space="0" w:color="auto"/>
            </w:tcBorders>
            <w:vAlign w:val="center"/>
            <w:hideMark/>
          </w:tcPr>
          <w:p w14:paraId="60F89722"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0.0266</w:t>
            </w:r>
          </w:p>
        </w:tc>
        <w:tc>
          <w:tcPr>
            <w:tcW w:w="567" w:type="pct"/>
            <w:tcBorders>
              <w:top w:val="nil"/>
              <w:left w:val="nil"/>
              <w:bottom w:val="single" w:sz="4" w:space="0" w:color="auto"/>
              <w:right w:val="single" w:sz="4" w:space="0" w:color="auto"/>
            </w:tcBorders>
            <w:vAlign w:val="center"/>
            <w:hideMark/>
          </w:tcPr>
          <w:p w14:paraId="3BCADC2D"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0.1123</w:t>
            </w:r>
          </w:p>
        </w:tc>
        <w:tc>
          <w:tcPr>
            <w:tcW w:w="568" w:type="pct"/>
            <w:tcBorders>
              <w:top w:val="nil"/>
              <w:left w:val="nil"/>
              <w:bottom w:val="single" w:sz="4" w:space="0" w:color="auto"/>
              <w:right w:val="single" w:sz="4" w:space="0" w:color="auto"/>
            </w:tcBorders>
            <w:vAlign w:val="center"/>
            <w:hideMark/>
          </w:tcPr>
          <w:p w14:paraId="706D889B"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0.4872</w:t>
            </w:r>
          </w:p>
        </w:tc>
        <w:tc>
          <w:tcPr>
            <w:tcW w:w="567" w:type="pct"/>
            <w:tcBorders>
              <w:top w:val="nil"/>
              <w:left w:val="nil"/>
              <w:bottom w:val="single" w:sz="4" w:space="0" w:color="auto"/>
              <w:right w:val="single" w:sz="4" w:space="0" w:color="auto"/>
            </w:tcBorders>
            <w:vAlign w:val="center"/>
            <w:hideMark/>
          </w:tcPr>
          <w:p w14:paraId="351E8F7B"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0.0347</w:t>
            </w:r>
          </w:p>
        </w:tc>
        <w:tc>
          <w:tcPr>
            <w:tcW w:w="568" w:type="pct"/>
            <w:tcBorders>
              <w:top w:val="nil"/>
              <w:left w:val="nil"/>
              <w:bottom w:val="single" w:sz="4" w:space="0" w:color="auto"/>
              <w:right w:val="single" w:sz="4" w:space="0" w:color="auto"/>
            </w:tcBorders>
            <w:vAlign w:val="center"/>
            <w:hideMark/>
          </w:tcPr>
          <w:p w14:paraId="70732E2F"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0.0924</w:t>
            </w:r>
          </w:p>
        </w:tc>
      </w:tr>
      <w:tr w:rsidR="004F784C" w:rsidRPr="00DD1686" w14:paraId="3D4303B4" w14:textId="77777777" w:rsidTr="00603DEF">
        <w:tc>
          <w:tcPr>
            <w:tcW w:w="1028" w:type="pct"/>
            <w:hideMark/>
          </w:tcPr>
          <w:p w14:paraId="0D44968D"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ME</w:t>
            </w:r>
          </w:p>
        </w:tc>
        <w:tc>
          <w:tcPr>
            <w:tcW w:w="567" w:type="pct"/>
            <w:tcBorders>
              <w:top w:val="nil"/>
              <w:left w:val="single" w:sz="4" w:space="0" w:color="auto"/>
              <w:bottom w:val="single" w:sz="4" w:space="0" w:color="auto"/>
              <w:right w:val="single" w:sz="4" w:space="0" w:color="auto"/>
            </w:tcBorders>
            <w:vAlign w:val="center"/>
            <w:hideMark/>
          </w:tcPr>
          <w:p w14:paraId="1B50512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7345116A"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nil"/>
              <w:left w:val="nil"/>
              <w:bottom w:val="single" w:sz="4" w:space="0" w:color="auto"/>
              <w:right w:val="single" w:sz="4" w:space="0" w:color="auto"/>
            </w:tcBorders>
            <w:vAlign w:val="center"/>
            <w:hideMark/>
          </w:tcPr>
          <w:p w14:paraId="3BB9F2B7"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0.7498</w:t>
            </w:r>
          </w:p>
        </w:tc>
        <w:tc>
          <w:tcPr>
            <w:tcW w:w="567" w:type="pct"/>
            <w:tcBorders>
              <w:top w:val="nil"/>
              <w:left w:val="nil"/>
              <w:bottom w:val="single" w:sz="4" w:space="0" w:color="auto"/>
              <w:right w:val="single" w:sz="4" w:space="0" w:color="auto"/>
            </w:tcBorders>
            <w:vAlign w:val="center"/>
            <w:hideMark/>
          </w:tcPr>
          <w:p w14:paraId="67A11CD6"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nil"/>
              <w:left w:val="nil"/>
              <w:bottom w:val="single" w:sz="4" w:space="0" w:color="auto"/>
              <w:right w:val="single" w:sz="4" w:space="0" w:color="auto"/>
            </w:tcBorders>
            <w:vAlign w:val="center"/>
            <w:hideMark/>
          </w:tcPr>
          <w:p w14:paraId="2ADC2D16"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5BBA7BAF"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0.2502</w:t>
            </w:r>
          </w:p>
        </w:tc>
        <w:tc>
          <w:tcPr>
            <w:tcW w:w="568" w:type="pct"/>
            <w:tcBorders>
              <w:top w:val="nil"/>
              <w:left w:val="nil"/>
              <w:bottom w:val="single" w:sz="4" w:space="0" w:color="auto"/>
              <w:right w:val="single" w:sz="4" w:space="0" w:color="auto"/>
            </w:tcBorders>
            <w:vAlign w:val="center"/>
            <w:hideMark/>
          </w:tcPr>
          <w:p w14:paraId="1C27C87C"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r>
      <w:tr w:rsidR="004F784C" w:rsidRPr="00DD1686" w14:paraId="42ABCFD0" w14:textId="77777777" w:rsidTr="00603DEF">
        <w:tc>
          <w:tcPr>
            <w:tcW w:w="1028" w:type="pct"/>
            <w:hideMark/>
          </w:tcPr>
          <w:p w14:paraId="4EF1F53E"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Others</w:t>
            </w:r>
          </w:p>
        </w:tc>
        <w:tc>
          <w:tcPr>
            <w:tcW w:w="567" w:type="pct"/>
            <w:tcBorders>
              <w:top w:val="nil"/>
              <w:left w:val="single" w:sz="4" w:space="0" w:color="auto"/>
              <w:bottom w:val="single" w:sz="4" w:space="0" w:color="auto"/>
              <w:right w:val="single" w:sz="4" w:space="0" w:color="auto"/>
            </w:tcBorders>
            <w:vAlign w:val="center"/>
            <w:hideMark/>
          </w:tcPr>
          <w:p w14:paraId="335A3818"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0.2867</w:t>
            </w:r>
          </w:p>
        </w:tc>
        <w:tc>
          <w:tcPr>
            <w:tcW w:w="567" w:type="pct"/>
            <w:tcBorders>
              <w:top w:val="nil"/>
              <w:left w:val="nil"/>
              <w:bottom w:val="single" w:sz="4" w:space="0" w:color="auto"/>
              <w:right w:val="single" w:sz="4" w:space="0" w:color="auto"/>
            </w:tcBorders>
            <w:vAlign w:val="center"/>
            <w:hideMark/>
          </w:tcPr>
          <w:p w14:paraId="2726D221"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nil"/>
              <w:left w:val="nil"/>
              <w:bottom w:val="single" w:sz="4" w:space="0" w:color="auto"/>
              <w:right w:val="single" w:sz="4" w:space="0" w:color="auto"/>
            </w:tcBorders>
            <w:vAlign w:val="center"/>
            <w:hideMark/>
          </w:tcPr>
          <w:p w14:paraId="1757F490"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0.1880</w:t>
            </w:r>
          </w:p>
        </w:tc>
        <w:tc>
          <w:tcPr>
            <w:tcW w:w="567" w:type="pct"/>
            <w:tcBorders>
              <w:top w:val="nil"/>
              <w:left w:val="nil"/>
              <w:bottom w:val="single" w:sz="4" w:space="0" w:color="auto"/>
              <w:right w:val="single" w:sz="4" w:space="0" w:color="auto"/>
            </w:tcBorders>
            <w:vAlign w:val="center"/>
            <w:hideMark/>
          </w:tcPr>
          <w:p w14:paraId="244DF11C"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8" w:type="pct"/>
            <w:tcBorders>
              <w:top w:val="nil"/>
              <w:left w:val="nil"/>
              <w:bottom w:val="single" w:sz="4" w:space="0" w:color="auto"/>
              <w:right w:val="single" w:sz="4" w:space="0" w:color="auto"/>
            </w:tcBorders>
            <w:vAlign w:val="center"/>
            <w:hideMark/>
          </w:tcPr>
          <w:p w14:paraId="5D278CDF"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0.0000</w:t>
            </w:r>
          </w:p>
        </w:tc>
        <w:tc>
          <w:tcPr>
            <w:tcW w:w="567" w:type="pct"/>
            <w:tcBorders>
              <w:top w:val="nil"/>
              <w:left w:val="nil"/>
              <w:bottom w:val="single" w:sz="4" w:space="0" w:color="auto"/>
              <w:right w:val="single" w:sz="4" w:space="0" w:color="auto"/>
            </w:tcBorders>
            <w:vAlign w:val="center"/>
            <w:hideMark/>
          </w:tcPr>
          <w:p w14:paraId="51542EB6" w14:textId="77777777" w:rsidR="004F784C" w:rsidRPr="00DD1686" w:rsidRDefault="004F784C" w:rsidP="004F784C">
            <w:pPr>
              <w:jc w:val="center"/>
              <w:rPr>
                <w:rFonts w:ascii="Arial" w:eastAsia="Calibri" w:hAnsi="Arial" w:cs="Arial"/>
                <w:color w:val="000000"/>
                <w:sz w:val="20"/>
                <w:szCs w:val="20"/>
              </w:rPr>
            </w:pPr>
            <w:r w:rsidRPr="00DD1686">
              <w:rPr>
                <w:rFonts w:ascii="Arial" w:eastAsia="Calibri" w:hAnsi="Arial" w:cs="Arial"/>
                <w:color w:val="000000"/>
                <w:sz w:val="20"/>
                <w:szCs w:val="20"/>
              </w:rPr>
              <w:t>0.0467</w:t>
            </w:r>
          </w:p>
        </w:tc>
        <w:tc>
          <w:tcPr>
            <w:tcW w:w="568" w:type="pct"/>
            <w:tcBorders>
              <w:top w:val="nil"/>
              <w:left w:val="nil"/>
              <w:bottom w:val="single" w:sz="4" w:space="0" w:color="auto"/>
              <w:right w:val="single" w:sz="4" w:space="0" w:color="auto"/>
            </w:tcBorders>
            <w:vAlign w:val="center"/>
            <w:hideMark/>
          </w:tcPr>
          <w:p w14:paraId="2590E4F2" w14:textId="77777777" w:rsidR="004F784C" w:rsidRPr="00DD1686" w:rsidRDefault="004F784C" w:rsidP="004F784C">
            <w:pPr>
              <w:jc w:val="center"/>
              <w:rPr>
                <w:rFonts w:ascii="Arial" w:eastAsia="Calibri" w:hAnsi="Arial" w:cs="Arial"/>
                <w:b/>
                <w:bCs/>
                <w:color w:val="000000"/>
                <w:sz w:val="20"/>
                <w:szCs w:val="20"/>
              </w:rPr>
            </w:pPr>
            <w:r w:rsidRPr="00DD1686">
              <w:rPr>
                <w:rFonts w:ascii="Arial" w:eastAsia="Calibri" w:hAnsi="Arial" w:cs="Arial"/>
                <w:b/>
                <w:bCs/>
                <w:color w:val="000000"/>
                <w:sz w:val="20"/>
                <w:szCs w:val="20"/>
              </w:rPr>
              <w:t>0.4786</w:t>
            </w:r>
          </w:p>
        </w:tc>
      </w:tr>
      <w:tr w:rsidR="004F784C" w:rsidRPr="00DD1686" w14:paraId="21B679F1" w14:textId="77777777" w:rsidTr="00603DEF">
        <w:tc>
          <w:tcPr>
            <w:tcW w:w="5000" w:type="pct"/>
            <w:gridSpan w:val="8"/>
          </w:tcPr>
          <w:p w14:paraId="5450255E"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Quantity (2004-05 to 2023-24)</w:t>
            </w:r>
          </w:p>
        </w:tc>
      </w:tr>
      <w:tr w:rsidR="004F784C" w:rsidRPr="00DD1686" w14:paraId="49BFB309" w14:textId="77777777" w:rsidTr="00603DEF">
        <w:tc>
          <w:tcPr>
            <w:tcW w:w="1028" w:type="pct"/>
            <w:hideMark/>
          </w:tcPr>
          <w:p w14:paraId="7070D084"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From \ To</w:t>
            </w:r>
          </w:p>
        </w:tc>
        <w:tc>
          <w:tcPr>
            <w:tcW w:w="567" w:type="pct"/>
            <w:hideMark/>
          </w:tcPr>
          <w:p w14:paraId="32FC3A1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Japan</w:t>
            </w:r>
          </w:p>
        </w:tc>
        <w:tc>
          <w:tcPr>
            <w:tcW w:w="567" w:type="pct"/>
            <w:hideMark/>
          </w:tcPr>
          <w:p w14:paraId="114E1C37"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USA</w:t>
            </w:r>
          </w:p>
        </w:tc>
        <w:tc>
          <w:tcPr>
            <w:tcW w:w="568" w:type="pct"/>
            <w:hideMark/>
          </w:tcPr>
          <w:p w14:paraId="7C9D2DDD"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EU</w:t>
            </w:r>
          </w:p>
        </w:tc>
        <w:tc>
          <w:tcPr>
            <w:tcW w:w="567" w:type="pct"/>
            <w:hideMark/>
          </w:tcPr>
          <w:p w14:paraId="34F566DB"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China</w:t>
            </w:r>
          </w:p>
        </w:tc>
        <w:tc>
          <w:tcPr>
            <w:tcW w:w="568" w:type="pct"/>
            <w:hideMark/>
          </w:tcPr>
          <w:p w14:paraId="4577A4DE"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SEA</w:t>
            </w:r>
          </w:p>
        </w:tc>
        <w:tc>
          <w:tcPr>
            <w:tcW w:w="567" w:type="pct"/>
            <w:hideMark/>
          </w:tcPr>
          <w:p w14:paraId="19FCB32A"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ME</w:t>
            </w:r>
          </w:p>
        </w:tc>
        <w:tc>
          <w:tcPr>
            <w:tcW w:w="568" w:type="pct"/>
            <w:hideMark/>
          </w:tcPr>
          <w:p w14:paraId="0E7215E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Others</w:t>
            </w:r>
          </w:p>
        </w:tc>
      </w:tr>
      <w:tr w:rsidR="004F784C" w:rsidRPr="00DD1686" w14:paraId="63CC3245" w14:textId="77777777" w:rsidTr="00603DEF">
        <w:tc>
          <w:tcPr>
            <w:tcW w:w="1028" w:type="pct"/>
            <w:hideMark/>
          </w:tcPr>
          <w:p w14:paraId="5A4431DD"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Japan</w:t>
            </w:r>
          </w:p>
        </w:tc>
        <w:tc>
          <w:tcPr>
            <w:tcW w:w="567" w:type="pct"/>
            <w:tcBorders>
              <w:top w:val="single" w:sz="4" w:space="0" w:color="auto"/>
              <w:left w:val="single" w:sz="4" w:space="0" w:color="auto"/>
              <w:bottom w:val="single" w:sz="4" w:space="0" w:color="auto"/>
              <w:right w:val="single" w:sz="4" w:space="0" w:color="auto"/>
            </w:tcBorders>
            <w:vAlign w:val="center"/>
          </w:tcPr>
          <w:p w14:paraId="0539E413"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0.0774</w:t>
            </w:r>
          </w:p>
        </w:tc>
        <w:tc>
          <w:tcPr>
            <w:tcW w:w="567" w:type="pct"/>
            <w:tcBorders>
              <w:top w:val="single" w:sz="4" w:space="0" w:color="auto"/>
              <w:left w:val="nil"/>
              <w:bottom w:val="single" w:sz="4" w:space="0" w:color="auto"/>
              <w:right w:val="single" w:sz="4" w:space="0" w:color="auto"/>
            </w:tcBorders>
            <w:vAlign w:val="center"/>
          </w:tcPr>
          <w:p w14:paraId="18EF58E3"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0.1534</w:t>
            </w:r>
          </w:p>
        </w:tc>
        <w:tc>
          <w:tcPr>
            <w:tcW w:w="568" w:type="pct"/>
            <w:tcBorders>
              <w:top w:val="single" w:sz="4" w:space="0" w:color="auto"/>
              <w:left w:val="nil"/>
              <w:bottom w:val="single" w:sz="4" w:space="0" w:color="auto"/>
              <w:right w:val="single" w:sz="4" w:space="0" w:color="auto"/>
            </w:tcBorders>
            <w:vAlign w:val="center"/>
          </w:tcPr>
          <w:p w14:paraId="3131C7D8"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0.1709</w:t>
            </w:r>
          </w:p>
        </w:tc>
        <w:tc>
          <w:tcPr>
            <w:tcW w:w="567" w:type="pct"/>
            <w:tcBorders>
              <w:top w:val="single" w:sz="4" w:space="0" w:color="auto"/>
              <w:left w:val="nil"/>
              <w:bottom w:val="single" w:sz="4" w:space="0" w:color="auto"/>
              <w:right w:val="single" w:sz="4" w:space="0" w:color="auto"/>
            </w:tcBorders>
            <w:vAlign w:val="center"/>
          </w:tcPr>
          <w:p w14:paraId="5DCC78F7"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0.1654</w:t>
            </w:r>
          </w:p>
        </w:tc>
        <w:tc>
          <w:tcPr>
            <w:tcW w:w="568" w:type="pct"/>
            <w:tcBorders>
              <w:top w:val="single" w:sz="4" w:space="0" w:color="auto"/>
              <w:left w:val="nil"/>
              <w:bottom w:val="single" w:sz="4" w:space="0" w:color="auto"/>
              <w:right w:val="single" w:sz="4" w:space="0" w:color="auto"/>
            </w:tcBorders>
            <w:vAlign w:val="center"/>
          </w:tcPr>
          <w:p w14:paraId="08499139"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0.2767</w:t>
            </w:r>
          </w:p>
        </w:tc>
        <w:tc>
          <w:tcPr>
            <w:tcW w:w="567" w:type="pct"/>
            <w:tcBorders>
              <w:top w:val="single" w:sz="4" w:space="0" w:color="auto"/>
              <w:left w:val="nil"/>
              <w:bottom w:val="single" w:sz="4" w:space="0" w:color="auto"/>
              <w:right w:val="single" w:sz="4" w:space="0" w:color="auto"/>
            </w:tcBorders>
            <w:vAlign w:val="center"/>
          </w:tcPr>
          <w:p w14:paraId="0954E3FE"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0.0472</w:t>
            </w:r>
          </w:p>
        </w:tc>
        <w:tc>
          <w:tcPr>
            <w:tcW w:w="568" w:type="pct"/>
            <w:tcBorders>
              <w:top w:val="single" w:sz="4" w:space="0" w:color="auto"/>
              <w:left w:val="nil"/>
              <w:bottom w:val="single" w:sz="4" w:space="0" w:color="auto"/>
              <w:right w:val="single" w:sz="4" w:space="0" w:color="auto"/>
            </w:tcBorders>
            <w:vAlign w:val="center"/>
          </w:tcPr>
          <w:p w14:paraId="18BB482A"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0.1090</w:t>
            </w:r>
          </w:p>
        </w:tc>
      </w:tr>
      <w:tr w:rsidR="004F784C" w:rsidRPr="00DD1686" w14:paraId="39148D0A" w14:textId="77777777" w:rsidTr="00603DEF">
        <w:tc>
          <w:tcPr>
            <w:tcW w:w="1028" w:type="pct"/>
            <w:hideMark/>
          </w:tcPr>
          <w:p w14:paraId="2BB1780E"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USA</w:t>
            </w:r>
          </w:p>
        </w:tc>
        <w:tc>
          <w:tcPr>
            <w:tcW w:w="567" w:type="pct"/>
            <w:tcBorders>
              <w:top w:val="nil"/>
              <w:left w:val="single" w:sz="4" w:space="0" w:color="auto"/>
              <w:bottom w:val="single" w:sz="4" w:space="0" w:color="auto"/>
              <w:right w:val="single" w:sz="4" w:space="0" w:color="auto"/>
            </w:tcBorders>
            <w:vAlign w:val="center"/>
          </w:tcPr>
          <w:p w14:paraId="525775A5"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0.0875</w:t>
            </w:r>
          </w:p>
        </w:tc>
        <w:tc>
          <w:tcPr>
            <w:tcW w:w="567" w:type="pct"/>
            <w:tcBorders>
              <w:top w:val="nil"/>
              <w:left w:val="nil"/>
              <w:bottom w:val="single" w:sz="4" w:space="0" w:color="auto"/>
              <w:right w:val="single" w:sz="4" w:space="0" w:color="auto"/>
            </w:tcBorders>
            <w:vAlign w:val="center"/>
          </w:tcPr>
          <w:p w14:paraId="00491C81"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0.1106</w:t>
            </w:r>
          </w:p>
        </w:tc>
        <w:tc>
          <w:tcPr>
            <w:tcW w:w="568" w:type="pct"/>
            <w:tcBorders>
              <w:top w:val="nil"/>
              <w:left w:val="nil"/>
              <w:bottom w:val="single" w:sz="4" w:space="0" w:color="auto"/>
              <w:right w:val="single" w:sz="4" w:space="0" w:color="auto"/>
            </w:tcBorders>
            <w:vAlign w:val="center"/>
          </w:tcPr>
          <w:p w14:paraId="0FD72103"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0.2000</w:t>
            </w:r>
          </w:p>
        </w:tc>
        <w:tc>
          <w:tcPr>
            <w:tcW w:w="567" w:type="pct"/>
            <w:tcBorders>
              <w:top w:val="nil"/>
              <w:left w:val="nil"/>
              <w:bottom w:val="single" w:sz="4" w:space="0" w:color="auto"/>
              <w:right w:val="single" w:sz="4" w:space="0" w:color="auto"/>
            </w:tcBorders>
            <w:vAlign w:val="center"/>
          </w:tcPr>
          <w:p w14:paraId="4B1A20A5"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0.1734</w:t>
            </w:r>
          </w:p>
        </w:tc>
        <w:tc>
          <w:tcPr>
            <w:tcW w:w="568" w:type="pct"/>
            <w:tcBorders>
              <w:top w:val="nil"/>
              <w:left w:val="nil"/>
              <w:bottom w:val="single" w:sz="4" w:space="0" w:color="auto"/>
              <w:right w:val="single" w:sz="4" w:space="0" w:color="auto"/>
            </w:tcBorders>
            <w:vAlign w:val="center"/>
          </w:tcPr>
          <w:p w14:paraId="446336C2"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0.2681</w:t>
            </w:r>
          </w:p>
        </w:tc>
        <w:tc>
          <w:tcPr>
            <w:tcW w:w="567" w:type="pct"/>
            <w:tcBorders>
              <w:top w:val="nil"/>
              <w:left w:val="nil"/>
              <w:bottom w:val="single" w:sz="4" w:space="0" w:color="auto"/>
              <w:right w:val="single" w:sz="4" w:space="0" w:color="auto"/>
            </w:tcBorders>
            <w:vAlign w:val="center"/>
          </w:tcPr>
          <w:p w14:paraId="2D389435"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0.0482</w:t>
            </w:r>
          </w:p>
        </w:tc>
        <w:tc>
          <w:tcPr>
            <w:tcW w:w="568" w:type="pct"/>
            <w:tcBorders>
              <w:top w:val="nil"/>
              <w:left w:val="nil"/>
              <w:bottom w:val="single" w:sz="4" w:space="0" w:color="auto"/>
              <w:right w:val="single" w:sz="4" w:space="0" w:color="auto"/>
            </w:tcBorders>
            <w:vAlign w:val="center"/>
          </w:tcPr>
          <w:p w14:paraId="6E9A8606"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0.1121</w:t>
            </w:r>
          </w:p>
        </w:tc>
      </w:tr>
      <w:tr w:rsidR="004F784C" w:rsidRPr="00DD1686" w14:paraId="1F3397BD" w14:textId="77777777" w:rsidTr="00603DEF">
        <w:tc>
          <w:tcPr>
            <w:tcW w:w="1028" w:type="pct"/>
            <w:hideMark/>
          </w:tcPr>
          <w:p w14:paraId="64739205"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EU</w:t>
            </w:r>
          </w:p>
        </w:tc>
        <w:tc>
          <w:tcPr>
            <w:tcW w:w="567" w:type="pct"/>
            <w:tcBorders>
              <w:top w:val="nil"/>
              <w:left w:val="single" w:sz="4" w:space="0" w:color="auto"/>
              <w:bottom w:val="single" w:sz="4" w:space="0" w:color="auto"/>
              <w:right w:val="single" w:sz="4" w:space="0" w:color="auto"/>
            </w:tcBorders>
            <w:vAlign w:val="center"/>
          </w:tcPr>
          <w:p w14:paraId="40B5BE68"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0.0770</w:t>
            </w:r>
          </w:p>
        </w:tc>
        <w:tc>
          <w:tcPr>
            <w:tcW w:w="567" w:type="pct"/>
            <w:tcBorders>
              <w:top w:val="nil"/>
              <w:left w:val="nil"/>
              <w:bottom w:val="single" w:sz="4" w:space="0" w:color="auto"/>
              <w:right w:val="single" w:sz="4" w:space="0" w:color="auto"/>
            </w:tcBorders>
            <w:vAlign w:val="center"/>
          </w:tcPr>
          <w:p w14:paraId="17566789"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0.1573</w:t>
            </w:r>
          </w:p>
        </w:tc>
        <w:tc>
          <w:tcPr>
            <w:tcW w:w="568" w:type="pct"/>
            <w:tcBorders>
              <w:top w:val="nil"/>
              <w:left w:val="nil"/>
              <w:bottom w:val="single" w:sz="4" w:space="0" w:color="auto"/>
              <w:right w:val="single" w:sz="4" w:space="0" w:color="auto"/>
            </w:tcBorders>
            <w:vAlign w:val="center"/>
          </w:tcPr>
          <w:p w14:paraId="68CEBEBF"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0.1690</w:t>
            </w:r>
          </w:p>
        </w:tc>
        <w:tc>
          <w:tcPr>
            <w:tcW w:w="567" w:type="pct"/>
            <w:tcBorders>
              <w:top w:val="nil"/>
              <w:left w:val="nil"/>
              <w:bottom w:val="single" w:sz="4" w:space="0" w:color="auto"/>
              <w:right w:val="single" w:sz="4" w:space="0" w:color="auto"/>
            </w:tcBorders>
            <w:vAlign w:val="center"/>
          </w:tcPr>
          <w:p w14:paraId="5E788644"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0.1700</w:t>
            </w:r>
          </w:p>
        </w:tc>
        <w:tc>
          <w:tcPr>
            <w:tcW w:w="568" w:type="pct"/>
            <w:tcBorders>
              <w:top w:val="nil"/>
              <w:left w:val="nil"/>
              <w:bottom w:val="single" w:sz="4" w:space="0" w:color="auto"/>
              <w:right w:val="single" w:sz="4" w:space="0" w:color="auto"/>
            </w:tcBorders>
            <w:vAlign w:val="center"/>
          </w:tcPr>
          <w:p w14:paraId="50C3D996"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0.2703</w:t>
            </w:r>
          </w:p>
        </w:tc>
        <w:tc>
          <w:tcPr>
            <w:tcW w:w="567" w:type="pct"/>
            <w:tcBorders>
              <w:top w:val="nil"/>
              <w:left w:val="nil"/>
              <w:bottom w:val="single" w:sz="4" w:space="0" w:color="auto"/>
              <w:right w:val="single" w:sz="4" w:space="0" w:color="auto"/>
            </w:tcBorders>
            <w:vAlign w:val="center"/>
          </w:tcPr>
          <w:p w14:paraId="047F2524"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0.0469</w:t>
            </w:r>
          </w:p>
        </w:tc>
        <w:tc>
          <w:tcPr>
            <w:tcW w:w="568" w:type="pct"/>
            <w:tcBorders>
              <w:top w:val="nil"/>
              <w:left w:val="nil"/>
              <w:bottom w:val="single" w:sz="4" w:space="0" w:color="auto"/>
              <w:right w:val="single" w:sz="4" w:space="0" w:color="auto"/>
            </w:tcBorders>
            <w:vAlign w:val="center"/>
          </w:tcPr>
          <w:p w14:paraId="1CC07ACC"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0.1096</w:t>
            </w:r>
          </w:p>
        </w:tc>
      </w:tr>
      <w:tr w:rsidR="004F784C" w:rsidRPr="00DD1686" w14:paraId="6DFA01DE" w14:textId="77777777" w:rsidTr="00603DEF">
        <w:tc>
          <w:tcPr>
            <w:tcW w:w="1028" w:type="pct"/>
            <w:hideMark/>
          </w:tcPr>
          <w:p w14:paraId="1950E6E8"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China</w:t>
            </w:r>
          </w:p>
        </w:tc>
        <w:tc>
          <w:tcPr>
            <w:tcW w:w="567" w:type="pct"/>
            <w:tcBorders>
              <w:top w:val="nil"/>
              <w:left w:val="single" w:sz="4" w:space="0" w:color="auto"/>
              <w:bottom w:val="single" w:sz="4" w:space="0" w:color="auto"/>
              <w:right w:val="single" w:sz="4" w:space="0" w:color="auto"/>
            </w:tcBorders>
            <w:vAlign w:val="center"/>
          </w:tcPr>
          <w:p w14:paraId="4FB7236E"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0.0730</w:t>
            </w:r>
          </w:p>
        </w:tc>
        <w:tc>
          <w:tcPr>
            <w:tcW w:w="567" w:type="pct"/>
            <w:tcBorders>
              <w:top w:val="nil"/>
              <w:left w:val="nil"/>
              <w:bottom w:val="single" w:sz="4" w:space="0" w:color="auto"/>
              <w:right w:val="single" w:sz="4" w:space="0" w:color="auto"/>
            </w:tcBorders>
            <w:vAlign w:val="center"/>
          </w:tcPr>
          <w:p w14:paraId="3FD701F0"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0.1563</w:t>
            </w:r>
          </w:p>
        </w:tc>
        <w:tc>
          <w:tcPr>
            <w:tcW w:w="568" w:type="pct"/>
            <w:tcBorders>
              <w:top w:val="nil"/>
              <w:left w:val="nil"/>
              <w:bottom w:val="single" w:sz="4" w:space="0" w:color="auto"/>
              <w:right w:val="single" w:sz="4" w:space="0" w:color="auto"/>
            </w:tcBorders>
            <w:vAlign w:val="center"/>
          </w:tcPr>
          <w:p w14:paraId="367218E6"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0.1654</w:t>
            </w:r>
          </w:p>
        </w:tc>
        <w:tc>
          <w:tcPr>
            <w:tcW w:w="567" w:type="pct"/>
            <w:tcBorders>
              <w:top w:val="nil"/>
              <w:left w:val="nil"/>
              <w:bottom w:val="single" w:sz="4" w:space="0" w:color="auto"/>
              <w:right w:val="single" w:sz="4" w:space="0" w:color="auto"/>
            </w:tcBorders>
            <w:vAlign w:val="center"/>
          </w:tcPr>
          <w:p w14:paraId="5231F8AF"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0.1221</w:t>
            </w:r>
          </w:p>
        </w:tc>
        <w:tc>
          <w:tcPr>
            <w:tcW w:w="568" w:type="pct"/>
            <w:tcBorders>
              <w:top w:val="nil"/>
              <w:left w:val="nil"/>
              <w:bottom w:val="single" w:sz="4" w:space="0" w:color="auto"/>
              <w:right w:val="single" w:sz="4" w:space="0" w:color="auto"/>
            </w:tcBorders>
            <w:vAlign w:val="center"/>
          </w:tcPr>
          <w:p w14:paraId="621E3633"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0.3306</w:t>
            </w:r>
          </w:p>
        </w:tc>
        <w:tc>
          <w:tcPr>
            <w:tcW w:w="567" w:type="pct"/>
            <w:tcBorders>
              <w:top w:val="nil"/>
              <w:left w:val="nil"/>
              <w:bottom w:val="single" w:sz="4" w:space="0" w:color="auto"/>
              <w:right w:val="single" w:sz="4" w:space="0" w:color="auto"/>
            </w:tcBorders>
            <w:vAlign w:val="center"/>
          </w:tcPr>
          <w:p w14:paraId="3C12408F"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0.0482</w:t>
            </w:r>
          </w:p>
        </w:tc>
        <w:tc>
          <w:tcPr>
            <w:tcW w:w="568" w:type="pct"/>
            <w:tcBorders>
              <w:top w:val="nil"/>
              <w:left w:val="nil"/>
              <w:bottom w:val="single" w:sz="4" w:space="0" w:color="auto"/>
              <w:right w:val="single" w:sz="4" w:space="0" w:color="auto"/>
            </w:tcBorders>
            <w:vAlign w:val="center"/>
          </w:tcPr>
          <w:p w14:paraId="2343755C"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0.1044</w:t>
            </w:r>
          </w:p>
        </w:tc>
      </w:tr>
      <w:tr w:rsidR="004F784C" w:rsidRPr="00DD1686" w14:paraId="5FB05544" w14:textId="77777777" w:rsidTr="00603DEF">
        <w:tc>
          <w:tcPr>
            <w:tcW w:w="1028" w:type="pct"/>
            <w:hideMark/>
          </w:tcPr>
          <w:p w14:paraId="2B268B60"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SEA</w:t>
            </w:r>
          </w:p>
        </w:tc>
        <w:tc>
          <w:tcPr>
            <w:tcW w:w="567" w:type="pct"/>
            <w:tcBorders>
              <w:top w:val="nil"/>
              <w:left w:val="single" w:sz="4" w:space="0" w:color="auto"/>
              <w:bottom w:val="single" w:sz="4" w:space="0" w:color="auto"/>
              <w:right w:val="single" w:sz="4" w:space="0" w:color="auto"/>
            </w:tcBorders>
            <w:vAlign w:val="center"/>
          </w:tcPr>
          <w:p w14:paraId="00BDA0BE"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0.0882</w:t>
            </w:r>
          </w:p>
        </w:tc>
        <w:tc>
          <w:tcPr>
            <w:tcW w:w="567" w:type="pct"/>
            <w:tcBorders>
              <w:top w:val="nil"/>
              <w:left w:val="nil"/>
              <w:bottom w:val="single" w:sz="4" w:space="0" w:color="auto"/>
              <w:right w:val="single" w:sz="4" w:space="0" w:color="auto"/>
            </w:tcBorders>
            <w:vAlign w:val="center"/>
          </w:tcPr>
          <w:p w14:paraId="05CC5BB7"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0.1275</w:t>
            </w:r>
          </w:p>
        </w:tc>
        <w:tc>
          <w:tcPr>
            <w:tcW w:w="568" w:type="pct"/>
            <w:tcBorders>
              <w:top w:val="nil"/>
              <w:left w:val="nil"/>
              <w:bottom w:val="single" w:sz="4" w:space="0" w:color="auto"/>
              <w:right w:val="single" w:sz="4" w:space="0" w:color="auto"/>
            </w:tcBorders>
            <w:vAlign w:val="center"/>
          </w:tcPr>
          <w:p w14:paraId="0BE721EC"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0.1996</w:t>
            </w:r>
          </w:p>
        </w:tc>
        <w:tc>
          <w:tcPr>
            <w:tcW w:w="567" w:type="pct"/>
            <w:tcBorders>
              <w:top w:val="nil"/>
              <w:left w:val="nil"/>
              <w:bottom w:val="single" w:sz="4" w:space="0" w:color="auto"/>
              <w:right w:val="single" w:sz="4" w:space="0" w:color="auto"/>
            </w:tcBorders>
            <w:vAlign w:val="center"/>
          </w:tcPr>
          <w:p w14:paraId="3D0D20AD"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0.2051</w:t>
            </w:r>
          </w:p>
        </w:tc>
        <w:tc>
          <w:tcPr>
            <w:tcW w:w="568" w:type="pct"/>
            <w:tcBorders>
              <w:top w:val="nil"/>
              <w:left w:val="nil"/>
              <w:bottom w:val="single" w:sz="4" w:space="0" w:color="auto"/>
              <w:right w:val="single" w:sz="4" w:space="0" w:color="auto"/>
            </w:tcBorders>
            <w:vAlign w:val="center"/>
          </w:tcPr>
          <w:p w14:paraId="3BAB616C"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0.2227</w:t>
            </w:r>
          </w:p>
        </w:tc>
        <w:tc>
          <w:tcPr>
            <w:tcW w:w="567" w:type="pct"/>
            <w:tcBorders>
              <w:top w:val="nil"/>
              <w:left w:val="nil"/>
              <w:bottom w:val="single" w:sz="4" w:space="0" w:color="auto"/>
              <w:right w:val="single" w:sz="4" w:space="0" w:color="auto"/>
            </w:tcBorders>
            <w:vAlign w:val="center"/>
          </w:tcPr>
          <w:p w14:paraId="38C550B7"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0.0462</w:t>
            </w:r>
          </w:p>
        </w:tc>
        <w:tc>
          <w:tcPr>
            <w:tcW w:w="568" w:type="pct"/>
            <w:tcBorders>
              <w:top w:val="nil"/>
              <w:left w:val="nil"/>
              <w:bottom w:val="single" w:sz="4" w:space="0" w:color="auto"/>
              <w:right w:val="single" w:sz="4" w:space="0" w:color="auto"/>
            </w:tcBorders>
            <w:vAlign w:val="center"/>
          </w:tcPr>
          <w:p w14:paraId="04B64637"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0.1107</w:t>
            </w:r>
          </w:p>
        </w:tc>
      </w:tr>
      <w:tr w:rsidR="004F784C" w:rsidRPr="00DD1686" w14:paraId="51ECC826" w14:textId="77777777" w:rsidTr="00603DEF">
        <w:tc>
          <w:tcPr>
            <w:tcW w:w="1028" w:type="pct"/>
            <w:hideMark/>
          </w:tcPr>
          <w:p w14:paraId="0AC3EEC5"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ME</w:t>
            </w:r>
          </w:p>
        </w:tc>
        <w:tc>
          <w:tcPr>
            <w:tcW w:w="567" w:type="pct"/>
            <w:tcBorders>
              <w:top w:val="nil"/>
              <w:left w:val="single" w:sz="4" w:space="0" w:color="auto"/>
              <w:bottom w:val="single" w:sz="4" w:space="0" w:color="auto"/>
              <w:right w:val="single" w:sz="4" w:space="0" w:color="auto"/>
            </w:tcBorders>
            <w:vAlign w:val="center"/>
          </w:tcPr>
          <w:p w14:paraId="19AB9F9C"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0.0822</w:t>
            </w:r>
          </w:p>
        </w:tc>
        <w:tc>
          <w:tcPr>
            <w:tcW w:w="567" w:type="pct"/>
            <w:tcBorders>
              <w:top w:val="nil"/>
              <w:left w:val="nil"/>
              <w:bottom w:val="single" w:sz="4" w:space="0" w:color="auto"/>
              <w:right w:val="single" w:sz="4" w:space="0" w:color="auto"/>
            </w:tcBorders>
            <w:vAlign w:val="center"/>
          </w:tcPr>
          <w:p w14:paraId="6816E54F"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0.1410</w:t>
            </w:r>
          </w:p>
        </w:tc>
        <w:tc>
          <w:tcPr>
            <w:tcW w:w="568" w:type="pct"/>
            <w:tcBorders>
              <w:top w:val="nil"/>
              <w:left w:val="nil"/>
              <w:bottom w:val="single" w:sz="4" w:space="0" w:color="auto"/>
              <w:right w:val="single" w:sz="4" w:space="0" w:color="auto"/>
            </w:tcBorders>
            <w:vAlign w:val="center"/>
          </w:tcPr>
          <w:p w14:paraId="5167E608"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0.1834</w:t>
            </w:r>
          </w:p>
        </w:tc>
        <w:tc>
          <w:tcPr>
            <w:tcW w:w="567" w:type="pct"/>
            <w:tcBorders>
              <w:top w:val="nil"/>
              <w:left w:val="nil"/>
              <w:bottom w:val="single" w:sz="4" w:space="0" w:color="auto"/>
              <w:right w:val="single" w:sz="4" w:space="0" w:color="auto"/>
            </w:tcBorders>
            <w:vAlign w:val="center"/>
          </w:tcPr>
          <w:p w14:paraId="19F0B50C"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0.1795</w:t>
            </w:r>
          </w:p>
        </w:tc>
        <w:tc>
          <w:tcPr>
            <w:tcW w:w="568" w:type="pct"/>
            <w:tcBorders>
              <w:top w:val="nil"/>
              <w:left w:val="nil"/>
              <w:bottom w:val="single" w:sz="4" w:space="0" w:color="auto"/>
              <w:right w:val="single" w:sz="4" w:space="0" w:color="auto"/>
            </w:tcBorders>
            <w:vAlign w:val="center"/>
          </w:tcPr>
          <w:p w14:paraId="425E55AA"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0.2578</w:t>
            </w:r>
          </w:p>
        </w:tc>
        <w:tc>
          <w:tcPr>
            <w:tcW w:w="567" w:type="pct"/>
            <w:tcBorders>
              <w:top w:val="nil"/>
              <w:left w:val="nil"/>
              <w:bottom w:val="single" w:sz="4" w:space="0" w:color="auto"/>
              <w:right w:val="single" w:sz="4" w:space="0" w:color="auto"/>
            </w:tcBorders>
            <w:vAlign w:val="center"/>
          </w:tcPr>
          <w:p w14:paraId="38093F76"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0.0468</w:t>
            </w:r>
          </w:p>
        </w:tc>
        <w:tc>
          <w:tcPr>
            <w:tcW w:w="568" w:type="pct"/>
            <w:tcBorders>
              <w:top w:val="nil"/>
              <w:left w:val="nil"/>
              <w:bottom w:val="single" w:sz="4" w:space="0" w:color="auto"/>
              <w:right w:val="single" w:sz="4" w:space="0" w:color="auto"/>
            </w:tcBorders>
            <w:vAlign w:val="center"/>
          </w:tcPr>
          <w:p w14:paraId="55D47080"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0.1093</w:t>
            </w:r>
          </w:p>
        </w:tc>
      </w:tr>
      <w:tr w:rsidR="004F784C" w:rsidRPr="00DD1686" w14:paraId="564E8778" w14:textId="77777777" w:rsidTr="00603DEF">
        <w:tc>
          <w:tcPr>
            <w:tcW w:w="1028" w:type="pct"/>
            <w:hideMark/>
          </w:tcPr>
          <w:p w14:paraId="03C737FE" w14:textId="77777777" w:rsidR="004F784C" w:rsidRPr="00DD1686" w:rsidRDefault="004F784C" w:rsidP="004F784C">
            <w:pPr>
              <w:rPr>
                <w:rFonts w:ascii="Arial" w:eastAsia="Calibri" w:hAnsi="Arial" w:cs="Arial"/>
                <w:sz w:val="20"/>
                <w:szCs w:val="20"/>
              </w:rPr>
            </w:pPr>
            <w:r w:rsidRPr="00DD1686">
              <w:rPr>
                <w:rFonts w:ascii="Arial" w:eastAsia="Calibri" w:hAnsi="Arial" w:cs="Arial"/>
                <w:sz w:val="20"/>
                <w:szCs w:val="20"/>
              </w:rPr>
              <w:t>Others</w:t>
            </w:r>
          </w:p>
        </w:tc>
        <w:tc>
          <w:tcPr>
            <w:tcW w:w="567" w:type="pct"/>
            <w:tcBorders>
              <w:top w:val="nil"/>
              <w:left w:val="single" w:sz="4" w:space="0" w:color="auto"/>
              <w:bottom w:val="single" w:sz="4" w:space="0" w:color="auto"/>
              <w:right w:val="single" w:sz="4" w:space="0" w:color="auto"/>
            </w:tcBorders>
            <w:vAlign w:val="center"/>
          </w:tcPr>
          <w:p w14:paraId="0CBBCB1E"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0.0827</w:t>
            </w:r>
          </w:p>
        </w:tc>
        <w:tc>
          <w:tcPr>
            <w:tcW w:w="567" w:type="pct"/>
            <w:tcBorders>
              <w:top w:val="nil"/>
              <w:left w:val="nil"/>
              <w:bottom w:val="single" w:sz="4" w:space="0" w:color="auto"/>
              <w:right w:val="single" w:sz="4" w:space="0" w:color="auto"/>
            </w:tcBorders>
            <w:vAlign w:val="center"/>
          </w:tcPr>
          <w:p w14:paraId="1B6BE816"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0.1415</w:t>
            </w:r>
          </w:p>
        </w:tc>
        <w:tc>
          <w:tcPr>
            <w:tcW w:w="568" w:type="pct"/>
            <w:tcBorders>
              <w:top w:val="nil"/>
              <w:left w:val="nil"/>
              <w:bottom w:val="single" w:sz="4" w:space="0" w:color="auto"/>
              <w:right w:val="single" w:sz="4" w:space="0" w:color="auto"/>
            </w:tcBorders>
            <w:vAlign w:val="center"/>
          </w:tcPr>
          <w:p w14:paraId="15B35196"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0.1840</w:t>
            </w:r>
          </w:p>
        </w:tc>
        <w:tc>
          <w:tcPr>
            <w:tcW w:w="567" w:type="pct"/>
            <w:tcBorders>
              <w:top w:val="nil"/>
              <w:left w:val="nil"/>
              <w:bottom w:val="single" w:sz="4" w:space="0" w:color="auto"/>
              <w:right w:val="single" w:sz="4" w:space="0" w:color="auto"/>
            </w:tcBorders>
            <w:vAlign w:val="center"/>
          </w:tcPr>
          <w:p w14:paraId="1B4DA6CF"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0.1779</w:t>
            </w:r>
          </w:p>
        </w:tc>
        <w:tc>
          <w:tcPr>
            <w:tcW w:w="568" w:type="pct"/>
            <w:tcBorders>
              <w:top w:val="nil"/>
              <w:left w:val="nil"/>
              <w:bottom w:val="single" w:sz="4" w:space="0" w:color="auto"/>
              <w:right w:val="single" w:sz="4" w:space="0" w:color="auto"/>
            </w:tcBorders>
            <w:vAlign w:val="center"/>
          </w:tcPr>
          <w:p w14:paraId="0D051956"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0.2598</w:t>
            </w:r>
          </w:p>
        </w:tc>
        <w:tc>
          <w:tcPr>
            <w:tcW w:w="567" w:type="pct"/>
            <w:tcBorders>
              <w:top w:val="nil"/>
              <w:left w:val="nil"/>
              <w:bottom w:val="single" w:sz="4" w:space="0" w:color="auto"/>
              <w:right w:val="single" w:sz="4" w:space="0" w:color="auto"/>
            </w:tcBorders>
            <w:vAlign w:val="center"/>
          </w:tcPr>
          <w:p w14:paraId="17A9AC52" w14:textId="77777777" w:rsidR="004F784C" w:rsidRPr="00DD1686" w:rsidRDefault="004F784C" w:rsidP="004F784C">
            <w:pPr>
              <w:jc w:val="center"/>
              <w:rPr>
                <w:rFonts w:ascii="Arial" w:eastAsia="Calibri" w:hAnsi="Arial" w:cs="Arial"/>
                <w:sz w:val="20"/>
                <w:szCs w:val="20"/>
              </w:rPr>
            </w:pPr>
            <w:r w:rsidRPr="00DD1686">
              <w:rPr>
                <w:rFonts w:ascii="Arial" w:eastAsia="Calibri" w:hAnsi="Arial" w:cs="Arial"/>
                <w:sz w:val="20"/>
                <w:szCs w:val="20"/>
              </w:rPr>
              <w:t>0.0466</w:t>
            </w:r>
          </w:p>
        </w:tc>
        <w:tc>
          <w:tcPr>
            <w:tcW w:w="568" w:type="pct"/>
            <w:tcBorders>
              <w:top w:val="nil"/>
              <w:left w:val="nil"/>
              <w:bottom w:val="single" w:sz="4" w:space="0" w:color="auto"/>
              <w:right w:val="single" w:sz="4" w:space="0" w:color="auto"/>
            </w:tcBorders>
            <w:vAlign w:val="center"/>
          </w:tcPr>
          <w:p w14:paraId="6344827B" w14:textId="77777777" w:rsidR="004F784C" w:rsidRPr="00DD1686" w:rsidRDefault="004F784C" w:rsidP="004F784C">
            <w:pPr>
              <w:jc w:val="center"/>
              <w:rPr>
                <w:rFonts w:ascii="Arial" w:eastAsia="Calibri" w:hAnsi="Arial" w:cs="Arial"/>
                <w:b/>
                <w:bCs/>
                <w:sz w:val="20"/>
                <w:szCs w:val="20"/>
              </w:rPr>
            </w:pPr>
            <w:r w:rsidRPr="00DD1686">
              <w:rPr>
                <w:rFonts w:ascii="Arial" w:eastAsia="Calibri" w:hAnsi="Arial" w:cs="Arial"/>
                <w:b/>
                <w:bCs/>
                <w:sz w:val="20"/>
                <w:szCs w:val="20"/>
              </w:rPr>
              <w:t>0.1075</w:t>
            </w:r>
          </w:p>
        </w:tc>
      </w:tr>
    </w:tbl>
    <w:p w14:paraId="1DAFD7D2" w14:textId="77777777" w:rsidR="004F784C" w:rsidRPr="00DD1686" w:rsidRDefault="004F784C" w:rsidP="004F784C">
      <w:pPr>
        <w:jc w:val="both"/>
        <w:rPr>
          <w:rFonts w:ascii="Arial" w:eastAsia="Calibri" w:hAnsi="Arial" w:cs="Arial"/>
          <w:sz w:val="20"/>
          <w:szCs w:val="20"/>
          <w:lang w:bidi="gu-IN"/>
        </w:rPr>
      </w:pPr>
    </w:p>
    <w:p w14:paraId="7DF742DD" w14:textId="77777777" w:rsidR="004F784C" w:rsidRPr="00DD1686" w:rsidRDefault="00C376DE" w:rsidP="00D412B7">
      <w:pPr>
        <w:spacing w:after="120"/>
        <w:jc w:val="both"/>
        <w:rPr>
          <w:rFonts w:ascii="Arial" w:eastAsia="Calibri" w:hAnsi="Arial" w:cs="Arial"/>
          <w:b/>
          <w:bCs/>
          <w:lang w:bidi="gu-IN"/>
        </w:rPr>
      </w:pPr>
      <w:r>
        <w:rPr>
          <w:rFonts w:ascii="Arial" w:eastAsia="Calibri" w:hAnsi="Arial" w:cs="Arial"/>
          <w:b/>
          <w:bCs/>
          <w:lang w:bidi="gu-IN"/>
        </w:rPr>
        <w:t xml:space="preserve">3.4 </w:t>
      </w:r>
      <w:r w:rsidR="004F784C" w:rsidRPr="00DD1686">
        <w:rPr>
          <w:rFonts w:ascii="Arial" w:eastAsia="Calibri" w:hAnsi="Arial" w:cs="Arial"/>
          <w:b/>
          <w:bCs/>
          <w:lang w:bidi="gu-IN"/>
        </w:rPr>
        <w:t>Policy Implications</w:t>
      </w:r>
    </w:p>
    <w:p w14:paraId="11CD259A" w14:textId="77777777" w:rsidR="004F784C" w:rsidRPr="00C376DE" w:rsidRDefault="004F784C" w:rsidP="00D412B7">
      <w:pPr>
        <w:spacing w:after="120"/>
        <w:jc w:val="both"/>
        <w:rPr>
          <w:rFonts w:ascii="Arial" w:eastAsia="Calibri" w:hAnsi="Arial" w:cs="Arial"/>
          <w:sz w:val="20"/>
          <w:szCs w:val="20"/>
          <w:lang w:bidi="gu-IN"/>
        </w:rPr>
      </w:pPr>
      <w:r w:rsidRPr="00C376DE">
        <w:rPr>
          <w:rFonts w:ascii="Arial" w:eastAsia="Calibri" w:hAnsi="Arial" w:cs="Arial"/>
          <w:sz w:val="20"/>
          <w:szCs w:val="20"/>
          <w:lang w:bidi="gu-IN"/>
        </w:rPr>
        <w:t>The findings from the RCA and Markov Chain analyses point to several policy priorities for strengthening India’s marine product exports.</w:t>
      </w:r>
    </w:p>
    <w:p w14:paraId="06284E9B" w14:textId="77777777" w:rsidR="004F784C" w:rsidRPr="00C376DE" w:rsidRDefault="004F784C" w:rsidP="00D412B7">
      <w:pPr>
        <w:numPr>
          <w:ilvl w:val="0"/>
          <w:numId w:val="2"/>
        </w:numPr>
        <w:spacing w:after="120"/>
        <w:jc w:val="both"/>
        <w:rPr>
          <w:rFonts w:ascii="Arial" w:eastAsia="Calibri" w:hAnsi="Arial" w:cs="Arial"/>
          <w:sz w:val="20"/>
          <w:szCs w:val="20"/>
          <w:lang w:bidi="gu-IN"/>
        </w:rPr>
      </w:pPr>
      <w:r w:rsidRPr="00C376DE">
        <w:rPr>
          <w:rFonts w:ascii="Arial" w:eastAsia="Calibri" w:hAnsi="Arial" w:cs="Arial"/>
          <w:sz w:val="20"/>
          <w:szCs w:val="20"/>
          <w:lang w:bidi="gu-IN"/>
        </w:rPr>
        <w:t>The sustained comparative advantage in frozen shrimp calls for continued support to aquaculture modernization, disease surveillance, sustainability certification, and strict compliance with sanitary and phytosanitary standards to maintain competitiveness in key markets such as the United States, China, and the European Union.</w:t>
      </w:r>
    </w:p>
    <w:p w14:paraId="535C32A0" w14:textId="77777777" w:rsidR="004F784C" w:rsidRPr="00C376DE" w:rsidRDefault="004F784C" w:rsidP="00D412B7">
      <w:pPr>
        <w:numPr>
          <w:ilvl w:val="0"/>
          <w:numId w:val="2"/>
        </w:numPr>
        <w:spacing w:after="120"/>
        <w:jc w:val="both"/>
        <w:rPr>
          <w:rFonts w:ascii="Arial" w:eastAsia="Calibri" w:hAnsi="Arial" w:cs="Arial"/>
          <w:sz w:val="20"/>
          <w:szCs w:val="20"/>
          <w:lang w:bidi="gu-IN"/>
        </w:rPr>
      </w:pPr>
      <w:r w:rsidRPr="00C376DE">
        <w:rPr>
          <w:rFonts w:ascii="Arial" w:eastAsia="Calibri" w:hAnsi="Arial" w:cs="Arial"/>
          <w:sz w:val="20"/>
          <w:szCs w:val="20"/>
          <w:lang w:bidi="gu-IN"/>
        </w:rPr>
        <w:t xml:space="preserve">The absence of comparative advantage in other product segments highlights the need for diversification through greater value addition, processing modernization, </w:t>
      </w:r>
      <w:r w:rsidRPr="00C376DE">
        <w:rPr>
          <w:rFonts w:ascii="Arial" w:eastAsia="Calibri" w:hAnsi="Arial" w:cs="Arial"/>
          <w:sz w:val="20"/>
          <w:szCs w:val="20"/>
          <w:lang w:bidi="gu-IN"/>
        </w:rPr>
        <w:lastRenderedPageBreak/>
        <w:t>improved cold-chain logistics, and quality upgrading, and thereby reducing overdependence on shrimp exports.</w:t>
      </w:r>
    </w:p>
    <w:p w14:paraId="130F054F" w14:textId="77777777" w:rsidR="004F784C" w:rsidRPr="00C376DE" w:rsidRDefault="004F784C" w:rsidP="00D412B7">
      <w:pPr>
        <w:numPr>
          <w:ilvl w:val="0"/>
          <w:numId w:val="2"/>
        </w:numPr>
        <w:spacing w:after="120"/>
        <w:jc w:val="both"/>
        <w:rPr>
          <w:rFonts w:ascii="Arial" w:eastAsia="Calibri" w:hAnsi="Arial" w:cs="Arial"/>
          <w:sz w:val="20"/>
          <w:szCs w:val="20"/>
          <w:lang w:bidi="gu-IN"/>
        </w:rPr>
      </w:pPr>
      <w:r w:rsidRPr="00C376DE">
        <w:rPr>
          <w:rFonts w:ascii="Arial" w:eastAsia="Calibri" w:hAnsi="Arial" w:cs="Arial"/>
          <w:sz w:val="20"/>
          <w:szCs w:val="20"/>
          <w:lang w:bidi="gu-IN"/>
        </w:rPr>
        <w:t>The increasing orientation toward Asian markets, particularly South East Asia and China, suggests consolidating gains in these relatively stable destinations while revitalizing exports to declining markets such as Japan through branding, product differentiation, and targeted market promotion.</w:t>
      </w:r>
    </w:p>
    <w:p w14:paraId="424B71BB" w14:textId="77777777" w:rsidR="004F784C" w:rsidRPr="00C376DE" w:rsidRDefault="004F784C" w:rsidP="004F784C">
      <w:pPr>
        <w:numPr>
          <w:ilvl w:val="0"/>
          <w:numId w:val="2"/>
        </w:numPr>
        <w:jc w:val="both"/>
        <w:rPr>
          <w:rFonts w:ascii="Arial" w:eastAsia="Calibri" w:hAnsi="Arial" w:cs="Arial"/>
          <w:sz w:val="20"/>
          <w:szCs w:val="20"/>
          <w:lang w:bidi="gu-IN"/>
        </w:rPr>
      </w:pPr>
      <w:r w:rsidRPr="00C376DE">
        <w:rPr>
          <w:rFonts w:ascii="Arial" w:eastAsia="Calibri" w:hAnsi="Arial" w:cs="Arial"/>
          <w:sz w:val="20"/>
          <w:szCs w:val="20"/>
          <w:lang w:bidi="gu-IN"/>
        </w:rPr>
        <w:t>Strengthening institutional support through the Marine Products Export Development Authority, improving market intelligence systems, and investing in sustainable resource management and export infrastructure will be essential to ensure long-term competitiveness and export stability.</w:t>
      </w:r>
    </w:p>
    <w:p w14:paraId="6356D817" w14:textId="77777777" w:rsidR="004F784C" w:rsidRPr="00603DEF" w:rsidRDefault="004F784C" w:rsidP="004F784C">
      <w:pPr>
        <w:jc w:val="both"/>
        <w:rPr>
          <w:rFonts w:ascii="Arial" w:eastAsia="Calibri" w:hAnsi="Arial" w:cs="Arial"/>
          <w:sz w:val="24"/>
          <w:szCs w:val="24"/>
          <w:lang w:bidi="gu-IN"/>
        </w:rPr>
      </w:pPr>
    </w:p>
    <w:p w14:paraId="15ACDD4C" w14:textId="77777777" w:rsidR="004F784C" w:rsidRPr="00DD1686" w:rsidRDefault="00DD1686" w:rsidP="00D412B7">
      <w:pPr>
        <w:spacing w:after="120"/>
        <w:jc w:val="both"/>
        <w:rPr>
          <w:rFonts w:ascii="Arial" w:eastAsia="Calibri" w:hAnsi="Arial" w:cs="Arial"/>
          <w:b/>
          <w:bCs/>
          <w:lang w:bidi="gu-IN"/>
        </w:rPr>
      </w:pPr>
      <w:r w:rsidRPr="00DD1686">
        <w:rPr>
          <w:rFonts w:ascii="Arial" w:eastAsia="Calibri" w:hAnsi="Arial" w:cs="Arial"/>
          <w:b/>
          <w:bCs/>
          <w:lang w:bidi="gu-IN"/>
        </w:rPr>
        <w:t xml:space="preserve">4. </w:t>
      </w:r>
      <w:r w:rsidR="004F784C" w:rsidRPr="00DD1686">
        <w:rPr>
          <w:rFonts w:ascii="Arial" w:eastAsia="Calibri" w:hAnsi="Arial" w:cs="Arial"/>
          <w:b/>
          <w:bCs/>
          <w:lang w:bidi="gu-IN"/>
        </w:rPr>
        <w:t>CONCLUSION</w:t>
      </w:r>
    </w:p>
    <w:p w14:paraId="23B27884" w14:textId="77777777" w:rsidR="004F784C" w:rsidRPr="00DD1686" w:rsidRDefault="004F784C" w:rsidP="00D412B7">
      <w:pPr>
        <w:spacing w:after="120"/>
        <w:jc w:val="both"/>
        <w:rPr>
          <w:rFonts w:ascii="Arial" w:eastAsia="Calibri" w:hAnsi="Arial" w:cs="Arial"/>
          <w:sz w:val="20"/>
          <w:szCs w:val="20"/>
          <w:lang w:bidi="gu-IN"/>
        </w:rPr>
      </w:pPr>
      <w:r w:rsidRPr="00DD1686">
        <w:rPr>
          <w:rFonts w:ascii="Arial" w:eastAsia="Calibri" w:hAnsi="Arial" w:cs="Arial"/>
          <w:sz w:val="20"/>
          <w:szCs w:val="20"/>
          <w:lang w:bidi="gu-IN"/>
        </w:rPr>
        <w:t>The study assessed the competitiveness and market dynamics of India’s marine product exports using Revealed Comparative Advantage (RCA) and Markov Chain analyses. The results show a strong and persistent comparative advantage in frozen shrimp, while most other marine product categories continue to experience either temporary or sustained comparative disadvantage. This indicates a high degree of structural concentration in India’s export basket.</w:t>
      </w:r>
    </w:p>
    <w:p w14:paraId="10C61382" w14:textId="77777777" w:rsidR="004F784C" w:rsidRPr="00DD1686" w:rsidRDefault="004F784C" w:rsidP="00D412B7">
      <w:pPr>
        <w:spacing w:after="120"/>
        <w:jc w:val="both"/>
        <w:rPr>
          <w:rFonts w:ascii="Arial" w:eastAsia="Calibri" w:hAnsi="Arial" w:cs="Arial"/>
          <w:sz w:val="20"/>
          <w:szCs w:val="20"/>
          <w:lang w:bidi="gu-IN"/>
        </w:rPr>
      </w:pPr>
      <w:r w:rsidRPr="00DD1686">
        <w:rPr>
          <w:rFonts w:ascii="Arial" w:eastAsia="Calibri" w:hAnsi="Arial" w:cs="Arial"/>
          <w:sz w:val="20"/>
          <w:szCs w:val="20"/>
          <w:lang w:bidi="gu-IN"/>
        </w:rPr>
        <w:t>The market retention analysis highlights shifting trade patterns, with growing orientation toward Asian destinations, particularly South East Asia and China, alongside dynamic adjustments among traditional markets such as the United States and the European Union. Although certain markets display relative stability, the overall transition structure reflects an adaptive and increasingly diversified export system.</w:t>
      </w:r>
    </w:p>
    <w:p w14:paraId="19E71482" w14:textId="77777777" w:rsidR="004F784C" w:rsidRDefault="004F784C" w:rsidP="00DD1686">
      <w:pPr>
        <w:jc w:val="both"/>
        <w:rPr>
          <w:rFonts w:ascii="Arial" w:eastAsia="Calibri" w:hAnsi="Arial" w:cs="Arial"/>
          <w:sz w:val="20"/>
          <w:szCs w:val="20"/>
          <w:lang w:bidi="gu-IN"/>
        </w:rPr>
      </w:pPr>
      <w:r w:rsidRPr="00DD1686">
        <w:rPr>
          <w:rFonts w:ascii="Arial" w:eastAsia="Calibri" w:hAnsi="Arial" w:cs="Arial"/>
          <w:sz w:val="20"/>
          <w:szCs w:val="20"/>
          <w:lang w:bidi="gu-IN"/>
        </w:rPr>
        <w:t>In summary, while India’s marine export sector demonstrates strong competitiveness in shrimp, broader product diversification remains limited. Ensuring long-term sustainability will require expanding the export base, promoting value addition, strengthening infrastructure, and maintaining high standards of quality compliance. A balanced approach that combines competitiveness enhancement with strategic market diversification will be critical for sustaining India’s position in global marine trade.</w:t>
      </w:r>
    </w:p>
    <w:p w14:paraId="510A6E22" w14:textId="77777777" w:rsidR="00DD1686" w:rsidRDefault="00DD1686" w:rsidP="00DD1686">
      <w:pPr>
        <w:jc w:val="both"/>
        <w:rPr>
          <w:rFonts w:ascii="Arial" w:eastAsia="Calibri" w:hAnsi="Arial" w:cs="Arial"/>
          <w:sz w:val="20"/>
          <w:szCs w:val="20"/>
          <w:lang w:bidi="gu-IN"/>
        </w:rPr>
      </w:pPr>
    </w:p>
    <w:p w14:paraId="2EF4CAC5" w14:textId="77777777" w:rsidR="004F784C" w:rsidRPr="00603DEF" w:rsidRDefault="004F784C" w:rsidP="004F784C">
      <w:pPr>
        <w:jc w:val="both"/>
        <w:rPr>
          <w:rFonts w:ascii="Arial" w:eastAsia="Calibri" w:hAnsi="Arial" w:cs="Arial"/>
          <w:sz w:val="24"/>
          <w:szCs w:val="24"/>
          <w:lang w:val="en-GB" w:bidi="gu-IN"/>
        </w:rPr>
      </w:pPr>
      <w:bookmarkStart w:id="0" w:name="_GoBack"/>
      <w:bookmarkEnd w:id="0"/>
    </w:p>
    <w:p w14:paraId="0013BC77" w14:textId="77777777" w:rsidR="004F784C" w:rsidRPr="00C376DE" w:rsidRDefault="004F784C" w:rsidP="00D412B7">
      <w:pPr>
        <w:spacing w:after="120"/>
        <w:jc w:val="both"/>
        <w:rPr>
          <w:rFonts w:ascii="Arial" w:eastAsia="Calibri" w:hAnsi="Arial" w:cs="Arial"/>
          <w:lang w:val="en-GB" w:bidi="gu-IN"/>
        </w:rPr>
      </w:pPr>
      <w:r w:rsidRPr="00C376DE">
        <w:rPr>
          <w:rFonts w:ascii="Arial" w:eastAsia="Calibri" w:hAnsi="Arial" w:cs="Arial"/>
          <w:b/>
          <w:bCs/>
          <w:lang w:val="en-GB" w:bidi="gu-IN"/>
        </w:rPr>
        <w:t>REFERENCES</w:t>
      </w:r>
    </w:p>
    <w:p w14:paraId="1031CCFE" w14:textId="77777777" w:rsidR="00C376DE" w:rsidRDefault="004F784C"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t>Anderson, T. W.</w:t>
      </w:r>
      <w:r w:rsidR="00C376DE">
        <w:rPr>
          <w:rFonts w:ascii="Arial" w:eastAsia="Calibri" w:hAnsi="Arial" w:cs="Arial"/>
          <w:sz w:val="20"/>
          <w:szCs w:val="20"/>
        </w:rPr>
        <w:t>, &amp;</w:t>
      </w:r>
      <w:r w:rsidRPr="00C376DE">
        <w:rPr>
          <w:rFonts w:ascii="Arial" w:eastAsia="Calibri" w:hAnsi="Arial" w:cs="Arial"/>
          <w:sz w:val="20"/>
          <w:szCs w:val="20"/>
        </w:rPr>
        <w:t xml:space="preserve"> Goodman, L. A. (1957). Statistical inference about Markov chains. The </w:t>
      </w:r>
      <w:r w:rsidRPr="00B77A66">
        <w:rPr>
          <w:rFonts w:ascii="Arial" w:eastAsia="Calibri" w:hAnsi="Arial" w:cs="Arial"/>
          <w:i/>
          <w:iCs/>
          <w:sz w:val="20"/>
          <w:szCs w:val="20"/>
        </w:rPr>
        <w:t>Annals of Mathematical Statistics</w:t>
      </w:r>
      <w:r w:rsidRPr="00C376DE">
        <w:rPr>
          <w:rFonts w:ascii="Arial" w:eastAsia="Calibri" w:hAnsi="Arial" w:cs="Arial"/>
          <w:sz w:val="20"/>
          <w:szCs w:val="20"/>
        </w:rPr>
        <w:t>,</w:t>
      </w:r>
      <w:r w:rsidRPr="00C376DE">
        <w:rPr>
          <w:rFonts w:ascii="Arial" w:eastAsia="Calibri" w:hAnsi="Arial" w:cs="Arial"/>
          <w:i/>
          <w:iCs/>
          <w:sz w:val="20"/>
          <w:szCs w:val="20"/>
        </w:rPr>
        <w:t xml:space="preserve"> </w:t>
      </w:r>
      <w:r w:rsidRPr="00C376DE">
        <w:rPr>
          <w:rFonts w:ascii="Arial" w:eastAsia="Calibri" w:hAnsi="Arial" w:cs="Arial"/>
          <w:sz w:val="20"/>
          <w:szCs w:val="20"/>
        </w:rPr>
        <w:t>28</w:t>
      </w:r>
      <w:r w:rsidR="00C376DE">
        <w:rPr>
          <w:rFonts w:ascii="Arial" w:eastAsia="Calibri" w:hAnsi="Arial" w:cs="Arial"/>
          <w:sz w:val="20"/>
          <w:szCs w:val="20"/>
        </w:rPr>
        <w:t>(1),</w:t>
      </w:r>
      <w:r w:rsidRPr="00C376DE">
        <w:rPr>
          <w:rFonts w:ascii="Arial" w:eastAsia="Calibri" w:hAnsi="Arial" w:cs="Arial"/>
          <w:sz w:val="20"/>
          <w:szCs w:val="20"/>
        </w:rPr>
        <w:t xml:space="preserve"> 89-110. </w:t>
      </w:r>
      <w:r w:rsidR="00661054" w:rsidRPr="00661054">
        <w:rPr>
          <w:rFonts w:ascii="Arial" w:eastAsia="Calibri" w:hAnsi="Arial" w:cs="Arial"/>
          <w:sz w:val="20"/>
          <w:szCs w:val="20"/>
        </w:rPr>
        <w:t>https://doi.org/10.1214/aoms/1177707039</w:t>
      </w:r>
    </w:p>
    <w:p w14:paraId="6191E2BF" w14:textId="77777777" w:rsidR="00C376DE" w:rsidRDefault="00C376DE"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t xml:space="preserve">Balassa, B. (1965). Trade liberalization and revealed comparative advantage. </w:t>
      </w:r>
      <w:r w:rsidRPr="00B77A66">
        <w:rPr>
          <w:rFonts w:ascii="Arial" w:eastAsia="Calibri" w:hAnsi="Arial" w:cs="Arial"/>
          <w:i/>
          <w:iCs/>
          <w:sz w:val="20"/>
          <w:szCs w:val="20"/>
        </w:rPr>
        <w:t>The Manchester School of Economic and Social Studies</w:t>
      </w:r>
      <w:r>
        <w:rPr>
          <w:rFonts w:ascii="Arial" w:eastAsia="Calibri" w:hAnsi="Arial" w:cs="Arial"/>
          <w:sz w:val="20"/>
          <w:szCs w:val="20"/>
        </w:rPr>
        <w:t>, 33(2),</w:t>
      </w:r>
      <w:r w:rsidRPr="00C376DE">
        <w:rPr>
          <w:rFonts w:ascii="Arial" w:eastAsia="Calibri" w:hAnsi="Arial" w:cs="Arial"/>
          <w:sz w:val="20"/>
          <w:szCs w:val="20"/>
        </w:rPr>
        <w:t xml:space="preserve"> 99-123. </w:t>
      </w:r>
      <w:r w:rsidR="00661054" w:rsidRPr="00661054">
        <w:rPr>
          <w:rFonts w:ascii="Arial" w:eastAsia="Calibri" w:hAnsi="Arial" w:cs="Arial"/>
          <w:sz w:val="20"/>
          <w:szCs w:val="20"/>
        </w:rPr>
        <w:t>https://doi.org/10.1111/j.1467-9957.1965.tb00050.x</w:t>
      </w:r>
    </w:p>
    <w:p w14:paraId="34B4A2E8" w14:textId="77777777" w:rsidR="004F784C" w:rsidRPr="00C376DE" w:rsidRDefault="004F784C"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t>Chandrasekar, V., Geethalakshmi, V., Suresh, A.</w:t>
      </w:r>
      <w:r w:rsidR="00C376DE">
        <w:rPr>
          <w:rFonts w:ascii="Arial" w:eastAsia="Calibri" w:hAnsi="Arial" w:cs="Arial"/>
          <w:sz w:val="20"/>
          <w:szCs w:val="20"/>
        </w:rPr>
        <w:t>, &amp;</w:t>
      </w:r>
      <w:r w:rsidRPr="00C376DE">
        <w:rPr>
          <w:rFonts w:ascii="Arial" w:eastAsia="Calibri" w:hAnsi="Arial" w:cs="Arial"/>
          <w:sz w:val="20"/>
          <w:szCs w:val="20"/>
        </w:rPr>
        <w:t xml:space="preserve"> Gopal, N. (2024). Indian marine products exports: Growth, instability and geographical diversification. </w:t>
      </w:r>
      <w:r w:rsidRPr="00B77A66">
        <w:rPr>
          <w:rFonts w:ascii="Arial" w:eastAsia="Calibri" w:hAnsi="Arial" w:cs="Arial"/>
          <w:i/>
          <w:iCs/>
          <w:sz w:val="20"/>
          <w:szCs w:val="20"/>
        </w:rPr>
        <w:t>Indian Journal of Fisheries</w:t>
      </w:r>
      <w:r w:rsidRPr="00C376DE">
        <w:rPr>
          <w:rFonts w:ascii="Arial" w:eastAsia="Calibri" w:hAnsi="Arial" w:cs="Arial"/>
          <w:sz w:val="20"/>
          <w:szCs w:val="20"/>
        </w:rPr>
        <w:t>,</w:t>
      </w:r>
      <w:r w:rsidRPr="00C376DE">
        <w:rPr>
          <w:rFonts w:ascii="Arial" w:eastAsia="Calibri" w:hAnsi="Arial" w:cs="Arial"/>
          <w:i/>
          <w:iCs/>
          <w:sz w:val="20"/>
          <w:szCs w:val="20"/>
        </w:rPr>
        <w:t xml:space="preserve"> </w:t>
      </w:r>
      <w:r w:rsidRPr="00C376DE">
        <w:rPr>
          <w:rFonts w:ascii="Arial" w:eastAsia="Calibri" w:hAnsi="Arial" w:cs="Arial"/>
          <w:sz w:val="20"/>
          <w:szCs w:val="20"/>
        </w:rPr>
        <w:t>71</w:t>
      </w:r>
      <w:r w:rsidR="00C376DE">
        <w:rPr>
          <w:rFonts w:ascii="Arial" w:eastAsia="Calibri" w:hAnsi="Arial" w:cs="Arial"/>
          <w:sz w:val="20"/>
          <w:szCs w:val="20"/>
        </w:rPr>
        <w:t>(3),</w:t>
      </w:r>
      <w:r w:rsidRPr="00C376DE">
        <w:rPr>
          <w:rFonts w:ascii="Arial" w:eastAsia="Calibri" w:hAnsi="Arial" w:cs="Arial"/>
          <w:sz w:val="20"/>
          <w:szCs w:val="20"/>
        </w:rPr>
        <w:t xml:space="preserve"> 149-156. </w:t>
      </w:r>
      <w:r w:rsidR="00661054" w:rsidRPr="00661054">
        <w:rPr>
          <w:rFonts w:ascii="Arial" w:eastAsia="Calibri" w:hAnsi="Arial" w:cs="Arial"/>
          <w:sz w:val="20"/>
          <w:szCs w:val="20"/>
        </w:rPr>
        <w:t>https://doi.org/10.21077/ijf.2024.71.3.135286-18</w:t>
      </w:r>
    </w:p>
    <w:p w14:paraId="10DA66AA" w14:textId="77777777" w:rsidR="004F784C" w:rsidRPr="00C376DE" w:rsidRDefault="004F784C" w:rsidP="00D412B7">
      <w:pPr>
        <w:spacing w:after="120"/>
        <w:ind w:left="720" w:hanging="720"/>
        <w:jc w:val="both"/>
        <w:rPr>
          <w:rFonts w:ascii="Arial" w:eastAsia="Calibri" w:hAnsi="Arial" w:cs="Arial"/>
          <w:sz w:val="20"/>
          <w:szCs w:val="20"/>
          <w:lang w:val="en-GB"/>
        </w:rPr>
      </w:pPr>
      <w:r w:rsidRPr="00C376DE">
        <w:rPr>
          <w:rFonts w:ascii="Arial" w:eastAsia="Calibri" w:hAnsi="Arial" w:cs="Arial"/>
          <w:sz w:val="20"/>
          <w:szCs w:val="20"/>
          <w:lang w:val="en-GB"/>
        </w:rPr>
        <w:t>Chandrasekar, V., Paramasivam, P., Jayanthi, C.</w:t>
      </w:r>
      <w:r w:rsidR="00C376DE">
        <w:rPr>
          <w:rFonts w:ascii="Arial" w:eastAsia="Calibri" w:hAnsi="Arial" w:cs="Arial"/>
          <w:sz w:val="20"/>
          <w:szCs w:val="20"/>
          <w:lang w:val="en-GB"/>
        </w:rPr>
        <w:t xml:space="preserve">, </w:t>
      </w:r>
      <w:r w:rsidRPr="00C376DE">
        <w:rPr>
          <w:rFonts w:ascii="Arial" w:eastAsia="Calibri" w:hAnsi="Arial" w:cs="Arial"/>
          <w:sz w:val="20"/>
          <w:szCs w:val="20"/>
          <w:lang w:val="en-GB"/>
        </w:rPr>
        <w:t>Sathy, R.</w:t>
      </w:r>
      <w:r w:rsidR="00661054">
        <w:rPr>
          <w:rFonts w:ascii="Arial" w:eastAsia="Calibri" w:hAnsi="Arial" w:cs="Arial"/>
          <w:sz w:val="20"/>
          <w:szCs w:val="20"/>
          <w:lang w:val="en-GB"/>
        </w:rPr>
        <w:t>, Nikita, G., &amp; Mani, K.</w:t>
      </w:r>
      <w:r w:rsidRPr="00C376DE">
        <w:rPr>
          <w:rFonts w:ascii="Arial" w:eastAsia="Calibri" w:hAnsi="Arial" w:cs="Arial"/>
          <w:sz w:val="20"/>
          <w:szCs w:val="20"/>
          <w:lang w:val="en-GB"/>
        </w:rPr>
        <w:t xml:space="preserve"> (2020). Analysis of marine products export from India using Markov-chain models. </w:t>
      </w:r>
      <w:r w:rsidRPr="00B77A66">
        <w:rPr>
          <w:rFonts w:ascii="Arial" w:eastAsia="Calibri" w:hAnsi="Arial" w:cs="Arial"/>
          <w:i/>
          <w:iCs/>
          <w:sz w:val="20"/>
          <w:szCs w:val="20"/>
          <w:lang w:val="en-GB"/>
        </w:rPr>
        <w:t>Fishery Technology</w:t>
      </w:r>
      <w:r w:rsidRPr="00C376DE">
        <w:rPr>
          <w:rFonts w:ascii="Arial" w:eastAsia="Calibri" w:hAnsi="Arial" w:cs="Arial"/>
          <w:sz w:val="20"/>
          <w:szCs w:val="20"/>
          <w:lang w:val="en-GB"/>
        </w:rPr>
        <w:t>,</w:t>
      </w:r>
      <w:r w:rsidRPr="00C376DE">
        <w:rPr>
          <w:rFonts w:ascii="Arial" w:eastAsia="Calibri" w:hAnsi="Arial" w:cs="Arial"/>
          <w:i/>
          <w:iCs/>
          <w:sz w:val="20"/>
          <w:szCs w:val="20"/>
          <w:lang w:val="en-GB"/>
        </w:rPr>
        <w:t xml:space="preserve"> </w:t>
      </w:r>
      <w:r w:rsidRPr="00C376DE">
        <w:rPr>
          <w:rFonts w:ascii="Arial" w:eastAsia="Calibri" w:hAnsi="Arial" w:cs="Arial"/>
          <w:sz w:val="20"/>
          <w:szCs w:val="20"/>
          <w:lang w:val="en-GB"/>
        </w:rPr>
        <w:t>57</w:t>
      </w:r>
      <w:r w:rsidR="00C376DE">
        <w:rPr>
          <w:rFonts w:ascii="Arial" w:eastAsia="Calibri" w:hAnsi="Arial" w:cs="Arial"/>
          <w:sz w:val="20"/>
          <w:szCs w:val="20"/>
          <w:lang w:val="en-GB"/>
        </w:rPr>
        <w:t>(1),</w:t>
      </w:r>
      <w:r w:rsidRPr="00C376DE">
        <w:rPr>
          <w:rFonts w:ascii="Arial" w:eastAsia="Calibri" w:hAnsi="Arial" w:cs="Arial"/>
          <w:sz w:val="20"/>
          <w:szCs w:val="20"/>
          <w:lang w:val="en-GB"/>
        </w:rPr>
        <w:t xml:space="preserve"> 59-68. </w:t>
      </w:r>
      <w:r w:rsidR="00661054" w:rsidRPr="00661054">
        <w:rPr>
          <w:rFonts w:ascii="Arial" w:eastAsia="Calibri" w:hAnsi="Arial" w:cs="Arial"/>
          <w:sz w:val="20"/>
          <w:szCs w:val="20"/>
          <w:lang w:val="en-GB"/>
        </w:rPr>
        <w:t>https://doi.org/10.56093/ft.v57i1.107822</w:t>
      </w:r>
    </w:p>
    <w:p w14:paraId="25A14D12" w14:textId="77777777" w:rsidR="004F784C" w:rsidRPr="00C376DE" w:rsidRDefault="00C376DE" w:rsidP="00D412B7">
      <w:pPr>
        <w:spacing w:after="120"/>
        <w:ind w:left="720" w:hanging="720"/>
        <w:jc w:val="both"/>
        <w:rPr>
          <w:rFonts w:ascii="Arial" w:eastAsia="Calibri" w:hAnsi="Arial" w:cs="Arial"/>
          <w:sz w:val="20"/>
          <w:szCs w:val="20"/>
          <w:lang w:val="en-GB"/>
        </w:rPr>
      </w:pPr>
      <w:r>
        <w:rPr>
          <w:rFonts w:ascii="Arial" w:eastAsia="Calibri" w:hAnsi="Arial" w:cs="Arial"/>
          <w:sz w:val="20"/>
          <w:szCs w:val="20"/>
          <w:lang w:val="en-GB"/>
        </w:rPr>
        <w:t xml:space="preserve">Das, S., &amp; </w:t>
      </w:r>
      <w:r w:rsidR="004F784C" w:rsidRPr="00C376DE">
        <w:rPr>
          <w:rFonts w:ascii="Arial" w:eastAsia="Calibri" w:hAnsi="Arial" w:cs="Arial"/>
          <w:sz w:val="20"/>
          <w:szCs w:val="20"/>
          <w:lang w:val="en-GB"/>
        </w:rPr>
        <w:t xml:space="preserve">Ghosh, A. (2021). Marine product exports from India: A structural break and volatility analysis. </w:t>
      </w:r>
      <w:r w:rsidR="004F784C" w:rsidRPr="00B77A66">
        <w:rPr>
          <w:rFonts w:ascii="Arial" w:eastAsia="Calibri" w:hAnsi="Arial" w:cs="Arial"/>
          <w:i/>
          <w:iCs/>
          <w:sz w:val="20"/>
          <w:szCs w:val="20"/>
          <w:lang w:val="en-GB"/>
        </w:rPr>
        <w:t>Indian Journal of Applied Economics</w:t>
      </w:r>
      <w:r w:rsidR="004F784C" w:rsidRPr="00C376DE">
        <w:rPr>
          <w:rFonts w:ascii="Arial" w:eastAsia="Calibri" w:hAnsi="Arial" w:cs="Arial"/>
          <w:sz w:val="20"/>
          <w:szCs w:val="20"/>
          <w:lang w:val="en-GB"/>
        </w:rPr>
        <w:t>, 28</w:t>
      </w:r>
      <w:r>
        <w:rPr>
          <w:rFonts w:ascii="Arial" w:eastAsia="Calibri" w:hAnsi="Arial" w:cs="Arial"/>
          <w:sz w:val="20"/>
          <w:szCs w:val="20"/>
          <w:lang w:val="en-GB"/>
        </w:rPr>
        <w:t>(3),</w:t>
      </w:r>
      <w:r w:rsidR="004F784C" w:rsidRPr="00C376DE">
        <w:rPr>
          <w:rFonts w:ascii="Arial" w:eastAsia="Calibri" w:hAnsi="Arial" w:cs="Arial"/>
          <w:sz w:val="20"/>
          <w:szCs w:val="20"/>
          <w:lang w:val="en-GB"/>
        </w:rPr>
        <w:t xml:space="preserve"> 134-142.</w:t>
      </w:r>
    </w:p>
    <w:p w14:paraId="38165FB1" w14:textId="77777777" w:rsidR="004F784C" w:rsidRPr="00C376DE" w:rsidRDefault="00B77A66" w:rsidP="00D412B7">
      <w:pPr>
        <w:spacing w:after="120"/>
        <w:ind w:left="720" w:hanging="720"/>
        <w:jc w:val="both"/>
        <w:rPr>
          <w:rFonts w:ascii="Arial" w:eastAsia="Calibri" w:hAnsi="Arial" w:cs="Arial"/>
          <w:sz w:val="20"/>
          <w:szCs w:val="20"/>
        </w:rPr>
      </w:pPr>
      <w:r w:rsidRPr="00B77A66">
        <w:rPr>
          <w:rFonts w:ascii="Arial" w:eastAsia="Calibri" w:hAnsi="Arial" w:cs="Arial"/>
          <w:sz w:val="20"/>
          <w:szCs w:val="20"/>
        </w:rPr>
        <w:t xml:space="preserve">Food and Agriculture Organization. (2022). </w:t>
      </w:r>
      <w:r w:rsidRPr="00B77A66">
        <w:rPr>
          <w:rFonts w:ascii="Arial" w:eastAsia="Calibri" w:hAnsi="Arial" w:cs="Arial"/>
          <w:i/>
          <w:iCs/>
          <w:sz w:val="20"/>
          <w:szCs w:val="20"/>
        </w:rPr>
        <w:t>The state of world fisheries and aquaculture 2022: Towards blue transformation</w:t>
      </w:r>
      <w:r w:rsidRPr="00B77A66">
        <w:rPr>
          <w:rFonts w:ascii="Arial" w:eastAsia="Calibri" w:hAnsi="Arial" w:cs="Arial"/>
          <w:sz w:val="20"/>
          <w:szCs w:val="20"/>
        </w:rPr>
        <w:t xml:space="preserve">. Food and Agriculture Organization. </w:t>
      </w:r>
      <w:r w:rsidR="00104299" w:rsidRPr="00104299">
        <w:rPr>
          <w:rFonts w:ascii="Arial" w:eastAsia="Calibri" w:hAnsi="Arial" w:cs="Arial"/>
          <w:sz w:val="20"/>
          <w:szCs w:val="20"/>
        </w:rPr>
        <w:t>https://doi.org/10.4060/cc0461en</w:t>
      </w:r>
    </w:p>
    <w:p w14:paraId="4D61CCF6" w14:textId="77777777" w:rsidR="004F784C" w:rsidRPr="00C376DE" w:rsidRDefault="00B77A66" w:rsidP="00D412B7">
      <w:pPr>
        <w:spacing w:after="120"/>
        <w:ind w:left="720" w:hanging="720"/>
        <w:jc w:val="both"/>
        <w:rPr>
          <w:rFonts w:ascii="Arial" w:eastAsia="Calibri" w:hAnsi="Arial" w:cs="Arial"/>
          <w:sz w:val="20"/>
          <w:szCs w:val="20"/>
        </w:rPr>
      </w:pPr>
      <w:r w:rsidRPr="00B77A66">
        <w:rPr>
          <w:rFonts w:ascii="Arial" w:eastAsia="Calibri" w:hAnsi="Arial" w:cs="Arial"/>
          <w:sz w:val="20"/>
          <w:szCs w:val="20"/>
        </w:rPr>
        <w:lastRenderedPageBreak/>
        <w:t xml:space="preserve">Food and Agriculture Organization. (2023). </w:t>
      </w:r>
      <w:r w:rsidRPr="00B77A66">
        <w:rPr>
          <w:rFonts w:ascii="Arial" w:eastAsia="Calibri" w:hAnsi="Arial" w:cs="Arial"/>
          <w:i/>
          <w:iCs/>
          <w:sz w:val="20"/>
          <w:szCs w:val="20"/>
        </w:rPr>
        <w:t>The state of world fisheries and aquaculture 2023</w:t>
      </w:r>
      <w:r w:rsidRPr="00B77A66">
        <w:rPr>
          <w:rFonts w:ascii="Arial" w:eastAsia="Calibri" w:hAnsi="Arial" w:cs="Arial"/>
          <w:sz w:val="20"/>
          <w:szCs w:val="20"/>
        </w:rPr>
        <w:t xml:space="preserve">. Food and Agriculture Organization. </w:t>
      </w:r>
      <w:r w:rsidR="00104299" w:rsidRPr="00104299">
        <w:rPr>
          <w:rFonts w:ascii="Arial" w:eastAsia="Calibri" w:hAnsi="Arial" w:cs="Arial"/>
          <w:sz w:val="20"/>
          <w:szCs w:val="20"/>
        </w:rPr>
        <w:t>https://doi.org/10.4060/cd0683en</w:t>
      </w:r>
    </w:p>
    <w:p w14:paraId="3C00D408" w14:textId="77777777" w:rsidR="004F784C" w:rsidRPr="00C376DE" w:rsidRDefault="00B77A66" w:rsidP="00D412B7">
      <w:pPr>
        <w:spacing w:after="120"/>
        <w:ind w:left="720" w:hanging="720"/>
        <w:jc w:val="both"/>
        <w:rPr>
          <w:rFonts w:ascii="Arial" w:eastAsia="Calibri" w:hAnsi="Arial" w:cs="Arial"/>
          <w:sz w:val="20"/>
          <w:szCs w:val="20"/>
        </w:rPr>
      </w:pPr>
      <w:r w:rsidRPr="00B77A66">
        <w:rPr>
          <w:rFonts w:ascii="Arial" w:eastAsia="Calibri" w:hAnsi="Arial" w:cs="Arial"/>
          <w:sz w:val="20"/>
          <w:szCs w:val="20"/>
        </w:rPr>
        <w:t xml:space="preserve">Food and Agriculture Organization. (2024). </w:t>
      </w:r>
      <w:r w:rsidRPr="00B77A66">
        <w:rPr>
          <w:rFonts w:ascii="Arial" w:eastAsia="Calibri" w:hAnsi="Arial" w:cs="Arial"/>
          <w:i/>
          <w:iCs/>
          <w:sz w:val="20"/>
          <w:szCs w:val="20"/>
        </w:rPr>
        <w:t>World food and agriculture – Statistical yearbook 2024</w:t>
      </w:r>
      <w:r w:rsidRPr="00B77A66">
        <w:rPr>
          <w:rFonts w:ascii="Arial" w:eastAsia="Calibri" w:hAnsi="Arial" w:cs="Arial"/>
          <w:sz w:val="20"/>
          <w:szCs w:val="20"/>
        </w:rPr>
        <w:t>. Food and Agriculture Organization. https://www.fao.org/3/cc9920en/cc9920en.pdf</w:t>
      </w:r>
    </w:p>
    <w:p w14:paraId="06D30882" w14:textId="77777777" w:rsidR="004F784C" w:rsidRPr="00C376DE" w:rsidRDefault="00B77A66" w:rsidP="00D412B7">
      <w:pPr>
        <w:spacing w:after="120"/>
        <w:ind w:left="720" w:hanging="720"/>
        <w:jc w:val="both"/>
        <w:rPr>
          <w:rFonts w:ascii="Arial" w:eastAsia="Calibri" w:hAnsi="Arial" w:cs="Arial"/>
          <w:sz w:val="20"/>
          <w:szCs w:val="20"/>
        </w:rPr>
      </w:pPr>
      <w:r w:rsidRPr="00B77A66">
        <w:rPr>
          <w:rFonts w:ascii="Arial" w:eastAsia="Calibri" w:hAnsi="Arial" w:cs="Arial"/>
          <w:sz w:val="20"/>
          <w:szCs w:val="20"/>
        </w:rPr>
        <w:t xml:space="preserve">Food and Agriculture Organization. (2025). </w:t>
      </w:r>
      <w:r w:rsidRPr="00B77A66">
        <w:rPr>
          <w:rFonts w:ascii="Arial" w:eastAsia="Calibri" w:hAnsi="Arial" w:cs="Arial"/>
          <w:i/>
          <w:iCs/>
          <w:sz w:val="20"/>
          <w:szCs w:val="20"/>
        </w:rPr>
        <w:t>The state of world fisheries and aquaculture 2024: Blue transformation in action</w:t>
      </w:r>
      <w:r w:rsidRPr="00B77A66">
        <w:rPr>
          <w:rFonts w:ascii="Arial" w:eastAsia="Calibri" w:hAnsi="Arial" w:cs="Arial"/>
          <w:sz w:val="20"/>
          <w:szCs w:val="20"/>
        </w:rPr>
        <w:t>. Food and Agriculture Organization. https://www.fao.org/3/cc9999en/cc9999en.pdf</w:t>
      </w:r>
    </w:p>
    <w:p w14:paraId="68FA0F48" w14:textId="77777777" w:rsidR="004F784C" w:rsidRPr="00C376DE" w:rsidRDefault="004F784C"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t>Henson, S.</w:t>
      </w:r>
      <w:r w:rsidR="00661054">
        <w:rPr>
          <w:rFonts w:ascii="Arial" w:eastAsia="Calibri" w:hAnsi="Arial" w:cs="Arial"/>
          <w:sz w:val="20"/>
          <w:szCs w:val="20"/>
        </w:rPr>
        <w:t>,</w:t>
      </w:r>
      <w:r w:rsidRPr="00C376DE">
        <w:rPr>
          <w:rFonts w:ascii="Arial" w:eastAsia="Calibri" w:hAnsi="Arial" w:cs="Arial"/>
          <w:sz w:val="20"/>
          <w:szCs w:val="20"/>
        </w:rPr>
        <w:t xml:space="preserve"> </w:t>
      </w:r>
      <w:r w:rsidR="00661054">
        <w:rPr>
          <w:rFonts w:ascii="Arial" w:eastAsia="Calibri" w:hAnsi="Arial" w:cs="Arial"/>
          <w:sz w:val="20"/>
          <w:szCs w:val="20"/>
        </w:rPr>
        <w:t xml:space="preserve">&amp; </w:t>
      </w:r>
      <w:r w:rsidRPr="00C376DE">
        <w:rPr>
          <w:rFonts w:ascii="Arial" w:eastAsia="Calibri" w:hAnsi="Arial" w:cs="Arial"/>
          <w:sz w:val="20"/>
          <w:szCs w:val="20"/>
        </w:rPr>
        <w:t xml:space="preserve">Jaffee, S. (2008). Understanding developing country strategic responses to the enhancement of food safety standards: Global trends and issues. </w:t>
      </w:r>
      <w:r w:rsidRPr="00B77A66">
        <w:rPr>
          <w:rFonts w:ascii="Arial" w:eastAsia="Calibri" w:hAnsi="Arial" w:cs="Arial"/>
          <w:i/>
          <w:iCs/>
          <w:sz w:val="20"/>
          <w:szCs w:val="20"/>
        </w:rPr>
        <w:t>The World Economy</w:t>
      </w:r>
      <w:r w:rsidRPr="00661054">
        <w:rPr>
          <w:rFonts w:ascii="Arial" w:eastAsia="Calibri" w:hAnsi="Arial" w:cs="Arial"/>
          <w:sz w:val="20"/>
          <w:szCs w:val="20"/>
        </w:rPr>
        <w:t>,</w:t>
      </w:r>
      <w:r w:rsidRPr="00C376DE">
        <w:rPr>
          <w:rFonts w:ascii="Arial" w:eastAsia="Calibri" w:hAnsi="Arial" w:cs="Arial"/>
          <w:sz w:val="20"/>
          <w:szCs w:val="20"/>
        </w:rPr>
        <w:t xml:space="preserve"> </w:t>
      </w:r>
      <w:r w:rsidRPr="00661054">
        <w:rPr>
          <w:rFonts w:ascii="Arial" w:eastAsia="Calibri" w:hAnsi="Arial" w:cs="Arial"/>
          <w:sz w:val="20"/>
          <w:szCs w:val="20"/>
        </w:rPr>
        <w:t>31</w:t>
      </w:r>
      <w:r w:rsidR="00661054">
        <w:rPr>
          <w:rFonts w:ascii="Arial" w:eastAsia="Calibri" w:hAnsi="Arial" w:cs="Arial"/>
          <w:sz w:val="20"/>
          <w:szCs w:val="20"/>
        </w:rPr>
        <w:t>(4),</w:t>
      </w:r>
      <w:r w:rsidRPr="00C376DE">
        <w:rPr>
          <w:rFonts w:ascii="Arial" w:eastAsia="Calibri" w:hAnsi="Arial" w:cs="Arial"/>
          <w:sz w:val="20"/>
          <w:szCs w:val="20"/>
        </w:rPr>
        <w:t xml:space="preserve"> 548-568. </w:t>
      </w:r>
      <w:r w:rsidR="00104299" w:rsidRPr="00104299">
        <w:rPr>
          <w:rFonts w:ascii="Arial" w:eastAsia="Calibri" w:hAnsi="Arial" w:cs="Arial"/>
          <w:sz w:val="20"/>
          <w:szCs w:val="20"/>
        </w:rPr>
        <w:t>DOI: 10.1111/j.1467-9701.</w:t>
      </w:r>
      <w:proofErr w:type="gramStart"/>
      <w:r w:rsidR="00104299" w:rsidRPr="00104299">
        <w:rPr>
          <w:rFonts w:ascii="Arial" w:eastAsia="Calibri" w:hAnsi="Arial" w:cs="Arial"/>
          <w:sz w:val="20"/>
          <w:szCs w:val="20"/>
        </w:rPr>
        <w:t>2007.01034.x</w:t>
      </w:r>
      <w:proofErr w:type="gramEnd"/>
    </w:p>
    <w:p w14:paraId="5C2935DD" w14:textId="77777777" w:rsidR="004F784C" w:rsidRPr="00C376DE" w:rsidRDefault="00661054" w:rsidP="00D412B7">
      <w:pPr>
        <w:spacing w:after="120"/>
        <w:ind w:left="720" w:hanging="720"/>
        <w:jc w:val="both"/>
        <w:rPr>
          <w:rFonts w:ascii="Arial" w:eastAsia="Calibri" w:hAnsi="Arial" w:cs="Arial"/>
          <w:sz w:val="20"/>
          <w:szCs w:val="20"/>
        </w:rPr>
      </w:pPr>
      <w:r w:rsidRPr="00661054">
        <w:rPr>
          <w:rFonts w:ascii="Arial" w:eastAsia="Calibri" w:hAnsi="Arial" w:cs="Arial"/>
          <w:sz w:val="20"/>
          <w:szCs w:val="20"/>
        </w:rPr>
        <w:t>India Brand Equity Foundation</w:t>
      </w:r>
      <w:r w:rsidR="004F784C" w:rsidRPr="00C376DE">
        <w:rPr>
          <w:rFonts w:ascii="Arial" w:eastAsia="Calibri" w:hAnsi="Arial" w:cs="Arial"/>
          <w:sz w:val="20"/>
          <w:szCs w:val="20"/>
        </w:rPr>
        <w:t>. (2025). Marine Products Export Data and Industry Profile.</w:t>
      </w:r>
      <w:r w:rsidR="00B77A66">
        <w:rPr>
          <w:rFonts w:ascii="Arial" w:eastAsia="Calibri" w:hAnsi="Arial" w:cs="Arial"/>
          <w:sz w:val="20"/>
          <w:szCs w:val="20"/>
        </w:rPr>
        <w:t xml:space="preserve"> </w:t>
      </w:r>
      <w:r w:rsidR="00B77A66" w:rsidRPr="00B77A66">
        <w:rPr>
          <w:rFonts w:ascii="Arial" w:eastAsia="Calibri" w:hAnsi="Arial" w:cs="Arial"/>
          <w:sz w:val="20"/>
          <w:szCs w:val="20"/>
        </w:rPr>
        <w:t>https://www.ibef.org/exports/marine-products-industry-india</w:t>
      </w:r>
      <w:r w:rsidR="004F784C" w:rsidRPr="00C376DE">
        <w:rPr>
          <w:rFonts w:ascii="Arial" w:eastAsia="Calibri" w:hAnsi="Arial" w:cs="Arial"/>
          <w:sz w:val="20"/>
          <w:szCs w:val="20"/>
        </w:rPr>
        <w:t xml:space="preserve"> </w:t>
      </w:r>
    </w:p>
    <w:p w14:paraId="34045107" w14:textId="77777777" w:rsidR="004F784C" w:rsidRPr="00C376DE" w:rsidRDefault="00661054" w:rsidP="00D412B7">
      <w:pPr>
        <w:spacing w:after="120"/>
        <w:ind w:left="720" w:hanging="720"/>
        <w:jc w:val="both"/>
        <w:rPr>
          <w:rFonts w:ascii="Arial" w:eastAsia="Calibri" w:hAnsi="Arial" w:cs="Arial"/>
          <w:sz w:val="20"/>
          <w:szCs w:val="20"/>
          <w:lang w:val="en-GB"/>
        </w:rPr>
      </w:pPr>
      <w:r>
        <w:rPr>
          <w:rFonts w:ascii="Arial" w:eastAsia="Calibri" w:hAnsi="Arial" w:cs="Arial"/>
          <w:sz w:val="20"/>
          <w:szCs w:val="20"/>
          <w:lang w:val="en-GB"/>
        </w:rPr>
        <w:t xml:space="preserve">Jeevitha, G. N., Singh, K. M., &amp; </w:t>
      </w:r>
      <w:r w:rsidR="004F784C" w:rsidRPr="00C376DE">
        <w:rPr>
          <w:rFonts w:ascii="Arial" w:eastAsia="Calibri" w:hAnsi="Arial" w:cs="Arial"/>
          <w:sz w:val="20"/>
          <w:szCs w:val="20"/>
          <w:lang w:val="en-GB"/>
        </w:rPr>
        <w:t xml:space="preserve">Ahmad, N. (2023). An analytical study of marine exports from India. </w:t>
      </w:r>
      <w:r w:rsidR="004F784C" w:rsidRPr="00B77A66">
        <w:rPr>
          <w:rFonts w:ascii="Arial" w:eastAsia="Calibri" w:hAnsi="Arial" w:cs="Arial"/>
          <w:i/>
          <w:iCs/>
          <w:sz w:val="20"/>
          <w:szCs w:val="20"/>
          <w:lang w:val="en-GB"/>
        </w:rPr>
        <w:t>Journal of AgriSearch</w:t>
      </w:r>
      <w:r w:rsidR="004F784C" w:rsidRPr="00661054">
        <w:rPr>
          <w:rFonts w:ascii="Arial" w:eastAsia="Calibri" w:hAnsi="Arial" w:cs="Arial"/>
          <w:sz w:val="20"/>
          <w:szCs w:val="20"/>
          <w:lang w:val="en-GB"/>
        </w:rPr>
        <w:t>,</w:t>
      </w:r>
      <w:r w:rsidR="004F784C" w:rsidRPr="00C376DE">
        <w:rPr>
          <w:rFonts w:ascii="Arial" w:eastAsia="Calibri" w:hAnsi="Arial" w:cs="Arial"/>
          <w:sz w:val="20"/>
          <w:szCs w:val="20"/>
          <w:lang w:val="en-GB"/>
        </w:rPr>
        <w:t xml:space="preserve"> </w:t>
      </w:r>
      <w:r w:rsidR="004F784C" w:rsidRPr="00661054">
        <w:rPr>
          <w:rFonts w:ascii="Arial" w:eastAsia="Calibri" w:hAnsi="Arial" w:cs="Arial"/>
          <w:sz w:val="20"/>
          <w:szCs w:val="20"/>
          <w:lang w:val="en-GB"/>
        </w:rPr>
        <w:t>10</w:t>
      </w:r>
      <w:r>
        <w:rPr>
          <w:rFonts w:ascii="Arial" w:eastAsia="Calibri" w:hAnsi="Arial" w:cs="Arial"/>
          <w:sz w:val="20"/>
          <w:szCs w:val="20"/>
          <w:lang w:val="en-GB"/>
        </w:rPr>
        <w:t>(2),</w:t>
      </w:r>
      <w:r w:rsidR="004F784C" w:rsidRPr="00C376DE">
        <w:rPr>
          <w:rFonts w:ascii="Arial" w:eastAsia="Calibri" w:hAnsi="Arial" w:cs="Arial"/>
          <w:sz w:val="20"/>
          <w:szCs w:val="20"/>
          <w:lang w:val="en-GB"/>
        </w:rPr>
        <w:t xml:space="preserve"> 145-150. </w:t>
      </w:r>
      <w:r w:rsidR="00D0665A" w:rsidRPr="00D0665A">
        <w:rPr>
          <w:rFonts w:ascii="Arial" w:eastAsia="Calibri" w:hAnsi="Arial" w:cs="Arial"/>
          <w:sz w:val="20"/>
          <w:szCs w:val="20"/>
          <w:lang w:val="en-GB"/>
        </w:rPr>
        <w:t>https://doi.org/10.21921/jas.v10i02.12732</w:t>
      </w:r>
    </w:p>
    <w:p w14:paraId="24A5490B" w14:textId="77777777" w:rsidR="004F784C" w:rsidRPr="00C376DE" w:rsidRDefault="004F784C"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t>Kalaiarasi, D.</w:t>
      </w:r>
      <w:r w:rsidR="00661054">
        <w:rPr>
          <w:rFonts w:ascii="Arial" w:eastAsia="Calibri" w:hAnsi="Arial" w:cs="Arial"/>
          <w:sz w:val="20"/>
          <w:szCs w:val="20"/>
        </w:rPr>
        <w:t>,</w:t>
      </w:r>
      <w:r w:rsidRPr="00C376DE">
        <w:rPr>
          <w:rFonts w:ascii="Arial" w:eastAsia="Calibri" w:hAnsi="Arial" w:cs="Arial"/>
          <w:sz w:val="20"/>
          <w:szCs w:val="20"/>
        </w:rPr>
        <w:t xml:space="preserve"> </w:t>
      </w:r>
      <w:r w:rsidR="00661054">
        <w:rPr>
          <w:rFonts w:ascii="Arial" w:eastAsia="Calibri" w:hAnsi="Arial" w:cs="Arial"/>
          <w:sz w:val="20"/>
          <w:szCs w:val="20"/>
        </w:rPr>
        <w:t xml:space="preserve">&amp; </w:t>
      </w:r>
      <w:r w:rsidRPr="00C376DE">
        <w:rPr>
          <w:rFonts w:ascii="Arial" w:eastAsia="Calibri" w:hAnsi="Arial" w:cs="Arial"/>
          <w:sz w:val="20"/>
          <w:szCs w:val="20"/>
        </w:rPr>
        <w:t xml:space="preserve">Kavithambika, S. (2024). Unlocking insights into marine product exports in India: Analysing trade patterns and export potential using Markov chain approach. </w:t>
      </w:r>
      <w:r w:rsidRPr="00B77A66">
        <w:rPr>
          <w:rFonts w:ascii="Arial" w:eastAsia="Calibri" w:hAnsi="Arial" w:cs="Arial"/>
          <w:i/>
          <w:iCs/>
          <w:sz w:val="20"/>
          <w:szCs w:val="20"/>
        </w:rPr>
        <w:t>International Journal of Agriculture Extension and Social Development</w:t>
      </w:r>
      <w:r w:rsidRPr="00661054">
        <w:rPr>
          <w:rFonts w:ascii="Arial" w:eastAsia="Calibri" w:hAnsi="Arial" w:cs="Arial"/>
          <w:sz w:val="20"/>
          <w:szCs w:val="20"/>
        </w:rPr>
        <w:t>,</w:t>
      </w:r>
      <w:r w:rsidRPr="00C376DE">
        <w:rPr>
          <w:rFonts w:ascii="Arial" w:eastAsia="Calibri" w:hAnsi="Arial" w:cs="Arial"/>
          <w:i/>
          <w:iCs/>
          <w:sz w:val="20"/>
          <w:szCs w:val="20"/>
        </w:rPr>
        <w:t xml:space="preserve"> </w:t>
      </w:r>
      <w:r w:rsidRPr="00661054">
        <w:rPr>
          <w:rFonts w:ascii="Arial" w:eastAsia="Calibri" w:hAnsi="Arial" w:cs="Arial"/>
          <w:sz w:val="20"/>
          <w:szCs w:val="20"/>
        </w:rPr>
        <w:t>7</w:t>
      </w:r>
      <w:r w:rsidR="00661054">
        <w:rPr>
          <w:rFonts w:ascii="Arial" w:eastAsia="Calibri" w:hAnsi="Arial" w:cs="Arial"/>
          <w:sz w:val="20"/>
          <w:szCs w:val="20"/>
        </w:rPr>
        <w:t>(4),</w:t>
      </w:r>
      <w:r w:rsidRPr="00C376DE">
        <w:rPr>
          <w:rFonts w:ascii="Arial" w:eastAsia="Calibri" w:hAnsi="Arial" w:cs="Arial"/>
          <w:sz w:val="20"/>
          <w:szCs w:val="20"/>
        </w:rPr>
        <w:t xml:space="preserve"> 604-608. </w:t>
      </w:r>
      <w:r w:rsidR="004E39EA" w:rsidRPr="004E39EA">
        <w:rPr>
          <w:rFonts w:ascii="Arial" w:eastAsia="Calibri" w:hAnsi="Arial" w:cs="Arial"/>
          <w:sz w:val="20"/>
          <w:szCs w:val="20"/>
        </w:rPr>
        <w:t>https://www.doi.org/10.33545/26180723.2024.v7.i4h.578</w:t>
      </w:r>
    </w:p>
    <w:p w14:paraId="73EFFA1E" w14:textId="77777777" w:rsidR="004F784C" w:rsidRPr="00C376DE" w:rsidRDefault="004F784C" w:rsidP="00D412B7">
      <w:pPr>
        <w:spacing w:after="120"/>
        <w:ind w:left="720" w:hanging="720"/>
        <w:jc w:val="both"/>
        <w:rPr>
          <w:rFonts w:ascii="Arial" w:eastAsia="Calibri" w:hAnsi="Arial" w:cs="Arial"/>
          <w:sz w:val="20"/>
          <w:szCs w:val="20"/>
          <w:lang w:val="en-GB"/>
        </w:rPr>
      </w:pPr>
      <w:r w:rsidRPr="00C376DE">
        <w:rPr>
          <w:rFonts w:ascii="Arial" w:eastAsia="Calibri" w:hAnsi="Arial" w:cs="Arial"/>
          <w:sz w:val="20"/>
          <w:szCs w:val="20"/>
          <w:lang w:val="en-GB"/>
        </w:rPr>
        <w:t>Kumari, R. Y, Rajeswari, S., Jyothi, H. S., Vani, N., Srikala, M.</w:t>
      </w:r>
      <w:r w:rsidR="00661054">
        <w:rPr>
          <w:rFonts w:ascii="Arial" w:eastAsia="Calibri" w:hAnsi="Arial" w:cs="Arial"/>
          <w:sz w:val="20"/>
          <w:szCs w:val="20"/>
          <w:lang w:val="en-GB"/>
        </w:rPr>
        <w:t>, &amp;</w:t>
      </w:r>
      <w:r w:rsidRPr="00C376DE">
        <w:rPr>
          <w:rFonts w:ascii="Arial" w:eastAsia="Calibri" w:hAnsi="Arial" w:cs="Arial"/>
          <w:sz w:val="20"/>
          <w:szCs w:val="20"/>
          <w:lang w:val="en-GB"/>
        </w:rPr>
        <w:t xml:space="preserve"> Srinivas, T. (2025). Growth, instability and direction of trade of Indian marine products. </w:t>
      </w:r>
      <w:r w:rsidRPr="00B77A66">
        <w:rPr>
          <w:rFonts w:ascii="Arial" w:eastAsia="Calibri" w:hAnsi="Arial" w:cs="Arial"/>
          <w:i/>
          <w:iCs/>
          <w:sz w:val="20"/>
          <w:szCs w:val="20"/>
          <w:lang w:val="en-GB"/>
        </w:rPr>
        <w:t>International Journal of Agriculture Extension and Social Development</w:t>
      </w:r>
      <w:r w:rsidRPr="00661054">
        <w:rPr>
          <w:rFonts w:ascii="Arial" w:eastAsia="Calibri" w:hAnsi="Arial" w:cs="Arial"/>
          <w:sz w:val="20"/>
          <w:szCs w:val="20"/>
          <w:lang w:val="en-GB"/>
        </w:rPr>
        <w:t>,</w:t>
      </w:r>
      <w:r w:rsidRPr="00C376DE">
        <w:rPr>
          <w:rFonts w:ascii="Arial" w:eastAsia="Calibri" w:hAnsi="Arial" w:cs="Arial"/>
          <w:i/>
          <w:iCs/>
          <w:sz w:val="20"/>
          <w:szCs w:val="20"/>
          <w:lang w:val="en-GB"/>
        </w:rPr>
        <w:t xml:space="preserve"> </w:t>
      </w:r>
      <w:r w:rsidRPr="00661054">
        <w:rPr>
          <w:rFonts w:ascii="Arial" w:eastAsia="Calibri" w:hAnsi="Arial" w:cs="Arial"/>
          <w:sz w:val="20"/>
          <w:szCs w:val="20"/>
          <w:lang w:val="en-GB"/>
        </w:rPr>
        <w:t>8</w:t>
      </w:r>
      <w:r w:rsidR="00661054">
        <w:rPr>
          <w:rFonts w:ascii="Arial" w:eastAsia="Calibri" w:hAnsi="Arial" w:cs="Arial"/>
          <w:sz w:val="20"/>
          <w:szCs w:val="20"/>
          <w:lang w:val="en-GB"/>
        </w:rPr>
        <w:t>(3),</w:t>
      </w:r>
      <w:r w:rsidRPr="00C376DE">
        <w:rPr>
          <w:rFonts w:ascii="Arial" w:eastAsia="Calibri" w:hAnsi="Arial" w:cs="Arial"/>
          <w:sz w:val="20"/>
          <w:szCs w:val="20"/>
          <w:lang w:val="en-GB"/>
        </w:rPr>
        <w:t xml:space="preserve"> 35-41. </w:t>
      </w:r>
      <w:r w:rsidR="00A549DD" w:rsidRPr="00A549DD">
        <w:rPr>
          <w:rFonts w:ascii="Arial" w:eastAsia="Calibri" w:hAnsi="Arial" w:cs="Arial"/>
          <w:sz w:val="20"/>
          <w:szCs w:val="20"/>
          <w:lang w:val="en-GB"/>
        </w:rPr>
        <w:t>https://www.doi.org/10.33545/26180723.2025.v8.i3a.1676</w:t>
      </w:r>
    </w:p>
    <w:p w14:paraId="585B49E8" w14:textId="77777777" w:rsidR="004F784C" w:rsidRPr="00C376DE" w:rsidRDefault="00661054" w:rsidP="00D412B7">
      <w:pPr>
        <w:spacing w:after="120"/>
        <w:ind w:left="720" w:hanging="720"/>
        <w:jc w:val="both"/>
        <w:rPr>
          <w:rFonts w:ascii="Arial" w:eastAsia="Calibri" w:hAnsi="Arial" w:cs="Arial"/>
          <w:sz w:val="20"/>
          <w:szCs w:val="20"/>
        </w:rPr>
      </w:pPr>
      <w:r w:rsidRPr="00661054">
        <w:rPr>
          <w:rFonts w:ascii="Arial" w:eastAsia="Calibri" w:hAnsi="Arial" w:cs="Arial"/>
          <w:sz w:val="20"/>
          <w:szCs w:val="20"/>
        </w:rPr>
        <w:t>Marine Products Export Development Authority</w:t>
      </w:r>
      <w:r w:rsidR="004F784C" w:rsidRPr="00C376DE">
        <w:rPr>
          <w:rFonts w:ascii="Arial" w:eastAsia="Calibri" w:hAnsi="Arial" w:cs="Arial"/>
          <w:sz w:val="20"/>
          <w:szCs w:val="20"/>
        </w:rPr>
        <w:t xml:space="preserve">. (2023). </w:t>
      </w:r>
      <w:r w:rsidR="00002CDA">
        <w:rPr>
          <w:rFonts w:ascii="Arial" w:eastAsia="Calibri" w:hAnsi="Arial" w:cs="Arial"/>
          <w:sz w:val="20"/>
          <w:szCs w:val="20"/>
        </w:rPr>
        <w:t>Handbook on Fisheries Statistics 2022</w:t>
      </w:r>
      <w:r w:rsidR="004F784C" w:rsidRPr="00C376DE">
        <w:rPr>
          <w:rFonts w:ascii="Arial" w:eastAsia="Calibri" w:hAnsi="Arial" w:cs="Arial"/>
          <w:sz w:val="20"/>
          <w:szCs w:val="20"/>
        </w:rPr>
        <w:t>. Government of India.</w:t>
      </w:r>
      <w:r w:rsidR="00002CDA">
        <w:rPr>
          <w:rFonts w:ascii="Arial" w:eastAsia="Calibri" w:hAnsi="Arial" w:cs="Arial"/>
          <w:sz w:val="20"/>
          <w:szCs w:val="20"/>
        </w:rPr>
        <w:t xml:space="preserve"> </w:t>
      </w:r>
      <w:r w:rsidR="00002CDA" w:rsidRPr="00002CDA">
        <w:rPr>
          <w:rFonts w:ascii="Arial" w:eastAsia="Calibri" w:hAnsi="Arial" w:cs="Arial"/>
          <w:sz w:val="20"/>
          <w:szCs w:val="20"/>
        </w:rPr>
        <w:t>https://mpeda.gov.in/wp-content/uploads/2023/03/Handbook%20Fisheries%20Statistics%2019012023.pdf</w:t>
      </w:r>
    </w:p>
    <w:p w14:paraId="412F309C" w14:textId="77777777" w:rsidR="004F784C" w:rsidRPr="00C376DE" w:rsidRDefault="00661054" w:rsidP="00D412B7">
      <w:pPr>
        <w:spacing w:after="120"/>
        <w:ind w:left="720" w:hanging="720"/>
        <w:jc w:val="both"/>
        <w:rPr>
          <w:rFonts w:ascii="Arial" w:eastAsia="Calibri" w:hAnsi="Arial" w:cs="Arial"/>
          <w:sz w:val="20"/>
          <w:szCs w:val="20"/>
        </w:rPr>
      </w:pPr>
      <w:r w:rsidRPr="00661054">
        <w:rPr>
          <w:rFonts w:ascii="Arial" w:eastAsia="Calibri" w:hAnsi="Arial" w:cs="Arial"/>
          <w:sz w:val="20"/>
          <w:szCs w:val="20"/>
        </w:rPr>
        <w:t>Marine Products Export Development Authority</w:t>
      </w:r>
      <w:r w:rsidR="004F784C" w:rsidRPr="00C376DE">
        <w:rPr>
          <w:rFonts w:ascii="Arial" w:eastAsia="Calibri" w:hAnsi="Arial" w:cs="Arial"/>
          <w:sz w:val="20"/>
          <w:szCs w:val="20"/>
        </w:rPr>
        <w:t>. (2025). Annual Report 2024-25. Government of India.</w:t>
      </w:r>
      <w:r w:rsidR="00002CDA">
        <w:rPr>
          <w:rFonts w:ascii="Arial" w:eastAsia="Calibri" w:hAnsi="Arial" w:cs="Arial"/>
          <w:sz w:val="20"/>
          <w:szCs w:val="20"/>
        </w:rPr>
        <w:t xml:space="preserve"> </w:t>
      </w:r>
      <w:r w:rsidR="00002CDA" w:rsidRPr="00002CDA">
        <w:rPr>
          <w:rFonts w:ascii="Arial" w:eastAsia="Calibri" w:hAnsi="Arial" w:cs="Arial"/>
          <w:sz w:val="20"/>
          <w:szCs w:val="20"/>
        </w:rPr>
        <w:t>https://mpeda.gov.in/wp-content/uploads/2020/12/MPEDA_Annual_Report_25-26.pdf</w:t>
      </w:r>
    </w:p>
    <w:p w14:paraId="4A6896A8" w14:textId="77777777" w:rsidR="004F784C" w:rsidRPr="00C376DE" w:rsidRDefault="004F784C"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t xml:space="preserve">Ramadhan, A. J., Bohra, D., Srivastava, A. B., Kumar, P., Gautam, S., Suman, Lal, P., </w:t>
      </w:r>
      <w:r w:rsidR="00661054">
        <w:rPr>
          <w:rFonts w:ascii="Arial" w:eastAsia="Calibri" w:hAnsi="Arial" w:cs="Arial"/>
          <w:sz w:val="20"/>
          <w:szCs w:val="20"/>
        </w:rPr>
        <w:t>et al.</w:t>
      </w:r>
      <w:r w:rsidRPr="00C376DE">
        <w:rPr>
          <w:rFonts w:ascii="Arial" w:eastAsia="Calibri" w:hAnsi="Arial" w:cs="Arial"/>
          <w:sz w:val="20"/>
          <w:szCs w:val="20"/>
        </w:rPr>
        <w:t xml:space="preserve"> (2024). Production, sustainability and fish trade prospect of India by using Markov chain analysis. </w:t>
      </w:r>
      <w:r w:rsidRPr="00B77A66">
        <w:rPr>
          <w:rFonts w:ascii="Arial" w:eastAsia="Calibri" w:hAnsi="Arial" w:cs="Arial"/>
          <w:i/>
          <w:iCs/>
          <w:sz w:val="20"/>
          <w:szCs w:val="20"/>
        </w:rPr>
        <w:t>BIO Web of Conferences</w:t>
      </w:r>
      <w:r w:rsidRPr="00661054">
        <w:rPr>
          <w:rFonts w:ascii="Arial" w:eastAsia="Calibri" w:hAnsi="Arial" w:cs="Arial"/>
          <w:sz w:val="20"/>
          <w:szCs w:val="20"/>
        </w:rPr>
        <w:t>,</w:t>
      </w:r>
      <w:r w:rsidRPr="00C376DE">
        <w:rPr>
          <w:rFonts w:ascii="Arial" w:eastAsia="Calibri" w:hAnsi="Arial" w:cs="Arial"/>
          <w:sz w:val="20"/>
          <w:szCs w:val="20"/>
        </w:rPr>
        <w:t xml:space="preserve"> </w:t>
      </w:r>
      <w:r w:rsidRPr="00661054">
        <w:rPr>
          <w:rFonts w:ascii="Arial" w:eastAsia="Calibri" w:hAnsi="Arial" w:cs="Arial"/>
          <w:sz w:val="20"/>
          <w:szCs w:val="20"/>
        </w:rPr>
        <w:t>97</w:t>
      </w:r>
      <w:r w:rsidR="00661054">
        <w:rPr>
          <w:rFonts w:ascii="Arial" w:eastAsia="Calibri" w:hAnsi="Arial" w:cs="Arial"/>
          <w:sz w:val="20"/>
          <w:szCs w:val="20"/>
        </w:rPr>
        <w:t>,</w:t>
      </w:r>
      <w:r w:rsidRPr="00C376DE">
        <w:rPr>
          <w:rFonts w:ascii="Arial" w:eastAsia="Calibri" w:hAnsi="Arial" w:cs="Arial"/>
          <w:sz w:val="20"/>
          <w:szCs w:val="20"/>
        </w:rPr>
        <w:t xml:space="preserve"> 00132. </w:t>
      </w:r>
      <w:r w:rsidR="005B4F20" w:rsidRPr="005B4F20">
        <w:rPr>
          <w:rFonts w:ascii="Arial" w:eastAsia="Calibri" w:hAnsi="Arial" w:cs="Arial"/>
          <w:sz w:val="20"/>
          <w:szCs w:val="20"/>
        </w:rPr>
        <w:t>https://doi.org/10.1051/bioconf/20249700132</w:t>
      </w:r>
    </w:p>
    <w:p w14:paraId="29687789" w14:textId="77777777" w:rsidR="004F784C" w:rsidRPr="00C376DE" w:rsidRDefault="004F784C" w:rsidP="00D412B7">
      <w:pPr>
        <w:spacing w:after="120"/>
        <w:ind w:left="720" w:hanging="720"/>
        <w:jc w:val="both"/>
        <w:rPr>
          <w:rFonts w:ascii="Arial" w:eastAsia="Calibri" w:hAnsi="Arial" w:cs="Arial"/>
          <w:sz w:val="20"/>
          <w:szCs w:val="20"/>
          <w:lang w:val="en-GB"/>
        </w:rPr>
      </w:pPr>
      <w:r w:rsidRPr="00C376DE">
        <w:rPr>
          <w:rFonts w:ascii="Arial" w:eastAsia="Calibri" w:hAnsi="Arial" w:cs="Arial"/>
          <w:sz w:val="20"/>
          <w:szCs w:val="20"/>
          <w:lang w:val="en-GB"/>
        </w:rPr>
        <w:t>Rao, K. V.</w:t>
      </w:r>
      <w:r w:rsidR="00661054">
        <w:rPr>
          <w:rFonts w:ascii="Arial" w:eastAsia="Calibri" w:hAnsi="Arial" w:cs="Arial"/>
          <w:sz w:val="20"/>
          <w:szCs w:val="20"/>
          <w:lang w:val="en-GB"/>
        </w:rPr>
        <w:t>,</w:t>
      </w:r>
      <w:r w:rsidRPr="00C376DE">
        <w:rPr>
          <w:rFonts w:ascii="Arial" w:eastAsia="Calibri" w:hAnsi="Arial" w:cs="Arial"/>
          <w:sz w:val="20"/>
          <w:szCs w:val="20"/>
          <w:lang w:val="en-GB"/>
        </w:rPr>
        <w:t xml:space="preserve"> </w:t>
      </w:r>
      <w:r w:rsidR="00661054">
        <w:rPr>
          <w:rFonts w:ascii="Arial" w:eastAsia="Calibri" w:hAnsi="Arial" w:cs="Arial"/>
          <w:sz w:val="20"/>
          <w:szCs w:val="20"/>
          <w:lang w:val="en-GB"/>
        </w:rPr>
        <w:t xml:space="preserve">&amp; </w:t>
      </w:r>
      <w:r w:rsidRPr="00C376DE">
        <w:rPr>
          <w:rFonts w:ascii="Arial" w:eastAsia="Calibri" w:hAnsi="Arial" w:cs="Arial"/>
          <w:sz w:val="20"/>
          <w:szCs w:val="20"/>
          <w:lang w:val="en-GB"/>
        </w:rPr>
        <w:t xml:space="preserve">Menon, R. (2021). Growth trends and volatility in India’s seafood exports: A time series analysis. </w:t>
      </w:r>
      <w:r w:rsidRPr="00B77A66">
        <w:rPr>
          <w:rFonts w:ascii="Arial" w:eastAsia="Calibri" w:hAnsi="Arial" w:cs="Arial"/>
          <w:i/>
          <w:iCs/>
          <w:sz w:val="20"/>
          <w:szCs w:val="20"/>
          <w:lang w:val="en-GB"/>
        </w:rPr>
        <w:t>South Asian Journal of Maritime Studies</w:t>
      </w:r>
      <w:r w:rsidRPr="00661054">
        <w:rPr>
          <w:rFonts w:ascii="Arial" w:eastAsia="Calibri" w:hAnsi="Arial" w:cs="Arial"/>
          <w:sz w:val="20"/>
          <w:szCs w:val="20"/>
          <w:lang w:val="en-GB"/>
        </w:rPr>
        <w:t>,</w:t>
      </w:r>
      <w:r w:rsidRPr="00C376DE">
        <w:rPr>
          <w:rFonts w:ascii="Arial" w:eastAsia="Calibri" w:hAnsi="Arial" w:cs="Arial"/>
          <w:sz w:val="20"/>
          <w:szCs w:val="20"/>
          <w:lang w:val="en-GB"/>
        </w:rPr>
        <w:t xml:space="preserve"> </w:t>
      </w:r>
      <w:r w:rsidRPr="00661054">
        <w:rPr>
          <w:rFonts w:ascii="Arial" w:eastAsia="Calibri" w:hAnsi="Arial" w:cs="Arial"/>
          <w:sz w:val="20"/>
          <w:szCs w:val="20"/>
          <w:lang w:val="en-GB"/>
        </w:rPr>
        <w:t>18</w:t>
      </w:r>
      <w:r w:rsidRPr="00C376DE">
        <w:rPr>
          <w:rFonts w:ascii="Arial" w:eastAsia="Calibri" w:hAnsi="Arial" w:cs="Arial"/>
          <w:sz w:val="20"/>
          <w:szCs w:val="20"/>
          <w:lang w:val="en-GB"/>
        </w:rPr>
        <w:t>(2)</w:t>
      </w:r>
      <w:r w:rsidR="00661054">
        <w:rPr>
          <w:rFonts w:ascii="Arial" w:eastAsia="Calibri" w:hAnsi="Arial" w:cs="Arial"/>
          <w:sz w:val="20"/>
          <w:szCs w:val="20"/>
          <w:lang w:val="en-GB"/>
        </w:rPr>
        <w:t>,</w:t>
      </w:r>
      <w:r w:rsidRPr="00C376DE">
        <w:rPr>
          <w:rFonts w:ascii="Arial" w:eastAsia="Calibri" w:hAnsi="Arial" w:cs="Arial"/>
          <w:sz w:val="20"/>
          <w:szCs w:val="20"/>
          <w:lang w:val="en-GB"/>
        </w:rPr>
        <w:t xml:space="preserve"> 89-97.</w:t>
      </w:r>
    </w:p>
    <w:p w14:paraId="27BE87B5" w14:textId="77777777" w:rsidR="004F784C" w:rsidRPr="00C376DE" w:rsidRDefault="00661054" w:rsidP="00D412B7">
      <w:pPr>
        <w:spacing w:after="120"/>
        <w:ind w:left="720" w:hanging="720"/>
        <w:jc w:val="both"/>
        <w:rPr>
          <w:rFonts w:ascii="Arial" w:eastAsia="Calibri" w:hAnsi="Arial" w:cs="Arial"/>
          <w:sz w:val="20"/>
          <w:szCs w:val="20"/>
        </w:rPr>
      </w:pPr>
      <w:r>
        <w:rPr>
          <w:rFonts w:ascii="Arial" w:eastAsia="Calibri" w:hAnsi="Arial" w:cs="Arial"/>
          <w:sz w:val="20"/>
          <w:szCs w:val="20"/>
        </w:rPr>
        <w:t xml:space="preserve">Shinoj, P., &amp; </w:t>
      </w:r>
      <w:r w:rsidR="004F784C" w:rsidRPr="00C376DE">
        <w:rPr>
          <w:rFonts w:ascii="Arial" w:eastAsia="Calibri" w:hAnsi="Arial" w:cs="Arial"/>
          <w:sz w:val="20"/>
          <w:szCs w:val="20"/>
        </w:rPr>
        <w:t xml:space="preserve">Mathur, V. C. (2008). Comparative advantage of India in agricultural exports </w:t>
      </w:r>
      <w:r w:rsidR="004F784C" w:rsidRPr="00C376DE">
        <w:rPr>
          <w:rFonts w:ascii="Arial" w:eastAsia="Calibri" w:hAnsi="Arial" w:cs="Arial"/>
          <w:i/>
          <w:iCs/>
          <w:sz w:val="20"/>
          <w:szCs w:val="20"/>
        </w:rPr>
        <w:t>vis-à-vis</w:t>
      </w:r>
      <w:r w:rsidR="004F784C" w:rsidRPr="00C376DE">
        <w:rPr>
          <w:rFonts w:ascii="Arial" w:eastAsia="Calibri" w:hAnsi="Arial" w:cs="Arial"/>
          <w:sz w:val="20"/>
          <w:szCs w:val="20"/>
        </w:rPr>
        <w:t xml:space="preserve"> Asia: A post-reforms analysis. </w:t>
      </w:r>
      <w:r w:rsidR="004F784C" w:rsidRPr="00B77A66">
        <w:rPr>
          <w:rFonts w:ascii="Arial" w:eastAsia="Calibri" w:hAnsi="Arial" w:cs="Arial"/>
          <w:i/>
          <w:iCs/>
          <w:sz w:val="20"/>
          <w:szCs w:val="20"/>
        </w:rPr>
        <w:t>Agricultural Economics Research Review</w:t>
      </w:r>
      <w:r w:rsidR="004F784C" w:rsidRPr="00661054">
        <w:rPr>
          <w:rFonts w:ascii="Arial" w:eastAsia="Calibri" w:hAnsi="Arial" w:cs="Arial"/>
          <w:sz w:val="20"/>
          <w:szCs w:val="20"/>
        </w:rPr>
        <w:t>,</w:t>
      </w:r>
      <w:r w:rsidR="004F784C" w:rsidRPr="00C376DE">
        <w:rPr>
          <w:rFonts w:ascii="Arial" w:eastAsia="Calibri" w:hAnsi="Arial" w:cs="Arial"/>
          <w:i/>
          <w:iCs/>
          <w:sz w:val="20"/>
          <w:szCs w:val="20"/>
        </w:rPr>
        <w:t xml:space="preserve"> </w:t>
      </w:r>
      <w:r w:rsidR="004F784C" w:rsidRPr="00661054">
        <w:rPr>
          <w:rFonts w:ascii="Arial" w:eastAsia="Calibri" w:hAnsi="Arial" w:cs="Arial"/>
          <w:sz w:val="20"/>
          <w:szCs w:val="20"/>
        </w:rPr>
        <w:t>21</w:t>
      </w:r>
      <w:r>
        <w:rPr>
          <w:rFonts w:ascii="Arial" w:eastAsia="Calibri" w:hAnsi="Arial" w:cs="Arial"/>
          <w:sz w:val="20"/>
          <w:szCs w:val="20"/>
        </w:rPr>
        <w:t>(1),</w:t>
      </w:r>
      <w:r w:rsidR="004F784C" w:rsidRPr="00C376DE">
        <w:rPr>
          <w:rFonts w:ascii="Arial" w:eastAsia="Calibri" w:hAnsi="Arial" w:cs="Arial"/>
          <w:sz w:val="20"/>
          <w:szCs w:val="20"/>
        </w:rPr>
        <w:t xml:space="preserve"> 61-74.</w:t>
      </w:r>
      <w:r w:rsidR="005B4F20">
        <w:rPr>
          <w:rFonts w:ascii="Arial" w:eastAsia="Calibri" w:hAnsi="Arial" w:cs="Arial"/>
          <w:sz w:val="20"/>
          <w:szCs w:val="20"/>
        </w:rPr>
        <w:t xml:space="preserve"> </w:t>
      </w:r>
      <w:r w:rsidR="005B4F20" w:rsidRPr="005B4F20">
        <w:rPr>
          <w:rFonts w:ascii="Arial" w:eastAsia="Calibri" w:hAnsi="Arial" w:cs="Arial"/>
          <w:sz w:val="20"/>
          <w:szCs w:val="20"/>
        </w:rPr>
        <w:t>DOI: 10.22004/ag.econ.47361</w:t>
      </w:r>
    </w:p>
    <w:p w14:paraId="5368E26D" w14:textId="77777777" w:rsidR="004F784C" w:rsidRPr="00C376DE" w:rsidRDefault="004F784C" w:rsidP="00D412B7">
      <w:pPr>
        <w:spacing w:after="120"/>
        <w:ind w:left="720" w:hanging="720"/>
        <w:jc w:val="both"/>
        <w:rPr>
          <w:rFonts w:ascii="Arial" w:eastAsia="Calibri" w:hAnsi="Arial" w:cs="Arial"/>
          <w:sz w:val="20"/>
          <w:szCs w:val="20"/>
        </w:rPr>
      </w:pPr>
      <w:r w:rsidRPr="00C376DE">
        <w:rPr>
          <w:rFonts w:ascii="Arial" w:eastAsia="Calibri" w:hAnsi="Arial" w:cs="Arial"/>
          <w:sz w:val="20"/>
          <w:szCs w:val="20"/>
        </w:rPr>
        <w:t>Thorat, V. A.</w:t>
      </w:r>
      <w:r w:rsidR="00661054">
        <w:rPr>
          <w:rFonts w:ascii="Arial" w:eastAsia="Calibri" w:hAnsi="Arial" w:cs="Arial"/>
          <w:sz w:val="20"/>
          <w:szCs w:val="20"/>
        </w:rPr>
        <w:t xml:space="preserve">, Talathi, J. M., Wagale, S. A., &amp; </w:t>
      </w:r>
      <w:r w:rsidRPr="00C376DE">
        <w:rPr>
          <w:rFonts w:ascii="Arial" w:eastAsia="Calibri" w:hAnsi="Arial" w:cs="Arial"/>
          <w:sz w:val="20"/>
          <w:szCs w:val="20"/>
        </w:rPr>
        <w:t xml:space="preserve">Waghmode, P. U. (2020). Trends and direction of marine fish export from India. </w:t>
      </w:r>
      <w:r w:rsidRPr="00B77A66">
        <w:rPr>
          <w:rFonts w:ascii="Arial" w:eastAsia="Calibri" w:hAnsi="Arial" w:cs="Arial"/>
          <w:i/>
          <w:iCs/>
          <w:sz w:val="20"/>
          <w:szCs w:val="20"/>
        </w:rPr>
        <w:t>Journal of Experimental Zoology, India</w:t>
      </w:r>
      <w:r w:rsidRPr="00661054">
        <w:rPr>
          <w:rFonts w:ascii="Arial" w:eastAsia="Calibri" w:hAnsi="Arial" w:cs="Arial"/>
          <w:sz w:val="20"/>
          <w:szCs w:val="20"/>
        </w:rPr>
        <w:t>,</w:t>
      </w:r>
      <w:r w:rsidRPr="00C376DE">
        <w:rPr>
          <w:rFonts w:ascii="Arial" w:eastAsia="Calibri" w:hAnsi="Arial" w:cs="Arial"/>
          <w:i/>
          <w:iCs/>
          <w:sz w:val="20"/>
          <w:szCs w:val="20"/>
        </w:rPr>
        <w:t xml:space="preserve"> </w:t>
      </w:r>
      <w:r w:rsidRPr="00661054">
        <w:rPr>
          <w:rFonts w:ascii="Arial" w:eastAsia="Calibri" w:hAnsi="Arial" w:cs="Arial"/>
          <w:sz w:val="20"/>
          <w:szCs w:val="20"/>
        </w:rPr>
        <w:t>23</w:t>
      </w:r>
      <w:r w:rsidR="00661054">
        <w:rPr>
          <w:rFonts w:ascii="Arial" w:eastAsia="Calibri" w:hAnsi="Arial" w:cs="Arial"/>
          <w:sz w:val="20"/>
          <w:szCs w:val="20"/>
        </w:rPr>
        <w:t>(1),</w:t>
      </w:r>
      <w:r w:rsidRPr="00C376DE">
        <w:rPr>
          <w:rFonts w:ascii="Arial" w:eastAsia="Calibri" w:hAnsi="Arial" w:cs="Arial"/>
          <w:sz w:val="20"/>
          <w:szCs w:val="20"/>
        </w:rPr>
        <w:t xml:space="preserve"> 873-877.</w:t>
      </w:r>
    </w:p>
    <w:p w14:paraId="79C347DC" w14:textId="77777777" w:rsidR="004F784C" w:rsidRPr="00C376DE" w:rsidRDefault="00661054" w:rsidP="00D412B7">
      <w:pPr>
        <w:spacing w:after="120"/>
        <w:ind w:left="720" w:hanging="720"/>
        <w:jc w:val="both"/>
        <w:rPr>
          <w:rFonts w:ascii="Arial" w:eastAsia="Calibri" w:hAnsi="Arial" w:cs="Arial"/>
          <w:sz w:val="20"/>
          <w:szCs w:val="20"/>
          <w:lang w:bidi="gu-IN"/>
        </w:rPr>
      </w:pPr>
      <w:r w:rsidRPr="00661054">
        <w:rPr>
          <w:rFonts w:ascii="Arial" w:eastAsia="Calibri" w:hAnsi="Arial" w:cs="Arial"/>
          <w:sz w:val="20"/>
          <w:szCs w:val="20"/>
          <w:lang w:bidi="gu-IN"/>
        </w:rPr>
        <w:t>United Nations Conference on Trade and Development</w:t>
      </w:r>
      <w:r w:rsidR="004F784C" w:rsidRPr="00C376DE">
        <w:rPr>
          <w:rFonts w:ascii="Arial" w:eastAsia="Calibri" w:hAnsi="Arial" w:cs="Arial"/>
          <w:sz w:val="20"/>
          <w:szCs w:val="20"/>
          <w:lang w:bidi="gu-IN"/>
        </w:rPr>
        <w:t xml:space="preserve">. (2023). Review of maritime transport 2023. </w:t>
      </w:r>
      <w:r w:rsidR="006C4049" w:rsidRPr="006C4049">
        <w:rPr>
          <w:rFonts w:ascii="Arial" w:eastAsia="Calibri" w:hAnsi="Arial" w:cs="Arial"/>
          <w:sz w:val="20"/>
          <w:szCs w:val="20"/>
          <w:lang w:bidi="gu-IN"/>
        </w:rPr>
        <w:t>https://unctad.org/system/files/official-document/rmt2023_en.pdf</w:t>
      </w:r>
    </w:p>
    <w:sectPr w:rsidR="004F784C" w:rsidRPr="00C376DE" w:rsidSect="00A72F41">
      <w:headerReference w:type="even" r:id="rId7"/>
      <w:headerReference w:type="default" r:id="rId8"/>
      <w:footerReference w:type="even" r:id="rId9"/>
      <w:footerReference w:type="default" r:id="rId10"/>
      <w:headerReference w:type="first" r:id="rId11"/>
      <w:footerReference w:type="first" r:id="rId12"/>
      <w:pgSz w:w="11906" w:h="16838"/>
      <w:pgMar w:top="1440" w:right="2016" w:bottom="2016"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6AF4B" w14:textId="77777777" w:rsidR="00052F5B" w:rsidRDefault="00052F5B" w:rsidP="004F784C">
      <w:r>
        <w:separator/>
      </w:r>
    </w:p>
  </w:endnote>
  <w:endnote w:type="continuationSeparator" w:id="0">
    <w:p w14:paraId="0044B208" w14:textId="77777777" w:rsidR="00052F5B" w:rsidRDefault="00052F5B" w:rsidP="004F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1A80" w14:textId="77777777" w:rsidR="00A72F41" w:rsidRDefault="00A72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29576861"/>
      <w:docPartObj>
        <w:docPartGallery w:val="Page Numbers (Bottom of Page)"/>
        <w:docPartUnique/>
      </w:docPartObj>
    </w:sdtPr>
    <w:sdtEndPr>
      <w:rPr>
        <w:rFonts w:ascii="Arial" w:hAnsi="Arial" w:cs="Arial"/>
        <w:noProof/>
        <w:sz w:val="20"/>
        <w:szCs w:val="20"/>
      </w:rPr>
    </w:sdtEndPr>
    <w:sdtContent>
      <w:p w14:paraId="58E41072" w14:textId="77777777" w:rsidR="001C54CA" w:rsidRPr="00D412B7" w:rsidRDefault="001C54CA" w:rsidP="004F784C">
        <w:pPr>
          <w:pStyle w:val="Footer"/>
          <w:jc w:val="center"/>
          <w:rPr>
            <w:rFonts w:ascii="Arial" w:hAnsi="Arial" w:cs="Arial"/>
            <w:sz w:val="20"/>
            <w:szCs w:val="20"/>
          </w:rPr>
        </w:pPr>
        <w:r w:rsidRPr="00D412B7">
          <w:rPr>
            <w:rFonts w:ascii="Arial" w:hAnsi="Arial" w:cs="Arial"/>
            <w:sz w:val="20"/>
            <w:szCs w:val="20"/>
          </w:rPr>
          <w:fldChar w:fldCharType="begin"/>
        </w:r>
        <w:r w:rsidRPr="00D412B7">
          <w:rPr>
            <w:rFonts w:ascii="Arial" w:hAnsi="Arial" w:cs="Arial"/>
            <w:sz w:val="20"/>
            <w:szCs w:val="20"/>
          </w:rPr>
          <w:instrText xml:space="preserve"> PAGE   \* MERGEFORMAT </w:instrText>
        </w:r>
        <w:r w:rsidRPr="00D412B7">
          <w:rPr>
            <w:rFonts w:ascii="Arial" w:hAnsi="Arial" w:cs="Arial"/>
            <w:sz w:val="20"/>
            <w:szCs w:val="20"/>
          </w:rPr>
          <w:fldChar w:fldCharType="separate"/>
        </w:r>
        <w:r w:rsidR="00DF4C0F">
          <w:rPr>
            <w:rFonts w:ascii="Arial" w:hAnsi="Arial" w:cs="Arial"/>
            <w:noProof/>
            <w:sz w:val="20"/>
            <w:szCs w:val="20"/>
          </w:rPr>
          <w:t>9</w:t>
        </w:r>
        <w:r w:rsidRPr="00D412B7">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9F963" w14:textId="77777777" w:rsidR="00A72F41" w:rsidRDefault="00A7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25C69" w14:textId="77777777" w:rsidR="00052F5B" w:rsidRDefault="00052F5B" w:rsidP="004F784C">
      <w:r>
        <w:separator/>
      </w:r>
    </w:p>
  </w:footnote>
  <w:footnote w:type="continuationSeparator" w:id="0">
    <w:p w14:paraId="61891793" w14:textId="77777777" w:rsidR="00052F5B" w:rsidRDefault="00052F5B" w:rsidP="004F7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2DFB" w14:textId="6B71D6AF" w:rsidR="00A72F41" w:rsidRDefault="00A72F41">
    <w:pPr>
      <w:pStyle w:val="Header"/>
    </w:pPr>
    <w:r>
      <w:rPr>
        <w:noProof/>
      </w:rPr>
      <w:pict w14:anchorId="634BB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4641" o:spid="_x0000_s2050" type="#_x0000_t136" style="position:absolute;margin-left:0;margin-top:0;width:466.9pt;height:88.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08A2" w14:textId="1D2AC6F5" w:rsidR="00A72F41" w:rsidRDefault="00A72F41">
    <w:pPr>
      <w:pStyle w:val="Header"/>
    </w:pPr>
    <w:r>
      <w:rPr>
        <w:noProof/>
      </w:rPr>
      <w:pict w14:anchorId="45D87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4642" o:spid="_x0000_s2051" type="#_x0000_t136" style="position:absolute;margin-left:0;margin-top:0;width:466.9pt;height:88.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82D56" w14:textId="0CD0BC4B" w:rsidR="00A72F41" w:rsidRDefault="00A72F41">
    <w:pPr>
      <w:pStyle w:val="Header"/>
    </w:pPr>
    <w:r>
      <w:rPr>
        <w:noProof/>
      </w:rPr>
      <w:pict w14:anchorId="74F8E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74640" o:spid="_x0000_s2049" type="#_x0000_t136" style="position:absolute;margin-left:0;margin-top:0;width:466.9pt;height:88.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43B76"/>
    <w:multiLevelType w:val="multilevel"/>
    <w:tmpl w:val="D8A23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4E7CB4"/>
    <w:multiLevelType w:val="multilevel"/>
    <w:tmpl w:val="9D36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84C"/>
    <w:rsid w:val="00002CDA"/>
    <w:rsid w:val="00052F5B"/>
    <w:rsid w:val="000A4164"/>
    <w:rsid w:val="00104299"/>
    <w:rsid w:val="001C54CA"/>
    <w:rsid w:val="001F2FC2"/>
    <w:rsid w:val="00285C41"/>
    <w:rsid w:val="002970BB"/>
    <w:rsid w:val="002D5ACE"/>
    <w:rsid w:val="003110DB"/>
    <w:rsid w:val="004B7F49"/>
    <w:rsid w:val="004E39EA"/>
    <w:rsid w:val="004F784C"/>
    <w:rsid w:val="005B4F20"/>
    <w:rsid w:val="005C18AB"/>
    <w:rsid w:val="00603DEF"/>
    <w:rsid w:val="00661054"/>
    <w:rsid w:val="006757FA"/>
    <w:rsid w:val="006C4049"/>
    <w:rsid w:val="00747876"/>
    <w:rsid w:val="0087554B"/>
    <w:rsid w:val="00A549DD"/>
    <w:rsid w:val="00A72F41"/>
    <w:rsid w:val="00B77A66"/>
    <w:rsid w:val="00BD744F"/>
    <w:rsid w:val="00BF6C54"/>
    <w:rsid w:val="00C376DE"/>
    <w:rsid w:val="00D0665A"/>
    <w:rsid w:val="00D279FC"/>
    <w:rsid w:val="00D412B7"/>
    <w:rsid w:val="00DD1686"/>
    <w:rsid w:val="00DF4C0F"/>
    <w:rsid w:val="00E27353"/>
    <w:rsid w:val="00F372B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629F81"/>
  <w15:chartTrackingRefBased/>
  <w15:docId w15:val="{359DB9D8-7369-4101-9756-F89035D9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755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84C"/>
    <w:pPr>
      <w:tabs>
        <w:tab w:val="center" w:pos="4513"/>
        <w:tab w:val="right" w:pos="9026"/>
      </w:tabs>
    </w:pPr>
  </w:style>
  <w:style w:type="character" w:customStyle="1" w:styleId="HeaderChar">
    <w:name w:val="Header Char"/>
    <w:basedOn w:val="DefaultParagraphFont"/>
    <w:link w:val="Header"/>
    <w:uiPriority w:val="99"/>
    <w:rsid w:val="004F784C"/>
  </w:style>
  <w:style w:type="paragraph" w:styleId="Footer">
    <w:name w:val="footer"/>
    <w:basedOn w:val="Normal"/>
    <w:link w:val="FooterChar"/>
    <w:uiPriority w:val="99"/>
    <w:unhideWhenUsed/>
    <w:rsid w:val="004F784C"/>
    <w:pPr>
      <w:tabs>
        <w:tab w:val="center" w:pos="4513"/>
        <w:tab w:val="right" w:pos="9026"/>
      </w:tabs>
    </w:pPr>
  </w:style>
  <w:style w:type="character" w:customStyle="1" w:styleId="FooterChar">
    <w:name w:val="Footer Char"/>
    <w:basedOn w:val="DefaultParagraphFont"/>
    <w:link w:val="Footer"/>
    <w:uiPriority w:val="99"/>
    <w:rsid w:val="004F784C"/>
  </w:style>
  <w:style w:type="table" w:styleId="TableGrid">
    <w:name w:val="Table Grid"/>
    <w:basedOn w:val="TableNormal"/>
    <w:uiPriority w:val="39"/>
    <w:rsid w:val="00603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7554B"/>
    <w:rPr>
      <w:rFonts w:asciiTheme="majorHAnsi" w:eastAsiaTheme="majorEastAsia" w:hAnsiTheme="majorHAnsi" w:cstheme="majorBidi"/>
      <w:color w:val="2E74B5" w:themeColor="accent1" w:themeShade="BF"/>
      <w:sz w:val="26"/>
      <w:szCs w:val="26"/>
    </w:rPr>
  </w:style>
  <w:style w:type="character" w:styleId="LineNumber">
    <w:name w:val="line number"/>
    <w:basedOn w:val="DefaultParagraphFont"/>
    <w:uiPriority w:val="99"/>
    <w:semiHidden/>
    <w:unhideWhenUsed/>
    <w:rsid w:val="00D412B7"/>
  </w:style>
  <w:style w:type="character" w:styleId="Hyperlink">
    <w:name w:val="Hyperlink"/>
    <w:basedOn w:val="DefaultParagraphFont"/>
    <w:uiPriority w:val="99"/>
    <w:unhideWhenUsed/>
    <w:rsid w:val="00747876"/>
    <w:rPr>
      <w:color w:val="0563C1" w:themeColor="hyperlink"/>
      <w:u w:val="single"/>
    </w:rPr>
  </w:style>
  <w:style w:type="character" w:styleId="UnresolvedMention">
    <w:name w:val="Unresolved Mention"/>
    <w:basedOn w:val="DefaultParagraphFont"/>
    <w:uiPriority w:val="99"/>
    <w:semiHidden/>
    <w:unhideWhenUsed/>
    <w:rsid w:val="00747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889">
      <w:bodyDiv w:val="1"/>
      <w:marLeft w:val="0"/>
      <w:marRight w:val="0"/>
      <w:marTop w:val="0"/>
      <w:marBottom w:val="0"/>
      <w:divBdr>
        <w:top w:val="none" w:sz="0" w:space="0" w:color="auto"/>
        <w:left w:val="none" w:sz="0" w:space="0" w:color="auto"/>
        <w:bottom w:val="none" w:sz="0" w:space="0" w:color="auto"/>
        <w:right w:val="none" w:sz="0" w:space="0" w:color="auto"/>
      </w:divBdr>
    </w:div>
    <w:div w:id="262808122">
      <w:bodyDiv w:val="1"/>
      <w:marLeft w:val="0"/>
      <w:marRight w:val="0"/>
      <w:marTop w:val="0"/>
      <w:marBottom w:val="0"/>
      <w:divBdr>
        <w:top w:val="none" w:sz="0" w:space="0" w:color="auto"/>
        <w:left w:val="none" w:sz="0" w:space="0" w:color="auto"/>
        <w:bottom w:val="none" w:sz="0" w:space="0" w:color="auto"/>
        <w:right w:val="none" w:sz="0" w:space="0" w:color="auto"/>
      </w:divBdr>
    </w:div>
    <w:div w:id="294915895">
      <w:bodyDiv w:val="1"/>
      <w:marLeft w:val="0"/>
      <w:marRight w:val="0"/>
      <w:marTop w:val="0"/>
      <w:marBottom w:val="0"/>
      <w:divBdr>
        <w:top w:val="none" w:sz="0" w:space="0" w:color="auto"/>
        <w:left w:val="none" w:sz="0" w:space="0" w:color="auto"/>
        <w:bottom w:val="none" w:sz="0" w:space="0" w:color="auto"/>
        <w:right w:val="none" w:sz="0" w:space="0" w:color="auto"/>
      </w:divBdr>
    </w:div>
    <w:div w:id="1223326890">
      <w:bodyDiv w:val="1"/>
      <w:marLeft w:val="0"/>
      <w:marRight w:val="0"/>
      <w:marTop w:val="0"/>
      <w:marBottom w:val="0"/>
      <w:divBdr>
        <w:top w:val="none" w:sz="0" w:space="0" w:color="auto"/>
        <w:left w:val="none" w:sz="0" w:space="0" w:color="auto"/>
        <w:bottom w:val="none" w:sz="0" w:space="0" w:color="auto"/>
        <w:right w:val="none" w:sz="0" w:space="0" w:color="auto"/>
      </w:divBdr>
    </w:div>
    <w:div w:id="1778791510">
      <w:bodyDiv w:val="1"/>
      <w:marLeft w:val="0"/>
      <w:marRight w:val="0"/>
      <w:marTop w:val="0"/>
      <w:marBottom w:val="0"/>
      <w:divBdr>
        <w:top w:val="none" w:sz="0" w:space="0" w:color="auto"/>
        <w:left w:val="none" w:sz="0" w:space="0" w:color="auto"/>
        <w:bottom w:val="none" w:sz="0" w:space="0" w:color="auto"/>
        <w:right w:val="none" w:sz="0" w:space="0" w:color="auto"/>
      </w:divBdr>
    </w:div>
    <w:div w:id="19192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3918</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dc:description/>
  <cp:lastModifiedBy>SDI 1084</cp:lastModifiedBy>
  <cp:revision>14</cp:revision>
  <dcterms:created xsi:type="dcterms:W3CDTF">2026-04-13T16:03:00Z</dcterms:created>
  <dcterms:modified xsi:type="dcterms:W3CDTF">2026-04-15T10:55:00Z</dcterms:modified>
</cp:coreProperties>
</file>