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DBE07" w14:textId="77777777" w:rsidR="0090679B" w:rsidRDefault="0090679B">
      <w:pPr>
        <w:pStyle w:val="Heading1"/>
        <w:widowControl/>
        <w:spacing w:before="60" w:beforeAutospacing="0" w:after="180" w:afterAutospacing="0"/>
        <w:jc w:val="center"/>
        <w:rPr>
          <w:rFonts w:ascii="Times New Roman" w:eastAsia="SimHei" w:hAnsi="Times New Roman" w:hint="default"/>
          <w:kern w:val="2"/>
          <w:sz w:val="44"/>
          <w:szCs w:val="44"/>
        </w:rPr>
      </w:pPr>
      <w:bookmarkStart w:id="0" w:name="_Toc22671"/>
      <w:r w:rsidRPr="0090679B">
        <w:rPr>
          <w:rFonts w:ascii="Times New Roman" w:eastAsia="SimHei" w:hAnsi="Times New Roman"/>
          <w:kern w:val="2"/>
          <w:sz w:val="44"/>
          <w:szCs w:val="44"/>
        </w:rPr>
        <w:t>Original Research Article</w:t>
      </w:r>
    </w:p>
    <w:p w14:paraId="273B9961" w14:textId="1846761C" w:rsidR="008F009F" w:rsidRDefault="005A743F">
      <w:pPr>
        <w:pStyle w:val="Heading1"/>
        <w:widowControl/>
        <w:spacing w:before="60" w:beforeAutospacing="0" w:after="180" w:afterAutospacing="0"/>
        <w:jc w:val="center"/>
        <w:rPr>
          <w:rFonts w:ascii="Times New Roman" w:eastAsia="SimHei" w:hAnsi="Times New Roman" w:hint="default"/>
          <w:kern w:val="2"/>
          <w:sz w:val="44"/>
          <w:szCs w:val="44"/>
        </w:rPr>
      </w:pPr>
      <w:r>
        <w:rPr>
          <w:rFonts w:ascii="Times New Roman" w:eastAsia="SimHei" w:hAnsi="Times New Roman" w:hint="default"/>
          <w:kern w:val="2"/>
          <w:sz w:val="44"/>
          <w:szCs w:val="44"/>
        </w:rPr>
        <w:t>Study on Mineralization of Fully Solid-Waste-Based Artificial Aggregate</w:t>
      </w:r>
    </w:p>
    <w:p w14:paraId="1CB7A961" w14:textId="77777777" w:rsidR="001742A1" w:rsidRPr="001742A1" w:rsidRDefault="001742A1" w:rsidP="001742A1"/>
    <w:p w14:paraId="53506985" w14:textId="77777777" w:rsidR="008F009F" w:rsidRDefault="005A743F">
      <w:pPr>
        <w:widowControl w:val="0"/>
        <w:spacing w:before="0" w:beforeAutospacing="0"/>
        <w:jc w:val="both"/>
        <w:rPr>
          <w:rFonts w:ascii="Times New Roman" w:eastAsia="SimSun" w:hAnsi="Times New Roman" w:cs="Times New Roman"/>
          <w:sz w:val="18"/>
          <w:szCs w:val="18"/>
        </w:rPr>
      </w:pPr>
      <w:bookmarkStart w:id="1" w:name="_GoBack"/>
      <w:bookmarkEnd w:id="0"/>
      <w:bookmarkEnd w:id="1"/>
      <w:r>
        <w:rPr>
          <w:rFonts w:ascii="Times New Roman" w:eastAsia="SimSun" w:hAnsi="Times New Roman" w:cs="Times New Roman"/>
          <w:b/>
          <w:bCs/>
          <w:sz w:val="18"/>
          <w:szCs w:val="18"/>
          <w14:ligatures w14:val="none"/>
        </w:rPr>
        <w:t xml:space="preserve">Abstract: </w:t>
      </w:r>
      <w:r>
        <w:rPr>
          <w:rFonts w:ascii="Times New Roman" w:eastAsia="SimSun" w:hAnsi="Times New Roman" w:cs="Times New Roman" w:hint="eastAsia"/>
          <w:sz w:val="18"/>
          <w:szCs w:val="18"/>
        </w:rPr>
        <w:t>To optimize the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mineralization process of full-solid-waste artificial aggregates and improve their mineralization efficiency and comprehensive performance, artificial aggregates wer</w:t>
      </w:r>
      <w:r>
        <w:rPr>
          <w:rFonts w:ascii="Times New Roman" w:eastAsia="SimSun" w:hAnsi="Times New Roman" w:cs="Times New Roman" w:hint="eastAsia"/>
          <w:sz w:val="18"/>
          <w:szCs w:val="18"/>
        </w:rPr>
        <w:t xml:space="preserve">e prepared by cold-bonding </w:t>
      </w:r>
      <w:proofErr w:type="spellStart"/>
      <w:r>
        <w:rPr>
          <w:rFonts w:ascii="Times New Roman" w:eastAsia="SimSun" w:hAnsi="Times New Roman" w:cs="Times New Roman" w:hint="eastAsia"/>
          <w:sz w:val="18"/>
          <w:szCs w:val="18"/>
        </w:rPr>
        <w:t>pelletization</w:t>
      </w:r>
      <w:proofErr w:type="spellEnd"/>
      <w:r>
        <w:rPr>
          <w:rFonts w:ascii="Times New Roman" w:eastAsia="SimSun" w:hAnsi="Times New Roman" w:cs="Times New Roman" w:hint="eastAsia"/>
          <w:sz w:val="18"/>
          <w:szCs w:val="18"/>
        </w:rPr>
        <w:t xml:space="preserve"> using 20% fly ash, 60% slag, 10% carbide slag and 10% desulfurization gypsum as raw materials. Curing humidity,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concentration, curing pressure and mineralization curing time were taken as key variables to system</w:t>
      </w:r>
      <w:r>
        <w:rPr>
          <w:rFonts w:ascii="Times New Roman" w:eastAsia="SimSun" w:hAnsi="Times New Roman" w:cs="Times New Roman" w:hint="eastAsia"/>
          <w:sz w:val="18"/>
          <w:szCs w:val="18"/>
        </w:rPr>
        <w:t>atically investigate their effects on the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mineralization behavior of aggregates, clarify the influencing mechanism, and determine the optimal process </w:t>
      </w:r>
      <w:proofErr w:type="spellStart"/>
      <w:proofErr w:type="gramStart"/>
      <w:r>
        <w:rPr>
          <w:rFonts w:ascii="Times New Roman" w:eastAsia="SimSun" w:hAnsi="Times New Roman" w:cs="Times New Roman" w:hint="eastAsia"/>
          <w:sz w:val="18"/>
          <w:szCs w:val="18"/>
        </w:rPr>
        <w:t>combination.The</w:t>
      </w:r>
      <w:proofErr w:type="spellEnd"/>
      <w:proofErr w:type="gramEnd"/>
      <w:r>
        <w:rPr>
          <w:rFonts w:ascii="Times New Roman" w:eastAsia="SimSun" w:hAnsi="Times New Roman" w:cs="Times New Roman" w:hint="eastAsia"/>
          <w:sz w:val="18"/>
          <w:szCs w:val="18"/>
        </w:rPr>
        <w:t xml:space="preserve"> results show that curing humidity,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concentration, curing pressure and mineralizati</w:t>
      </w:r>
      <w:r>
        <w:rPr>
          <w:rFonts w:ascii="Times New Roman" w:eastAsia="SimSun" w:hAnsi="Times New Roman" w:cs="Times New Roman" w:hint="eastAsia"/>
          <w:sz w:val="18"/>
          <w:szCs w:val="18"/>
        </w:rPr>
        <w:t xml:space="preserve">on time all exert significant influences on mineralization efficiency. Excessively low or high humidity, </w:t>
      </w:r>
      <w:proofErr w:type="gramStart"/>
      <w:r>
        <w:rPr>
          <w:rFonts w:ascii="Times New Roman" w:eastAsia="SimSun" w:hAnsi="Times New Roman" w:cs="Times New Roman" w:hint="eastAsia"/>
          <w:sz w:val="18"/>
          <w:szCs w:val="18"/>
        </w:rPr>
        <w:t>excessive  concentration</w:t>
      </w:r>
      <w:proofErr w:type="gramEnd"/>
      <w:r>
        <w:rPr>
          <w:rFonts w:ascii="Times New Roman" w:eastAsia="SimSun" w:hAnsi="Times New Roman" w:cs="Times New Roman" w:hint="eastAsia"/>
          <w:sz w:val="18"/>
          <w:szCs w:val="18"/>
        </w:rPr>
        <w:t xml:space="preserve"> and overly high curing pressure inhibit the mineralization reaction, while insufficient curing time results in incomplete reac</w:t>
      </w:r>
      <w:r>
        <w:rPr>
          <w:rFonts w:ascii="Times New Roman" w:eastAsia="SimSun" w:hAnsi="Times New Roman" w:cs="Times New Roman" w:hint="eastAsia"/>
          <w:sz w:val="18"/>
          <w:szCs w:val="18"/>
        </w:rPr>
        <w:t xml:space="preserve">tion, which tends to stabilize after 12 </w:t>
      </w:r>
      <w:proofErr w:type="spellStart"/>
      <w:r>
        <w:rPr>
          <w:rFonts w:ascii="Times New Roman" w:eastAsia="SimSun" w:hAnsi="Times New Roman" w:cs="Times New Roman" w:hint="eastAsia"/>
          <w:sz w:val="18"/>
          <w:szCs w:val="18"/>
        </w:rPr>
        <w:t>hours.The</w:t>
      </w:r>
      <w:proofErr w:type="spellEnd"/>
      <w:r>
        <w:rPr>
          <w:rFonts w:ascii="Times New Roman" w:eastAsia="SimSun" w:hAnsi="Times New Roman" w:cs="Times New Roman" w:hint="eastAsia"/>
          <w:sz w:val="18"/>
          <w:szCs w:val="18"/>
        </w:rPr>
        <w:t xml:space="preserve"> optimal mineralization parameters are determined as follows: curing humidity of 57%,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concentration of 40%, curing pressure of 0.4 MPa, and mineralization curing time of 12 h. Under these conditions, the</w:t>
      </w:r>
      <w:r>
        <w:rPr>
          <w:rFonts w:ascii="Times New Roman" w:eastAsia="SimSun" w:hAnsi="Times New Roman" w:cs="Times New Roman" w:hint="eastAsia"/>
          <w:sz w:val="18"/>
          <w:szCs w:val="18"/>
        </w:rPr>
        <w:t xml:space="preserve"> artificial aggregates exhibit excellent mineralization performance with desirable carbon sequestration capacity and mechanical </w:t>
      </w:r>
      <w:proofErr w:type="spellStart"/>
      <w:proofErr w:type="gramStart"/>
      <w:r>
        <w:rPr>
          <w:rFonts w:ascii="Times New Roman" w:eastAsia="SimSun" w:hAnsi="Times New Roman" w:cs="Times New Roman" w:hint="eastAsia"/>
          <w:sz w:val="18"/>
          <w:szCs w:val="18"/>
        </w:rPr>
        <w:t>properties.This</w:t>
      </w:r>
      <w:proofErr w:type="spellEnd"/>
      <w:proofErr w:type="gramEnd"/>
      <w:r>
        <w:rPr>
          <w:rFonts w:ascii="Times New Roman" w:eastAsia="SimSun" w:hAnsi="Times New Roman" w:cs="Times New Roman" w:hint="eastAsia"/>
          <w:sz w:val="18"/>
          <w:szCs w:val="18"/>
        </w:rPr>
        <w:t xml:space="preserve"> study provides technical support for the industrial application of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mineralization technology for full-solid-</w:t>
      </w:r>
      <w:r>
        <w:rPr>
          <w:rFonts w:ascii="Times New Roman" w:eastAsia="SimSun" w:hAnsi="Times New Roman" w:cs="Times New Roman" w:hint="eastAsia"/>
          <w:sz w:val="18"/>
          <w:szCs w:val="18"/>
        </w:rPr>
        <w:t>waste artificial aggregates, and offers a reference for the resource utilization of solid waste and the green and low-carbon development of the aggregate industry.</w:t>
      </w:r>
    </w:p>
    <w:p w14:paraId="4EED03B5" w14:textId="77777777" w:rsidR="008F009F" w:rsidRDefault="005A743F">
      <w:pPr>
        <w:widowControl w:val="0"/>
        <w:spacing w:before="0" w:beforeAutospacing="0"/>
        <w:jc w:val="both"/>
        <w:rPr>
          <w:rFonts w:ascii="Times New Roman" w:eastAsia="SimSun" w:hAnsi="Times New Roman" w:cs="Times New Roman"/>
          <w:sz w:val="24"/>
          <w:szCs w:val="24"/>
        </w:rPr>
      </w:pPr>
      <w:r>
        <w:rPr>
          <w:rFonts w:ascii="Times New Roman" w:eastAsia="SimSun" w:hAnsi="Times New Roman" w:cs="Times New Roman"/>
          <w:b/>
          <w:bCs/>
          <w:sz w:val="18"/>
          <w:szCs w:val="18"/>
          <w14:ligatures w14:val="none"/>
        </w:rPr>
        <w:t xml:space="preserve">Keywords: </w:t>
      </w:r>
      <w:r>
        <w:rPr>
          <w:rFonts w:ascii="Times New Roman" w:eastAsia="SimSun" w:hAnsi="Times New Roman" w:cs="Times New Roman"/>
          <w:sz w:val="18"/>
          <w:szCs w:val="18"/>
        </w:rPr>
        <w:t xml:space="preserve">CO₂ </w:t>
      </w:r>
      <w:proofErr w:type="spellStart"/>
      <w:proofErr w:type="gramStart"/>
      <w:r>
        <w:rPr>
          <w:rFonts w:ascii="Times New Roman" w:eastAsia="SimSun" w:hAnsi="Times New Roman" w:cs="Times New Roman" w:hint="eastAsia"/>
          <w:sz w:val="18"/>
          <w:szCs w:val="18"/>
        </w:rPr>
        <w:t>mineralization</w:t>
      </w:r>
      <w:r>
        <w:rPr>
          <w:rFonts w:ascii="Times New Roman" w:eastAsia="SimSun" w:hAnsi="Times New Roman" w:cs="Times New Roman"/>
          <w:sz w:val="18"/>
          <w:szCs w:val="18"/>
        </w:rPr>
        <w:t>;strength</w:t>
      </w:r>
      <w:proofErr w:type="spellEnd"/>
      <w:proofErr w:type="gramEnd"/>
      <w:r>
        <w:rPr>
          <w:rFonts w:ascii="Times New Roman" w:eastAsia="SimSun" w:hAnsi="Times New Roman" w:cs="Times New Roman"/>
          <w:sz w:val="18"/>
          <w:szCs w:val="18"/>
        </w:rPr>
        <w:t xml:space="preserve">; </w:t>
      </w:r>
      <w:r>
        <w:rPr>
          <w:rFonts w:ascii="Times New Roman" w:eastAsia="SimSun" w:hAnsi="Times New Roman" w:cs="Times New Roman" w:hint="eastAsia"/>
          <w:sz w:val="18"/>
          <w:szCs w:val="18"/>
        </w:rPr>
        <w:t>full-solid-waste artificial aggregate.</w:t>
      </w:r>
    </w:p>
    <w:p w14:paraId="75B42246" w14:textId="77777777" w:rsidR="008F009F" w:rsidRDefault="005A743F">
      <w:pPr>
        <w:pStyle w:val="ListParagraph"/>
        <w:widowControl w:val="0"/>
        <w:numPr>
          <w:ilvl w:val="0"/>
          <w:numId w:val="1"/>
        </w:numPr>
        <w:spacing w:before="0" w:beforeAutospacing="0"/>
        <w:ind w:firstLineChars="0"/>
        <w:jc w:val="both"/>
        <w:rPr>
          <w:rFonts w:ascii="Times New Roman" w:eastAsia="SimSun" w:hAnsi="Times New Roman" w:cs="Times New Roman"/>
          <w:b/>
          <w:bCs/>
          <w:sz w:val="28"/>
          <w:szCs w:val="28"/>
          <w14:ligatures w14:val="none"/>
        </w:rPr>
      </w:pPr>
      <w:r>
        <w:rPr>
          <w:rFonts w:ascii="Times New Roman" w:eastAsia="SimSun" w:hAnsi="Times New Roman" w:cs="Times New Roman"/>
          <w:b/>
          <w:bCs/>
          <w:sz w:val="28"/>
          <w:szCs w:val="28"/>
          <w14:ligatures w14:val="none"/>
        </w:rPr>
        <w:t>Introduction</w:t>
      </w:r>
    </w:p>
    <w:p w14:paraId="1A93CA5F" w14:textId="77777777" w:rsidR="008F009F" w:rsidRDefault="005A743F">
      <w:pPr>
        <w:adjustRightInd w:val="0"/>
        <w:snapToGrid w:val="0"/>
        <w:spacing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With the development of global science and technology, carbon dioxide emissions have gradually increased and the El Niño phenomenon has intensified. For the sustainable development of humanity, carbon reduction and emission mitigation have become current f</w:t>
      </w:r>
      <w:r>
        <w:rPr>
          <w:rFonts w:ascii="Times New Roman" w:hAnsi="Times New Roman" w:cs="Times New Roman"/>
          <w:color w:val="000000" w:themeColor="text1"/>
          <w:szCs w:val="21"/>
        </w:rPr>
        <w:t xml:space="preserve">ocal </w:t>
      </w:r>
      <w:proofErr w:type="gramStart"/>
      <w:r>
        <w:rPr>
          <w:rFonts w:ascii="Times New Roman" w:hAnsi="Times New Roman" w:cs="Times New Roman"/>
          <w:color w:val="000000" w:themeColor="text1"/>
          <w:szCs w:val="21"/>
        </w:rPr>
        <w:t>concerns</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1]</w:t>
      </w:r>
      <w:r>
        <w:rPr>
          <w:rFonts w:ascii="Times New Roman" w:hAnsi="Times New Roman" w:cs="Times New Roman"/>
          <w:color w:val="000000" w:themeColor="text1"/>
          <w:szCs w:val="21"/>
        </w:rPr>
        <w:t xml:space="preserve">. The principle of carbon dioxide mineralization technology is to react alkaline mineral components with CO₂ to form stable carbonates, thereby achieving permanent sequestration of carbon dioxide </w:t>
      </w:r>
      <w:r>
        <w:rPr>
          <w:rFonts w:ascii="Times New Roman" w:hAnsi="Times New Roman" w:cs="Times New Roman"/>
          <w:color w:val="000000" w:themeColor="text1"/>
          <w:szCs w:val="21"/>
          <w:vertAlign w:val="superscript"/>
        </w:rPr>
        <w:t>[2]</w:t>
      </w:r>
      <w:r>
        <w:rPr>
          <w:rFonts w:ascii="Times New Roman" w:hAnsi="Times New Roman" w:cs="Times New Roman"/>
          <w:color w:val="000000" w:themeColor="text1"/>
          <w:szCs w:val="21"/>
        </w:rPr>
        <w:t xml:space="preserve">. Replacing conventional concrete curing </w:t>
      </w:r>
      <w:r>
        <w:rPr>
          <w:rFonts w:ascii="Times New Roman" w:hAnsi="Times New Roman" w:cs="Times New Roman"/>
          <w:color w:val="000000" w:themeColor="text1"/>
          <w:szCs w:val="21"/>
        </w:rPr>
        <w:t>with CO₂ mineralization curing is applicable to most concrete products and can improve the strength and durability of mineralized products. CO₂ mineralization is currently an effective approach for permanent carbon sequestration and carbon neutrality</w:t>
      </w:r>
      <w:r>
        <w:rPr>
          <w:rFonts w:ascii="Times New Roman" w:hAnsi="Times New Roman" w:cs="Times New Roman"/>
          <w:color w:val="000000" w:themeColor="text1"/>
          <w:szCs w:val="21"/>
          <w:vertAlign w:val="superscript"/>
        </w:rPr>
        <w:t xml:space="preserve"> [3</w:t>
      </w:r>
      <w:proofErr w:type="gramStart"/>
      <w:r>
        <w:rPr>
          <w:rFonts w:ascii="Times New Roman" w:hAnsi="Times New Roman" w:cs="Times New Roman"/>
          <w:color w:val="000000" w:themeColor="text1"/>
          <w:szCs w:val="21"/>
          <w:vertAlign w:val="superscript"/>
        </w:rPr>
        <w:t>]</w:t>
      </w:r>
      <w:r>
        <w:rPr>
          <w:rFonts w:ascii="Times New Roman" w:hAnsi="Times New Roman" w:cs="Times New Roman"/>
          <w:color w:val="000000" w:themeColor="text1"/>
          <w:szCs w:val="21"/>
        </w:rPr>
        <w:t>.E</w:t>
      </w:r>
      <w:r>
        <w:rPr>
          <w:rFonts w:ascii="Times New Roman" w:hAnsi="Times New Roman" w:cs="Times New Roman"/>
          <w:color w:val="000000" w:themeColor="text1"/>
          <w:szCs w:val="21"/>
        </w:rPr>
        <w:t>xcessive</w:t>
      </w:r>
      <w:proofErr w:type="gramEnd"/>
      <w:r>
        <w:rPr>
          <w:rFonts w:ascii="Times New Roman" w:hAnsi="Times New Roman" w:cs="Times New Roman"/>
          <w:color w:val="000000" w:themeColor="text1"/>
          <w:szCs w:val="21"/>
        </w:rPr>
        <w:t xml:space="preserve"> exploitation of natural resources, especially stone and sand gravel, has damaged natural landforms. To protect the environment, many countries have issued corresponding restrictive policies </w:t>
      </w:r>
      <w:r>
        <w:rPr>
          <w:rFonts w:ascii="Times New Roman" w:hAnsi="Times New Roman" w:cs="Times New Roman"/>
          <w:color w:val="000000" w:themeColor="text1"/>
          <w:szCs w:val="21"/>
          <w:vertAlign w:val="superscript"/>
        </w:rPr>
        <w:t>[4–8]</w:t>
      </w:r>
      <w:r>
        <w:rPr>
          <w:rFonts w:ascii="Times New Roman" w:hAnsi="Times New Roman" w:cs="Times New Roman"/>
          <w:color w:val="000000" w:themeColor="text1"/>
          <w:szCs w:val="21"/>
        </w:rPr>
        <w:t>. However, in recent years, with the expansion of co</w:t>
      </w:r>
      <w:r>
        <w:rPr>
          <w:rFonts w:ascii="Times New Roman" w:hAnsi="Times New Roman" w:cs="Times New Roman"/>
          <w:color w:val="000000" w:themeColor="text1"/>
          <w:szCs w:val="21"/>
        </w:rPr>
        <w:t xml:space="preserve">nstruction and urbanization, the consumption of stone and sand gravel has continued to rise, depleting large amounts of natural resources, particularly coarse and fine aggregates commonly used in concrete </w:t>
      </w:r>
      <w:r>
        <w:rPr>
          <w:rFonts w:ascii="Times New Roman" w:hAnsi="Times New Roman" w:cs="Times New Roman"/>
          <w:color w:val="000000" w:themeColor="text1"/>
          <w:szCs w:val="21"/>
          <w:vertAlign w:val="superscript"/>
        </w:rPr>
        <w:t>[6,7,9–11]</w:t>
      </w:r>
      <w:r>
        <w:rPr>
          <w:rFonts w:ascii="Times New Roman" w:hAnsi="Times New Roman" w:cs="Times New Roman"/>
          <w:color w:val="000000" w:themeColor="text1"/>
          <w:szCs w:val="21"/>
        </w:rPr>
        <w:t>. Studies have shown that sand and gravel</w:t>
      </w:r>
      <w:r>
        <w:rPr>
          <w:rFonts w:ascii="Times New Roman" w:hAnsi="Times New Roman" w:cs="Times New Roman"/>
          <w:color w:val="000000" w:themeColor="text1"/>
          <w:szCs w:val="21"/>
        </w:rPr>
        <w:t xml:space="preserve"> used in construction and transportation infrastructure account for 79% of the total</w:t>
      </w:r>
      <w:r>
        <w:rPr>
          <w:rFonts w:ascii="Times New Roman" w:hAnsi="Times New Roman" w:cs="Times New Roman"/>
          <w:color w:val="000000" w:themeColor="text1"/>
          <w:szCs w:val="21"/>
          <w:vertAlign w:val="superscript"/>
        </w:rPr>
        <w:t xml:space="preserve"> [5,7,12]</w:t>
      </w:r>
      <w:r>
        <w:rPr>
          <w:rFonts w:ascii="Times New Roman" w:hAnsi="Times New Roman" w:cs="Times New Roman"/>
          <w:color w:val="000000" w:themeColor="text1"/>
          <w:szCs w:val="21"/>
        </w:rPr>
        <w:t xml:space="preserve">. Consumption increased annually from 2015 to 2020, with global demand for construction aggregates ranging from 4 to 5 billion tons </w:t>
      </w:r>
      <w:r>
        <w:rPr>
          <w:rFonts w:ascii="Times New Roman" w:hAnsi="Times New Roman" w:cs="Times New Roman"/>
          <w:color w:val="000000" w:themeColor="text1"/>
          <w:szCs w:val="21"/>
          <w:vertAlign w:val="superscript"/>
        </w:rPr>
        <w:t>[7,13,14]</w:t>
      </w:r>
      <w:r>
        <w:rPr>
          <w:rFonts w:ascii="Times New Roman" w:hAnsi="Times New Roman" w:cs="Times New Roman"/>
          <w:color w:val="000000" w:themeColor="text1"/>
          <w:szCs w:val="21"/>
        </w:rPr>
        <w:t>.</w:t>
      </w:r>
    </w:p>
    <w:p w14:paraId="32C76A91" w14:textId="77777777" w:rsidR="008F009F" w:rsidRDefault="005A743F">
      <w:pPr>
        <w:adjustRightInd w:val="0"/>
        <w:snapToGrid w:val="0"/>
        <w:spacing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lastRenderedPageBreak/>
        <w:t>Amid accelerating ur</w:t>
      </w:r>
      <w:r>
        <w:rPr>
          <w:rFonts w:ascii="Times New Roman" w:hAnsi="Times New Roman" w:cs="Times New Roman"/>
          <w:color w:val="000000" w:themeColor="text1"/>
          <w:szCs w:val="21"/>
        </w:rPr>
        <w:t xml:space="preserve">banization and growing aggregate demand, coupled with national legal and policy restrictions, natural aggregate extraction is gradually being replaced by artificial aggregates (AAs) to meet construction needs </w:t>
      </w:r>
      <w:r>
        <w:rPr>
          <w:rFonts w:ascii="Times New Roman" w:hAnsi="Times New Roman" w:cs="Times New Roman"/>
          <w:color w:val="000000" w:themeColor="text1"/>
          <w:szCs w:val="21"/>
          <w:vertAlign w:val="superscript"/>
        </w:rPr>
        <w:t>[15,16]</w:t>
      </w:r>
      <w:r>
        <w:rPr>
          <w:rFonts w:ascii="Times New Roman" w:hAnsi="Times New Roman" w:cs="Times New Roman"/>
          <w:color w:val="000000" w:themeColor="text1"/>
          <w:szCs w:val="21"/>
        </w:rPr>
        <w:t>. Therefore, the research and developmen</w:t>
      </w:r>
      <w:r>
        <w:rPr>
          <w:rFonts w:ascii="Times New Roman" w:hAnsi="Times New Roman" w:cs="Times New Roman"/>
          <w:color w:val="000000" w:themeColor="text1"/>
          <w:szCs w:val="21"/>
        </w:rPr>
        <w:t xml:space="preserve">t of AAs has long been a focus for </w:t>
      </w:r>
      <w:proofErr w:type="spellStart"/>
      <w:proofErr w:type="gramStart"/>
      <w:r>
        <w:rPr>
          <w:rFonts w:ascii="Times New Roman" w:hAnsi="Times New Roman" w:cs="Times New Roman"/>
          <w:color w:val="000000" w:themeColor="text1"/>
          <w:szCs w:val="21"/>
        </w:rPr>
        <w:t>scholars.Preparation</w:t>
      </w:r>
      <w:proofErr w:type="spellEnd"/>
      <w:proofErr w:type="gramEnd"/>
      <w:r>
        <w:rPr>
          <w:rFonts w:ascii="Times New Roman" w:hAnsi="Times New Roman" w:cs="Times New Roman"/>
          <w:color w:val="000000" w:themeColor="text1"/>
          <w:szCs w:val="21"/>
        </w:rPr>
        <w:t xml:space="preserve"> methods for AAs mainly include high-temperature sintering and cold-bonding </w:t>
      </w:r>
      <w:proofErr w:type="spellStart"/>
      <w:r>
        <w:rPr>
          <w:rFonts w:ascii="Times New Roman" w:hAnsi="Times New Roman" w:cs="Times New Roman"/>
          <w:color w:val="000000" w:themeColor="text1"/>
          <w:szCs w:val="21"/>
        </w:rPr>
        <w:t>pelletization</w:t>
      </w:r>
      <w:proofErr w:type="spellEnd"/>
      <w:r>
        <w:rPr>
          <w:rFonts w:ascii="Times New Roman" w:hAnsi="Times New Roman" w:cs="Times New Roman"/>
          <w:color w:val="000000" w:themeColor="text1"/>
          <w:szCs w:val="21"/>
        </w:rPr>
        <w:t>. Although artificial aggregates produced by high-temperature sintering exhibit stronger bonding, the process is</w:t>
      </w:r>
      <w:r>
        <w:rPr>
          <w:rFonts w:ascii="Times New Roman" w:hAnsi="Times New Roman" w:cs="Times New Roman"/>
          <w:color w:val="000000" w:themeColor="text1"/>
          <w:szCs w:val="21"/>
        </w:rPr>
        <w:t xml:space="preserve"> energy-intensive and unfavorable for carbon neutrality. At present, cold-bonding </w:t>
      </w:r>
      <w:proofErr w:type="spellStart"/>
      <w:r>
        <w:rPr>
          <w:rFonts w:ascii="Times New Roman" w:hAnsi="Times New Roman" w:cs="Times New Roman"/>
          <w:color w:val="000000" w:themeColor="text1"/>
          <w:szCs w:val="21"/>
        </w:rPr>
        <w:t>pelletization</w:t>
      </w:r>
      <w:proofErr w:type="spellEnd"/>
      <w:r>
        <w:rPr>
          <w:rFonts w:ascii="Times New Roman" w:hAnsi="Times New Roman" w:cs="Times New Roman"/>
          <w:color w:val="000000" w:themeColor="text1"/>
          <w:szCs w:val="21"/>
        </w:rPr>
        <w:t xml:space="preserve"> is more widely adopted for preparing AAs </w:t>
      </w:r>
      <w:r>
        <w:rPr>
          <w:rFonts w:ascii="Times New Roman" w:hAnsi="Times New Roman" w:cs="Times New Roman"/>
          <w:color w:val="000000" w:themeColor="text1"/>
          <w:szCs w:val="21"/>
          <w:vertAlign w:val="superscript"/>
        </w:rPr>
        <w:t>[17]</w:t>
      </w:r>
      <w:r>
        <w:rPr>
          <w:rFonts w:ascii="Times New Roman" w:hAnsi="Times New Roman" w:cs="Times New Roman"/>
          <w:color w:val="000000" w:themeColor="text1"/>
          <w:szCs w:val="21"/>
        </w:rPr>
        <w:t xml:space="preserve">. In this study, full-solid-waste artificial aggregates were prepared via cold-bonding </w:t>
      </w:r>
      <w:proofErr w:type="spellStart"/>
      <w:r>
        <w:rPr>
          <w:rFonts w:ascii="Times New Roman" w:hAnsi="Times New Roman" w:cs="Times New Roman"/>
          <w:color w:val="000000" w:themeColor="text1"/>
          <w:szCs w:val="21"/>
        </w:rPr>
        <w:t>pelletization</w:t>
      </w:r>
      <w:proofErr w:type="spellEnd"/>
      <w:r>
        <w:rPr>
          <w:rFonts w:ascii="Times New Roman" w:hAnsi="Times New Roman" w:cs="Times New Roman"/>
          <w:color w:val="000000" w:themeColor="text1"/>
          <w:szCs w:val="21"/>
        </w:rPr>
        <w:t xml:space="preserve"> and subjected </w:t>
      </w:r>
      <w:r>
        <w:rPr>
          <w:rFonts w:ascii="Times New Roman" w:hAnsi="Times New Roman" w:cs="Times New Roman"/>
          <w:color w:val="000000" w:themeColor="text1"/>
          <w:szCs w:val="21"/>
        </w:rPr>
        <w:t>to carbonation tests.</w:t>
      </w:r>
    </w:p>
    <w:p w14:paraId="274FFE2A" w14:textId="77777777" w:rsidR="008F009F" w:rsidRDefault="005A743F">
      <w:pPr>
        <w:widowControl w:val="0"/>
        <w:numPr>
          <w:ilvl w:val="0"/>
          <w:numId w:val="1"/>
        </w:numPr>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Test Materials and Performance Indicators</w:t>
      </w:r>
    </w:p>
    <w:p w14:paraId="42D661A8" w14:textId="77777777" w:rsidR="008F009F" w:rsidRDefault="005A743F">
      <w:pPr>
        <w:adjustRightInd w:val="0"/>
        <w:snapToGrid w:val="0"/>
        <w:spacing w:before="0" w:beforeAutospacing="0" w:line="300" w:lineRule="auto"/>
        <w:ind w:firstLineChars="200" w:firstLine="420"/>
        <w:jc w:val="both"/>
        <w:rPr>
          <w:rFonts w:ascii="Times New Roman" w:eastAsia="SimSun" w:hAnsi="Times New Roman" w:cs="Times New Roman"/>
          <w:b/>
          <w:bCs/>
          <w:sz w:val="28"/>
          <w:szCs w:val="28"/>
          <w14:ligatures w14:val="none"/>
        </w:rPr>
      </w:pPr>
      <w:r>
        <w:rPr>
          <w:rFonts w:ascii="Times New Roman" w:hAnsi="Times New Roman" w:cs="Times New Roman"/>
          <w:color w:val="000000" w:themeColor="text1"/>
          <w:szCs w:val="21"/>
        </w:rPr>
        <w:t>The raw materials used for preparing full-solid-waste artificial aggregate include fly ash, granulated blast furnace slag, desulfurization gypsum, carbide slag, CO₂, and water.</w:t>
      </w:r>
    </w:p>
    <w:p w14:paraId="356D400D" w14:textId="77777777" w:rsidR="008F009F" w:rsidRDefault="005A743F">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w:t>
      </w:r>
      <w:r>
        <w:rPr>
          <w:rFonts w:ascii="Times New Roman" w:eastAsia="SimSun" w:hAnsi="Times New Roman" w:cs="Times New Roman"/>
          <w:b/>
          <w:bCs/>
          <w:szCs w:val="21"/>
          <w14:ligatures w14:val="none"/>
        </w:rPr>
        <w:t>.1</w:t>
      </w:r>
      <w:r>
        <w:t xml:space="preserve"> </w:t>
      </w:r>
      <w:r>
        <w:rPr>
          <w:rFonts w:ascii="Times New Roman" w:eastAsia="SimSun" w:hAnsi="Times New Roman" w:cs="Times New Roman" w:hint="eastAsia"/>
          <w:b/>
          <w:bCs/>
          <w:szCs w:val="21"/>
          <w14:ligatures w14:val="none"/>
        </w:rPr>
        <w:t>Experimental Raw Materials</w:t>
      </w:r>
    </w:p>
    <w:p w14:paraId="3B3EFA48" w14:textId="77777777" w:rsidR="008F009F" w:rsidRDefault="005A743F">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Fly Ash</w:t>
      </w:r>
    </w:p>
    <w:p w14:paraId="7A146189"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fly ash used in the test was analyzed by X-ray fluorescence (XRF), and the results are presented in Table 1. It can be seen that the mass fractions of </w:t>
      </w:r>
      <w:proofErr w:type="spellStart"/>
      <w:r>
        <w:rPr>
          <w:rFonts w:ascii="Times New Roman" w:hAnsi="Times New Roman" w:cs="Times New Roman"/>
          <w:color w:val="000000" w:themeColor="text1"/>
          <w:szCs w:val="21"/>
        </w:rPr>
        <w:t>Al₂O</w:t>
      </w:r>
      <w:proofErr w:type="spellEnd"/>
      <w:r>
        <w:rPr>
          <w:rFonts w:ascii="Times New Roman" w:hAnsi="Times New Roman" w:cs="Times New Roman"/>
          <w:color w:val="000000" w:themeColor="text1"/>
          <w:szCs w:val="21"/>
        </w:rPr>
        <w:t xml:space="preserve">₃ and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 xml:space="preserve">₂ are relatively high, reaching 80%, and the </w:t>
      </w:r>
      <w:r>
        <w:rPr>
          <w:rFonts w:ascii="Times New Roman" w:hAnsi="Times New Roman" w:cs="Times New Roman"/>
          <w:color w:val="000000" w:themeColor="text1"/>
          <w:szCs w:val="21"/>
        </w:rPr>
        <w:t>content of Fe is also relatively high.</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339"/>
        <w:gridCol w:w="705"/>
        <w:gridCol w:w="705"/>
        <w:gridCol w:w="816"/>
        <w:gridCol w:w="816"/>
        <w:gridCol w:w="705"/>
        <w:gridCol w:w="705"/>
        <w:gridCol w:w="705"/>
        <w:gridCol w:w="987"/>
      </w:tblGrid>
      <w:tr w:rsidR="008F009F" w14:paraId="4C8DDDC4" w14:textId="77777777">
        <w:trPr>
          <w:jc w:val="center"/>
        </w:trPr>
        <w:tc>
          <w:tcPr>
            <w:tcW w:w="2339" w:type="dxa"/>
            <w:tcBorders>
              <w:tl2br w:val="nil"/>
              <w:tr2bl w:val="nil"/>
            </w:tcBorders>
          </w:tcPr>
          <w:p w14:paraId="7AEECC9C" w14:textId="77777777" w:rsidR="008F009F" w:rsidRDefault="005A743F">
            <w:pPr>
              <w:adjustRightInd w:val="0"/>
              <w:snapToGrid w:val="0"/>
              <w:spacing w:line="300" w:lineRule="auto"/>
              <w:rPr>
                <w:rFonts w:ascii="Times New Roman" w:eastAsia="SimSun" w:hAnsi="Times New Roman"/>
                <w:color w:val="000000"/>
                <w:szCs w:val="21"/>
              </w:rPr>
            </w:pPr>
            <w:r>
              <w:rPr>
                <w:rFonts w:hint="eastAsia"/>
                <w:color w:val="000000" w:themeColor="text1"/>
                <w:szCs w:val="21"/>
              </w:rPr>
              <w:t>Chemical Composition</w:t>
            </w:r>
          </w:p>
        </w:tc>
        <w:tc>
          <w:tcPr>
            <w:tcW w:w="705" w:type="dxa"/>
            <w:tcBorders>
              <w:tl2br w:val="nil"/>
              <w:tr2bl w:val="nil"/>
            </w:tcBorders>
          </w:tcPr>
          <w:p w14:paraId="362C8903" w14:textId="77777777" w:rsidR="008F009F" w:rsidRDefault="005A743F">
            <w:pPr>
              <w:spacing w:line="300" w:lineRule="auto"/>
              <w:rPr>
                <w:color w:val="000000" w:themeColor="text1"/>
                <w:szCs w:val="21"/>
              </w:rPr>
            </w:pPr>
            <w:r>
              <w:rPr>
                <w:color w:val="000000" w:themeColor="text1"/>
                <w:szCs w:val="21"/>
              </w:rPr>
              <w:t>Na</w:t>
            </w:r>
            <w:r>
              <w:rPr>
                <w:color w:val="000000" w:themeColor="text1"/>
                <w:szCs w:val="21"/>
                <w:vertAlign w:val="subscript"/>
              </w:rPr>
              <w:t>2</w:t>
            </w:r>
            <w:r>
              <w:rPr>
                <w:color w:val="000000" w:themeColor="text1"/>
                <w:szCs w:val="21"/>
              </w:rPr>
              <w:t>O</w:t>
            </w:r>
          </w:p>
        </w:tc>
        <w:tc>
          <w:tcPr>
            <w:tcW w:w="705" w:type="dxa"/>
            <w:tcBorders>
              <w:tl2br w:val="nil"/>
              <w:tr2bl w:val="nil"/>
            </w:tcBorders>
          </w:tcPr>
          <w:p w14:paraId="65911A2B" w14:textId="77777777" w:rsidR="008F009F" w:rsidRDefault="005A743F">
            <w:pPr>
              <w:spacing w:line="300" w:lineRule="auto"/>
              <w:rPr>
                <w:color w:val="000000" w:themeColor="text1"/>
                <w:szCs w:val="21"/>
              </w:rPr>
            </w:pPr>
            <w:r>
              <w:rPr>
                <w:color w:val="000000" w:themeColor="text1"/>
                <w:szCs w:val="21"/>
              </w:rPr>
              <w:t>MgO</w:t>
            </w:r>
          </w:p>
        </w:tc>
        <w:tc>
          <w:tcPr>
            <w:tcW w:w="816" w:type="dxa"/>
            <w:tcBorders>
              <w:tl2br w:val="nil"/>
              <w:tr2bl w:val="nil"/>
            </w:tcBorders>
          </w:tcPr>
          <w:p w14:paraId="0AA5DAE9" w14:textId="77777777" w:rsidR="008F009F" w:rsidRDefault="005A743F">
            <w:pPr>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816" w:type="dxa"/>
            <w:tcBorders>
              <w:tl2br w:val="nil"/>
              <w:tr2bl w:val="nil"/>
            </w:tcBorders>
          </w:tcPr>
          <w:p w14:paraId="17CBD6B7" w14:textId="77777777" w:rsidR="008F009F" w:rsidRDefault="005A743F">
            <w:pPr>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705" w:type="dxa"/>
            <w:tcBorders>
              <w:tl2br w:val="nil"/>
              <w:tr2bl w:val="nil"/>
            </w:tcBorders>
          </w:tcPr>
          <w:p w14:paraId="01F8FB8F" w14:textId="77777777" w:rsidR="008F009F" w:rsidRDefault="005A743F">
            <w:pPr>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705" w:type="dxa"/>
            <w:tcBorders>
              <w:tl2br w:val="nil"/>
              <w:tr2bl w:val="nil"/>
            </w:tcBorders>
          </w:tcPr>
          <w:p w14:paraId="47D73E98" w14:textId="77777777" w:rsidR="008F009F" w:rsidRDefault="005A743F">
            <w:pPr>
              <w:spacing w:line="300" w:lineRule="auto"/>
              <w:rPr>
                <w:color w:val="000000" w:themeColor="text1"/>
                <w:szCs w:val="21"/>
              </w:rPr>
            </w:pPr>
            <w:proofErr w:type="spellStart"/>
            <w:r>
              <w:rPr>
                <w:color w:val="000000" w:themeColor="text1"/>
                <w:szCs w:val="21"/>
              </w:rPr>
              <w:t>CaO</w:t>
            </w:r>
            <w:proofErr w:type="spellEnd"/>
          </w:p>
        </w:tc>
        <w:tc>
          <w:tcPr>
            <w:tcW w:w="705" w:type="dxa"/>
            <w:tcBorders>
              <w:tl2br w:val="nil"/>
              <w:tr2bl w:val="nil"/>
            </w:tcBorders>
          </w:tcPr>
          <w:p w14:paraId="2789160E" w14:textId="77777777" w:rsidR="008F009F" w:rsidRDefault="005A743F">
            <w:pPr>
              <w:spacing w:line="300" w:lineRule="auto"/>
              <w:rPr>
                <w:color w:val="000000" w:themeColor="text1"/>
                <w:szCs w:val="21"/>
              </w:rPr>
            </w:pPr>
            <w:r>
              <w:rPr>
                <w:color w:val="000000" w:themeColor="text1"/>
                <w:szCs w:val="21"/>
              </w:rPr>
              <w:t>TiO</w:t>
            </w:r>
            <w:r>
              <w:rPr>
                <w:color w:val="000000" w:themeColor="text1"/>
                <w:szCs w:val="21"/>
                <w:vertAlign w:val="subscript"/>
              </w:rPr>
              <w:t>2</w:t>
            </w:r>
          </w:p>
        </w:tc>
        <w:tc>
          <w:tcPr>
            <w:tcW w:w="987" w:type="dxa"/>
            <w:tcBorders>
              <w:tl2br w:val="nil"/>
              <w:tr2bl w:val="nil"/>
            </w:tcBorders>
          </w:tcPr>
          <w:p w14:paraId="511FD07B" w14:textId="77777777" w:rsidR="008F009F" w:rsidRDefault="005A743F">
            <w:pPr>
              <w:spacing w:line="300" w:lineRule="auto"/>
              <w:rPr>
                <w:color w:val="000000" w:themeColor="text1"/>
                <w:szCs w:val="21"/>
              </w:rPr>
            </w:pPr>
            <w:r>
              <w:rPr>
                <w:color w:val="000000" w:themeColor="text1"/>
                <w:szCs w:val="21"/>
              </w:rPr>
              <w:t>Fe</w:t>
            </w:r>
            <w:r>
              <w:rPr>
                <w:color w:val="000000" w:themeColor="text1"/>
                <w:szCs w:val="21"/>
                <w:vertAlign w:val="subscript"/>
              </w:rPr>
              <w:t>2</w:t>
            </w:r>
            <w:r>
              <w:rPr>
                <w:color w:val="000000" w:themeColor="text1"/>
                <w:szCs w:val="21"/>
              </w:rPr>
              <w:t>O</w:t>
            </w:r>
            <w:r>
              <w:rPr>
                <w:color w:val="000000" w:themeColor="text1"/>
                <w:szCs w:val="21"/>
                <w:vertAlign w:val="subscript"/>
              </w:rPr>
              <w:t>3</w:t>
            </w:r>
          </w:p>
        </w:tc>
      </w:tr>
      <w:tr w:rsidR="008F009F" w14:paraId="3F170F4E" w14:textId="77777777">
        <w:trPr>
          <w:jc w:val="center"/>
        </w:trPr>
        <w:tc>
          <w:tcPr>
            <w:tcW w:w="2339" w:type="dxa"/>
            <w:tcBorders>
              <w:tl2br w:val="nil"/>
              <w:tr2bl w:val="nil"/>
            </w:tcBorders>
          </w:tcPr>
          <w:p w14:paraId="7981954C" w14:textId="77777777" w:rsidR="008F009F" w:rsidRDefault="005A743F">
            <w:pPr>
              <w:adjustRightInd w:val="0"/>
              <w:snapToGrid w:val="0"/>
              <w:spacing w:line="300" w:lineRule="auto"/>
              <w:rPr>
                <w:rFonts w:ascii="Times New Roman" w:eastAsia="SimSun" w:hAnsi="Times New Roman"/>
                <w:color w:val="000000"/>
                <w:szCs w:val="21"/>
              </w:rPr>
            </w:pPr>
            <w:r>
              <w:rPr>
                <w:rFonts w:hint="eastAsia"/>
                <w:color w:val="000000" w:themeColor="text1"/>
                <w:szCs w:val="21"/>
              </w:rPr>
              <w:t>Content</w:t>
            </w:r>
            <w:r>
              <w:rPr>
                <w:color w:val="000000" w:themeColor="text1"/>
                <w:szCs w:val="21"/>
              </w:rPr>
              <w:t>/%</w:t>
            </w:r>
          </w:p>
        </w:tc>
        <w:tc>
          <w:tcPr>
            <w:tcW w:w="705" w:type="dxa"/>
            <w:tcBorders>
              <w:tl2br w:val="nil"/>
              <w:tr2bl w:val="nil"/>
            </w:tcBorders>
          </w:tcPr>
          <w:p w14:paraId="7B49706E" w14:textId="77777777" w:rsidR="008F009F" w:rsidRDefault="005A743F">
            <w:pPr>
              <w:spacing w:line="300" w:lineRule="auto"/>
              <w:rPr>
                <w:color w:val="000000" w:themeColor="text1"/>
                <w:szCs w:val="21"/>
              </w:rPr>
            </w:pPr>
            <w:r>
              <w:rPr>
                <w:rFonts w:hint="eastAsia"/>
                <w:color w:val="000000" w:themeColor="text1"/>
                <w:szCs w:val="21"/>
              </w:rPr>
              <w:t>0.950</w:t>
            </w:r>
          </w:p>
        </w:tc>
        <w:tc>
          <w:tcPr>
            <w:tcW w:w="705" w:type="dxa"/>
            <w:tcBorders>
              <w:tl2br w:val="nil"/>
              <w:tr2bl w:val="nil"/>
            </w:tcBorders>
          </w:tcPr>
          <w:p w14:paraId="4B6B147C" w14:textId="77777777" w:rsidR="008F009F" w:rsidRDefault="005A743F">
            <w:pPr>
              <w:spacing w:line="300" w:lineRule="auto"/>
              <w:rPr>
                <w:color w:val="000000" w:themeColor="text1"/>
                <w:szCs w:val="21"/>
              </w:rPr>
            </w:pPr>
            <w:r>
              <w:rPr>
                <w:rFonts w:hint="eastAsia"/>
                <w:color w:val="000000" w:themeColor="text1"/>
                <w:szCs w:val="21"/>
              </w:rPr>
              <w:t>1.079</w:t>
            </w:r>
          </w:p>
        </w:tc>
        <w:tc>
          <w:tcPr>
            <w:tcW w:w="816" w:type="dxa"/>
            <w:tcBorders>
              <w:tl2br w:val="nil"/>
              <w:tr2bl w:val="nil"/>
            </w:tcBorders>
          </w:tcPr>
          <w:p w14:paraId="65FDC1DF" w14:textId="77777777" w:rsidR="008F009F" w:rsidRDefault="005A743F">
            <w:pPr>
              <w:spacing w:line="300" w:lineRule="auto"/>
              <w:rPr>
                <w:color w:val="000000" w:themeColor="text1"/>
                <w:szCs w:val="21"/>
              </w:rPr>
            </w:pPr>
            <w:r>
              <w:rPr>
                <w:rFonts w:hint="eastAsia"/>
                <w:color w:val="000000" w:themeColor="text1"/>
                <w:szCs w:val="21"/>
              </w:rPr>
              <w:t>34.057</w:t>
            </w:r>
          </w:p>
        </w:tc>
        <w:tc>
          <w:tcPr>
            <w:tcW w:w="816" w:type="dxa"/>
            <w:tcBorders>
              <w:tl2br w:val="nil"/>
              <w:tr2bl w:val="nil"/>
            </w:tcBorders>
          </w:tcPr>
          <w:p w14:paraId="53036645" w14:textId="77777777" w:rsidR="008F009F" w:rsidRDefault="005A743F">
            <w:pPr>
              <w:spacing w:line="300" w:lineRule="auto"/>
              <w:rPr>
                <w:color w:val="000000" w:themeColor="text1"/>
                <w:szCs w:val="21"/>
              </w:rPr>
            </w:pPr>
            <w:r>
              <w:rPr>
                <w:rFonts w:hint="eastAsia"/>
                <w:color w:val="000000" w:themeColor="text1"/>
                <w:szCs w:val="21"/>
              </w:rPr>
              <w:t>50.204</w:t>
            </w:r>
          </w:p>
        </w:tc>
        <w:tc>
          <w:tcPr>
            <w:tcW w:w="705" w:type="dxa"/>
            <w:tcBorders>
              <w:tl2br w:val="nil"/>
              <w:tr2bl w:val="nil"/>
            </w:tcBorders>
          </w:tcPr>
          <w:p w14:paraId="4477523D" w14:textId="77777777" w:rsidR="008F009F" w:rsidRDefault="005A743F">
            <w:pPr>
              <w:spacing w:line="300" w:lineRule="auto"/>
              <w:rPr>
                <w:color w:val="000000" w:themeColor="text1"/>
                <w:szCs w:val="21"/>
              </w:rPr>
            </w:pPr>
            <w:r>
              <w:rPr>
                <w:rFonts w:hint="eastAsia"/>
                <w:color w:val="000000" w:themeColor="text1"/>
                <w:szCs w:val="21"/>
              </w:rPr>
              <w:t>1.334</w:t>
            </w:r>
          </w:p>
        </w:tc>
        <w:tc>
          <w:tcPr>
            <w:tcW w:w="705" w:type="dxa"/>
            <w:tcBorders>
              <w:tl2br w:val="nil"/>
              <w:tr2bl w:val="nil"/>
            </w:tcBorders>
          </w:tcPr>
          <w:p w14:paraId="309ABA97" w14:textId="77777777" w:rsidR="008F009F" w:rsidRDefault="005A743F">
            <w:pPr>
              <w:spacing w:line="300" w:lineRule="auto"/>
              <w:rPr>
                <w:color w:val="000000" w:themeColor="text1"/>
                <w:szCs w:val="21"/>
              </w:rPr>
            </w:pPr>
            <w:r>
              <w:rPr>
                <w:rFonts w:hint="eastAsia"/>
                <w:color w:val="000000" w:themeColor="text1"/>
                <w:szCs w:val="21"/>
              </w:rPr>
              <w:t>3.821</w:t>
            </w:r>
          </w:p>
        </w:tc>
        <w:tc>
          <w:tcPr>
            <w:tcW w:w="705" w:type="dxa"/>
            <w:tcBorders>
              <w:tl2br w:val="nil"/>
              <w:tr2bl w:val="nil"/>
            </w:tcBorders>
          </w:tcPr>
          <w:p w14:paraId="3AF4F0D2" w14:textId="77777777" w:rsidR="008F009F" w:rsidRDefault="005A743F">
            <w:pPr>
              <w:spacing w:line="300" w:lineRule="auto"/>
              <w:rPr>
                <w:color w:val="000000" w:themeColor="text1"/>
                <w:szCs w:val="21"/>
              </w:rPr>
            </w:pPr>
            <w:r>
              <w:rPr>
                <w:rFonts w:hint="eastAsia"/>
                <w:color w:val="000000" w:themeColor="text1"/>
                <w:szCs w:val="21"/>
              </w:rPr>
              <w:t>1.324</w:t>
            </w:r>
          </w:p>
        </w:tc>
        <w:tc>
          <w:tcPr>
            <w:tcW w:w="987" w:type="dxa"/>
            <w:tcBorders>
              <w:tl2br w:val="nil"/>
              <w:tr2bl w:val="nil"/>
            </w:tcBorders>
          </w:tcPr>
          <w:p w14:paraId="61C78A72" w14:textId="77777777" w:rsidR="008F009F" w:rsidRDefault="005A743F">
            <w:pPr>
              <w:spacing w:line="300" w:lineRule="auto"/>
              <w:rPr>
                <w:color w:val="000000" w:themeColor="text1"/>
                <w:szCs w:val="21"/>
              </w:rPr>
            </w:pPr>
            <w:r>
              <w:rPr>
                <w:rFonts w:hint="eastAsia"/>
                <w:color w:val="000000" w:themeColor="text1"/>
                <w:szCs w:val="21"/>
              </w:rPr>
              <w:t>4.649</w:t>
            </w:r>
          </w:p>
        </w:tc>
      </w:tr>
    </w:tbl>
    <w:p w14:paraId="72B2FFA5" w14:textId="77777777" w:rsidR="008F009F" w:rsidRDefault="005A743F">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 xml:space="preserve"> Chemical composition of </w:t>
      </w:r>
      <w:r>
        <w:rPr>
          <w:rFonts w:ascii="Times New Roman" w:hAnsi="Times New Roman" w:cs="Times New Roman" w:hint="eastAsia"/>
          <w:color w:val="000000" w:themeColor="text1"/>
          <w:szCs w:val="21"/>
        </w:rPr>
        <w:t>f</w:t>
      </w:r>
      <w:r>
        <w:rPr>
          <w:rFonts w:ascii="Times New Roman" w:hAnsi="Times New Roman" w:cs="Times New Roman"/>
          <w:color w:val="000000" w:themeColor="text1"/>
          <w:szCs w:val="21"/>
        </w:rPr>
        <w:t xml:space="preserve">ly </w:t>
      </w:r>
      <w:r>
        <w:rPr>
          <w:rFonts w:ascii="Times New Roman" w:hAnsi="Times New Roman" w:cs="Times New Roman" w:hint="eastAsia"/>
          <w:color w:val="000000" w:themeColor="text1"/>
          <w:szCs w:val="21"/>
        </w:rPr>
        <w:t>a</w:t>
      </w:r>
      <w:r>
        <w:rPr>
          <w:rFonts w:ascii="Times New Roman" w:hAnsi="Times New Roman" w:cs="Times New Roman"/>
          <w:color w:val="000000" w:themeColor="text1"/>
          <w:szCs w:val="21"/>
        </w:rPr>
        <w:t>sh</w:t>
      </w:r>
    </w:p>
    <w:p w14:paraId="580654C0" w14:textId="77777777" w:rsidR="008F009F" w:rsidRDefault="008F009F">
      <w:pPr>
        <w:adjustRightInd w:val="0"/>
        <w:snapToGrid w:val="0"/>
        <w:spacing w:before="0" w:beforeAutospacing="0"/>
        <w:rPr>
          <w:rFonts w:ascii="Times New Roman" w:hAnsi="Times New Roman" w:cs="Times New Roman"/>
          <w:color w:val="000000" w:themeColor="text1"/>
          <w:szCs w:val="21"/>
        </w:rPr>
      </w:pPr>
    </w:p>
    <w:p w14:paraId="05EE34AD"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According to Fly Ash Used for Cement and Concrete </w:t>
      </w:r>
      <w:r>
        <w:rPr>
          <w:rFonts w:ascii="Times New Roman" w:hAnsi="Times New Roman" w:cs="Times New Roman"/>
          <w:color w:val="000000" w:themeColor="text1"/>
          <w:szCs w:val="21"/>
        </w:rPr>
        <w:t>(GB/T 1596-2017), the fly ash is classified as Grade Ⅱ fly ash, with detailed performance indicators listed in Table 2.</w:t>
      </w:r>
    </w:p>
    <w:tbl>
      <w:tblPr>
        <w:tblW w:w="5000" w:type="pct"/>
        <w:tblBorders>
          <w:top w:val="single" w:sz="4" w:space="0" w:color="auto"/>
        </w:tblBorders>
        <w:tblLook w:val="04A0" w:firstRow="1" w:lastRow="0" w:firstColumn="1" w:lastColumn="0" w:noHBand="0" w:noVBand="1"/>
      </w:tblPr>
      <w:tblGrid>
        <w:gridCol w:w="3172"/>
        <w:gridCol w:w="2509"/>
        <w:gridCol w:w="2841"/>
      </w:tblGrid>
      <w:tr w:rsidR="008F009F" w14:paraId="15B0EE1C" w14:textId="77777777">
        <w:trPr>
          <w:trHeight w:val="365"/>
        </w:trPr>
        <w:tc>
          <w:tcPr>
            <w:tcW w:w="1861" w:type="pct"/>
            <w:tcBorders>
              <w:top w:val="single" w:sz="12" w:space="0" w:color="auto"/>
              <w:bottom w:val="single" w:sz="4" w:space="0" w:color="auto"/>
            </w:tcBorders>
            <w:vAlign w:val="center"/>
          </w:tcPr>
          <w:p w14:paraId="1E678C0B" w14:textId="77777777" w:rsidR="008F009F" w:rsidRDefault="005A743F">
            <w:pPr>
              <w:spacing w:line="300" w:lineRule="auto"/>
              <w:rPr>
                <w:color w:val="000000" w:themeColor="text1"/>
                <w:szCs w:val="21"/>
              </w:rPr>
            </w:pPr>
            <w:r>
              <w:rPr>
                <w:rFonts w:hint="eastAsia"/>
                <w:color w:val="000000" w:themeColor="text1"/>
                <w:szCs w:val="21"/>
              </w:rPr>
              <w:t>Performance Index</w:t>
            </w:r>
          </w:p>
        </w:tc>
        <w:tc>
          <w:tcPr>
            <w:tcW w:w="1472" w:type="pct"/>
            <w:tcBorders>
              <w:top w:val="single" w:sz="12" w:space="0" w:color="auto"/>
              <w:bottom w:val="single" w:sz="4" w:space="0" w:color="auto"/>
            </w:tcBorders>
            <w:vAlign w:val="center"/>
          </w:tcPr>
          <w:p w14:paraId="05744882" w14:textId="77777777" w:rsidR="008F009F" w:rsidRDefault="005A743F">
            <w:pPr>
              <w:spacing w:line="300" w:lineRule="auto"/>
              <w:rPr>
                <w:color w:val="000000" w:themeColor="text1"/>
                <w:szCs w:val="21"/>
              </w:rPr>
            </w:pPr>
            <w:r>
              <w:rPr>
                <w:rFonts w:hint="eastAsia"/>
                <w:color w:val="000000" w:themeColor="text1"/>
                <w:szCs w:val="21"/>
              </w:rPr>
              <w:t>Standard Value (Grade II)</w:t>
            </w:r>
          </w:p>
        </w:tc>
        <w:tc>
          <w:tcPr>
            <w:tcW w:w="1667" w:type="pct"/>
            <w:tcBorders>
              <w:top w:val="single" w:sz="12" w:space="0" w:color="auto"/>
              <w:bottom w:val="single" w:sz="4" w:space="0" w:color="auto"/>
            </w:tcBorders>
            <w:vAlign w:val="center"/>
          </w:tcPr>
          <w:p w14:paraId="590E53C7" w14:textId="77777777" w:rsidR="008F009F" w:rsidRDefault="005A743F">
            <w:pPr>
              <w:spacing w:line="300" w:lineRule="auto"/>
              <w:rPr>
                <w:color w:val="000000" w:themeColor="text1"/>
                <w:szCs w:val="21"/>
              </w:rPr>
            </w:pPr>
            <w:r>
              <w:rPr>
                <w:rFonts w:hint="eastAsia"/>
                <w:color w:val="000000" w:themeColor="text1"/>
                <w:szCs w:val="21"/>
              </w:rPr>
              <w:t>Measured Value</w:t>
            </w:r>
          </w:p>
        </w:tc>
      </w:tr>
      <w:tr w:rsidR="008F009F" w14:paraId="7212384B" w14:textId="77777777">
        <w:trPr>
          <w:trHeight w:val="365"/>
        </w:trPr>
        <w:tc>
          <w:tcPr>
            <w:tcW w:w="1861" w:type="pct"/>
            <w:tcBorders>
              <w:top w:val="single" w:sz="4" w:space="0" w:color="auto"/>
            </w:tcBorders>
            <w:vAlign w:val="center"/>
          </w:tcPr>
          <w:p w14:paraId="3FAB6277" w14:textId="77777777" w:rsidR="008F009F" w:rsidRDefault="005A743F">
            <w:pPr>
              <w:spacing w:line="300" w:lineRule="auto"/>
              <w:rPr>
                <w:color w:val="000000" w:themeColor="text1"/>
                <w:szCs w:val="21"/>
              </w:rPr>
            </w:pPr>
            <w:r>
              <w:rPr>
                <w:rFonts w:hint="eastAsia"/>
                <w:color w:val="000000" w:themeColor="text1"/>
                <w:szCs w:val="21"/>
              </w:rPr>
              <w:t xml:space="preserve">Density </w:t>
            </w:r>
            <w:r>
              <w:rPr>
                <w:color w:val="000000" w:themeColor="text1"/>
                <w:szCs w:val="21"/>
              </w:rPr>
              <w:t>/</w:t>
            </w:r>
            <w:r>
              <w:rPr>
                <w:color w:val="000000" w:themeColor="text1"/>
                <w:szCs w:val="21"/>
              </w:rPr>
              <w:t>（</w:t>
            </w:r>
            <w:r>
              <w:rPr>
                <w:color w:val="000000" w:themeColor="text1"/>
                <w:szCs w:val="21"/>
              </w:rPr>
              <w:t>g/cm</w:t>
            </w:r>
            <w:r>
              <w:rPr>
                <w:color w:val="000000" w:themeColor="text1"/>
                <w:szCs w:val="21"/>
                <w:vertAlign w:val="superscript"/>
              </w:rPr>
              <w:t>3</w:t>
            </w:r>
            <w:r>
              <w:rPr>
                <w:color w:val="000000" w:themeColor="text1"/>
                <w:szCs w:val="21"/>
              </w:rPr>
              <w:t>）</w:t>
            </w:r>
          </w:p>
        </w:tc>
        <w:tc>
          <w:tcPr>
            <w:tcW w:w="1472" w:type="pct"/>
            <w:tcBorders>
              <w:top w:val="single" w:sz="4" w:space="0" w:color="auto"/>
            </w:tcBorders>
            <w:vAlign w:val="center"/>
          </w:tcPr>
          <w:p w14:paraId="2CED5536" w14:textId="77777777" w:rsidR="008F009F" w:rsidRDefault="005A743F">
            <w:pPr>
              <w:spacing w:line="300" w:lineRule="auto"/>
              <w:rPr>
                <w:color w:val="000000" w:themeColor="text1"/>
                <w:kern w:val="0"/>
                <w:szCs w:val="21"/>
              </w:rPr>
            </w:pPr>
            <w:r>
              <w:rPr>
                <w:color w:val="000000" w:themeColor="text1"/>
                <w:kern w:val="0"/>
                <w:szCs w:val="21"/>
              </w:rPr>
              <w:t>≤2.6</w:t>
            </w:r>
          </w:p>
        </w:tc>
        <w:tc>
          <w:tcPr>
            <w:tcW w:w="1667" w:type="pct"/>
            <w:tcBorders>
              <w:top w:val="single" w:sz="4" w:space="0" w:color="auto"/>
            </w:tcBorders>
            <w:vAlign w:val="center"/>
          </w:tcPr>
          <w:p w14:paraId="27EAB443" w14:textId="77777777" w:rsidR="008F009F" w:rsidRDefault="005A743F">
            <w:pPr>
              <w:spacing w:line="300" w:lineRule="auto"/>
              <w:rPr>
                <w:color w:val="000000" w:themeColor="text1"/>
                <w:szCs w:val="21"/>
              </w:rPr>
            </w:pPr>
            <w:r>
              <w:rPr>
                <w:color w:val="000000" w:themeColor="text1"/>
                <w:szCs w:val="21"/>
              </w:rPr>
              <w:t>2.</w:t>
            </w:r>
            <w:r>
              <w:rPr>
                <w:rFonts w:hint="eastAsia"/>
                <w:color w:val="000000" w:themeColor="text1"/>
                <w:szCs w:val="21"/>
              </w:rPr>
              <w:t>5</w:t>
            </w:r>
          </w:p>
        </w:tc>
      </w:tr>
      <w:tr w:rsidR="008F009F" w14:paraId="686637CE" w14:textId="77777777">
        <w:trPr>
          <w:trHeight w:val="374"/>
        </w:trPr>
        <w:tc>
          <w:tcPr>
            <w:tcW w:w="1861" w:type="pct"/>
            <w:tcBorders>
              <w:bottom w:val="nil"/>
            </w:tcBorders>
            <w:vAlign w:val="center"/>
          </w:tcPr>
          <w:p w14:paraId="400679CD" w14:textId="77777777" w:rsidR="008F009F" w:rsidRDefault="005A743F">
            <w:pPr>
              <w:spacing w:line="300" w:lineRule="auto"/>
              <w:rPr>
                <w:color w:val="000000" w:themeColor="text1"/>
                <w:szCs w:val="21"/>
              </w:rPr>
            </w:pPr>
            <w:r>
              <w:rPr>
                <w:rFonts w:hint="eastAsia"/>
                <w:color w:val="000000" w:themeColor="text1"/>
                <w:szCs w:val="21"/>
              </w:rPr>
              <w:t>Activity Index</w:t>
            </w:r>
            <w:r>
              <w:rPr>
                <w:color w:val="000000" w:themeColor="text1"/>
                <w:szCs w:val="21"/>
              </w:rPr>
              <w:t>/%</w:t>
            </w:r>
          </w:p>
        </w:tc>
        <w:tc>
          <w:tcPr>
            <w:tcW w:w="1472" w:type="pct"/>
            <w:tcBorders>
              <w:bottom w:val="nil"/>
            </w:tcBorders>
            <w:vAlign w:val="center"/>
          </w:tcPr>
          <w:p w14:paraId="537B7E52" w14:textId="77777777" w:rsidR="008F009F" w:rsidRDefault="005A743F">
            <w:pPr>
              <w:spacing w:line="300" w:lineRule="auto"/>
              <w:rPr>
                <w:color w:val="000000" w:themeColor="text1"/>
                <w:szCs w:val="21"/>
              </w:rPr>
            </w:pPr>
            <w:r>
              <w:rPr>
                <w:color w:val="000000" w:themeColor="text1"/>
                <w:szCs w:val="21"/>
              </w:rPr>
              <w:t>≥70.0</w:t>
            </w:r>
          </w:p>
        </w:tc>
        <w:tc>
          <w:tcPr>
            <w:tcW w:w="1667" w:type="pct"/>
            <w:tcBorders>
              <w:bottom w:val="nil"/>
            </w:tcBorders>
            <w:vAlign w:val="center"/>
          </w:tcPr>
          <w:p w14:paraId="43A9E941" w14:textId="77777777" w:rsidR="008F009F" w:rsidRDefault="005A743F">
            <w:pPr>
              <w:spacing w:line="300" w:lineRule="auto"/>
              <w:rPr>
                <w:color w:val="000000" w:themeColor="text1"/>
                <w:szCs w:val="21"/>
              </w:rPr>
            </w:pPr>
            <w:r>
              <w:rPr>
                <w:color w:val="000000" w:themeColor="text1"/>
                <w:szCs w:val="21"/>
              </w:rPr>
              <w:t>89.</w:t>
            </w:r>
            <w:r>
              <w:rPr>
                <w:rFonts w:hint="eastAsia"/>
                <w:color w:val="000000" w:themeColor="text1"/>
                <w:szCs w:val="21"/>
              </w:rPr>
              <w:t>2</w:t>
            </w:r>
          </w:p>
        </w:tc>
      </w:tr>
      <w:tr w:rsidR="008F009F" w14:paraId="0BAA2CAD" w14:textId="77777777">
        <w:trPr>
          <w:trHeight w:val="365"/>
        </w:trPr>
        <w:tc>
          <w:tcPr>
            <w:tcW w:w="1861" w:type="pct"/>
            <w:tcBorders>
              <w:top w:val="nil"/>
              <w:bottom w:val="nil"/>
            </w:tcBorders>
            <w:vAlign w:val="center"/>
          </w:tcPr>
          <w:p w14:paraId="3477C7D5" w14:textId="77777777" w:rsidR="008F009F" w:rsidRDefault="005A743F">
            <w:pPr>
              <w:spacing w:line="300" w:lineRule="auto"/>
              <w:rPr>
                <w:color w:val="000000" w:themeColor="text1"/>
                <w:szCs w:val="21"/>
              </w:rPr>
            </w:pPr>
            <w:r>
              <w:rPr>
                <w:rFonts w:hint="eastAsia"/>
                <w:color w:val="000000" w:themeColor="text1"/>
                <w:szCs w:val="21"/>
              </w:rPr>
              <w:t xml:space="preserve">Fineness (45 µm </w:t>
            </w:r>
            <w:r>
              <w:rPr>
                <w:rFonts w:hint="eastAsia"/>
                <w:color w:val="000000" w:themeColor="text1"/>
                <w:szCs w:val="21"/>
              </w:rPr>
              <w:t>sieve residue, %)</w:t>
            </w:r>
            <w:r>
              <w:rPr>
                <w:color w:val="000000" w:themeColor="text1"/>
                <w:szCs w:val="21"/>
              </w:rPr>
              <w:t>/%</w:t>
            </w:r>
          </w:p>
        </w:tc>
        <w:tc>
          <w:tcPr>
            <w:tcW w:w="1472" w:type="pct"/>
            <w:tcBorders>
              <w:top w:val="nil"/>
              <w:bottom w:val="nil"/>
            </w:tcBorders>
            <w:vAlign w:val="center"/>
          </w:tcPr>
          <w:p w14:paraId="723A02BA" w14:textId="77777777" w:rsidR="008F009F" w:rsidRDefault="005A743F">
            <w:pPr>
              <w:spacing w:line="300" w:lineRule="auto"/>
              <w:rPr>
                <w:color w:val="000000" w:themeColor="text1"/>
                <w:szCs w:val="21"/>
              </w:rPr>
            </w:pPr>
            <w:r>
              <w:rPr>
                <w:color w:val="000000" w:themeColor="text1"/>
                <w:szCs w:val="21"/>
              </w:rPr>
              <w:t>≤30.0</w:t>
            </w:r>
          </w:p>
        </w:tc>
        <w:tc>
          <w:tcPr>
            <w:tcW w:w="1667" w:type="pct"/>
            <w:tcBorders>
              <w:top w:val="nil"/>
              <w:bottom w:val="nil"/>
            </w:tcBorders>
            <w:vAlign w:val="center"/>
          </w:tcPr>
          <w:p w14:paraId="36879D4C" w14:textId="77777777" w:rsidR="008F009F" w:rsidRDefault="005A743F">
            <w:pPr>
              <w:spacing w:line="300" w:lineRule="auto"/>
              <w:rPr>
                <w:color w:val="000000" w:themeColor="text1"/>
                <w:szCs w:val="21"/>
              </w:rPr>
            </w:pPr>
            <w:r>
              <w:rPr>
                <w:rFonts w:hint="eastAsia"/>
                <w:color w:val="000000" w:themeColor="text1"/>
                <w:szCs w:val="21"/>
              </w:rPr>
              <w:t>21.36</w:t>
            </w:r>
          </w:p>
        </w:tc>
      </w:tr>
      <w:tr w:rsidR="008F009F" w14:paraId="106EB0A7" w14:textId="77777777">
        <w:trPr>
          <w:trHeight w:val="326"/>
        </w:trPr>
        <w:tc>
          <w:tcPr>
            <w:tcW w:w="1861" w:type="pct"/>
            <w:tcBorders>
              <w:top w:val="nil"/>
              <w:bottom w:val="single" w:sz="12" w:space="0" w:color="auto"/>
            </w:tcBorders>
            <w:vAlign w:val="center"/>
          </w:tcPr>
          <w:p w14:paraId="1A80A7F1" w14:textId="77777777" w:rsidR="008F009F" w:rsidRDefault="005A743F">
            <w:pPr>
              <w:spacing w:line="300" w:lineRule="auto"/>
              <w:rPr>
                <w:color w:val="000000" w:themeColor="text1"/>
                <w:szCs w:val="21"/>
              </w:rPr>
            </w:pPr>
            <w:r>
              <w:rPr>
                <w:rFonts w:hint="eastAsia"/>
                <w:color w:val="000000" w:themeColor="text1"/>
                <w:szCs w:val="21"/>
              </w:rPr>
              <w:t>Loss on Ignition</w:t>
            </w:r>
            <w:r>
              <w:rPr>
                <w:rFonts w:hint="eastAsia"/>
                <w:color w:val="000000" w:themeColor="text1"/>
                <w:szCs w:val="21"/>
              </w:rPr>
              <w:t>（</w:t>
            </w:r>
            <w:r>
              <w:rPr>
                <w:rFonts w:hint="eastAsia"/>
                <w:color w:val="000000" w:themeColor="text1"/>
                <w:szCs w:val="21"/>
              </w:rPr>
              <w:t>LOI</w:t>
            </w:r>
            <w:r>
              <w:rPr>
                <w:rFonts w:hint="eastAsia"/>
                <w:color w:val="000000" w:themeColor="text1"/>
                <w:szCs w:val="21"/>
              </w:rPr>
              <w:t>）</w:t>
            </w:r>
            <w:r>
              <w:rPr>
                <w:color w:val="000000" w:themeColor="text1"/>
                <w:szCs w:val="21"/>
              </w:rPr>
              <w:t>/%</w:t>
            </w:r>
          </w:p>
        </w:tc>
        <w:tc>
          <w:tcPr>
            <w:tcW w:w="1472" w:type="pct"/>
            <w:tcBorders>
              <w:top w:val="nil"/>
              <w:bottom w:val="single" w:sz="12" w:space="0" w:color="auto"/>
            </w:tcBorders>
            <w:vAlign w:val="center"/>
          </w:tcPr>
          <w:p w14:paraId="54B779C7" w14:textId="77777777" w:rsidR="008F009F" w:rsidRDefault="005A743F">
            <w:pPr>
              <w:spacing w:line="300" w:lineRule="auto"/>
              <w:rPr>
                <w:color w:val="000000" w:themeColor="text1"/>
                <w:szCs w:val="21"/>
              </w:rPr>
            </w:pPr>
            <w:r>
              <w:rPr>
                <w:color w:val="000000" w:themeColor="text1"/>
                <w:szCs w:val="21"/>
              </w:rPr>
              <w:t>≤8.0</w:t>
            </w:r>
          </w:p>
        </w:tc>
        <w:tc>
          <w:tcPr>
            <w:tcW w:w="1667" w:type="pct"/>
            <w:tcBorders>
              <w:top w:val="nil"/>
              <w:bottom w:val="single" w:sz="12" w:space="0" w:color="auto"/>
            </w:tcBorders>
            <w:vAlign w:val="center"/>
          </w:tcPr>
          <w:p w14:paraId="1DC7AE19" w14:textId="77777777" w:rsidR="008F009F" w:rsidRDefault="005A743F">
            <w:pPr>
              <w:spacing w:line="300" w:lineRule="auto"/>
              <w:rPr>
                <w:color w:val="000000" w:themeColor="text1"/>
                <w:szCs w:val="21"/>
              </w:rPr>
            </w:pPr>
            <w:r>
              <w:rPr>
                <w:rFonts w:hint="eastAsia"/>
                <w:color w:val="000000" w:themeColor="text1"/>
                <w:szCs w:val="21"/>
              </w:rPr>
              <w:t>5.5</w:t>
            </w:r>
          </w:p>
        </w:tc>
      </w:tr>
    </w:tbl>
    <w:p w14:paraId="017BB9A8" w14:textId="77777777" w:rsidR="008F009F" w:rsidRDefault="005A743F">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Table. 2Performance index of fly ash</w:t>
      </w:r>
    </w:p>
    <w:p w14:paraId="028E2459" w14:textId="77777777" w:rsidR="008F009F" w:rsidRDefault="008F009F">
      <w:pPr>
        <w:adjustRightInd w:val="0"/>
        <w:snapToGrid w:val="0"/>
        <w:spacing w:before="0" w:beforeAutospacing="0"/>
        <w:rPr>
          <w:rFonts w:ascii="Times New Roman" w:hAnsi="Times New Roman" w:cs="Times New Roman"/>
          <w:color w:val="000000" w:themeColor="text1"/>
          <w:szCs w:val="21"/>
        </w:rPr>
      </w:pPr>
    </w:p>
    <w:p w14:paraId="2215144C" w14:textId="77777777" w:rsidR="008F009F" w:rsidRDefault="005A743F">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Granulated Blast Furnace Slag Powder</w:t>
      </w:r>
    </w:p>
    <w:p w14:paraId="1DB85BCC"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The granulated blast furnace slag (referred to as slag for short) used in the test was tested in accordance with Ground Granulated Blast Furnace Slag for Cement, Mortar and Concrete (GB/T 18046-2017), and the test data are shown in Table 3. The results in</w:t>
      </w:r>
      <w:r>
        <w:rPr>
          <w:rFonts w:ascii="Times New Roman" w:hAnsi="Times New Roman" w:cs="Times New Roman"/>
          <w:color w:val="000000" w:themeColor="text1"/>
          <w:szCs w:val="21"/>
        </w:rPr>
        <w:t>dicate that the material fully meets the performance requirements of S95 grade ground granulated blast furnace slag powder.</w:t>
      </w:r>
    </w:p>
    <w:tbl>
      <w:tblPr>
        <w:tblW w:w="9400" w:type="dxa"/>
        <w:jc w:val="center"/>
        <w:tblBorders>
          <w:top w:val="single" w:sz="4" w:space="0" w:color="auto"/>
        </w:tblBorders>
        <w:tblLook w:val="04A0" w:firstRow="1" w:lastRow="0" w:firstColumn="1" w:lastColumn="0" w:noHBand="0" w:noVBand="1"/>
      </w:tblPr>
      <w:tblGrid>
        <w:gridCol w:w="3133"/>
        <w:gridCol w:w="3133"/>
        <w:gridCol w:w="3134"/>
      </w:tblGrid>
      <w:tr w:rsidR="008F009F" w14:paraId="58AEE57A" w14:textId="77777777">
        <w:trPr>
          <w:trHeight w:val="406"/>
          <w:jc w:val="center"/>
        </w:trPr>
        <w:tc>
          <w:tcPr>
            <w:tcW w:w="3133" w:type="dxa"/>
            <w:tcBorders>
              <w:top w:val="single" w:sz="12" w:space="0" w:color="auto"/>
              <w:bottom w:val="single" w:sz="4" w:space="0" w:color="auto"/>
            </w:tcBorders>
            <w:vAlign w:val="center"/>
          </w:tcPr>
          <w:p w14:paraId="44A6646F" w14:textId="77777777" w:rsidR="008F009F" w:rsidRDefault="005A743F">
            <w:pPr>
              <w:spacing w:line="300" w:lineRule="auto"/>
              <w:ind w:firstLineChars="300" w:firstLine="630"/>
              <w:jc w:val="both"/>
              <w:rPr>
                <w:color w:val="000000" w:themeColor="text1"/>
                <w:szCs w:val="21"/>
              </w:rPr>
            </w:pPr>
            <w:r>
              <w:rPr>
                <w:rFonts w:hint="eastAsia"/>
                <w:color w:val="000000" w:themeColor="text1"/>
                <w:szCs w:val="21"/>
              </w:rPr>
              <w:t>Performance Index</w:t>
            </w:r>
          </w:p>
        </w:tc>
        <w:tc>
          <w:tcPr>
            <w:tcW w:w="3133" w:type="dxa"/>
            <w:tcBorders>
              <w:top w:val="single" w:sz="12" w:space="0" w:color="auto"/>
              <w:bottom w:val="single" w:sz="4" w:space="0" w:color="auto"/>
            </w:tcBorders>
            <w:vAlign w:val="center"/>
          </w:tcPr>
          <w:p w14:paraId="3E67C4D0" w14:textId="77777777" w:rsidR="008F009F" w:rsidRDefault="005A743F">
            <w:pPr>
              <w:spacing w:line="300" w:lineRule="auto"/>
              <w:rPr>
                <w:color w:val="000000" w:themeColor="text1"/>
                <w:szCs w:val="21"/>
              </w:rPr>
            </w:pPr>
            <w:r>
              <w:rPr>
                <w:rFonts w:hint="eastAsia"/>
                <w:color w:val="000000" w:themeColor="text1"/>
                <w:szCs w:val="21"/>
              </w:rPr>
              <w:t>Standard Value (S95 Grade)</w:t>
            </w:r>
          </w:p>
        </w:tc>
        <w:tc>
          <w:tcPr>
            <w:tcW w:w="3134" w:type="dxa"/>
            <w:tcBorders>
              <w:top w:val="single" w:sz="12" w:space="0" w:color="auto"/>
              <w:bottom w:val="single" w:sz="4" w:space="0" w:color="auto"/>
            </w:tcBorders>
            <w:vAlign w:val="center"/>
          </w:tcPr>
          <w:p w14:paraId="2DF6307D" w14:textId="77777777" w:rsidR="008F009F" w:rsidRDefault="005A743F">
            <w:pPr>
              <w:spacing w:line="300" w:lineRule="auto"/>
              <w:rPr>
                <w:color w:val="000000" w:themeColor="text1"/>
                <w:szCs w:val="21"/>
              </w:rPr>
            </w:pPr>
            <w:r>
              <w:rPr>
                <w:rFonts w:hint="eastAsia"/>
                <w:color w:val="000000" w:themeColor="text1"/>
                <w:szCs w:val="21"/>
              </w:rPr>
              <w:t>Measured Value</w:t>
            </w:r>
          </w:p>
        </w:tc>
      </w:tr>
      <w:tr w:rsidR="008F009F" w14:paraId="3FEFA37E" w14:textId="77777777">
        <w:trPr>
          <w:trHeight w:val="406"/>
          <w:jc w:val="center"/>
        </w:trPr>
        <w:tc>
          <w:tcPr>
            <w:tcW w:w="3133" w:type="dxa"/>
            <w:tcBorders>
              <w:top w:val="single" w:sz="4" w:space="0" w:color="auto"/>
            </w:tcBorders>
            <w:vAlign w:val="center"/>
          </w:tcPr>
          <w:p w14:paraId="48A670C1" w14:textId="77777777" w:rsidR="008F009F" w:rsidRDefault="005A743F">
            <w:pPr>
              <w:spacing w:line="300" w:lineRule="auto"/>
              <w:rPr>
                <w:color w:val="000000" w:themeColor="text1"/>
                <w:szCs w:val="21"/>
              </w:rPr>
            </w:pPr>
            <w:r>
              <w:rPr>
                <w:rFonts w:hint="eastAsia"/>
                <w:color w:val="000000" w:themeColor="text1"/>
                <w:szCs w:val="21"/>
              </w:rPr>
              <w:t>Density</w:t>
            </w:r>
            <w:r>
              <w:rPr>
                <w:color w:val="000000" w:themeColor="text1"/>
                <w:szCs w:val="21"/>
              </w:rPr>
              <w:t>/</w:t>
            </w:r>
            <w:r>
              <w:rPr>
                <w:color w:val="000000" w:themeColor="text1"/>
                <w:szCs w:val="21"/>
              </w:rPr>
              <w:t>（</w:t>
            </w:r>
            <w:r>
              <w:rPr>
                <w:color w:val="000000" w:themeColor="text1"/>
                <w:szCs w:val="21"/>
              </w:rPr>
              <w:t>g/cm</w:t>
            </w:r>
            <w:r>
              <w:rPr>
                <w:color w:val="000000" w:themeColor="text1"/>
                <w:szCs w:val="21"/>
                <w:vertAlign w:val="superscript"/>
              </w:rPr>
              <w:t>3</w:t>
            </w:r>
            <w:r>
              <w:rPr>
                <w:color w:val="000000" w:themeColor="text1"/>
                <w:szCs w:val="21"/>
              </w:rPr>
              <w:t>）</w:t>
            </w:r>
          </w:p>
        </w:tc>
        <w:tc>
          <w:tcPr>
            <w:tcW w:w="3133" w:type="dxa"/>
            <w:tcBorders>
              <w:top w:val="single" w:sz="4" w:space="0" w:color="auto"/>
            </w:tcBorders>
            <w:vAlign w:val="center"/>
          </w:tcPr>
          <w:p w14:paraId="34408A7C" w14:textId="77777777" w:rsidR="008F009F" w:rsidRDefault="005A743F">
            <w:pPr>
              <w:spacing w:line="300" w:lineRule="auto"/>
              <w:rPr>
                <w:color w:val="000000" w:themeColor="text1"/>
                <w:szCs w:val="21"/>
              </w:rPr>
            </w:pPr>
            <w:r>
              <w:rPr>
                <w:rFonts w:ascii="SimSun" w:hAnsi="SimSun" w:cs="SimSun" w:hint="eastAsia"/>
                <w:color w:val="000000" w:themeColor="text1"/>
                <w:kern w:val="0"/>
                <w:szCs w:val="21"/>
              </w:rPr>
              <w:t>≥</w:t>
            </w:r>
            <w:r>
              <w:rPr>
                <w:color w:val="000000" w:themeColor="text1"/>
                <w:kern w:val="0"/>
                <w:szCs w:val="21"/>
              </w:rPr>
              <w:t>2.8</w:t>
            </w:r>
          </w:p>
        </w:tc>
        <w:tc>
          <w:tcPr>
            <w:tcW w:w="3134" w:type="dxa"/>
            <w:tcBorders>
              <w:top w:val="single" w:sz="4" w:space="0" w:color="auto"/>
            </w:tcBorders>
            <w:vAlign w:val="center"/>
          </w:tcPr>
          <w:p w14:paraId="2B0D7FE1" w14:textId="77777777" w:rsidR="008F009F" w:rsidRDefault="005A743F">
            <w:pPr>
              <w:spacing w:line="300" w:lineRule="auto"/>
              <w:rPr>
                <w:color w:val="000000" w:themeColor="text1"/>
                <w:szCs w:val="21"/>
              </w:rPr>
            </w:pPr>
            <w:r>
              <w:rPr>
                <w:rFonts w:hint="eastAsia"/>
                <w:color w:val="000000" w:themeColor="text1"/>
                <w:szCs w:val="21"/>
              </w:rPr>
              <w:t>2.93</w:t>
            </w:r>
          </w:p>
        </w:tc>
      </w:tr>
      <w:tr w:rsidR="008F009F" w14:paraId="19EE7766" w14:textId="77777777">
        <w:trPr>
          <w:trHeight w:val="419"/>
          <w:jc w:val="center"/>
        </w:trPr>
        <w:tc>
          <w:tcPr>
            <w:tcW w:w="3133" w:type="dxa"/>
            <w:tcBorders>
              <w:bottom w:val="nil"/>
            </w:tcBorders>
            <w:vAlign w:val="center"/>
          </w:tcPr>
          <w:p w14:paraId="676000EC" w14:textId="77777777" w:rsidR="008F009F" w:rsidRDefault="005A743F">
            <w:pPr>
              <w:spacing w:line="300" w:lineRule="auto"/>
              <w:rPr>
                <w:color w:val="000000" w:themeColor="text1"/>
                <w:szCs w:val="21"/>
              </w:rPr>
            </w:pPr>
            <w:r>
              <w:rPr>
                <w:rFonts w:hint="eastAsia"/>
                <w:color w:val="000000" w:themeColor="text1"/>
                <w:szCs w:val="21"/>
              </w:rPr>
              <w:t>Specific Surface Area</w:t>
            </w:r>
            <w:r>
              <w:rPr>
                <w:color w:val="000000" w:themeColor="text1"/>
                <w:szCs w:val="21"/>
              </w:rPr>
              <w:t>/</w:t>
            </w:r>
            <w:r>
              <w:rPr>
                <w:color w:val="000000" w:themeColor="text1"/>
                <w:szCs w:val="21"/>
              </w:rPr>
              <w:t>（</w:t>
            </w:r>
            <w:r>
              <w:rPr>
                <w:rFonts w:hint="eastAsia"/>
                <w:color w:val="000000" w:themeColor="text1"/>
                <w:szCs w:val="21"/>
              </w:rPr>
              <w:t>m</w:t>
            </w:r>
            <w:r>
              <w:rPr>
                <w:rFonts w:hint="eastAsia"/>
                <w:color w:val="000000" w:themeColor="text1"/>
                <w:szCs w:val="21"/>
                <w:vertAlign w:val="superscript"/>
              </w:rPr>
              <w:t>2</w:t>
            </w:r>
            <w:r>
              <w:rPr>
                <w:color w:val="000000" w:themeColor="text1"/>
                <w:szCs w:val="21"/>
              </w:rPr>
              <w:t>/kg</w:t>
            </w:r>
            <w:r>
              <w:rPr>
                <w:color w:val="000000" w:themeColor="text1"/>
                <w:szCs w:val="21"/>
              </w:rPr>
              <w:t>）</w:t>
            </w:r>
          </w:p>
        </w:tc>
        <w:tc>
          <w:tcPr>
            <w:tcW w:w="3133" w:type="dxa"/>
            <w:tcBorders>
              <w:bottom w:val="nil"/>
            </w:tcBorders>
            <w:vAlign w:val="center"/>
          </w:tcPr>
          <w:p w14:paraId="69104A01" w14:textId="77777777" w:rsidR="008F009F" w:rsidRDefault="005A743F">
            <w:pPr>
              <w:spacing w:line="300" w:lineRule="auto"/>
              <w:rPr>
                <w:color w:val="000000" w:themeColor="text1"/>
                <w:szCs w:val="21"/>
              </w:rPr>
            </w:pPr>
            <w:r>
              <w:rPr>
                <w:rFonts w:ascii="SimSun" w:hAnsi="SimSun" w:cs="SimSun" w:hint="eastAsia"/>
                <w:color w:val="000000" w:themeColor="text1"/>
                <w:szCs w:val="21"/>
              </w:rPr>
              <w:t>≥</w:t>
            </w:r>
            <w:r>
              <w:rPr>
                <w:color w:val="000000" w:themeColor="text1"/>
                <w:szCs w:val="21"/>
              </w:rPr>
              <w:t>400</w:t>
            </w:r>
          </w:p>
        </w:tc>
        <w:tc>
          <w:tcPr>
            <w:tcW w:w="3134" w:type="dxa"/>
            <w:tcBorders>
              <w:bottom w:val="nil"/>
            </w:tcBorders>
            <w:vAlign w:val="center"/>
          </w:tcPr>
          <w:p w14:paraId="30F3F443" w14:textId="77777777" w:rsidR="008F009F" w:rsidRDefault="005A743F">
            <w:pPr>
              <w:spacing w:line="300" w:lineRule="auto"/>
              <w:rPr>
                <w:color w:val="000000" w:themeColor="text1"/>
                <w:szCs w:val="21"/>
              </w:rPr>
            </w:pPr>
            <w:r>
              <w:rPr>
                <w:rFonts w:hint="eastAsia"/>
                <w:color w:val="000000" w:themeColor="text1"/>
                <w:szCs w:val="21"/>
              </w:rPr>
              <w:t>623</w:t>
            </w:r>
          </w:p>
        </w:tc>
      </w:tr>
      <w:tr w:rsidR="008F009F" w14:paraId="64E26B77" w14:textId="77777777">
        <w:trPr>
          <w:trHeight w:val="406"/>
          <w:jc w:val="center"/>
        </w:trPr>
        <w:tc>
          <w:tcPr>
            <w:tcW w:w="3133" w:type="dxa"/>
            <w:tcBorders>
              <w:bottom w:val="nil"/>
            </w:tcBorders>
            <w:vAlign w:val="center"/>
          </w:tcPr>
          <w:p w14:paraId="6C673B59" w14:textId="77777777" w:rsidR="008F009F" w:rsidRDefault="005A743F">
            <w:pPr>
              <w:spacing w:line="300" w:lineRule="auto"/>
              <w:rPr>
                <w:color w:val="000000" w:themeColor="text1"/>
                <w:szCs w:val="21"/>
              </w:rPr>
            </w:pPr>
            <w:r>
              <w:rPr>
                <w:rFonts w:hint="eastAsia"/>
                <w:color w:val="000000" w:themeColor="text1"/>
                <w:szCs w:val="21"/>
              </w:rPr>
              <w:t>Activity Index</w:t>
            </w:r>
            <w:r>
              <w:rPr>
                <w:color w:val="000000" w:themeColor="text1"/>
                <w:szCs w:val="21"/>
              </w:rPr>
              <w:t>/%</w:t>
            </w:r>
          </w:p>
        </w:tc>
        <w:tc>
          <w:tcPr>
            <w:tcW w:w="3133" w:type="dxa"/>
            <w:tcBorders>
              <w:bottom w:val="nil"/>
            </w:tcBorders>
            <w:vAlign w:val="center"/>
          </w:tcPr>
          <w:p w14:paraId="4F5CC77B" w14:textId="77777777" w:rsidR="008F009F" w:rsidRDefault="005A743F">
            <w:pPr>
              <w:spacing w:line="300" w:lineRule="auto"/>
              <w:rPr>
                <w:color w:val="000000" w:themeColor="text1"/>
                <w:szCs w:val="21"/>
              </w:rPr>
            </w:pPr>
            <w:r>
              <w:rPr>
                <w:rFonts w:ascii="SimSun" w:hAnsi="SimSun" w:cs="SimSun" w:hint="eastAsia"/>
                <w:color w:val="000000" w:themeColor="text1"/>
                <w:szCs w:val="21"/>
              </w:rPr>
              <w:t>≥</w:t>
            </w:r>
            <w:r>
              <w:rPr>
                <w:rFonts w:hint="eastAsia"/>
                <w:color w:val="000000" w:themeColor="text1"/>
                <w:szCs w:val="21"/>
              </w:rPr>
              <w:t>95</w:t>
            </w:r>
          </w:p>
        </w:tc>
        <w:tc>
          <w:tcPr>
            <w:tcW w:w="3134" w:type="dxa"/>
            <w:tcBorders>
              <w:bottom w:val="nil"/>
            </w:tcBorders>
            <w:vAlign w:val="center"/>
          </w:tcPr>
          <w:p w14:paraId="355DA728" w14:textId="77777777" w:rsidR="008F009F" w:rsidRDefault="005A743F">
            <w:pPr>
              <w:spacing w:line="300" w:lineRule="auto"/>
              <w:rPr>
                <w:color w:val="000000" w:themeColor="text1"/>
                <w:szCs w:val="21"/>
              </w:rPr>
            </w:pPr>
            <w:r>
              <w:rPr>
                <w:rFonts w:hint="eastAsia"/>
                <w:color w:val="000000" w:themeColor="text1"/>
                <w:szCs w:val="21"/>
              </w:rPr>
              <w:t>9</w:t>
            </w:r>
            <w:r>
              <w:rPr>
                <w:color w:val="000000" w:themeColor="text1"/>
                <w:szCs w:val="21"/>
              </w:rPr>
              <w:t>8.</w:t>
            </w:r>
            <w:r>
              <w:rPr>
                <w:rFonts w:hint="eastAsia"/>
                <w:color w:val="000000" w:themeColor="text1"/>
                <w:szCs w:val="21"/>
              </w:rPr>
              <w:t>3</w:t>
            </w:r>
          </w:p>
        </w:tc>
      </w:tr>
      <w:tr w:rsidR="008F009F" w14:paraId="6110698C" w14:textId="77777777">
        <w:trPr>
          <w:trHeight w:val="257"/>
          <w:jc w:val="center"/>
        </w:trPr>
        <w:tc>
          <w:tcPr>
            <w:tcW w:w="3133" w:type="dxa"/>
            <w:tcBorders>
              <w:top w:val="nil"/>
              <w:bottom w:val="single" w:sz="12" w:space="0" w:color="auto"/>
            </w:tcBorders>
            <w:vAlign w:val="center"/>
          </w:tcPr>
          <w:p w14:paraId="5D41AE70" w14:textId="77777777" w:rsidR="008F009F" w:rsidRDefault="005A743F">
            <w:pPr>
              <w:spacing w:line="300" w:lineRule="auto"/>
              <w:rPr>
                <w:color w:val="000000" w:themeColor="text1"/>
                <w:szCs w:val="21"/>
              </w:rPr>
            </w:pPr>
            <w:r>
              <w:rPr>
                <w:rFonts w:hint="eastAsia"/>
                <w:color w:val="000000" w:themeColor="text1"/>
                <w:szCs w:val="21"/>
              </w:rPr>
              <w:t>Loss on Ignition</w:t>
            </w:r>
            <w:r>
              <w:rPr>
                <w:rFonts w:hint="eastAsia"/>
                <w:color w:val="000000" w:themeColor="text1"/>
                <w:szCs w:val="21"/>
              </w:rPr>
              <w:t>（</w:t>
            </w:r>
            <w:r>
              <w:rPr>
                <w:rFonts w:hint="eastAsia"/>
                <w:color w:val="000000" w:themeColor="text1"/>
                <w:szCs w:val="21"/>
              </w:rPr>
              <w:t>LOI</w:t>
            </w:r>
            <w:r>
              <w:rPr>
                <w:rFonts w:hint="eastAsia"/>
                <w:color w:val="000000" w:themeColor="text1"/>
                <w:szCs w:val="21"/>
              </w:rPr>
              <w:t>）</w:t>
            </w:r>
          </w:p>
        </w:tc>
        <w:tc>
          <w:tcPr>
            <w:tcW w:w="3133" w:type="dxa"/>
            <w:tcBorders>
              <w:top w:val="nil"/>
              <w:bottom w:val="single" w:sz="12" w:space="0" w:color="auto"/>
            </w:tcBorders>
            <w:vAlign w:val="center"/>
          </w:tcPr>
          <w:p w14:paraId="3BCDE258" w14:textId="77777777" w:rsidR="008F009F" w:rsidRDefault="005A743F">
            <w:pPr>
              <w:spacing w:line="300" w:lineRule="auto"/>
              <w:rPr>
                <w:color w:val="000000" w:themeColor="text1"/>
                <w:szCs w:val="21"/>
              </w:rPr>
            </w:pPr>
            <w:r>
              <w:rPr>
                <w:rFonts w:hint="eastAsia"/>
                <w:color w:val="000000" w:themeColor="text1"/>
                <w:szCs w:val="21"/>
              </w:rPr>
              <w:t>≤</w:t>
            </w:r>
            <w:r>
              <w:rPr>
                <w:rFonts w:hint="eastAsia"/>
                <w:color w:val="000000" w:themeColor="text1"/>
                <w:szCs w:val="21"/>
              </w:rPr>
              <w:t>1.0</w:t>
            </w:r>
          </w:p>
        </w:tc>
        <w:tc>
          <w:tcPr>
            <w:tcW w:w="3134" w:type="dxa"/>
            <w:tcBorders>
              <w:top w:val="nil"/>
              <w:bottom w:val="single" w:sz="12" w:space="0" w:color="auto"/>
            </w:tcBorders>
            <w:vAlign w:val="center"/>
          </w:tcPr>
          <w:p w14:paraId="647113C5" w14:textId="77777777" w:rsidR="008F009F" w:rsidRDefault="005A743F">
            <w:pPr>
              <w:spacing w:line="300" w:lineRule="auto"/>
              <w:rPr>
                <w:color w:val="000000" w:themeColor="text1"/>
                <w:szCs w:val="21"/>
              </w:rPr>
            </w:pPr>
            <w:r>
              <w:rPr>
                <w:rFonts w:hint="eastAsia"/>
                <w:color w:val="000000" w:themeColor="text1"/>
                <w:szCs w:val="21"/>
              </w:rPr>
              <w:t>0.63</w:t>
            </w:r>
          </w:p>
        </w:tc>
      </w:tr>
    </w:tbl>
    <w:p w14:paraId="4DADF8CC" w14:textId="77777777" w:rsidR="008F009F" w:rsidRDefault="005A743F">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 xml:space="preserve"> Performance index of granulated blast furnace slag powder</w:t>
      </w:r>
    </w:p>
    <w:p w14:paraId="262E9B41" w14:textId="77777777" w:rsidR="008F009F" w:rsidRDefault="008F009F">
      <w:pPr>
        <w:adjustRightInd w:val="0"/>
        <w:snapToGrid w:val="0"/>
        <w:spacing w:before="0" w:beforeAutospacing="0"/>
        <w:rPr>
          <w:rFonts w:ascii="Times New Roman" w:hAnsi="Times New Roman" w:cs="Times New Roman"/>
          <w:color w:val="000000" w:themeColor="text1"/>
          <w:szCs w:val="21"/>
        </w:rPr>
      </w:pPr>
    </w:p>
    <w:p w14:paraId="6506CABA" w14:textId="77777777" w:rsidR="008F009F" w:rsidRDefault="005A743F">
      <w:pPr>
        <w:spacing w:before="0" w:beforeAutospacing="0" w:line="288" w:lineRule="atLeast"/>
        <w:ind w:firstLineChars="200" w:firstLine="420"/>
        <w:jc w:val="left"/>
        <w:rPr>
          <w:color w:val="000000"/>
          <w:sz w:val="19"/>
          <w:szCs w:val="19"/>
        </w:rPr>
      </w:pPr>
      <w:r>
        <w:rPr>
          <w:rFonts w:ascii="Times New Roman" w:hAnsi="Times New Roman" w:cs="Times New Roman"/>
          <w:color w:val="000000" w:themeColor="text1"/>
          <w:szCs w:val="21"/>
        </w:rPr>
        <w:t xml:space="preserve">The granulated blast furnace slag powder was analyzed by XRF. As shown in Table 3, its main chemical components include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xml:space="preserve">,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 xml:space="preserve">₂, </w:t>
      </w:r>
      <w:proofErr w:type="spellStart"/>
      <w:r>
        <w:rPr>
          <w:rFonts w:ascii="Times New Roman" w:hAnsi="Times New Roman" w:cs="Times New Roman"/>
          <w:color w:val="000000" w:themeColor="text1"/>
          <w:szCs w:val="21"/>
        </w:rPr>
        <w:t>Al₂O</w:t>
      </w:r>
      <w:proofErr w:type="spellEnd"/>
      <w:r>
        <w:rPr>
          <w:rFonts w:ascii="Times New Roman" w:hAnsi="Times New Roman" w:cs="Times New Roman"/>
          <w:color w:val="000000" w:themeColor="text1"/>
          <w:szCs w:val="21"/>
        </w:rPr>
        <w:t>₃, MgO, etc., with a total mass fraction of more than 95%.</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249"/>
        <w:gridCol w:w="705"/>
        <w:gridCol w:w="816"/>
        <w:gridCol w:w="705"/>
        <w:gridCol w:w="816"/>
        <w:gridCol w:w="705"/>
        <w:gridCol w:w="816"/>
        <w:gridCol w:w="705"/>
        <w:gridCol w:w="705"/>
      </w:tblGrid>
      <w:tr w:rsidR="008F009F" w14:paraId="4E6E1BEC" w14:textId="77777777">
        <w:trPr>
          <w:jc w:val="center"/>
        </w:trPr>
        <w:tc>
          <w:tcPr>
            <w:tcW w:w="0" w:type="auto"/>
            <w:tcBorders>
              <w:tl2br w:val="nil"/>
              <w:tr2bl w:val="nil"/>
            </w:tcBorders>
          </w:tcPr>
          <w:p w14:paraId="509C31AA" w14:textId="77777777" w:rsidR="008F009F" w:rsidRDefault="005A743F">
            <w:pPr>
              <w:rPr>
                <w:rFonts w:ascii="Times New Roman" w:eastAsia="SimSun" w:hAnsi="Times New Roman" w:cs="Times New Roman"/>
                <w:color w:val="000000"/>
                <w:szCs w:val="21"/>
              </w:rPr>
            </w:pPr>
            <w:r>
              <w:rPr>
                <w:rFonts w:hint="eastAsia"/>
                <w:color w:val="000000" w:themeColor="text1"/>
                <w:szCs w:val="21"/>
              </w:rPr>
              <w:t>Chemical Composition</w:t>
            </w:r>
          </w:p>
        </w:tc>
        <w:tc>
          <w:tcPr>
            <w:tcW w:w="0" w:type="auto"/>
            <w:tcBorders>
              <w:tl2br w:val="nil"/>
              <w:tr2bl w:val="nil"/>
            </w:tcBorders>
          </w:tcPr>
          <w:p w14:paraId="132A1669" w14:textId="77777777" w:rsidR="008F009F" w:rsidRDefault="005A743F">
            <w:pPr>
              <w:adjustRightInd w:val="0"/>
              <w:snapToGrid w:val="0"/>
              <w:spacing w:line="300" w:lineRule="auto"/>
              <w:rPr>
                <w:color w:val="000000" w:themeColor="text1"/>
                <w:szCs w:val="21"/>
              </w:rPr>
            </w:pPr>
            <w:r>
              <w:rPr>
                <w:color w:val="000000" w:themeColor="text1"/>
                <w:szCs w:val="21"/>
              </w:rPr>
              <w:t>Na</w:t>
            </w:r>
            <w:r>
              <w:rPr>
                <w:color w:val="000000" w:themeColor="text1"/>
                <w:szCs w:val="21"/>
                <w:vertAlign w:val="subscript"/>
              </w:rPr>
              <w:t>2</w:t>
            </w:r>
            <w:r>
              <w:rPr>
                <w:color w:val="000000" w:themeColor="text1"/>
                <w:szCs w:val="21"/>
              </w:rPr>
              <w:t>O</w:t>
            </w:r>
          </w:p>
        </w:tc>
        <w:tc>
          <w:tcPr>
            <w:tcW w:w="0" w:type="auto"/>
            <w:tcBorders>
              <w:tl2br w:val="nil"/>
              <w:tr2bl w:val="nil"/>
            </w:tcBorders>
          </w:tcPr>
          <w:p w14:paraId="50AA70D7" w14:textId="77777777" w:rsidR="008F009F" w:rsidRDefault="005A743F">
            <w:pPr>
              <w:adjustRightInd w:val="0"/>
              <w:snapToGrid w:val="0"/>
              <w:spacing w:line="300" w:lineRule="auto"/>
              <w:rPr>
                <w:color w:val="000000" w:themeColor="text1"/>
                <w:szCs w:val="21"/>
              </w:rPr>
            </w:pPr>
            <w:r>
              <w:rPr>
                <w:color w:val="000000" w:themeColor="text1"/>
                <w:szCs w:val="21"/>
              </w:rPr>
              <w:t>MgO</w:t>
            </w:r>
          </w:p>
        </w:tc>
        <w:tc>
          <w:tcPr>
            <w:tcW w:w="0" w:type="auto"/>
            <w:tcBorders>
              <w:tl2br w:val="nil"/>
              <w:tr2bl w:val="nil"/>
            </w:tcBorders>
          </w:tcPr>
          <w:p w14:paraId="35B7D8E0" w14:textId="77777777" w:rsidR="008F009F" w:rsidRDefault="005A743F">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0" w:type="auto"/>
            <w:tcBorders>
              <w:tl2br w:val="nil"/>
              <w:tr2bl w:val="nil"/>
            </w:tcBorders>
          </w:tcPr>
          <w:p w14:paraId="6907CB03" w14:textId="77777777" w:rsidR="008F009F" w:rsidRDefault="005A743F">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0" w:type="auto"/>
            <w:tcBorders>
              <w:tl2br w:val="nil"/>
              <w:tr2bl w:val="nil"/>
            </w:tcBorders>
          </w:tcPr>
          <w:p w14:paraId="6B04106C" w14:textId="77777777" w:rsidR="008F009F" w:rsidRDefault="005A743F">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0" w:type="auto"/>
            <w:tcBorders>
              <w:tl2br w:val="nil"/>
              <w:tr2bl w:val="nil"/>
            </w:tcBorders>
          </w:tcPr>
          <w:p w14:paraId="15F6F360" w14:textId="77777777" w:rsidR="008F009F" w:rsidRDefault="005A743F">
            <w:pPr>
              <w:adjustRightInd w:val="0"/>
              <w:snapToGrid w:val="0"/>
              <w:spacing w:line="300" w:lineRule="auto"/>
              <w:rPr>
                <w:color w:val="000000" w:themeColor="text1"/>
                <w:szCs w:val="21"/>
              </w:rPr>
            </w:pPr>
            <w:proofErr w:type="spellStart"/>
            <w:r>
              <w:rPr>
                <w:color w:val="000000" w:themeColor="text1"/>
                <w:szCs w:val="21"/>
              </w:rPr>
              <w:t>CaO</w:t>
            </w:r>
            <w:proofErr w:type="spellEnd"/>
          </w:p>
        </w:tc>
        <w:tc>
          <w:tcPr>
            <w:tcW w:w="0" w:type="auto"/>
            <w:tcBorders>
              <w:tl2br w:val="nil"/>
              <w:tr2bl w:val="nil"/>
            </w:tcBorders>
          </w:tcPr>
          <w:p w14:paraId="3DE37255" w14:textId="77777777" w:rsidR="008F009F" w:rsidRDefault="005A743F">
            <w:pPr>
              <w:adjustRightInd w:val="0"/>
              <w:snapToGrid w:val="0"/>
              <w:spacing w:line="300" w:lineRule="auto"/>
              <w:rPr>
                <w:color w:val="000000" w:themeColor="text1"/>
                <w:szCs w:val="21"/>
              </w:rPr>
            </w:pPr>
            <w:r>
              <w:rPr>
                <w:color w:val="000000" w:themeColor="text1"/>
                <w:szCs w:val="21"/>
              </w:rPr>
              <w:t>TiO</w:t>
            </w:r>
            <w:r>
              <w:rPr>
                <w:color w:val="000000" w:themeColor="text1"/>
                <w:szCs w:val="21"/>
                <w:vertAlign w:val="subscript"/>
              </w:rPr>
              <w:t>2</w:t>
            </w:r>
          </w:p>
        </w:tc>
        <w:tc>
          <w:tcPr>
            <w:tcW w:w="0" w:type="auto"/>
            <w:tcBorders>
              <w:tl2br w:val="nil"/>
              <w:tr2bl w:val="nil"/>
            </w:tcBorders>
          </w:tcPr>
          <w:p w14:paraId="59A5F328" w14:textId="77777777" w:rsidR="008F009F" w:rsidRDefault="005A743F">
            <w:pPr>
              <w:adjustRightInd w:val="0"/>
              <w:snapToGrid w:val="0"/>
              <w:spacing w:line="300" w:lineRule="auto"/>
              <w:rPr>
                <w:color w:val="000000" w:themeColor="text1"/>
                <w:szCs w:val="21"/>
              </w:rPr>
            </w:pPr>
            <w:proofErr w:type="spellStart"/>
            <w:r>
              <w:rPr>
                <w:color w:val="000000" w:themeColor="text1"/>
                <w:szCs w:val="21"/>
              </w:rPr>
              <w:t>MnO</w:t>
            </w:r>
            <w:proofErr w:type="spellEnd"/>
          </w:p>
        </w:tc>
      </w:tr>
      <w:tr w:rsidR="008F009F" w14:paraId="58D30484" w14:textId="77777777">
        <w:trPr>
          <w:jc w:val="center"/>
        </w:trPr>
        <w:tc>
          <w:tcPr>
            <w:tcW w:w="0" w:type="auto"/>
            <w:tcBorders>
              <w:tl2br w:val="nil"/>
              <w:tr2bl w:val="nil"/>
            </w:tcBorders>
          </w:tcPr>
          <w:p w14:paraId="71321721" w14:textId="77777777" w:rsidR="008F009F" w:rsidRDefault="005A743F">
            <w:pPr>
              <w:rPr>
                <w:rFonts w:ascii="Times New Roman" w:eastAsia="SimSun" w:hAnsi="Times New Roman" w:cs="Times New Roman"/>
                <w:color w:val="000000"/>
                <w:szCs w:val="21"/>
              </w:rPr>
            </w:pPr>
            <w:r>
              <w:rPr>
                <w:rFonts w:hint="eastAsia"/>
                <w:color w:val="000000" w:themeColor="text1"/>
                <w:szCs w:val="21"/>
              </w:rPr>
              <w:t>Content</w:t>
            </w:r>
            <w:r>
              <w:rPr>
                <w:color w:val="000000" w:themeColor="text1"/>
                <w:szCs w:val="21"/>
              </w:rPr>
              <w:t>/%</w:t>
            </w:r>
          </w:p>
        </w:tc>
        <w:tc>
          <w:tcPr>
            <w:tcW w:w="0" w:type="auto"/>
            <w:tcBorders>
              <w:tl2br w:val="nil"/>
              <w:tr2bl w:val="nil"/>
            </w:tcBorders>
          </w:tcPr>
          <w:p w14:paraId="29AE4A7F" w14:textId="77777777" w:rsidR="008F009F" w:rsidRDefault="005A743F">
            <w:pPr>
              <w:adjustRightInd w:val="0"/>
              <w:snapToGrid w:val="0"/>
              <w:spacing w:line="300" w:lineRule="auto"/>
              <w:rPr>
                <w:color w:val="000000" w:themeColor="text1"/>
                <w:szCs w:val="21"/>
              </w:rPr>
            </w:pPr>
            <w:r>
              <w:rPr>
                <w:color w:val="000000" w:themeColor="text1"/>
                <w:szCs w:val="21"/>
              </w:rPr>
              <w:t>0.541</w:t>
            </w:r>
          </w:p>
        </w:tc>
        <w:tc>
          <w:tcPr>
            <w:tcW w:w="0" w:type="auto"/>
            <w:tcBorders>
              <w:tl2br w:val="nil"/>
              <w:tr2bl w:val="nil"/>
            </w:tcBorders>
          </w:tcPr>
          <w:p w14:paraId="1E6CA735" w14:textId="77777777" w:rsidR="008F009F" w:rsidRDefault="005A743F">
            <w:pPr>
              <w:adjustRightInd w:val="0"/>
              <w:snapToGrid w:val="0"/>
              <w:spacing w:line="300" w:lineRule="auto"/>
              <w:rPr>
                <w:color w:val="000000" w:themeColor="text1"/>
                <w:szCs w:val="21"/>
              </w:rPr>
            </w:pPr>
            <w:r>
              <w:rPr>
                <w:color w:val="000000" w:themeColor="text1"/>
                <w:szCs w:val="21"/>
              </w:rPr>
              <w:t>10.114</w:t>
            </w:r>
          </w:p>
        </w:tc>
        <w:tc>
          <w:tcPr>
            <w:tcW w:w="0" w:type="auto"/>
            <w:tcBorders>
              <w:tl2br w:val="nil"/>
              <w:tr2bl w:val="nil"/>
            </w:tcBorders>
          </w:tcPr>
          <w:p w14:paraId="49575127" w14:textId="77777777" w:rsidR="008F009F" w:rsidRDefault="005A743F">
            <w:pPr>
              <w:adjustRightInd w:val="0"/>
              <w:snapToGrid w:val="0"/>
              <w:spacing w:line="300" w:lineRule="auto"/>
              <w:rPr>
                <w:color w:val="000000" w:themeColor="text1"/>
                <w:szCs w:val="21"/>
              </w:rPr>
            </w:pPr>
            <w:r>
              <w:rPr>
                <w:color w:val="000000" w:themeColor="text1"/>
                <w:szCs w:val="21"/>
              </w:rPr>
              <w:t>18.23</w:t>
            </w:r>
          </w:p>
        </w:tc>
        <w:tc>
          <w:tcPr>
            <w:tcW w:w="0" w:type="auto"/>
            <w:tcBorders>
              <w:tl2br w:val="nil"/>
              <w:tr2bl w:val="nil"/>
            </w:tcBorders>
          </w:tcPr>
          <w:p w14:paraId="35D12826" w14:textId="77777777" w:rsidR="008F009F" w:rsidRDefault="005A743F">
            <w:pPr>
              <w:adjustRightInd w:val="0"/>
              <w:snapToGrid w:val="0"/>
              <w:spacing w:line="300" w:lineRule="auto"/>
              <w:rPr>
                <w:color w:val="000000" w:themeColor="text1"/>
                <w:szCs w:val="21"/>
              </w:rPr>
            </w:pPr>
            <w:r>
              <w:rPr>
                <w:color w:val="000000" w:themeColor="text1"/>
                <w:szCs w:val="21"/>
              </w:rPr>
              <w:t>32.312</w:t>
            </w:r>
          </w:p>
        </w:tc>
        <w:tc>
          <w:tcPr>
            <w:tcW w:w="0" w:type="auto"/>
            <w:tcBorders>
              <w:tl2br w:val="nil"/>
              <w:tr2bl w:val="nil"/>
            </w:tcBorders>
          </w:tcPr>
          <w:p w14:paraId="33FE119F" w14:textId="77777777" w:rsidR="008F009F" w:rsidRDefault="005A743F">
            <w:pPr>
              <w:adjustRightInd w:val="0"/>
              <w:snapToGrid w:val="0"/>
              <w:spacing w:line="300" w:lineRule="auto"/>
              <w:rPr>
                <w:color w:val="000000" w:themeColor="text1"/>
                <w:szCs w:val="21"/>
              </w:rPr>
            </w:pPr>
            <w:r>
              <w:rPr>
                <w:color w:val="000000" w:themeColor="text1"/>
                <w:szCs w:val="21"/>
              </w:rPr>
              <w:t>2.125</w:t>
            </w:r>
          </w:p>
        </w:tc>
        <w:tc>
          <w:tcPr>
            <w:tcW w:w="0" w:type="auto"/>
            <w:tcBorders>
              <w:tl2br w:val="nil"/>
              <w:tr2bl w:val="nil"/>
            </w:tcBorders>
          </w:tcPr>
          <w:p w14:paraId="34F6D61B" w14:textId="77777777" w:rsidR="008F009F" w:rsidRDefault="005A743F">
            <w:pPr>
              <w:adjustRightInd w:val="0"/>
              <w:snapToGrid w:val="0"/>
              <w:spacing w:line="300" w:lineRule="auto"/>
              <w:rPr>
                <w:color w:val="000000" w:themeColor="text1"/>
                <w:szCs w:val="21"/>
              </w:rPr>
            </w:pPr>
            <w:r>
              <w:rPr>
                <w:color w:val="000000" w:themeColor="text1"/>
                <w:szCs w:val="21"/>
              </w:rPr>
              <w:t>34.719</w:t>
            </w:r>
          </w:p>
        </w:tc>
        <w:tc>
          <w:tcPr>
            <w:tcW w:w="0" w:type="auto"/>
            <w:tcBorders>
              <w:tl2br w:val="nil"/>
              <w:tr2bl w:val="nil"/>
            </w:tcBorders>
          </w:tcPr>
          <w:p w14:paraId="7C809F60" w14:textId="77777777" w:rsidR="008F009F" w:rsidRDefault="005A743F">
            <w:pPr>
              <w:adjustRightInd w:val="0"/>
              <w:snapToGrid w:val="0"/>
              <w:spacing w:line="300" w:lineRule="auto"/>
              <w:rPr>
                <w:color w:val="000000" w:themeColor="text1"/>
                <w:szCs w:val="21"/>
              </w:rPr>
            </w:pPr>
            <w:r>
              <w:rPr>
                <w:color w:val="000000" w:themeColor="text1"/>
                <w:szCs w:val="21"/>
              </w:rPr>
              <w:t>0.672</w:t>
            </w:r>
          </w:p>
        </w:tc>
        <w:tc>
          <w:tcPr>
            <w:tcW w:w="0" w:type="auto"/>
            <w:tcBorders>
              <w:tl2br w:val="nil"/>
              <w:tr2bl w:val="nil"/>
            </w:tcBorders>
          </w:tcPr>
          <w:p w14:paraId="6D6F1058" w14:textId="77777777" w:rsidR="008F009F" w:rsidRDefault="005A743F">
            <w:pPr>
              <w:adjustRightInd w:val="0"/>
              <w:snapToGrid w:val="0"/>
              <w:spacing w:line="300" w:lineRule="auto"/>
              <w:rPr>
                <w:color w:val="000000" w:themeColor="text1"/>
                <w:szCs w:val="21"/>
              </w:rPr>
            </w:pPr>
            <w:r>
              <w:rPr>
                <w:color w:val="000000" w:themeColor="text1"/>
                <w:szCs w:val="21"/>
              </w:rPr>
              <w:t>0.497</w:t>
            </w:r>
          </w:p>
        </w:tc>
      </w:tr>
    </w:tbl>
    <w:p w14:paraId="3261223B" w14:textId="77777777" w:rsidR="008F009F" w:rsidRDefault="005A743F">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4</w:t>
      </w:r>
      <w:r>
        <w:rPr>
          <w:rFonts w:ascii="Times New Roman" w:hAnsi="Times New Roman" w:cs="Times New Roman"/>
          <w:color w:val="000000" w:themeColor="text1"/>
          <w:szCs w:val="21"/>
        </w:rPr>
        <w:t xml:space="preserve"> Chemical composition of granulated blast furnace slag powder</w:t>
      </w:r>
    </w:p>
    <w:p w14:paraId="536B08F3" w14:textId="77777777" w:rsidR="008F009F" w:rsidRDefault="005A743F">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C</w:t>
      </w:r>
      <w:r>
        <w:rPr>
          <w:rFonts w:ascii="Times New Roman" w:hAnsi="Times New Roman" w:cs="Times New Roman"/>
          <w:color w:val="000000" w:themeColor="text1"/>
          <w:szCs w:val="21"/>
        </w:rPr>
        <w:t>arbide slag</w:t>
      </w:r>
    </w:p>
    <w:p w14:paraId="4C43321C"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The chemical composition of the carbide slag sample was determined by XRF, and the results are shown in Table </w:t>
      </w:r>
      <w:proofErr w:type="gramStart"/>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.The</w:t>
      </w:r>
      <w:proofErr w:type="gramEnd"/>
      <w:r>
        <w:rPr>
          <w:rFonts w:ascii="Times New Roman" w:hAnsi="Times New Roman" w:cs="Times New Roman"/>
          <w:color w:val="000000" w:themeColor="text1"/>
          <w:szCs w:val="21"/>
        </w:rPr>
        <w:t xml:space="preserve"> analysis indicates that this batch of carbide slag is mainly </w:t>
      </w:r>
      <w:r>
        <w:rPr>
          <w:rFonts w:ascii="Times New Roman" w:hAnsi="Times New Roman" w:cs="Times New Roman"/>
          <w:color w:val="000000" w:themeColor="text1"/>
          <w:szCs w:val="21"/>
        </w:rPr>
        <w:t>composed of calcium oxide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as an industrial by-</w:t>
      </w:r>
      <w:proofErr w:type="spellStart"/>
      <w:r>
        <w:rPr>
          <w:rFonts w:ascii="Times New Roman" w:hAnsi="Times New Roman" w:cs="Times New Roman"/>
          <w:color w:val="000000" w:themeColor="text1"/>
          <w:szCs w:val="21"/>
        </w:rPr>
        <w:t>product.In</w:t>
      </w:r>
      <w:proofErr w:type="spellEnd"/>
      <w:r>
        <w:rPr>
          <w:rFonts w:ascii="Times New Roman" w:hAnsi="Times New Roman" w:cs="Times New Roman"/>
          <w:color w:val="000000" w:themeColor="text1"/>
          <w:szCs w:val="21"/>
        </w:rPr>
        <w:t xml:space="preserve"> addition to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the contents of Mg, Al and Si are relatively high.</w:t>
      </w:r>
    </w:p>
    <w:tbl>
      <w:tblPr>
        <w:tblW w:w="3826" w:type="pct"/>
        <w:jc w:val="center"/>
        <w:tblBorders>
          <w:top w:val="single" w:sz="12" w:space="0" w:color="000000"/>
          <w:bottom w:val="single" w:sz="12" w:space="0" w:color="000000"/>
          <w:insideH w:val="single" w:sz="4" w:space="0" w:color="000000"/>
        </w:tblBorders>
        <w:tblCellMar>
          <w:top w:w="28" w:type="dxa"/>
          <w:left w:w="85" w:type="dxa"/>
          <w:bottom w:w="28" w:type="dxa"/>
          <w:right w:w="85" w:type="dxa"/>
        </w:tblCellMar>
        <w:tblLook w:val="04A0" w:firstRow="1" w:lastRow="0" w:firstColumn="1" w:lastColumn="0" w:noHBand="0" w:noVBand="1"/>
      </w:tblPr>
      <w:tblGrid>
        <w:gridCol w:w="2302"/>
        <w:gridCol w:w="659"/>
        <w:gridCol w:w="704"/>
        <w:gridCol w:w="659"/>
        <w:gridCol w:w="770"/>
        <w:gridCol w:w="659"/>
        <w:gridCol w:w="733"/>
      </w:tblGrid>
      <w:tr w:rsidR="008F009F" w14:paraId="26F8A31F" w14:textId="77777777">
        <w:trPr>
          <w:trHeight w:val="340"/>
          <w:jc w:val="center"/>
        </w:trPr>
        <w:tc>
          <w:tcPr>
            <w:tcW w:w="1794" w:type="pct"/>
            <w:tcBorders>
              <w:top w:val="single" w:sz="12" w:space="0" w:color="auto"/>
              <w:left w:val="nil"/>
              <w:bottom w:val="single" w:sz="4" w:space="0" w:color="auto"/>
              <w:right w:val="nil"/>
            </w:tcBorders>
          </w:tcPr>
          <w:p w14:paraId="48E64239" w14:textId="77777777" w:rsidR="008F009F" w:rsidRDefault="005A743F">
            <w:pPr>
              <w:rPr>
                <w:rFonts w:ascii="Times New Roman" w:eastAsia="SimSun" w:hAnsi="Times New Roman" w:cs="Times New Roman"/>
                <w:sz w:val="18"/>
                <w:szCs w:val="18"/>
              </w:rPr>
            </w:pPr>
            <w:r>
              <w:rPr>
                <w:rFonts w:hint="eastAsia"/>
                <w:color w:val="000000" w:themeColor="text1"/>
                <w:szCs w:val="21"/>
              </w:rPr>
              <w:t>Chemical Composition</w:t>
            </w:r>
          </w:p>
        </w:tc>
        <w:tc>
          <w:tcPr>
            <w:tcW w:w="495" w:type="pct"/>
            <w:tcBorders>
              <w:top w:val="single" w:sz="12" w:space="0" w:color="auto"/>
              <w:left w:val="nil"/>
              <w:bottom w:val="single" w:sz="4" w:space="0" w:color="auto"/>
              <w:right w:val="nil"/>
            </w:tcBorders>
          </w:tcPr>
          <w:p w14:paraId="44876DAE" w14:textId="77777777" w:rsidR="008F009F" w:rsidRDefault="005A743F">
            <w:pPr>
              <w:adjustRightInd w:val="0"/>
              <w:snapToGrid w:val="0"/>
              <w:spacing w:line="300" w:lineRule="auto"/>
              <w:rPr>
                <w:color w:val="000000" w:themeColor="text1"/>
                <w:szCs w:val="21"/>
              </w:rPr>
            </w:pPr>
            <w:r>
              <w:rPr>
                <w:color w:val="000000" w:themeColor="text1"/>
                <w:szCs w:val="21"/>
              </w:rPr>
              <w:t>MgO</w:t>
            </w:r>
          </w:p>
        </w:tc>
        <w:tc>
          <w:tcPr>
            <w:tcW w:w="563" w:type="pct"/>
            <w:tcBorders>
              <w:top w:val="single" w:sz="12" w:space="0" w:color="auto"/>
              <w:left w:val="nil"/>
              <w:bottom w:val="single" w:sz="4" w:space="0" w:color="auto"/>
              <w:right w:val="nil"/>
            </w:tcBorders>
          </w:tcPr>
          <w:p w14:paraId="1A879869" w14:textId="77777777" w:rsidR="008F009F" w:rsidRDefault="005A743F">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489" w:type="pct"/>
            <w:tcBorders>
              <w:top w:val="single" w:sz="12" w:space="0" w:color="auto"/>
              <w:left w:val="nil"/>
              <w:bottom w:val="single" w:sz="4" w:space="0" w:color="auto"/>
              <w:right w:val="nil"/>
            </w:tcBorders>
          </w:tcPr>
          <w:p w14:paraId="5EEEB2B5" w14:textId="77777777" w:rsidR="008F009F" w:rsidRDefault="005A743F">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576" w:type="pct"/>
            <w:tcBorders>
              <w:top w:val="single" w:sz="12" w:space="0" w:color="auto"/>
              <w:left w:val="nil"/>
              <w:bottom w:val="single" w:sz="4" w:space="0" w:color="auto"/>
              <w:right w:val="nil"/>
            </w:tcBorders>
          </w:tcPr>
          <w:p w14:paraId="064ABD4C" w14:textId="77777777" w:rsidR="008F009F" w:rsidRDefault="005A743F">
            <w:pPr>
              <w:adjustRightInd w:val="0"/>
              <w:snapToGrid w:val="0"/>
              <w:spacing w:line="300" w:lineRule="auto"/>
              <w:rPr>
                <w:color w:val="000000" w:themeColor="text1"/>
                <w:szCs w:val="21"/>
              </w:rPr>
            </w:pPr>
            <w:proofErr w:type="spellStart"/>
            <w:r>
              <w:rPr>
                <w:color w:val="000000" w:themeColor="text1"/>
                <w:szCs w:val="21"/>
              </w:rPr>
              <w:t>CaO</w:t>
            </w:r>
            <w:proofErr w:type="spellEnd"/>
          </w:p>
        </w:tc>
        <w:tc>
          <w:tcPr>
            <w:tcW w:w="495" w:type="pct"/>
            <w:tcBorders>
              <w:top w:val="single" w:sz="12" w:space="0" w:color="auto"/>
              <w:left w:val="nil"/>
              <w:bottom w:val="single" w:sz="4" w:space="0" w:color="auto"/>
              <w:right w:val="nil"/>
            </w:tcBorders>
          </w:tcPr>
          <w:p w14:paraId="7C4CC387" w14:textId="77777777" w:rsidR="008F009F" w:rsidRDefault="005A743F">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585" w:type="pct"/>
            <w:tcBorders>
              <w:top w:val="single" w:sz="12" w:space="0" w:color="auto"/>
              <w:left w:val="nil"/>
              <w:bottom w:val="single" w:sz="4" w:space="0" w:color="auto"/>
              <w:right w:val="nil"/>
            </w:tcBorders>
          </w:tcPr>
          <w:p w14:paraId="27F617B8" w14:textId="77777777" w:rsidR="008F009F" w:rsidRDefault="005A743F">
            <w:pPr>
              <w:adjustRightInd w:val="0"/>
              <w:snapToGrid w:val="0"/>
              <w:spacing w:line="300" w:lineRule="auto"/>
              <w:rPr>
                <w:color w:val="000000" w:themeColor="text1"/>
                <w:szCs w:val="21"/>
              </w:rPr>
            </w:pPr>
            <w:r>
              <w:rPr>
                <w:color w:val="000000" w:themeColor="text1"/>
                <w:szCs w:val="21"/>
              </w:rPr>
              <w:t>Fe</w:t>
            </w:r>
            <w:r>
              <w:rPr>
                <w:color w:val="000000" w:themeColor="text1"/>
                <w:szCs w:val="21"/>
                <w:vertAlign w:val="subscript"/>
              </w:rPr>
              <w:t>2</w:t>
            </w:r>
            <w:r>
              <w:rPr>
                <w:color w:val="000000" w:themeColor="text1"/>
                <w:szCs w:val="21"/>
              </w:rPr>
              <w:t>O</w:t>
            </w:r>
            <w:r>
              <w:rPr>
                <w:color w:val="000000" w:themeColor="text1"/>
                <w:szCs w:val="21"/>
                <w:vertAlign w:val="subscript"/>
              </w:rPr>
              <w:t>3</w:t>
            </w:r>
          </w:p>
        </w:tc>
      </w:tr>
      <w:tr w:rsidR="008F009F" w14:paraId="08094459" w14:textId="77777777">
        <w:trPr>
          <w:trHeight w:val="341"/>
          <w:jc w:val="center"/>
        </w:trPr>
        <w:tc>
          <w:tcPr>
            <w:tcW w:w="1794" w:type="pct"/>
            <w:tcBorders>
              <w:top w:val="single" w:sz="4" w:space="0" w:color="auto"/>
              <w:left w:val="nil"/>
              <w:bottom w:val="single" w:sz="12" w:space="0" w:color="auto"/>
              <w:right w:val="nil"/>
            </w:tcBorders>
          </w:tcPr>
          <w:p w14:paraId="2B96955C" w14:textId="77777777" w:rsidR="008F009F" w:rsidRDefault="005A743F">
            <w:pPr>
              <w:rPr>
                <w:rFonts w:ascii="Times New Roman" w:eastAsia="SimSun" w:hAnsi="Times New Roman" w:cs="Times New Roman"/>
                <w:sz w:val="18"/>
                <w:szCs w:val="18"/>
              </w:rPr>
            </w:pPr>
            <w:r>
              <w:rPr>
                <w:rFonts w:hint="eastAsia"/>
                <w:color w:val="000000" w:themeColor="text1"/>
                <w:szCs w:val="21"/>
              </w:rPr>
              <w:t>Content</w:t>
            </w:r>
            <w:r>
              <w:rPr>
                <w:color w:val="000000" w:themeColor="text1"/>
                <w:szCs w:val="21"/>
              </w:rPr>
              <w:t>/%</w:t>
            </w:r>
          </w:p>
        </w:tc>
        <w:tc>
          <w:tcPr>
            <w:tcW w:w="495" w:type="pct"/>
            <w:tcBorders>
              <w:top w:val="single" w:sz="4" w:space="0" w:color="auto"/>
              <w:left w:val="nil"/>
              <w:bottom w:val="single" w:sz="12" w:space="0" w:color="auto"/>
              <w:right w:val="nil"/>
            </w:tcBorders>
          </w:tcPr>
          <w:p w14:paraId="4AECADA2" w14:textId="77777777" w:rsidR="008F009F" w:rsidRDefault="005A743F">
            <w:pPr>
              <w:adjustRightInd w:val="0"/>
              <w:snapToGrid w:val="0"/>
              <w:spacing w:line="300" w:lineRule="auto"/>
              <w:rPr>
                <w:color w:val="000000" w:themeColor="text1"/>
                <w:szCs w:val="21"/>
              </w:rPr>
            </w:pPr>
            <w:r>
              <w:rPr>
                <w:color w:val="000000" w:themeColor="text1"/>
                <w:szCs w:val="21"/>
              </w:rPr>
              <w:t>2.027</w:t>
            </w:r>
          </w:p>
        </w:tc>
        <w:tc>
          <w:tcPr>
            <w:tcW w:w="563" w:type="pct"/>
            <w:tcBorders>
              <w:top w:val="single" w:sz="4" w:space="0" w:color="auto"/>
              <w:left w:val="nil"/>
              <w:bottom w:val="single" w:sz="12" w:space="0" w:color="auto"/>
              <w:right w:val="nil"/>
            </w:tcBorders>
          </w:tcPr>
          <w:p w14:paraId="74CDF711" w14:textId="77777777" w:rsidR="008F009F" w:rsidRDefault="005A743F">
            <w:pPr>
              <w:adjustRightInd w:val="0"/>
              <w:snapToGrid w:val="0"/>
              <w:spacing w:line="300" w:lineRule="auto"/>
              <w:rPr>
                <w:color w:val="000000" w:themeColor="text1"/>
                <w:szCs w:val="21"/>
              </w:rPr>
            </w:pPr>
            <w:r>
              <w:rPr>
                <w:color w:val="000000" w:themeColor="text1"/>
                <w:szCs w:val="21"/>
              </w:rPr>
              <w:t>0.62</w:t>
            </w:r>
          </w:p>
        </w:tc>
        <w:tc>
          <w:tcPr>
            <w:tcW w:w="489" w:type="pct"/>
            <w:tcBorders>
              <w:top w:val="single" w:sz="4" w:space="0" w:color="auto"/>
              <w:left w:val="nil"/>
              <w:bottom w:val="single" w:sz="12" w:space="0" w:color="auto"/>
              <w:right w:val="nil"/>
            </w:tcBorders>
          </w:tcPr>
          <w:p w14:paraId="1C8C3180" w14:textId="77777777" w:rsidR="008F009F" w:rsidRDefault="005A743F">
            <w:pPr>
              <w:adjustRightInd w:val="0"/>
              <w:snapToGrid w:val="0"/>
              <w:spacing w:line="300" w:lineRule="auto"/>
              <w:rPr>
                <w:color w:val="000000" w:themeColor="text1"/>
                <w:szCs w:val="21"/>
              </w:rPr>
            </w:pPr>
            <w:r>
              <w:rPr>
                <w:color w:val="000000" w:themeColor="text1"/>
                <w:szCs w:val="21"/>
              </w:rPr>
              <w:t>0.811</w:t>
            </w:r>
          </w:p>
        </w:tc>
        <w:tc>
          <w:tcPr>
            <w:tcW w:w="576" w:type="pct"/>
            <w:tcBorders>
              <w:top w:val="single" w:sz="4" w:space="0" w:color="auto"/>
              <w:left w:val="nil"/>
              <w:bottom w:val="single" w:sz="12" w:space="0" w:color="auto"/>
              <w:right w:val="nil"/>
            </w:tcBorders>
          </w:tcPr>
          <w:p w14:paraId="4953CBBF" w14:textId="77777777" w:rsidR="008F009F" w:rsidRDefault="005A743F">
            <w:pPr>
              <w:adjustRightInd w:val="0"/>
              <w:snapToGrid w:val="0"/>
              <w:spacing w:line="300" w:lineRule="auto"/>
              <w:rPr>
                <w:color w:val="000000" w:themeColor="text1"/>
                <w:szCs w:val="21"/>
              </w:rPr>
            </w:pPr>
            <w:r>
              <w:rPr>
                <w:color w:val="000000" w:themeColor="text1"/>
                <w:szCs w:val="21"/>
              </w:rPr>
              <w:t>95.667</w:t>
            </w:r>
          </w:p>
        </w:tc>
        <w:tc>
          <w:tcPr>
            <w:tcW w:w="495" w:type="pct"/>
            <w:tcBorders>
              <w:top w:val="single" w:sz="4" w:space="0" w:color="auto"/>
              <w:left w:val="nil"/>
              <w:bottom w:val="single" w:sz="12" w:space="0" w:color="auto"/>
              <w:right w:val="nil"/>
            </w:tcBorders>
          </w:tcPr>
          <w:p w14:paraId="2EBC4CD5" w14:textId="77777777" w:rsidR="008F009F" w:rsidRDefault="005A743F">
            <w:pPr>
              <w:adjustRightInd w:val="0"/>
              <w:snapToGrid w:val="0"/>
              <w:spacing w:line="300" w:lineRule="auto"/>
              <w:rPr>
                <w:color w:val="000000" w:themeColor="text1"/>
                <w:szCs w:val="21"/>
              </w:rPr>
            </w:pPr>
            <w:r>
              <w:rPr>
                <w:color w:val="000000" w:themeColor="text1"/>
                <w:szCs w:val="21"/>
              </w:rPr>
              <w:t>0.344</w:t>
            </w:r>
          </w:p>
        </w:tc>
        <w:tc>
          <w:tcPr>
            <w:tcW w:w="585" w:type="pct"/>
            <w:tcBorders>
              <w:top w:val="single" w:sz="4" w:space="0" w:color="auto"/>
              <w:left w:val="nil"/>
              <w:bottom w:val="single" w:sz="12" w:space="0" w:color="auto"/>
              <w:right w:val="nil"/>
            </w:tcBorders>
          </w:tcPr>
          <w:p w14:paraId="08DC572E" w14:textId="77777777" w:rsidR="008F009F" w:rsidRDefault="005A743F">
            <w:pPr>
              <w:adjustRightInd w:val="0"/>
              <w:snapToGrid w:val="0"/>
              <w:spacing w:line="300" w:lineRule="auto"/>
              <w:rPr>
                <w:color w:val="000000" w:themeColor="text1"/>
                <w:szCs w:val="21"/>
              </w:rPr>
            </w:pPr>
            <w:r>
              <w:rPr>
                <w:color w:val="000000" w:themeColor="text1"/>
                <w:szCs w:val="21"/>
              </w:rPr>
              <w:t>0.385</w:t>
            </w:r>
          </w:p>
        </w:tc>
      </w:tr>
    </w:tbl>
    <w:p w14:paraId="668FCC7E" w14:textId="77777777" w:rsidR="008F009F" w:rsidRDefault="005A743F">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Table.</w:t>
      </w:r>
      <w:r>
        <w:rPr>
          <w:rFonts w:ascii="Times New Roman" w:hAnsi="Times New Roman" w:cs="Times New Roman" w:hint="eastAsia"/>
          <w:color w:val="000000" w:themeColor="text1"/>
          <w:szCs w:val="21"/>
        </w:rPr>
        <w:t xml:space="preserve">5 </w:t>
      </w:r>
      <w:r>
        <w:rPr>
          <w:rFonts w:ascii="Times New Roman" w:hAnsi="Times New Roman" w:cs="Times New Roman"/>
          <w:color w:val="000000" w:themeColor="text1"/>
          <w:szCs w:val="21"/>
        </w:rPr>
        <w:t xml:space="preserve">Ash analysis of </w:t>
      </w:r>
      <w:r>
        <w:rPr>
          <w:rFonts w:ascii="Times New Roman" w:hAnsi="Times New Roman" w:cs="Times New Roman"/>
          <w:color w:val="000000" w:themeColor="text1"/>
          <w:szCs w:val="21"/>
        </w:rPr>
        <w:t>calcium carbide slag samples</w:t>
      </w:r>
    </w:p>
    <w:p w14:paraId="35A4E686" w14:textId="77777777" w:rsidR="008F009F" w:rsidRDefault="005A743F">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Desulfurization gypsum</w:t>
      </w:r>
    </w:p>
    <w:p w14:paraId="122C79F9"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desulfurization gypsum used in the test was analyzed by XRF. As shown in Table </w:t>
      </w:r>
      <w:r>
        <w:rPr>
          <w:rFonts w:ascii="Times New Roman" w:hAnsi="Times New Roman" w:cs="Times New Roman" w:hint="eastAsia"/>
          <w:color w:val="000000" w:themeColor="text1"/>
          <w:szCs w:val="21"/>
        </w:rPr>
        <w:t>6</w:t>
      </w:r>
      <w:r>
        <w:rPr>
          <w:rFonts w:ascii="Times New Roman" w:hAnsi="Times New Roman" w:cs="Times New Roman"/>
          <w:color w:val="000000" w:themeColor="text1"/>
          <w:szCs w:val="21"/>
        </w:rPr>
        <w:t xml:space="preserve">, its main components include SO₃,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etc., with a total mass fraction exceeding 85%.</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249"/>
        <w:gridCol w:w="705"/>
        <w:gridCol w:w="705"/>
        <w:gridCol w:w="705"/>
        <w:gridCol w:w="705"/>
        <w:gridCol w:w="705"/>
        <w:gridCol w:w="816"/>
        <w:gridCol w:w="705"/>
        <w:gridCol w:w="816"/>
      </w:tblGrid>
      <w:tr w:rsidR="008F009F" w14:paraId="34C79DF6" w14:textId="77777777">
        <w:trPr>
          <w:jc w:val="center"/>
        </w:trPr>
        <w:tc>
          <w:tcPr>
            <w:tcW w:w="0" w:type="auto"/>
            <w:tcBorders>
              <w:tl2br w:val="nil"/>
              <w:tr2bl w:val="nil"/>
            </w:tcBorders>
          </w:tcPr>
          <w:p w14:paraId="4F501062" w14:textId="77777777" w:rsidR="008F009F" w:rsidRDefault="005A743F">
            <w:pPr>
              <w:rPr>
                <w:rFonts w:ascii="Times New Roman" w:eastAsia="SimSun" w:hAnsi="Times New Roman" w:cs="Times New Roman"/>
                <w:color w:val="000000"/>
                <w:szCs w:val="21"/>
              </w:rPr>
            </w:pPr>
            <w:r>
              <w:rPr>
                <w:rFonts w:hint="eastAsia"/>
                <w:color w:val="000000" w:themeColor="text1"/>
                <w:szCs w:val="21"/>
              </w:rPr>
              <w:t>Chemical Composition</w:t>
            </w:r>
          </w:p>
        </w:tc>
        <w:tc>
          <w:tcPr>
            <w:tcW w:w="0" w:type="auto"/>
            <w:tcBorders>
              <w:tl2br w:val="nil"/>
              <w:tr2bl w:val="nil"/>
            </w:tcBorders>
          </w:tcPr>
          <w:p w14:paraId="4D917204" w14:textId="77777777" w:rsidR="008F009F" w:rsidRDefault="005A743F">
            <w:pPr>
              <w:adjustRightInd w:val="0"/>
              <w:snapToGrid w:val="0"/>
              <w:spacing w:line="300" w:lineRule="auto"/>
              <w:rPr>
                <w:color w:val="000000" w:themeColor="text1"/>
                <w:szCs w:val="21"/>
              </w:rPr>
            </w:pPr>
            <w:r>
              <w:rPr>
                <w:color w:val="000000" w:themeColor="text1"/>
                <w:szCs w:val="21"/>
              </w:rPr>
              <w:t>F</w:t>
            </w:r>
          </w:p>
        </w:tc>
        <w:tc>
          <w:tcPr>
            <w:tcW w:w="0" w:type="auto"/>
            <w:tcBorders>
              <w:tl2br w:val="nil"/>
              <w:tr2bl w:val="nil"/>
            </w:tcBorders>
          </w:tcPr>
          <w:p w14:paraId="5FCFEB4D" w14:textId="77777777" w:rsidR="008F009F" w:rsidRDefault="005A743F">
            <w:pPr>
              <w:adjustRightInd w:val="0"/>
              <w:snapToGrid w:val="0"/>
              <w:spacing w:line="300" w:lineRule="auto"/>
              <w:rPr>
                <w:color w:val="000000" w:themeColor="text1"/>
                <w:szCs w:val="21"/>
              </w:rPr>
            </w:pPr>
            <w:r>
              <w:rPr>
                <w:color w:val="000000" w:themeColor="text1"/>
                <w:szCs w:val="21"/>
              </w:rPr>
              <w:t>Na</w:t>
            </w:r>
            <w:r>
              <w:rPr>
                <w:color w:val="000000" w:themeColor="text1"/>
                <w:szCs w:val="21"/>
                <w:vertAlign w:val="subscript"/>
              </w:rPr>
              <w:t>2</w:t>
            </w:r>
            <w:r>
              <w:rPr>
                <w:color w:val="000000" w:themeColor="text1"/>
                <w:szCs w:val="21"/>
              </w:rPr>
              <w:t>O</w:t>
            </w:r>
          </w:p>
        </w:tc>
        <w:tc>
          <w:tcPr>
            <w:tcW w:w="0" w:type="auto"/>
            <w:tcBorders>
              <w:tl2br w:val="nil"/>
              <w:tr2bl w:val="nil"/>
            </w:tcBorders>
          </w:tcPr>
          <w:p w14:paraId="4682DFBC" w14:textId="77777777" w:rsidR="008F009F" w:rsidRDefault="005A743F">
            <w:pPr>
              <w:adjustRightInd w:val="0"/>
              <w:snapToGrid w:val="0"/>
              <w:spacing w:line="300" w:lineRule="auto"/>
              <w:rPr>
                <w:color w:val="000000" w:themeColor="text1"/>
                <w:szCs w:val="21"/>
              </w:rPr>
            </w:pPr>
            <w:r>
              <w:rPr>
                <w:color w:val="000000" w:themeColor="text1"/>
                <w:szCs w:val="21"/>
              </w:rPr>
              <w:t>MgO</w:t>
            </w:r>
          </w:p>
        </w:tc>
        <w:tc>
          <w:tcPr>
            <w:tcW w:w="0" w:type="auto"/>
            <w:tcBorders>
              <w:tl2br w:val="nil"/>
              <w:tr2bl w:val="nil"/>
            </w:tcBorders>
          </w:tcPr>
          <w:p w14:paraId="25CE0551" w14:textId="77777777" w:rsidR="008F009F" w:rsidRDefault="005A743F">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0" w:type="auto"/>
            <w:tcBorders>
              <w:tl2br w:val="nil"/>
              <w:tr2bl w:val="nil"/>
            </w:tcBorders>
          </w:tcPr>
          <w:p w14:paraId="6BAEBBFB" w14:textId="77777777" w:rsidR="008F009F" w:rsidRDefault="005A743F">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0" w:type="auto"/>
            <w:tcBorders>
              <w:tl2br w:val="nil"/>
              <w:tr2bl w:val="nil"/>
            </w:tcBorders>
          </w:tcPr>
          <w:p w14:paraId="296E77EF" w14:textId="77777777" w:rsidR="008F009F" w:rsidRDefault="005A743F">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0" w:type="auto"/>
            <w:tcBorders>
              <w:tl2br w:val="nil"/>
              <w:tr2bl w:val="nil"/>
            </w:tcBorders>
          </w:tcPr>
          <w:p w14:paraId="0DFBC719" w14:textId="77777777" w:rsidR="008F009F" w:rsidRDefault="005A743F">
            <w:pPr>
              <w:adjustRightInd w:val="0"/>
              <w:snapToGrid w:val="0"/>
              <w:spacing w:line="300" w:lineRule="auto"/>
              <w:rPr>
                <w:color w:val="000000" w:themeColor="text1"/>
                <w:szCs w:val="21"/>
              </w:rPr>
            </w:pPr>
            <w:r>
              <w:rPr>
                <w:color w:val="000000" w:themeColor="text1"/>
                <w:szCs w:val="21"/>
              </w:rPr>
              <w:t>K</w:t>
            </w:r>
            <w:r>
              <w:rPr>
                <w:color w:val="000000" w:themeColor="text1"/>
                <w:szCs w:val="21"/>
                <w:vertAlign w:val="subscript"/>
              </w:rPr>
              <w:t>2</w:t>
            </w:r>
            <w:r>
              <w:rPr>
                <w:color w:val="000000" w:themeColor="text1"/>
                <w:szCs w:val="21"/>
              </w:rPr>
              <w:t>O</w:t>
            </w:r>
          </w:p>
        </w:tc>
        <w:tc>
          <w:tcPr>
            <w:tcW w:w="0" w:type="auto"/>
            <w:tcBorders>
              <w:tl2br w:val="nil"/>
              <w:tr2bl w:val="nil"/>
            </w:tcBorders>
          </w:tcPr>
          <w:p w14:paraId="0F11B133" w14:textId="77777777" w:rsidR="008F009F" w:rsidRDefault="005A743F">
            <w:pPr>
              <w:adjustRightInd w:val="0"/>
              <w:snapToGrid w:val="0"/>
              <w:spacing w:line="300" w:lineRule="auto"/>
              <w:rPr>
                <w:color w:val="000000" w:themeColor="text1"/>
                <w:szCs w:val="21"/>
              </w:rPr>
            </w:pPr>
            <w:proofErr w:type="spellStart"/>
            <w:r>
              <w:rPr>
                <w:color w:val="000000" w:themeColor="text1"/>
                <w:szCs w:val="21"/>
              </w:rPr>
              <w:t>CaO</w:t>
            </w:r>
            <w:proofErr w:type="spellEnd"/>
          </w:p>
        </w:tc>
      </w:tr>
      <w:tr w:rsidR="008F009F" w14:paraId="4EE33CAB" w14:textId="77777777">
        <w:trPr>
          <w:jc w:val="center"/>
        </w:trPr>
        <w:tc>
          <w:tcPr>
            <w:tcW w:w="0" w:type="auto"/>
            <w:tcBorders>
              <w:tl2br w:val="nil"/>
              <w:tr2bl w:val="nil"/>
            </w:tcBorders>
          </w:tcPr>
          <w:p w14:paraId="6903B531" w14:textId="77777777" w:rsidR="008F009F" w:rsidRDefault="005A743F">
            <w:pPr>
              <w:spacing w:line="300" w:lineRule="auto"/>
              <w:rPr>
                <w:rFonts w:ascii="Times New Roman" w:eastAsia="SimSun" w:hAnsi="Times New Roman" w:cs="Times New Roman"/>
                <w:color w:val="000000"/>
                <w:szCs w:val="21"/>
              </w:rPr>
            </w:pPr>
            <w:r>
              <w:rPr>
                <w:rFonts w:hint="eastAsia"/>
                <w:color w:val="000000" w:themeColor="text1"/>
                <w:szCs w:val="21"/>
              </w:rPr>
              <w:t>Content</w:t>
            </w:r>
            <w:r>
              <w:rPr>
                <w:color w:val="000000" w:themeColor="text1"/>
                <w:szCs w:val="21"/>
              </w:rPr>
              <w:t>/%</w:t>
            </w:r>
          </w:p>
        </w:tc>
        <w:tc>
          <w:tcPr>
            <w:tcW w:w="0" w:type="auto"/>
            <w:tcBorders>
              <w:tl2br w:val="nil"/>
              <w:tr2bl w:val="nil"/>
            </w:tcBorders>
          </w:tcPr>
          <w:p w14:paraId="4E4AF5F0" w14:textId="77777777" w:rsidR="008F009F" w:rsidRDefault="005A743F">
            <w:pPr>
              <w:adjustRightInd w:val="0"/>
              <w:snapToGrid w:val="0"/>
              <w:spacing w:line="300" w:lineRule="auto"/>
              <w:rPr>
                <w:color w:val="000000" w:themeColor="text1"/>
                <w:szCs w:val="21"/>
              </w:rPr>
            </w:pPr>
            <w:r>
              <w:rPr>
                <w:color w:val="000000" w:themeColor="text1"/>
                <w:szCs w:val="21"/>
              </w:rPr>
              <w:t>2.065</w:t>
            </w:r>
          </w:p>
        </w:tc>
        <w:tc>
          <w:tcPr>
            <w:tcW w:w="0" w:type="auto"/>
            <w:tcBorders>
              <w:tl2br w:val="nil"/>
              <w:tr2bl w:val="nil"/>
            </w:tcBorders>
          </w:tcPr>
          <w:p w14:paraId="2CC9C990" w14:textId="77777777" w:rsidR="008F009F" w:rsidRDefault="005A743F">
            <w:pPr>
              <w:adjustRightInd w:val="0"/>
              <w:snapToGrid w:val="0"/>
              <w:spacing w:line="300" w:lineRule="auto"/>
              <w:rPr>
                <w:color w:val="000000" w:themeColor="text1"/>
                <w:szCs w:val="21"/>
              </w:rPr>
            </w:pPr>
            <w:r>
              <w:rPr>
                <w:color w:val="000000" w:themeColor="text1"/>
                <w:szCs w:val="21"/>
              </w:rPr>
              <w:t>0.116</w:t>
            </w:r>
          </w:p>
        </w:tc>
        <w:tc>
          <w:tcPr>
            <w:tcW w:w="0" w:type="auto"/>
            <w:tcBorders>
              <w:tl2br w:val="nil"/>
              <w:tr2bl w:val="nil"/>
            </w:tcBorders>
          </w:tcPr>
          <w:p w14:paraId="544656D4" w14:textId="77777777" w:rsidR="008F009F" w:rsidRDefault="005A743F">
            <w:pPr>
              <w:adjustRightInd w:val="0"/>
              <w:snapToGrid w:val="0"/>
              <w:spacing w:line="300" w:lineRule="auto"/>
              <w:rPr>
                <w:color w:val="000000" w:themeColor="text1"/>
                <w:szCs w:val="21"/>
              </w:rPr>
            </w:pPr>
            <w:r>
              <w:rPr>
                <w:color w:val="000000" w:themeColor="text1"/>
                <w:szCs w:val="21"/>
              </w:rPr>
              <w:t>2.234</w:t>
            </w:r>
          </w:p>
        </w:tc>
        <w:tc>
          <w:tcPr>
            <w:tcW w:w="0" w:type="auto"/>
            <w:tcBorders>
              <w:tl2br w:val="nil"/>
              <w:tr2bl w:val="nil"/>
            </w:tcBorders>
          </w:tcPr>
          <w:p w14:paraId="297DE1BA" w14:textId="77777777" w:rsidR="008F009F" w:rsidRDefault="005A743F">
            <w:pPr>
              <w:adjustRightInd w:val="0"/>
              <w:snapToGrid w:val="0"/>
              <w:spacing w:line="300" w:lineRule="auto"/>
              <w:rPr>
                <w:color w:val="000000" w:themeColor="text1"/>
                <w:szCs w:val="21"/>
              </w:rPr>
            </w:pPr>
            <w:r>
              <w:rPr>
                <w:color w:val="000000" w:themeColor="text1"/>
                <w:szCs w:val="21"/>
              </w:rPr>
              <w:t>1.559</w:t>
            </w:r>
          </w:p>
        </w:tc>
        <w:tc>
          <w:tcPr>
            <w:tcW w:w="0" w:type="auto"/>
            <w:tcBorders>
              <w:tl2br w:val="nil"/>
              <w:tr2bl w:val="nil"/>
            </w:tcBorders>
          </w:tcPr>
          <w:p w14:paraId="5D4966D3" w14:textId="77777777" w:rsidR="008F009F" w:rsidRDefault="005A743F">
            <w:pPr>
              <w:adjustRightInd w:val="0"/>
              <w:snapToGrid w:val="0"/>
              <w:spacing w:line="300" w:lineRule="auto"/>
              <w:rPr>
                <w:color w:val="000000" w:themeColor="text1"/>
                <w:szCs w:val="21"/>
              </w:rPr>
            </w:pPr>
            <w:r>
              <w:rPr>
                <w:color w:val="000000" w:themeColor="text1"/>
                <w:szCs w:val="21"/>
              </w:rPr>
              <w:t>3.258</w:t>
            </w:r>
          </w:p>
        </w:tc>
        <w:tc>
          <w:tcPr>
            <w:tcW w:w="0" w:type="auto"/>
            <w:tcBorders>
              <w:tl2br w:val="nil"/>
              <w:tr2bl w:val="nil"/>
            </w:tcBorders>
          </w:tcPr>
          <w:p w14:paraId="63FA86B7" w14:textId="77777777" w:rsidR="008F009F" w:rsidRDefault="005A743F">
            <w:pPr>
              <w:adjustRightInd w:val="0"/>
              <w:snapToGrid w:val="0"/>
              <w:spacing w:line="300" w:lineRule="auto"/>
              <w:rPr>
                <w:color w:val="000000" w:themeColor="text1"/>
                <w:szCs w:val="21"/>
              </w:rPr>
            </w:pPr>
            <w:r>
              <w:rPr>
                <w:color w:val="000000" w:themeColor="text1"/>
                <w:szCs w:val="21"/>
              </w:rPr>
              <w:t>51.655</w:t>
            </w:r>
          </w:p>
        </w:tc>
        <w:tc>
          <w:tcPr>
            <w:tcW w:w="0" w:type="auto"/>
            <w:tcBorders>
              <w:tl2br w:val="nil"/>
              <w:tr2bl w:val="nil"/>
            </w:tcBorders>
          </w:tcPr>
          <w:p w14:paraId="1D0F010F" w14:textId="77777777" w:rsidR="008F009F" w:rsidRDefault="005A743F">
            <w:pPr>
              <w:adjustRightInd w:val="0"/>
              <w:snapToGrid w:val="0"/>
              <w:spacing w:line="300" w:lineRule="auto"/>
              <w:rPr>
                <w:color w:val="000000" w:themeColor="text1"/>
                <w:szCs w:val="21"/>
              </w:rPr>
            </w:pPr>
            <w:r>
              <w:rPr>
                <w:color w:val="000000" w:themeColor="text1"/>
                <w:szCs w:val="21"/>
              </w:rPr>
              <w:t>0.267</w:t>
            </w:r>
          </w:p>
        </w:tc>
        <w:tc>
          <w:tcPr>
            <w:tcW w:w="0" w:type="auto"/>
            <w:tcBorders>
              <w:tl2br w:val="nil"/>
              <w:tr2bl w:val="nil"/>
            </w:tcBorders>
          </w:tcPr>
          <w:p w14:paraId="63A86979" w14:textId="77777777" w:rsidR="008F009F" w:rsidRDefault="005A743F">
            <w:pPr>
              <w:adjustRightInd w:val="0"/>
              <w:snapToGrid w:val="0"/>
              <w:spacing w:line="300" w:lineRule="auto"/>
              <w:rPr>
                <w:color w:val="000000" w:themeColor="text1"/>
                <w:szCs w:val="21"/>
              </w:rPr>
            </w:pPr>
            <w:r>
              <w:rPr>
                <w:color w:val="000000" w:themeColor="text1"/>
                <w:szCs w:val="21"/>
              </w:rPr>
              <w:t>38.002</w:t>
            </w:r>
          </w:p>
        </w:tc>
      </w:tr>
    </w:tbl>
    <w:p w14:paraId="7E9B53AB" w14:textId="77777777" w:rsidR="008F009F" w:rsidRDefault="005A743F">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6</w:t>
      </w:r>
      <w:r>
        <w:rPr>
          <w:rFonts w:ascii="Times New Roman" w:hAnsi="Times New Roman" w:cs="Times New Roman"/>
          <w:color w:val="000000" w:themeColor="text1"/>
          <w:szCs w:val="21"/>
        </w:rPr>
        <w:t xml:space="preserve"> Chemical Composition Analysis of Desulfurized Gypsum Samples</w:t>
      </w:r>
    </w:p>
    <w:p w14:paraId="27E5C860" w14:textId="77777777" w:rsidR="008F009F" w:rsidRDefault="005A743F">
      <w:pPr>
        <w:adjustRightInd w:val="0"/>
        <w:snapToGrid w:val="0"/>
        <w:spacing w:before="0" w:beforeAutospacing="0"/>
        <w:jc w:val="both"/>
        <w:rPr>
          <w:rFonts w:ascii="Times New Roman" w:hAnsi="Times New Roman" w:cs="Times New Roman"/>
          <w:color w:val="000000" w:themeColor="text1"/>
          <w:szCs w:val="21"/>
          <w:vertAlign w:val="subscript"/>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CO</w:t>
      </w:r>
      <w:r>
        <w:rPr>
          <w:rFonts w:ascii="Times New Roman" w:hAnsi="Times New Roman" w:cs="Times New Roman" w:hint="eastAsia"/>
          <w:color w:val="000000" w:themeColor="text1"/>
          <w:szCs w:val="21"/>
          <w:vertAlign w:val="subscript"/>
        </w:rPr>
        <w:t>2</w:t>
      </w:r>
    </w:p>
    <w:p w14:paraId="3544CB17"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A canned CO₂ cylinder was adopted, with a CO₂ concentration of 99%.</w:t>
      </w:r>
    </w:p>
    <w:p w14:paraId="2B2FFE62" w14:textId="77777777" w:rsidR="008F009F" w:rsidRDefault="005A743F">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b/>
          <w:bCs/>
          <w:szCs w:val="21"/>
          <w14:ligatures w14:val="none"/>
        </w:rPr>
        <w:t xml:space="preserve"> 2.</w:t>
      </w:r>
      <w:r>
        <w:rPr>
          <w:rFonts w:ascii="Times New Roman" w:eastAsia="SimSun" w:hAnsi="Times New Roman" w:cs="Times New Roman" w:hint="eastAsia"/>
          <w:b/>
          <w:bCs/>
          <w:szCs w:val="21"/>
          <w14:ligatures w14:val="none"/>
        </w:rPr>
        <w:t>2</w:t>
      </w:r>
      <w:r>
        <w:rPr>
          <w:rFonts w:ascii="Times New Roman" w:eastAsia="SimSun" w:hAnsi="Times New Roman" w:cs="Times New Roman"/>
          <w:b/>
          <w:bCs/>
          <w:szCs w:val="21"/>
          <w14:ligatures w14:val="none"/>
        </w:rPr>
        <w:t xml:space="preserve"> </w:t>
      </w:r>
      <w:r>
        <w:rPr>
          <w:rFonts w:ascii="Times New Roman" w:eastAsia="SimSun" w:hAnsi="Times New Roman" w:cs="Times New Roman" w:hint="eastAsia"/>
          <w:b/>
          <w:bCs/>
          <w:szCs w:val="21"/>
          <w14:ligatures w14:val="none"/>
        </w:rPr>
        <w:t>P</w:t>
      </w:r>
      <w:r>
        <w:rPr>
          <w:rFonts w:ascii="Times New Roman" w:eastAsia="SimSun" w:hAnsi="Times New Roman" w:cs="Times New Roman"/>
          <w:b/>
          <w:bCs/>
          <w:szCs w:val="21"/>
          <w14:ligatures w14:val="none"/>
        </w:rPr>
        <w:t xml:space="preserve">erformance </w:t>
      </w:r>
      <w:r>
        <w:rPr>
          <w:rFonts w:ascii="Times New Roman" w:eastAsia="SimSun" w:hAnsi="Times New Roman" w:cs="Times New Roman" w:hint="eastAsia"/>
          <w:b/>
          <w:bCs/>
          <w:szCs w:val="21"/>
          <w14:ligatures w14:val="none"/>
        </w:rPr>
        <w:t>I</w:t>
      </w:r>
      <w:r>
        <w:rPr>
          <w:rFonts w:ascii="Times New Roman" w:eastAsia="SimSun" w:hAnsi="Times New Roman" w:cs="Times New Roman"/>
          <w:b/>
          <w:bCs/>
          <w:szCs w:val="21"/>
          <w14:ligatures w14:val="none"/>
        </w:rPr>
        <w:t>ndicators</w:t>
      </w:r>
    </w:p>
    <w:p w14:paraId="6B3EC4F3" w14:textId="77777777" w:rsidR="008F009F" w:rsidRDefault="005A743F">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Carbon Sequestration Rate</w:t>
      </w:r>
    </w:p>
    <w:p w14:paraId="621685D4"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The carbon sequestration effect of artificial aggregates is mainly characterized by investigating their carbon sequestration </w:t>
      </w:r>
      <w:proofErr w:type="gramStart"/>
      <w:r>
        <w:rPr>
          <w:rFonts w:ascii="Times New Roman" w:hAnsi="Times New Roman" w:cs="Times New Roman"/>
          <w:color w:val="000000" w:themeColor="text1"/>
          <w:szCs w:val="21"/>
        </w:rPr>
        <w:t>rate</w:t>
      </w:r>
      <w:r>
        <w:rPr>
          <w:rFonts w:ascii="Times New Roman" w:hAnsi="Times New Roman" w:cs="Times New Roman"/>
          <w:color w:val="000000" w:themeColor="text1"/>
          <w:szCs w:val="21"/>
          <w:vertAlign w:val="superscript"/>
        </w:rPr>
        <w:t>[</w:t>
      </w:r>
      <w:proofErr w:type="gramEnd"/>
      <w:r>
        <w:rPr>
          <w:rFonts w:ascii="Times New Roman" w:hAnsi="Times New Roman" w:cs="Times New Roman" w:hint="eastAsia"/>
          <w:color w:val="000000" w:themeColor="text1"/>
          <w:szCs w:val="21"/>
          <w:vertAlign w:val="superscript"/>
        </w:rPr>
        <w:t>18</w:t>
      </w:r>
      <w:r>
        <w:rPr>
          <w:rFonts w:ascii="Times New Roman" w:hAnsi="Times New Roman" w:cs="Times New Roman"/>
          <w:color w:val="000000" w:themeColor="text1"/>
          <w:szCs w:val="21"/>
          <w:vertAlign w:val="superscript"/>
        </w:rPr>
        <w:t>]</w:t>
      </w:r>
      <w:r>
        <w:rPr>
          <w:rFonts w:ascii="Times New Roman" w:hAnsi="Times New Roman" w:cs="Times New Roman"/>
          <w:color w:val="000000" w:themeColor="text1"/>
          <w:szCs w:val="21"/>
        </w:rPr>
        <w:t>. The carbon sequestration rate refers to the mass change rate of artificial aggreg</w:t>
      </w:r>
      <w:r>
        <w:rPr>
          <w:rFonts w:ascii="Times New Roman" w:hAnsi="Times New Roman" w:cs="Times New Roman"/>
          <w:color w:val="000000" w:themeColor="text1"/>
          <w:szCs w:val="21"/>
        </w:rPr>
        <w:t>ates after mineralization treatment. It is determined by weighing the mass of artificial aggregates before and after the reaction, and the calculation formula is given in Equation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-1).</w:t>
      </w:r>
    </w:p>
    <w:p w14:paraId="1518F10E" w14:textId="77777777" w:rsidR="008F009F" w:rsidRDefault="005A743F">
      <w:pPr>
        <w:adjustRightInd w:val="0"/>
        <w:snapToGrid w:val="0"/>
        <w:spacing w:before="0" w:beforeAutospacing="0" w:line="300" w:lineRule="auto"/>
        <w:ind w:firstLineChars="1300" w:firstLine="3120"/>
        <w:jc w:val="both"/>
        <w:rPr>
          <w:rFonts w:ascii="Times New Roman" w:hAnsi="Times New Roman" w:cs="Times New Roman"/>
          <w:color w:val="000000" w:themeColor="text1"/>
          <w:szCs w:val="21"/>
        </w:rPr>
      </w:pPr>
      <w:r>
        <w:rPr>
          <w:rFonts w:ascii="Times New Roman" w:eastAsia="KaiTi" w:hAnsi="Times New Roman" w:cs="Times New Roman"/>
          <w:color w:val="000000"/>
          <w:position w:val="-24"/>
          <w:sz w:val="24"/>
          <w:szCs w:val="24"/>
        </w:rPr>
        <w:object w:dxaOrig="1939" w:dyaOrig="620" w14:anchorId="4607A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65pt;height:30.65pt" o:ole="">
            <v:imagedata r:id="rId7" o:title=""/>
          </v:shape>
          <o:OLEObject Type="Embed" ProgID="Equation.3" ShapeID="_x0000_i1025" DrawAspect="Content" ObjectID="_1837248637" r:id="rId8"/>
        </w:object>
      </w:r>
      <w:r>
        <w:rPr>
          <w:rFonts w:ascii="Times New Roman" w:eastAsia="KaiTi" w:hAnsi="Times New Roman" w:cs="Times New Roman"/>
          <w:color w:val="000000"/>
          <w:sz w:val="24"/>
          <w:szCs w:val="24"/>
        </w:rPr>
        <w:t xml:space="preserve"> </w:t>
      </w:r>
      <w:r>
        <w:rPr>
          <w:rFonts w:ascii="Times New Roman" w:eastAsia="KaiTi" w:hAnsi="Times New Roman" w:cs="Times New Roman" w:hint="eastAsia"/>
          <w:color w:val="000000"/>
          <w:sz w:val="24"/>
          <w:szCs w:val="24"/>
        </w:rPr>
        <w:t xml:space="preserve">                                            (2-1)</w:t>
      </w:r>
    </w:p>
    <w:p w14:paraId="78E47428" w14:textId="77777777" w:rsidR="008F009F" w:rsidRDefault="005A743F">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Where:</w:t>
      </w:r>
    </w:p>
    <w:p w14:paraId="6F492D12" w14:textId="77777777" w:rsidR="008F009F" w:rsidRDefault="005A743F">
      <w:pPr>
        <w:adjustRightInd w:val="0"/>
        <w:snapToGrid w:val="0"/>
        <w:spacing w:line="300" w:lineRule="auto"/>
        <w:ind w:firstLineChars="300" w:firstLine="720"/>
        <w:jc w:val="left"/>
        <w:rPr>
          <w:rFonts w:ascii="SimSun" w:eastAsia="SimSun" w:hAnsi="SimSun" w:cs="SimSun"/>
          <w:sz w:val="24"/>
          <w:szCs w:val="24"/>
        </w:rPr>
      </w:pPr>
      <w:r>
        <w:rPr>
          <w:rFonts w:ascii="Times New Roman" w:eastAsia="SimSun" w:hAnsi="Times New Roman" w:cs="Times New Roman"/>
          <w:color w:val="231F20"/>
          <w:kern w:val="0"/>
          <w:sz w:val="24"/>
          <w:szCs w:val="24"/>
          <w:lang w:bidi="ar"/>
        </w:rPr>
        <w:object w:dxaOrig="240" w:dyaOrig="220" w14:anchorId="2FAA204B">
          <v:shape id="_x0000_i1026" type="#_x0000_t75" style="width:11.8pt;height:11.3pt" o:ole="">
            <v:imagedata r:id="rId9" o:title=""/>
          </v:shape>
          <o:OLEObject Type="Embed" ProgID="Equation.3" ShapeID="_x0000_i1026" DrawAspect="Content" ObjectID="_1837248638" r:id="rId10"/>
        </w:object>
      </w:r>
      <w:r>
        <w:rPr>
          <w:rFonts w:ascii="SimSun" w:eastAsia="SimSun" w:hAnsi="SimSun" w:cs="SimSun"/>
          <w:sz w:val="24"/>
          <w:szCs w:val="24"/>
        </w:rPr>
        <w:t xml:space="preserve">— </w:t>
      </w:r>
      <w:r>
        <w:rPr>
          <w:rFonts w:ascii="Times New Roman" w:hAnsi="Times New Roman" w:cs="Times New Roman"/>
          <w:color w:val="000000" w:themeColor="text1"/>
          <w:szCs w:val="21"/>
        </w:rPr>
        <w:t>carbon sequestration rate, %</w:t>
      </w:r>
      <w:r>
        <w:rPr>
          <w:rFonts w:ascii="SimSun" w:eastAsia="SimSun" w:hAnsi="SimSun" w:cs="SimSun"/>
          <w:sz w:val="24"/>
          <w:szCs w:val="24"/>
        </w:rPr>
        <w:t>;</w:t>
      </w:r>
    </w:p>
    <w:p w14:paraId="65530632" w14:textId="77777777" w:rsidR="008F009F" w:rsidRDefault="005A743F">
      <w:pPr>
        <w:adjustRightInd w:val="0"/>
        <w:snapToGrid w:val="0"/>
        <w:spacing w:line="300" w:lineRule="auto"/>
        <w:ind w:firstLineChars="300" w:firstLine="720"/>
        <w:jc w:val="left"/>
        <w:rPr>
          <w:rFonts w:ascii="SimSun" w:eastAsia="SimSun" w:hAnsi="SimSun" w:cs="SimSun"/>
          <w:sz w:val="24"/>
          <w:szCs w:val="24"/>
        </w:rPr>
      </w:pPr>
      <w:r>
        <w:rPr>
          <w:rFonts w:ascii="Times New Roman" w:eastAsia="SimSun" w:hAnsi="Times New Roman" w:cs="Times New Roman"/>
          <w:color w:val="231F20"/>
          <w:kern w:val="0"/>
          <w:sz w:val="24"/>
          <w:szCs w:val="24"/>
          <w:lang w:bidi="ar"/>
        </w:rPr>
        <w:object w:dxaOrig="320" w:dyaOrig="200" w14:anchorId="2CA5BA3C">
          <v:shape id="_x0000_i1027" type="#_x0000_t75" style="width:15.6pt;height:9.65pt" o:ole="">
            <v:imagedata r:id="rId11" o:title=""/>
          </v:shape>
          <o:OLEObject Type="Embed" ProgID="Equation.3" ShapeID="_x0000_i1027" DrawAspect="Content" ObjectID="_1837248639" r:id="rId12"/>
        </w:object>
      </w:r>
      <w:r>
        <w:rPr>
          <w:rFonts w:ascii="SimSun" w:eastAsia="SimSun" w:hAnsi="SimSun" w:cs="SimSun"/>
          <w:sz w:val="24"/>
          <w:szCs w:val="24"/>
        </w:rPr>
        <w:t xml:space="preserve">— </w:t>
      </w:r>
      <w:r>
        <w:rPr>
          <w:rFonts w:ascii="Times New Roman" w:hAnsi="Times New Roman" w:cs="Times New Roman"/>
          <w:color w:val="000000" w:themeColor="text1"/>
          <w:szCs w:val="21"/>
        </w:rPr>
        <w:t>mass of artificial aggregate before mineralization, g</w:t>
      </w:r>
      <w:r>
        <w:rPr>
          <w:rFonts w:ascii="SimSun" w:eastAsia="SimSun" w:hAnsi="SimSun" w:cs="SimSun"/>
          <w:sz w:val="24"/>
          <w:szCs w:val="24"/>
        </w:rPr>
        <w:t>;</w:t>
      </w:r>
    </w:p>
    <w:p w14:paraId="3D219357" w14:textId="77777777" w:rsidR="008F009F" w:rsidRDefault="005A743F">
      <w:pPr>
        <w:adjustRightInd w:val="0"/>
        <w:snapToGrid w:val="0"/>
        <w:spacing w:line="300" w:lineRule="auto"/>
        <w:ind w:firstLineChars="300" w:firstLine="720"/>
        <w:jc w:val="left"/>
        <w:rPr>
          <w:rFonts w:ascii="SimSun" w:eastAsia="SimSun" w:hAnsi="SimSun" w:cs="SimSun"/>
          <w:sz w:val="24"/>
          <w:szCs w:val="24"/>
        </w:rPr>
      </w:pPr>
      <w:r>
        <w:rPr>
          <w:rFonts w:ascii="Times New Roman" w:eastAsia="SimSun" w:hAnsi="Times New Roman" w:cs="Times New Roman"/>
          <w:color w:val="231F20"/>
          <w:kern w:val="0"/>
          <w:sz w:val="24"/>
          <w:szCs w:val="24"/>
          <w:lang w:bidi="ar"/>
        </w:rPr>
        <w:object w:dxaOrig="340" w:dyaOrig="200" w14:anchorId="6CE6533B">
          <v:shape id="_x0000_i1028" type="#_x0000_t75" style="width:17.2pt;height:9.65pt" o:ole="">
            <v:imagedata r:id="rId13" o:title=""/>
          </v:shape>
          <o:OLEObject Type="Embed" ProgID="Equation.3" ShapeID="_x0000_i1028" DrawAspect="Content" ObjectID="_1837248640" r:id="rId14"/>
        </w:object>
      </w:r>
      <w:r>
        <w:rPr>
          <w:rFonts w:ascii="SimSun" w:eastAsia="SimSun" w:hAnsi="SimSun" w:cs="SimSun"/>
          <w:sz w:val="24"/>
          <w:szCs w:val="24"/>
        </w:rPr>
        <w:t xml:space="preserve">— </w:t>
      </w:r>
      <w:r>
        <w:rPr>
          <w:rFonts w:ascii="Times New Roman" w:hAnsi="Times New Roman" w:cs="Times New Roman"/>
          <w:color w:val="000000" w:themeColor="text1"/>
          <w:szCs w:val="21"/>
        </w:rPr>
        <w:t xml:space="preserve">mass of artificial aggregate after </w:t>
      </w:r>
      <w:r>
        <w:rPr>
          <w:rFonts w:ascii="Times New Roman" w:hAnsi="Times New Roman" w:cs="Times New Roman"/>
          <w:color w:val="000000" w:themeColor="text1"/>
          <w:szCs w:val="21"/>
        </w:rPr>
        <w:t>mineralization, g</w:t>
      </w:r>
      <w:r>
        <w:rPr>
          <w:rFonts w:ascii="SimSun" w:eastAsia="SimSun" w:hAnsi="SimSun" w:cs="SimSun"/>
          <w:sz w:val="24"/>
          <w:szCs w:val="24"/>
        </w:rPr>
        <w:t>.</w:t>
      </w:r>
    </w:p>
    <w:p w14:paraId="4C1E4F04" w14:textId="77777777" w:rsidR="008F009F" w:rsidRDefault="005A743F">
      <w:pPr>
        <w:adjustRightInd w:val="0"/>
        <w:snapToGrid w:val="0"/>
        <w:spacing w:line="300" w:lineRule="auto"/>
        <w:jc w:val="left"/>
        <w:rPr>
          <w:rFonts w:ascii="Times New Roman" w:hAnsi="Times New Roman" w:cs="Times New Roman"/>
          <w:b/>
          <w:bCs/>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Single-particle compressive strength</w:t>
      </w:r>
    </w:p>
    <w:p w14:paraId="41CA2132" w14:textId="77777777" w:rsidR="008F009F" w:rsidRDefault="005A743F">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test was carried out using a universal testing machine. The prepared aggregate was placed at the center of the parallel plates of the machine. The universal testing machine was started </w:t>
      </w:r>
      <w:r>
        <w:rPr>
          <w:rFonts w:ascii="Times New Roman" w:hAnsi="Times New Roman" w:cs="Times New Roman"/>
          <w:color w:val="000000" w:themeColor="text1"/>
          <w:szCs w:val="21"/>
        </w:rPr>
        <w:lastRenderedPageBreak/>
        <w:t>to lower</w:t>
      </w:r>
      <w:r>
        <w:rPr>
          <w:rFonts w:ascii="Times New Roman" w:hAnsi="Times New Roman" w:cs="Times New Roman"/>
          <w:color w:val="000000" w:themeColor="text1"/>
          <w:szCs w:val="21"/>
        </w:rPr>
        <w:t xml:space="preserve"> the upper pressure plate slowly until it contacted the particle surface. At this point, the distance between the pressure surface and the upper pressure plate was measured. The instrument was then operated continuously, and the artificial aggregate was co</w:t>
      </w:r>
      <w:r>
        <w:rPr>
          <w:rFonts w:ascii="Times New Roman" w:hAnsi="Times New Roman" w:cs="Times New Roman"/>
          <w:color w:val="000000" w:themeColor="text1"/>
          <w:szCs w:val="21"/>
        </w:rPr>
        <w:t>mpressed until it fractured, at which point loading was stopped and the peak pressure was recorded. The calculation method for single-particle compressive strength is given in Equation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-2).</w:t>
      </w:r>
    </w:p>
    <w:p w14:paraId="026865B7" w14:textId="77777777" w:rsidR="008F009F" w:rsidRDefault="005A743F">
      <w:pPr>
        <w:adjustRightInd w:val="0"/>
        <w:snapToGrid w:val="0"/>
        <w:spacing w:before="0" w:beforeAutospacing="0" w:line="300" w:lineRule="auto"/>
        <w:ind w:firstLineChars="200" w:firstLine="480"/>
        <w:rPr>
          <w:rFonts w:ascii="Times New Roman" w:eastAsia="KaiTi" w:hAnsi="Times New Roman" w:cs="Times New Roman"/>
          <w:color w:val="000000"/>
          <w:sz w:val="24"/>
          <w:szCs w:val="24"/>
        </w:rPr>
      </w:pPr>
      <w:r>
        <w:rPr>
          <w:rFonts w:ascii="Times New Roman" w:eastAsia="KaiTi" w:hAnsi="Times New Roman" w:cs="Times New Roman" w:hint="eastAsia"/>
          <w:color w:val="000000"/>
          <w:position w:val="-24"/>
          <w:sz w:val="24"/>
          <w:szCs w:val="24"/>
        </w:rPr>
        <w:t xml:space="preserve">                                                         </w:t>
      </w:r>
      <w:r>
        <w:rPr>
          <w:rFonts w:ascii="Times New Roman" w:eastAsia="KaiTi" w:hAnsi="Times New Roman" w:cs="Times New Roman"/>
          <w:color w:val="000000"/>
          <w:position w:val="-24"/>
          <w:sz w:val="24"/>
          <w:szCs w:val="24"/>
        </w:rPr>
        <w:object w:dxaOrig="1240" w:dyaOrig="620" w14:anchorId="5B13EA8E">
          <v:shape id="_x0000_i1029" type="#_x0000_t75" style="width:62.35pt;height:30.65pt" o:ole="">
            <v:imagedata r:id="rId15" o:title=""/>
          </v:shape>
          <o:OLEObject Type="Embed" ProgID="Equation.3" ShapeID="_x0000_i1029" DrawAspect="Content" ObjectID="_1837248641" r:id="rId16"/>
        </w:object>
      </w:r>
      <w:r>
        <w:rPr>
          <w:rFonts w:ascii="Times New Roman" w:eastAsia="KaiTi" w:hAnsi="Times New Roman" w:cs="Times New Roman" w:hint="eastAsia"/>
          <w:color w:val="000000"/>
          <w:sz w:val="24"/>
          <w:szCs w:val="24"/>
        </w:rPr>
        <w:t xml:space="preserve">                                           (2-2)</w:t>
      </w:r>
    </w:p>
    <w:p w14:paraId="7A12DC31" w14:textId="77777777" w:rsidR="008F009F" w:rsidRDefault="005A743F">
      <w:pPr>
        <w:adjustRightInd w:val="0"/>
        <w:snapToGrid w:val="0"/>
        <w:spacing w:before="0" w:beforeAutospacing="0" w:line="300" w:lineRule="auto"/>
        <w:ind w:firstLineChars="200" w:firstLine="420"/>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Where:</w:t>
      </w:r>
    </w:p>
    <w:p w14:paraId="40964548" w14:textId="77777777" w:rsidR="008F009F" w:rsidRDefault="005A743F">
      <w:pPr>
        <w:adjustRightInd w:val="0"/>
        <w:snapToGrid w:val="0"/>
        <w:spacing w:before="0" w:beforeAutospacing="0" w:line="300" w:lineRule="auto"/>
        <w:ind w:firstLineChars="200" w:firstLine="480"/>
        <w:jc w:val="left"/>
        <w:rPr>
          <w:rFonts w:ascii="Times New Roman" w:hAnsi="Times New Roman" w:cs="Times New Roman"/>
          <w:color w:val="000000" w:themeColor="text1"/>
          <w:szCs w:val="21"/>
        </w:rPr>
      </w:pPr>
      <w:r>
        <w:rPr>
          <w:rFonts w:ascii="Times New Roman" w:eastAsia="SimSun" w:hAnsi="Times New Roman" w:cs="Times New Roman"/>
          <w:color w:val="000000"/>
          <w:sz w:val="24"/>
        </w:rPr>
        <w:object w:dxaOrig="220" w:dyaOrig="279" w14:anchorId="261A279F">
          <v:shape id="_x0000_i1030" type="#_x0000_t75" style="width:11.3pt;height:14.5pt" o:ole="">
            <v:imagedata r:id="rId17" o:title=""/>
          </v:shape>
          <o:OLEObject Type="Embed" ProgID="Equation.3" ShapeID="_x0000_i1030" DrawAspect="Content" ObjectID="_1837248642" r:id="rId18"/>
        </w:object>
      </w:r>
      <w:r>
        <w:rPr>
          <w:rFonts w:ascii="Times New Roman" w:hAnsi="Times New Roman" w:cs="Times New Roman"/>
          <w:color w:val="000000" w:themeColor="text1"/>
          <w:szCs w:val="21"/>
        </w:rPr>
        <w:t>— single-particle compressive strength of artificial aggregate, MPa;</w:t>
      </w:r>
    </w:p>
    <w:p w14:paraId="5FECA0EA" w14:textId="77777777" w:rsidR="008F009F" w:rsidRDefault="005A743F">
      <w:pPr>
        <w:adjustRightInd w:val="0"/>
        <w:snapToGrid w:val="0"/>
        <w:spacing w:before="0" w:beforeAutospacing="0" w:line="300" w:lineRule="auto"/>
        <w:ind w:firstLineChars="200" w:firstLine="480"/>
        <w:jc w:val="left"/>
        <w:rPr>
          <w:rFonts w:ascii="Times New Roman" w:hAnsi="Times New Roman" w:cs="Times New Roman"/>
          <w:color w:val="000000" w:themeColor="text1"/>
          <w:szCs w:val="21"/>
        </w:rPr>
      </w:pPr>
      <w:r>
        <w:rPr>
          <w:rFonts w:ascii="Times New Roman" w:eastAsia="SimSun" w:hAnsi="Times New Roman" w:cs="Times New Roman"/>
          <w:color w:val="000000"/>
          <w:sz w:val="24"/>
        </w:rPr>
        <w:object w:dxaOrig="300" w:dyaOrig="279" w14:anchorId="546ED707">
          <v:shape id="_x0000_i1031" type="#_x0000_t75" style="width:15.05pt;height:14.5pt" o:ole="">
            <v:imagedata r:id="rId19" o:title=""/>
          </v:shape>
          <o:OLEObject Type="Embed" ProgID="Equation.3" ShapeID="_x0000_i1031" DrawAspect="Content" ObjectID="_1837248643" r:id="rId20"/>
        </w:object>
      </w:r>
      <w:r>
        <w:rPr>
          <w:rFonts w:ascii="Times New Roman" w:hAnsi="Times New Roman" w:cs="Times New Roman"/>
          <w:color w:val="000000" w:themeColor="text1"/>
          <w:szCs w:val="21"/>
        </w:rPr>
        <w:t>— peak pressure at failure of artificial aggregate, N;</w:t>
      </w:r>
    </w:p>
    <w:p w14:paraId="13E60EF9" w14:textId="77777777" w:rsidR="008F009F" w:rsidRDefault="005A743F">
      <w:pPr>
        <w:adjustRightInd w:val="0"/>
        <w:snapToGrid w:val="0"/>
        <w:spacing w:before="0" w:beforeAutospacing="0" w:line="300" w:lineRule="auto"/>
        <w:ind w:firstLineChars="200" w:firstLine="480"/>
        <w:jc w:val="left"/>
        <w:rPr>
          <w:rFonts w:ascii="Times New Roman" w:eastAsia="KaiTi" w:hAnsi="Times New Roman" w:cs="Times New Roman"/>
          <w:color w:val="000000"/>
          <w:sz w:val="24"/>
          <w:szCs w:val="24"/>
        </w:rPr>
      </w:pPr>
      <w:r>
        <w:rPr>
          <w:rFonts w:ascii="Times New Roman" w:eastAsia="SimSun" w:hAnsi="Times New Roman" w:cs="Times New Roman"/>
          <w:color w:val="000000"/>
          <w:sz w:val="24"/>
        </w:rPr>
        <w:object w:dxaOrig="279" w:dyaOrig="260" w14:anchorId="3B3C0055">
          <v:shape id="_x0000_i1032" type="#_x0000_t75" style="width:14.5pt;height:12.9pt" o:ole="">
            <v:imagedata r:id="rId21" o:title=""/>
          </v:shape>
          <o:OLEObject Type="Embed" ProgID="Equation.3" ShapeID="_x0000_i1032" DrawAspect="Content" ObjectID="_1837248644" r:id="rId22"/>
        </w:object>
      </w:r>
      <w:r>
        <w:rPr>
          <w:rFonts w:ascii="Times New Roman" w:hAnsi="Times New Roman" w:cs="Times New Roman"/>
          <w:color w:val="000000" w:themeColor="text1"/>
          <w:szCs w:val="21"/>
        </w:rPr>
        <w:t>— distance between the upper and lower pressure plates at the onset of loading, cm.</w:t>
      </w:r>
    </w:p>
    <w:p w14:paraId="7BD91163" w14:textId="77777777" w:rsidR="008F009F" w:rsidRDefault="005A743F">
      <w:pPr>
        <w:widowControl w:val="0"/>
        <w:numPr>
          <w:ilvl w:val="0"/>
          <w:numId w:val="1"/>
        </w:numPr>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 xml:space="preserve"> </w:t>
      </w:r>
      <w:r>
        <w:rPr>
          <w:rFonts w:ascii="Times New Roman" w:eastAsia="SimSun" w:hAnsi="Times New Roman" w:cs="Times New Roman"/>
          <w:b/>
          <w:bCs/>
          <w:sz w:val="28"/>
          <w:szCs w:val="28"/>
          <w14:ligatures w14:val="none"/>
        </w:rPr>
        <w:t>CO₂</w:t>
      </w:r>
      <w:r>
        <w:rPr>
          <w:rFonts w:ascii="Times New Roman" w:eastAsia="SimSun" w:hAnsi="Times New Roman" w:cs="Times New Roman" w:hint="eastAsia"/>
          <w:b/>
          <w:bCs/>
          <w:sz w:val="28"/>
          <w:szCs w:val="28"/>
          <w14:ligatures w14:val="none"/>
        </w:rPr>
        <w:t xml:space="preserve"> Mineralization Reaction Apparatus</w:t>
      </w:r>
    </w:p>
    <w:p w14:paraId="517D063D"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Figure 1 shows the carbon dioxide mineralization device used in this study, which consists of five </w:t>
      </w:r>
      <w:proofErr w:type="spellStart"/>
      <w:r>
        <w:rPr>
          <w:rFonts w:ascii="Times New Roman" w:eastAsia="SimSun" w:hAnsi="Times New Roman" w:cs="Times New Roman" w:hint="eastAsia"/>
          <w:szCs w:val="21"/>
          <w14:ligatures w14:val="none"/>
        </w:rPr>
        <w:t>components:a</w:t>
      </w:r>
      <w:proofErr w:type="spellEnd"/>
      <w:r>
        <w:rPr>
          <w:rFonts w:ascii="Times New Roman" w:eastAsia="SimSun" w:hAnsi="Times New Roman" w:cs="Times New Roman" w:hint="eastAsia"/>
          <w:szCs w:val="21"/>
          <w14:ligatures w14:val="none"/>
        </w:rPr>
        <w:t xml:space="preserve"> gas mixing chamber connected to the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cylinder for mixing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and air, equipped with a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concentration detector to realize adjustable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co</w:t>
      </w:r>
      <w:r>
        <w:rPr>
          <w:rFonts w:ascii="Times New Roman" w:eastAsia="SimSun" w:hAnsi="Times New Roman" w:cs="Times New Roman" w:hint="eastAsia"/>
          <w:szCs w:val="21"/>
          <w14:ligatures w14:val="none"/>
        </w:rPr>
        <w:t>ncentration;a</w:t>
      </w:r>
      <w:proofErr w:type="spellEnd"/>
      <w:r>
        <w:rPr>
          <w:rFonts w:ascii="Times New Roman" w:eastAsia="SimSun" w:hAnsi="Times New Roman" w:cs="Times New Roman" w:hint="eastAsia"/>
          <w:szCs w:val="21"/>
          <w14:ligatures w14:val="none"/>
        </w:rPr>
        <w:t xml:space="preserve"> central carbon dioxide program control unit for setting experimental schemes and controlling the instrument to operate </w:t>
      </w:r>
      <w:proofErr w:type="spellStart"/>
      <w:r>
        <w:rPr>
          <w:rFonts w:ascii="Times New Roman" w:eastAsia="SimSun" w:hAnsi="Times New Roman" w:cs="Times New Roman" w:hint="eastAsia"/>
          <w:szCs w:val="21"/>
          <w14:ligatures w14:val="none"/>
        </w:rPr>
        <w:t>automatically;a</w:t>
      </w:r>
      <w:proofErr w:type="spellEnd"/>
      <w:r>
        <w:rPr>
          <w:rFonts w:ascii="Times New Roman" w:eastAsia="SimSun" w:hAnsi="Times New Roman" w:cs="Times New Roman" w:hint="eastAsia"/>
          <w:szCs w:val="21"/>
          <w14:ligatures w14:val="none"/>
        </w:rPr>
        <w:t xml:space="preserve"> rotary vane vacuum pump for evacuating the reactor to eliminate the influence of residual gas on the experi</w:t>
      </w:r>
      <w:r>
        <w:rPr>
          <w:rFonts w:ascii="Times New Roman" w:eastAsia="SimSun" w:hAnsi="Times New Roman" w:cs="Times New Roman" w:hint="eastAsia"/>
          <w:szCs w:val="21"/>
          <w14:ligatures w14:val="none"/>
        </w:rPr>
        <w:t xml:space="preserve">mental </w:t>
      </w:r>
      <w:proofErr w:type="spellStart"/>
      <w:r>
        <w:rPr>
          <w:rFonts w:ascii="Times New Roman" w:eastAsia="SimSun" w:hAnsi="Times New Roman" w:cs="Times New Roman" w:hint="eastAsia"/>
          <w:szCs w:val="21"/>
          <w14:ligatures w14:val="none"/>
        </w:rPr>
        <w:t>concentration;a</w:t>
      </w:r>
      <w:proofErr w:type="spellEnd"/>
      <w:r>
        <w:rPr>
          <w:rFonts w:ascii="Times New Roman" w:eastAsia="SimSun" w:hAnsi="Times New Roman" w:cs="Times New Roman" w:hint="eastAsia"/>
          <w:szCs w:val="21"/>
          <w14:ligatures w14:val="none"/>
        </w:rPr>
        <w:t xml:space="preserve"> high-pressure reactor serving as the reaction site for artificial aggregate carbonation, with a maximum working pressure of 0.8 </w:t>
      </w:r>
      <w:proofErr w:type="spellStart"/>
      <w:r>
        <w:rPr>
          <w:rFonts w:ascii="Times New Roman" w:eastAsia="SimSun" w:hAnsi="Times New Roman" w:cs="Times New Roman" w:hint="eastAsia"/>
          <w:szCs w:val="21"/>
          <w14:ligatures w14:val="none"/>
        </w:rPr>
        <w:t>MPa;and</w:t>
      </w:r>
      <w:proofErr w:type="spellEnd"/>
      <w:r>
        <w:rPr>
          <w:rFonts w:ascii="Times New Roman" w:eastAsia="SimSun" w:hAnsi="Times New Roman" w:cs="Times New Roman" w:hint="eastAsia"/>
          <w:szCs w:val="21"/>
          <w14:ligatures w14:val="none"/>
        </w:rPr>
        <w:t xml:space="preserve"> an air compressor for pressurizing the mixed gas into the high-pressure reactor to conduct the ex</w:t>
      </w:r>
      <w:r>
        <w:rPr>
          <w:rFonts w:ascii="Times New Roman" w:eastAsia="SimSun" w:hAnsi="Times New Roman" w:cs="Times New Roman" w:hint="eastAsia"/>
          <w:szCs w:val="21"/>
          <w14:ligatures w14:val="none"/>
        </w:rPr>
        <w:t>periment.</w:t>
      </w:r>
    </w:p>
    <w:p w14:paraId="446534FE" w14:textId="77777777" w:rsidR="008F009F" w:rsidRDefault="005A743F">
      <w:pPr>
        <w:widowControl w:val="0"/>
        <w:spacing w:before="0" w:beforeAutospacing="0"/>
        <w:ind w:firstLineChars="200" w:firstLine="420"/>
      </w:pPr>
      <w:r>
        <w:rPr>
          <w:noProof/>
        </w:rPr>
        <w:drawing>
          <wp:inline distT="0" distB="0" distL="114300" distR="114300" wp14:anchorId="07E5A016" wp14:editId="0F3B325A">
            <wp:extent cx="3900170" cy="2456815"/>
            <wp:effectExtent l="0" t="0" r="1270" b="12065"/>
            <wp:docPr id="4" name="图片 21" descr="fed76829b477dd2408bc1ebe3fd13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fed76829b477dd2408bc1ebe3fd13a9f"/>
                    <pic:cNvPicPr>
                      <a:picLocks noChangeAspect="1"/>
                    </pic:cNvPicPr>
                  </pic:nvPicPr>
                  <pic:blipFill>
                    <a:blip r:embed="rId23"/>
                    <a:stretch>
                      <a:fillRect/>
                    </a:stretch>
                  </pic:blipFill>
                  <pic:spPr>
                    <a:xfrm>
                      <a:off x="0" y="0"/>
                      <a:ext cx="3900170" cy="2456815"/>
                    </a:xfrm>
                    <a:prstGeom prst="rect">
                      <a:avLst/>
                    </a:prstGeom>
                    <a:noFill/>
                    <a:ln>
                      <a:noFill/>
                    </a:ln>
                  </pic:spPr>
                </pic:pic>
              </a:graphicData>
            </a:graphic>
          </wp:inline>
        </w:drawing>
      </w:r>
    </w:p>
    <w:p w14:paraId="79AEBE26"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Fig. </w:t>
      </w: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 xml:space="preserve"> CO</w:t>
      </w:r>
      <w:r>
        <w:rPr>
          <w:rFonts w:ascii="Times New Roman" w:hAnsi="Times New Roman" w:cs="Times New Roman"/>
          <w:color w:val="000000" w:themeColor="text1"/>
          <w:szCs w:val="21"/>
          <w:vertAlign w:val="subscript"/>
        </w:rPr>
        <w:t>2</w:t>
      </w:r>
      <w:r>
        <w:rPr>
          <w:rFonts w:ascii="Times New Roman" w:hAnsi="Times New Roman" w:cs="Times New Roman"/>
          <w:color w:val="000000" w:themeColor="text1"/>
          <w:szCs w:val="21"/>
        </w:rPr>
        <w:t xml:space="preserve"> mineralization reactor</w:t>
      </w:r>
    </w:p>
    <w:p w14:paraId="3FC1BBC1" w14:textId="77777777" w:rsidR="008F009F" w:rsidRDefault="008F009F">
      <w:pPr>
        <w:widowControl w:val="0"/>
        <w:spacing w:before="0" w:beforeAutospacing="0"/>
        <w:ind w:firstLineChars="200" w:firstLine="420"/>
      </w:pPr>
    </w:p>
    <w:p w14:paraId="064CB003" w14:textId="77777777" w:rsidR="008F009F" w:rsidRDefault="005A74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4.Mineralization Test Design and Results</w:t>
      </w:r>
    </w:p>
    <w:p w14:paraId="47090ED9"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color w:val="0000FF"/>
          <w:szCs w:val="21"/>
          <w14:ligatures w14:val="none"/>
        </w:rPr>
        <w:t xml:space="preserve">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mineralization of artificial aggregate is a green building material technology that uses industrial solid wastes as raw materials to prepare artificial aggregates,</w:t>
      </w:r>
      <w:r>
        <w:rPr>
          <w:rFonts w:ascii="Times New Roman" w:eastAsia="SimSun" w:hAnsi="Times New Roman" w:cs="Times New Roman" w:hint="eastAsia"/>
          <w:szCs w:val="21"/>
          <w14:ligatures w14:val="none"/>
        </w:rPr>
        <w:t xml:space="preserve"> and then generates stable carbonate minerals through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mineralization reaction, thereby significantly improving the physical and mechanical properties and carbon sequestration potential of aggregates. In this process, different mineralization conditions</w:t>
      </w:r>
      <w:r>
        <w:rPr>
          <w:rFonts w:ascii="Times New Roman" w:eastAsia="SimSun" w:hAnsi="Times New Roman" w:cs="Times New Roman" w:hint="eastAsia"/>
          <w:szCs w:val="21"/>
          <w14:ligatures w14:val="none"/>
        </w:rPr>
        <w:t xml:space="preserve"> directly affect the degree of mineralization reaction, </w:t>
      </w:r>
      <w:r>
        <w:rPr>
          <w:rFonts w:ascii="Times New Roman" w:eastAsia="SimSun" w:hAnsi="Times New Roman" w:cs="Times New Roman" w:hint="eastAsia"/>
          <w:szCs w:val="21"/>
          <w14:ligatures w14:val="none"/>
        </w:rPr>
        <w:lastRenderedPageBreak/>
        <w:t xml:space="preserve">product composition and microstructure evolution of aggregates, which ultimately determine key properties such as strength and carbon sequestration rate. Among them, curing humidity,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concentration</w:t>
      </w:r>
      <w:r>
        <w:rPr>
          <w:rFonts w:ascii="Times New Roman" w:eastAsia="SimSun" w:hAnsi="Times New Roman" w:cs="Times New Roman" w:hint="eastAsia"/>
          <w:szCs w:val="21"/>
          <w14:ligatures w14:val="none"/>
        </w:rPr>
        <w:t>, curing pressure and mineralization curing time are the core parameters regulating the mineralization process in this chapter.</w:t>
      </w:r>
    </w:p>
    <w:p w14:paraId="418B77AB"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The fully solid-waste artificial aggregate was prepared by cold-bonding </w:t>
      </w:r>
      <w:proofErr w:type="spellStart"/>
      <w:r>
        <w:rPr>
          <w:rFonts w:ascii="Times New Roman" w:eastAsia="SimSun" w:hAnsi="Times New Roman" w:cs="Times New Roman" w:hint="eastAsia"/>
          <w:szCs w:val="21"/>
          <w14:ligatures w14:val="none"/>
        </w:rPr>
        <w:t>pelletization</w:t>
      </w:r>
      <w:proofErr w:type="spellEnd"/>
      <w:r>
        <w:rPr>
          <w:rFonts w:ascii="Times New Roman" w:eastAsia="SimSun" w:hAnsi="Times New Roman" w:cs="Times New Roman" w:hint="eastAsia"/>
          <w:szCs w:val="21"/>
          <w14:ligatures w14:val="none"/>
        </w:rPr>
        <w:t xml:space="preserve"> with 20% fly ash, 60% granulated blast fur</w:t>
      </w:r>
      <w:r>
        <w:rPr>
          <w:rFonts w:ascii="Times New Roman" w:eastAsia="SimSun" w:hAnsi="Times New Roman" w:cs="Times New Roman" w:hint="eastAsia"/>
          <w:szCs w:val="21"/>
          <w14:ligatures w14:val="none"/>
        </w:rPr>
        <w:t xml:space="preserve">nace slag, 10% carbide slag, 10% desulfurization gypsum, and a water-binder ratio of 0.2. After preparation, it was allowed to stand for 1 day to prevent agglomeration and subjected to steam curing at 85 </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for 12 h, followed by</w:t>
      </w:r>
      <w:r>
        <w:rPr>
          <w:rFonts w:ascii="Times New Roman" w:eastAsia="SimSun" w:hAnsi="Times New Roman" w:cs="Times New Roman"/>
          <w:szCs w:val="21"/>
          <w14:ligatures w14:val="none"/>
        </w:rPr>
        <w:t xml:space="preserve"> CO₂</w:t>
      </w:r>
      <w:r>
        <w:rPr>
          <w:rFonts w:ascii="Times New Roman" w:eastAsia="SimSun" w:hAnsi="Times New Roman" w:cs="Times New Roman" w:hint="eastAsia"/>
          <w:szCs w:val="21"/>
          <w14:ligatures w14:val="none"/>
        </w:rPr>
        <w:t xml:space="preserve"> mineralization test. Aft</w:t>
      </w:r>
      <w:r>
        <w:rPr>
          <w:rFonts w:ascii="Times New Roman" w:eastAsia="SimSun" w:hAnsi="Times New Roman" w:cs="Times New Roman" w:hint="eastAsia"/>
          <w:szCs w:val="21"/>
          <w14:ligatures w14:val="none"/>
        </w:rPr>
        <w:t>er mineralization, the samples were cured in a standard curing chamber for 28 days.</w:t>
      </w:r>
    </w:p>
    <w:p w14:paraId="1E7AB6FC" w14:textId="77777777" w:rsidR="008F009F" w:rsidRDefault="008F009F">
      <w:pPr>
        <w:widowControl w:val="0"/>
        <w:spacing w:before="0" w:beforeAutospacing="0"/>
        <w:ind w:firstLineChars="200" w:firstLine="420"/>
        <w:jc w:val="both"/>
        <w:rPr>
          <w:rFonts w:ascii="Times New Roman" w:eastAsia="SimSun" w:hAnsi="Times New Roman" w:cs="Times New Roman"/>
          <w:szCs w:val="21"/>
          <w14:ligatures w14:val="none"/>
        </w:rPr>
      </w:pPr>
    </w:p>
    <w:p w14:paraId="64CAAF8C" w14:textId="77777777" w:rsidR="008F009F" w:rsidRDefault="005A74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b/>
          <w:bCs/>
          <w:szCs w:val="21"/>
          <w14:ligatures w14:val="none"/>
        </w:rPr>
        <w:t xml:space="preserve"> </w:t>
      </w:r>
      <w:r>
        <w:rPr>
          <w:rFonts w:ascii="Times New Roman" w:eastAsia="SimSun" w:hAnsi="Times New Roman" w:cs="Times New Roman" w:hint="eastAsia"/>
          <w:b/>
          <w:bCs/>
          <w:szCs w:val="21"/>
          <w14:ligatures w14:val="none"/>
        </w:rPr>
        <w:t>4</w:t>
      </w:r>
      <w:r>
        <w:rPr>
          <w:rFonts w:ascii="Times New Roman" w:eastAsia="SimSun" w:hAnsi="Times New Roman" w:cs="Times New Roman"/>
          <w:b/>
          <w:bCs/>
          <w:szCs w:val="21"/>
          <w14:ligatures w14:val="none"/>
        </w:rPr>
        <w:t>.</w:t>
      </w:r>
      <w:r>
        <w:rPr>
          <w:rFonts w:ascii="Times New Roman" w:eastAsia="SimSun" w:hAnsi="Times New Roman" w:cs="Times New Roman" w:hint="eastAsia"/>
          <w:b/>
          <w:bCs/>
          <w:szCs w:val="21"/>
          <w14:ligatures w14:val="none"/>
        </w:rPr>
        <w:t>1Curing Humidity</w:t>
      </w:r>
    </w:p>
    <w:p w14:paraId="4EBD6B12"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-mineralized fully solid-waste artificial aggregate is essentially formed by the carbonation reaction between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and active components such as </w:t>
      </w:r>
      <w:proofErr w:type="spellStart"/>
      <w:r>
        <w:rPr>
          <w:rFonts w:ascii="Times New Roman" w:eastAsia="SimSun" w:hAnsi="Times New Roman" w:cs="Times New Roman" w:hint="eastAsia"/>
          <w:szCs w:val="21"/>
          <w14:ligatures w14:val="none"/>
        </w:rPr>
        <w:t>CaO</w:t>
      </w:r>
      <w:proofErr w:type="spellEnd"/>
      <w:r>
        <w:rPr>
          <w:rFonts w:ascii="Times New Roman" w:eastAsia="SimSun" w:hAnsi="Times New Roman" w:cs="Times New Roman" w:hint="eastAsia"/>
          <w:szCs w:val="21"/>
          <w14:ligatures w14:val="none"/>
        </w:rPr>
        <w:t xml:space="preserve"> and MgO in the aggregate body, producing stable carbonate minerals. This reaction is a gas</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solid</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liquid three-phase synergistic reaction, and curing humidity acts as an important medium regulating the three-phase reaction</w:t>
      </w:r>
      <w:r>
        <w:rPr>
          <w:rFonts w:ascii="Times New Roman" w:eastAsia="SimSun" w:hAnsi="Times New Roman" w:cs="Times New Roman" w:hint="eastAsia"/>
          <w:szCs w:val="21"/>
          <w14:ligatures w14:val="none"/>
        </w:rPr>
        <w:t xml:space="preserve">. In this study, different saturated solutions were used to control humidity, and the specific solutions are listed in Table 6. Other mineralization parameters were set as follows: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concentration of 20%, pressure of 0.2 MPa, and mineralization curing ti</w:t>
      </w:r>
      <w:r>
        <w:rPr>
          <w:rFonts w:ascii="Times New Roman" w:eastAsia="SimSun" w:hAnsi="Times New Roman" w:cs="Times New Roman" w:hint="eastAsia"/>
          <w:szCs w:val="21"/>
          <w14:ligatures w14:val="none"/>
        </w:rPr>
        <w:t>me of 8 h.</w:t>
      </w:r>
    </w:p>
    <w:p w14:paraId="0DF2107A" w14:textId="77777777" w:rsidR="0093454A" w:rsidRDefault="0093454A">
      <w:pPr>
        <w:widowControl w:val="0"/>
        <w:spacing w:before="0" w:beforeAutospacing="0"/>
        <w:ind w:firstLineChars="200" w:firstLine="420"/>
        <w:jc w:val="both"/>
        <w:rPr>
          <w:rFonts w:ascii="Times New Roman" w:eastAsia="SimSun" w:hAnsi="Times New Roman" w:cs="Times New Roman"/>
          <w:szCs w:val="21"/>
          <w14:ligatures w14:val="none"/>
        </w:rPr>
      </w:pPr>
    </w:p>
    <w:p w14:paraId="25B2D81F" w14:textId="4C8256F3" w:rsidR="0093454A" w:rsidRDefault="0093454A">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Table 7.</w:t>
      </w:r>
      <w:r w:rsidR="00E50F5B">
        <w:rPr>
          <w:rFonts w:ascii="Times New Roman" w:eastAsia="SimSun" w:hAnsi="Times New Roman" w:cs="Times New Roman"/>
          <w:szCs w:val="21"/>
          <w14:ligatures w14:val="none"/>
        </w:rPr>
        <w:t xml:space="preserve"> Humidity % in </w:t>
      </w:r>
      <w:r w:rsidR="00E50F5B" w:rsidRPr="00E50F5B">
        <w:rPr>
          <w:rFonts w:ascii="Times New Roman" w:eastAsia="SimSun" w:hAnsi="Times New Roman" w:cs="Times New Roman"/>
          <w:szCs w:val="21"/>
          <w14:ligatures w14:val="none"/>
        </w:rPr>
        <w:t>saturated salt solution</w:t>
      </w:r>
      <w:r w:rsidR="00BF2BC8">
        <w:rPr>
          <w:rFonts w:ascii="Times New Roman" w:eastAsia="SimSun" w:hAnsi="Times New Roman" w:cs="Times New Roman"/>
          <w:szCs w:val="21"/>
          <w14:ligatures w14:val="none"/>
        </w:rPr>
        <w:t>s</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419"/>
        <w:gridCol w:w="1499"/>
        <w:gridCol w:w="1238"/>
        <w:gridCol w:w="1521"/>
        <w:gridCol w:w="1420"/>
        <w:gridCol w:w="1420"/>
      </w:tblGrid>
      <w:tr w:rsidR="008F009F" w14:paraId="78BB51A0" w14:textId="77777777">
        <w:trPr>
          <w:jc w:val="center"/>
        </w:trPr>
        <w:tc>
          <w:tcPr>
            <w:tcW w:w="1419" w:type="dxa"/>
            <w:tcBorders>
              <w:tl2br w:val="nil"/>
              <w:tr2bl w:val="nil"/>
            </w:tcBorders>
            <w:vAlign w:val="center"/>
          </w:tcPr>
          <w:p w14:paraId="53C169E1" w14:textId="77777777" w:rsidR="008F009F" w:rsidRDefault="005A743F">
            <w:pPr>
              <w:spacing w:line="300" w:lineRule="auto"/>
              <w:rPr>
                <w:rFonts w:ascii="Times New Roman" w:eastAsia="SimSun" w:hAnsi="Times New Roman" w:cs="Times New Roman"/>
                <w:color w:val="000000"/>
                <w:szCs w:val="21"/>
              </w:rPr>
            </w:pPr>
            <w:r>
              <w:rPr>
                <w:rFonts w:hint="eastAsia"/>
                <w:color w:val="000000" w:themeColor="text1"/>
                <w:szCs w:val="21"/>
              </w:rPr>
              <w:t>saturated salt solution</w:t>
            </w:r>
          </w:p>
        </w:tc>
        <w:tc>
          <w:tcPr>
            <w:tcW w:w="1499" w:type="dxa"/>
            <w:tcBorders>
              <w:tl2br w:val="nil"/>
              <w:tr2bl w:val="nil"/>
            </w:tcBorders>
            <w:vAlign w:val="center"/>
          </w:tcPr>
          <w:p w14:paraId="3E07BC7F" w14:textId="77777777" w:rsidR="008F009F" w:rsidRDefault="005A743F">
            <w:pPr>
              <w:spacing w:line="300" w:lineRule="auto"/>
              <w:rPr>
                <w:color w:val="000000" w:themeColor="text1"/>
                <w:szCs w:val="21"/>
              </w:rPr>
            </w:pPr>
            <w:r>
              <w:rPr>
                <w:color w:val="000000" w:themeColor="text1"/>
                <w:szCs w:val="21"/>
              </w:rPr>
              <w:t>MgCl</w:t>
            </w:r>
            <w:r>
              <w:rPr>
                <w:color w:val="000000" w:themeColor="text1"/>
                <w:szCs w:val="21"/>
                <w:vertAlign w:val="subscript"/>
              </w:rPr>
              <w:t>2</w:t>
            </w:r>
          </w:p>
        </w:tc>
        <w:tc>
          <w:tcPr>
            <w:tcW w:w="1238" w:type="dxa"/>
            <w:tcBorders>
              <w:tl2br w:val="nil"/>
              <w:tr2bl w:val="nil"/>
            </w:tcBorders>
            <w:vAlign w:val="center"/>
          </w:tcPr>
          <w:p w14:paraId="49D73338" w14:textId="77777777" w:rsidR="008F009F" w:rsidRDefault="005A743F">
            <w:pPr>
              <w:spacing w:line="300" w:lineRule="auto"/>
              <w:rPr>
                <w:color w:val="000000" w:themeColor="text1"/>
                <w:szCs w:val="21"/>
              </w:rPr>
            </w:pPr>
            <w:r>
              <w:rPr>
                <w:color w:val="000000" w:themeColor="text1"/>
                <w:szCs w:val="21"/>
              </w:rPr>
              <w:t>K</w:t>
            </w:r>
            <w:r>
              <w:rPr>
                <w:color w:val="000000" w:themeColor="text1"/>
                <w:szCs w:val="21"/>
                <w:vertAlign w:val="subscript"/>
              </w:rPr>
              <w:t>2</w:t>
            </w:r>
            <w:r>
              <w:rPr>
                <w:color w:val="000000" w:themeColor="text1"/>
                <w:szCs w:val="21"/>
              </w:rPr>
              <w:t>CO</w:t>
            </w:r>
            <w:r>
              <w:rPr>
                <w:color w:val="000000" w:themeColor="text1"/>
                <w:szCs w:val="21"/>
                <w:vertAlign w:val="subscript"/>
              </w:rPr>
              <w:t>3</w:t>
            </w:r>
          </w:p>
        </w:tc>
        <w:tc>
          <w:tcPr>
            <w:tcW w:w="1521" w:type="dxa"/>
            <w:tcBorders>
              <w:tl2br w:val="nil"/>
              <w:tr2bl w:val="nil"/>
            </w:tcBorders>
            <w:vAlign w:val="center"/>
          </w:tcPr>
          <w:p w14:paraId="5FD4D870" w14:textId="77777777" w:rsidR="008F009F" w:rsidRDefault="005A743F">
            <w:pPr>
              <w:spacing w:line="300" w:lineRule="auto"/>
              <w:rPr>
                <w:color w:val="000000" w:themeColor="text1"/>
                <w:szCs w:val="21"/>
              </w:rPr>
            </w:pPr>
            <w:proofErr w:type="spellStart"/>
            <w:r>
              <w:rPr>
                <w:color w:val="000000" w:themeColor="text1"/>
                <w:szCs w:val="21"/>
              </w:rPr>
              <w:t>NaBr</w:t>
            </w:r>
            <w:proofErr w:type="spellEnd"/>
          </w:p>
        </w:tc>
        <w:tc>
          <w:tcPr>
            <w:tcW w:w="1420" w:type="dxa"/>
            <w:tcBorders>
              <w:tl2br w:val="nil"/>
              <w:tr2bl w:val="nil"/>
            </w:tcBorders>
            <w:vAlign w:val="center"/>
          </w:tcPr>
          <w:p w14:paraId="03802C83" w14:textId="77777777" w:rsidR="008F009F" w:rsidRDefault="005A743F">
            <w:pPr>
              <w:spacing w:line="300" w:lineRule="auto"/>
              <w:rPr>
                <w:color w:val="000000" w:themeColor="text1"/>
                <w:szCs w:val="21"/>
              </w:rPr>
            </w:pPr>
            <w:r>
              <w:rPr>
                <w:color w:val="000000" w:themeColor="text1"/>
                <w:szCs w:val="21"/>
              </w:rPr>
              <w:t>NaCl</w:t>
            </w:r>
          </w:p>
        </w:tc>
        <w:tc>
          <w:tcPr>
            <w:tcW w:w="1420" w:type="dxa"/>
            <w:tcBorders>
              <w:tl2br w:val="nil"/>
              <w:tr2bl w:val="nil"/>
            </w:tcBorders>
            <w:vAlign w:val="center"/>
          </w:tcPr>
          <w:p w14:paraId="67385FAD" w14:textId="77777777" w:rsidR="008F009F" w:rsidRDefault="005A743F">
            <w:pPr>
              <w:spacing w:line="300" w:lineRule="auto"/>
              <w:rPr>
                <w:color w:val="000000" w:themeColor="text1"/>
                <w:szCs w:val="21"/>
              </w:rPr>
            </w:pPr>
            <w:proofErr w:type="spellStart"/>
            <w:r>
              <w:rPr>
                <w:color w:val="000000" w:themeColor="text1"/>
                <w:szCs w:val="21"/>
              </w:rPr>
              <w:t>KCl</w:t>
            </w:r>
            <w:proofErr w:type="spellEnd"/>
          </w:p>
        </w:tc>
      </w:tr>
      <w:tr w:rsidR="008F009F" w14:paraId="3020C32D" w14:textId="77777777">
        <w:trPr>
          <w:jc w:val="center"/>
        </w:trPr>
        <w:tc>
          <w:tcPr>
            <w:tcW w:w="1419" w:type="dxa"/>
            <w:tcBorders>
              <w:tl2br w:val="nil"/>
              <w:tr2bl w:val="nil"/>
            </w:tcBorders>
            <w:vAlign w:val="center"/>
          </w:tcPr>
          <w:p w14:paraId="453768E7" w14:textId="77777777" w:rsidR="008F009F" w:rsidRDefault="005A743F">
            <w:pPr>
              <w:spacing w:line="300" w:lineRule="auto"/>
              <w:rPr>
                <w:rFonts w:ascii="Times New Roman" w:eastAsia="SimSun" w:hAnsi="Times New Roman" w:cs="Times New Roman"/>
                <w:color w:val="000000"/>
                <w:szCs w:val="21"/>
              </w:rPr>
            </w:pPr>
            <w:r>
              <w:rPr>
                <w:rFonts w:hint="eastAsia"/>
                <w:color w:val="000000" w:themeColor="text1"/>
                <w:szCs w:val="21"/>
              </w:rPr>
              <w:t>humidity / %</w:t>
            </w:r>
          </w:p>
        </w:tc>
        <w:tc>
          <w:tcPr>
            <w:tcW w:w="1499" w:type="dxa"/>
            <w:tcBorders>
              <w:tl2br w:val="nil"/>
              <w:tr2bl w:val="nil"/>
            </w:tcBorders>
            <w:vAlign w:val="center"/>
          </w:tcPr>
          <w:p w14:paraId="79C03078" w14:textId="77777777" w:rsidR="008F009F" w:rsidRDefault="005A743F">
            <w:pPr>
              <w:spacing w:line="300" w:lineRule="auto"/>
              <w:rPr>
                <w:color w:val="000000" w:themeColor="text1"/>
                <w:szCs w:val="21"/>
              </w:rPr>
            </w:pPr>
            <w:r>
              <w:rPr>
                <w:color w:val="000000" w:themeColor="text1"/>
                <w:szCs w:val="21"/>
              </w:rPr>
              <w:t>33±2</w:t>
            </w:r>
          </w:p>
        </w:tc>
        <w:tc>
          <w:tcPr>
            <w:tcW w:w="1238" w:type="dxa"/>
            <w:tcBorders>
              <w:tl2br w:val="nil"/>
              <w:tr2bl w:val="nil"/>
            </w:tcBorders>
            <w:vAlign w:val="center"/>
          </w:tcPr>
          <w:p w14:paraId="5D106188" w14:textId="77777777" w:rsidR="008F009F" w:rsidRDefault="005A743F">
            <w:pPr>
              <w:spacing w:line="300" w:lineRule="auto"/>
              <w:rPr>
                <w:color w:val="000000" w:themeColor="text1"/>
                <w:szCs w:val="21"/>
              </w:rPr>
            </w:pPr>
            <w:r>
              <w:rPr>
                <w:color w:val="000000" w:themeColor="text1"/>
                <w:szCs w:val="21"/>
              </w:rPr>
              <w:t>44±2</w:t>
            </w:r>
          </w:p>
        </w:tc>
        <w:tc>
          <w:tcPr>
            <w:tcW w:w="1521" w:type="dxa"/>
            <w:tcBorders>
              <w:tl2br w:val="nil"/>
              <w:tr2bl w:val="nil"/>
            </w:tcBorders>
            <w:vAlign w:val="center"/>
          </w:tcPr>
          <w:p w14:paraId="587A74A6" w14:textId="77777777" w:rsidR="008F009F" w:rsidRDefault="005A743F">
            <w:pPr>
              <w:spacing w:line="300" w:lineRule="auto"/>
              <w:rPr>
                <w:color w:val="000000" w:themeColor="text1"/>
                <w:szCs w:val="21"/>
              </w:rPr>
            </w:pPr>
            <w:r>
              <w:rPr>
                <w:color w:val="000000" w:themeColor="text1"/>
                <w:szCs w:val="21"/>
              </w:rPr>
              <w:t>57±2</w:t>
            </w:r>
          </w:p>
        </w:tc>
        <w:tc>
          <w:tcPr>
            <w:tcW w:w="1420" w:type="dxa"/>
            <w:tcBorders>
              <w:tl2br w:val="nil"/>
              <w:tr2bl w:val="nil"/>
            </w:tcBorders>
            <w:vAlign w:val="center"/>
          </w:tcPr>
          <w:p w14:paraId="6CD9E0C4" w14:textId="77777777" w:rsidR="008F009F" w:rsidRDefault="005A743F">
            <w:pPr>
              <w:spacing w:line="300" w:lineRule="auto"/>
              <w:rPr>
                <w:color w:val="000000" w:themeColor="text1"/>
                <w:szCs w:val="21"/>
              </w:rPr>
            </w:pPr>
            <w:r>
              <w:rPr>
                <w:color w:val="000000" w:themeColor="text1"/>
                <w:szCs w:val="21"/>
              </w:rPr>
              <w:t>75±2</w:t>
            </w:r>
          </w:p>
        </w:tc>
        <w:tc>
          <w:tcPr>
            <w:tcW w:w="1420" w:type="dxa"/>
            <w:tcBorders>
              <w:tl2br w:val="nil"/>
              <w:tr2bl w:val="nil"/>
            </w:tcBorders>
            <w:vAlign w:val="center"/>
          </w:tcPr>
          <w:p w14:paraId="7D909E95" w14:textId="77777777" w:rsidR="008F009F" w:rsidRDefault="005A743F">
            <w:pPr>
              <w:spacing w:line="300" w:lineRule="auto"/>
              <w:rPr>
                <w:color w:val="000000" w:themeColor="text1"/>
                <w:szCs w:val="21"/>
              </w:rPr>
            </w:pPr>
            <w:r>
              <w:rPr>
                <w:color w:val="000000" w:themeColor="text1"/>
                <w:szCs w:val="21"/>
              </w:rPr>
              <w:t>86±2</w:t>
            </w:r>
          </w:p>
        </w:tc>
      </w:tr>
    </w:tbl>
    <w:p w14:paraId="73EC515D"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As shown in Figure 2, with increasing curing humidity, the carbon sequestration rate and compressive </w:t>
      </w:r>
      <w:r>
        <w:rPr>
          <w:rFonts w:ascii="Times New Roman" w:eastAsia="SimSun" w:hAnsi="Times New Roman" w:cs="Times New Roman"/>
          <w:szCs w:val="21"/>
          <w14:ligatures w14:val="none"/>
        </w:rPr>
        <w:t>strength of the fully solid-waste artificial aggregate first increase and then decrease, reaching the maximum at a curing humidity of 57%. At this point, the carbon sequestration rate of the artificial aggregate is 1.7%, and the single-particle compressive</w:t>
      </w:r>
      <w:r>
        <w:rPr>
          <w:rFonts w:ascii="Times New Roman" w:eastAsia="SimSun" w:hAnsi="Times New Roman" w:cs="Times New Roman"/>
          <w:szCs w:val="21"/>
          <w14:ligatures w14:val="none"/>
        </w:rPr>
        <w:t xml:space="preserve"> strength is 5.67 MPa. Therefore, the optimal curing humidity is determined to be 57%.</w:t>
      </w:r>
    </w:p>
    <w:p w14:paraId="4BFA4995" w14:textId="77777777" w:rsidR="008F009F" w:rsidRDefault="005A743F">
      <w:pPr>
        <w:widowControl w:val="0"/>
        <w:spacing w:before="0" w:beforeAutospacing="0"/>
      </w:pPr>
      <w:r>
        <w:rPr>
          <w:noProof/>
        </w:rPr>
        <w:drawing>
          <wp:inline distT="0" distB="0" distL="114300" distR="114300" wp14:anchorId="6D076FAC" wp14:editId="5154168A">
            <wp:extent cx="2520315" cy="2160270"/>
            <wp:effectExtent l="0" t="0" r="9525" b="3810"/>
            <wp:docPr id="5" name="图片 11"/>
            <wp:cNvGraphicFramePr/>
            <a:graphic xmlns:a="http://schemas.openxmlformats.org/drawingml/2006/main">
              <a:graphicData uri="http://schemas.openxmlformats.org/drawingml/2006/picture">
                <pic:pic xmlns:pic="http://schemas.openxmlformats.org/drawingml/2006/picture">
                  <pic:nvPicPr>
                    <pic:cNvPr id="5" name="图片 11"/>
                    <pic:cNvPicPr/>
                  </pic:nvPicPr>
                  <pic:blipFill>
                    <a:blip r:embed="rId24"/>
                    <a:stretch>
                      <a:fillRect/>
                    </a:stretch>
                  </pic:blipFill>
                  <pic:spPr>
                    <a:xfrm>
                      <a:off x="0" y="0"/>
                      <a:ext cx="2520315" cy="2160270"/>
                    </a:xfrm>
                    <a:prstGeom prst="rect">
                      <a:avLst/>
                    </a:prstGeom>
                    <a:noFill/>
                    <a:ln>
                      <a:noFill/>
                    </a:ln>
                  </pic:spPr>
                </pic:pic>
              </a:graphicData>
            </a:graphic>
          </wp:inline>
        </w:drawing>
      </w:r>
      <w:r>
        <w:rPr>
          <w:noProof/>
        </w:rPr>
        <w:drawing>
          <wp:inline distT="0" distB="0" distL="114300" distR="114300" wp14:anchorId="21F18C1E" wp14:editId="4A992886">
            <wp:extent cx="2520315" cy="2009140"/>
            <wp:effectExtent l="0" t="0" r="9525" b="254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25"/>
                    <a:stretch>
                      <a:fillRect/>
                    </a:stretch>
                  </pic:blipFill>
                  <pic:spPr>
                    <a:xfrm>
                      <a:off x="0" y="0"/>
                      <a:ext cx="2520315" cy="2009140"/>
                    </a:xfrm>
                    <a:prstGeom prst="rect">
                      <a:avLst/>
                    </a:prstGeom>
                    <a:noFill/>
                    <a:ln>
                      <a:noFill/>
                    </a:ln>
                  </pic:spPr>
                </pic:pic>
              </a:graphicData>
            </a:graphic>
          </wp:inline>
        </w:drawing>
      </w:r>
    </w:p>
    <w:p w14:paraId="5BE5A913" w14:textId="77777777" w:rsidR="008F009F" w:rsidRDefault="005A743F">
      <w:pPr>
        <w:widowControl w:val="0"/>
        <w:spacing w:before="0" w:beforeAutospacing="0"/>
        <w:ind w:firstLineChars="1100" w:firstLine="2310"/>
        <w:jc w:val="both"/>
      </w:pPr>
      <w:r>
        <w:rPr>
          <w:rFonts w:ascii="Times New Roman" w:hAnsi="Times New Roman" w:cs="Times New Roman"/>
          <w:color w:val="000000" w:themeColor="text1"/>
          <w:szCs w:val="21"/>
        </w:rPr>
        <w:t xml:space="preserve">(a) </w:t>
      </w:r>
      <w:r>
        <w:rPr>
          <w:rFonts w:ascii="Times New Roman" w:hAnsi="Times New Roman" w:cs="Times New Roman" w:hint="eastAsia"/>
          <w:color w:val="000000" w:themeColor="text1"/>
          <w:szCs w:val="21"/>
        </w:rPr>
        <w:t xml:space="preserve">                                                                   </w:t>
      </w:r>
      <w:proofErr w:type="gramStart"/>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w:t>
      </w:r>
      <w:proofErr w:type="gramEnd"/>
      <w:r>
        <w:rPr>
          <w:rFonts w:ascii="Times New Roman" w:hAnsi="Times New Roman" w:cs="Times New Roman"/>
          <w:color w:val="000000" w:themeColor="text1"/>
          <w:szCs w:val="21"/>
        </w:rPr>
        <w:t xml:space="preserve">b) </w:t>
      </w:r>
    </w:p>
    <w:p w14:paraId="149436D7"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Fig.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 xml:space="preserve"> Effect of different curing humidity on carbonation performance of artificial aggregate (a) CO₂ fixation rate</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(b) Compressive strength after carbonation</w:t>
      </w:r>
    </w:p>
    <w:p w14:paraId="15089007" w14:textId="77777777" w:rsidR="008F009F" w:rsidRDefault="008F009F">
      <w:pPr>
        <w:adjustRightInd w:val="0"/>
        <w:snapToGrid w:val="0"/>
        <w:spacing w:before="0" w:beforeAutospacing="0"/>
        <w:ind w:firstLineChars="100" w:firstLine="210"/>
        <w:rPr>
          <w:rFonts w:ascii="Times New Roman" w:hAnsi="Times New Roman" w:cs="Times New Roman"/>
          <w:color w:val="000000" w:themeColor="text1"/>
          <w:szCs w:val="21"/>
        </w:rPr>
      </w:pPr>
    </w:p>
    <w:p w14:paraId="048A1FAF" w14:textId="77777777" w:rsidR="008F009F" w:rsidRDefault="005A74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 xml:space="preserve">4.2 </w:t>
      </w:r>
      <w:r>
        <w:rPr>
          <w:rFonts w:ascii="Times New Roman" w:eastAsia="SimSun" w:hAnsi="Times New Roman" w:cs="Times New Roman"/>
          <w:b/>
          <w:bCs/>
          <w:szCs w:val="21"/>
          <w14:ligatures w14:val="none"/>
        </w:rPr>
        <w:t>CO₂</w:t>
      </w:r>
      <w:r>
        <w:rPr>
          <w:rFonts w:ascii="Times New Roman" w:eastAsia="SimSun" w:hAnsi="Times New Roman" w:cs="Times New Roman" w:hint="eastAsia"/>
          <w:b/>
          <w:bCs/>
          <w:szCs w:val="21"/>
          <w14:ligatures w14:val="none"/>
        </w:rPr>
        <w:t xml:space="preserve"> Concentration</w:t>
      </w:r>
    </w:p>
    <w:p w14:paraId="41EE2676"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lastRenderedPageBreak/>
        <w:t xml:space="preserve">CO₂ concentration is a core external condition that determines the </w:t>
      </w:r>
      <w:r>
        <w:rPr>
          <w:rFonts w:ascii="Times New Roman" w:eastAsia="SimSun" w:hAnsi="Times New Roman" w:cs="Times New Roman"/>
          <w:szCs w:val="21"/>
          <w14:ligatures w14:val="none"/>
        </w:rPr>
        <w:t>mineralization reaction rate, carbon sequestration capacity, and product development degree. Within a certain range, an increase in CO₂ concentration significantly promotes the mineralization effect. After the CO₂ concentration reaches a certain value, the</w:t>
      </w:r>
      <w:r>
        <w:rPr>
          <w:rFonts w:ascii="Times New Roman" w:eastAsia="SimSun" w:hAnsi="Times New Roman" w:cs="Times New Roman"/>
          <w:szCs w:val="21"/>
          <w14:ligatures w14:val="none"/>
        </w:rPr>
        <w:t xml:space="preserve"> mineralization effect gradually weakens, the reaction rate rises slowly, and it may even hinder strength development. In addition, an excessively high CO₂ concentration increases the experimental cost. The mineralization reactor used in this study allows </w:t>
      </w:r>
      <w:r>
        <w:rPr>
          <w:rFonts w:ascii="Times New Roman" w:eastAsia="SimSun" w:hAnsi="Times New Roman" w:cs="Times New Roman"/>
          <w:szCs w:val="21"/>
          <w14:ligatures w14:val="none"/>
        </w:rPr>
        <w:t>direct adjustment of CO₂ concentration. The CO₂ concentration was set in the range of 10%–60%, with a curing humidity of 57%, a curing pressure of 0.2 MPa, and a curing time of 8 h.</w:t>
      </w:r>
    </w:p>
    <w:p w14:paraId="684644F2"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shown in Figure 3, increasing the CO₂ concentration within an appropria</w:t>
      </w:r>
      <w:r>
        <w:rPr>
          <w:rFonts w:ascii="Times New Roman" w:eastAsia="SimSun" w:hAnsi="Times New Roman" w:cs="Times New Roman"/>
          <w:szCs w:val="21"/>
          <w14:ligatures w14:val="none"/>
        </w:rPr>
        <w:t>te range improves the carbon sequestration rate and compressive strength of artificial aggregate. The carbon sequestration rate of the fully solid-waste artificial aggregate reaches the maximum at a CO₂ concentration of 40%. Beyond 40%, the single-particle</w:t>
      </w:r>
      <w:r>
        <w:rPr>
          <w:rFonts w:ascii="Times New Roman" w:eastAsia="SimSun" w:hAnsi="Times New Roman" w:cs="Times New Roman"/>
          <w:szCs w:val="21"/>
          <w14:ligatures w14:val="none"/>
        </w:rPr>
        <w:t xml:space="preserve"> compressive strength begins to decrease. Considering both the carbon sequestration rate and single-particle compressive strength, the optimal CO₂ concentration is determined to be 40%.</w:t>
      </w:r>
    </w:p>
    <w:p w14:paraId="6ACFEE13" w14:textId="77777777" w:rsidR="008F009F" w:rsidRDefault="005A743F">
      <w:pPr>
        <w:widowControl w:val="0"/>
        <w:spacing w:before="0" w:beforeAutospacing="0"/>
      </w:pPr>
      <w:r>
        <w:rPr>
          <w:noProof/>
        </w:rPr>
        <w:drawing>
          <wp:inline distT="0" distB="0" distL="114300" distR="114300" wp14:anchorId="70B47D69" wp14:editId="573C1217">
            <wp:extent cx="2520315" cy="2160270"/>
            <wp:effectExtent l="0" t="0" r="9525" b="3810"/>
            <wp:docPr id="8" name="图片 14"/>
            <wp:cNvGraphicFramePr/>
            <a:graphic xmlns:a="http://schemas.openxmlformats.org/drawingml/2006/main">
              <a:graphicData uri="http://schemas.openxmlformats.org/drawingml/2006/picture">
                <pic:pic xmlns:pic="http://schemas.openxmlformats.org/drawingml/2006/picture">
                  <pic:nvPicPr>
                    <pic:cNvPr id="8" name="图片 14"/>
                    <pic:cNvPicPr/>
                  </pic:nvPicPr>
                  <pic:blipFill>
                    <a:blip r:embed="rId26"/>
                    <a:stretch>
                      <a:fillRect/>
                    </a:stretch>
                  </pic:blipFill>
                  <pic:spPr>
                    <a:xfrm>
                      <a:off x="0" y="0"/>
                      <a:ext cx="2520315" cy="2160270"/>
                    </a:xfrm>
                    <a:prstGeom prst="rect">
                      <a:avLst/>
                    </a:prstGeom>
                    <a:noFill/>
                    <a:ln>
                      <a:noFill/>
                    </a:ln>
                  </pic:spPr>
                </pic:pic>
              </a:graphicData>
            </a:graphic>
          </wp:inline>
        </w:drawing>
      </w:r>
      <w:r>
        <w:rPr>
          <w:noProof/>
        </w:rPr>
        <w:drawing>
          <wp:inline distT="0" distB="0" distL="114300" distR="114300" wp14:anchorId="368EDA64" wp14:editId="215D0699">
            <wp:extent cx="2520315" cy="2160270"/>
            <wp:effectExtent l="0" t="0" r="9525" b="3810"/>
            <wp:docPr id="9" name="图片 15"/>
            <wp:cNvGraphicFramePr/>
            <a:graphic xmlns:a="http://schemas.openxmlformats.org/drawingml/2006/main">
              <a:graphicData uri="http://schemas.openxmlformats.org/drawingml/2006/picture">
                <pic:pic xmlns:pic="http://schemas.openxmlformats.org/drawingml/2006/picture">
                  <pic:nvPicPr>
                    <pic:cNvPr id="9" name="图片 15"/>
                    <pic:cNvPicPr/>
                  </pic:nvPicPr>
                  <pic:blipFill>
                    <a:blip r:embed="rId27"/>
                    <a:stretch>
                      <a:fillRect/>
                    </a:stretch>
                  </pic:blipFill>
                  <pic:spPr>
                    <a:xfrm>
                      <a:off x="0" y="0"/>
                      <a:ext cx="2520315" cy="2160270"/>
                    </a:xfrm>
                    <a:prstGeom prst="rect">
                      <a:avLst/>
                    </a:prstGeom>
                    <a:noFill/>
                    <a:ln>
                      <a:noFill/>
                    </a:ln>
                  </pic:spPr>
                </pic:pic>
              </a:graphicData>
            </a:graphic>
          </wp:inline>
        </w:drawing>
      </w:r>
    </w:p>
    <w:p w14:paraId="45ED39E6" w14:textId="77777777" w:rsidR="008F009F" w:rsidRDefault="005A743F">
      <w:pPr>
        <w:widowControl w:val="0"/>
        <w:numPr>
          <w:ilvl w:val="0"/>
          <w:numId w:val="2"/>
        </w:numPr>
        <w:spacing w:before="0" w:beforeAutospacing="0"/>
        <w:ind w:firstLineChars="1000" w:firstLine="2100"/>
        <w:jc w:val="both"/>
      </w:pP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w:t>
      </w:r>
    </w:p>
    <w:p w14:paraId="38D31515"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Fig</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 xml:space="preserve"> Effect of different CO₂ concentrations on mineralization performance of artificial aggregate</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(a) CO₂ fixation rate(b) Compressive strength after carbonation</w:t>
      </w:r>
    </w:p>
    <w:p w14:paraId="14DC8905" w14:textId="77777777" w:rsidR="008F009F" w:rsidRDefault="008F009F">
      <w:pPr>
        <w:adjustRightInd w:val="0"/>
        <w:snapToGrid w:val="0"/>
        <w:spacing w:before="0" w:beforeAutospacing="0"/>
        <w:ind w:firstLineChars="100" w:firstLine="210"/>
        <w:rPr>
          <w:rFonts w:ascii="Times New Roman" w:hAnsi="Times New Roman" w:cs="Times New Roman"/>
          <w:color w:val="000000" w:themeColor="text1"/>
          <w:szCs w:val="21"/>
        </w:rPr>
      </w:pPr>
    </w:p>
    <w:p w14:paraId="6B8135BE" w14:textId="77777777" w:rsidR="008F009F" w:rsidRDefault="005A74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4.3 C</w:t>
      </w:r>
      <w:r>
        <w:rPr>
          <w:rFonts w:ascii="Times New Roman" w:eastAsia="SimSun" w:hAnsi="Times New Roman" w:cs="Times New Roman"/>
          <w:b/>
          <w:bCs/>
          <w:szCs w:val="21"/>
          <w14:ligatures w14:val="none"/>
        </w:rPr>
        <w:t xml:space="preserve">uring </w:t>
      </w:r>
      <w:r>
        <w:rPr>
          <w:rFonts w:ascii="Times New Roman" w:eastAsia="SimSun" w:hAnsi="Times New Roman" w:cs="Times New Roman" w:hint="eastAsia"/>
          <w:b/>
          <w:bCs/>
          <w:szCs w:val="21"/>
          <w14:ligatures w14:val="none"/>
        </w:rPr>
        <w:t>P</w:t>
      </w:r>
      <w:r>
        <w:rPr>
          <w:rFonts w:ascii="Times New Roman" w:eastAsia="SimSun" w:hAnsi="Times New Roman" w:cs="Times New Roman"/>
          <w:b/>
          <w:bCs/>
          <w:szCs w:val="21"/>
          <w14:ligatures w14:val="none"/>
        </w:rPr>
        <w:t>ressure</w:t>
      </w:r>
    </w:p>
    <w:p w14:paraId="56F7AB50"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Mineralization curing pressure is a key process parameter af</w:t>
      </w:r>
      <w:r>
        <w:rPr>
          <w:rFonts w:ascii="Times New Roman" w:eastAsia="SimSun" w:hAnsi="Times New Roman" w:cs="Times New Roman"/>
          <w:szCs w:val="21"/>
          <w14:ligatures w14:val="none"/>
        </w:rPr>
        <w:t xml:space="preserve">fecting the carbonation reaction efficiency and product structure of artificial aggregate. Increasing the curing pressure enhances the driving force for CO₂ gas diffusion into the internal pores of the aggregate, allowing it to penetrate internal reaction </w:t>
      </w:r>
      <w:r>
        <w:rPr>
          <w:rFonts w:ascii="Times New Roman" w:eastAsia="SimSun" w:hAnsi="Times New Roman" w:cs="Times New Roman"/>
          <w:szCs w:val="21"/>
          <w14:ligatures w14:val="none"/>
        </w:rPr>
        <w:t>sites more easily, thus significantly improving the depth and uniformity of the mineralization reaction. The curing pressure was set in the range of 0.1 MPa–0.5 MPa. Other mineralization conditions were: curing humidity 57%, CO₂ concentration 40%, and curi</w:t>
      </w:r>
      <w:r>
        <w:rPr>
          <w:rFonts w:ascii="Times New Roman" w:eastAsia="SimSun" w:hAnsi="Times New Roman" w:cs="Times New Roman"/>
          <w:szCs w:val="21"/>
          <w14:ligatures w14:val="none"/>
        </w:rPr>
        <w:t>ng time 8 h.</w:t>
      </w:r>
    </w:p>
    <w:p w14:paraId="76740E7A"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shown in Figure 4, with increasing curing pressure, the carbon sequestration rate of the fully solid-waste artificial aggregate increases rapidly, while the compressive strength first rises and then falls, reaching the maximum at 0.4 MPa. C</w:t>
      </w:r>
      <w:r>
        <w:rPr>
          <w:rFonts w:ascii="Times New Roman" w:eastAsia="SimSun" w:hAnsi="Times New Roman" w:cs="Times New Roman"/>
          <w:szCs w:val="21"/>
          <w14:ligatures w14:val="none"/>
        </w:rPr>
        <w:t>onsidering both the carbon sequestration rate and single-particle compressive strength, the optimal curing pressure is determined to be 0.4 MPa.</w:t>
      </w:r>
    </w:p>
    <w:p w14:paraId="5D5C462B" w14:textId="77777777" w:rsidR="008F009F" w:rsidRDefault="005A743F">
      <w:pPr>
        <w:widowControl w:val="0"/>
        <w:spacing w:before="0" w:beforeAutospacing="0"/>
      </w:pPr>
      <w:r>
        <w:rPr>
          <w:noProof/>
        </w:rPr>
        <w:lastRenderedPageBreak/>
        <w:drawing>
          <wp:inline distT="0" distB="0" distL="114300" distR="114300" wp14:anchorId="08D2CE03" wp14:editId="1A3605EF">
            <wp:extent cx="2520315" cy="2160270"/>
            <wp:effectExtent l="0" t="0" r="9525" b="3810"/>
            <wp:docPr id="10" name="图片 16"/>
            <wp:cNvGraphicFramePr/>
            <a:graphic xmlns:a="http://schemas.openxmlformats.org/drawingml/2006/main">
              <a:graphicData uri="http://schemas.openxmlformats.org/drawingml/2006/picture">
                <pic:pic xmlns:pic="http://schemas.openxmlformats.org/drawingml/2006/picture">
                  <pic:nvPicPr>
                    <pic:cNvPr id="10" name="图片 16"/>
                    <pic:cNvPicPr/>
                  </pic:nvPicPr>
                  <pic:blipFill>
                    <a:blip r:embed="rId28"/>
                    <a:stretch>
                      <a:fillRect/>
                    </a:stretch>
                  </pic:blipFill>
                  <pic:spPr>
                    <a:xfrm>
                      <a:off x="0" y="0"/>
                      <a:ext cx="2520315" cy="2160270"/>
                    </a:xfrm>
                    <a:prstGeom prst="rect">
                      <a:avLst/>
                    </a:prstGeom>
                    <a:noFill/>
                    <a:ln>
                      <a:noFill/>
                    </a:ln>
                  </pic:spPr>
                </pic:pic>
              </a:graphicData>
            </a:graphic>
          </wp:inline>
        </w:drawing>
      </w:r>
      <w:r>
        <w:rPr>
          <w:noProof/>
        </w:rPr>
        <w:drawing>
          <wp:inline distT="0" distB="0" distL="114300" distR="114300" wp14:anchorId="258E682F" wp14:editId="633F9C0D">
            <wp:extent cx="2606675" cy="2160270"/>
            <wp:effectExtent l="0" t="0" r="14605" b="3810"/>
            <wp:docPr id="11" name="图片 17"/>
            <wp:cNvGraphicFramePr/>
            <a:graphic xmlns:a="http://schemas.openxmlformats.org/drawingml/2006/main">
              <a:graphicData uri="http://schemas.openxmlformats.org/drawingml/2006/picture">
                <pic:pic xmlns:pic="http://schemas.openxmlformats.org/drawingml/2006/picture">
                  <pic:nvPicPr>
                    <pic:cNvPr id="11" name="图片 17"/>
                    <pic:cNvPicPr/>
                  </pic:nvPicPr>
                  <pic:blipFill>
                    <a:blip r:embed="rId29"/>
                    <a:stretch>
                      <a:fillRect/>
                    </a:stretch>
                  </pic:blipFill>
                  <pic:spPr>
                    <a:xfrm>
                      <a:off x="0" y="0"/>
                      <a:ext cx="2606675" cy="2160270"/>
                    </a:xfrm>
                    <a:prstGeom prst="rect">
                      <a:avLst/>
                    </a:prstGeom>
                    <a:noFill/>
                    <a:ln>
                      <a:noFill/>
                    </a:ln>
                  </pic:spPr>
                </pic:pic>
              </a:graphicData>
            </a:graphic>
          </wp:inline>
        </w:drawing>
      </w:r>
    </w:p>
    <w:p w14:paraId="37FCD688" w14:textId="77777777" w:rsidR="008F009F" w:rsidRDefault="005A743F">
      <w:pPr>
        <w:widowControl w:val="0"/>
        <w:numPr>
          <w:ilvl w:val="0"/>
          <w:numId w:val="3"/>
        </w:numPr>
        <w:spacing w:before="0" w:beforeAutospacing="0"/>
        <w:ind w:firstLineChars="1000" w:firstLine="2100"/>
        <w:jc w:val="both"/>
      </w:pP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 xml:space="preserve"> (b)</w:t>
      </w:r>
      <w:r>
        <w:rPr>
          <w:rFonts w:ascii="Times New Roman" w:hAnsi="Times New Roman" w:cs="Times New Roman" w:hint="eastAsia"/>
          <w:color w:val="000000" w:themeColor="text1"/>
          <w:szCs w:val="21"/>
        </w:rPr>
        <w:t xml:space="preserve"> </w:t>
      </w:r>
    </w:p>
    <w:p w14:paraId="79BF035B"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Fig</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4 Effect of different c</w:t>
      </w:r>
      <w:r>
        <w:rPr>
          <w:rFonts w:ascii="Times New Roman" w:hAnsi="Times New Roman" w:cs="Times New Roman"/>
          <w:color w:val="000000" w:themeColor="text1"/>
          <w:szCs w:val="21"/>
        </w:rPr>
        <w:t>uring pressures on the mineralization effect of artificial aggregates</w:t>
      </w:r>
    </w:p>
    <w:p w14:paraId="2FF0C61A"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(a) CO₂ fixation rate</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 Compressive strength after carbonation</w:t>
      </w:r>
    </w:p>
    <w:p w14:paraId="42EC99A7" w14:textId="77777777" w:rsidR="008F009F" w:rsidRDefault="005A74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4.4 Curing Time</w:t>
      </w:r>
    </w:p>
    <w:p w14:paraId="09CF7D14"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Mineralization curing time is a key process parameter determining the mineralization degree, </w:t>
      </w:r>
      <w:r>
        <w:rPr>
          <w:rFonts w:ascii="Times New Roman" w:eastAsia="SimSun" w:hAnsi="Times New Roman" w:cs="Times New Roman"/>
          <w:szCs w:val="21"/>
          <w14:ligatures w14:val="none"/>
        </w:rPr>
        <w:t>microstructure development and macroscopic mechanical properties of fully solid-waste artificial aggregate. The properties of the aggregate increase initially and then tend to stabilize with prolonged mineralization curing time. In this study, the curing t</w:t>
      </w:r>
      <w:r>
        <w:rPr>
          <w:rFonts w:ascii="Times New Roman" w:eastAsia="SimSun" w:hAnsi="Times New Roman" w:cs="Times New Roman"/>
          <w:szCs w:val="21"/>
          <w14:ligatures w14:val="none"/>
        </w:rPr>
        <w:t>ime was set from 6 h to 14 h. Other mineralization parameters were: curing humidity 57%, CO₂ concentration 40%, and curing pressure 0.4 MPa.</w:t>
      </w:r>
    </w:p>
    <w:p w14:paraId="77FE20D5"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shown in Figure 5, the carbon sequestration rate, compressive strength and bulk density of the artificial aggreg</w:t>
      </w:r>
      <w:r>
        <w:rPr>
          <w:rFonts w:ascii="Times New Roman" w:eastAsia="SimSun" w:hAnsi="Times New Roman" w:cs="Times New Roman"/>
          <w:szCs w:val="21"/>
          <w14:ligatures w14:val="none"/>
        </w:rPr>
        <w:t>ate increase with the extension of curing time, and tend to stabilize after 12 h. Therefore, the optimal curing time is determined to be 12 h.</w:t>
      </w:r>
    </w:p>
    <w:p w14:paraId="6B3E90E6" w14:textId="77777777" w:rsidR="008F009F" w:rsidRDefault="005A743F">
      <w:pPr>
        <w:widowControl w:val="0"/>
        <w:spacing w:before="0" w:beforeAutospacing="0"/>
        <w:rPr>
          <w:rFonts w:ascii="Times New Roman" w:eastAsia="SimSun" w:hAnsi="Times New Roman" w:cs="Times New Roman"/>
          <w:szCs w:val="21"/>
          <w14:ligatures w14:val="none"/>
        </w:rPr>
      </w:pPr>
      <w:r>
        <w:rPr>
          <w:noProof/>
        </w:rPr>
        <w:drawing>
          <wp:inline distT="0" distB="0" distL="114300" distR="114300" wp14:anchorId="1A529BC8" wp14:editId="6E2F0133">
            <wp:extent cx="2715260" cy="2160270"/>
            <wp:effectExtent l="0" t="0" r="12700" b="3810"/>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pic:cNvPicPr>
                      <a:picLocks noChangeAspect="1"/>
                    </pic:cNvPicPr>
                  </pic:nvPicPr>
                  <pic:blipFill>
                    <a:blip r:embed="rId30"/>
                    <a:stretch>
                      <a:fillRect/>
                    </a:stretch>
                  </pic:blipFill>
                  <pic:spPr>
                    <a:xfrm>
                      <a:off x="0" y="0"/>
                      <a:ext cx="2715260" cy="2160270"/>
                    </a:xfrm>
                    <a:prstGeom prst="rect">
                      <a:avLst/>
                    </a:prstGeom>
                    <a:noFill/>
                    <a:ln>
                      <a:noFill/>
                    </a:ln>
                  </pic:spPr>
                </pic:pic>
              </a:graphicData>
            </a:graphic>
          </wp:inline>
        </w:drawing>
      </w:r>
      <w:r>
        <w:rPr>
          <w:noProof/>
        </w:rPr>
        <w:drawing>
          <wp:inline distT="0" distB="0" distL="114300" distR="114300" wp14:anchorId="1C4DEE8D" wp14:editId="74C555C9">
            <wp:extent cx="2520315" cy="2160270"/>
            <wp:effectExtent l="0" t="0" r="9525" b="3810"/>
            <wp:docPr id="12" name="图片 18"/>
            <wp:cNvGraphicFramePr/>
            <a:graphic xmlns:a="http://schemas.openxmlformats.org/drawingml/2006/main">
              <a:graphicData uri="http://schemas.openxmlformats.org/drawingml/2006/picture">
                <pic:pic xmlns:pic="http://schemas.openxmlformats.org/drawingml/2006/picture">
                  <pic:nvPicPr>
                    <pic:cNvPr id="12" name="图片 18"/>
                    <pic:cNvPicPr/>
                  </pic:nvPicPr>
                  <pic:blipFill>
                    <a:blip r:embed="rId31"/>
                    <a:stretch>
                      <a:fillRect/>
                    </a:stretch>
                  </pic:blipFill>
                  <pic:spPr>
                    <a:xfrm>
                      <a:off x="0" y="0"/>
                      <a:ext cx="2520315" cy="2160270"/>
                    </a:xfrm>
                    <a:prstGeom prst="rect">
                      <a:avLst/>
                    </a:prstGeom>
                    <a:noFill/>
                    <a:ln>
                      <a:noFill/>
                    </a:ln>
                  </pic:spPr>
                </pic:pic>
              </a:graphicData>
            </a:graphic>
          </wp:inline>
        </w:drawing>
      </w:r>
    </w:p>
    <w:p w14:paraId="5A49BBC4" w14:textId="77777777" w:rsidR="008F009F" w:rsidRDefault="005A743F">
      <w:pPr>
        <w:widowControl w:val="0"/>
        <w:numPr>
          <w:ilvl w:val="0"/>
          <w:numId w:val="4"/>
        </w:numPr>
        <w:spacing w:before="0" w:beforeAutospacing="0"/>
        <w:ind w:firstLineChars="1100" w:firstLine="2310"/>
        <w:jc w:val="both"/>
        <w:rPr>
          <w:rFonts w:ascii="Times New Roman" w:eastAsia="SimSun" w:hAnsi="Times New Roman" w:cs="Times New Roman"/>
          <w:b/>
          <w:bCs/>
          <w:szCs w:val="21"/>
          <w14:ligatures w14:val="none"/>
        </w:rPr>
      </w:pP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w:t>
      </w:r>
    </w:p>
    <w:p w14:paraId="59B543EA"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Fig</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 xml:space="preserve"> Effect of different curing time on mineralization performance of artificial aggregate</w:t>
      </w:r>
    </w:p>
    <w:p w14:paraId="19FB4F90" w14:textId="77777777" w:rsidR="008F009F" w:rsidRDefault="005A743F">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(a) CO₂ fixation rate(b) Compressive strength after carbonation</w:t>
      </w:r>
    </w:p>
    <w:p w14:paraId="5927FBD6" w14:textId="77777777" w:rsidR="008F009F" w:rsidRDefault="005A74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5. Conclusion</w:t>
      </w:r>
    </w:p>
    <w:p w14:paraId="6DF5273E"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In this study, artificial aggregates were prepared using industrial solid waste as raw mate</w:t>
      </w:r>
      <w:r>
        <w:rPr>
          <w:rFonts w:ascii="Times New Roman" w:eastAsia="SimSun" w:hAnsi="Times New Roman" w:cs="Times New Roman"/>
          <w:szCs w:val="21"/>
          <w14:ligatures w14:val="none"/>
        </w:rPr>
        <w:t>rials via cold-bonding granulation technology. The influence rules of four core process parameters—curing humidity, CO₂ concentration, curing pressure, and mineralization curing time—on the CO₂ mineralization effect were systematically investigated, and th</w:t>
      </w:r>
      <w:r>
        <w:rPr>
          <w:rFonts w:ascii="Times New Roman" w:eastAsia="SimSun" w:hAnsi="Times New Roman" w:cs="Times New Roman"/>
          <w:szCs w:val="21"/>
          <w14:ligatures w14:val="none"/>
        </w:rPr>
        <w:t xml:space="preserve">e optimal mineralization process parameters were finally determined. The raw material ratio of the aggregates used in the </w:t>
      </w:r>
      <w:r>
        <w:rPr>
          <w:rFonts w:ascii="Times New Roman" w:eastAsia="SimSun" w:hAnsi="Times New Roman" w:cs="Times New Roman"/>
          <w:szCs w:val="21"/>
          <w14:ligatures w14:val="none"/>
        </w:rPr>
        <w:lastRenderedPageBreak/>
        <w:t>experiment was 20% fly ash, 60% slag, 10% carbide slag, and 10% desulfurized gypsum, with a water-cement ratio of 0.2. After preparati</w:t>
      </w:r>
      <w:r>
        <w:rPr>
          <w:rFonts w:ascii="Times New Roman" w:eastAsia="SimSun" w:hAnsi="Times New Roman" w:cs="Times New Roman"/>
          <w:szCs w:val="21"/>
          <w14:ligatures w14:val="none"/>
        </w:rPr>
        <w:t>on, the aggregates were left to stand for 1 day to prevent adhesion, followed by steam curing at 85℃ for 12 hours. Subsequently, CO₂ mineralization tests were conducted, and the samples were cured in a standard curing box until 28 days. Based on the test r</w:t>
      </w:r>
      <w:r>
        <w:rPr>
          <w:rFonts w:ascii="Times New Roman" w:eastAsia="SimSun" w:hAnsi="Times New Roman" w:cs="Times New Roman"/>
          <w:szCs w:val="21"/>
          <w14:ligatures w14:val="none"/>
        </w:rPr>
        <w:t>esults and analysis, the main conclusions are as follows:</w:t>
      </w:r>
    </w:p>
    <w:p w14:paraId="70EF61F1" w14:textId="77777777" w:rsidR="008F009F" w:rsidRDefault="005A743F">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Curing Humidity</w:t>
      </w:r>
    </w:p>
    <w:p w14:paraId="2A8D5476"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When the curing humidity was low, both the carbon sequestration rate and the single-particle compressive strength were relatively low. This is because the insufficient moisture co</w:t>
      </w:r>
      <w:r>
        <w:rPr>
          <w:rFonts w:ascii="Times New Roman" w:eastAsia="SimSun" w:hAnsi="Times New Roman" w:cs="Times New Roman"/>
          <w:szCs w:val="21"/>
          <w14:ligatures w14:val="none"/>
        </w:rPr>
        <w:t>ntent in the internal pore structure of the system failed to form a stable CO₂ dissolution medium, making it difficult for CO₂ to convert from the gas phase to the liquid phase to participate in the mineralization reaction. With the increase of curing humi</w:t>
      </w:r>
      <w:r>
        <w:rPr>
          <w:rFonts w:ascii="Times New Roman" w:eastAsia="SimSun" w:hAnsi="Times New Roman" w:cs="Times New Roman"/>
          <w:szCs w:val="21"/>
          <w14:ligatures w14:val="none"/>
        </w:rPr>
        <w:t>dity, sufficient free water was provided inside the artificial aggregate. As a carrier for active ions, free water could promote the rapid dissolution of Ca²⁺, Mg²⁺ and other ions from the interior of the aggregate and their migration to the reaction sites</w:t>
      </w:r>
      <w:r>
        <w:rPr>
          <w:rFonts w:ascii="Times New Roman" w:eastAsia="SimSun" w:hAnsi="Times New Roman" w:cs="Times New Roman"/>
          <w:szCs w:val="21"/>
          <w14:ligatures w14:val="none"/>
        </w:rPr>
        <w:t>. Meanwhile, CO₂ could dissolve to generate sufficient CO₃²⁻ ions, which combined quickly with active ions to accelerate the mineralization reaction and increase the carbon sequestration rate. However, when the curing humidity was excessively high, a large</w:t>
      </w:r>
      <w:r>
        <w:rPr>
          <w:rFonts w:ascii="Times New Roman" w:eastAsia="SimSun" w:hAnsi="Times New Roman" w:cs="Times New Roman"/>
          <w:szCs w:val="21"/>
          <w14:ligatures w14:val="none"/>
        </w:rPr>
        <w:t xml:space="preserve"> amount of water would pour into the pore channels of the aggregate to form a water film, hindering the diffusion and penetration of CO₂ gas. Due to the limited solubility of CO₂ in water and its diffusion rate much lower than that in air, only a small amo</w:t>
      </w:r>
      <w:r>
        <w:rPr>
          <w:rFonts w:ascii="Times New Roman" w:eastAsia="SimSun" w:hAnsi="Times New Roman" w:cs="Times New Roman"/>
          <w:szCs w:val="21"/>
          <w14:ligatures w14:val="none"/>
        </w:rPr>
        <w:t>unt of CO₂ gas could reach the reaction sites, limiting the mineralization rate.</w:t>
      </w:r>
    </w:p>
    <w:p w14:paraId="0AEDFABA" w14:textId="77777777" w:rsidR="008F009F" w:rsidRDefault="005A743F">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CO₂ Concentration</w:t>
      </w:r>
    </w:p>
    <w:p w14:paraId="66B86C76"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When the CO₂ concentration was low, the number of CO₂ gas molecules participating in the reaction was small, and the driving force for diffusion into the </w:t>
      </w:r>
      <w:r>
        <w:rPr>
          <w:rFonts w:ascii="Times New Roman" w:eastAsia="SimSun" w:hAnsi="Times New Roman" w:cs="Times New Roman"/>
          <w:szCs w:val="21"/>
          <w14:ligatures w14:val="none"/>
        </w:rPr>
        <w:t>aggregate was insufficient. At the same time, the amount of CO₃²⁻ ions generated by the dissolution of CO₂ in water was limited, resulting in a slow reaction rate. The Ca²⁺ and Mg²⁺ ions in the aggregate were not fully consumed, leading to low mineralizati</w:t>
      </w:r>
      <w:r>
        <w:rPr>
          <w:rFonts w:ascii="Times New Roman" w:eastAsia="SimSun" w:hAnsi="Times New Roman" w:cs="Times New Roman"/>
          <w:szCs w:val="21"/>
          <w14:ligatures w14:val="none"/>
        </w:rPr>
        <w:t>on degree and low carbon sequestration rate. With the increase of CO₂ concentration, the number of CO₃²⁻ ions generated by the dissolution of CO₂ in water gradually increased, and the diffusion driving force was also guaranteed to a certain extent. This al</w:t>
      </w:r>
      <w:r>
        <w:rPr>
          <w:rFonts w:ascii="Times New Roman" w:eastAsia="SimSun" w:hAnsi="Times New Roman" w:cs="Times New Roman"/>
          <w:szCs w:val="21"/>
          <w14:ligatures w14:val="none"/>
        </w:rPr>
        <w:t>lowed the full reaction of Ca²⁺ and Mg²⁺ ions in the aggregate, increasing the content of generated carbonates, as well as the carbon sequestration rate and compressive strength. At this stage, CO₂ concentration played a dominant role. When the CO₂ concent</w:t>
      </w:r>
      <w:r>
        <w:rPr>
          <w:rFonts w:ascii="Times New Roman" w:eastAsia="SimSun" w:hAnsi="Times New Roman" w:cs="Times New Roman"/>
          <w:szCs w:val="21"/>
          <w14:ligatures w14:val="none"/>
        </w:rPr>
        <w:t xml:space="preserve">ration was excessive, the reaction was no longer limited by the gas concentration, and the diffusion rate and quantity of ions became the dominant factors. The slight decrease in carbon sequestration rate was due to the excessively high CO₂ concentration, </w:t>
      </w:r>
      <w:r>
        <w:rPr>
          <w:rFonts w:ascii="Times New Roman" w:eastAsia="SimSun" w:hAnsi="Times New Roman" w:cs="Times New Roman"/>
          <w:szCs w:val="21"/>
          <w14:ligatures w14:val="none"/>
        </w:rPr>
        <w:t xml:space="preserve">which accelerated the carbonation reaction on the surface of the aggregate, generating a large amount of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in the pores and hindering the diffusion of CO₂ gas into the interior of the aggregate.</w:t>
      </w:r>
    </w:p>
    <w:p w14:paraId="4C25E23A" w14:textId="77777777" w:rsidR="008F009F" w:rsidRDefault="005A743F">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Curing Pressure</w:t>
      </w:r>
    </w:p>
    <w:p w14:paraId="6464B278"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With the increase of curing pressure, </w:t>
      </w:r>
      <w:r>
        <w:rPr>
          <w:rFonts w:ascii="Times New Roman" w:eastAsia="SimSun" w:hAnsi="Times New Roman" w:cs="Times New Roman"/>
          <w:szCs w:val="21"/>
          <w14:ligatures w14:val="none"/>
        </w:rPr>
        <w:t>the carbon sequestration rate of the all-solid-waste artificial aggregate increased rapidly. This is because the increase of curing pressure could significantly enhance the diffusion driving force of CO₂ molecules from the outside to the inside of the aggr</w:t>
      </w:r>
      <w:r>
        <w:rPr>
          <w:rFonts w:ascii="Times New Roman" w:eastAsia="SimSun" w:hAnsi="Times New Roman" w:cs="Times New Roman"/>
          <w:szCs w:val="21"/>
          <w14:ligatures w14:val="none"/>
        </w:rPr>
        <w:t>egate, making the mineralization reaction more sufficient and improving the overall mineralization degree. It could also increase the solubility of CO₂ in free water, leading to more CO₃²⁻ ions. However, when the curing pressure was too high, the mineraliz</w:t>
      </w:r>
      <w:r>
        <w:rPr>
          <w:rFonts w:ascii="Times New Roman" w:eastAsia="SimSun" w:hAnsi="Times New Roman" w:cs="Times New Roman"/>
          <w:szCs w:val="21"/>
          <w14:ligatures w14:val="none"/>
        </w:rPr>
        <w:t xml:space="preserve">ation reaction became overly intense, and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 xml:space="preserve">₃ crystals had no time to grow in an orderly manner, resulting in uneven </w:t>
      </w:r>
      <w:r>
        <w:rPr>
          <w:rFonts w:ascii="Times New Roman" w:eastAsia="SimSun" w:hAnsi="Times New Roman" w:cs="Times New Roman"/>
          <w:szCs w:val="21"/>
          <w14:ligatures w14:val="none"/>
        </w:rPr>
        <w:lastRenderedPageBreak/>
        <w:t xml:space="preserve">reaction and failure to form a stable skeleton structure through interconnection. The rapid formation of irregular and high-hardness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crystals would cause concentrated stress locally in the aggregate, leading to a decrease in compressive strength.</w:t>
      </w:r>
    </w:p>
    <w:p w14:paraId="061F98EA" w14:textId="77777777" w:rsidR="008F009F" w:rsidRDefault="005A743F">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Curing Time</w:t>
      </w:r>
    </w:p>
    <w:p w14:paraId="0539EB07" w14:textId="77777777" w:rsidR="008F009F" w:rsidRDefault="005A74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In the stage of curing time ranging from 6h to 12h, insufficient curing time led to inadequate diffusion of CO₂ and </w:t>
      </w:r>
      <w:r>
        <w:rPr>
          <w:rFonts w:ascii="Times New Roman" w:eastAsia="SimSun" w:hAnsi="Times New Roman" w:cs="Times New Roman"/>
          <w:szCs w:val="21"/>
          <w14:ligatures w14:val="none"/>
        </w:rPr>
        <w:t xml:space="preserve">incomplete dissolution of Ca²⁺, Mg²⁺ and other ions. The number of generated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crystals was small, which could not effectively fill the internal pores of the aggregate. When the curing time reached 12h, the active mineral components inside the aggregat</w:t>
      </w:r>
      <w:r>
        <w:rPr>
          <w:rFonts w:ascii="Times New Roman" w:eastAsia="SimSun" w:hAnsi="Times New Roman" w:cs="Times New Roman"/>
          <w:szCs w:val="21"/>
          <w14:ligatures w14:val="none"/>
        </w:rPr>
        <w:t xml:space="preserve">e fully participated in the mineralization reaction, a large number of stable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crystals were generated, and the pores were effectively filled, resulting in the maximum carbon sequestration rate and compressive strength. When the curing time exceeded 1</w:t>
      </w:r>
      <w:r>
        <w:rPr>
          <w:rFonts w:ascii="Times New Roman" w:eastAsia="SimSun" w:hAnsi="Times New Roman" w:cs="Times New Roman"/>
          <w:szCs w:val="21"/>
          <w14:ligatures w14:val="none"/>
        </w:rPr>
        <w:t>2h, the active components inside the aggregate were basically completely reacted, and the mineralization reaction terminated. Extending the curing time had little effect on the carbon sequestration rate, compressive strength, and bulk density of the aggreg</w:t>
      </w:r>
      <w:r>
        <w:rPr>
          <w:rFonts w:ascii="Times New Roman" w:eastAsia="SimSun" w:hAnsi="Times New Roman" w:cs="Times New Roman"/>
          <w:szCs w:val="21"/>
          <w14:ligatures w14:val="none"/>
        </w:rPr>
        <w:t>ate.</w:t>
      </w:r>
    </w:p>
    <w:p w14:paraId="19FA30DB" w14:textId="77777777" w:rsidR="008F009F" w:rsidRDefault="005A743F">
      <w:pPr>
        <w:widowControl w:val="0"/>
        <w:spacing w:before="0" w:beforeAutospacing="0"/>
        <w:ind w:firstLineChars="200" w:firstLine="420"/>
        <w:jc w:val="both"/>
        <w:rPr>
          <w:rFonts w:ascii="Times New Roman" w:eastAsia="SimSun" w:hAnsi="Times New Roman" w:cs="Times New Roman"/>
          <w:b/>
          <w:bCs/>
          <w:sz w:val="28"/>
          <w:szCs w:val="28"/>
          <w14:ligatures w14:val="none"/>
        </w:rPr>
      </w:pPr>
      <w:r>
        <w:rPr>
          <w:rFonts w:ascii="Times New Roman" w:eastAsia="SimSun" w:hAnsi="Times New Roman" w:cs="Times New Roman"/>
          <w:szCs w:val="21"/>
          <w14:ligatures w14:val="none"/>
        </w:rPr>
        <w:t>In summary, the optimal process parameter combination for CO₂ mineralization of the all-solid-waste artificial aggregate prepared in this experiment is: curing humidity of 57%, CO₂ concentration of 40%, curing pressure of 0.4MPa, and mineralization cu</w:t>
      </w:r>
      <w:r>
        <w:rPr>
          <w:rFonts w:ascii="Times New Roman" w:eastAsia="SimSun" w:hAnsi="Times New Roman" w:cs="Times New Roman"/>
          <w:szCs w:val="21"/>
          <w14:ligatures w14:val="none"/>
        </w:rPr>
        <w:t>ring time of 12h. Under these parameters, the aggregate can achieve excellent mineralization effect, with ideal carbon sequestration capacity and mechanical properties.</w:t>
      </w:r>
    </w:p>
    <w:p w14:paraId="2E30F5B6" w14:textId="0066202F" w:rsidR="008F009F" w:rsidRDefault="0093454A">
      <w:pPr>
        <w:widowControl w:val="0"/>
        <w:spacing w:before="0" w:beforeAutospacing="0"/>
        <w:jc w:val="both"/>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t>Reference</w:t>
      </w:r>
    </w:p>
    <w:p w14:paraId="274F0AC7"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1]Chen</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Shoukai</w:t>
      </w:r>
      <w:proofErr w:type="spellEnd"/>
      <w:r>
        <w:rPr>
          <w:rFonts w:ascii="Times New Roman" w:eastAsia="SimSun" w:hAnsi="Times New Roman" w:cs="Times New Roman" w:hint="eastAsia"/>
          <w:szCs w:val="21"/>
          <w14:ligatures w14:val="none"/>
        </w:rPr>
        <w:t xml:space="preserve">, Bai </w:t>
      </w:r>
      <w:proofErr w:type="spellStart"/>
      <w:r>
        <w:rPr>
          <w:rFonts w:ascii="Times New Roman" w:eastAsia="SimSun" w:hAnsi="Times New Roman" w:cs="Times New Roman" w:hint="eastAsia"/>
          <w:szCs w:val="21"/>
          <w14:ligatures w14:val="none"/>
        </w:rPr>
        <w:t>Weifeng</w:t>
      </w:r>
      <w:proofErr w:type="spellEnd"/>
      <w:r>
        <w:rPr>
          <w:rFonts w:ascii="Times New Roman" w:eastAsia="SimSun" w:hAnsi="Times New Roman" w:cs="Times New Roman" w:hint="eastAsia"/>
          <w:szCs w:val="21"/>
          <w14:ligatures w14:val="none"/>
        </w:rPr>
        <w:t xml:space="preserve">, Zheng </w:t>
      </w:r>
      <w:proofErr w:type="spellStart"/>
      <w:r>
        <w:rPr>
          <w:rFonts w:ascii="Times New Roman" w:eastAsia="SimSun" w:hAnsi="Times New Roman" w:cs="Times New Roman" w:hint="eastAsia"/>
          <w:szCs w:val="21"/>
          <w14:ligatures w14:val="none"/>
        </w:rPr>
        <w:t>Yongjie</w:t>
      </w:r>
      <w:proofErr w:type="spellEnd"/>
      <w:r>
        <w:rPr>
          <w:rFonts w:ascii="Times New Roman" w:eastAsia="SimSun" w:hAnsi="Times New Roman" w:cs="Times New Roman" w:hint="eastAsia"/>
          <w:szCs w:val="21"/>
          <w14:ligatures w14:val="none"/>
        </w:rPr>
        <w:t>, et al. Effect of Recycled Aggreg</w:t>
      </w:r>
      <w:r>
        <w:rPr>
          <w:rFonts w:ascii="Times New Roman" w:eastAsia="SimSun" w:hAnsi="Times New Roman" w:cs="Times New Roman" w:hint="eastAsia"/>
          <w:szCs w:val="21"/>
          <w14:ligatures w14:val="none"/>
        </w:rPr>
        <w:t>ate Replacement Ratio on Uniaxial Compressive Mechanical Properties of Concrete[J]. Journal of Basic Science and Engineering, 2022, 30(3): 764-775.</w:t>
      </w:r>
    </w:p>
    <w:p w14:paraId="1E5D4EF5"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2]Meng</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Ercong</w:t>
      </w:r>
      <w:proofErr w:type="spellEnd"/>
      <w:r>
        <w:rPr>
          <w:rFonts w:ascii="Times New Roman" w:eastAsia="SimSun" w:hAnsi="Times New Roman" w:cs="Times New Roman" w:hint="eastAsia"/>
          <w:szCs w:val="21"/>
          <w14:ligatures w14:val="none"/>
        </w:rPr>
        <w:t xml:space="preserve">, Yu </w:t>
      </w:r>
      <w:proofErr w:type="spellStart"/>
      <w:r>
        <w:rPr>
          <w:rFonts w:ascii="Times New Roman" w:eastAsia="SimSun" w:hAnsi="Times New Roman" w:cs="Times New Roman" w:hint="eastAsia"/>
          <w:szCs w:val="21"/>
          <w14:ligatures w14:val="none"/>
        </w:rPr>
        <w:t>Yalin</w:t>
      </w:r>
      <w:proofErr w:type="spellEnd"/>
      <w:r>
        <w:rPr>
          <w:rFonts w:ascii="Times New Roman" w:eastAsia="SimSun" w:hAnsi="Times New Roman" w:cs="Times New Roman" w:hint="eastAsia"/>
          <w:szCs w:val="21"/>
          <w14:ligatures w14:val="none"/>
        </w:rPr>
        <w:t>, Yuan Jun, et al. Effect of Temperature on Triaxial Compressive Properties and Fail</w:t>
      </w:r>
      <w:r>
        <w:rPr>
          <w:rFonts w:ascii="Times New Roman" w:eastAsia="SimSun" w:hAnsi="Times New Roman" w:cs="Times New Roman" w:hint="eastAsia"/>
          <w:szCs w:val="21"/>
          <w14:ligatures w14:val="none"/>
        </w:rPr>
        <w:t>ure Criterion of Fully Recycled Concrete[J]. Journal of Basic Science and Engineering, 2019, 27(6): 1370-1380.</w:t>
      </w:r>
    </w:p>
    <w:p w14:paraId="7CAADE99"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3]Han</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Dandan</w:t>
      </w:r>
      <w:proofErr w:type="spellEnd"/>
      <w:r>
        <w:rPr>
          <w:rFonts w:ascii="Times New Roman" w:eastAsia="SimSun" w:hAnsi="Times New Roman" w:cs="Times New Roman" w:hint="eastAsia"/>
          <w:szCs w:val="21"/>
          <w14:ligatures w14:val="none"/>
        </w:rPr>
        <w:t xml:space="preserve">, Chen </w:t>
      </w:r>
      <w:proofErr w:type="spellStart"/>
      <w:r>
        <w:rPr>
          <w:rFonts w:ascii="Times New Roman" w:eastAsia="SimSun" w:hAnsi="Times New Roman" w:cs="Times New Roman" w:hint="eastAsia"/>
          <w:szCs w:val="21"/>
          <w14:ligatures w14:val="none"/>
        </w:rPr>
        <w:t>Yonghui</w:t>
      </w:r>
      <w:proofErr w:type="spellEnd"/>
      <w:r>
        <w:rPr>
          <w:rFonts w:ascii="Times New Roman" w:eastAsia="SimSun" w:hAnsi="Times New Roman" w:cs="Times New Roman" w:hint="eastAsia"/>
          <w:szCs w:val="21"/>
          <w14:ligatures w14:val="none"/>
        </w:rPr>
        <w:t xml:space="preserve">, Kong </w:t>
      </w:r>
      <w:proofErr w:type="spellStart"/>
      <w:r>
        <w:rPr>
          <w:rFonts w:ascii="Times New Roman" w:eastAsia="SimSun" w:hAnsi="Times New Roman" w:cs="Times New Roman" w:hint="eastAsia"/>
          <w:szCs w:val="21"/>
          <w14:ligatures w14:val="none"/>
        </w:rPr>
        <w:t>Gangqiang</w:t>
      </w:r>
      <w:proofErr w:type="spellEnd"/>
      <w:r>
        <w:rPr>
          <w:rFonts w:ascii="Times New Roman" w:eastAsia="SimSun" w:hAnsi="Times New Roman" w:cs="Times New Roman" w:hint="eastAsia"/>
          <w:szCs w:val="21"/>
          <w14:ligatures w14:val="none"/>
        </w:rPr>
        <w:t>, et al. Study on Mechanical Properties of Solid Waste-Based Artificial Aggregate Concrete[J/OL]. Jour</w:t>
      </w:r>
      <w:r>
        <w:rPr>
          <w:rFonts w:ascii="Times New Roman" w:eastAsia="SimSun" w:hAnsi="Times New Roman" w:cs="Times New Roman" w:hint="eastAsia"/>
          <w:szCs w:val="21"/>
          <w14:ligatures w14:val="none"/>
        </w:rPr>
        <w:t>nal of Building Materials, 1-12 [2024-12-07].</w:t>
      </w:r>
    </w:p>
    <w:p w14:paraId="422A8C5E"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4]Li</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Yancang</w:t>
      </w:r>
      <w:proofErr w:type="spellEnd"/>
      <w:r>
        <w:rPr>
          <w:rFonts w:ascii="Times New Roman" w:eastAsia="SimSun" w:hAnsi="Times New Roman" w:cs="Times New Roman" w:hint="eastAsia"/>
          <w:szCs w:val="21"/>
          <w14:ligatures w14:val="none"/>
        </w:rPr>
        <w:t xml:space="preserve">, Chu </w:t>
      </w:r>
      <w:proofErr w:type="spellStart"/>
      <w:r>
        <w:rPr>
          <w:rFonts w:ascii="Times New Roman" w:eastAsia="SimSun" w:hAnsi="Times New Roman" w:cs="Times New Roman" w:hint="eastAsia"/>
          <w:szCs w:val="21"/>
          <w14:ligatures w14:val="none"/>
        </w:rPr>
        <w:t>Qingtao</w:t>
      </w:r>
      <w:proofErr w:type="spellEnd"/>
      <w:r>
        <w:rPr>
          <w:rFonts w:ascii="Times New Roman" w:eastAsia="SimSun" w:hAnsi="Times New Roman" w:cs="Times New Roman" w:hint="eastAsia"/>
          <w:szCs w:val="21"/>
          <w14:ligatures w14:val="none"/>
        </w:rPr>
        <w:t xml:space="preserve">, Wang </w:t>
      </w:r>
      <w:proofErr w:type="spellStart"/>
      <w:r>
        <w:rPr>
          <w:rFonts w:ascii="Times New Roman" w:eastAsia="SimSun" w:hAnsi="Times New Roman" w:cs="Times New Roman" w:hint="eastAsia"/>
          <w:szCs w:val="21"/>
          <w14:ligatures w14:val="none"/>
        </w:rPr>
        <w:t>Yude</w:t>
      </w:r>
      <w:proofErr w:type="spellEnd"/>
      <w:r>
        <w:rPr>
          <w:rFonts w:ascii="Times New Roman" w:eastAsia="SimSun" w:hAnsi="Times New Roman" w:cs="Times New Roman" w:hint="eastAsia"/>
          <w:szCs w:val="21"/>
          <w14:ligatures w14:val="none"/>
        </w:rPr>
        <w:t>, et al. Study on Preparation and Properties of Artificial Aggregate from Solidified Reservoir Sediment[J/OL]. China Rural Water and Hydropower, 1-17 [2024-12-07].</w:t>
      </w:r>
    </w:p>
    <w:p w14:paraId="7557C47E"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5]Shi</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Haoliang</w:t>
      </w:r>
      <w:proofErr w:type="spellEnd"/>
      <w:r>
        <w:rPr>
          <w:rFonts w:ascii="Times New Roman" w:eastAsia="SimSun" w:hAnsi="Times New Roman" w:cs="Times New Roman" w:hint="eastAsia"/>
          <w:szCs w:val="21"/>
          <w14:ligatures w14:val="none"/>
        </w:rPr>
        <w:t>. Study on Preparation and Properties of Unburned Aggregate by Wet Extrusion Granulation of Dredged Sediment[D]. Tianjin: Tianjin University of Science &amp; Technology, 2019.</w:t>
      </w:r>
    </w:p>
    <w:p w14:paraId="431A0784"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[6]LI X </w:t>
      </w:r>
      <w:proofErr w:type="gramStart"/>
      <w:r>
        <w:rPr>
          <w:rFonts w:ascii="Times New Roman" w:eastAsia="SimSun" w:hAnsi="Times New Roman" w:cs="Times New Roman" w:hint="eastAsia"/>
          <w:szCs w:val="21"/>
          <w14:ligatures w14:val="none"/>
        </w:rPr>
        <w:t>G ,</w:t>
      </w:r>
      <w:proofErr w:type="gramEnd"/>
      <w:r>
        <w:rPr>
          <w:rFonts w:ascii="Times New Roman" w:eastAsia="SimSun" w:hAnsi="Times New Roman" w:cs="Times New Roman" w:hint="eastAsia"/>
          <w:szCs w:val="21"/>
          <w14:ligatures w14:val="none"/>
        </w:rPr>
        <w:t xml:space="preserve"> HE C H, LV Y , et al. .Effect of sintering temperature and dwell</w:t>
      </w:r>
      <w:r>
        <w:rPr>
          <w:rFonts w:ascii="Times New Roman" w:eastAsia="SimSun" w:hAnsi="Times New Roman" w:cs="Times New Roman" w:hint="eastAsia"/>
          <w:szCs w:val="21"/>
          <w14:ligatures w14:val="none"/>
        </w:rPr>
        <w:t>ing time on the characteristics of lightweight aggregate produced from sewage sludge and waste glass powder[J].Ceramics International,2021,47(23):33435-33443.</w:t>
      </w:r>
    </w:p>
    <w:p w14:paraId="589F229A"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[7] LIAO Y C, HUANG C Y, CHEN Y M. Lightweight aggregates from water reservoir sediment with adde</w:t>
      </w:r>
      <w:r>
        <w:rPr>
          <w:rFonts w:ascii="Times New Roman" w:eastAsia="SimSun" w:hAnsi="Times New Roman" w:cs="Times New Roman" w:hint="eastAsia"/>
          <w:szCs w:val="21"/>
          <w14:ligatures w14:val="none"/>
        </w:rPr>
        <w:t>d sodium hydroxide[J]. Construction and Building Materials, 2013, 46: 79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85.</w:t>
      </w:r>
    </w:p>
    <w:p w14:paraId="6BFF4B01"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8]</w:t>
      </w:r>
      <w:proofErr w:type="spellStart"/>
      <w:r>
        <w:rPr>
          <w:rFonts w:ascii="Times New Roman" w:eastAsia="SimSun" w:hAnsi="Times New Roman" w:cs="Times New Roman" w:hint="eastAsia"/>
          <w:szCs w:val="21"/>
          <w14:ligatures w14:val="none"/>
        </w:rPr>
        <w:t>Bekkeri</w:t>
      </w:r>
      <w:proofErr w:type="gramEnd"/>
      <w:r>
        <w:rPr>
          <w:rFonts w:ascii="Times New Roman" w:eastAsia="SimSun" w:hAnsi="Times New Roman" w:cs="Times New Roman" w:hint="eastAsia"/>
          <w:szCs w:val="21"/>
          <w14:ligatures w14:val="none"/>
        </w:rPr>
        <w:t>,G.B</w:t>
      </w:r>
      <w:proofErr w:type="spellEnd"/>
      <w:r>
        <w:rPr>
          <w:rFonts w:ascii="Times New Roman" w:eastAsia="SimSun" w:hAnsi="Times New Roman" w:cs="Times New Roman" w:hint="eastAsia"/>
          <w:szCs w:val="21"/>
          <w14:ligatures w14:val="none"/>
        </w:rPr>
        <w:t xml:space="preserve">., Shetty, K. K., &amp; Nayak, G. (2024). Effects of cold-bonded artificial aggregate properties on the </w:t>
      </w:r>
      <w:proofErr w:type="spellStart"/>
      <w:r>
        <w:rPr>
          <w:rFonts w:ascii="Times New Roman" w:eastAsia="SimSun" w:hAnsi="Times New Roman" w:cs="Times New Roman" w:hint="eastAsia"/>
          <w:szCs w:val="21"/>
          <w14:ligatures w14:val="none"/>
        </w:rPr>
        <w:t>behaviour</w:t>
      </w:r>
      <w:proofErr w:type="spellEnd"/>
      <w:r>
        <w:rPr>
          <w:rFonts w:ascii="Times New Roman" w:eastAsia="SimSun" w:hAnsi="Times New Roman" w:cs="Times New Roman" w:hint="eastAsia"/>
          <w:szCs w:val="21"/>
          <w14:ligatures w14:val="none"/>
        </w:rPr>
        <w:t xml:space="preserve"> of concrete. Materials Research Express,11(8).</w:t>
      </w:r>
    </w:p>
    <w:p w14:paraId="3BED5622"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9]Shang</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Xiaoyu</w:t>
      </w:r>
      <w:proofErr w:type="spellEnd"/>
      <w:r>
        <w:rPr>
          <w:rFonts w:ascii="Times New Roman" w:eastAsia="SimSun" w:hAnsi="Times New Roman" w:cs="Times New Roman" w:hint="eastAsia"/>
          <w:szCs w:val="21"/>
          <w14:ligatures w14:val="none"/>
        </w:rPr>
        <w:t xml:space="preserve">, Huang </w:t>
      </w:r>
      <w:proofErr w:type="spellStart"/>
      <w:r>
        <w:rPr>
          <w:rFonts w:ascii="Times New Roman" w:eastAsia="SimSun" w:hAnsi="Times New Roman" w:cs="Times New Roman" w:hint="eastAsia"/>
          <w:szCs w:val="21"/>
          <w14:ligatures w14:val="none"/>
        </w:rPr>
        <w:t>Wenyi</w:t>
      </w:r>
      <w:proofErr w:type="spellEnd"/>
      <w:r>
        <w:rPr>
          <w:rFonts w:ascii="Times New Roman" w:eastAsia="SimSun" w:hAnsi="Times New Roman" w:cs="Times New Roman" w:hint="eastAsia"/>
          <w:szCs w:val="21"/>
          <w14:ligatures w14:val="none"/>
        </w:rPr>
        <w:t xml:space="preserve">, Fang </w:t>
      </w:r>
      <w:proofErr w:type="spellStart"/>
      <w:r>
        <w:rPr>
          <w:rFonts w:ascii="Times New Roman" w:eastAsia="SimSun" w:hAnsi="Times New Roman" w:cs="Times New Roman" w:hint="eastAsia"/>
          <w:szCs w:val="21"/>
          <w14:ligatures w14:val="none"/>
        </w:rPr>
        <w:t>Zeyu</w:t>
      </w:r>
      <w:proofErr w:type="spellEnd"/>
      <w:r>
        <w:rPr>
          <w:rFonts w:ascii="Times New Roman" w:eastAsia="SimSun" w:hAnsi="Times New Roman" w:cs="Times New Roman" w:hint="eastAsia"/>
          <w:szCs w:val="21"/>
          <w14:ligatures w14:val="none"/>
        </w:rPr>
        <w:t xml:space="preserve">, et al. Preparation and Properties of High-Strength Concrete with Artificial Cold-Bonded Lightweight Aggregate[J/OL]. Acta </w:t>
      </w:r>
      <w:proofErr w:type="spellStart"/>
      <w:r>
        <w:rPr>
          <w:rFonts w:ascii="Times New Roman" w:eastAsia="SimSun" w:hAnsi="Times New Roman" w:cs="Times New Roman" w:hint="eastAsia"/>
          <w:szCs w:val="21"/>
          <w14:ligatures w14:val="none"/>
        </w:rPr>
        <w:t>Materiae</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Compositae</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Sini</w:t>
      </w:r>
      <w:r>
        <w:rPr>
          <w:rFonts w:ascii="Times New Roman" w:eastAsia="SimSun" w:hAnsi="Times New Roman" w:cs="Times New Roman" w:hint="eastAsia"/>
          <w:szCs w:val="21"/>
          <w14:ligatures w14:val="none"/>
        </w:rPr>
        <w:lastRenderedPageBreak/>
        <w:t>ca</w:t>
      </w:r>
      <w:proofErr w:type="spellEnd"/>
      <w:r>
        <w:rPr>
          <w:rFonts w:ascii="Times New Roman" w:eastAsia="SimSun" w:hAnsi="Times New Roman" w:cs="Times New Roman" w:hint="eastAsia"/>
          <w:szCs w:val="21"/>
          <w14:ligatures w14:val="none"/>
        </w:rPr>
        <w:t>, 1-11 [2024-12-07].</w:t>
      </w:r>
    </w:p>
    <w:p w14:paraId="1B0E1811"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10]</w:t>
      </w:r>
      <w:proofErr w:type="spellStart"/>
      <w:r>
        <w:rPr>
          <w:rFonts w:ascii="Times New Roman" w:eastAsia="SimSun" w:hAnsi="Times New Roman" w:cs="Times New Roman" w:hint="eastAsia"/>
          <w:szCs w:val="21"/>
          <w14:ligatures w14:val="none"/>
        </w:rPr>
        <w:t>Jin</w:t>
      </w:r>
      <w:proofErr w:type="spellEnd"/>
      <w:proofErr w:type="gramEnd"/>
      <w:r>
        <w:rPr>
          <w:rFonts w:ascii="Times New Roman" w:eastAsia="SimSun" w:hAnsi="Times New Roman" w:cs="Times New Roman" w:hint="eastAsia"/>
          <w:szCs w:val="21"/>
          <w14:ligatures w14:val="none"/>
        </w:rPr>
        <w:t xml:space="preserve">, H., Cheng, L., Liu, J., Chen, C., &amp; Xing, F. </w:t>
      </w:r>
      <w:r>
        <w:rPr>
          <w:rFonts w:ascii="Times New Roman" w:eastAsia="SimSun" w:hAnsi="Times New Roman" w:cs="Times New Roman" w:hint="eastAsia"/>
          <w:szCs w:val="21"/>
          <w14:ligatures w14:val="none"/>
        </w:rPr>
        <w:t>(2024). Converting municipal solid waste incineration bottom ash into the value-added artificial lightweight aggregates through cold-bonded granulation technology. Construction and Building Materials,438.</w:t>
      </w:r>
    </w:p>
    <w:p w14:paraId="06BE031F"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[11] Ge </w:t>
      </w:r>
      <w:proofErr w:type="spellStart"/>
      <w:r>
        <w:rPr>
          <w:rFonts w:ascii="Times New Roman" w:eastAsia="SimSun" w:hAnsi="Times New Roman" w:cs="Times New Roman" w:hint="eastAsia"/>
          <w:szCs w:val="21"/>
          <w14:ligatures w14:val="none"/>
        </w:rPr>
        <w:t>Shixian</w:t>
      </w:r>
      <w:proofErr w:type="spellEnd"/>
      <w:r>
        <w:rPr>
          <w:rFonts w:ascii="Times New Roman" w:eastAsia="SimSun" w:hAnsi="Times New Roman" w:cs="Times New Roman" w:hint="eastAsia"/>
          <w:szCs w:val="21"/>
          <w14:ligatures w14:val="none"/>
        </w:rPr>
        <w:t xml:space="preserve">, Cheng </w:t>
      </w:r>
      <w:proofErr w:type="spellStart"/>
      <w:r>
        <w:rPr>
          <w:rFonts w:ascii="Times New Roman" w:eastAsia="SimSun" w:hAnsi="Times New Roman" w:cs="Times New Roman" w:hint="eastAsia"/>
          <w:szCs w:val="21"/>
          <w14:ligatures w14:val="none"/>
        </w:rPr>
        <w:t>Shengming</w:t>
      </w:r>
      <w:proofErr w:type="spellEnd"/>
      <w:r>
        <w:rPr>
          <w:rFonts w:ascii="Times New Roman" w:eastAsia="SimSun" w:hAnsi="Times New Roman" w:cs="Times New Roman" w:hint="eastAsia"/>
          <w:szCs w:val="21"/>
          <w14:ligatures w14:val="none"/>
        </w:rPr>
        <w:t xml:space="preserve">. Difficulties and </w:t>
      </w:r>
      <w:r>
        <w:rPr>
          <w:rFonts w:ascii="Times New Roman" w:eastAsia="SimSun" w:hAnsi="Times New Roman" w:cs="Times New Roman" w:hint="eastAsia"/>
          <w:szCs w:val="21"/>
          <w14:ligatures w14:val="none"/>
        </w:rPr>
        <w:t>Countermeasures of Preparing Artificial Sand and Aggregate for Roller Compacted Concrete from Tuff[J]. Hydropower and New Energy, 2015, (01): 63-65.</w:t>
      </w:r>
    </w:p>
    <w:p w14:paraId="428A5F8E"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[12]</w:t>
      </w:r>
      <w:r>
        <w:rPr>
          <w:rFonts w:ascii="Times New Roman" w:eastAsia="SimSun" w:hAnsi="Times New Roman" w:cs="Times New Roman" w:hint="eastAsia"/>
          <w:szCs w:val="21"/>
          <w14:ligatures w14:val="none"/>
        </w:rPr>
        <w:tab/>
      </w:r>
      <w:proofErr w:type="spellStart"/>
      <w:r>
        <w:rPr>
          <w:rFonts w:ascii="Times New Roman" w:eastAsia="SimSun" w:hAnsi="Times New Roman" w:cs="Times New Roman" w:hint="eastAsia"/>
          <w:szCs w:val="21"/>
          <w14:ligatures w14:val="none"/>
        </w:rPr>
        <w:t>Askci</w:t>
      </w:r>
      <w:proofErr w:type="spellEnd"/>
      <w:r>
        <w:rPr>
          <w:rFonts w:ascii="Times New Roman" w:eastAsia="SimSun" w:hAnsi="Times New Roman" w:cs="Times New Roman" w:hint="eastAsia"/>
          <w:szCs w:val="21"/>
          <w14:ligatures w14:val="none"/>
        </w:rPr>
        <w:t xml:space="preserve"> Consulting Co., Ltd. Market Size and Development Prospect Forecast Analysis of China's Industria</w:t>
      </w:r>
      <w:r>
        <w:rPr>
          <w:rFonts w:ascii="Times New Roman" w:eastAsia="SimSun" w:hAnsi="Times New Roman" w:cs="Times New Roman" w:hint="eastAsia"/>
          <w:szCs w:val="21"/>
          <w14:ligatures w14:val="none"/>
        </w:rPr>
        <w:t>l Solid Waste Treatment Industry in 2022[R]. 2022.</w:t>
      </w:r>
    </w:p>
    <w:p w14:paraId="51809344"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[13]</w:t>
      </w:r>
      <w:r>
        <w:rPr>
          <w:rFonts w:ascii="Times New Roman" w:eastAsia="SimSun" w:hAnsi="Times New Roman" w:cs="Times New Roman" w:hint="eastAsia"/>
          <w:szCs w:val="21"/>
          <w14:ligatures w14:val="none"/>
        </w:rPr>
        <w:tab/>
        <w:t xml:space="preserve">Weng </w:t>
      </w:r>
      <w:proofErr w:type="spellStart"/>
      <w:r>
        <w:rPr>
          <w:rFonts w:ascii="Times New Roman" w:eastAsia="SimSun" w:hAnsi="Times New Roman" w:cs="Times New Roman" w:hint="eastAsia"/>
          <w:szCs w:val="21"/>
          <w14:ligatures w14:val="none"/>
        </w:rPr>
        <w:t>Xiaohan</w:t>
      </w:r>
      <w:proofErr w:type="spellEnd"/>
      <w:r>
        <w:rPr>
          <w:rFonts w:ascii="Times New Roman" w:eastAsia="SimSun" w:hAnsi="Times New Roman" w:cs="Times New Roman" w:hint="eastAsia"/>
          <w:szCs w:val="21"/>
          <w14:ligatures w14:val="none"/>
        </w:rPr>
        <w:t xml:space="preserve">, Han Tao, Feng Wei, et al. Research status and progress of negative carbon emission technologies[J]. Journal of Clean Coal Technology, 2024, 30(10): 159-174. </w:t>
      </w:r>
      <w:proofErr w:type="gramStart"/>
      <w:r>
        <w:rPr>
          <w:rFonts w:ascii="Times New Roman" w:eastAsia="SimSun" w:hAnsi="Times New Roman" w:cs="Times New Roman" w:hint="eastAsia"/>
          <w:szCs w:val="21"/>
          <w14:ligatures w14:val="none"/>
        </w:rPr>
        <w:t>DOI:10.13226/j.issn</w:t>
      </w:r>
      <w:proofErr w:type="gramEnd"/>
      <w:r>
        <w:rPr>
          <w:rFonts w:ascii="Times New Roman" w:eastAsia="SimSun" w:hAnsi="Times New Roman" w:cs="Times New Roman" w:hint="eastAsia"/>
          <w:szCs w:val="21"/>
          <w14:ligatures w14:val="none"/>
        </w:rPr>
        <w:t>.1006-6772</w:t>
      </w:r>
      <w:r>
        <w:rPr>
          <w:rFonts w:ascii="Times New Roman" w:eastAsia="SimSun" w:hAnsi="Times New Roman" w:cs="Times New Roman" w:hint="eastAsia"/>
          <w:szCs w:val="21"/>
          <w14:ligatures w14:val="none"/>
        </w:rPr>
        <w:t>.CCUS24051201.</w:t>
      </w:r>
    </w:p>
    <w:p w14:paraId="4C9E78E2"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[14]</w:t>
      </w:r>
      <w:r>
        <w:rPr>
          <w:rFonts w:ascii="Times New Roman" w:eastAsia="SimSun" w:hAnsi="Times New Roman" w:cs="Times New Roman" w:hint="eastAsia"/>
          <w:szCs w:val="21"/>
          <w14:ligatures w14:val="none"/>
        </w:rPr>
        <w:tab/>
        <w:t>Andersson R</w:t>
      </w:r>
      <w:r>
        <w:rPr>
          <w:rFonts w:ascii="Times New Roman" w:eastAsia="SimSun" w:hAnsi="Times New Roman" w:cs="Times New Roman" w:hint="eastAsia"/>
          <w:szCs w:val="21"/>
          <w14:ligatures w14:val="none"/>
        </w:rPr>
        <w:t>，</w:t>
      </w:r>
      <w:proofErr w:type="spellStart"/>
      <w:r>
        <w:rPr>
          <w:rFonts w:ascii="Times New Roman" w:eastAsia="SimSun" w:hAnsi="Times New Roman" w:cs="Times New Roman" w:hint="eastAsia"/>
          <w:szCs w:val="21"/>
          <w14:ligatures w14:val="none"/>
        </w:rPr>
        <w:t>Hakan</w:t>
      </w:r>
      <w:proofErr w:type="spellEnd"/>
      <w:r>
        <w:rPr>
          <w:rFonts w:ascii="Times New Roman" w:eastAsia="SimSun" w:hAnsi="Times New Roman" w:cs="Times New Roman" w:hint="eastAsia"/>
          <w:szCs w:val="21"/>
          <w14:ligatures w14:val="none"/>
        </w:rPr>
        <w:t xml:space="preserve"> S</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Gustafsson T</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et </w:t>
      </w:r>
      <w:proofErr w:type="spellStart"/>
      <w:proofErr w:type="gramStart"/>
      <w:r>
        <w:rPr>
          <w:rFonts w:ascii="Times New Roman" w:eastAsia="SimSun" w:hAnsi="Times New Roman" w:cs="Times New Roman" w:hint="eastAsia"/>
          <w:szCs w:val="21"/>
          <w14:ligatures w14:val="none"/>
        </w:rPr>
        <w:t>al.Carbonation</w:t>
      </w:r>
      <w:proofErr w:type="spellEnd"/>
      <w:proofErr w:type="gramEnd"/>
      <w:r>
        <w:rPr>
          <w:rFonts w:ascii="Times New Roman" w:eastAsia="SimSun" w:hAnsi="Times New Roman" w:cs="Times New Roman" w:hint="eastAsia"/>
          <w:szCs w:val="21"/>
          <w14:ligatures w14:val="none"/>
        </w:rPr>
        <w:t xml:space="preserve"> as a method to improve climate performance for cement-based mate</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rial</w:t>
      </w:r>
      <w:proofErr w:type="spellEnd"/>
      <w:r>
        <w:rPr>
          <w:rFonts w:ascii="Times New Roman" w:eastAsia="SimSun" w:hAnsi="Times New Roman" w:cs="Times New Roman" w:hint="eastAsia"/>
          <w:szCs w:val="21"/>
          <w14:ligatures w14:val="none"/>
        </w:rPr>
        <w:t>[J].Cement and Concrete Research</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2019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124</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20</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105819.</w:t>
      </w:r>
    </w:p>
    <w:p w14:paraId="7690667E"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15]Chiang</w:t>
      </w:r>
      <w:proofErr w:type="gramEnd"/>
      <w:r>
        <w:rPr>
          <w:rFonts w:ascii="Times New Roman" w:eastAsia="SimSun" w:hAnsi="Times New Roman" w:cs="Times New Roman" w:hint="eastAsia"/>
          <w:szCs w:val="21"/>
          <w14:ligatures w14:val="none"/>
        </w:rPr>
        <w:t xml:space="preserve"> P C</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Pan S </w:t>
      </w:r>
      <w:proofErr w:type="spellStart"/>
      <w:r>
        <w:rPr>
          <w:rFonts w:ascii="Times New Roman" w:eastAsia="SimSun" w:hAnsi="Times New Roman" w:cs="Times New Roman" w:hint="eastAsia"/>
          <w:szCs w:val="21"/>
          <w14:ligatures w14:val="none"/>
        </w:rPr>
        <w:t>Y.Carbon</w:t>
      </w:r>
      <w:proofErr w:type="spellEnd"/>
      <w:r>
        <w:rPr>
          <w:rFonts w:ascii="Times New Roman" w:eastAsia="SimSun" w:hAnsi="Times New Roman" w:cs="Times New Roman" w:hint="eastAsia"/>
          <w:szCs w:val="21"/>
          <w14:ligatures w14:val="none"/>
        </w:rPr>
        <w:t xml:space="preserve"> dioxide mineralization and </w:t>
      </w:r>
      <w:proofErr w:type="spellStart"/>
      <w:r>
        <w:rPr>
          <w:rFonts w:ascii="Times New Roman" w:eastAsia="SimSun" w:hAnsi="Times New Roman" w:cs="Times New Roman" w:hint="eastAsia"/>
          <w:szCs w:val="21"/>
          <w14:ligatures w14:val="none"/>
        </w:rPr>
        <w:t>util</w:t>
      </w:r>
      <w:r>
        <w:rPr>
          <w:rFonts w:ascii="Times New Roman" w:eastAsia="SimSun" w:hAnsi="Times New Roman" w:cs="Times New Roman" w:hint="eastAsia"/>
          <w:szCs w:val="21"/>
          <w14:ligatures w14:val="none"/>
        </w:rPr>
        <w:t>iza</w:t>
      </w:r>
      <w:proofErr w:type="spellEnd"/>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tion</w:t>
      </w:r>
      <w:proofErr w:type="spellEnd"/>
      <w:r>
        <w:rPr>
          <w:rFonts w:ascii="Times New Roman" w:eastAsia="SimSun" w:hAnsi="Times New Roman" w:cs="Times New Roman" w:hint="eastAsia"/>
          <w:szCs w:val="21"/>
          <w14:ligatures w14:val="none"/>
        </w:rPr>
        <w:t>[M].Springer Singapore</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2017</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6673-6684.</w:t>
      </w:r>
    </w:p>
    <w:p w14:paraId="1CB8DB4C"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16]Seishi</w:t>
      </w:r>
      <w:proofErr w:type="gramEnd"/>
      <w:r>
        <w:rPr>
          <w:rFonts w:ascii="Times New Roman" w:eastAsia="SimSun" w:hAnsi="Times New Roman" w:cs="Times New Roman" w:hint="eastAsia"/>
          <w:szCs w:val="21"/>
          <w14:ligatures w14:val="none"/>
        </w:rPr>
        <w:t xml:space="preserve"> G</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Kenzo S</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Takeshi </w:t>
      </w:r>
      <w:proofErr w:type="spellStart"/>
      <w:r>
        <w:rPr>
          <w:rFonts w:ascii="Times New Roman" w:eastAsia="SimSun" w:hAnsi="Times New Roman" w:cs="Times New Roman" w:hint="eastAsia"/>
          <w:szCs w:val="21"/>
          <w14:ligatures w14:val="none"/>
        </w:rPr>
        <w:t>K.Calcium</w:t>
      </w:r>
      <w:proofErr w:type="spellEnd"/>
      <w:r>
        <w:rPr>
          <w:rFonts w:ascii="Times New Roman" w:eastAsia="SimSun" w:hAnsi="Times New Roman" w:cs="Times New Roman" w:hint="eastAsia"/>
          <w:szCs w:val="21"/>
          <w14:ligatures w14:val="none"/>
        </w:rPr>
        <w:t xml:space="preserve"> silicate carbonation prod</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ucts</w:t>
      </w:r>
      <w:proofErr w:type="spellEnd"/>
      <w:r>
        <w:rPr>
          <w:rFonts w:ascii="Times New Roman" w:eastAsia="SimSun" w:hAnsi="Times New Roman" w:cs="Times New Roman" w:hint="eastAsia"/>
          <w:szCs w:val="21"/>
          <w14:ligatures w14:val="none"/>
        </w:rPr>
        <w:t xml:space="preserve"> [J].Journal of the American Ceramic Society</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1995</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78</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11</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2867-2872.</w:t>
      </w:r>
    </w:p>
    <w:p w14:paraId="7AC1BF42"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[17]</w:t>
      </w:r>
      <w:r>
        <w:rPr>
          <w:rFonts w:ascii="Times New Roman" w:eastAsia="SimSun" w:hAnsi="Times New Roman" w:cs="Times New Roman" w:hint="eastAsia"/>
          <w:szCs w:val="21"/>
          <w14:ligatures w14:val="none"/>
        </w:rPr>
        <w:tab/>
        <w:t xml:space="preserve">Zou </w:t>
      </w:r>
      <w:proofErr w:type="spellStart"/>
      <w:r>
        <w:rPr>
          <w:rFonts w:ascii="Times New Roman" w:eastAsia="SimSun" w:hAnsi="Times New Roman" w:cs="Times New Roman" w:hint="eastAsia"/>
          <w:szCs w:val="21"/>
          <w14:ligatures w14:val="none"/>
        </w:rPr>
        <w:t>Xiangbo</w:t>
      </w:r>
      <w:proofErr w:type="spellEnd"/>
      <w:r>
        <w:rPr>
          <w:rFonts w:ascii="Times New Roman" w:eastAsia="SimSun" w:hAnsi="Times New Roman" w:cs="Times New Roman" w:hint="eastAsia"/>
          <w:szCs w:val="21"/>
          <w14:ligatures w14:val="none"/>
        </w:rPr>
        <w:t xml:space="preserve">, Chen </w:t>
      </w:r>
      <w:proofErr w:type="spellStart"/>
      <w:r>
        <w:rPr>
          <w:rFonts w:ascii="Times New Roman" w:eastAsia="SimSun" w:hAnsi="Times New Roman" w:cs="Times New Roman" w:hint="eastAsia"/>
          <w:szCs w:val="21"/>
          <w14:ligatures w14:val="none"/>
        </w:rPr>
        <w:t>Gongda</w:t>
      </w:r>
      <w:proofErr w:type="spellEnd"/>
      <w:r>
        <w:rPr>
          <w:rFonts w:ascii="Times New Roman" w:eastAsia="SimSun" w:hAnsi="Times New Roman" w:cs="Times New Roman" w:hint="eastAsia"/>
          <w:szCs w:val="21"/>
          <w14:ligatures w14:val="none"/>
        </w:rPr>
        <w:t xml:space="preserve">, Rao </w:t>
      </w:r>
      <w:proofErr w:type="spellStart"/>
      <w:r>
        <w:rPr>
          <w:rFonts w:ascii="Times New Roman" w:eastAsia="SimSun" w:hAnsi="Times New Roman" w:cs="Times New Roman" w:hint="eastAsia"/>
          <w:szCs w:val="21"/>
          <w14:ligatures w14:val="none"/>
        </w:rPr>
        <w:t>Mumin</w:t>
      </w:r>
      <w:proofErr w:type="spellEnd"/>
      <w:r>
        <w:rPr>
          <w:rFonts w:ascii="Times New Roman" w:eastAsia="SimSun" w:hAnsi="Times New Roman" w:cs="Times New Roman" w:hint="eastAsia"/>
          <w:szCs w:val="21"/>
          <w14:ligatures w14:val="none"/>
        </w:rPr>
        <w:t>, et al. Experimental s</w:t>
      </w:r>
      <w:r>
        <w:rPr>
          <w:rFonts w:ascii="Times New Roman" w:eastAsia="SimSun" w:hAnsi="Times New Roman" w:cs="Times New Roman" w:hint="eastAsia"/>
          <w:szCs w:val="21"/>
          <w14:ligatures w14:val="none"/>
        </w:rPr>
        <w:t>tudy on carbon dioxide mineralization maintenance of all-solid waste lightweight aggregates[J/OL]. Clean Coal Technology, 1-14[2024-12-07].</w:t>
      </w:r>
    </w:p>
    <w:p w14:paraId="75D34035" w14:textId="77777777" w:rsidR="008F009F" w:rsidRDefault="005A743F">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[18]</w:t>
      </w:r>
      <w:r>
        <w:rPr>
          <w:rFonts w:ascii="Times New Roman" w:eastAsia="SimSun" w:hAnsi="Times New Roman" w:cs="Times New Roman" w:hint="eastAsia"/>
          <w:szCs w:val="21"/>
          <w14:ligatures w14:val="none"/>
        </w:rPr>
        <w:tab/>
        <w:t xml:space="preserve">Liu </w:t>
      </w:r>
      <w:proofErr w:type="spellStart"/>
      <w:r>
        <w:rPr>
          <w:rFonts w:ascii="Times New Roman" w:eastAsia="SimSun" w:hAnsi="Times New Roman" w:cs="Times New Roman" w:hint="eastAsia"/>
          <w:szCs w:val="21"/>
          <w14:ligatures w14:val="none"/>
        </w:rPr>
        <w:t>Songhui</w:t>
      </w:r>
      <w:proofErr w:type="spellEnd"/>
      <w:r>
        <w:rPr>
          <w:rFonts w:ascii="Times New Roman" w:eastAsia="SimSun" w:hAnsi="Times New Roman" w:cs="Times New Roman" w:hint="eastAsia"/>
          <w:szCs w:val="21"/>
          <w14:ligatures w14:val="none"/>
        </w:rPr>
        <w:t xml:space="preserve">, Wang Heng, Guan </w:t>
      </w:r>
      <w:proofErr w:type="spellStart"/>
      <w:r>
        <w:rPr>
          <w:rFonts w:ascii="Times New Roman" w:eastAsia="SimSun" w:hAnsi="Times New Roman" w:cs="Times New Roman" w:hint="eastAsia"/>
          <w:szCs w:val="21"/>
          <w14:ligatures w14:val="none"/>
        </w:rPr>
        <w:t>Xuemao</w:t>
      </w:r>
      <w:proofErr w:type="spellEnd"/>
      <w:r>
        <w:rPr>
          <w:rFonts w:ascii="Times New Roman" w:eastAsia="SimSun" w:hAnsi="Times New Roman" w:cs="Times New Roman" w:hint="eastAsia"/>
          <w:szCs w:val="21"/>
          <w14:ligatures w14:val="none"/>
        </w:rPr>
        <w:t>, et al. Influence mechanism of sodium gluconate on the carbonation behavior</w:t>
      </w:r>
      <w:r>
        <w:rPr>
          <w:rFonts w:ascii="Times New Roman" w:eastAsia="SimSun" w:hAnsi="Times New Roman" w:cs="Times New Roman" w:hint="eastAsia"/>
          <w:szCs w:val="21"/>
          <w14:ligatures w14:val="none"/>
        </w:rPr>
        <w:t xml:space="preserve"> of magnesium slag[J/OL]. Journal of Building Materials, 1-13[2026-02-12].</w:t>
      </w:r>
    </w:p>
    <w:p w14:paraId="44532D8F" w14:textId="77777777" w:rsidR="008F009F" w:rsidRDefault="008F009F">
      <w:pPr>
        <w:widowControl w:val="0"/>
        <w:wordWrap w:val="0"/>
        <w:spacing w:before="0" w:beforeAutospacing="0"/>
        <w:jc w:val="both"/>
        <w:rPr>
          <w:rFonts w:ascii="Times New Roman" w:eastAsia="SimSun" w:hAnsi="Times New Roman" w:cs="Times New Roman"/>
          <w:szCs w:val="21"/>
          <w14:ligatures w14:val="none"/>
        </w:rPr>
      </w:pPr>
    </w:p>
    <w:sectPr w:rsidR="008F009F">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5EA6" w14:textId="77777777" w:rsidR="005A743F" w:rsidRDefault="005A743F">
      <w:pPr>
        <w:spacing w:before="0"/>
      </w:pPr>
      <w:r>
        <w:separator/>
      </w:r>
    </w:p>
  </w:endnote>
  <w:endnote w:type="continuationSeparator" w:id="0">
    <w:p w14:paraId="1B004B15" w14:textId="77777777" w:rsidR="005A743F" w:rsidRDefault="005A74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8FBE" w14:textId="77777777" w:rsidR="00DB5741" w:rsidRDefault="00DB5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37D8" w14:textId="77777777" w:rsidR="00DB5741" w:rsidRDefault="00DB5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8C08" w14:textId="77777777" w:rsidR="00DB5741" w:rsidRDefault="00DB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F038" w14:textId="77777777" w:rsidR="005A743F" w:rsidRDefault="005A743F">
      <w:pPr>
        <w:spacing w:before="0"/>
      </w:pPr>
      <w:r>
        <w:separator/>
      </w:r>
    </w:p>
  </w:footnote>
  <w:footnote w:type="continuationSeparator" w:id="0">
    <w:p w14:paraId="245FA74B" w14:textId="77777777" w:rsidR="005A743F" w:rsidRDefault="005A74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FB60" w14:textId="3D69CD9C" w:rsidR="00DB5741" w:rsidRDefault="00DB5741">
    <w:pPr>
      <w:pStyle w:val="Header"/>
    </w:pPr>
    <w:r>
      <w:rPr>
        <w:noProof/>
      </w:rPr>
      <w:pict w14:anchorId="3C344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95938"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DAC4" w14:textId="65183A9A" w:rsidR="00DB5741" w:rsidRDefault="00DB5741">
    <w:pPr>
      <w:pStyle w:val="Header"/>
    </w:pPr>
    <w:r>
      <w:rPr>
        <w:noProof/>
      </w:rPr>
      <w:pict w14:anchorId="05CB5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95939"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CD08" w14:textId="4B532B01" w:rsidR="00DB5741" w:rsidRDefault="00DB5741">
    <w:pPr>
      <w:pStyle w:val="Header"/>
    </w:pPr>
    <w:r>
      <w:rPr>
        <w:noProof/>
      </w:rPr>
      <w:pict w14:anchorId="2CE79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95937"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ECD34F"/>
    <w:multiLevelType w:val="singleLevel"/>
    <w:tmpl w:val="91ECD34F"/>
    <w:lvl w:ilvl="0">
      <w:start w:val="1"/>
      <w:numFmt w:val="lowerLetter"/>
      <w:suff w:val="space"/>
      <w:lvlText w:val="(%1)"/>
      <w:lvlJc w:val="left"/>
    </w:lvl>
  </w:abstractNum>
  <w:abstractNum w:abstractNumId="1" w15:restartNumberingAfterBreak="0">
    <w:nsid w:val="B7760CC8"/>
    <w:multiLevelType w:val="singleLevel"/>
    <w:tmpl w:val="B7760CC8"/>
    <w:lvl w:ilvl="0">
      <w:start w:val="1"/>
      <w:numFmt w:val="lowerLetter"/>
      <w:suff w:val="space"/>
      <w:lvlText w:val="(%1)"/>
      <w:lvlJc w:val="left"/>
    </w:lvl>
  </w:abstractNum>
  <w:abstractNum w:abstractNumId="2" w15:restartNumberingAfterBreak="0">
    <w:nsid w:val="CA2F3325"/>
    <w:multiLevelType w:val="singleLevel"/>
    <w:tmpl w:val="CA2F3325"/>
    <w:lvl w:ilvl="0">
      <w:start w:val="1"/>
      <w:numFmt w:val="lowerLetter"/>
      <w:suff w:val="space"/>
      <w:lvlText w:val="(%1)"/>
      <w:lvlJc w:val="left"/>
    </w:lvl>
  </w:abstractNum>
  <w:abstractNum w:abstractNumId="3"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MjY0Nza1MDc1tTBR0lEKTi0uzszPAykwrAUAUD26BywAAAA="/>
  </w:docVars>
  <w:rsids>
    <w:rsidRoot w:val="00AF4F67"/>
    <w:rsid w:val="000376CC"/>
    <w:rsid w:val="000413F1"/>
    <w:rsid w:val="00056DA3"/>
    <w:rsid w:val="00087CCC"/>
    <w:rsid w:val="000F3154"/>
    <w:rsid w:val="00164A09"/>
    <w:rsid w:val="001742A1"/>
    <w:rsid w:val="001813B5"/>
    <w:rsid w:val="001B3E3E"/>
    <w:rsid w:val="001C1AA1"/>
    <w:rsid w:val="001E1FF0"/>
    <w:rsid w:val="001F1A4C"/>
    <w:rsid w:val="002331E0"/>
    <w:rsid w:val="00246B41"/>
    <w:rsid w:val="00291208"/>
    <w:rsid w:val="003161DB"/>
    <w:rsid w:val="00321027"/>
    <w:rsid w:val="00341F00"/>
    <w:rsid w:val="00346EAE"/>
    <w:rsid w:val="00417CB2"/>
    <w:rsid w:val="00493817"/>
    <w:rsid w:val="00514F34"/>
    <w:rsid w:val="00541ABC"/>
    <w:rsid w:val="00593394"/>
    <w:rsid w:val="005A743F"/>
    <w:rsid w:val="005D3CDD"/>
    <w:rsid w:val="005E4133"/>
    <w:rsid w:val="005E5F9A"/>
    <w:rsid w:val="006A0A91"/>
    <w:rsid w:val="006E7F89"/>
    <w:rsid w:val="006F0D98"/>
    <w:rsid w:val="007B7BD9"/>
    <w:rsid w:val="00822AC3"/>
    <w:rsid w:val="00884092"/>
    <w:rsid w:val="008F009F"/>
    <w:rsid w:val="0090679B"/>
    <w:rsid w:val="0093454A"/>
    <w:rsid w:val="009E5083"/>
    <w:rsid w:val="009F0E93"/>
    <w:rsid w:val="00A0308D"/>
    <w:rsid w:val="00A65A76"/>
    <w:rsid w:val="00AB4B65"/>
    <w:rsid w:val="00AF4F67"/>
    <w:rsid w:val="00BF2BC8"/>
    <w:rsid w:val="00BF71BD"/>
    <w:rsid w:val="00C03D9C"/>
    <w:rsid w:val="00C300CD"/>
    <w:rsid w:val="00C30AE0"/>
    <w:rsid w:val="00C44443"/>
    <w:rsid w:val="00C92DA9"/>
    <w:rsid w:val="00CC6EA6"/>
    <w:rsid w:val="00CD2955"/>
    <w:rsid w:val="00CE0EB4"/>
    <w:rsid w:val="00D1268E"/>
    <w:rsid w:val="00DA0543"/>
    <w:rsid w:val="00DB3E73"/>
    <w:rsid w:val="00DB5741"/>
    <w:rsid w:val="00DB7EBB"/>
    <w:rsid w:val="00DD5352"/>
    <w:rsid w:val="00DE1F45"/>
    <w:rsid w:val="00DF25F1"/>
    <w:rsid w:val="00E50F5B"/>
    <w:rsid w:val="00E648D6"/>
    <w:rsid w:val="00E85BA9"/>
    <w:rsid w:val="00EE34CE"/>
    <w:rsid w:val="00F01F3C"/>
    <w:rsid w:val="00F27AA1"/>
    <w:rsid w:val="00F74EF3"/>
    <w:rsid w:val="01757F74"/>
    <w:rsid w:val="0A667E21"/>
    <w:rsid w:val="0DA41AC3"/>
    <w:rsid w:val="0FE26F7E"/>
    <w:rsid w:val="1F7C3EC7"/>
    <w:rsid w:val="2B28436D"/>
    <w:rsid w:val="3F9212E0"/>
    <w:rsid w:val="448F3D3D"/>
    <w:rsid w:val="4F1A0C8D"/>
    <w:rsid w:val="5A320964"/>
    <w:rsid w:val="5BBC1247"/>
    <w:rsid w:val="5D9A7F4C"/>
    <w:rsid w:val="5DD4512E"/>
    <w:rsid w:val="69F74A65"/>
    <w:rsid w:val="6FB44CE9"/>
    <w:rsid w:val="77C91495"/>
    <w:rsid w:val="7F90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228CE3"/>
  <w15:docId w15:val="{738E12C9-DD05-445A-BBFD-B1B9605B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jc w:val="center"/>
    </w:pPr>
    <w:rPr>
      <w:rFonts w:asciiTheme="minorHAnsi" w:eastAsiaTheme="minorEastAsia" w:hAnsiTheme="minorHAnsi" w:cstheme="minorBidi"/>
      <w:kern w:val="2"/>
      <w:sz w:val="21"/>
      <w:szCs w:val="22"/>
      <w:lang w:val="en-US" w:eastAsia="zh-CN"/>
      <w14:ligatures w14:val="standardContextual"/>
    </w:rPr>
  </w:style>
  <w:style w:type="paragraph" w:styleId="Heading1">
    <w:name w:val="heading 1"/>
    <w:basedOn w:val="Normal"/>
    <w:next w:val="Normal"/>
    <w:link w:val="Heading1Char"/>
    <w:qFormat/>
    <w:pPr>
      <w:widowControl w:val="0"/>
      <w:spacing w:before="0"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b/>
      <w:bCs/>
      <w:sz w:val="28"/>
      <w:szCs w:val="32"/>
    </w:rPr>
  </w:style>
  <w:style w:type="paragraph" w:styleId="Heading3">
    <w:name w:val="heading 3"/>
    <w:basedOn w:val="Normal"/>
    <w:next w:val="Normal"/>
    <w:uiPriority w:val="9"/>
    <w:semiHidden/>
    <w:unhideWhenUsed/>
    <w:qFormat/>
    <w:pPr>
      <w:spacing w:before="0"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SimSun" w:eastAsia="SimSun" w:hAnsi="SimSun" w:cs="Times New Roman"/>
      <w:b/>
      <w:bCs/>
      <w:kern w:val="44"/>
      <w:sz w:val="48"/>
      <w:szCs w:val="48"/>
    </w:rPr>
  </w:style>
  <w:style w:type="character" w:styleId="Hyperlink">
    <w:name w:val="Hyperlink"/>
    <w:basedOn w:val="DefaultParagraphFont"/>
    <w:uiPriority w:val="99"/>
    <w:unhideWhenUsed/>
    <w:rsid w:val="0093454A"/>
    <w:rPr>
      <w:color w:val="0563C1" w:themeColor="hyperlink"/>
      <w:u w:val="single"/>
    </w:rPr>
  </w:style>
  <w:style w:type="character" w:styleId="UnresolvedMention">
    <w:name w:val="Unresolved Mention"/>
    <w:basedOn w:val="DefaultParagraphFont"/>
    <w:uiPriority w:val="99"/>
    <w:semiHidden/>
    <w:unhideWhenUsed/>
    <w:rsid w:val="0093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2.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3866</Words>
  <Characters>22039</Characters>
  <Application>Microsoft Office Word</Application>
  <DocSecurity>0</DocSecurity>
  <Lines>183</Lines>
  <Paragraphs>51</Paragraphs>
  <ScaleCrop>false</ScaleCrop>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Jingzhong Zhang</dc:creator>
  <cp:lastModifiedBy>SDI 1166</cp:lastModifiedBy>
  <cp:revision>38</cp:revision>
  <dcterms:created xsi:type="dcterms:W3CDTF">2024-05-06T08:31:00Z</dcterms:created>
  <dcterms:modified xsi:type="dcterms:W3CDTF">2026-04-09T08:34:00Z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BBA6CE441D784B978221EC2B0CD64E3B_13</vt:lpwstr>
  </property>
  <property fmtid="{D5CDD505-2E9C-101B-9397-08002B2CF9AE}" pid="4" name="KSOTemplateDocerSaveRecord">
    <vt:lpwstr>eyJoZGlkIjoiYTE5NTYzZGE2NzIyNWI5ODVkMzQzNWEwMGEzNmE5NTgiLCJ1c2VySWQiOiI0MTg0MzU1NjUifQ==</vt:lpwstr>
  </property>
  <property fmtid="{D5CDD505-2E9C-101B-9397-08002B2CF9AE}" pid="5" name="GrammarlyDocumentId">
    <vt:lpwstr>2c225574-259f-4859-b90d-532beaba5e4c</vt:lpwstr>
  </property>
</Properties>
</file>