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12373" w14:textId="77777777" w:rsidR="004938E8" w:rsidRPr="004938E8" w:rsidRDefault="004938E8" w:rsidP="004938E8">
      <w:pPr>
        <w:rPr>
          <w:rFonts w:ascii="Times New Roman" w:eastAsia="SimHei" w:hAnsi="Times New Roman" w:cs="Times New Roman"/>
          <w:b/>
          <w:bCs/>
          <w:i/>
          <w:iCs/>
          <w:sz w:val="44"/>
          <w:szCs w:val="44"/>
          <w:u w:val="single"/>
        </w:rPr>
      </w:pPr>
      <w:r w:rsidRPr="004938E8">
        <w:rPr>
          <w:rFonts w:ascii="Times New Roman" w:eastAsia="SimHei" w:hAnsi="Times New Roman" w:cs="Times New Roman"/>
          <w:b/>
          <w:bCs/>
          <w:i/>
          <w:iCs/>
          <w:sz w:val="44"/>
          <w:szCs w:val="44"/>
          <w:u w:val="single"/>
        </w:rPr>
        <w:t>Original Research Article</w:t>
      </w:r>
    </w:p>
    <w:p w14:paraId="1334A6D6" w14:textId="77777777" w:rsidR="00F0779B" w:rsidRDefault="00840882">
      <w:pPr>
        <w:rPr>
          <w:rFonts w:ascii="Times New Roman" w:eastAsia="SimHei" w:hAnsi="Times New Roman" w:cs="Times New Roman"/>
          <w:b/>
          <w:bCs/>
          <w:sz w:val="44"/>
          <w:szCs w:val="44"/>
        </w:rPr>
      </w:pPr>
      <w:r>
        <w:rPr>
          <w:rFonts w:ascii="Times New Roman" w:eastAsia="SimHei" w:hAnsi="Times New Roman" w:cs="Times New Roman" w:hint="eastAsia"/>
          <w:b/>
          <w:bCs/>
          <w:sz w:val="44"/>
          <w:szCs w:val="44"/>
        </w:rPr>
        <w:t>Optimization of Fly Ash-Slag Based Cementitious Material Proportions Based on Response Surface Method</w:t>
      </w:r>
    </w:p>
    <w:p w14:paraId="55EC098A" w14:textId="77777777" w:rsidR="007C0372" w:rsidRDefault="007C0372">
      <w:pPr>
        <w:widowControl w:val="0"/>
        <w:spacing w:before="0" w:beforeAutospacing="0"/>
        <w:jc w:val="both"/>
        <w:rPr>
          <w:rFonts w:ascii="Times New Roman" w:eastAsia="SimSun" w:hAnsi="Times New Roman" w:cs="Times New Roman"/>
          <w:b/>
          <w:bCs/>
          <w:sz w:val="18"/>
          <w:szCs w:val="18"/>
          <w14:ligatures w14:val="none"/>
        </w:rPr>
      </w:pPr>
    </w:p>
    <w:p w14:paraId="68662741" w14:textId="13C3B464" w:rsidR="00F0779B" w:rsidRDefault="00840882">
      <w:pPr>
        <w:widowControl w:val="0"/>
        <w:spacing w:before="0" w:beforeAutospacing="0"/>
        <w:jc w:val="both"/>
        <w:rPr>
          <w:rFonts w:ascii="Times New Roman" w:eastAsia="SimSun" w:hAnsi="Times New Roman" w:cs="Times New Roman"/>
          <w:sz w:val="18"/>
          <w:szCs w:val="18"/>
        </w:rPr>
      </w:pPr>
      <w:bookmarkStart w:id="0" w:name="_GoBack"/>
      <w:bookmarkEnd w:id="0"/>
      <w:r>
        <w:rPr>
          <w:rFonts w:ascii="Times New Roman" w:eastAsia="SimSun" w:hAnsi="Times New Roman" w:cs="Times New Roman"/>
          <w:b/>
          <w:bCs/>
          <w:sz w:val="18"/>
          <w:szCs w:val="18"/>
          <w14:ligatures w14:val="none"/>
        </w:rPr>
        <w:t xml:space="preserve">Abstract: </w:t>
      </w:r>
      <w:r>
        <w:rPr>
          <w:rFonts w:ascii="Times New Roman" w:eastAsia="SimSun" w:hAnsi="Times New Roman" w:cs="Times New Roman" w:hint="eastAsia"/>
          <w:sz w:val="18"/>
          <w:szCs w:val="18"/>
        </w:rPr>
        <w:t xml:space="preserve">Fly ash, slag, and carbide slag are wastes generated from industrial production. As bulk industrial solid wastes, the </w:t>
      </w:r>
      <w:r>
        <w:rPr>
          <w:rFonts w:ascii="Times New Roman" w:eastAsia="SimSun" w:hAnsi="Times New Roman" w:cs="Times New Roman" w:hint="eastAsia"/>
          <w:sz w:val="18"/>
          <w:szCs w:val="18"/>
        </w:rPr>
        <w:t>efficient utilization of these industrial by-products has long been a pressing issue. Research on these wastes has been increasing both domestically and internationally, and wastes such as fly ash have been widely applied, particularly in the field of civi</w:t>
      </w:r>
      <w:r>
        <w:rPr>
          <w:rFonts w:ascii="Times New Roman" w:eastAsia="SimSun" w:hAnsi="Times New Roman" w:cs="Times New Roman" w:hint="eastAsia"/>
          <w:sz w:val="18"/>
          <w:szCs w:val="18"/>
        </w:rPr>
        <w:t>l construction materials. They can not only be used as raw materials for cement but also as admixtures in construction mortar and concrete, aiming to achieve high-performance utilization by optimizing the proportioning of cementitious materials. However, t</w:t>
      </w:r>
      <w:r>
        <w:rPr>
          <w:rFonts w:ascii="Times New Roman" w:eastAsia="SimSun" w:hAnsi="Times New Roman" w:cs="Times New Roman" w:hint="eastAsia"/>
          <w:sz w:val="18"/>
          <w:szCs w:val="18"/>
        </w:rPr>
        <w:t>here are still challenges in the optimal mix design of solid waste-based materials. By scientifically optimizing the mix proportions, the core properties of cementitious materials, such as strength and durability, can be precisely regulated, addressing the</w:t>
      </w:r>
      <w:r>
        <w:rPr>
          <w:rFonts w:ascii="Times New Roman" w:eastAsia="SimSun" w:hAnsi="Times New Roman" w:cs="Times New Roman" w:hint="eastAsia"/>
          <w:sz w:val="18"/>
          <w:szCs w:val="18"/>
        </w:rPr>
        <w:t xml:space="preserve"> issue of performance fluctuations caused by solid waste incorporation and ensuring they meet the requirements of various construction scenarios. This study optimizes the proportion of fly ash-slag-based all-solid waste cementitious materials using the res</w:t>
      </w:r>
      <w:r>
        <w:rPr>
          <w:rFonts w:ascii="Times New Roman" w:eastAsia="SimSun" w:hAnsi="Times New Roman" w:cs="Times New Roman" w:hint="eastAsia"/>
          <w:sz w:val="18"/>
          <w:szCs w:val="18"/>
        </w:rPr>
        <w:t>ponse surface methodology, exploring the interactions between activators and solid waste materials.</w:t>
      </w:r>
    </w:p>
    <w:p w14:paraId="31FCC647" w14:textId="77777777" w:rsidR="00F0779B" w:rsidRDefault="00840882">
      <w:pPr>
        <w:widowControl w:val="0"/>
        <w:spacing w:before="0" w:beforeAutospacing="0"/>
        <w:jc w:val="both"/>
        <w:rPr>
          <w:rFonts w:ascii="Times New Roman" w:eastAsia="SimSun" w:hAnsi="Times New Roman" w:cs="Times New Roman"/>
          <w:sz w:val="18"/>
          <w:szCs w:val="18"/>
        </w:rPr>
      </w:pPr>
      <w:r>
        <w:rPr>
          <w:rFonts w:ascii="Times New Roman" w:eastAsia="SimSun" w:hAnsi="Times New Roman" w:cs="Times New Roman"/>
          <w:b/>
          <w:bCs/>
          <w:sz w:val="18"/>
          <w:szCs w:val="18"/>
          <w14:ligatures w14:val="none"/>
        </w:rPr>
        <w:t xml:space="preserve">Keywords: </w:t>
      </w:r>
      <w:r>
        <w:rPr>
          <w:rFonts w:ascii="Times New Roman" w:eastAsia="SimSun" w:hAnsi="Times New Roman" w:cs="Times New Roman" w:hint="eastAsia"/>
          <w:sz w:val="18"/>
          <w:szCs w:val="18"/>
        </w:rPr>
        <w:t>Response Surface Method; Solid Waste Materials; Mix Proportion Optimization.</w:t>
      </w:r>
    </w:p>
    <w:p w14:paraId="494F52AE" w14:textId="77777777" w:rsidR="00F0779B" w:rsidRDefault="00840882">
      <w:pPr>
        <w:pStyle w:val="ListParagraph"/>
        <w:widowControl w:val="0"/>
        <w:numPr>
          <w:ilvl w:val="0"/>
          <w:numId w:val="1"/>
        </w:numPr>
        <w:spacing w:before="0" w:beforeAutospacing="0"/>
        <w:ind w:firstLineChars="0"/>
        <w:jc w:val="both"/>
        <w:rPr>
          <w:rFonts w:ascii="Times New Roman" w:eastAsia="SimSun" w:hAnsi="Times New Roman" w:cs="Times New Roman"/>
          <w:b/>
          <w:bCs/>
          <w:sz w:val="28"/>
          <w:szCs w:val="28"/>
          <w14:ligatures w14:val="none"/>
        </w:rPr>
      </w:pPr>
      <w:r>
        <w:rPr>
          <w:rFonts w:ascii="Times New Roman" w:eastAsia="SimSun" w:hAnsi="Times New Roman" w:cs="Times New Roman"/>
          <w:b/>
          <w:bCs/>
          <w:sz w:val="28"/>
          <w:szCs w:val="28"/>
          <w14:ligatures w14:val="none"/>
        </w:rPr>
        <w:t>Introduction</w:t>
      </w:r>
    </w:p>
    <w:p w14:paraId="0323C298" w14:textId="77777777" w:rsidR="00F0779B" w:rsidRDefault="00840882">
      <w:pPr>
        <w:adjustRightInd w:val="0"/>
        <w:snapToGrid w:val="0"/>
        <w:spacing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Total</w:t>
      </w:r>
      <w:r>
        <w:rPr>
          <w:rFonts w:ascii="Times New Roman" w:hAnsi="Times New Roman" w:cs="Times New Roman"/>
          <w:color w:val="000000" w:themeColor="text1"/>
          <w:szCs w:val="21"/>
        </w:rPr>
        <w:t>-solid-waste cementitious materials are one of the core green materials for realizing the resource utilization of industrial solid waste and promoting low-carbon and sustainable development in civil engineering. However, due to inherent factors such as the</w:t>
      </w:r>
      <w:r>
        <w:rPr>
          <w:rFonts w:ascii="Times New Roman" w:hAnsi="Times New Roman" w:cs="Times New Roman"/>
          <w:color w:val="000000" w:themeColor="text1"/>
          <w:szCs w:val="21"/>
        </w:rPr>
        <w:t xml:space="preserve"> complexity of solid waste raw materials, significant differences in activity, and imbalanced component matching, as well as external conditions like temperature variations, wet-dry cycles, and chemical medium erosion in service environments, the mix desig</w:t>
      </w:r>
      <w:r>
        <w:rPr>
          <w:rFonts w:ascii="Times New Roman" w:hAnsi="Times New Roman" w:cs="Times New Roman"/>
          <w:color w:val="000000" w:themeColor="text1"/>
          <w:szCs w:val="21"/>
        </w:rPr>
        <w:t>n of all-solid-waste cementitious materials often faces numerous challenges. An unreasonable mix not only leads to insufficient mechanical performance and decreased volumetric stability of the material but also reduces durability properties such as imperme</w:t>
      </w:r>
      <w:r>
        <w:rPr>
          <w:rFonts w:ascii="Times New Roman" w:hAnsi="Times New Roman" w:cs="Times New Roman"/>
          <w:color w:val="000000" w:themeColor="text1"/>
          <w:szCs w:val="21"/>
        </w:rPr>
        <w:t xml:space="preserve">ability and frost resistance, thereby affecting the long-term service quality and safety reliability of engineering structures built with these materials. Therefore, conducting mix optimization studies for all-solid-waste cementitious materials to achieve </w:t>
      </w:r>
      <w:r>
        <w:rPr>
          <w:rFonts w:ascii="Times New Roman" w:hAnsi="Times New Roman" w:cs="Times New Roman"/>
          <w:color w:val="000000" w:themeColor="text1"/>
          <w:szCs w:val="21"/>
        </w:rPr>
        <w:t xml:space="preserve">scientific component matching and performance synergy is of significant engineering application </w:t>
      </w:r>
      <w:proofErr w:type="gramStart"/>
      <w:r>
        <w:rPr>
          <w:rFonts w:ascii="Times New Roman" w:hAnsi="Times New Roman" w:cs="Times New Roman"/>
          <w:color w:val="000000" w:themeColor="text1"/>
          <w:szCs w:val="21"/>
        </w:rPr>
        <w:t>value</w:t>
      </w:r>
      <w:r>
        <w:rPr>
          <w:rFonts w:ascii="Times New Roman" w:hAnsi="Times New Roman" w:cs="Times New Roman"/>
          <w:color w:val="000000" w:themeColor="text1"/>
          <w:szCs w:val="21"/>
          <w:vertAlign w:val="superscript"/>
        </w:rPr>
        <w:t>[</w:t>
      </w:r>
      <w:proofErr w:type="gramEnd"/>
      <w:r>
        <w:rPr>
          <w:rFonts w:ascii="Times New Roman" w:hAnsi="Times New Roman" w:cs="Times New Roman"/>
          <w:color w:val="000000" w:themeColor="text1"/>
          <w:szCs w:val="21"/>
          <w:vertAlign w:val="superscript"/>
        </w:rPr>
        <w:t>1]</w:t>
      </w:r>
      <w:r>
        <w:rPr>
          <w:rFonts w:ascii="Times New Roman" w:hAnsi="Times New Roman" w:cs="Times New Roman"/>
          <w:color w:val="000000" w:themeColor="text1"/>
          <w:szCs w:val="21"/>
        </w:rPr>
        <w:t>. Traditional mix design methods largely rely on empirical formulas or single performance index optimization, which have limitations such as weak specif</w:t>
      </w:r>
      <w:r>
        <w:rPr>
          <w:rFonts w:ascii="Times New Roman" w:hAnsi="Times New Roman" w:cs="Times New Roman"/>
          <w:color w:val="000000" w:themeColor="text1"/>
          <w:szCs w:val="21"/>
        </w:rPr>
        <w:t>icity and poor multi-objective optimization effects, and they are difficult to fully adapt to the characteristic differences of solid waste from various sources. This restricts the full potential performance of all-solid-waste cementitious materials and th</w:t>
      </w:r>
      <w:r>
        <w:rPr>
          <w:rFonts w:ascii="Times New Roman" w:hAnsi="Times New Roman" w:cs="Times New Roman"/>
          <w:color w:val="000000" w:themeColor="text1"/>
          <w:szCs w:val="21"/>
        </w:rPr>
        <w:t xml:space="preserve">e expansion of their engineering application </w:t>
      </w:r>
      <w:proofErr w:type="gramStart"/>
      <w:r>
        <w:rPr>
          <w:rFonts w:ascii="Times New Roman" w:hAnsi="Times New Roman" w:cs="Times New Roman"/>
          <w:color w:val="000000" w:themeColor="text1"/>
          <w:szCs w:val="21"/>
        </w:rPr>
        <w:t>scope</w:t>
      </w:r>
      <w:r>
        <w:rPr>
          <w:rFonts w:ascii="Times New Roman" w:hAnsi="Times New Roman" w:cs="Times New Roman"/>
          <w:color w:val="000000" w:themeColor="text1"/>
          <w:szCs w:val="21"/>
          <w:vertAlign w:val="superscript"/>
        </w:rPr>
        <w:t>[</w:t>
      </w:r>
      <w:proofErr w:type="gramEnd"/>
      <w:r>
        <w:rPr>
          <w:rFonts w:ascii="Times New Roman" w:hAnsi="Times New Roman" w:cs="Times New Roman"/>
          <w:color w:val="000000" w:themeColor="text1"/>
          <w:szCs w:val="21"/>
          <w:vertAlign w:val="superscript"/>
        </w:rPr>
        <w:t>2-6]</w:t>
      </w:r>
      <w:r>
        <w:rPr>
          <w:rFonts w:ascii="Times New Roman" w:hAnsi="Times New Roman" w:cs="Times New Roman"/>
          <w:color w:val="000000" w:themeColor="text1"/>
          <w:szCs w:val="21"/>
        </w:rPr>
        <w:t xml:space="preserve">. Therefore, developing new and efficient methods and technologies for optimizing the mix of all-solid-waste </w:t>
      </w:r>
      <w:r>
        <w:rPr>
          <w:rFonts w:ascii="Times New Roman" w:hAnsi="Times New Roman" w:cs="Times New Roman"/>
          <w:color w:val="000000" w:themeColor="text1"/>
          <w:szCs w:val="21"/>
        </w:rPr>
        <w:lastRenderedPageBreak/>
        <w:t>cementitious materials is of important practical research significance for promoting their l</w:t>
      </w:r>
      <w:r>
        <w:rPr>
          <w:rFonts w:ascii="Times New Roman" w:hAnsi="Times New Roman" w:cs="Times New Roman"/>
          <w:color w:val="000000" w:themeColor="text1"/>
          <w:szCs w:val="21"/>
        </w:rPr>
        <w:t>arge-scale and high-value application.</w:t>
      </w:r>
    </w:p>
    <w:p w14:paraId="0DECEB7B" w14:textId="77777777" w:rsidR="00F0779B" w:rsidRDefault="00840882">
      <w:pPr>
        <w:widowControl w:val="0"/>
        <w:spacing w:before="0" w:beforeAutospacing="0"/>
        <w:ind w:firstLineChars="200" w:firstLine="420"/>
        <w:jc w:val="both"/>
        <w:rPr>
          <w:rFonts w:ascii="Times New Roman" w:eastAsia="SimSun" w:hAnsi="Times New Roman" w:cs="Times New Roman"/>
          <w:b/>
          <w:bCs/>
          <w:sz w:val="28"/>
          <w:szCs w:val="28"/>
          <w14:ligatures w14:val="none"/>
        </w:rPr>
      </w:pPr>
      <w:r>
        <w:rPr>
          <w:rFonts w:ascii="Times New Roman" w:hAnsi="Times New Roman" w:cs="Times New Roman"/>
          <w:color w:val="000000" w:themeColor="text1"/>
          <w:szCs w:val="21"/>
        </w:rPr>
        <w:t xml:space="preserve">Some </w:t>
      </w:r>
      <w:proofErr w:type="gramStart"/>
      <w:r>
        <w:rPr>
          <w:rFonts w:ascii="Times New Roman" w:hAnsi="Times New Roman" w:cs="Times New Roman"/>
          <w:color w:val="000000" w:themeColor="text1"/>
          <w:szCs w:val="21"/>
        </w:rPr>
        <w:t>scholars</w:t>
      </w:r>
      <w:r>
        <w:rPr>
          <w:rFonts w:ascii="Times New Roman" w:hAnsi="Times New Roman" w:cs="Times New Roman"/>
          <w:color w:val="000000" w:themeColor="text1"/>
          <w:szCs w:val="21"/>
          <w:vertAlign w:val="superscript"/>
        </w:rPr>
        <w:t>[</w:t>
      </w:r>
      <w:proofErr w:type="gramEnd"/>
      <w:r>
        <w:rPr>
          <w:rFonts w:ascii="Times New Roman" w:hAnsi="Times New Roman" w:cs="Times New Roman"/>
          <w:color w:val="000000" w:themeColor="text1"/>
          <w:szCs w:val="21"/>
          <w:vertAlign w:val="superscript"/>
        </w:rPr>
        <w:t>7]</w:t>
      </w:r>
      <w:r>
        <w:rPr>
          <w:rFonts w:ascii="Times New Roman" w:hAnsi="Times New Roman" w:cs="Times New Roman"/>
          <w:color w:val="000000" w:themeColor="text1"/>
          <w:szCs w:val="21"/>
        </w:rPr>
        <w:t xml:space="preserve"> have used steel slag, red mud, and desulfurization gypsum to prepare composite cementitious materials, and the synergistic effect of steel slag and red mud improves the mechanical properties of the ce</w:t>
      </w:r>
      <w:r>
        <w:rPr>
          <w:rFonts w:ascii="Times New Roman" w:hAnsi="Times New Roman" w:cs="Times New Roman"/>
          <w:color w:val="000000" w:themeColor="text1"/>
          <w:szCs w:val="21"/>
        </w:rPr>
        <w:t xml:space="preserve">mentitious materials. Other </w:t>
      </w:r>
      <w:proofErr w:type="gramStart"/>
      <w:r>
        <w:rPr>
          <w:rFonts w:ascii="Times New Roman" w:hAnsi="Times New Roman" w:cs="Times New Roman"/>
          <w:color w:val="000000" w:themeColor="text1"/>
          <w:szCs w:val="21"/>
        </w:rPr>
        <w:t>scholars</w:t>
      </w:r>
      <w:r>
        <w:rPr>
          <w:rFonts w:ascii="Times New Roman" w:hAnsi="Times New Roman" w:cs="Times New Roman"/>
          <w:color w:val="000000" w:themeColor="text1"/>
          <w:szCs w:val="21"/>
          <w:vertAlign w:val="superscript"/>
        </w:rPr>
        <w:t>[</w:t>
      </w:r>
      <w:proofErr w:type="gramEnd"/>
      <w:r>
        <w:rPr>
          <w:rFonts w:ascii="Times New Roman" w:hAnsi="Times New Roman" w:cs="Times New Roman"/>
          <w:color w:val="000000" w:themeColor="text1"/>
          <w:szCs w:val="21"/>
          <w:vertAlign w:val="superscript"/>
        </w:rPr>
        <w:t>8]</w:t>
      </w:r>
      <w:r>
        <w:rPr>
          <w:rFonts w:ascii="Times New Roman" w:hAnsi="Times New Roman" w:cs="Times New Roman"/>
          <w:color w:val="000000" w:themeColor="text1"/>
          <w:szCs w:val="21"/>
        </w:rPr>
        <w:t xml:space="preserve"> have used alkaline slag, slag, steel slag, and desulfurization gypsum as composite cementitious materials, and iron tailings sand and waste stone as aggregates to prepare clinker-free concrete. When the cementitious </w:t>
      </w:r>
      <w:r>
        <w:rPr>
          <w:rFonts w:ascii="Times New Roman" w:hAnsi="Times New Roman" w:cs="Times New Roman"/>
          <w:color w:val="000000" w:themeColor="text1"/>
          <w:szCs w:val="21"/>
        </w:rPr>
        <w:t>materials contain 30% alkaline slag, 45% slag, 15% steel slag, and 10% desulfurization gypsum, the 28-day compressive strength of the concrete can reach 38.3 MPa, with good frost resistance and carbonation resistance, but the drying shrinkage and sulfate a</w:t>
      </w:r>
      <w:r>
        <w:rPr>
          <w:rFonts w:ascii="Times New Roman" w:hAnsi="Times New Roman" w:cs="Times New Roman"/>
          <w:color w:val="000000" w:themeColor="text1"/>
          <w:szCs w:val="21"/>
        </w:rPr>
        <w:t xml:space="preserve">ttack resistance are poor. Some </w:t>
      </w:r>
      <w:proofErr w:type="gramStart"/>
      <w:r>
        <w:rPr>
          <w:rFonts w:ascii="Times New Roman" w:hAnsi="Times New Roman" w:cs="Times New Roman"/>
          <w:color w:val="000000" w:themeColor="text1"/>
          <w:szCs w:val="21"/>
        </w:rPr>
        <w:t>scholars</w:t>
      </w:r>
      <w:r>
        <w:rPr>
          <w:rFonts w:ascii="Times New Roman" w:hAnsi="Times New Roman" w:cs="Times New Roman"/>
          <w:color w:val="000000" w:themeColor="text1"/>
          <w:szCs w:val="21"/>
          <w:vertAlign w:val="superscript"/>
        </w:rPr>
        <w:t>[</w:t>
      </w:r>
      <w:proofErr w:type="gramEnd"/>
      <w:r>
        <w:rPr>
          <w:rFonts w:ascii="Times New Roman" w:hAnsi="Times New Roman" w:cs="Times New Roman"/>
          <w:color w:val="000000" w:themeColor="text1"/>
          <w:szCs w:val="21"/>
          <w:vertAlign w:val="superscript"/>
        </w:rPr>
        <w:t>9-10]</w:t>
      </w:r>
      <w:r>
        <w:rPr>
          <w:rFonts w:ascii="Times New Roman" w:hAnsi="Times New Roman" w:cs="Times New Roman"/>
          <w:color w:val="000000" w:themeColor="text1"/>
          <w:szCs w:val="21"/>
        </w:rPr>
        <w:t xml:space="preserve"> have proposed a slag-fly ash-red mud-desulfurization gypsum solid waste-based cementitious material, where the promotion of hydration by red mud allows the 3-day strength of the solid waste-based cementitious </w:t>
      </w:r>
      <w:r>
        <w:rPr>
          <w:rFonts w:ascii="Times New Roman" w:hAnsi="Times New Roman" w:cs="Times New Roman"/>
          <w:color w:val="000000" w:themeColor="text1"/>
          <w:szCs w:val="21"/>
        </w:rPr>
        <w:t>material to exceed 30 MPa.</w:t>
      </w:r>
    </w:p>
    <w:p w14:paraId="5512923F" w14:textId="77777777" w:rsidR="00F0779B" w:rsidRDefault="00840882">
      <w:pPr>
        <w:widowControl w:val="0"/>
        <w:numPr>
          <w:ilvl w:val="0"/>
          <w:numId w:val="1"/>
        </w:numPr>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Experimental Materials and Methods</w:t>
      </w:r>
    </w:p>
    <w:p w14:paraId="44814D15" w14:textId="77777777" w:rsidR="00F0779B" w:rsidRDefault="00840882">
      <w:pPr>
        <w:adjustRightInd w:val="0"/>
        <w:snapToGrid w:val="0"/>
        <w:spacing w:before="0" w:beforeAutospacing="0" w:line="300" w:lineRule="auto"/>
        <w:ind w:firstLineChars="200" w:firstLine="420"/>
        <w:jc w:val="both"/>
        <w:rPr>
          <w:rFonts w:ascii="Times New Roman" w:eastAsia="SimSun" w:hAnsi="Times New Roman" w:cs="Times New Roman"/>
          <w:b/>
          <w:bCs/>
          <w:color w:val="000000" w:themeColor="text1"/>
          <w:szCs w:val="21"/>
          <w14:ligatures w14:val="none"/>
        </w:rPr>
      </w:pPr>
      <w:r>
        <w:rPr>
          <w:rFonts w:ascii="Times New Roman" w:hAnsi="Times New Roman" w:cs="Times New Roman"/>
          <w:color w:val="000000" w:themeColor="text1"/>
          <w:szCs w:val="21"/>
        </w:rPr>
        <w:t xml:space="preserve">The materials used for preparing fly ash-slag-based cementitious materials include fly ash, granulated blast furnace slag powder, calcium carbide slag, desulfurized gypsum, standard sand, and </w:t>
      </w:r>
      <w:r>
        <w:rPr>
          <w:rFonts w:ascii="Times New Roman" w:hAnsi="Times New Roman" w:cs="Times New Roman"/>
          <w:color w:val="000000" w:themeColor="text1"/>
          <w:szCs w:val="21"/>
        </w:rPr>
        <w:t>water.</w:t>
      </w:r>
    </w:p>
    <w:p w14:paraId="2F77026F" w14:textId="77777777" w:rsidR="00F0779B" w:rsidRDefault="00840882">
      <w:pPr>
        <w:adjustRightInd w:val="0"/>
        <w:snapToGrid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2</w:t>
      </w:r>
      <w:r>
        <w:rPr>
          <w:rFonts w:ascii="Times New Roman" w:eastAsia="SimSun" w:hAnsi="Times New Roman" w:cs="Times New Roman"/>
          <w:b/>
          <w:bCs/>
          <w:szCs w:val="21"/>
          <w14:ligatures w14:val="none"/>
        </w:rPr>
        <w:t>.1</w:t>
      </w:r>
      <w:r>
        <w:t xml:space="preserve"> </w:t>
      </w:r>
      <w:r>
        <w:rPr>
          <w:rFonts w:ascii="Times New Roman" w:eastAsia="SimSun" w:hAnsi="Times New Roman" w:cs="Times New Roman" w:hint="eastAsia"/>
          <w:b/>
          <w:bCs/>
          <w:szCs w:val="21"/>
          <w14:ligatures w14:val="none"/>
        </w:rPr>
        <w:t>Experimental Raw Materials</w:t>
      </w:r>
    </w:p>
    <w:p w14:paraId="03A53412" w14:textId="77777777" w:rsidR="00F0779B" w:rsidRDefault="00840882">
      <w:pPr>
        <w:adjustRightInd w:val="0"/>
        <w:snapToGrid w:val="0"/>
        <w:spacing w:before="0" w:beforeAutospacing="0" w:line="300" w:lineRule="auto"/>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1</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Fly Ash</w:t>
      </w:r>
    </w:p>
    <w:p w14:paraId="73CB3E8C" w14:textId="77777777" w:rsidR="00F0779B" w:rsidRDefault="00840882">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The fly ash used in this experiment is Class F, Grade II, presenting as a gray powder. Based on the standard "Fly Ash for Use in Cement and Concrete" (GB/T 1596—2017), various basic property tests were condu</w:t>
      </w:r>
      <w:r>
        <w:rPr>
          <w:rFonts w:ascii="Times New Roman" w:hAnsi="Times New Roman" w:cs="Times New Roman"/>
          <w:color w:val="000000" w:themeColor="text1"/>
          <w:szCs w:val="21"/>
        </w:rPr>
        <w:t>cted on the fly ash used in this experiment, and the test results are shown in Table 1. Its chemical composition was analyzed using an X-ray fluorescence spectrometer (XRF), and the chemical composition is shown in Table 2.</w:t>
      </w:r>
    </w:p>
    <w:p w14:paraId="572B80E9" w14:textId="77777777" w:rsidR="00F0779B" w:rsidRDefault="00F0779B">
      <w:pPr>
        <w:adjustRightInd w:val="0"/>
        <w:snapToGrid w:val="0"/>
        <w:spacing w:before="0" w:beforeAutospacing="0"/>
        <w:jc w:val="both"/>
        <w:rPr>
          <w:rFonts w:ascii="Times New Roman" w:hAnsi="Times New Roman" w:cs="Times New Roman"/>
          <w:color w:val="000000" w:themeColor="text1"/>
          <w:szCs w:val="21"/>
        </w:rPr>
      </w:pPr>
    </w:p>
    <w:tbl>
      <w:tblPr>
        <w:tblW w:w="5000" w:type="pct"/>
        <w:tblBorders>
          <w:top w:val="single" w:sz="4" w:space="0" w:color="auto"/>
        </w:tblBorders>
        <w:tblLook w:val="04A0" w:firstRow="1" w:lastRow="0" w:firstColumn="1" w:lastColumn="0" w:noHBand="0" w:noVBand="1"/>
      </w:tblPr>
      <w:tblGrid>
        <w:gridCol w:w="3172"/>
        <w:gridCol w:w="2509"/>
        <w:gridCol w:w="2841"/>
      </w:tblGrid>
      <w:tr w:rsidR="00F0779B" w14:paraId="6BD0BE39" w14:textId="77777777">
        <w:trPr>
          <w:trHeight w:val="365"/>
        </w:trPr>
        <w:tc>
          <w:tcPr>
            <w:tcW w:w="1861" w:type="pct"/>
            <w:tcBorders>
              <w:top w:val="single" w:sz="12" w:space="0" w:color="auto"/>
              <w:bottom w:val="single" w:sz="4" w:space="0" w:color="auto"/>
            </w:tcBorders>
            <w:vAlign w:val="center"/>
          </w:tcPr>
          <w:p w14:paraId="3AFD54D2" w14:textId="77777777" w:rsidR="00F0779B" w:rsidRDefault="00840882">
            <w:pPr>
              <w:spacing w:line="300" w:lineRule="auto"/>
              <w:rPr>
                <w:color w:val="000000" w:themeColor="text1"/>
                <w:szCs w:val="21"/>
              </w:rPr>
            </w:pPr>
            <w:r>
              <w:rPr>
                <w:rFonts w:hint="eastAsia"/>
                <w:color w:val="000000" w:themeColor="text1"/>
                <w:szCs w:val="21"/>
              </w:rPr>
              <w:t>Performance Index</w:t>
            </w:r>
          </w:p>
        </w:tc>
        <w:tc>
          <w:tcPr>
            <w:tcW w:w="1472" w:type="pct"/>
            <w:tcBorders>
              <w:top w:val="single" w:sz="12" w:space="0" w:color="auto"/>
              <w:bottom w:val="single" w:sz="4" w:space="0" w:color="auto"/>
            </w:tcBorders>
            <w:vAlign w:val="center"/>
          </w:tcPr>
          <w:p w14:paraId="23ABBE87" w14:textId="77777777" w:rsidR="00F0779B" w:rsidRDefault="00840882">
            <w:pPr>
              <w:spacing w:line="300" w:lineRule="auto"/>
              <w:rPr>
                <w:color w:val="000000" w:themeColor="text1"/>
                <w:szCs w:val="21"/>
              </w:rPr>
            </w:pPr>
            <w:r>
              <w:rPr>
                <w:rFonts w:hint="eastAsia"/>
                <w:color w:val="000000" w:themeColor="text1"/>
                <w:szCs w:val="21"/>
              </w:rPr>
              <w:t xml:space="preserve">Standard </w:t>
            </w:r>
            <w:r>
              <w:rPr>
                <w:rFonts w:hint="eastAsia"/>
                <w:color w:val="000000" w:themeColor="text1"/>
                <w:szCs w:val="21"/>
              </w:rPr>
              <w:t>Value (Grade II)</w:t>
            </w:r>
          </w:p>
        </w:tc>
        <w:tc>
          <w:tcPr>
            <w:tcW w:w="1667" w:type="pct"/>
            <w:tcBorders>
              <w:top w:val="single" w:sz="12" w:space="0" w:color="auto"/>
              <w:bottom w:val="single" w:sz="4" w:space="0" w:color="auto"/>
            </w:tcBorders>
            <w:vAlign w:val="center"/>
          </w:tcPr>
          <w:p w14:paraId="0EB90A67" w14:textId="77777777" w:rsidR="00F0779B" w:rsidRDefault="00840882">
            <w:pPr>
              <w:spacing w:line="300" w:lineRule="auto"/>
              <w:rPr>
                <w:color w:val="000000" w:themeColor="text1"/>
                <w:szCs w:val="21"/>
              </w:rPr>
            </w:pPr>
            <w:r>
              <w:rPr>
                <w:rFonts w:hint="eastAsia"/>
                <w:color w:val="000000" w:themeColor="text1"/>
                <w:szCs w:val="21"/>
              </w:rPr>
              <w:t>Measured Value</w:t>
            </w:r>
          </w:p>
        </w:tc>
      </w:tr>
      <w:tr w:rsidR="00F0779B" w14:paraId="4C78BAB4" w14:textId="77777777">
        <w:trPr>
          <w:trHeight w:val="365"/>
        </w:trPr>
        <w:tc>
          <w:tcPr>
            <w:tcW w:w="1861" w:type="pct"/>
            <w:tcBorders>
              <w:top w:val="single" w:sz="4" w:space="0" w:color="auto"/>
            </w:tcBorders>
            <w:vAlign w:val="center"/>
          </w:tcPr>
          <w:p w14:paraId="421E8260" w14:textId="77777777" w:rsidR="00F0779B" w:rsidRDefault="00840882">
            <w:pPr>
              <w:spacing w:line="300" w:lineRule="auto"/>
              <w:rPr>
                <w:color w:val="000000" w:themeColor="text1"/>
                <w:szCs w:val="21"/>
              </w:rPr>
            </w:pPr>
            <w:r>
              <w:rPr>
                <w:rFonts w:hint="eastAsia"/>
                <w:color w:val="000000" w:themeColor="text1"/>
                <w:szCs w:val="21"/>
              </w:rPr>
              <w:t xml:space="preserve">Density </w:t>
            </w:r>
            <w:r>
              <w:rPr>
                <w:color w:val="000000" w:themeColor="text1"/>
                <w:szCs w:val="21"/>
              </w:rPr>
              <w:t>/</w:t>
            </w:r>
            <w:r>
              <w:rPr>
                <w:color w:val="000000" w:themeColor="text1"/>
                <w:szCs w:val="21"/>
              </w:rPr>
              <w:t>（</w:t>
            </w:r>
            <w:r>
              <w:rPr>
                <w:color w:val="000000" w:themeColor="text1"/>
                <w:szCs w:val="21"/>
              </w:rPr>
              <w:t>g/cm</w:t>
            </w:r>
            <w:r>
              <w:rPr>
                <w:color w:val="000000" w:themeColor="text1"/>
                <w:szCs w:val="21"/>
                <w:vertAlign w:val="superscript"/>
              </w:rPr>
              <w:t>3</w:t>
            </w:r>
            <w:r>
              <w:rPr>
                <w:color w:val="000000" w:themeColor="text1"/>
                <w:szCs w:val="21"/>
              </w:rPr>
              <w:t>）</w:t>
            </w:r>
          </w:p>
        </w:tc>
        <w:tc>
          <w:tcPr>
            <w:tcW w:w="1472" w:type="pct"/>
            <w:tcBorders>
              <w:top w:val="single" w:sz="4" w:space="0" w:color="auto"/>
            </w:tcBorders>
            <w:vAlign w:val="center"/>
          </w:tcPr>
          <w:p w14:paraId="277C657B" w14:textId="77777777" w:rsidR="00F0779B" w:rsidRDefault="00840882">
            <w:pPr>
              <w:spacing w:line="300" w:lineRule="auto"/>
              <w:rPr>
                <w:color w:val="000000" w:themeColor="text1"/>
                <w:kern w:val="0"/>
                <w:szCs w:val="21"/>
              </w:rPr>
            </w:pPr>
            <w:r>
              <w:rPr>
                <w:color w:val="000000" w:themeColor="text1"/>
                <w:kern w:val="0"/>
                <w:szCs w:val="21"/>
              </w:rPr>
              <w:t>≤2.6</w:t>
            </w:r>
          </w:p>
        </w:tc>
        <w:tc>
          <w:tcPr>
            <w:tcW w:w="1667" w:type="pct"/>
            <w:tcBorders>
              <w:top w:val="single" w:sz="4" w:space="0" w:color="auto"/>
            </w:tcBorders>
            <w:vAlign w:val="center"/>
          </w:tcPr>
          <w:p w14:paraId="6A4DF9E5" w14:textId="77777777" w:rsidR="00F0779B" w:rsidRDefault="00840882">
            <w:pPr>
              <w:spacing w:line="300" w:lineRule="auto"/>
              <w:rPr>
                <w:color w:val="000000" w:themeColor="text1"/>
                <w:szCs w:val="21"/>
              </w:rPr>
            </w:pPr>
            <w:r>
              <w:rPr>
                <w:color w:val="000000" w:themeColor="text1"/>
                <w:szCs w:val="21"/>
              </w:rPr>
              <w:t>2.3</w:t>
            </w:r>
          </w:p>
        </w:tc>
      </w:tr>
      <w:tr w:rsidR="00F0779B" w14:paraId="13DDAC98" w14:textId="77777777">
        <w:trPr>
          <w:trHeight w:val="374"/>
        </w:trPr>
        <w:tc>
          <w:tcPr>
            <w:tcW w:w="1861" w:type="pct"/>
            <w:tcBorders>
              <w:bottom w:val="nil"/>
            </w:tcBorders>
            <w:vAlign w:val="center"/>
          </w:tcPr>
          <w:p w14:paraId="4E9F768A" w14:textId="77777777" w:rsidR="00F0779B" w:rsidRDefault="00840882">
            <w:pPr>
              <w:spacing w:line="300" w:lineRule="auto"/>
              <w:rPr>
                <w:color w:val="000000" w:themeColor="text1"/>
                <w:szCs w:val="21"/>
              </w:rPr>
            </w:pPr>
            <w:r>
              <w:rPr>
                <w:rFonts w:hint="eastAsia"/>
                <w:color w:val="000000" w:themeColor="text1"/>
                <w:szCs w:val="21"/>
              </w:rPr>
              <w:t>Activity Index</w:t>
            </w:r>
            <w:r>
              <w:rPr>
                <w:color w:val="000000" w:themeColor="text1"/>
                <w:szCs w:val="21"/>
              </w:rPr>
              <w:t>/%</w:t>
            </w:r>
          </w:p>
        </w:tc>
        <w:tc>
          <w:tcPr>
            <w:tcW w:w="1472" w:type="pct"/>
            <w:tcBorders>
              <w:bottom w:val="nil"/>
            </w:tcBorders>
            <w:vAlign w:val="center"/>
          </w:tcPr>
          <w:p w14:paraId="56935C3B" w14:textId="77777777" w:rsidR="00F0779B" w:rsidRDefault="00840882">
            <w:pPr>
              <w:spacing w:line="300" w:lineRule="auto"/>
              <w:rPr>
                <w:color w:val="000000" w:themeColor="text1"/>
                <w:szCs w:val="21"/>
              </w:rPr>
            </w:pPr>
            <w:r>
              <w:rPr>
                <w:color w:val="000000" w:themeColor="text1"/>
                <w:szCs w:val="21"/>
              </w:rPr>
              <w:t>≥70.0</w:t>
            </w:r>
          </w:p>
        </w:tc>
        <w:tc>
          <w:tcPr>
            <w:tcW w:w="1667" w:type="pct"/>
            <w:tcBorders>
              <w:bottom w:val="nil"/>
            </w:tcBorders>
            <w:vAlign w:val="center"/>
          </w:tcPr>
          <w:p w14:paraId="6E4623F0" w14:textId="77777777" w:rsidR="00F0779B" w:rsidRDefault="00840882">
            <w:pPr>
              <w:spacing w:line="300" w:lineRule="auto"/>
              <w:rPr>
                <w:color w:val="000000" w:themeColor="text1"/>
                <w:szCs w:val="21"/>
              </w:rPr>
            </w:pPr>
            <w:r>
              <w:rPr>
                <w:rFonts w:hint="eastAsia"/>
                <w:color w:val="000000" w:themeColor="text1"/>
                <w:szCs w:val="21"/>
              </w:rPr>
              <w:t>76.8</w:t>
            </w:r>
          </w:p>
        </w:tc>
      </w:tr>
      <w:tr w:rsidR="00F0779B" w14:paraId="4C3209AF" w14:textId="77777777">
        <w:trPr>
          <w:trHeight w:val="365"/>
        </w:trPr>
        <w:tc>
          <w:tcPr>
            <w:tcW w:w="1861" w:type="pct"/>
            <w:tcBorders>
              <w:top w:val="nil"/>
              <w:bottom w:val="nil"/>
            </w:tcBorders>
            <w:vAlign w:val="center"/>
          </w:tcPr>
          <w:p w14:paraId="3A33072E" w14:textId="77777777" w:rsidR="00F0779B" w:rsidRDefault="00840882">
            <w:pPr>
              <w:spacing w:line="300" w:lineRule="auto"/>
              <w:rPr>
                <w:color w:val="000000" w:themeColor="text1"/>
                <w:szCs w:val="21"/>
              </w:rPr>
            </w:pPr>
            <w:r>
              <w:rPr>
                <w:rFonts w:hint="eastAsia"/>
                <w:color w:val="000000" w:themeColor="text1"/>
                <w:szCs w:val="21"/>
              </w:rPr>
              <w:t>Fineness (45 µm sieve residue, %)</w:t>
            </w:r>
            <w:r>
              <w:rPr>
                <w:color w:val="000000" w:themeColor="text1"/>
                <w:szCs w:val="21"/>
              </w:rPr>
              <w:t>/%</w:t>
            </w:r>
          </w:p>
        </w:tc>
        <w:tc>
          <w:tcPr>
            <w:tcW w:w="1472" w:type="pct"/>
            <w:tcBorders>
              <w:top w:val="nil"/>
              <w:bottom w:val="nil"/>
            </w:tcBorders>
            <w:vAlign w:val="center"/>
          </w:tcPr>
          <w:p w14:paraId="52A73FE2" w14:textId="77777777" w:rsidR="00F0779B" w:rsidRDefault="00840882">
            <w:pPr>
              <w:spacing w:line="300" w:lineRule="auto"/>
              <w:rPr>
                <w:color w:val="000000" w:themeColor="text1"/>
                <w:szCs w:val="21"/>
              </w:rPr>
            </w:pPr>
            <w:r>
              <w:rPr>
                <w:color w:val="000000" w:themeColor="text1"/>
                <w:szCs w:val="21"/>
              </w:rPr>
              <w:t>≤30.0</w:t>
            </w:r>
          </w:p>
        </w:tc>
        <w:tc>
          <w:tcPr>
            <w:tcW w:w="1667" w:type="pct"/>
            <w:tcBorders>
              <w:top w:val="nil"/>
              <w:bottom w:val="nil"/>
            </w:tcBorders>
            <w:vAlign w:val="center"/>
          </w:tcPr>
          <w:p w14:paraId="754AA893" w14:textId="77777777" w:rsidR="00F0779B" w:rsidRDefault="00840882">
            <w:pPr>
              <w:spacing w:line="300" w:lineRule="auto"/>
              <w:rPr>
                <w:color w:val="000000" w:themeColor="text1"/>
                <w:szCs w:val="21"/>
              </w:rPr>
            </w:pPr>
            <w:r>
              <w:rPr>
                <w:color w:val="000000" w:themeColor="text1"/>
                <w:szCs w:val="21"/>
              </w:rPr>
              <w:t>1</w:t>
            </w:r>
            <w:r>
              <w:rPr>
                <w:rFonts w:hint="eastAsia"/>
                <w:color w:val="000000" w:themeColor="text1"/>
                <w:szCs w:val="21"/>
              </w:rPr>
              <w:t>0.6</w:t>
            </w:r>
          </w:p>
        </w:tc>
      </w:tr>
      <w:tr w:rsidR="00F0779B" w14:paraId="36B7F317" w14:textId="77777777">
        <w:trPr>
          <w:trHeight w:val="326"/>
        </w:trPr>
        <w:tc>
          <w:tcPr>
            <w:tcW w:w="1861" w:type="pct"/>
            <w:tcBorders>
              <w:top w:val="nil"/>
              <w:bottom w:val="single" w:sz="12" w:space="0" w:color="auto"/>
            </w:tcBorders>
            <w:vAlign w:val="center"/>
          </w:tcPr>
          <w:p w14:paraId="36AA6933" w14:textId="77777777" w:rsidR="00F0779B" w:rsidRDefault="00840882">
            <w:pPr>
              <w:spacing w:line="300" w:lineRule="auto"/>
              <w:rPr>
                <w:color w:val="000000" w:themeColor="text1"/>
                <w:szCs w:val="21"/>
              </w:rPr>
            </w:pPr>
            <w:r>
              <w:rPr>
                <w:rFonts w:hint="eastAsia"/>
                <w:color w:val="000000" w:themeColor="text1"/>
                <w:szCs w:val="21"/>
              </w:rPr>
              <w:t>Loss on Ignition</w:t>
            </w:r>
            <w:r>
              <w:rPr>
                <w:rFonts w:hint="eastAsia"/>
                <w:color w:val="000000" w:themeColor="text1"/>
                <w:szCs w:val="21"/>
              </w:rPr>
              <w:t>（</w:t>
            </w:r>
            <w:r>
              <w:rPr>
                <w:rFonts w:hint="eastAsia"/>
                <w:color w:val="000000" w:themeColor="text1"/>
                <w:szCs w:val="21"/>
              </w:rPr>
              <w:t>LOI</w:t>
            </w:r>
            <w:r>
              <w:rPr>
                <w:rFonts w:hint="eastAsia"/>
                <w:color w:val="000000" w:themeColor="text1"/>
                <w:szCs w:val="21"/>
              </w:rPr>
              <w:t>）</w:t>
            </w:r>
            <w:r>
              <w:rPr>
                <w:color w:val="000000" w:themeColor="text1"/>
                <w:szCs w:val="21"/>
              </w:rPr>
              <w:t>/%</w:t>
            </w:r>
          </w:p>
        </w:tc>
        <w:tc>
          <w:tcPr>
            <w:tcW w:w="1472" w:type="pct"/>
            <w:tcBorders>
              <w:top w:val="nil"/>
              <w:bottom w:val="single" w:sz="12" w:space="0" w:color="auto"/>
            </w:tcBorders>
            <w:vAlign w:val="center"/>
          </w:tcPr>
          <w:p w14:paraId="42928F36" w14:textId="77777777" w:rsidR="00F0779B" w:rsidRDefault="00840882">
            <w:pPr>
              <w:spacing w:line="300" w:lineRule="auto"/>
              <w:rPr>
                <w:color w:val="000000" w:themeColor="text1"/>
                <w:szCs w:val="21"/>
              </w:rPr>
            </w:pPr>
            <w:r>
              <w:rPr>
                <w:color w:val="000000" w:themeColor="text1"/>
                <w:szCs w:val="21"/>
              </w:rPr>
              <w:t>≤8.0</w:t>
            </w:r>
          </w:p>
        </w:tc>
        <w:tc>
          <w:tcPr>
            <w:tcW w:w="1667" w:type="pct"/>
            <w:tcBorders>
              <w:top w:val="nil"/>
              <w:bottom w:val="single" w:sz="12" w:space="0" w:color="auto"/>
            </w:tcBorders>
            <w:vAlign w:val="center"/>
          </w:tcPr>
          <w:p w14:paraId="0B8CE19D" w14:textId="77777777" w:rsidR="00F0779B" w:rsidRDefault="00840882">
            <w:pPr>
              <w:spacing w:line="300" w:lineRule="auto"/>
              <w:rPr>
                <w:color w:val="000000" w:themeColor="text1"/>
                <w:szCs w:val="21"/>
              </w:rPr>
            </w:pPr>
            <w:r>
              <w:rPr>
                <w:rFonts w:hint="eastAsia"/>
                <w:color w:val="000000" w:themeColor="text1"/>
                <w:szCs w:val="21"/>
              </w:rPr>
              <w:t>4.9</w:t>
            </w:r>
          </w:p>
        </w:tc>
      </w:tr>
    </w:tbl>
    <w:p w14:paraId="49F595E4" w14:textId="77777777" w:rsidR="00F0779B" w:rsidRDefault="00840882">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Table. </w:t>
      </w:r>
      <w:r>
        <w:rPr>
          <w:rFonts w:ascii="Times New Roman" w:hAnsi="Times New Roman" w:cs="Times New Roman" w:hint="eastAsia"/>
          <w:color w:val="000000" w:themeColor="text1"/>
          <w:szCs w:val="21"/>
        </w:rPr>
        <w:t xml:space="preserve">1 </w:t>
      </w:r>
      <w:r>
        <w:rPr>
          <w:rFonts w:ascii="Times New Roman" w:hAnsi="Times New Roman" w:cs="Times New Roman"/>
          <w:color w:val="000000" w:themeColor="text1"/>
          <w:szCs w:val="21"/>
        </w:rPr>
        <w:t xml:space="preserve">Chemical composition of </w:t>
      </w:r>
      <w:r>
        <w:rPr>
          <w:rFonts w:ascii="Times New Roman" w:hAnsi="Times New Roman" w:cs="Times New Roman" w:hint="eastAsia"/>
          <w:color w:val="000000" w:themeColor="text1"/>
          <w:szCs w:val="21"/>
        </w:rPr>
        <w:t>f</w:t>
      </w:r>
      <w:r>
        <w:rPr>
          <w:rFonts w:ascii="Times New Roman" w:hAnsi="Times New Roman" w:cs="Times New Roman"/>
          <w:color w:val="000000" w:themeColor="text1"/>
          <w:szCs w:val="21"/>
        </w:rPr>
        <w:t xml:space="preserve">ly </w:t>
      </w:r>
      <w:r>
        <w:rPr>
          <w:rFonts w:ascii="Times New Roman" w:hAnsi="Times New Roman" w:cs="Times New Roman" w:hint="eastAsia"/>
          <w:color w:val="000000" w:themeColor="text1"/>
          <w:szCs w:val="21"/>
        </w:rPr>
        <w:t>a</w:t>
      </w:r>
      <w:r>
        <w:rPr>
          <w:rFonts w:ascii="Times New Roman" w:hAnsi="Times New Roman" w:cs="Times New Roman"/>
          <w:color w:val="000000" w:themeColor="text1"/>
          <w:szCs w:val="21"/>
        </w:rPr>
        <w:t>sh</w:t>
      </w:r>
    </w:p>
    <w:p w14:paraId="6D84322D" w14:textId="77777777" w:rsidR="00F0779B" w:rsidRDefault="00F0779B">
      <w:pPr>
        <w:adjustRightInd w:val="0"/>
        <w:snapToGrid w:val="0"/>
        <w:spacing w:before="0" w:beforeAutospacing="0"/>
        <w:rPr>
          <w:rFonts w:ascii="Times New Roman" w:hAnsi="Times New Roman" w:cs="Times New Roman"/>
          <w:color w:val="000000" w:themeColor="text1"/>
          <w:szCs w:val="21"/>
        </w:rPr>
      </w:pPr>
    </w:p>
    <w:tbl>
      <w:tblPr>
        <w:tblW w:w="4721" w:type="pct"/>
        <w:tblBorders>
          <w:top w:val="single" w:sz="12" w:space="0" w:color="auto"/>
          <w:bottom w:val="single" w:sz="12" w:space="0" w:color="auto"/>
          <w:insideH w:val="single" w:sz="4" w:space="0" w:color="auto"/>
        </w:tblBorders>
        <w:tblLayout w:type="fixed"/>
        <w:tblLook w:val="04A0" w:firstRow="1" w:lastRow="0" w:firstColumn="1" w:lastColumn="0" w:noHBand="0" w:noVBand="1"/>
      </w:tblPr>
      <w:tblGrid>
        <w:gridCol w:w="2293"/>
        <w:gridCol w:w="727"/>
        <w:gridCol w:w="924"/>
        <w:gridCol w:w="924"/>
        <w:gridCol w:w="867"/>
        <w:gridCol w:w="735"/>
        <w:gridCol w:w="829"/>
        <w:gridCol w:w="747"/>
      </w:tblGrid>
      <w:tr w:rsidR="00F0779B" w14:paraId="45AE28DC" w14:textId="77777777">
        <w:trPr>
          <w:trHeight w:val="353"/>
        </w:trPr>
        <w:tc>
          <w:tcPr>
            <w:tcW w:w="1423" w:type="pct"/>
            <w:tcBorders>
              <w:top w:val="single" w:sz="12" w:space="0" w:color="auto"/>
              <w:bottom w:val="single" w:sz="4" w:space="0" w:color="auto"/>
            </w:tcBorders>
            <w:vAlign w:val="center"/>
          </w:tcPr>
          <w:p w14:paraId="0385ED33" w14:textId="77777777" w:rsidR="00F0779B" w:rsidRDefault="00840882">
            <w:pPr>
              <w:spacing w:line="300" w:lineRule="auto"/>
              <w:rPr>
                <w:b/>
                <w:color w:val="000000" w:themeColor="text1"/>
                <w:szCs w:val="21"/>
              </w:rPr>
            </w:pPr>
            <w:r>
              <w:rPr>
                <w:rFonts w:hint="eastAsia"/>
                <w:color w:val="000000" w:themeColor="text1"/>
                <w:szCs w:val="21"/>
              </w:rPr>
              <w:t>Chemical Composition</w:t>
            </w:r>
          </w:p>
        </w:tc>
        <w:tc>
          <w:tcPr>
            <w:tcW w:w="452" w:type="pct"/>
            <w:tcBorders>
              <w:top w:val="single" w:sz="12" w:space="0" w:color="auto"/>
              <w:bottom w:val="single" w:sz="4" w:space="0" w:color="auto"/>
            </w:tcBorders>
            <w:vAlign w:val="center"/>
          </w:tcPr>
          <w:p w14:paraId="43E972F4" w14:textId="77777777" w:rsidR="00F0779B" w:rsidRDefault="00840882">
            <w:pPr>
              <w:spacing w:line="300" w:lineRule="auto"/>
              <w:rPr>
                <w:color w:val="000000" w:themeColor="text1"/>
                <w:szCs w:val="21"/>
              </w:rPr>
            </w:pPr>
            <w:r>
              <w:rPr>
                <w:color w:val="000000" w:themeColor="text1"/>
                <w:szCs w:val="21"/>
              </w:rPr>
              <w:t>SiO</w:t>
            </w:r>
            <w:r>
              <w:rPr>
                <w:color w:val="000000" w:themeColor="text1"/>
                <w:szCs w:val="21"/>
                <w:vertAlign w:val="subscript"/>
              </w:rPr>
              <w:t>2</w:t>
            </w:r>
          </w:p>
        </w:tc>
        <w:tc>
          <w:tcPr>
            <w:tcW w:w="574" w:type="pct"/>
            <w:tcBorders>
              <w:top w:val="single" w:sz="12" w:space="0" w:color="auto"/>
              <w:bottom w:val="single" w:sz="4" w:space="0" w:color="auto"/>
            </w:tcBorders>
            <w:vAlign w:val="center"/>
          </w:tcPr>
          <w:p w14:paraId="6DEBC1AC" w14:textId="77777777" w:rsidR="00F0779B" w:rsidRDefault="00840882">
            <w:pPr>
              <w:spacing w:line="300" w:lineRule="auto"/>
              <w:rPr>
                <w:color w:val="000000" w:themeColor="text1"/>
                <w:szCs w:val="21"/>
              </w:rPr>
            </w:pPr>
            <w:r>
              <w:rPr>
                <w:color w:val="000000" w:themeColor="text1"/>
                <w:szCs w:val="21"/>
              </w:rPr>
              <w:t>Al</w:t>
            </w:r>
            <w:r>
              <w:rPr>
                <w:color w:val="000000" w:themeColor="text1"/>
                <w:szCs w:val="21"/>
                <w:vertAlign w:val="subscript"/>
              </w:rPr>
              <w:t>2</w:t>
            </w:r>
            <w:r>
              <w:rPr>
                <w:color w:val="000000" w:themeColor="text1"/>
                <w:szCs w:val="21"/>
              </w:rPr>
              <w:t>O</w:t>
            </w:r>
            <w:r>
              <w:rPr>
                <w:color w:val="000000" w:themeColor="text1"/>
                <w:szCs w:val="21"/>
                <w:vertAlign w:val="subscript"/>
              </w:rPr>
              <w:t>3</w:t>
            </w:r>
          </w:p>
        </w:tc>
        <w:tc>
          <w:tcPr>
            <w:tcW w:w="574" w:type="pct"/>
            <w:tcBorders>
              <w:top w:val="single" w:sz="12" w:space="0" w:color="auto"/>
              <w:bottom w:val="single" w:sz="4" w:space="0" w:color="auto"/>
            </w:tcBorders>
            <w:vAlign w:val="center"/>
          </w:tcPr>
          <w:p w14:paraId="0871C4D2" w14:textId="77777777" w:rsidR="00F0779B" w:rsidRDefault="00840882">
            <w:pPr>
              <w:spacing w:line="300" w:lineRule="auto"/>
              <w:rPr>
                <w:color w:val="000000" w:themeColor="text1"/>
                <w:szCs w:val="21"/>
              </w:rPr>
            </w:pPr>
            <w:r>
              <w:rPr>
                <w:color w:val="000000" w:themeColor="text1"/>
                <w:szCs w:val="21"/>
              </w:rPr>
              <w:t>Fe</w:t>
            </w:r>
            <w:r>
              <w:rPr>
                <w:color w:val="000000" w:themeColor="text1"/>
                <w:szCs w:val="21"/>
                <w:vertAlign w:val="subscript"/>
              </w:rPr>
              <w:t>2</w:t>
            </w:r>
            <w:r>
              <w:rPr>
                <w:color w:val="000000" w:themeColor="text1"/>
                <w:szCs w:val="21"/>
              </w:rPr>
              <w:t>O</w:t>
            </w:r>
            <w:r>
              <w:rPr>
                <w:color w:val="000000" w:themeColor="text1"/>
                <w:szCs w:val="21"/>
                <w:vertAlign w:val="subscript"/>
              </w:rPr>
              <w:t>3</w:t>
            </w:r>
          </w:p>
        </w:tc>
        <w:tc>
          <w:tcPr>
            <w:tcW w:w="539" w:type="pct"/>
            <w:tcBorders>
              <w:top w:val="single" w:sz="12" w:space="0" w:color="auto"/>
              <w:bottom w:val="single" w:sz="4" w:space="0" w:color="auto"/>
            </w:tcBorders>
            <w:vAlign w:val="center"/>
          </w:tcPr>
          <w:p w14:paraId="0F985DF8" w14:textId="77777777" w:rsidR="00F0779B" w:rsidRDefault="00840882">
            <w:pPr>
              <w:spacing w:line="300" w:lineRule="auto"/>
              <w:rPr>
                <w:color w:val="000000" w:themeColor="text1"/>
                <w:szCs w:val="21"/>
              </w:rPr>
            </w:pPr>
            <w:r>
              <w:rPr>
                <w:rFonts w:hint="eastAsia"/>
                <w:color w:val="000000" w:themeColor="text1"/>
                <w:szCs w:val="21"/>
              </w:rPr>
              <w:t>CaO</w:t>
            </w:r>
          </w:p>
        </w:tc>
        <w:tc>
          <w:tcPr>
            <w:tcW w:w="457" w:type="pct"/>
            <w:tcBorders>
              <w:top w:val="single" w:sz="12" w:space="0" w:color="auto"/>
              <w:bottom w:val="single" w:sz="4" w:space="0" w:color="auto"/>
            </w:tcBorders>
            <w:vAlign w:val="center"/>
          </w:tcPr>
          <w:p w14:paraId="6359B6FA" w14:textId="77777777" w:rsidR="00F0779B" w:rsidRDefault="00840882">
            <w:pPr>
              <w:spacing w:line="300" w:lineRule="auto"/>
              <w:rPr>
                <w:color w:val="000000" w:themeColor="text1"/>
                <w:szCs w:val="21"/>
              </w:rPr>
            </w:pPr>
            <w:r>
              <w:rPr>
                <w:color w:val="000000" w:themeColor="text1"/>
                <w:szCs w:val="21"/>
              </w:rPr>
              <w:t>K</w:t>
            </w:r>
            <w:r>
              <w:rPr>
                <w:color w:val="000000" w:themeColor="text1"/>
                <w:szCs w:val="21"/>
                <w:vertAlign w:val="subscript"/>
              </w:rPr>
              <w:t>2</w:t>
            </w:r>
            <w:r>
              <w:rPr>
                <w:color w:val="000000" w:themeColor="text1"/>
                <w:szCs w:val="21"/>
              </w:rPr>
              <w:t>O</w:t>
            </w:r>
          </w:p>
        </w:tc>
        <w:tc>
          <w:tcPr>
            <w:tcW w:w="515" w:type="pct"/>
            <w:tcBorders>
              <w:top w:val="single" w:sz="12" w:space="0" w:color="auto"/>
              <w:bottom w:val="single" w:sz="4" w:space="0" w:color="auto"/>
            </w:tcBorders>
            <w:vAlign w:val="center"/>
          </w:tcPr>
          <w:p w14:paraId="03CD8464" w14:textId="77777777" w:rsidR="00F0779B" w:rsidRDefault="00840882">
            <w:pPr>
              <w:spacing w:line="300" w:lineRule="auto"/>
              <w:rPr>
                <w:color w:val="000000" w:themeColor="text1"/>
                <w:szCs w:val="21"/>
              </w:rPr>
            </w:pPr>
            <w:r>
              <w:rPr>
                <w:rFonts w:hint="eastAsia"/>
                <w:color w:val="000000" w:themeColor="text1"/>
                <w:szCs w:val="21"/>
              </w:rPr>
              <w:t>SO</w:t>
            </w:r>
            <w:r>
              <w:rPr>
                <w:rFonts w:hint="eastAsia"/>
                <w:color w:val="000000" w:themeColor="text1"/>
                <w:szCs w:val="21"/>
                <w:vertAlign w:val="subscript"/>
              </w:rPr>
              <w:t>3</w:t>
            </w:r>
          </w:p>
        </w:tc>
        <w:tc>
          <w:tcPr>
            <w:tcW w:w="464" w:type="pct"/>
            <w:tcBorders>
              <w:top w:val="single" w:sz="12" w:space="0" w:color="auto"/>
              <w:bottom w:val="single" w:sz="4" w:space="0" w:color="auto"/>
            </w:tcBorders>
            <w:vAlign w:val="center"/>
          </w:tcPr>
          <w:p w14:paraId="7E5CB58F" w14:textId="77777777" w:rsidR="00F0779B" w:rsidRDefault="00840882">
            <w:pPr>
              <w:spacing w:line="300" w:lineRule="auto"/>
              <w:rPr>
                <w:color w:val="000000" w:themeColor="text1"/>
                <w:szCs w:val="21"/>
              </w:rPr>
            </w:pPr>
            <w:r>
              <w:rPr>
                <w:rFonts w:hint="eastAsia"/>
                <w:color w:val="000000" w:themeColor="text1"/>
                <w:szCs w:val="21"/>
              </w:rPr>
              <w:t>TiO</w:t>
            </w:r>
            <w:r>
              <w:rPr>
                <w:rFonts w:hint="eastAsia"/>
                <w:color w:val="000000" w:themeColor="text1"/>
                <w:szCs w:val="21"/>
                <w:vertAlign w:val="subscript"/>
              </w:rPr>
              <w:t>2</w:t>
            </w:r>
          </w:p>
        </w:tc>
      </w:tr>
      <w:tr w:rsidR="00F0779B" w14:paraId="0AC7C8F5" w14:textId="77777777">
        <w:trPr>
          <w:trHeight w:val="353"/>
        </w:trPr>
        <w:tc>
          <w:tcPr>
            <w:tcW w:w="1423" w:type="pct"/>
            <w:tcBorders>
              <w:top w:val="single" w:sz="4" w:space="0" w:color="auto"/>
              <w:bottom w:val="single" w:sz="12" w:space="0" w:color="auto"/>
            </w:tcBorders>
            <w:vAlign w:val="center"/>
          </w:tcPr>
          <w:p w14:paraId="456247C7" w14:textId="77777777" w:rsidR="00F0779B" w:rsidRDefault="00840882">
            <w:pPr>
              <w:spacing w:line="300" w:lineRule="auto"/>
              <w:rPr>
                <w:color w:val="000000" w:themeColor="text1"/>
                <w:szCs w:val="21"/>
              </w:rPr>
            </w:pPr>
            <w:r>
              <w:rPr>
                <w:rFonts w:hint="eastAsia"/>
                <w:color w:val="000000" w:themeColor="text1"/>
                <w:szCs w:val="21"/>
              </w:rPr>
              <w:t>Content</w:t>
            </w:r>
            <w:r>
              <w:rPr>
                <w:color w:val="000000" w:themeColor="text1"/>
                <w:szCs w:val="21"/>
              </w:rPr>
              <w:t>/%</w:t>
            </w:r>
          </w:p>
        </w:tc>
        <w:tc>
          <w:tcPr>
            <w:tcW w:w="452" w:type="pct"/>
            <w:tcBorders>
              <w:top w:val="single" w:sz="4" w:space="0" w:color="auto"/>
              <w:bottom w:val="single" w:sz="12" w:space="0" w:color="auto"/>
            </w:tcBorders>
            <w:vAlign w:val="center"/>
          </w:tcPr>
          <w:p w14:paraId="66687E8C" w14:textId="77777777" w:rsidR="00F0779B" w:rsidRDefault="00840882">
            <w:pPr>
              <w:spacing w:line="300" w:lineRule="auto"/>
              <w:rPr>
                <w:color w:val="000000" w:themeColor="text1"/>
                <w:szCs w:val="21"/>
              </w:rPr>
            </w:pPr>
            <w:r>
              <w:rPr>
                <w:rFonts w:hint="eastAsia"/>
                <w:color w:val="000000" w:themeColor="text1"/>
                <w:szCs w:val="21"/>
              </w:rPr>
              <w:t>50.20</w:t>
            </w:r>
          </w:p>
        </w:tc>
        <w:tc>
          <w:tcPr>
            <w:tcW w:w="574" w:type="pct"/>
            <w:tcBorders>
              <w:top w:val="single" w:sz="4" w:space="0" w:color="auto"/>
              <w:bottom w:val="single" w:sz="12" w:space="0" w:color="auto"/>
            </w:tcBorders>
            <w:vAlign w:val="center"/>
          </w:tcPr>
          <w:p w14:paraId="51CBB838" w14:textId="77777777" w:rsidR="00F0779B" w:rsidRDefault="00840882">
            <w:pPr>
              <w:spacing w:line="300" w:lineRule="auto"/>
              <w:rPr>
                <w:color w:val="000000" w:themeColor="text1"/>
                <w:szCs w:val="21"/>
              </w:rPr>
            </w:pPr>
            <w:r>
              <w:rPr>
                <w:rFonts w:hint="eastAsia"/>
                <w:color w:val="000000" w:themeColor="text1"/>
                <w:szCs w:val="21"/>
              </w:rPr>
              <w:t>34.06</w:t>
            </w:r>
          </w:p>
        </w:tc>
        <w:tc>
          <w:tcPr>
            <w:tcW w:w="574" w:type="pct"/>
            <w:tcBorders>
              <w:top w:val="single" w:sz="4" w:space="0" w:color="auto"/>
              <w:bottom w:val="single" w:sz="12" w:space="0" w:color="auto"/>
            </w:tcBorders>
            <w:vAlign w:val="center"/>
          </w:tcPr>
          <w:p w14:paraId="0F6723C0" w14:textId="77777777" w:rsidR="00F0779B" w:rsidRDefault="00840882">
            <w:pPr>
              <w:spacing w:line="300" w:lineRule="auto"/>
              <w:rPr>
                <w:color w:val="000000" w:themeColor="text1"/>
                <w:szCs w:val="21"/>
              </w:rPr>
            </w:pPr>
            <w:r>
              <w:rPr>
                <w:rFonts w:hint="eastAsia"/>
                <w:color w:val="000000" w:themeColor="text1"/>
                <w:szCs w:val="21"/>
              </w:rPr>
              <w:t>4.65</w:t>
            </w:r>
          </w:p>
        </w:tc>
        <w:tc>
          <w:tcPr>
            <w:tcW w:w="539" w:type="pct"/>
            <w:tcBorders>
              <w:top w:val="single" w:sz="4" w:space="0" w:color="auto"/>
              <w:bottom w:val="single" w:sz="12" w:space="0" w:color="auto"/>
            </w:tcBorders>
            <w:vAlign w:val="center"/>
          </w:tcPr>
          <w:p w14:paraId="02D32358" w14:textId="77777777" w:rsidR="00F0779B" w:rsidRDefault="00840882">
            <w:pPr>
              <w:spacing w:line="300" w:lineRule="auto"/>
              <w:rPr>
                <w:color w:val="000000" w:themeColor="text1"/>
                <w:szCs w:val="21"/>
              </w:rPr>
            </w:pPr>
            <w:r>
              <w:rPr>
                <w:rFonts w:hint="eastAsia"/>
                <w:color w:val="000000" w:themeColor="text1"/>
                <w:szCs w:val="21"/>
              </w:rPr>
              <w:t>3.82</w:t>
            </w:r>
          </w:p>
        </w:tc>
        <w:tc>
          <w:tcPr>
            <w:tcW w:w="457" w:type="pct"/>
            <w:tcBorders>
              <w:top w:val="single" w:sz="4" w:space="0" w:color="auto"/>
              <w:bottom w:val="single" w:sz="12" w:space="0" w:color="auto"/>
            </w:tcBorders>
            <w:vAlign w:val="center"/>
          </w:tcPr>
          <w:p w14:paraId="78FF88FC" w14:textId="77777777" w:rsidR="00F0779B" w:rsidRDefault="00840882">
            <w:pPr>
              <w:spacing w:line="300" w:lineRule="auto"/>
              <w:rPr>
                <w:color w:val="000000" w:themeColor="text1"/>
                <w:szCs w:val="21"/>
              </w:rPr>
            </w:pPr>
            <w:r>
              <w:rPr>
                <w:rFonts w:hint="eastAsia"/>
                <w:color w:val="000000" w:themeColor="text1"/>
                <w:szCs w:val="21"/>
              </w:rPr>
              <w:t>1.98</w:t>
            </w:r>
          </w:p>
        </w:tc>
        <w:tc>
          <w:tcPr>
            <w:tcW w:w="515" w:type="pct"/>
            <w:tcBorders>
              <w:top w:val="single" w:sz="4" w:space="0" w:color="auto"/>
              <w:bottom w:val="single" w:sz="12" w:space="0" w:color="auto"/>
            </w:tcBorders>
            <w:vAlign w:val="center"/>
          </w:tcPr>
          <w:p w14:paraId="7E371738" w14:textId="77777777" w:rsidR="00F0779B" w:rsidRDefault="00840882">
            <w:pPr>
              <w:spacing w:line="300" w:lineRule="auto"/>
              <w:rPr>
                <w:color w:val="000000" w:themeColor="text1"/>
                <w:szCs w:val="21"/>
              </w:rPr>
            </w:pPr>
            <w:r>
              <w:rPr>
                <w:rFonts w:hint="eastAsia"/>
                <w:color w:val="000000" w:themeColor="text1"/>
                <w:szCs w:val="21"/>
              </w:rPr>
              <w:t>1.33</w:t>
            </w:r>
          </w:p>
        </w:tc>
        <w:tc>
          <w:tcPr>
            <w:tcW w:w="464" w:type="pct"/>
            <w:tcBorders>
              <w:top w:val="single" w:sz="4" w:space="0" w:color="auto"/>
              <w:bottom w:val="single" w:sz="12" w:space="0" w:color="auto"/>
            </w:tcBorders>
            <w:vAlign w:val="center"/>
          </w:tcPr>
          <w:p w14:paraId="2282B0DD" w14:textId="77777777" w:rsidR="00F0779B" w:rsidRDefault="00840882">
            <w:pPr>
              <w:spacing w:line="300" w:lineRule="auto"/>
              <w:rPr>
                <w:color w:val="000000" w:themeColor="text1"/>
                <w:szCs w:val="21"/>
              </w:rPr>
            </w:pPr>
            <w:r>
              <w:rPr>
                <w:rFonts w:hint="eastAsia"/>
                <w:color w:val="000000" w:themeColor="text1"/>
                <w:szCs w:val="21"/>
              </w:rPr>
              <w:t>1.32</w:t>
            </w:r>
          </w:p>
        </w:tc>
      </w:tr>
    </w:tbl>
    <w:p w14:paraId="2D751B19" w14:textId="77777777" w:rsidR="00F0779B" w:rsidRDefault="00840882">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Table. </w:t>
      </w:r>
      <w:r>
        <w:rPr>
          <w:rFonts w:ascii="Times New Roman" w:hAnsi="Times New Roman" w:cs="Times New Roman" w:hint="eastAsia"/>
          <w:color w:val="000000" w:themeColor="text1"/>
          <w:szCs w:val="21"/>
        </w:rPr>
        <w:t>2</w:t>
      </w:r>
      <w:r>
        <w:rPr>
          <w:rFonts w:ascii="Times New Roman" w:hAnsi="Times New Roman" w:cs="Times New Roman"/>
          <w:color w:val="000000" w:themeColor="text1"/>
          <w:szCs w:val="21"/>
        </w:rPr>
        <w:t xml:space="preserve"> Chemical composition of </w:t>
      </w:r>
      <w:r>
        <w:rPr>
          <w:rFonts w:ascii="Times New Roman" w:hAnsi="Times New Roman" w:cs="Times New Roman" w:hint="eastAsia"/>
          <w:color w:val="000000" w:themeColor="text1"/>
          <w:szCs w:val="21"/>
        </w:rPr>
        <w:t>f</w:t>
      </w:r>
      <w:r>
        <w:rPr>
          <w:rFonts w:ascii="Times New Roman" w:hAnsi="Times New Roman" w:cs="Times New Roman"/>
          <w:color w:val="000000" w:themeColor="text1"/>
          <w:szCs w:val="21"/>
        </w:rPr>
        <w:t xml:space="preserve">ly </w:t>
      </w:r>
      <w:r>
        <w:rPr>
          <w:rFonts w:ascii="Times New Roman" w:hAnsi="Times New Roman" w:cs="Times New Roman" w:hint="eastAsia"/>
          <w:color w:val="000000" w:themeColor="text1"/>
          <w:szCs w:val="21"/>
        </w:rPr>
        <w:t>a</w:t>
      </w:r>
      <w:r>
        <w:rPr>
          <w:rFonts w:ascii="Times New Roman" w:hAnsi="Times New Roman" w:cs="Times New Roman"/>
          <w:color w:val="000000" w:themeColor="text1"/>
          <w:szCs w:val="21"/>
        </w:rPr>
        <w:t>sh</w:t>
      </w:r>
    </w:p>
    <w:p w14:paraId="009D5B7D" w14:textId="77777777" w:rsidR="00F0779B" w:rsidRDefault="00F0779B">
      <w:pPr>
        <w:adjustRightInd w:val="0"/>
        <w:snapToGrid w:val="0"/>
        <w:spacing w:before="0" w:beforeAutospacing="0"/>
        <w:rPr>
          <w:rFonts w:ascii="Times New Roman" w:hAnsi="Times New Roman" w:cs="Times New Roman"/>
          <w:color w:val="000000" w:themeColor="text1"/>
          <w:szCs w:val="21"/>
        </w:rPr>
      </w:pPr>
    </w:p>
    <w:p w14:paraId="2FCB6FE0" w14:textId="77777777" w:rsidR="00F0779B" w:rsidRDefault="00840882">
      <w:pPr>
        <w:adjustRightInd w:val="0"/>
        <w:snapToGrid w:val="0"/>
        <w:spacing w:before="0" w:beforeAutospacing="0" w:line="300" w:lineRule="auto"/>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2</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Granulated Blast Furnace Slag Powder</w:t>
      </w:r>
    </w:p>
    <w:p w14:paraId="2A8FB753" w14:textId="77777777" w:rsidR="00F0779B" w:rsidRDefault="00840882">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The granulated blast furnace slag powder used in this experiment is S95 grade granulated blast furnace slag </w:t>
      </w:r>
      <w:r>
        <w:rPr>
          <w:rFonts w:ascii="Times New Roman" w:hAnsi="Times New Roman" w:cs="Times New Roman"/>
          <w:color w:val="000000" w:themeColor="text1"/>
          <w:szCs w:val="21"/>
        </w:rPr>
        <w:t>powder. It was tested in accordance with "Granulated Blast Furnace Slag Powder for Cement and Concrete" (GB/T 18046—2017), and the test results are shown in Table 3.</w:t>
      </w:r>
    </w:p>
    <w:p w14:paraId="6678AD0D" w14:textId="77777777" w:rsidR="00F0779B" w:rsidRDefault="00F0779B">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p>
    <w:tbl>
      <w:tblPr>
        <w:tblW w:w="9400" w:type="dxa"/>
        <w:jc w:val="center"/>
        <w:tblBorders>
          <w:top w:val="single" w:sz="4" w:space="0" w:color="auto"/>
        </w:tblBorders>
        <w:tblLook w:val="04A0" w:firstRow="1" w:lastRow="0" w:firstColumn="1" w:lastColumn="0" w:noHBand="0" w:noVBand="1"/>
      </w:tblPr>
      <w:tblGrid>
        <w:gridCol w:w="3133"/>
        <w:gridCol w:w="3133"/>
        <w:gridCol w:w="3134"/>
      </w:tblGrid>
      <w:tr w:rsidR="00F0779B" w14:paraId="4055BE9E" w14:textId="77777777">
        <w:trPr>
          <w:trHeight w:val="406"/>
          <w:jc w:val="center"/>
        </w:trPr>
        <w:tc>
          <w:tcPr>
            <w:tcW w:w="3133" w:type="dxa"/>
            <w:tcBorders>
              <w:top w:val="single" w:sz="12" w:space="0" w:color="auto"/>
              <w:bottom w:val="single" w:sz="4" w:space="0" w:color="auto"/>
            </w:tcBorders>
            <w:vAlign w:val="center"/>
          </w:tcPr>
          <w:p w14:paraId="3E93AF44" w14:textId="77777777" w:rsidR="00F0779B" w:rsidRDefault="00840882">
            <w:pPr>
              <w:spacing w:line="300" w:lineRule="auto"/>
              <w:ind w:firstLineChars="300" w:firstLine="630"/>
              <w:jc w:val="both"/>
              <w:rPr>
                <w:color w:val="000000" w:themeColor="text1"/>
                <w:szCs w:val="21"/>
              </w:rPr>
            </w:pPr>
            <w:r>
              <w:rPr>
                <w:rFonts w:hint="eastAsia"/>
                <w:color w:val="000000" w:themeColor="text1"/>
                <w:szCs w:val="21"/>
              </w:rPr>
              <w:t>Performance Index</w:t>
            </w:r>
          </w:p>
        </w:tc>
        <w:tc>
          <w:tcPr>
            <w:tcW w:w="3133" w:type="dxa"/>
            <w:tcBorders>
              <w:top w:val="single" w:sz="12" w:space="0" w:color="auto"/>
              <w:bottom w:val="single" w:sz="4" w:space="0" w:color="auto"/>
            </w:tcBorders>
            <w:vAlign w:val="center"/>
          </w:tcPr>
          <w:p w14:paraId="42B79646" w14:textId="77777777" w:rsidR="00F0779B" w:rsidRDefault="00840882">
            <w:pPr>
              <w:spacing w:line="300" w:lineRule="auto"/>
              <w:rPr>
                <w:color w:val="000000" w:themeColor="text1"/>
                <w:szCs w:val="21"/>
              </w:rPr>
            </w:pPr>
            <w:r>
              <w:rPr>
                <w:rFonts w:hint="eastAsia"/>
                <w:color w:val="000000" w:themeColor="text1"/>
                <w:szCs w:val="21"/>
              </w:rPr>
              <w:t>Standard Value (S95 Grade)</w:t>
            </w:r>
          </w:p>
        </w:tc>
        <w:tc>
          <w:tcPr>
            <w:tcW w:w="3134" w:type="dxa"/>
            <w:tcBorders>
              <w:top w:val="single" w:sz="12" w:space="0" w:color="auto"/>
              <w:bottom w:val="single" w:sz="4" w:space="0" w:color="auto"/>
            </w:tcBorders>
            <w:vAlign w:val="center"/>
          </w:tcPr>
          <w:p w14:paraId="180CDBB7" w14:textId="77777777" w:rsidR="00F0779B" w:rsidRDefault="00840882">
            <w:pPr>
              <w:spacing w:line="300" w:lineRule="auto"/>
              <w:rPr>
                <w:color w:val="000000" w:themeColor="text1"/>
                <w:szCs w:val="21"/>
              </w:rPr>
            </w:pPr>
            <w:r>
              <w:rPr>
                <w:rFonts w:hint="eastAsia"/>
                <w:color w:val="000000" w:themeColor="text1"/>
                <w:szCs w:val="21"/>
              </w:rPr>
              <w:t>Measured Value</w:t>
            </w:r>
          </w:p>
        </w:tc>
      </w:tr>
      <w:tr w:rsidR="00F0779B" w14:paraId="5A1C8BE9" w14:textId="77777777">
        <w:trPr>
          <w:trHeight w:val="406"/>
          <w:jc w:val="center"/>
        </w:trPr>
        <w:tc>
          <w:tcPr>
            <w:tcW w:w="3133" w:type="dxa"/>
            <w:tcBorders>
              <w:top w:val="single" w:sz="4" w:space="0" w:color="auto"/>
            </w:tcBorders>
            <w:vAlign w:val="center"/>
          </w:tcPr>
          <w:p w14:paraId="347E83A6" w14:textId="77777777" w:rsidR="00F0779B" w:rsidRDefault="00840882">
            <w:pPr>
              <w:spacing w:line="300" w:lineRule="auto"/>
              <w:rPr>
                <w:color w:val="000000" w:themeColor="text1"/>
                <w:szCs w:val="21"/>
              </w:rPr>
            </w:pPr>
            <w:r>
              <w:rPr>
                <w:rFonts w:hint="eastAsia"/>
                <w:color w:val="000000" w:themeColor="text1"/>
                <w:szCs w:val="21"/>
              </w:rPr>
              <w:lastRenderedPageBreak/>
              <w:t>Density</w:t>
            </w:r>
            <w:r>
              <w:rPr>
                <w:color w:val="000000" w:themeColor="text1"/>
                <w:szCs w:val="21"/>
              </w:rPr>
              <w:t>/</w:t>
            </w:r>
            <w:r>
              <w:rPr>
                <w:color w:val="000000" w:themeColor="text1"/>
                <w:szCs w:val="21"/>
              </w:rPr>
              <w:t>（</w:t>
            </w:r>
            <w:r>
              <w:rPr>
                <w:color w:val="000000" w:themeColor="text1"/>
                <w:szCs w:val="21"/>
              </w:rPr>
              <w:t>g/cm</w:t>
            </w:r>
            <w:r>
              <w:rPr>
                <w:color w:val="000000" w:themeColor="text1"/>
                <w:szCs w:val="21"/>
                <w:vertAlign w:val="superscript"/>
              </w:rPr>
              <w:t>3</w:t>
            </w:r>
            <w:r>
              <w:rPr>
                <w:color w:val="000000" w:themeColor="text1"/>
                <w:szCs w:val="21"/>
              </w:rPr>
              <w:t>）</w:t>
            </w:r>
          </w:p>
        </w:tc>
        <w:tc>
          <w:tcPr>
            <w:tcW w:w="3133" w:type="dxa"/>
            <w:tcBorders>
              <w:top w:val="single" w:sz="4" w:space="0" w:color="auto"/>
            </w:tcBorders>
            <w:vAlign w:val="center"/>
          </w:tcPr>
          <w:p w14:paraId="748D3F62" w14:textId="77777777" w:rsidR="00F0779B" w:rsidRDefault="00840882">
            <w:pPr>
              <w:spacing w:line="300" w:lineRule="auto"/>
              <w:rPr>
                <w:color w:val="000000" w:themeColor="text1"/>
                <w:szCs w:val="21"/>
              </w:rPr>
            </w:pPr>
            <w:r>
              <w:rPr>
                <w:rFonts w:ascii="SimSun" w:hAnsi="SimSun" w:cs="SimSun" w:hint="eastAsia"/>
                <w:color w:val="000000" w:themeColor="text1"/>
                <w:kern w:val="0"/>
                <w:szCs w:val="21"/>
              </w:rPr>
              <w:t>≥</w:t>
            </w:r>
            <w:r>
              <w:rPr>
                <w:color w:val="000000" w:themeColor="text1"/>
                <w:kern w:val="0"/>
                <w:szCs w:val="21"/>
              </w:rPr>
              <w:t>2.8</w:t>
            </w:r>
          </w:p>
        </w:tc>
        <w:tc>
          <w:tcPr>
            <w:tcW w:w="3134" w:type="dxa"/>
            <w:tcBorders>
              <w:top w:val="single" w:sz="4" w:space="0" w:color="auto"/>
            </w:tcBorders>
            <w:vAlign w:val="center"/>
          </w:tcPr>
          <w:p w14:paraId="69C588C3" w14:textId="77777777" w:rsidR="00F0779B" w:rsidRDefault="00840882">
            <w:pPr>
              <w:spacing w:line="300" w:lineRule="auto"/>
              <w:rPr>
                <w:color w:val="000000" w:themeColor="text1"/>
                <w:szCs w:val="21"/>
              </w:rPr>
            </w:pPr>
            <w:r>
              <w:rPr>
                <w:rFonts w:hint="eastAsia"/>
                <w:color w:val="000000" w:themeColor="text1"/>
                <w:szCs w:val="21"/>
              </w:rPr>
              <w:t>2.90</w:t>
            </w:r>
          </w:p>
        </w:tc>
      </w:tr>
      <w:tr w:rsidR="00F0779B" w14:paraId="1831F7A0" w14:textId="77777777">
        <w:trPr>
          <w:trHeight w:val="419"/>
          <w:jc w:val="center"/>
        </w:trPr>
        <w:tc>
          <w:tcPr>
            <w:tcW w:w="3133" w:type="dxa"/>
            <w:tcBorders>
              <w:bottom w:val="nil"/>
            </w:tcBorders>
            <w:vAlign w:val="center"/>
          </w:tcPr>
          <w:p w14:paraId="14305924" w14:textId="77777777" w:rsidR="00F0779B" w:rsidRDefault="00840882">
            <w:pPr>
              <w:spacing w:line="300" w:lineRule="auto"/>
              <w:rPr>
                <w:color w:val="000000" w:themeColor="text1"/>
                <w:szCs w:val="21"/>
              </w:rPr>
            </w:pPr>
            <w:r>
              <w:rPr>
                <w:rFonts w:hint="eastAsia"/>
                <w:color w:val="000000" w:themeColor="text1"/>
                <w:szCs w:val="21"/>
              </w:rPr>
              <w:t>Specific Surface Area</w:t>
            </w:r>
            <w:r>
              <w:rPr>
                <w:color w:val="000000" w:themeColor="text1"/>
                <w:szCs w:val="21"/>
              </w:rPr>
              <w:t>/</w:t>
            </w:r>
            <w:r>
              <w:rPr>
                <w:color w:val="000000" w:themeColor="text1"/>
                <w:szCs w:val="21"/>
              </w:rPr>
              <w:t>（</w:t>
            </w:r>
            <w:r>
              <w:rPr>
                <w:rFonts w:hint="eastAsia"/>
                <w:color w:val="000000" w:themeColor="text1"/>
                <w:szCs w:val="21"/>
              </w:rPr>
              <w:t>m</w:t>
            </w:r>
            <w:r>
              <w:rPr>
                <w:rFonts w:hint="eastAsia"/>
                <w:color w:val="000000" w:themeColor="text1"/>
                <w:szCs w:val="21"/>
                <w:vertAlign w:val="superscript"/>
              </w:rPr>
              <w:t>2</w:t>
            </w:r>
            <w:r>
              <w:rPr>
                <w:color w:val="000000" w:themeColor="text1"/>
                <w:szCs w:val="21"/>
              </w:rPr>
              <w:t>/kg</w:t>
            </w:r>
            <w:r>
              <w:rPr>
                <w:color w:val="000000" w:themeColor="text1"/>
                <w:szCs w:val="21"/>
              </w:rPr>
              <w:t>）</w:t>
            </w:r>
          </w:p>
        </w:tc>
        <w:tc>
          <w:tcPr>
            <w:tcW w:w="3133" w:type="dxa"/>
            <w:tcBorders>
              <w:bottom w:val="nil"/>
            </w:tcBorders>
            <w:vAlign w:val="center"/>
          </w:tcPr>
          <w:p w14:paraId="1DD87859" w14:textId="77777777" w:rsidR="00F0779B" w:rsidRDefault="00840882">
            <w:pPr>
              <w:spacing w:line="300" w:lineRule="auto"/>
              <w:rPr>
                <w:color w:val="000000" w:themeColor="text1"/>
                <w:szCs w:val="21"/>
              </w:rPr>
            </w:pPr>
            <w:r>
              <w:rPr>
                <w:rFonts w:ascii="SimSun" w:hAnsi="SimSun" w:cs="SimSun" w:hint="eastAsia"/>
                <w:color w:val="000000" w:themeColor="text1"/>
                <w:szCs w:val="21"/>
              </w:rPr>
              <w:t>≥</w:t>
            </w:r>
            <w:r>
              <w:rPr>
                <w:color w:val="000000" w:themeColor="text1"/>
                <w:szCs w:val="21"/>
              </w:rPr>
              <w:t>400</w:t>
            </w:r>
          </w:p>
        </w:tc>
        <w:tc>
          <w:tcPr>
            <w:tcW w:w="3134" w:type="dxa"/>
            <w:tcBorders>
              <w:bottom w:val="nil"/>
            </w:tcBorders>
            <w:vAlign w:val="center"/>
          </w:tcPr>
          <w:p w14:paraId="148D9FA3" w14:textId="77777777" w:rsidR="00F0779B" w:rsidRDefault="00840882">
            <w:pPr>
              <w:spacing w:line="300" w:lineRule="auto"/>
              <w:rPr>
                <w:color w:val="000000" w:themeColor="text1"/>
                <w:szCs w:val="21"/>
              </w:rPr>
            </w:pPr>
            <w:r>
              <w:rPr>
                <w:rFonts w:hint="eastAsia"/>
                <w:color w:val="000000" w:themeColor="text1"/>
                <w:szCs w:val="21"/>
              </w:rPr>
              <w:t>628</w:t>
            </w:r>
          </w:p>
        </w:tc>
      </w:tr>
      <w:tr w:rsidR="00F0779B" w14:paraId="3D6B315B" w14:textId="77777777">
        <w:trPr>
          <w:trHeight w:val="406"/>
          <w:jc w:val="center"/>
        </w:trPr>
        <w:tc>
          <w:tcPr>
            <w:tcW w:w="3133" w:type="dxa"/>
            <w:tcBorders>
              <w:bottom w:val="nil"/>
            </w:tcBorders>
            <w:vAlign w:val="center"/>
          </w:tcPr>
          <w:p w14:paraId="4FF56C92" w14:textId="77777777" w:rsidR="00F0779B" w:rsidRDefault="00840882">
            <w:pPr>
              <w:spacing w:line="300" w:lineRule="auto"/>
              <w:rPr>
                <w:color w:val="000000" w:themeColor="text1"/>
                <w:szCs w:val="21"/>
              </w:rPr>
            </w:pPr>
            <w:r>
              <w:rPr>
                <w:rFonts w:hint="eastAsia"/>
                <w:color w:val="000000" w:themeColor="text1"/>
                <w:szCs w:val="21"/>
              </w:rPr>
              <w:t>Activity Index</w:t>
            </w:r>
            <w:r>
              <w:rPr>
                <w:color w:val="000000" w:themeColor="text1"/>
                <w:szCs w:val="21"/>
              </w:rPr>
              <w:t>/%</w:t>
            </w:r>
          </w:p>
        </w:tc>
        <w:tc>
          <w:tcPr>
            <w:tcW w:w="3133" w:type="dxa"/>
            <w:tcBorders>
              <w:bottom w:val="nil"/>
            </w:tcBorders>
            <w:vAlign w:val="center"/>
          </w:tcPr>
          <w:p w14:paraId="155306C4" w14:textId="77777777" w:rsidR="00F0779B" w:rsidRDefault="00840882">
            <w:pPr>
              <w:spacing w:line="300" w:lineRule="auto"/>
              <w:rPr>
                <w:color w:val="000000" w:themeColor="text1"/>
                <w:szCs w:val="21"/>
              </w:rPr>
            </w:pPr>
            <w:r>
              <w:rPr>
                <w:rFonts w:ascii="SimSun" w:hAnsi="SimSun" w:cs="SimSun" w:hint="eastAsia"/>
                <w:color w:val="000000" w:themeColor="text1"/>
                <w:szCs w:val="21"/>
              </w:rPr>
              <w:t>≥</w:t>
            </w:r>
            <w:r>
              <w:rPr>
                <w:rFonts w:hint="eastAsia"/>
                <w:color w:val="000000" w:themeColor="text1"/>
                <w:szCs w:val="21"/>
              </w:rPr>
              <w:t>95</w:t>
            </w:r>
          </w:p>
        </w:tc>
        <w:tc>
          <w:tcPr>
            <w:tcW w:w="3134" w:type="dxa"/>
            <w:tcBorders>
              <w:bottom w:val="nil"/>
            </w:tcBorders>
            <w:vAlign w:val="center"/>
          </w:tcPr>
          <w:p w14:paraId="2D374BFF" w14:textId="77777777" w:rsidR="00F0779B" w:rsidRDefault="00840882">
            <w:pPr>
              <w:spacing w:line="300" w:lineRule="auto"/>
              <w:rPr>
                <w:color w:val="000000" w:themeColor="text1"/>
                <w:szCs w:val="21"/>
              </w:rPr>
            </w:pPr>
            <w:r>
              <w:rPr>
                <w:rFonts w:hint="eastAsia"/>
                <w:color w:val="000000" w:themeColor="text1"/>
                <w:szCs w:val="21"/>
              </w:rPr>
              <w:t>96</w:t>
            </w:r>
            <w:r>
              <w:rPr>
                <w:color w:val="000000" w:themeColor="text1"/>
                <w:szCs w:val="21"/>
              </w:rPr>
              <w:t>.5</w:t>
            </w:r>
          </w:p>
        </w:tc>
      </w:tr>
      <w:tr w:rsidR="00F0779B" w14:paraId="259814F7" w14:textId="77777777">
        <w:trPr>
          <w:trHeight w:val="257"/>
          <w:jc w:val="center"/>
        </w:trPr>
        <w:tc>
          <w:tcPr>
            <w:tcW w:w="3133" w:type="dxa"/>
            <w:tcBorders>
              <w:top w:val="nil"/>
              <w:bottom w:val="single" w:sz="12" w:space="0" w:color="auto"/>
            </w:tcBorders>
            <w:vAlign w:val="center"/>
          </w:tcPr>
          <w:p w14:paraId="545140FB" w14:textId="77777777" w:rsidR="00F0779B" w:rsidRDefault="00840882">
            <w:pPr>
              <w:spacing w:line="300" w:lineRule="auto"/>
              <w:rPr>
                <w:color w:val="000000" w:themeColor="text1"/>
                <w:szCs w:val="21"/>
              </w:rPr>
            </w:pPr>
            <w:r>
              <w:rPr>
                <w:rFonts w:hint="eastAsia"/>
                <w:color w:val="000000" w:themeColor="text1"/>
                <w:szCs w:val="21"/>
              </w:rPr>
              <w:t>Loss on Ignition</w:t>
            </w:r>
            <w:r>
              <w:rPr>
                <w:rFonts w:hint="eastAsia"/>
                <w:color w:val="000000" w:themeColor="text1"/>
                <w:szCs w:val="21"/>
              </w:rPr>
              <w:t>（</w:t>
            </w:r>
            <w:r>
              <w:rPr>
                <w:rFonts w:hint="eastAsia"/>
                <w:color w:val="000000" w:themeColor="text1"/>
                <w:szCs w:val="21"/>
              </w:rPr>
              <w:t>LOI</w:t>
            </w:r>
            <w:r>
              <w:rPr>
                <w:rFonts w:hint="eastAsia"/>
                <w:color w:val="000000" w:themeColor="text1"/>
                <w:szCs w:val="21"/>
              </w:rPr>
              <w:t>）</w:t>
            </w:r>
          </w:p>
        </w:tc>
        <w:tc>
          <w:tcPr>
            <w:tcW w:w="3133" w:type="dxa"/>
            <w:tcBorders>
              <w:top w:val="nil"/>
              <w:bottom w:val="single" w:sz="12" w:space="0" w:color="auto"/>
            </w:tcBorders>
            <w:vAlign w:val="center"/>
          </w:tcPr>
          <w:p w14:paraId="4C36BD9E" w14:textId="77777777" w:rsidR="00F0779B" w:rsidRDefault="00840882">
            <w:pPr>
              <w:spacing w:line="300" w:lineRule="auto"/>
              <w:rPr>
                <w:color w:val="000000" w:themeColor="text1"/>
                <w:szCs w:val="21"/>
              </w:rPr>
            </w:pPr>
            <w:r>
              <w:rPr>
                <w:rFonts w:hint="eastAsia"/>
                <w:color w:val="000000" w:themeColor="text1"/>
                <w:szCs w:val="21"/>
              </w:rPr>
              <w:t>≤</w:t>
            </w:r>
            <w:r>
              <w:rPr>
                <w:rFonts w:hint="eastAsia"/>
                <w:color w:val="000000" w:themeColor="text1"/>
                <w:szCs w:val="21"/>
              </w:rPr>
              <w:t>1.0</w:t>
            </w:r>
          </w:p>
        </w:tc>
        <w:tc>
          <w:tcPr>
            <w:tcW w:w="3134" w:type="dxa"/>
            <w:tcBorders>
              <w:top w:val="nil"/>
              <w:bottom w:val="single" w:sz="12" w:space="0" w:color="auto"/>
            </w:tcBorders>
            <w:vAlign w:val="center"/>
          </w:tcPr>
          <w:p w14:paraId="6B152778" w14:textId="77777777" w:rsidR="00F0779B" w:rsidRDefault="00840882">
            <w:pPr>
              <w:spacing w:line="300" w:lineRule="auto"/>
              <w:rPr>
                <w:color w:val="000000" w:themeColor="text1"/>
                <w:szCs w:val="21"/>
              </w:rPr>
            </w:pPr>
            <w:r>
              <w:rPr>
                <w:rFonts w:hint="eastAsia"/>
                <w:color w:val="000000" w:themeColor="text1"/>
                <w:szCs w:val="21"/>
              </w:rPr>
              <w:t>0.</w:t>
            </w:r>
            <w:r>
              <w:rPr>
                <w:color w:val="000000" w:themeColor="text1"/>
                <w:szCs w:val="21"/>
              </w:rPr>
              <w:t>5</w:t>
            </w:r>
          </w:p>
        </w:tc>
      </w:tr>
    </w:tbl>
    <w:p w14:paraId="566910A2" w14:textId="77777777" w:rsidR="00F0779B" w:rsidRDefault="00840882">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Table. </w:t>
      </w:r>
      <w:r>
        <w:rPr>
          <w:rFonts w:ascii="Times New Roman" w:hAnsi="Times New Roman" w:cs="Times New Roman" w:hint="eastAsia"/>
          <w:color w:val="000000" w:themeColor="text1"/>
          <w:szCs w:val="21"/>
        </w:rPr>
        <w:t>3</w:t>
      </w:r>
      <w:r>
        <w:rPr>
          <w:rFonts w:ascii="Times New Roman" w:hAnsi="Times New Roman" w:cs="Times New Roman"/>
          <w:color w:val="000000" w:themeColor="text1"/>
          <w:szCs w:val="21"/>
        </w:rPr>
        <w:t xml:space="preserve"> Performance index of granulated blast furnace slag powder</w:t>
      </w:r>
    </w:p>
    <w:p w14:paraId="17B00CF1" w14:textId="77777777" w:rsidR="00F0779B" w:rsidRDefault="00F0779B">
      <w:pPr>
        <w:adjustRightInd w:val="0"/>
        <w:snapToGrid w:val="0"/>
        <w:spacing w:before="0" w:beforeAutospacing="0"/>
        <w:rPr>
          <w:rFonts w:ascii="Times New Roman" w:hAnsi="Times New Roman" w:cs="Times New Roman"/>
          <w:color w:val="000000" w:themeColor="text1"/>
          <w:szCs w:val="21"/>
        </w:rPr>
      </w:pPr>
    </w:p>
    <w:p w14:paraId="57ED3737" w14:textId="77777777" w:rsidR="00F0779B" w:rsidRDefault="00840882">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The chemical composition of the granulated blast furnace slag powder was analyzed using </w:t>
      </w:r>
      <w:r>
        <w:rPr>
          <w:rFonts w:ascii="Times New Roman" w:hAnsi="Times New Roman" w:cs="Times New Roman"/>
          <w:color w:val="000000" w:themeColor="text1"/>
          <w:szCs w:val="21"/>
        </w:rPr>
        <w:t>XRF, and the results are shown in Table 4.</w:t>
      </w:r>
    </w:p>
    <w:p w14:paraId="426C25A0" w14:textId="77777777" w:rsidR="00F0779B" w:rsidRDefault="00F0779B">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p>
    <w:tbl>
      <w:tblPr>
        <w:tblW w:w="7482" w:type="dxa"/>
        <w:jc w:val="center"/>
        <w:tblBorders>
          <w:top w:val="single" w:sz="12" w:space="0" w:color="000000"/>
          <w:bottom w:val="single" w:sz="12" w:space="0" w:color="000000"/>
          <w:insideH w:val="single" w:sz="4" w:space="0" w:color="000000"/>
        </w:tblBorders>
        <w:tblLayout w:type="fixed"/>
        <w:tblCellMar>
          <w:top w:w="28" w:type="dxa"/>
          <w:left w:w="85" w:type="dxa"/>
          <w:bottom w:w="28" w:type="dxa"/>
          <w:right w:w="85" w:type="dxa"/>
        </w:tblCellMar>
        <w:tblLook w:val="04A0" w:firstRow="1" w:lastRow="0" w:firstColumn="1" w:lastColumn="0" w:noHBand="0" w:noVBand="1"/>
      </w:tblPr>
      <w:tblGrid>
        <w:gridCol w:w="2312"/>
        <w:gridCol w:w="710"/>
        <w:gridCol w:w="665"/>
        <w:gridCol w:w="665"/>
        <w:gridCol w:w="720"/>
        <w:gridCol w:w="851"/>
        <w:gridCol w:w="709"/>
        <w:gridCol w:w="850"/>
      </w:tblGrid>
      <w:tr w:rsidR="00F0779B" w14:paraId="1F17B08C" w14:textId="77777777">
        <w:trPr>
          <w:trHeight w:val="340"/>
          <w:jc w:val="center"/>
        </w:trPr>
        <w:tc>
          <w:tcPr>
            <w:tcW w:w="2312" w:type="dxa"/>
            <w:tcBorders>
              <w:top w:val="single" w:sz="12" w:space="0" w:color="auto"/>
              <w:left w:val="nil"/>
              <w:bottom w:val="single" w:sz="4" w:space="0" w:color="auto"/>
              <w:right w:val="nil"/>
            </w:tcBorders>
            <w:vAlign w:val="center"/>
          </w:tcPr>
          <w:p w14:paraId="49EC5380"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Chemical Composition</w:t>
            </w:r>
          </w:p>
        </w:tc>
        <w:tc>
          <w:tcPr>
            <w:tcW w:w="710" w:type="dxa"/>
            <w:tcBorders>
              <w:top w:val="single" w:sz="12" w:space="0" w:color="auto"/>
              <w:left w:val="nil"/>
              <w:bottom w:val="single" w:sz="4" w:space="0" w:color="auto"/>
              <w:right w:val="nil"/>
            </w:tcBorders>
            <w:vAlign w:val="center"/>
          </w:tcPr>
          <w:p w14:paraId="0A4C3051" w14:textId="77777777" w:rsidR="00F0779B" w:rsidRDefault="00840882">
            <w:pPr>
              <w:adjustRightInd w:val="0"/>
              <w:snapToGrid w:val="0"/>
              <w:spacing w:line="300" w:lineRule="auto"/>
              <w:rPr>
                <w:color w:val="000000" w:themeColor="text1"/>
                <w:szCs w:val="21"/>
              </w:rPr>
            </w:pPr>
            <w:r>
              <w:rPr>
                <w:color w:val="000000" w:themeColor="text1"/>
                <w:szCs w:val="21"/>
              </w:rPr>
              <w:t>CaO</w:t>
            </w:r>
          </w:p>
        </w:tc>
        <w:tc>
          <w:tcPr>
            <w:tcW w:w="665" w:type="dxa"/>
            <w:tcBorders>
              <w:top w:val="single" w:sz="12" w:space="0" w:color="auto"/>
              <w:left w:val="nil"/>
              <w:bottom w:val="single" w:sz="4" w:space="0" w:color="auto"/>
              <w:right w:val="nil"/>
            </w:tcBorders>
            <w:vAlign w:val="center"/>
          </w:tcPr>
          <w:p w14:paraId="27E64C99" w14:textId="77777777" w:rsidR="00F0779B" w:rsidRDefault="00840882">
            <w:pPr>
              <w:adjustRightInd w:val="0"/>
              <w:snapToGrid w:val="0"/>
              <w:spacing w:line="300" w:lineRule="auto"/>
              <w:rPr>
                <w:color w:val="000000" w:themeColor="text1"/>
                <w:szCs w:val="21"/>
              </w:rPr>
            </w:pPr>
            <w:r>
              <w:rPr>
                <w:color w:val="000000" w:themeColor="text1"/>
                <w:szCs w:val="21"/>
              </w:rPr>
              <w:t>SiO</w:t>
            </w:r>
            <w:r>
              <w:rPr>
                <w:color w:val="000000" w:themeColor="text1"/>
                <w:szCs w:val="21"/>
                <w:vertAlign w:val="subscript"/>
              </w:rPr>
              <w:t>2</w:t>
            </w:r>
          </w:p>
        </w:tc>
        <w:tc>
          <w:tcPr>
            <w:tcW w:w="665" w:type="dxa"/>
            <w:tcBorders>
              <w:top w:val="single" w:sz="12" w:space="0" w:color="auto"/>
              <w:left w:val="nil"/>
              <w:bottom w:val="single" w:sz="4" w:space="0" w:color="auto"/>
              <w:right w:val="nil"/>
            </w:tcBorders>
            <w:vAlign w:val="center"/>
          </w:tcPr>
          <w:p w14:paraId="491553C3" w14:textId="77777777" w:rsidR="00F0779B" w:rsidRDefault="00840882">
            <w:pPr>
              <w:adjustRightInd w:val="0"/>
              <w:snapToGrid w:val="0"/>
              <w:spacing w:line="300" w:lineRule="auto"/>
              <w:rPr>
                <w:color w:val="000000" w:themeColor="text1"/>
                <w:szCs w:val="21"/>
              </w:rPr>
            </w:pPr>
            <w:r>
              <w:rPr>
                <w:color w:val="000000" w:themeColor="text1"/>
                <w:szCs w:val="21"/>
              </w:rPr>
              <w:t>Al</w:t>
            </w:r>
            <w:r>
              <w:rPr>
                <w:color w:val="000000" w:themeColor="text1"/>
                <w:szCs w:val="21"/>
                <w:vertAlign w:val="subscript"/>
              </w:rPr>
              <w:t>2</w:t>
            </w:r>
            <w:r>
              <w:rPr>
                <w:color w:val="000000" w:themeColor="text1"/>
                <w:szCs w:val="21"/>
              </w:rPr>
              <w:t>O</w:t>
            </w:r>
            <w:r>
              <w:rPr>
                <w:color w:val="000000" w:themeColor="text1"/>
                <w:szCs w:val="21"/>
                <w:vertAlign w:val="subscript"/>
              </w:rPr>
              <w:t>3</w:t>
            </w:r>
          </w:p>
        </w:tc>
        <w:tc>
          <w:tcPr>
            <w:tcW w:w="720" w:type="dxa"/>
            <w:tcBorders>
              <w:top w:val="single" w:sz="12" w:space="0" w:color="auto"/>
              <w:left w:val="nil"/>
              <w:bottom w:val="single" w:sz="4" w:space="0" w:color="auto"/>
              <w:right w:val="nil"/>
            </w:tcBorders>
            <w:vAlign w:val="center"/>
          </w:tcPr>
          <w:p w14:paraId="523B32EF" w14:textId="77777777" w:rsidR="00F0779B" w:rsidRDefault="00840882">
            <w:pPr>
              <w:adjustRightInd w:val="0"/>
              <w:snapToGrid w:val="0"/>
              <w:spacing w:line="300" w:lineRule="auto"/>
              <w:rPr>
                <w:color w:val="000000" w:themeColor="text1"/>
                <w:szCs w:val="21"/>
              </w:rPr>
            </w:pPr>
            <w:r>
              <w:rPr>
                <w:color w:val="000000" w:themeColor="text1"/>
                <w:szCs w:val="21"/>
              </w:rPr>
              <w:t>MgO</w:t>
            </w:r>
          </w:p>
        </w:tc>
        <w:tc>
          <w:tcPr>
            <w:tcW w:w="851" w:type="dxa"/>
            <w:tcBorders>
              <w:top w:val="single" w:sz="12" w:space="0" w:color="auto"/>
              <w:left w:val="nil"/>
              <w:bottom w:val="single" w:sz="4" w:space="0" w:color="auto"/>
              <w:right w:val="nil"/>
            </w:tcBorders>
            <w:vAlign w:val="center"/>
          </w:tcPr>
          <w:p w14:paraId="441DE586" w14:textId="77777777" w:rsidR="00F0779B" w:rsidRDefault="00840882">
            <w:pPr>
              <w:adjustRightInd w:val="0"/>
              <w:snapToGrid w:val="0"/>
              <w:spacing w:line="300" w:lineRule="auto"/>
              <w:rPr>
                <w:color w:val="000000" w:themeColor="text1"/>
                <w:szCs w:val="21"/>
              </w:rPr>
            </w:pPr>
            <w:r>
              <w:rPr>
                <w:color w:val="000000" w:themeColor="text1"/>
                <w:szCs w:val="21"/>
              </w:rPr>
              <w:t>SO</w:t>
            </w:r>
            <w:r>
              <w:rPr>
                <w:color w:val="000000" w:themeColor="text1"/>
                <w:szCs w:val="21"/>
                <w:vertAlign w:val="subscript"/>
              </w:rPr>
              <w:t>3</w:t>
            </w:r>
          </w:p>
        </w:tc>
        <w:tc>
          <w:tcPr>
            <w:tcW w:w="709" w:type="dxa"/>
            <w:tcBorders>
              <w:top w:val="single" w:sz="12" w:space="0" w:color="auto"/>
              <w:left w:val="nil"/>
              <w:bottom w:val="single" w:sz="4" w:space="0" w:color="auto"/>
              <w:right w:val="nil"/>
            </w:tcBorders>
            <w:vAlign w:val="center"/>
          </w:tcPr>
          <w:p w14:paraId="49FB1255"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TiO</w:t>
            </w:r>
            <w:r>
              <w:rPr>
                <w:rFonts w:hint="eastAsia"/>
                <w:color w:val="000000" w:themeColor="text1"/>
                <w:szCs w:val="21"/>
                <w:vertAlign w:val="subscript"/>
              </w:rPr>
              <w:t>2</w:t>
            </w:r>
          </w:p>
        </w:tc>
        <w:tc>
          <w:tcPr>
            <w:tcW w:w="850" w:type="dxa"/>
            <w:tcBorders>
              <w:top w:val="single" w:sz="12" w:space="0" w:color="auto"/>
              <w:left w:val="nil"/>
              <w:bottom w:val="single" w:sz="4" w:space="0" w:color="auto"/>
              <w:right w:val="nil"/>
            </w:tcBorders>
            <w:vAlign w:val="center"/>
          </w:tcPr>
          <w:p w14:paraId="3FFB19C0"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Na</w:t>
            </w:r>
            <w:r>
              <w:rPr>
                <w:color w:val="000000" w:themeColor="text1"/>
                <w:szCs w:val="21"/>
                <w:vertAlign w:val="subscript"/>
              </w:rPr>
              <w:t>2</w:t>
            </w:r>
            <w:r>
              <w:rPr>
                <w:color w:val="000000" w:themeColor="text1"/>
                <w:szCs w:val="21"/>
              </w:rPr>
              <w:t>O</w:t>
            </w:r>
          </w:p>
        </w:tc>
      </w:tr>
      <w:tr w:rsidR="00F0779B" w14:paraId="2D5FC8E4" w14:textId="77777777">
        <w:trPr>
          <w:trHeight w:val="341"/>
          <w:jc w:val="center"/>
        </w:trPr>
        <w:tc>
          <w:tcPr>
            <w:tcW w:w="2312" w:type="dxa"/>
            <w:tcBorders>
              <w:top w:val="single" w:sz="4" w:space="0" w:color="auto"/>
              <w:left w:val="nil"/>
              <w:bottom w:val="single" w:sz="12" w:space="0" w:color="auto"/>
              <w:right w:val="nil"/>
            </w:tcBorders>
            <w:vAlign w:val="center"/>
          </w:tcPr>
          <w:p w14:paraId="6ADC9D82" w14:textId="372A93EC" w:rsidR="00F0779B" w:rsidRDefault="005233E7">
            <w:pPr>
              <w:adjustRightInd w:val="0"/>
              <w:snapToGrid w:val="0"/>
              <w:spacing w:line="300" w:lineRule="auto"/>
              <w:rPr>
                <w:color w:val="000000" w:themeColor="text1"/>
                <w:szCs w:val="21"/>
              </w:rPr>
            </w:pPr>
            <w:r w:rsidRPr="005233E7">
              <w:rPr>
                <w:color w:val="000000" w:themeColor="text1"/>
                <w:szCs w:val="21"/>
              </w:rPr>
              <w:t>Ingredient Percentage (%)</w:t>
            </w:r>
          </w:p>
        </w:tc>
        <w:tc>
          <w:tcPr>
            <w:tcW w:w="710" w:type="dxa"/>
            <w:tcBorders>
              <w:top w:val="single" w:sz="4" w:space="0" w:color="auto"/>
              <w:left w:val="nil"/>
              <w:bottom w:val="single" w:sz="12" w:space="0" w:color="auto"/>
              <w:right w:val="nil"/>
            </w:tcBorders>
            <w:vAlign w:val="center"/>
          </w:tcPr>
          <w:p w14:paraId="2C937C57"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34.72</w:t>
            </w:r>
          </w:p>
        </w:tc>
        <w:tc>
          <w:tcPr>
            <w:tcW w:w="665" w:type="dxa"/>
            <w:tcBorders>
              <w:top w:val="single" w:sz="4" w:space="0" w:color="auto"/>
              <w:left w:val="nil"/>
              <w:bottom w:val="single" w:sz="12" w:space="0" w:color="auto"/>
              <w:right w:val="nil"/>
            </w:tcBorders>
            <w:vAlign w:val="center"/>
          </w:tcPr>
          <w:p w14:paraId="3115CFAD"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32.31</w:t>
            </w:r>
          </w:p>
        </w:tc>
        <w:tc>
          <w:tcPr>
            <w:tcW w:w="665" w:type="dxa"/>
            <w:tcBorders>
              <w:top w:val="single" w:sz="4" w:space="0" w:color="auto"/>
              <w:left w:val="nil"/>
              <w:bottom w:val="single" w:sz="12" w:space="0" w:color="auto"/>
              <w:right w:val="nil"/>
            </w:tcBorders>
            <w:vAlign w:val="center"/>
          </w:tcPr>
          <w:p w14:paraId="2CCCF0EC"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18.23</w:t>
            </w:r>
          </w:p>
        </w:tc>
        <w:tc>
          <w:tcPr>
            <w:tcW w:w="720" w:type="dxa"/>
            <w:tcBorders>
              <w:top w:val="single" w:sz="4" w:space="0" w:color="auto"/>
              <w:left w:val="nil"/>
              <w:bottom w:val="single" w:sz="12" w:space="0" w:color="auto"/>
              <w:right w:val="nil"/>
            </w:tcBorders>
            <w:vAlign w:val="center"/>
          </w:tcPr>
          <w:p w14:paraId="4D4355BD"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10.11</w:t>
            </w:r>
          </w:p>
        </w:tc>
        <w:tc>
          <w:tcPr>
            <w:tcW w:w="851" w:type="dxa"/>
            <w:tcBorders>
              <w:top w:val="single" w:sz="4" w:space="0" w:color="auto"/>
              <w:left w:val="nil"/>
              <w:bottom w:val="single" w:sz="12" w:space="0" w:color="auto"/>
              <w:right w:val="nil"/>
            </w:tcBorders>
            <w:vAlign w:val="center"/>
          </w:tcPr>
          <w:p w14:paraId="2B3D22DB"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2.13</w:t>
            </w:r>
          </w:p>
        </w:tc>
        <w:tc>
          <w:tcPr>
            <w:tcW w:w="709" w:type="dxa"/>
            <w:tcBorders>
              <w:top w:val="single" w:sz="4" w:space="0" w:color="auto"/>
              <w:left w:val="nil"/>
              <w:bottom w:val="single" w:sz="12" w:space="0" w:color="auto"/>
              <w:right w:val="nil"/>
            </w:tcBorders>
            <w:vAlign w:val="center"/>
          </w:tcPr>
          <w:p w14:paraId="636EF450"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0.67</w:t>
            </w:r>
          </w:p>
        </w:tc>
        <w:tc>
          <w:tcPr>
            <w:tcW w:w="850" w:type="dxa"/>
            <w:tcBorders>
              <w:top w:val="single" w:sz="4" w:space="0" w:color="auto"/>
              <w:left w:val="nil"/>
              <w:bottom w:val="single" w:sz="12" w:space="0" w:color="auto"/>
              <w:right w:val="nil"/>
            </w:tcBorders>
            <w:vAlign w:val="center"/>
          </w:tcPr>
          <w:p w14:paraId="329F8937"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0.54</w:t>
            </w:r>
          </w:p>
        </w:tc>
      </w:tr>
    </w:tbl>
    <w:p w14:paraId="4EAA985C" w14:textId="77777777" w:rsidR="00F0779B" w:rsidRDefault="00840882">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Table. </w:t>
      </w:r>
      <w:r>
        <w:rPr>
          <w:rFonts w:ascii="Times New Roman" w:hAnsi="Times New Roman" w:cs="Times New Roman" w:hint="eastAsia"/>
          <w:color w:val="000000" w:themeColor="text1"/>
          <w:szCs w:val="21"/>
        </w:rPr>
        <w:t>4</w:t>
      </w:r>
      <w:r>
        <w:rPr>
          <w:rFonts w:ascii="Times New Roman" w:hAnsi="Times New Roman" w:cs="Times New Roman"/>
          <w:color w:val="000000" w:themeColor="text1"/>
          <w:szCs w:val="21"/>
        </w:rPr>
        <w:t xml:space="preserve"> Chemical composition of granulated blast furnace slag powder</w:t>
      </w:r>
    </w:p>
    <w:p w14:paraId="01A3F0D8" w14:textId="77777777" w:rsidR="00F0779B" w:rsidRDefault="00F0779B">
      <w:pPr>
        <w:adjustRightInd w:val="0"/>
        <w:snapToGrid w:val="0"/>
        <w:spacing w:before="0" w:beforeAutospacing="0"/>
        <w:rPr>
          <w:rFonts w:ascii="Times New Roman" w:hAnsi="Times New Roman" w:cs="Times New Roman"/>
          <w:color w:val="000000" w:themeColor="text1"/>
          <w:szCs w:val="21"/>
        </w:rPr>
      </w:pPr>
    </w:p>
    <w:p w14:paraId="095B45C5" w14:textId="77777777" w:rsidR="00F0779B" w:rsidRDefault="00840882">
      <w:pPr>
        <w:adjustRightInd w:val="0"/>
        <w:snapToGrid w:val="0"/>
        <w:spacing w:before="0" w:beforeAutospacing="0" w:line="300" w:lineRule="auto"/>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3</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 xml:space="preserve"> Activator</w:t>
      </w:r>
    </w:p>
    <w:p w14:paraId="0D904BFF" w14:textId="77777777" w:rsidR="00F0779B" w:rsidRDefault="00840882">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1.</w:t>
      </w:r>
      <w:r>
        <w:rPr>
          <w:rFonts w:ascii="Times New Roman" w:hAnsi="Times New Roman" w:cs="Times New Roman"/>
          <w:color w:val="000000" w:themeColor="text1"/>
          <w:szCs w:val="21"/>
        </w:rPr>
        <w:t>Desulfurization Gypsum</w:t>
      </w:r>
    </w:p>
    <w:p w14:paraId="73C021CE" w14:textId="77777777" w:rsidR="00F0779B" w:rsidRDefault="00840882">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The desulfurization gypsum used in this experiment is in the form of earth-colored blocks. After crushing, it was sieved to test particle size distribution. Its chemical composition was analyzed using an X-ray fluorescence spectromet</w:t>
      </w:r>
      <w:r>
        <w:rPr>
          <w:rFonts w:ascii="Times New Roman" w:hAnsi="Times New Roman" w:cs="Times New Roman"/>
          <w:color w:val="000000" w:themeColor="text1"/>
          <w:szCs w:val="21"/>
        </w:rPr>
        <w:t>er (XRF); the chemical composition is shown in Table 5.</w:t>
      </w:r>
    </w:p>
    <w:p w14:paraId="2CDDCBD1" w14:textId="77777777" w:rsidR="00F0779B" w:rsidRDefault="00F0779B">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p>
    <w:tbl>
      <w:tblPr>
        <w:tblW w:w="7482" w:type="dxa"/>
        <w:jc w:val="center"/>
        <w:tblBorders>
          <w:top w:val="single" w:sz="12" w:space="0" w:color="000000"/>
          <w:bottom w:val="single" w:sz="12" w:space="0" w:color="000000"/>
          <w:insideH w:val="single" w:sz="4" w:space="0" w:color="000000"/>
        </w:tblBorders>
        <w:tblLayout w:type="fixed"/>
        <w:tblCellMar>
          <w:top w:w="28" w:type="dxa"/>
          <w:left w:w="85" w:type="dxa"/>
          <w:bottom w:w="28" w:type="dxa"/>
          <w:right w:w="85" w:type="dxa"/>
        </w:tblCellMar>
        <w:tblLook w:val="04A0" w:firstRow="1" w:lastRow="0" w:firstColumn="1" w:lastColumn="0" w:noHBand="0" w:noVBand="1"/>
      </w:tblPr>
      <w:tblGrid>
        <w:gridCol w:w="2312"/>
        <w:gridCol w:w="710"/>
        <w:gridCol w:w="665"/>
        <w:gridCol w:w="665"/>
        <w:gridCol w:w="720"/>
        <w:gridCol w:w="851"/>
        <w:gridCol w:w="709"/>
        <w:gridCol w:w="850"/>
      </w:tblGrid>
      <w:tr w:rsidR="00F0779B" w14:paraId="6736BB9A" w14:textId="77777777">
        <w:trPr>
          <w:trHeight w:val="340"/>
          <w:jc w:val="center"/>
        </w:trPr>
        <w:tc>
          <w:tcPr>
            <w:tcW w:w="2312" w:type="dxa"/>
            <w:tcBorders>
              <w:top w:val="single" w:sz="12" w:space="0" w:color="auto"/>
              <w:left w:val="nil"/>
              <w:bottom w:val="single" w:sz="4" w:space="0" w:color="auto"/>
              <w:right w:val="nil"/>
            </w:tcBorders>
            <w:vAlign w:val="center"/>
          </w:tcPr>
          <w:p w14:paraId="53E0E96A"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Chemical Composition</w:t>
            </w:r>
          </w:p>
        </w:tc>
        <w:tc>
          <w:tcPr>
            <w:tcW w:w="710" w:type="dxa"/>
            <w:tcBorders>
              <w:top w:val="single" w:sz="12" w:space="0" w:color="auto"/>
              <w:left w:val="nil"/>
              <w:bottom w:val="single" w:sz="4" w:space="0" w:color="auto"/>
              <w:right w:val="nil"/>
            </w:tcBorders>
            <w:vAlign w:val="center"/>
          </w:tcPr>
          <w:p w14:paraId="76677533"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SO</w:t>
            </w:r>
            <w:r>
              <w:rPr>
                <w:rFonts w:hint="eastAsia"/>
                <w:color w:val="000000" w:themeColor="text1"/>
                <w:szCs w:val="21"/>
                <w:vertAlign w:val="subscript"/>
              </w:rPr>
              <w:t>3</w:t>
            </w:r>
          </w:p>
        </w:tc>
        <w:tc>
          <w:tcPr>
            <w:tcW w:w="665" w:type="dxa"/>
            <w:tcBorders>
              <w:top w:val="single" w:sz="12" w:space="0" w:color="auto"/>
              <w:left w:val="nil"/>
              <w:bottom w:val="single" w:sz="4" w:space="0" w:color="auto"/>
              <w:right w:val="nil"/>
            </w:tcBorders>
            <w:vAlign w:val="center"/>
          </w:tcPr>
          <w:p w14:paraId="7A0822BB"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CaO</w:t>
            </w:r>
          </w:p>
        </w:tc>
        <w:tc>
          <w:tcPr>
            <w:tcW w:w="665" w:type="dxa"/>
            <w:tcBorders>
              <w:top w:val="single" w:sz="12" w:space="0" w:color="auto"/>
              <w:left w:val="nil"/>
              <w:bottom w:val="single" w:sz="4" w:space="0" w:color="auto"/>
              <w:right w:val="nil"/>
            </w:tcBorders>
            <w:vAlign w:val="center"/>
          </w:tcPr>
          <w:p w14:paraId="25294DDB"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SiO</w:t>
            </w:r>
            <w:r>
              <w:rPr>
                <w:rFonts w:hint="eastAsia"/>
                <w:color w:val="000000" w:themeColor="text1"/>
                <w:szCs w:val="21"/>
                <w:vertAlign w:val="subscript"/>
              </w:rPr>
              <w:t>2</w:t>
            </w:r>
          </w:p>
        </w:tc>
        <w:tc>
          <w:tcPr>
            <w:tcW w:w="720" w:type="dxa"/>
            <w:tcBorders>
              <w:top w:val="single" w:sz="12" w:space="0" w:color="auto"/>
              <w:left w:val="nil"/>
              <w:bottom w:val="single" w:sz="4" w:space="0" w:color="auto"/>
              <w:right w:val="nil"/>
            </w:tcBorders>
            <w:vAlign w:val="center"/>
          </w:tcPr>
          <w:p w14:paraId="3C9C9005"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MgO</w:t>
            </w:r>
          </w:p>
        </w:tc>
        <w:tc>
          <w:tcPr>
            <w:tcW w:w="851" w:type="dxa"/>
            <w:tcBorders>
              <w:top w:val="single" w:sz="12" w:space="0" w:color="auto"/>
              <w:left w:val="nil"/>
              <w:bottom w:val="single" w:sz="4" w:space="0" w:color="auto"/>
              <w:right w:val="nil"/>
            </w:tcBorders>
            <w:vAlign w:val="center"/>
          </w:tcPr>
          <w:p w14:paraId="5D4DD1E7"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F</w:t>
            </w:r>
          </w:p>
        </w:tc>
        <w:tc>
          <w:tcPr>
            <w:tcW w:w="709" w:type="dxa"/>
            <w:tcBorders>
              <w:top w:val="single" w:sz="12" w:space="0" w:color="auto"/>
              <w:left w:val="nil"/>
              <w:bottom w:val="single" w:sz="4" w:space="0" w:color="auto"/>
              <w:right w:val="nil"/>
            </w:tcBorders>
            <w:vAlign w:val="center"/>
          </w:tcPr>
          <w:p w14:paraId="0D7A6CB4"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Al</w:t>
            </w:r>
            <w:r>
              <w:rPr>
                <w:rFonts w:hint="eastAsia"/>
                <w:color w:val="000000" w:themeColor="text1"/>
                <w:szCs w:val="21"/>
                <w:vertAlign w:val="subscript"/>
              </w:rPr>
              <w:t>2</w:t>
            </w:r>
            <w:r>
              <w:rPr>
                <w:rFonts w:hint="eastAsia"/>
                <w:color w:val="000000" w:themeColor="text1"/>
                <w:szCs w:val="21"/>
              </w:rPr>
              <w:t>O</w:t>
            </w:r>
            <w:r>
              <w:rPr>
                <w:rFonts w:hint="eastAsia"/>
                <w:color w:val="000000" w:themeColor="text1"/>
                <w:szCs w:val="21"/>
                <w:vertAlign w:val="subscript"/>
              </w:rPr>
              <w:t>3</w:t>
            </w:r>
          </w:p>
        </w:tc>
        <w:tc>
          <w:tcPr>
            <w:tcW w:w="850" w:type="dxa"/>
            <w:tcBorders>
              <w:top w:val="single" w:sz="12" w:space="0" w:color="auto"/>
              <w:left w:val="nil"/>
              <w:bottom w:val="single" w:sz="4" w:space="0" w:color="auto"/>
              <w:right w:val="nil"/>
            </w:tcBorders>
            <w:vAlign w:val="center"/>
          </w:tcPr>
          <w:p w14:paraId="2CA8EA71"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Fe</w:t>
            </w:r>
            <w:r>
              <w:rPr>
                <w:rFonts w:hint="eastAsia"/>
                <w:color w:val="000000" w:themeColor="text1"/>
                <w:szCs w:val="21"/>
                <w:vertAlign w:val="subscript"/>
              </w:rPr>
              <w:t>2</w:t>
            </w:r>
            <w:r>
              <w:rPr>
                <w:rFonts w:hint="eastAsia"/>
                <w:color w:val="000000" w:themeColor="text1"/>
                <w:szCs w:val="21"/>
              </w:rPr>
              <w:t>O</w:t>
            </w:r>
            <w:r>
              <w:rPr>
                <w:rFonts w:hint="eastAsia"/>
                <w:color w:val="000000" w:themeColor="text1"/>
                <w:szCs w:val="21"/>
                <w:vertAlign w:val="subscript"/>
              </w:rPr>
              <w:t>3</w:t>
            </w:r>
          </w:p>
        </w:tc>
      </w:tr>
      <w:tr w:rsidR="00F0779B" w14:paraId="369CAC64" w14:textId="77777777">
        <w:trPr>
          <w:trHeight w:val="341"/>
          <w:jc w:val="center"/>
        </w:trPr>
        <w:tc>
          <w:tcPr>
            <w:tcW w:w="2312" w:type="dxa"/>
            <w:tcBorders>
              <w:top w:val="single" w:sz="4" w:space="0" w:color="auto"/>
              <w:left w:val="nil"/>
              <w:bottom w:val="single" w:sz="12" w:space="0" w:color="auto"/>
              <w:right w:val="nil"/>
            </w:tcBorders>
            <w:vAlign w:val="center"/>
          </w:tcPr>
          <w:p w14:paraId="39C7F8E2" w14:textId="1602979C" w:rsidR="00F0779B" w:rsidRDefault="005233E7">
            <w:pPr>
              <w:adjustRightInd w:val="0"/>
              <w:snapToGrid w:val="0"/>
              <w:spacing w:line="300" w:lineRule="auto"/>
              <w:rPr>
                <w:color w:val="000000" w:themeColor="text1"/>
                <w:szCs w:val="21"/>
              </w:rPr>
            </w:pPr>
            <w:r w:rsidRPr="005233E7">
              <w:rPr>
                <w:color w:val="000000" w:themeColor="text1"/>
                <w:szCs w:val="21"/>
              </w:rPr>
              <w:t>Ingredient Percentage (%)</w:t>
            </w:r>
          </w:p>
        </w:tc>
        <w:tc>
          <w:tcPr>
            <w:tcW w:w="710" w:type="dxa"/>
            <w:tcBorders>
              <w:top w:val="single" w:sz="4" w:space="0" w:color="auto"/>
              <w:left w:val="nil"/>
              <w:bottom w:val="single" w:sz="12" w:space="0" w:color="auto"/>
              <w:right w:val="nil"/>
            </w:tcBorders>
            <w:vAlign w:val="center"/>
          </w:tcPr>
          <w:p w14:paraId="47A3CC32"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51.66</w:t>
            </w:r>
          </w:p>
        </w:tc>
        <w:tc>
          <w:tcPr>
            <w:tcW w:w="665" w:type="dxa"/>
            <w:tcBorders>
              <w:top w:val="single" w:sz="4" w:space="0" w:color="auto"/>
              <w:left w:val="nil"/>
              <w:bottom w:val="single" w:sz="12" w:space="0" w:color="auto"/>
              <w:right w:val="nil"/>
            </w:tcBorders>
            <w:vAlign w:val="center"/>
          </w:tcPr>
          <w:p w14:paraId="71DD68B0"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38.01</w:t>
            </w:r>
          </w:p>
        </w:tc>
        <w:tc>
          <w:tcPr>
            <w:tcW w:w="665" w:type="dxa"/>
            <w:tcBorders>
              <w:top w:val="single" w:sz="4" w:space="0" w:color="auto"/>
              <w:left w:val="nil"/>
              <w:bottom w:val="single" w:sz="12" w:space="0" w:color="auto"/>
              <w:right w:val="nil"/>
            </w:tcBorders>
            <w:vAlign w:val="center"/>
          </w:tcPr>
          <w:p w14:paraId="56060F90"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3.26</w:t>
            </w:r>
          </w:p>
        </w:tc>
        <w:tc>
          <w:tcPr>
            <w:tcW w:w="720" w:type="dxa"/>
            <w:tcBorders>
              <w:top w:val="single" w:sz="4" w:space="0" w:color="auto"/>
              <w:left w:val="nil"/>
              <w:bottom w:val="single" w:sz="12" w:space="0" w:color="auto"/>
              <w:right w:val="nil"/>
            </w:tcBorders>
            <w:vAlign w:val="center"/>
          </w:tcPr>
          <w:p w14:paraId="418FE93E"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2.23</w:t>
            </w:r>
          </w:p>
        </w:tc>
        <w:tc>
          <w:tcPr>
            <w:tcW w:w="851" w:type="dxa"/>
            <w:tcBorders>
              <w:top w:val="single" w:sz="4" w:space="0" w:color="auto"/>
              <w:left w:val="nil"/>
              <w:bottom w:val="single" w:sz="12" w:space="0" w:color="auto"/>
              <w:right w:val="nil"/>
            </w:tcBorders>
            <w:vAlign w:val="center"/>
          </w:tcPr>
          <w:p w14:paraId="48F3D8DF"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2.07</w:t>
            </w:r>
          </w:p>
        </w:tc>
        <w:tc>
          <w:tcPr>
            <w:tcW w:w="709" w:type="dxa"/>
            <w:tcBorders>
              <w:top w:val="single" w:sz="4" w:space="0" w:color="auto"/>
              <w:left w:val="nil"/>
              <w:bottom w:val="single" w:sz="12" w:space="0" w:color="auto"/>
              <w:right w:val="nil"/>
            </w:tcBorders>
            <w:vAlign w:val="center"/>
          </w:tcPr>
          <w:p w14:paraId="4DD3CBB0"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1.65</w:t>
            </w:r>
          </w:p>
        </w:tc>
        <w:tc>
          <w:tcPr>
            <w:tcW w:w="850" w:type="dxa"/>
            <w:tcBorders>
              <w:top w:val="single" w:sz="4" w:space="0" w:color="auto"/>
              <w:left w:val="nil"/>
              <w:bottom w:val="single" w:sz="12" w:space="0" w:color="auto"/>
              <w:right w:val="nil"/>
            </w:tcBorders>
            <w:vAlign w:val="center"/>
          </w:tcPr>
          <w:p w14:paraId="5139EF43"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0.61</w:t>
            </w:r>
          </w:p>
        </w:tc>
      </w:tr>
    </w:tbl>
    <w:p w14:paraId="338E4402" w14:textId="77777777" w:rsidR="00F0779B" w:rsidRDefault="00840882">
      <w:pPr>
        <w:adjustRightInd w:val="0"/>
        <w:snapToGrid w:val="0"/>
        <w:spacing w:before="0" w:beforeAutospacing="0"/>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Table. </w:t>
      </w:r>
      <w:r>
        <w:rPr>
          <w:rFonts w:ascii="Times New Roman" w:hAnsi="Times New Roman" w:cs="Times New Roman" w:hint="eastAsia"/>
          <w:color w:val="000000" w:themeColor="text1"/>
          <w:szCs w:val="21"/>
        </w:rPr>
        <w:t>5</w:t>
      </w:r>
      <w:r>
        <w:rPr>
          <w:rFonts w:ascii="Times New Roman" w:hAnsi="Times New Roman" w:cs="Times New Roman"/>
          <w:color w:val="000000" w:themeColor="text1"/>
          <w:szCs w:val="21"/>
        </w:rPr>
        <w:t xml:space="preserve"> Chemical composition of </w:t>
      </w:r>
      <w:r>
        <w:rPr>
          <w:rFonts w:ascii="Times New Roman" w:hAnsi="Times New Roman" w:cs="Times New Roman" w:hint="eastAsia"/>
          <w:color w:val="000000" w:themeColor="text1"/>
          <w:szCs w:val="21"/>
        </w:rPr>
        <w:t>d</w:t>
      </w:r>
      <w:r>
        <w:rPr>
          <w:rFonts w:ascii="Times New Roman" w:hAnsi="Times New Roman" w:cs="Times New Roman"/>
          <w:color w:val="000000" w:themeColor="text1"/>
          <w:szCs w:val="21"/>
        </w:rPr>
        <w:t xml:space="preserve">esulfurization </w:t>
      </w:r>
      <w:r>
        <w:rPr>
          <w:rFonts w:ascii="Times New Roman" w:hAnsi="Times New Roman" w:cs="Times New Roman" w:hint="eastAsia"/>
          <w:color w:val="000000" w:themeColor="text1"/>
          <w:szCs w:val="21"/>
        </w:rPr>
        <w:t>g</w:t>
      </w:r>
      <w:r>
        <w:rPr>
          <w:rFonts w:ascii="Times New Roman" w:hAnsi="Times New Roman" w:cs="Times New Roman"/>
          <w:color w:val="000000" w:themeColor="text1"/>
          <w:szCs w:val="21"/>
        </w:rPr>
        <w:t>ypsum</w:t>
      </w:r>
    </w:p>
    <w:p w14:paraId="73D3C5BC" w14:textId="77777777" w:rsidR="00F0779B" w:rsidRDefault="00F0779B">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p>
    <w:p w14:paraId="1E55A24D" w14:textId="77777777" w:rsidR="00F0779B" w:rsidRDefault="00840882">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2. Carbide Slag</w:t>
      </w:r>
    </w:p>
    <w:p w14:paraId="5640381E" w14:textId="77777777" w:rsidR="00F0779B" w:rsidRDefault="00840882">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The </w:t>
      </w:r>
      <w:r>
        <w:rPr>
          <w:rFonts w:ascii="Times New Roman" w:hAnsi="Times New Roman" w:cs="Times New Roman" w:hint="eastAsia"/>
          <w:color w:val="000000" w:themeColor="text1"/>
          <w:szCs w:val="21"/>
        </w:rPr>
        <w:t>carbide slag used in this experiment appears as a white powder. Its chemical composition was analyzed using an X-ray fluorescence spectrometer (XRF), and the chemical composition is shown in Table 6.</w:t>
      </w:r>
    </w:p>
    <w:p w14:paraId="78B5B00F" w14:textId="77777777" w:rsidR="00F0779B" w:rsidRDefault="00F0779B">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p>
    <w:tbl>
      <w:tblPr>
        <w:tblW w:w="7482" w:type="dxa"/>
        <w:jc w:val="center"/>
        <w:tblBorders>
          <w:top w:val="single" w:sz="12" w:space="0" w:color="000000"/>
          <w:bottom w:val="single" w:sz="12" w:space="0" w:color="000000"/>
          <w:insideH w:val="single" w:sz="4" w:space="0" w:color="000000"/>
        </w:tblBorders>
        <w:tblLayout w:type="fixed"/>
        <w:tblCellMar>
          <w:top w:w="28" w:type="dxa"/>
          <w:left w:w="85" w:type="dxa"/>
          <w:bottom w:w="28" w:type="dxa"/>
          <w:right w:w="85" w:type="dxa"/>
        </w:tblCellMar>
        <w:tblLook w:val="04A0" w:firstRow="1" w:lastRow="0" w:firstColumn="1" w:lastColumn="0" w:noHBand="0" w:noVBand="1"/>
      </w:tblPr>
      <w:tblGrid>
        <w:gridCol w:w="2312"/>
        <w:gridCol w:w="710"/>
        <w:gridCol w:w="665"/>
        <w:gridCol w:w="665"/>
        <w:gridCol w:w="720"/>
        <w:gridCol w:w="851"/>
        <w:gridCol w:w="709"/>
        <w:gridCol w:w="850"/>
      </w:tblGrid>
      <w:tr w:rsidR="00F0779B" w14:paraId="067558AC" w14:textId="77777777">
        <w:trPr>
          <w:trHeight w:val="340"/>
          <w:jc w:val="center"/>
        </w:trPr>
        <w:tc>
          <w:tcPr>
            <w:tcW w:w="2312" w:type="dxa"/>
            <w:tcBorders>
              <w:top w:val="single" w:sz="12" w:space="0" w:color="auto"/>
              <w:left w:val="nil"/>
              <w:bottom w:val="single" w:sz="4" w:space="0" w:color="auto"/>
              <w:right w:val="nil"/>
            </w:tcBorders>
            <w:vAlign w:val="center"/>
          </w:tcPr>
          <w:p w14:paraId="6D30357E"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Chemical Composition</w:t>
            </w:r>
          </w:p>
        </w:tc>
        <w:tc>
          <w:tcPr>
            <w:tcW w:w="710" w:type="dxa"/>
            <w:tcBorders>
              <w:top w:val="single" w:sz="12" w:space="0" w:color="auto"/>
              <w:left w:val="nil"/>
              <w:bottom w:val="single" w:sz="4" w:space="0" w:color="auto"/>
              <w:right w:val="nil"/>
            </w:tcBorders>
            <w:vAlign w:val="center"/>
          </w:tcPr>
          <w:p w14:paraId="6D812153"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CaO</w:t>
            </w:r>
          </w:p>
        </w:tc>
        <w:tc>
          <w:tcPr>
            <w:tcW w:w="665" w:type="dxa"/>
            <w:tcBorders>
              <w:top w:val="single" w:sz="12" w:space="0" w:color="auto"/>
              <w:left w:val="nil"/>
              <w:bottom w:val="single" w:sz="4" w:space="0" w:color="auto"/>
              <w:right w:val="nil"/>
            </w:tcBorders>
            <w:vAlign w:val="center"/>
          </w:tcPr>
          <w:p w14:paraId="0DE8656A"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MgO</w:t>
            </w:r>
          </w:p>
        </w:tc>
        <w:tc>
          <w:tcPr>
            <w:tcW w:w="665" w:type="dxa"/>
            <w:tcBorders>
              <w:top w:val="single" w:sz="12" w:space="0" w:color="auto"/>
              <w:left w:val="nil"/>
              <w:bottom w:val="single" w:sz="4" w:space="0" w:color="auto"/>
              <w:right w:val="nil"/>
            </w:tcBorders>
            <w:vAlign w:val="center"/>
          </w:tcPr>
          <w:p w14:paraId="27875B84"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SiO</w:t>
            </w:r>
            <w:r>
              <w:rPr>
                <w:rFonts w:hint="eastAsia"/>
                <w:color w:val="000000" w:themeColor="text1"/>
                <w:szCs w:val="21"/>
                <w:vertAlign w:val="subscript"/>
              </w:rPr>
              <w:t>2</w:t>
            </w:r>
          </w:p>
        </w:tc>
        <w:tc>
          <w:tcPr>
            <w:tcW w:w="720" w:type="dxa"/>
            <w:tcBorders>
              <w:top w:val="single" w:sz="12" w:space="0" w:color="auto"/>
              <w:left w:val="nil"/>
              <w:bottom w:val="single" w:sz="4" w:space="0" w:color="auto"/>
              <w:right w:val="nil"/>
            </w:tcBorders>
            <w:vAlign w:val="center"/>
          </w:tcPr>
          <w:p w14:paraId="0ECE9FC9"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Al</w:t>
            </w:r>
            <w:r>
              <w:rPr>
                <w:rFonts w:hint="eastAsia"/>
                <w:color w:val="000000" w:themeColor="text1"/>
                <w:szCs w:val="21"/>
                <w:vertAlign w:val="subscript"/>
              </w:rPr>
              <w:t>2</w:t>
            </w:r>
            <w:r>
              <w:rPr>
                <w:rFonts w:hint="eastAsia"/>
                <w:color w:val="000000" w:themeColor="text1"/>
                <w:szCs w:val="21"/>
              </w:rPr>
              <w:t>O</w:t>
            </w:r>
            <w:r>
              <w:rPr>
                <w:rFonts w:hint="eastAsia"/>
                <w:color w:val="000000" w:themeColor="text1"/>
                <w:szCs w:val="21"/>
                <w:vertAlign w:val="subscript"/>
              </w:rPr>
              <w:t>3</w:t>
            </w:r>
          </w:p>
        </w:tc>
        <w:tc>
          <w:tcPr>
            <w:tcW w:w="851" w:type="dxa"/>
            <w:tcBorders>
              <w:top w:val="single" w:sz="12" w:space="0" w:color="auto"/>
              <w:left w:val="nil"/>
              <w:bottom w:val="single" w:sz="4" w:space="0" w:color="auto"/>
              <w:right w:val="nil"/>
            </w:tcBorders>
            <w:vAlign w:val="center"/>
          </w:tcPr>
          <w:p w14:paraId="27D4AAC7"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Fe</w:t>
            </w:r>
            <w:r>
              <w:rPr>
                <w:rFonts w:hint="eastAsia"/>
                <w:color w:val="000000" w:themeColor="text1"/>
                <w:szCs w:val="21"/>
                <w:vertAlign w:val="subscript"/>
              </w:rPr>
              <w:t>2</w:t>
            </w:r>
            <w:r>
              <w:rPr>
                <w:rFonts w:hint="eastAsia"/>
                <w:color w:val="000000" w:themeColor="text1"/>
                <w:szCs w:val="21"/>
              </w:rPr>
              <w:t>O</w:t>
            </w:r>
            <w:r>
              <w:rPr>
                <w:rFonts w:hint="eastAsia"/>
                <w:color w:val="000000" w:themeColor="text1"/>
                <w:szCs w:val="21"/>
                <w:vertAlign w:val="subscript"/>
              </w:rPr>
              <w:t>3</w:t>
            </w:r>
          </w:p>
        </w:tc>
        <w:tc>
          <w:tcPr>
            <w:tcW w:w="709" w:type="dxa"/>
            <w:tcBorders>
              <w:top w:val="single" w:sz="12" w:space="0" w:color="auto"/>
              <w:left w:val="nil"/>
              <w:bottom w:val="single" w:sz="4" w:space="0" w:color="auto"/>
              <w:right w:val="nil"/>
            </w:tcBorders>
            <w:vAlign w:val="center"/>
          </w:tcPr>
          <w:p w14:paraId="24A85615"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SO</w:t>
            </w:r>
            <w:r>
              <w:rPr>
                <w:rFonts w:hint="eastAsia"/>
                <w:color w:val="000000" w:themeColor="text1"/>
                <w:szCs w:val="21"/>
                <w:vertAlign w:val="subscript"/>
              </w:rPr>
              <w:t>3</w:t>
            </w:r>
          </w:p>
        </w:tc>
        <w:tc>
          <w:tcPr>
            <w:tcW w:w="850" w:type="dxa"/>
            <w:tcBorders>
              <w:top w:val="single" w:sz="12" w:space="0" w:color="auto"/>
              <w:left w:val="nil"/>
              <w:bottom w:val="single" w:sz="4" w:space="0" w:color="auto"/>
              <w:right w:val="nil"/>
            </w:tcBorders>
            <w:vAlign w:val="center"/>
          </w:tcPr>
          <w:p w14:paraId="68FB2989"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Cl</w:t>
            </w:r>
          </w:p>
        </w:tc>
      </w:tr>
      <w:tr w:rsidR="00F0779B" w14:paraId="72F0CD4A" w14:textId="77777777">
        <w:trPr>
          <w:trHeight w:val="341"/>
          <w:jc w:val="center"/>
        </w:trPr>
        <w:tc>
          <w:tcPr>
            <w:tcW w:w="2312" w:type="dxa"/>
            <w:tcBorders>
              <w:top w:val="single" w:sz="4" w:space="0" w:color="auto"/>
              <w:left w:val="nil"/>
              <w:bottom w:val="single" w:sz="12" w:space="0" w:color="auto"/>
              <w:right w:val="nil"/>
            </w:tcBorders>
            <w:vAlign w:val="center"/>
          </w:tcPr>
          <w:p w14:paraId="5ED7612D" w14:textId="0E23F2D2" w:rsidR="00F0779B" w:rsidRDefault="005233E7">
            <w:pPr>
              <w:adjustRightInd w:val="0"/>
              <w:snapToGrid w:val="0"/>
              <w:spacing w:line="300" w:lineRule="auto"/>
              <w:rPr>
                <w:color w:val="000000" w:themeColor="text1"/>
                <w:szCs w:val="21"/>
              </w:rPr>
            </w:pPr>
            <w:r w:rsidRPr="005233E7">
              <w:rPr>
                <w:color w:val="000000" w:themeColor="text1"/>
                <w:szCs w:val="21"/>
              </w:rPr>
              <w:t>Ingredient Percentage (%)</w:t>
            </w:r>
          </w:p>
        </w:tc>
        <w:tc>
          <w:tcPr>
            <w:tcW w:w="710" w:type="dxa"/>
            <w:tcBorders>
              <w:top w:val="single" w:sz="4" w:space="0" w:color="auto"/>
              <w:left w:val="nil"/>
              <w:bottom w:val="single" w:sz="12" w:space="0" w:color="auto"/>
              <w:right w:val="nil"/>
            </w:tcBorders>
            <w:vAlign w:val="center"/>
          </w:tcPr>
          <w:p w14:paraId="07B7D903"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95.67</w:t>
            </w:r>
          </w:p>
        </w:tc>
        <w:tc>
          <w:tcPr>
            <w:tcW w:w="665" w:type="dxa"/>
            <w:tcBorders>
              <w:top w:val="single" w:sz="4" w:space="0" w:color="auto"/>
              <w:left w:val="nil"/>
              <w:bottom w:val="single" w:sz="12" w:space="0" w:color="auto"/>
              <w:right w:val="nil"/>
            </w:tcBorders>
            <w:vAlign w:val="center"/>
          </w:tcPr>
          <w:p w14:paraId="330CFD84"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2.03</w:t>
            </w:r>
          </w:p>
        </w:tc>
        <w:tc>
          <w:tcPr>
            <w:tcW w:w="665" w:type="dxa"/>
            <w:tcBorders>
              <w:top w:val="single" w:sz="4" w:space="0" w:color="auto"/>
              <w:left w:val="nil"/>
              <w:bottom w:val="single" w:sz="12" w:space="0" w:color="auto"/>
              <w:right w:val="nil"/>
            </w:tcBorders>
            <w:vAlign w:val="center"/>
          </w:tcPr>
          <w:p w14:paraId="146677FD"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0.81</w:t>
            </w:r>
          </w:p>
        </w:tc>
        <w:tc>
          <w:tcPr>
            <w:tcW w:w="720" w:type="dxa"/>
            <w:tcBorders>
              <w:top w:val="single" w:sz="4" w:space="0" w:color="auto"/>
              <w:left w:val="nil"/>
              <w:bottom w:val="single" w:sz="12" w:space="0" w:color="auto"/>
              <w:right w:val="nil"/>
            </w:tcBorders>
            <w:vAlign w:val="center"/>
          </w:tcPr>
          <w:p w14:paraId="3A15DFE1"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0.62</w:t>
            </w:r>
          </w:p>
        </w:tc>
        <w:tc>
          <w:tcPr>
            <w:tcW w:w="851" w:type="dxa"/>
            <w:tcBorders>
              <w:top w:val="single" w:sz="4" w:space="0" w:color="auto"/>
              <w:left w:val="nil"/>
              <w:bottom w:val="single" w:sz="12" w:space="0" w:color="auto"/>
              <w:right w:val="nil"/>
            </w:tcBorders>
            <w:vAlign w:val="center"/>
          </w:tcPr>
          <w:p w14:paraId="743A92B4"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0.39</w:t>
            </w:r>
          </w:p>
        </w:tc>
        <w:tc>
          <w:tcPr>
            <w:tcW w:w="709" w:type="dxa"/>
            <w:tcBorders>
              <w:top w:val="single" w:sz="4" w:space="0" w:color="auto"/>
              <w:left w:val="nil"/>
              <w:bottom w:val="single" w:sz="12" w:space="0" w:color="auto"/>
              <w:right w:val="nil"/>
            </w:tcBorders>
            <w:vAlign w:val="center"/>
          </w:tcPr>
          <w:p w14:paraId="061AE6AD"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0.34</w:t>
            </w:r>
          </w:p>
        </w:tc>
        <w:tc>
          <w:tcPr>
            <w:tcW w:w="850" w:type="dxa"/>
            <w:tcBorders>
              <w:top w:val="single" w:sz="4" w:space="0" w:color="auto"/>
              <w:left w:val="nil"/>
              <w:bottom w:val="single" w:sz="12" w:space="0" w:color="auto"/>
              <w:right w:val="nil"/>
            </w:tcBorders>
            <w:vAlign w:val="center"/>
          </w:tcPr>
          <w:p w14:paraId="511021E2" w14:textId="77777777" w:rsidR="00F0779B" w:rsidRDefault="00840882">
            <w:pPr>
              <w:adjustRightInd w:val="0"/>
              <w:snapToGrid w:val="0"/>
              <w:spacing w:line="300" w:lineRule="auto"/>
              <w:rPr>
                <w:color w:val="000000" w:themeColor="text1"/>
                <w:szCs w:val="21"/>
              </w:rPr>
            </w:pPr>
            <w:r>
              <w:rPr>
                <w:rFonts w:hint="eastAsia"/>
                <w:color w:val="000000" w:themeColor="text1"/>
                <w:szCs w:val="21"/>
              </w:rPr>
              <w:t>0.06</w:t>
            </w:r>
          </w:p>
        </w:tc>
      </w:tr>
    </w:tbl>
    <w:p w14:paraId="1B008932" w14:textId="77777777" w:rsidR="00F0779B" w:rsidRDefault="00840882">
      <w:pPr>
        <w:adjustRightInd w:val="0"/>
        <w:snapToGrid w:val="0"/>
        <w:spacing w:before="0" w:beforeAutospacing="0" w:line="300" w:lineRule="auto"/>
        <w:ind w:firstLineChars="1100" w:firstLine="231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Table. </w:t>
      </w:r>
      <w:r>
        <w:rPr>
          <w:rFonts w:ascii="Times New Roman" w:hAnsi="Times New Roman" w:cs="Times New Roman" w:hint="eastAsia"/>
          <w:color w:val="000000" w:themeColor="text1"/>
          <w:szCs w:val="21"/>
        </w:rPr>
        <w:t>6</w:t>
      </w:r>
      <w:r>
        <w:rPr>
          <w:rFonts w:ascii="Times New Roman" w:hAnsi="Times New Roman" w:cs="Times New Roman"/>
          <w:color w:val="000000" w:themeColor="text1"/>
          <w:szCs w:val="21"/>
        </w:rPr>
        <w:t xml:space="preserve"> Chemical composition of </w:t>
      </w:r>
      <w:r>
        <w:rPr>
          <w:rFonts w:ascii="Times New Roman" w:hAnsi="Times New Roman" w:cs="Times New Roman" w:hint="eastAsia"/>
          <w:color w:val="000000" w:themeColor="text1"/>
          <w:szCs w:val="21"/>
        </w:rPr>
        <w:t>carbide slag</w:t>
      </w:r>
    </w:p>
    <w:p w14:paraId="7E9BF9A2" w14:textId="77777777" w:rsidR="00F0779B" w:rsidRDefault="00840882">
      <w:pPr>
        <w:adjustRightInd w:val="0"/>
        <w:snapToGrid w:val="0"/>
        <w:spacing w:before="0" w:beforeAutospacing="0" w:line="300" w:lineRule="auto"/>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4</w:t>
      </w:r>
      <w:r>
        <w:rPr>
          <w:rFonts w:ascii="Times New Roman" w:hAnsi="Times New Roman" w:cs="Times New Roman" w:hint="eastAsia"/>
          <w:color w:val="000000" w:themeColor="text1"/>
          <w:szCs w:val="21"/>
        </w:rPr>
        <w:t>）</w:t>
      </w:r>
      <w:r>
        <w:rPr>
          <w:rFonts w:ascii="Times New Roman" w:hAnsi="Times New Roman" w:cs="Times New Roman"/>
          <w:color w:val="000000" w:themeColor="text1"/>
          <w:szCs w:val="21"/>
        </w:rPr>
        <w:t xml:space="preserve"> Sand</w:t>
      </w:r>
    </w:p>
    <w:p w14:paraId="40C4BE14" w14:textId="77777777" w:rsidR="00F0779B" w:rsidRDefault="00840882">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The sand used in this study for preparing alkali-activated fly ash/slag mortar is ISO standard sand produced by Xiamen ISO Standard Sand Co., Ltd. The </w:t>
      </w:r>
      <w:proofErr w:type="spellStart"/>
      <w:r>
        <w:rPr>
          <w:rFonts w:ascii="Times New Roman" w:hAnsi="Times New Roman" w:cs="Times New Roman"/>
          <w:color w:val="000000" w:themeColor="text1"/>
          <w:szCs w:val="21"/>
        </w:rPr>
        <w:t>SiO</w:t>
      </w:r>
      <w:proofErr w:type="spellEnd"/>
      <w:r>
        <w:rPr>
          <w:rFonts w:ascii="Times New Roman" w:hAnsi="Times New Roman" w:cs="Times New Roman"/>
          <w:color w:val="000000" w:themeColor="text1"/>
          <w:szCs w:val="21"/>
        </w:rPr>
        <w:t>₂ content is greater than 96%, the clay content does not exceed 0.20%, and the loss on ignition does n</w:t>
      </w:r>
      <w:r>
        <w:rPr>
          <w:rFonts w:ascii="Times New Roman" w:hAnsi="Times New Roman" w:cs="Times New Roman"/>
          <w:color w:val="000000" w:themeColor="text1"/>
          <w:szCs w:val="21"/>
        </w:rPr>
        <w:t>ot exceed 0.40%.</w:t>
      </w:r>
    </w:p>
    <w:p w14:paraId="56BCD36A" w14:textId="77777777" w:rsidR="00F0779B" w:rsidRDefault="00840882">
      <w:pPr>
        <w:adjustRightInd w:val="0"/>
        <w:snapToGrid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b/>
          <w:bCs/>
          <w:szCs w:val="21"/>
          <w14:ligatures w14:val="none"/>
        </w:rPr>
        <w:t xml:space="preserve"> 2.</w:t>
      </w:r>
      <w:r>
        <w:rPr>
          <w:rFonts w:ascii="Times New Roman" w:eastAsia="SimSun" w:hAnsi="Times New Roman" w:cs="Times New Roman" w:hint="eastAsia"/>
          <w:b/>
          <w:bCs/>
          <w:szCs w:val="21"/>
          <w14:ligatures w14:val="none"/>
        </w:rPr>
        <w:t>2</w:t>
      </w:r>
      <w:r>
        <w:rPr>
          <w:rFonts w:ascii="Times New Roman" w:eastAsia="SimSun" w:hAnsi="Times New Roman" w:cs="Times New Roman"/>
          <w:b/>
          <w:bCs/>
          <w:szCs w:val="21"/>
          <w14:ligatures w14:val="none"/>
        </w:rPr>
        <w:t xml:space="preserve"> Experimental Design</w:t>
      </w:r>
    </w:p>
    <w:p w14:paraId="250774A8" w14:textId="77777777" w:rsidR="00F0779B" w:rsidRDefault="00840882">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 xml:space="preserve">The response surface optimization design method was used to optimize the formulation of the all-solid-waste cementitious material. In the experiments, the total mass of the cementitious </w:t>
      </w:r>
      <w:r>
        <w:rPr>
          <w:rFonts w:ascii="Times New Roman" w:hAnsi="Times New Roman" w:cs="Times New Roman"/>
          <w:color w:val="000000" w:themeColor="text1"/>
          <w:szCs w:val="21"/>
        </w:rPr>
        <w:lastRenderedPageBreak/>
        <w:t xml:space="preserve">material was kept constant. </w:t>
      </w:r>
      <w:r>
        <w:rPr>
          <w:rFonts w:ascii="Times New Roman" w:hAnsi="Times New Roman" w:cs="Times New Roman"/>
          <w:color w:val="000000" w:themeColor="text1"/>
          <w:szCs w:val="21"/>
        </w:rPr>
        <w:t>Once the contents of three of the four components were determined, the content of the fourth was consequently fixed. Therefore, the amounts of fly ash and the two activators were selected as variables for the study. The mortar tests were conducted accordin</w:t>
      </w:r>
      <w:r>
        <w:rPr>
          <w:rFonts w:ascii="Times New Roman" w:hAnsi="Times New Roman" w:cs="Times New Roman"/>
          <w:color w:val="000000" w:themeColor="text1"/>
          <w:szCs w:val="21"/>
        </w:rPr>
        <w:t>g to the 'Method for Testing Strength of Cement Mortar (ISO Method)' (GB/T 17671—2021) to form specimens, cure them, and perform strength tests. A planetary mixer was used to evenly mix the components of the cementitious material. After demolding, the spec</w:t>
      </w:r>
      <w:r>
        <w:rPr>
          <w:rFonts w:ascii="Times New Roman" w:hAnsi="Times New Roman" w:cs="Times New Roman"/>
          <w:color w:val="000000" w:themeColor="text1"/>
          <w:szCs w:val="21"/>
        </w:rPr>
        <w:t>imens were wrapped with polyethylene film and placed in a constant-temperature curing chamber at a temperature of (20±</w:t>
      </w:r>
      <w:proofErr w:type="gramStart"/>
      <w:r>
        <w:rPr>
          <w:rFonts w:ascii="Times New Roman" w:hAnsi="Times New Roman" w:cs="Times New Roman"/>
          <w:color w:val="000000" w:themeColor="text1"/>
          <w:szCs w:val="21"/>
        </w:rPr>
        <w:t>1)°</w:t>
      </w:r>
      <w:proofErr w:type="gramEnd"/>
      <w:r>
        <w:rPr>
          <w:rFonts w:ascii="Times New Roman" w:hAnsi="Times New Roman" w:cs="Times New Roman"/>
          <w:color w:val="000000" w:themeColor="text1"/>
          <w:szCs w:val="21"/>
        </w:rPr>
        <w:t>C. At 28 days of curing, compressive strength was tested using a compression testing machine, and the data were recorded. The factors a</w:t>
      </w:r>
      <w:r>
        <w:rPr>
          <w:rFonts w:ascii="Times New Roman" w:hAnsi="Times New Roman" w:cs="Times New Roman"/>
          <w:color w:val="000000" w:themeColor="text1"/>
          <w:szCs w:val="21"/>
        </w:rPr>
        <w:t xml:space="preserve">nd levels studied under the carbide slag–desulfurization gypsum composite activator system </w:t>
      </w:r>
      <w:proofErr w:type="gramStart"/>
      <w:r>
        <w:rPr>
          <w:rFonts w:ascii="Times New Roman" w:hAnsi="Times New Roman" w:cs="Times New Roman"/>
          <w:color w:val="000000" w:themeColor="text1"/>
          <w:szCs w:val="21"/>
        </w:rPr>
        <w:t>are</w:t>
      </w:r>
      <w:proofErr w:type="gramEnd"/>
      <w:r>
        <w:rPr>
          <w:rFonts w:ascii="Times New Roman" w:hAnsi="Times New Roman" w:cs="Times New Roman"/>
          <w:color w:val="000000" w:themeColor="text1"/>
          <w:szCs w:val="21"/>
        </w:rPr>
        <w:t xml:space="preserve"> shown in Table 7. The content of desulfurization gypsum varied from 5% to 15%, and the content of carbide slag varied from 5% to 15%. With the fly ash content va</w:t>
      </w:r>
      <w:r>
        <w:rPr>
          <w:rFonts w:ascii="Times New Roman" w:hAnsi="Times New Roman" w:cs="Times New Roman"/>
          <w:color w:val="000000" w:themeColor="text1"/>
          <w:szCs w:val="21"/>
        </w:rPr>
        <w:t>rying from 30% to 70%, the proportion of slag powder varied from 60% to 0%. Accordingly, the fly ash content, desulfurization gypsum content, and carbide slag content were selected as the research variables. When analyzing two variables appearing in the re</w:t>
      </w:r>
      <w:r>
        <w:rPr>
          <w:rFonts w:ascii="Times New Roman" w:hAnsi="Times New Roman" w:cs="Times New Roman"/>
          <w:color w:val="000000" w:themeColor="text1"/>
          <w:szCs w:val="21"/>
        </w:rPr>
        <w:t>sponse surface, the third variable was set at the midpoint of its range.</w:t>
      </w:r>
    </w:p>
    <w:p w14:paraId="2A132122" w14:textId="77777777" w:rsidR="00F0779B" w:rsidRDefault="00F0779B">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p>
    <w:tbl>
      <w:tblPr>
        <w:tblStyle w:val="TableGrid"/>
        <w:tblW w:w="0" w:type="auto"/>
        <w:tblLook w:val="04A0" w:firstRow="1" w:lastRow="0" w:firstColumn="1" w:lastColumn="0" w:noHBand="0" w:noVBand="1"/>
      </w:tblPr>
      <w:tblGrid>
        <w:gridCol w:w="1704"/>
        <w:gridCol w:w="1704"/>
        <w:gridCol w:w="1704"/>
        <w:gridCol w:w="1705"/>
        <w:gridCol w:w="1705"/>
      </w:tblGrid>
      <w:tr w:rsidR="00F0779B" w14:paraId="05ECA9CA" w14:textId="77777777">
        <w:trPr>
          <w:trHeight w:val="397"/>
        </w:trPr>
        <w:tc>
          <w:tcPr>
            <w:tcW w:w="1704" w:type="dxa"/>
            <w:vMerge w:val="restart"/>
            <w:tcBorders>
              <w:top w:val="single" w:sz="12" w:space="0" w:color="auto"/>
              <w:left w:val="nil"/>
              <w:right w:val="nil"/>
            </w:tcBorders>
            <w:vAlign w:val="center"/>
          </w:tcPr>
          <w:p w14:paraId="3AEACF7F"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Factor</w:t>
            </w:r>
          </w:p>
        </w:tc>
        <w:tc>
          <w:tcPr>
            <w:tcW w:w="1704" w:type="dxa"/>
            <w:vMerge w:val="restart"/>
            <w:tcBorders>
              <w:top w:val="single" w:sz="12" w:space="0" w:color="auto"/>
              <w:left w:val="nil"/>
              <w:right w:val="nil"/>
            </w:tcBorders>
            <w:vAlign w:val="center"/>
          </w:tcPr>
          <w:p w14:paraId="5D27132D"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Coding</w:t>
            </w:r>
          </w:p>
        </w:tc>
        <w:tc>
          <w:tcPr>
            <w:tcW w:w="5114" w:type="dxa"/>
            <w:gridSpan w:val="3"/>
            <w:tcBorders>
              <w:top w:val="single" w:sz="12" w:space="0" w:color="auto"/>
              <w:left w:val="nil"/>
              <w:right w:val="nil"/>
            </w:tcBorders>
            <w:vAlign w:val="center"/>
          </w:tcPr>
          <w:p w14:paraId="3F178F99"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Level</w:t>
            </w:r>
          </w:p>
        </w:tc>
      </w:tr>
      <w:tr w:rsidR="00F0779B" w14:paraId="45865A81" w14:textId="77777777">
        <w:trPr>
          <w:trHeight w:val="397"/>
        </w:trPr>
        <w:tc>
          <w:tcPr>
            <w:tcW w:w="1704" w:type="dxa"/>
            <w:vMerge/>
            <w:tcBorders>
              <w:left w:val="nil"/>
              <w:bottom w:val="single" w:sz="8" w:space="0" w:color="auto"/>
              <w:right w:val="nil"/>
            </w:tcBorders>
            <w:vAlign w:val="center"/>
          </w:tcPr>
          <w:p w14:paraId="633A6F9D" w14:textId="77777777" w:rsidR="00F0779B" w:rsidRDefault="00F0779B">
            <w:pPr>
              <w:widowControl/>
              <w:spacing w:line="300" w:lineRule="auto"/>
              <w:rPr>
                <w:rFonts w:cs="Times New Roman"/>
                <w:color w:val="000000"/>
                <w:kern w:val="0"/>
                <w:szCs w:val="21"/>
                <w:lang w:bidi="ar"/>
              </w:rPr>
            </w:pPr>
          </w:p>
        </w:tc>
        <w:tc>
          <w:tcPr>
            <w:tcW w:w="1704" w:type="dxa"/>
            <w:vMerge/>
            <w:tcBorders>
              <w:left w:val="nil"/>
              <w:bottom w:val="single" w:sz="8" w:space="0" w:color="auto"/>
              <w:right w:val="nil"/>
            </w:tcBorders>
            <w:vAlign w:val="center"/>
          </w:tcPr>
          <w:p w14:paraId="53D8D3F1" w14:textId="77777777" w:rsidR="00F0779B" w:rsidRDefault="00F0779B">
            <w:pPr>
              <w:widowControl/>
              <w:spacing w:line="300" w:lineRule="auto"/>
              <w:rPr>
                <w:rFonts w:cs="Times New Roman"/>
                <w:color w:val="000000"/>
                <w:kern w:val="0"/>
                <w:szCs w:val="21"/>
                <w:lang w:bidi="ar"/>
              </w:rPr>
            </w:pPr>
          </w:p>
        </w:tc>
        <w:tc>
          <w:tcPr>
            <w:tcW w:w="1704" w:type="dxa"/>
            <w:tcBorders>
              <w:left w:val="nil"/>
              <w:bottom w:val="single" w:sz="8" w:space="0" w:color="auto"/>
              <w:right w:val="nil"/>
            </w:tcBorders>
            <w:vAlign w:val="center"/>
          </w:tcPr>
          <w:p w14:paraId="4047B2B2"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w:t>
            </w:r>
          </w:p>
        </w:tc>
        <w:tc>
          <w:tcPr>
            <w:tcW w:w="1705" w:type="dxa"/>
            <w:tcBorders>
              <w:left w:val="nil"/>
              <w:bottom w:val="single" w:sz="8" w:space="0" w:color="auto"/>
              <w:right w:val="nil"/>
            </w:tcBorders>
            <w:vAlign w:val="center"/>
          </w:tcPr>
          <w:p w14:paraId="199F30F5"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w:t>
            </w:r>
          </w:p>
        </w:tc>
        <w:tc>
          <w:tcPr>
            <w:tcW w:w="1705" w:type="dxa"/>
            <w:tcBorders>
              <w:left w:val="nil"/>
              <w:bottom w:val="single" w:sz="8" w:space="0" w:color="auto"/>
              <w:right w:val="nil"/>
            </w:tcBorders>
            <w:vAlign w:val="center"/>
          </w:tcPr>
          <w:p w14:paraId="0B25D5C3"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w:t>
            </w:r>
          </w:p>
        </w:tc>
      </w:tr>
      <w:tr w:rsidR="00F0779B" w14:paraId="6A1B8057" w14:textId="77777777">
        <w:trPr>
          <w:trHeight w:val="340"/>
        </w:trPr>
        <w:tc>
          <w:tcPr>
            <w:tcW w:w="1704" w:type="dxa"/>
            <w:tcBorders>
              <w:top w:val="single" w:sz="8" w:space="0" w:color="auto"/>
              <w:left w:val="nil"/>
              <w:bottom w:val="nil"/>
              <w:right w:val="nil"/>
            </w:tcBorders>
            <w:vAlign w:val="center"/>
          </w:tcPr>
          <w:p w14:paraId="4E4AD756"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Fly Ash/%</w:t>
            </w:r>
          </w:p>
        </w:tc>
        <w:tc>
          <w:tcPr>
            <w:tcW w:w="1704" w:type="dxa"/>
            <w:tcBorders>
              <w:top w:val="single" w:sz="8" w:space="0" w:color="auto"/>
              <w:left w:val="nil"/>
              <w:bottom w:val="nil"/>
              <w:right w:val="nil"/>
            </w:tcBorders>
            <w:vAlign w:val="center"/>
          </w:tcPr>
          <w:p w14:paraId="2833DB3B"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A/%</w:t>
            </w:r>
          </w:p>
        </w:tc>
        <w:tc>
          <w:tcPr>
            <w:tcW w:w="1704" w:type="dxa"/>
            <w:tcBorders>
              <w:top w:val="single" w:sz="8" w:space="0" w:color="auto"/>
              <w:left w:val="nil"/>
              <w:bottom w:val="nil"/>
              <w:right w:val="nil"/>
            </w:tcBorders>
            <w:vAlign w:val="center"/>
          </w:tcPr>
          <w:p w14:paraId="686E29DE"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30</w:t>
            </w:r>
          </w:p>
        </w:tc>
        <w:tc>
          <w:tcPr>
            <w:tcW w:w="1705" w:type="dxa"/>
            <w:tcBorders>
              <w:top w:val="single" w:sz="8" w:space="0" w:color="auto"/>
              <w:left w:val="nil"/>
              <w:bottom w:val="nil"/>
              <w:right w:val="nil"/>
            </w:tcBorders>
            <w:vAlign w:val="center"/>
          </w:tcPr>
          <w:p w14:paraId="654915C5"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50</w:t>
            </w:r>
          </w:p>
        </w:tc>
        <w:tc>
          <w:tcPr>
            <w:tcW w:w="1705" w:type="dxa"/>
            <w:tcBorders>
              <w:top w:val="single" w:sz="8" w:space="0" w:color="auto"/>
              <w:left w:val="nil"/>
              <w:bottom w:val="nil"/>
              <w:right w:val="nil"/>
            </w:tcBorders>
            <w:vAlign w:val="center"/>
          </w:tcPr>
          <w:p w14:paraId="3FD50487"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70</w:t>
            </w:r>
          </w:p>
        </w:tc>
      </w:tr>
      <w:tr w:rsidR="00F0779B" w14:paraId="4DE774B5" w14:textId="77777777">
        <w:trPr>
          <w:trHeight w:val="340"/>
        </w:trPr>
        <w:tc>
          <w:tcPr>
            <w:tcW w:w="1704" w:type="dxa"/>
            <w:tcBorders>
              <w:top w:val="nil"/>
              <w:left w:val="nil"/>
              <w:bottom w:val="nil"/>
              <w:right w:val="nil"/>
            </w:tcBorders>
            <w:vAlign w:val="center"/>
          </w:tcPr>
          <w:p w14:paraId="3C176684"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Desulfurization Gypsum/%</w:t>
            </w:r>
          </w:p>
        </w:tc>
        <w:tc>
          <w:tcPr>
            <w:tcW w:w="1704" w:type="dxa"/>
            <w:tcBorders>
              <w:top w:val="nil"/>
              <w:left w:val="nil"/>
              <w:bottom w:val="nil"/>
              <w:right w:val="nil"/>
            </w:tcBorders>
            <w:vAlign w:val="center"/>
          </w:tcPr>
          <w:p w14:paraId="68C4B8C8"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B/%</w:t>
            </w:r>
          </w:p>
        </w:tc>
        <w:tc>
          <w:tcPr>
            <w:tcW w:w="1704" w:type="dxa"/>
            <w:tcBorders>
              <w:top w:val="nil"/>
              <w:left w:val="nil"/>
              <w:bottom w:val="nil"/>
              <w:right w:val="nil"/>
            </w:tcBorders>
            <w:vAlign w:val="center"/>
          </w:tcPr>
          <w:p w14:paraId="5DF1C0E6"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5</w:t>
            </w:r>
          </w:p>
        </w:tc>
        <w:tc>
          <w:tcPr>
            <w:tcW w:w="1705" w:type="dxa"/>
            <w:tcBorders>
              <w:top w:val="nil"/>
              <w:left w:val="nil"/>
              <w:bottom w:val="nil"/>
              <w:right w:val="nil"/>
            </w:tcBorders>
            <w:vAlign w:val="center"/>
          </w:tcPr>
          <w:p w14:paraId="1E821524"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10</w:t>
            </w:r>
          </w:p>
        </w:tc>
        <w:tc>
          <w:tcPr>
            <w:tcW w:w="1705" w:type="dxa"/>
            <w:tcBorders>
              <w:top w:val="nil"/>
              <w:left w:val="nil"/>
              <w:bottom w:val="nil"/>
              <w:right w:val="nil"/>
            </w:tcBorders>
            <w:vAlign w:val="center"/>
          </w:tcPr>
          <w:p w14:paraId="7F71DAE5"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15</w:t>
            </w:r>
          </w:p>
        </w:tc>
      </w:tr>
      <w:tr w:rsidR="00F0779B" w14:paraId="30383A35" w14:textId="77777777">
        <w:trPr>
          <w:trHeight w:val="340"/>
        </w:trPr>
        <w:tc>
          <w:tcPr>
            <w:tcW w:w="1704" w:type="dxa"/>
            <w:tcBorders>
              <w:top w:val="nil"/>
              <w:left w:val="nil"/>
              <w:bottom w:val="single" w:sz="12" w:space="0" w:color="auto"/>
              <w:right w:val="nil"/>
            </w:tcBorders>
            <w:vAlign w:val="center"/>
          </w:tcPr>
          <w:p w14:paraId="437524C9" w14:textId="77777777" w:rsidR="00F0779B" w:rsidRDefault="00840882">
            <w:pPr>
              <w:widowControl/>
              <w:rPr>
                <w:rFonts w:cs="Times New Roman"/>
                <w:color w:val="000000"/>
                <w:kern w:val="0"/>
                <w:szCs w:val="21"/>
                <w:lang w:bidi="ar"/>
              </w:rPr>
            </w:pPr>
            <w:r>
              <w:rPr>
                <w:rFonts w:cs="Times New Roman" w:hint="eastAsia"/>
                <w:color w:val="000000"/>
                <w:kern w:val="0"/>
                <w:szCs w:val="21"/>
                <w:lang w:bidi="ar"/>
              </w:rPr>
              <w:t>Carbide Slag/%</w:t>
            </w:r>
          </w:p>
        </w:tc>
        <w:tc>
          <w:tcPr>
            <w:tcW w:w="1704" w:type="dxa"/>
            <w:tcBorders>
              <w:top w:val="nil"/>
              <w:left w:val="nil"/>
              <w:bottom w:val="single" w:sz="12" w:space="0" w:color="auto"/>
              <w:right w:val="nil"/>
            </w:tcBorders>
            <w:vAlign w:val="center"/>
          </w:tcPr>
          <w:p w14:paraId="0011157B"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C/%</w:t>
            </w:r>
          </w:p>
        </w:tc>
        <w:tc>
          <w:tcPr>
            <w:tcW w:w="1704" w:type="dxa"/>
            <w:tcBorders>
              <w:top w:val="nil"/>
              <w:left w:val="nil"/>
              <w:bottom w:val="single" w:sz="12" w:space="0" w:color="auto"/>
              <w:right w:val="nil"/>
            </w:tcBorders>
            <w:vAlign w:val="center"/>
          </w:tcPr>
          <w:p w14:paraId="2A71B6B9"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5</w:t>
            </w:r>
          </w:p>
        </w:tc>
        <w:tc>
          <w:tcPr>
            <w:tcW w:w="1705" w:type="dxa"/>
            <w:tcBorders>
              <w:top w:val="nil"/>
              <w:left w:val="nil"/>
              <w:bottom w:val="single" w:sz="12" w:space="0" w:color="auto"/>
              <w:right w:val="nil"/>
            </w:tcBorders>
            <w:vAlign w:val="center"/>
          </w:tcPr>
          <w:p w14:paraId="677BA309"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10</w:t>
            </w:r>
          </w:p>
        </w:tc>
        <w:tc>
          <w:tcPr>
            <w:tcW w:w="1705" w:type="dxa"/>
            <w:tcBorders>
              <w:top w:val="nil"/>
              <w:left w:val="nil"/>
              <w:bottom w:val="single" w:sz="12" w:space="0" w:color="auto"/>
              <w:right w:val="nil"/>
            </w:tcBorders>
            <w:vAlign w:val="center"/>
          </w:tcPr>
          <w:p w14:paraId="0D2A70DB"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15</w:t>
            </w:r>
          </w:p>
        </w:tc>
      </w:tr>
    </w:tbl>
    <w:p w14:paraId="781DC304" w14:textId="77777777" w:rsidR="00F0779B" w:rsidRDefault="00840882">
      <w:pPr>
        <w:adjustRightInd w:val="0"/>
        <w:snapToGrid w:val="0"/>
        <w:spacing w:before="0" w:beforeAutospacing="0" w:line="300" w:lineRule="auto"/>
        <w:ind w:firstLineChars="1500" w:firstLine="3150"/>
        <w:jc w:val="both"/>
        <w:rPr>
          <w:rFonts w:ascii="Times New Roman" w:hAnsi="Times New Roman" w:cs="Times New Roman"/>
          <w:color w:val="000000" w:themeColor="text1"/>
          <w:szCs w:val="21"/>
        </w:rPr>
      </w:pPr>
      <w:r>
        <w:rPr>
          <w:rFonts w:ascii="Times New Roman" w:hAnsi="Times New Roman" w:cs="Times New Roman"/>
          <w:color w:val="000000" w:themeColor="text1"/>
          <w:szCs w:val="21"/>
        </w:rPr>
        <w:t>Table 7. Factors and levels</w:t>
      </w:r>
    </w:p>
    <w:p w14:paraId="28CF6066" w14:textId="77777777" w:rsidR="00F0779B" w:rsidRDefault="00F0779B">
      <w:pPr>
        <w:adjustRightInd w:val="0"/>
        <w:snapToGrid w:val="0"/>
        <w:spacing w:before="0" w:beforeAutospacing="0" w:line="300" w:lineRule="auto"/>
        <w:ind w:firstLineChars="200" w:firstLine="420"/>
        <w:jc w:val="both"/>
        <w:rPr>
          <w:rFonts w:ascii="Times New Roman" w:hAnsi="Times New Roman" w:cs="Times New Roman"/>
          <w:color w:val="000000" w:themeColor="text1"/>
          <w:szCs w:val="21"/>
        </w:rPr>
      </w:pPr>
    </w:p>
    <w:p w14:paraId="36B1EAEB" w14:textId="77777777" w:rsidR="00F0779B" w:rsidRDefault="00840882">
      <w:pPr>
        <w:widowControl w:val="0"/>
        <w:numPr>
          <w:ilvl w:val="0"/>
          <w:numId w:val="1"/>
        </w:numPr>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Results and discussion</w:t>
      </w:r>
    </w:p>
    <w:p w14:paraId="628E063F" w14:textId="77777777" w:rsidR="00F0779B" w:rsidRDefault="00840882">
      <w:pPr>
        <w:widowControl w:val="0"/>
        <w:spacing w:before="0" w:beforeAutospacing="0"/>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(1) </w:t>
      </w:r>
      <w:r>
        <w:rPr>
          <w:rFonts w:ascii="Times New Roman" w:hAnsi="Times New Roman" w:cs="Times New Roman" w:hint="eastAsia"/>
          <w:color w:val="000000" w:themeColor="text1"/>
          <w:szCs w:val="21"/>
        </w:rPr>
        <w:t>Combined with the data of the first four groups in Table 8, it can be seen that when the desulfurization gypsum content is 5%~15% and the calcium carbide slag content is 10%, the fly ash content increases from 30% to 70%, and the compressive strength decre</w:t>
      </w:r>
      <w:r>
        <w:rPr>
          <w:rFonts w:ascii="Times New Roman" w:hAnsi="Times New Roman" w:cs="Times New Roman" w:hint="eastAsia"/>
          <w:color w:val="000000" w:themeColor="text1"/>
          <w:szCs w:val="21"/>
        </w:rPr>
        <w:t>ases from 23.6MPa and 20.3MPa to 13.9MPa and 10.3MPa, respectively, with a significant decrease. This indicates that fly ash dosage plays a dominant role in the strength of the system. Fly ash mainly provides SiO</w:t>
      </w:r>
      <w:r>
        <w:rPr>
          <w:rFonts w:ascii="Times New Roman" w:hAnsi="Times New Roman" w:cs="Times New Roman" w:hint="eastAsia"/>
          <w:color w:val="000000" w:themeColor="text1"/>
          <w:szCs w:val="21"/>
          <w:vertAlign w:val="subscript"/>
        </w:rPr>
        <w:t>2</w:t>
      </w:r>
      <w:r>
        <w:rPr>
          <w:rFonts w:ascii="Times New Roman" w:hAnsi="Times New Roman" w:cs="Times New Roman" w:hint="eastAsia"/>
          <w:color w:val="000000" w:themeColor="text1"/>
          <w:szCs w:val="21"/>
        </w:rPr>
        <w:t xml:space="preserve"> and Al</w:t>
      </w:r>
      <w:r>
        <w:rPr>
          <w:rFonts w:ascii="Times New Roman" w:hAnsi="Times New Roman" w:cs="Times New Roman" w:hint="eastAsia"/>
          <w:color w:val="000000" w:themeColor="text1"/>
          <w:szCs w:val="21"/>
          <w:vertAlign w:val="subscript"/>
        </w:rPr>
        <w:t>2</w:t>
      </w:r>
      <w:r>
        <w:rPr>
          <w:rFonts w:ascii="Times New Roman" w:hAnsi="Times New Roman" w:cs="Times New Roman" w:hint="eastAsia"/>
          <w:color w:val="000000" w:themeColor="text1"/>
          <w:szCs w:val="21"/>
        </w:rPr>
        <w:t>O</w:t>
      </w:r>
      <w:r>
        <w:rPr>
          <w:rFonts w:ascii="Times New Roman" w:hAnsi="Times New Roman" w:cs="Times New Roman" w:hint="eastAsia"/>
          <w:color w:val="000000" w:themeColor="text1"/>
          <w:szCs w:val="21"/>
          <w:vertAlign w:val="subscript"/>
        </w:rPr>
        <w:t>3</w:t>
      </w:r>
      <w:r>
        <w:rPr>
          <w:rFonts w:ascii="Times New Roman" w:hAnsi="Times New Roman" w:cs="Times New Roman" w:hint="eastAsia"/>
          <w:color w:val="000000" w:themeColor="text1"/>
          <w:szCs w:val="21"/>
        </w:rPr>
        <w:t xml:space="preserve"> (about 84.26% in total), but the CaO content is very low (3.82%), so when the proportion of fly ash increases and the slag decreases accordingly, the source of active CaO in the system is obviously insufficient, and it is difficult to form enough high-cal</w:t>
      </w:r>
      <w:r>
        <w:rPr>
          <w:rFonts w:ascii="Times New Roman" w:hAnsi="Times New Roman" w:cs="Times New Roman" w:hint="eastAsia"/>
          <w:color w:val="000000" w:themeColor="text1"/>
          <w:szCs w:val="21"/>
        </w:rPr>
        <w:t>cium-silicon specific gels, resulting in loose overall structure and low strength.</w:t>
      </w:r>
    </w:p>
    <w:p w14:paraId="7D9286A9" w14:textId="77777777" w:rsidR="00F0779B" w:rsidRDefault="00840882">
      <w:pPr>
        <w:widowControl w:val="0"/>
        <w:spacing w:before="0" w:beforeAutospacing="0"/>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(2) Comparing the data of the four groups F30G10C5, F70G10C5, and F30G10C15 and F70G10C15, the fly ash content was 30% and 70% respectively, and the strength decreased when </w:t>
      </w:r>
      <w:r>
        <w:rPr>
          <w:rFonts w:ascii="Times New Roman" w:hAnsi="Times New Roman" w:cs="Times New Roman" w:hint="eastAsia"/>
          <w:color w:val="000000" w:themeColor="text1"/>
          <w:szCs w:val="21"/>
        </w:rPr>
        <w:t>the calcium carbide slag content was 5% and 15% and the desulfurization gypsum was fixed at 10%. For example, when the fly ash content is 30%, the calcium carbide slag increases from 5% to 15%, and the strength decreases from 24.1MPa to 22.2MPa, and when t</w:t>
      </w:r>
      <w:r>
        <w:rPr>
          <w:rFonts w:ascii="Times New Roman" w:hAnsi="Times New Roman" w:cs="Times New Roman" w:hint="eastAsia"/>
          <w:color w:val="000000" w:themeColor="text1"/>
          <w:szCs w:val="21"/>
        </w:rPr>
        <w:t>he fly ash content is 70%, the strength decreases from 12.9MPa to 10.3MPa. The main component of calcium carbide slag is CaO (95.67%), which can provide an alkaline environment and promote the dissolution of aluminosilicate when mixed in small amounts. How</w:t>
      </w:r>
      <w:r>
        <w:rPr>
          <w:rFonts w:ascii="Times New Roman" w:hAnsi="Times New Roman" w:cs="Times New Roman" w:hint="eastAsia"/>
          <w:color w:val="000000" w:themeColor="text1"/>
          <w:szCs w:val="21"/>
        </w:rPr>
        <w:t xml:space="preserve">ever, too high dosage may lead to excessive alkalinity and imbalance of reaction rate, and at the same time crowd out the space of active </w:t>
      </w:r>
      <w:r>
        <w:rPr>
          <w:rFonts w:ascii="Times New Roman" w:hAnsi="Times New Roman" w:cs="Times New Roman" w:hint="eastAsia"/>
          <w:color w:val="000000" w:themeColor="text1"/>
          <w:szCs w:val="21"/>
        </w:rPr>
        <w:lastRenderedPageBreak/>
        <w:t>components such as slag, which will affect the stable cross-linking of the gel in the later stage, which is not conduc</w:t>
      </w:r>
      <w:r>
        <w:rPr>
          <w:rFonts w:ascii="Times New Roman" w:hAnsi="Times New Roman" w:cs="Times New Roman" w:hint="eastAsia"/>
          <w:color w:val="000000" w:themeColor="text1"/>
          <w:szCs w:val="21"/>
        </w:rPr>
        <w:t>ive to the development of strength.</w:t>
      </w:r>
    </w:p>
    <w:p w14:paraId="7944F12F" w14:textId="77777777" w:rsidR="00F0779B" w:rsidRDefault="00840882">
      <w:pPr>
        <w:widowControl w:val="0"/>
        <w:spacing w:before="0" w:beforeAutospacing="0"/>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(3) Observing the data from groups 9 to 12, the fly ash content was fixed at 50%, and the desulfurization gypsum and calcium carbide slag changed between 5% and 15%, respectively. The strength of desulfurized gypsum is 1</w:t>
      </w:r>
      <w:r>
        <w:rPr>
          <w:rFonts w:ascii="Times New Roman" w:hAnsi="Times New Roman" w:cs="Times New Roman" w:hint="eastAsia"/>
          <w:color w:val="000000" w:themeColor="text1"/>
          <w:szCs w:val="21"/>
        </w:rPr>
        <w:t>4.5MPa when it is 5% and calcium carbide slag is 5%, and the strength is 19.4MPa when desulfurized gypsum is 5% and calcium carbide slag is 15%, indicating that an appropriate increase in calcium carbide slag is conducive to the improvement of strength und</w:t>
      </w:r>
      <w:r>
        <w:rPr>
          <w:rFonts w:ascii="Times New Roman" w:hAnsi="Times New Roman" w:cs="Times New Roman" w:hint="eastAsia"/>
          <w:color w:val="000000" w:themeColor="text1"/>
          <w:szCs w:val="21"/>
        </w:rPr>
        <w:t>er certain conditions; but when both are 15%, the strength drops sharply to 9.5MPa. Desulfurized gypsum contains high SO</w:t>
      </w:r>
      <w:r>
        <w:rPr>
          <w:rFonts w:ascii="Times New Roman" w:hAnsi="Times New Roman" w:cs="Times New Roman" w:hint="eastAsia"/>
          <w:color w:val="000000" w:themeColor="text1"/>
          <w:szCs w:val="21"/>
          <w:vertAlign w:val="subscript"/>
        </w:rPr>
        <w:t>3</w:t>
      </w:r>
      <w:r>
        <w:rPr>
          <w:rFonts w:ascii="Times New Roman" w:hAnsi="Times New Roman" w:cs="Times New Roman" w:hint="eastAsia"/>
          <w:color w:val="000000" w:themeColor="text1"/>
          <w:szCs w:val="21"/>
        </w:rPr>
        <w:t xml:space="preserve"> (51.66%) and CaO (38.01%), which can synergistically stimulate the activities of slag and fly ash and promote the symbiosis of multipl</w:t>
      </w:r>
      <w:r>
        <w:rPr>
          <w:rFonts w:ascii="Times New Roman" w:hAnsi="Times New Roman" w:cs="Times New Roman" w:hint="eastAsia"/>
          <w:color w:val="000000" w:themeColor="text1"/>
          <w:szCs w:val="21"/>
        </w:rPr>
        <w:t>e gels when combined with calcium carbide slag. If both are too high, too much SO</w:t>
      </w:r>
      <w:r>
        <w:rPr>
          <w:rFonts w:ascii="Times New Roman" w:hAnsi="Times New Roman" w:cs="Times New Roman" w:hint="eastAsia"/>
          <w:color w:val="000000" w:themeColor="text1"/>
          <w:szCs w:val="21"/>
          <w:vertAlign w:val="subscript"/>
        </w:rPr>
        <w:t>3</w:t>
      </w:r>
      <w:r>
        <w:rPr>
          <w:rFonts w:ascii="Times New Roman" w:hAnsi="Times New Roman" w:cs="Times New Roman" w:hint="eastAsia"/>
          <w:color w:val="000000" w:themeColor="text1"/>
          <w:szCs w:val="21"/>
        </w:rPr>
        <w:t xml:space="preserve"> and CaO will be introduced, causing an imbalance in product composition, resulting in a significant decrease in intensity.</w:t>
      </w:r>
    </w:p>
    <w:p w14:paraId="64E59893" w14:textId="77777777" w:rsidR="00F0779B" w:rsidRDefault="00840882">
      <w:pPr>
        <w:widowControl w:val="0"/>
        <w:spacing w:before="0" w:beforeAutospacing="0"/>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(4) Comprehensive analysis shows that the change l</w:t>
      </w:r>
      <w:r>
        <w:rPr>
          <w:rFonts w:ascii="Times New Roman" w:hAnsi="Times New Roman" w:cs="Times New Roman" w:hint="eastAsia"/>
          <w:color w:val="000000" w:themeColor="text1"/>
          <w:szCs w:val="21"/>
        </w:rPr>
        <w:t>aw of compressive strength at 28 days is affected by the synergy of fly ash, slag, desulfurized gypsum and calcium carbide slag. The relative ratio of fly ash to slag determines the balance of calcium, silicon, and aluminum sources in the system, which dir</w:t>
      </w:r>
      <w:r>
        <w:rPr>
          <w:rFonts w:ascii="Times New Roman" w:hAnsi="Times New Roman" w:cs="Times New Roman" w:hint="eastAsia"/>
          <w:color w:val="000000" w:themeColor="text1"/>
          <w:szCs w:val="21"/>
        </w:rPr>
        <w:t xml:space="preserve">ectly affects the formation of the basic skeleton of the gel. Desulfurized gypsum and calcium carbide slag can promote the depolymerization and recombination of aluminosilicate network under appropriate dosage, but excessive amount will interfere with the </w:t>
      </w:r>
      <w:r>
        <w:rPr>
          <w:rFonts w:ascii="Times New Roman" w:hAnsi="Times New Roman" w:cs="Times New Roman" w:hint="eastAsia"/>
          <w:color w:val="000000" w:themeColor="text1"/>
          <w:szCs w:val="21"/>
        </w:rPr>
        <w:t>reaction process and product stability.</w:t>
      </w:r>
    </w:p>
    <w:p w14:paraId="571B2D05" w14:textId="77777777" w:rsidR="00F0779B" w:rsidRDefault="00F0779B">
      <w:pPr>
        <w:widowControl w:val="0"/>
        <w:spacing w:before="0" w:beforeAutospacing="0"/>
        <w:ind w:firstLineChars="200" w:firstLine="420"/>
        <w:jc w:val="both"/>
        <w:rPr>
          <w:rFonts w:ascii="Times New Roman" w:hAnsi="Times New Roman" w:cs="Times New Roman"/>
          <w:color w:val="000000" w:themeColor="text1"/>
          <w:szCs w:val="21"/>
        </w:rPr>
      </w:pPr>
    </w:p>
    <w:tbl>
      <w:tblPr>
        <w:tblStyle w:val="TableGrid"/>
        <w:tblW w:w="8526" w:type="dxa"/>
        <w:tblLook w:val="04A0" w:firstRow="1" w:lastRow="0" w:firstColumn="1" w:lastColumn="0" w:noHBand="0" w:noVBand="1"/>
      </w:tblPr>
      <w:tblGrid>
        <w:gridCol w:w="1650"/>
        <w:gridCol w:w="1650"/>
        <w:gridCol w:w="1650"/>
        <w:gridCol w:w="1650"/>
        <w:gridCol w:w="1926"/>
      </w:tblGrid>
      <w:tr w:rsidR="00F0779B" w14:paraId="24970814" w14:textId="77777777">
        <w:trPr>
          <w:trHeight w:val="397"/>
        </w:trPr>
        <w:tc>
          <w:tcPr>
            <w:tcW w:w="1650" w:type="dxa"/>
            <w:tcBorders>
              <w:top w:val="single" w:sz="12" w:space="0" w:color="auto"/>
              <w:left w:val="nil"/>
              <w:right w:val="nil"/>
            </w:tcBorders>
            <w:vAlign w:val="center"/>
          </w:tcPr>
          <w:p w14:paraId="489B0F0E"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Std</w:t>
            </w:r>
          </w:p>
        </w:tc>
        <w:tc>
          <w:tcPr>
            <w:tcW w:w="1650" w:type="dxa"/>
            <w:tcBorders>
              <w:top w:val="single" w:sz="12" w:space="0" w:color="auto"/>
              <w:left w:val="nil"/>
              <w:right w:val="nil"/>
            </w:tcBorders>
            <w:vAlign w:val="center"/>
          </w:tcPr>
          <w:p w14:paraId="7F9D57AF"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A/%</w:t>
            </w:r>
          </w:p>
        </w:tc>
        <w:tc>
          <w:tcPr>
            <w:tcW w:w="1650" w:type="dxa"/>
            <w:tcBorders>
              <w:top w:val="single" w:sz="12" w:space="0" w:color="auto"/>
              <w:left w:val="nil"/>
              <w:right w:val="nil"/>
            </w:tcBorders>
            <w:vAlign w:val="center"/>
          </w:tcPr>
          <w:p w14:paraId="5239DF57"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B/%</w:t>
            </w:r>
          </w:p>
        </w:tc>
        <w:tc>
          <w:tcPr>
            <w:tcW w:w="1650" w:type="dxa"/>
            <w:tcBorders>
              <w:top w:val="single" w:sz="12" w:space="0" w:color="auto"/>
              <w:left w:val="nil"/>
              <w:right w:val="nil"/>
            </w:tcBorders>
            <w:vAlign w:val="center"/>
          </w:tcPr>
          <w:p w14:paraId="1139F5BC"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C/%</w:t>
            </w:r>
          </w:p>
        </w:tc>
        <w:tc>
          <w:tcPr>
            <w:tcW w:w="1926" w:type="dxa"/>
            <w:tcBorders>
              <w:top w:val="single" w:sz="12" w:space="0" w:color="auto"/>
              <w:left w:val="nil"/>
              <w:right w:val="nil"/>
            </w:tcBorders>
            <w:vAlign w:val="center"/>
          </w:tcPr>
          <w:p w14:paraId="7794DAB3"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 xml:space="preserve">28-day </w:t>
            </w:r>
            <w:r>
              <w:rPr>
                <w:rFonts w:cs="Times New Roman"/>
                <w:color w:val="000000"/>
                <w:kern w:val="0"/>
                <w:szCs w:val="21"/>
                <w:lang w:bidi="ar"/>
              </w:rPr>
              <w:t>compressive strength MPa</w:t>
            </w:r>
          </w:p>
        </w:tc>
      </w:tr>
      <w:tr w:rsidR="00F0779B" w14:paraId="2A3AADAD" w14:textId="77777777">
        <w:trPr>
          <w:trHeight w:val="340"/>
        </w:trPr>
        <w:tc>
          <w:tcPr>
            <w:tcW w:w="1650" w:type="dxa"/>
            <w:tcBorders>
              <w:left w:val="nil"/>
              <w:bottom w:val="nil"/>
              <w:right w:val="nil"/>
            </w:tcBorders>
            <w:vAlign w:val="center"/>
          </w:tcPr>
          <w:p w14:paraId="511DB544"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w:t>
            </w:r>
          </w:p>
        </w:tc>
        <w:tc>
          <w:tcPr>
            <w:tcW w:w="1650" w:type="dxa"/>
            <w:tcBorders>
              <w:left w:val="nil"/>
              <w:bottom w:val="nil"/>
              <w:right w:val="nil"/>
            </w:tcBorders>
            <w:vAlign w:val="center"/>
          </w:tcPr>
          <w:p w14:paraId="7BBFCEE9"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30</w:t>
            </w:r>
          </w:p>
        </w:tc>
        <w:tc>
          <w:tcPr>
            <w:tcW w:w="1650" w:type="dxa"/>
            <w:tcBorders>
              <w:left w:val="nil"/>
              <w:bottom w:val="nil"/>
              <w:right w:val="nil"/>
            </w:tcBorders>
            <w:vAlign w:val="center"/>
          </w:tcPr>
          <w:p w14:paraId="0871BF5A"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w:t>
            </w:r>
          </w:p>
        </w:tc>
        <w:tc>
          <w:tcPr>
            <w:tcW w:w="1650" w:type="dxa"/>
            <w:tcBorders>
              <w:left w:val="nil"/>
              <w:bottom w:val="nil"/>
              <w:right w:val="nil"/>
            </w:tcBorders>
            <w:vAlign w:val="center"/>
          </w:tcPr>
          <w:p w14:paraId="0EC6992B"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left w:val="nil"/>
              <w:bottom w:val="nil"/>
              <w:right w:val="nil"/>
            </w:tcBorders>
            <w:vAlign w:val="center"/>
          </w:tcPr>
          <w:p w14:paraId="73EEC64F"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23.6</w:t>
            </w:r>
          </w:p>
        </w:tc>
      </w:tr>
      <w:tr w:rsidR="00F0779B" w14:paraId="28D485E8" w14:textId="77777777">
        <w:trPr>
          <w:trHeight w:val="340"/>
        </w:trPr>
        <w:tc>
          <w:tcPr>
            <w:tcW w:w="1650" w:type="dxa"/>
            <w:tcBorders>
              <w:top w:val="nil"/>
              <w:left w:val="nil"/>
              <w:bottom w:val="nil"/>
              <w:right w:val="nil"/>
            </w:tcBorders>
            <w:vAlign w:val="center"/>
          </w:tcPr>
          <w:p w14:paraId="28258BC2"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2</w:t>
            </w:r>
          </w:p>
        </w:tc>
        <w:tc>
          <w:tcPr>
            <w:tcW w:w="1650" w:type="dxa"/>
            <w:tcBorders>
              <w:top w:val="nil"/>
              <w:left w:val="nil"/>
              <w:bottom w:val="nil"/>
              <w:right w:val="nil"/>
            </w:tcBorders>
            <w:vAlign w:val="center"/>
          </w:tcPr>
          <w:p w14:paraId="436F5703"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70</w:t>
            </w:r>
          </w:p>
        </w:tc>
        <w:tc>
          <w:tcPr>
            <w:tcW w:w="1650" w:type="dxa"/>
            <w:tcBorders>
              <w:top w:val="nil"/>
              <w:left w:val="nil"/>
              <w:bottom w:val="nil"/>
              <w:right w:val="nil"/>
            </w:tcBorders>
            <w:vAlign w:val="center"/>
          </w:tcPr>
          <w:p w14:paraId="2169D726"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w:t>
            </w:r>
          </w:p>
        </w:tc>
        <w:tc>
          <w:tcPr>
            <w:tcW w:w="1650" w:type="dxa"/>
            <w:tcBorders>
              <w:top w:val="nil"/>
              <w:left w:val="nil"/>
              <w:bottom w:val="nil"/>
              <w:right w:val="nil"/>
            </w:tcBorders>
            <w:vAlign w:val="center"/>
          </w:tcPr>
          <w:p w14:paraId="746F8419"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top w:val="nil"/>
              <w:left w:val="nil"/>
              <w:bottom w:val="nil"/>
              <w:right w:val="nil"/>
            </w:tcBorders>
            <w:vAlign w:val="center"/>
          </w:tcPr>
          <w:p w14:paraId="752BB53B"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13.9</w:t>
            </w:r>
          </w:p>
        </w:tc>
      </w:tr>
      <w:tr w:rsidR="00F0779B" w14:paraId="2B6BFC75" w14:textId="77777777">
        <w:trPr>
          <w:trHeight w:val="340"/>
        </w:trPr>
        <w:tc>
          <w:tcPr>
            <w:tcW w:w="1650" w:type="dxa"/>
            <w:tcBorders>
              <w:top w:val="nil"/>
              <w:left w:val="nil"/>
              <w:bottom w:val="nil"/>
              <w:right w:val="nil"/>
            </w:tcBorders>
            <w:vAlign w:val="center"/>
          </w:tcPr>
          <w:p w14:paraId="7C21D74A"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3</w:t>
            </w:r>
          </w:p>
        </w:tc>
        <w:tc>
          <w:tcPr>
            <w:tcW w:w="1650" w:type="dxa"/>
            <w:tcBorders>
              <w:top w:val="nil"/>
              <w:left w:val="nil"/>
              <w:bottom w:val="nil"/>
              <w:right w:val="nil"/>
            </w:tcBorders>
            <w:vAlign w:val="center"/>
          </w:tcPr>
          <w:p w14:paraId="394D330F"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30</w:t>
            </w:r>
          </w:p>
        </w:tc>
        <w:tc>
          <w:tcPr>
            <w:tcW w:w="1650" w:type="dxa"/>
            <w:tcBorders>
              <w:top w:val="nil"/>
              <w:left w:val="nil"/>
              <w:bottom w:val="nil"/>
              <w:right w:val="nil"/>
            </w:tcBorders>
            <w:vAlign w:val="center"/>
          </w:tcPr>
          <w:p w14:paraId="61ACA5FB"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15</w:t>
            </w:r>
          </w:p>
        </w:tc>
        <w:tc>
          <w:tcPr>
            <w:tcW w:w="1650" w:type="dxa"/>
            <w:tcBorders>
              <w:top w:val="nil"/>
              <w:left w:val="nil"/>
              <w:bottom w:val="nil"/>
              <w:right w:val="nil"/>
            </w:tcBorders>
            <w:vAlign w:val="center"/>
          </w:tcPr>
          <w:p w14:paraId="37687EBA"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top w:val="nil"/>
              <w:left w:val="nil"/>
              <w:bottom w:val="nil"/>
              <w:right w:val="nil"/>
            </w:tcBorders>
            <w:vAlign w:val="center"/>
          </w:tcPr>
          <w:p w14:paraId="3ED278AB"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20.3</w:t>
            </w:r>
          </w:p>
        </w:tc>
      </w:tr>
      <w:tr w:rsidR="00F0779B" w14:paraId="18833CF1" w14:textId="77777777">
        <w:trPr>
          <w:trHeight w:val="340"/>
        </w:trPr>
        <w:tc>
          <w:tcPr>
            <w:tcW w:w="1650" w:type="dxa"/>
            <w:tcBorders>
              <w:top w:val="nil"/>
              <w:left w:val="nil"/>
              <w:bottom w:val="nil"/>
              <w:right w:val="nil"/>
            </w:tcBorders>
            <w:vAlign w:val="center"/>
          </w:tcPr>
          <w:p w14:paraId="68C0E127"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4</w:t>
            </w:r>
          </w:p>
        </w:tc>
        <w:tc>
          <w:tcPr>
            <w:tcW w:w="1650" w:type="dxa"/>
            <w:tcBorders>
              <w:top w:val="nil"/>
              <w:left w:val="nil"/>
              <w:bottom w:val="nil"/>
              <w:right w:val="nil"/>
            </w:tcBorders>
            <w:vAlign w:val="center"/>
          </w:tcPr>
          <w:p w14:paraId="4A8A8E67"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70</w:t>
            </w:r>
          </w:p>
        </w:tc>
        <w:tc>
          <w:tcPr>
            <w:tcW w:w="1650" w:type="dxa"/>
            <w:tcBorders>
              <w:top w:val="nil"/>
              <w:left w:val="nil"/>
              <w:bottom w:val="nil"/>
              <w:right w:val="nil"/>
            </w:tcBorders>
            <w:vAlign w:val="center"/>
          </w:tcPr>
          <w:p w14:paraId="4085DB36"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15</w:t>
            </w:r>
          </w:p>
        </w:tc>
        <w:tc>
          <w:tcPr>
            <w:tcW w:w="1650" w:type="dxa"/>
            <w:tcBorders>
              <w:top w:val="nil"/>
              <w:left w:val="nil"/>
              <w:bottom w:val="nil"/>
              <w:right w:val="nil"/>
            </w:tcBorders>
            <w:vAlign w:val="center"/>
          </w:tcPr>
          <w:p w14:paraId="6A377FA1"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top w:val="nil"/>
              <w:left w:val="nil"/>
              <w:bottom w:val="nil"/>
              <w:right w:val="nil"/>
            </w:tcBorders>
            <w:vAlign w:val="center"/>
          </w:tcPr>
          <w:p w14:paraId="6E283B99"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10.3</w:t>
            </w:r>
          </w:p>
        </w:tc>
      </w:tr>
      <w:tr w:rsidR="00F0779B" w14:paraId="6E698C72" w14:textId="77777777">
        <w:trPr>
          <w:trHeight w:val="340"/>
        </w:trPr>
        <w:tc>
          <w:tcPr>
            <w:tcW w:w="1650" w:type="dxa"/>
            <w:tcBorders>
              <w:top w:val="nil"/>
              <w:left w:val="nil"/>
              <w:bottom w:val="nil"/>
              <w:right w:val="nil"/>
            </w:tcBorders>
            <w:vAlign w:val="center"/>
          </w:tcPr>
          <w:p w14:paraId="7DC5B3CD"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5</w:t>
            </w:r>
          </w:p>
        </w:tc>
        <w:tc>
          <w:tcPr>
            <w:tcW w:w="1650" w:type="dxa"/>
            <w:tcBorders>
              <w:top w:val="nil"/>
              <w:left w:val="nil"/>
              <w:bottom w:val="nil"/>
              <w:right w:val="nil"/>
            </w:tcBorders>
            <w:vAlign w:val="center"/>
          </w:tcPr>
          <w:p w14:paraId="248FBFE7"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30</w:t>
            </w:r>
          </w:p>
        </w:tc>
        <w:tc>
          <w:tcPr>
            <w:tcW w:w="1650" w:type="dxa"/>
            <w:tcBorders>
              <w:top w:val="nil"/>
              <w:left w:val="nil"/>
              <w:bottom w:val="nil"/>
              <w:right w:val="nil"/>
            </w:tcBorders>
            <w:vAlign w:val="center"/>
          </w:tcPr>
          <w:p w14:paraId="39C1C148"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nil"/>
              <w:right w:val="nil"/>
            </w:tcBorders>
            <w:vAlign w:val="center"/>
          </w:tcPr>
          <w:p w14:paraId="5920C21E"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w:t>
            </w:r>
          </w:p>
        </w:tc>
        <w:tc>
          <w:tcPr>
            <w:tcW w:w="1926" w:type="dxa"/>
            <w:tcBorders>
              <w:top w:val="nil"/>
              <w:left w:val="nil"/>
              <w:bottom w:val="nil"/>
              <w:right w:val="nil"/>
            </w:tcBorders>
            <w:vAlign w:val="center"/>
          </w:tcPr>
          <w:p w14:paraId="58C3E65E"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24.1</w:t>
            </w:r>
          </w:p>
        </w:tc>
      </w:tr>
      <w:tr w:rsidR="00F0779B" w14:paraId="68C16EE9" w14:textId="77777777">
        <w:trPr>
          <w:trHeight w:val="340"/>
        </w:trPr>
        <w:tc>
          <w:tcPr>
            <w:tcW w:w="1650" w:type="dxa"/>
            <w:tcBorders>
              <w:top w:val="nil"/>
              <w:left w:val="nil"/>
              <w:bottom w:val="nil"/>
              <w:right w:val="nil"/>
            </w:tcBorders>
            <w:vAlign w:val="center"/>
          </w:tcPr>
          <w:p w14:paraId="623DEB9F"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6</w:t>
            </w:r>
          </w:p>
        </w:tc>
        <w:tc>
          <w:tcPr>
            <w:tcW w:w="1650" w:type="dxa"/>
            <w:tcBorders>
              <w:top w:val="nil"/>
              <w:left w:val="nil"/>
              <w:bottom w:val="nil"/>
              <w:right w:val="nil"/>
            </w:tcBorders>
            <w:vAlign w:val="center"/>
          </w:tcPr>
          <w:p w14:paraId="7C85167D"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70</w:t>
            </w:r>
          </w:p>
        </w:tc>
        <w:tc>
          <w:tcPr>
            <w:tcW w:w="1650" w:type="dxa"/>
            <w:tcBorders>
              <w:top w:val="nil"/>
              <w:left w:val="nil"/>
              <w:bottom w:val="nil"/>
              <w:right w:val="nil"/>
            </w:tcBorders>
            <w:vAlign w:val="center"/>
          </w:tcPr>
          <w:p w14:paraId="18BCB08D"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nil"/>
              <w:right w:val="nil"/>
            </w:tcBorders>
            <w:vAlign w:val="center"/>
          </w:tcPr>
          <w:p w14:paraId="19CDBD82"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w:t>
            </w:r>
          </w:p>
        </w:tc>
        <w:tc>
          <w:tcPr>
            <w:tcW w:w="1926" w:type="dxa"/>
            <w:tcBorders>
              <w:top w:val="nil"/>
              <w:left w:val="nil"/>
              <w:bottom w:val="nil"/>
              <w:right w:val="nil"/>
            </w:tcBorders>
            <w:vAlign w:val="center"/>
          </w:tcPr>
          <w:p w14:paraId="04EBE51E"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12.9</w:t>
            </w:r>
          </w:p>
        </w:tc>
      </w:tr>
      <w:tr w:rsidR="00F0779B" w14:paraId="32CF5468" w14:textId="77777777">
        <w:trPr>
          <w:trHeight w:val="340"/>
        </w:trPr>
        <w:tc>
          <w:tcPr>
            <w:tcW w:w="1650" w:type="dxa"/>
            <w:tcBorders>
              <w:top w:val="nil"/>
              <w:left w:val="nil"/>
              <w:bottom w:val="nil"/>
              <w:right w:val="nil"/>
            </w:tcBorders>
            <w:vAlign w:val="center"/>
          </w:tcPr>
          <w:p w14:paraId="5FC8D7A1"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7</w:t>
            </w:r>
          </w:p>
        </w:tc>
        <w:tc>
          <w:tcPr>
            <w:tcW w:w="1650" w:type="dxa"/>
            <w:tcBorders>
              <w:top w:val="nil"/>
              <w:left w:val="nil"/>
              <w:bottom w:val="nil"/>
              <w:right w:val="nil"/>
            </w:tcBorders>
            <w:vAlign w:val="center"/>
          </w:tcPr>
          <w:p w14:paraId="37052669"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30</w:t>
            </w:r>
          </w:p>
        </w:tc>
        <w:tc>
          <w:tcPr>
            <w:tcW w:w="1650" w:type="dxa"/>
            <w:tcBorders>
              <w:top w:val="nil"/>
              <w:left w:val="nil"/>
              <w:bottom w:val="nil"/>
              <w:right w:val="nil"/>
            </w:tcBorders>
            <w:vAlign w:val="center"/>
          </w:tcPr>
          <w:p w14:paraId="5B9F6BB3"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nil"/>
              <w:right w:val="nil"/>
            </w:tcBorders>
            <w:vAlign w:val="center"/>
          </w:tcPr>
          <w:p w14:paraId="0DF39EE7"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15</w:t>
            </w:r>
          </w:p>
        </w:tc>
        <w:tc>
          <w:tcPr>
            <w:tcW w:w="1926" w:type="dxa"/>
            <w:tcBorders>
              <w:top w:val="nil"/>
              <w:left w:val="nil"/>
              <w:bottom w:val="nil"/>
              <w:right w:val="nil"/>
            </w:tcBorders>
            <w:vAlign w:val="center"/>
          </w:tcPr>
          <w:p w14:paraId="5623B478"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22.2</w:t>
            </w:r>
          </w:p>
        </w:tc>
      </w:tr>
      <w:tr w:rsidR="00F0779B" w14:paraId="60930BB0" w14:textId="77777777">
        <w:trPr>
          <w:trHeight w:val="340"/>
        </w:trPr>
        <w:tc>
          <w:tcPr>
            <w:tcW w:w="1650" w:type="dxa"/>
            <w:tcBorders>
              <w:top w:val="nil"/>
              <w:left w:val="nil"/>
              <w:bottom w:val="nil"/>
              <w:right w:val="nil"/>
            </w:tcBorders>
            <w:vAlign w:val="center"/>
          </w:tcPr>
          <w:p w14:paraId="56E5FA70"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8</w:t>
            </w:r>
          </w:p>
        </w:tc>
        <w:tc>
          <w:tcPr>
            <w:tcW w:w="1650" w:type="dxa"/>
            <w:tcBorders>
              <w:top w:val="nil"/>
              <w:left w:val="nil"/>
              <w:bottom w:val="nil"/>
              <w:right w:val="nil"/>
            </w:tcBorders>
            <w:vAlign w:val="center"/>
          </w:tcPr>
          <w:p w14:paraId="4FC580AA"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70</w:t>
            </w:r>
          </w:p>
        </w:tc>
        <w:tc>
          <w:tcPr>
            <w:tcW w:w="1650" w:type="dxa"/>
            <w:tcBorders>
              <w:top w:val="nil"/>
              <w:left w:val="nil"/>
              <w:bottom w:val="nil"/>
              <w:right w:val="nil"/>
            </w:tcBorders>
            <w:vAlign w:val="center"/>
          </w:tcPr>
          <w:p w14:paraId="66E5DBC3"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nil"/>
              <w:right w:val="nil"/>
            </w:tcBorders>
            <w:vAlign w:val="center"/>
          </w:tcPr>
          <w:p w14:paraId="1B2CB829"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15</w:t>
            </w:r>
          </w:p>
        </w:tc>
        <w:tc>
          <w:tcPr>
            <w:tcW w:w="1926" w:type="dxa"/>
            <w:tcBorders>
              <w:top w:val="nil"/>
              <w:left w:val="nil"/>
              <w:bottom w:val="nil"/>
              <w:right w:val="nil"/>
            </w:tcBorders>
            <w:vAlign w:val="center"/>
          </w:tcPr>
          <w:p w14:paraId="1DA1BB16"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10.3</w:t>
            </w:r>
          </w:p>
        </w:tc>
      </w:tr>
      <w:tr w:rsidR="00F0779B" w14:paraId="01E28E35" w14:textId="77777777">
        <w:trPr>
          <w:trHeight w:val="340"/>
        </w:trPr>
        <w:tc>
          <w:tcPr>
            <w:tcW w:w="1650" w:type="dxa"/>
            <w:tcBorders>
              <w:top w:val="nil"/>
              <w:left w:val="nil"/>
              <w:bottom w:val="nil"/>
              <w:right w:val="nil"/>
            </w:tcBorders>
            <w:vAlign w:val="center"/>
          </w:tcPr>
          <w:p w14:paraId="043450D5"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9</w:t>
            </w:r>
          </w:p>
        </w:tc>
        <w:tc>
          <w:tcPr>
            <w:tcW w:w="1650" w:type="dxa"/>
            <w:tcBorders>
              <w:top w:val="nil"/>
              <w:left w:val="nil"/>
              <w:bottom w:val="nil"/>
              <w:right w:val="nil"/>
            </w:tcBorders>
            <w:vAlign w:val="center"/>
          </w:tcPr>
          <w:p w14:paraId="660DB273"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nil"/>
              <w:right w:val="nil"/>
            </w:tcBorders>
            <w:vAlign w:val="center"/>
          </w:tcPr>
          <w:p w14:paraId="3683D306"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w:t>
            </w:r>
          </w:p>
        </w:tc>
        <w:tc>
          <w:tcPr>
            <w:tcW w:w="1650" w:type="dxa"/>
            <w:tcBorders>
              <w:top w:val="nil"/>
              <w:left w:val="nil"/>
              <w:bottom w:val="nil"/>
              <w:right w:val="nil"/>
            </w:tcBorders>
            <w:vAlign w:val="center"/>
          </w:tcPr>
          <w:p w14:paraId="7A436092"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w:t>
            </w:r>
          </w:p>
        </w:tc>
        <w:tc>
          <w:tcPr>
            <w:tcW w:w="1926" w:type="dxa"/>
            <w:tcBorders>
              <w:top w:val="nil"/>
              <w:left w:val="nil"/>
              <w:bottom w:val="nil"/>
              <w:right w:val="nil"/>
            </w:tcBorders>
            <w:vAlign w:val="center"/>
          </w:tcPr>
          <w:p w14:paraId="05DCC79D"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14.5</w:t>
            </w:r>
          </w:p>
        </w:tc>
      </w:tr>
      <w:tr w:rsidR="00F0779B" w14:paraId="6266C234" w14:textId="77777777">
        <w:trPr>
          <w:trHeight w:val="340"/>
        </w:trPr>
        <w:tc>
          <w:tcPr>
            <w:tcW w:w="1650" w:type="dxa"/>
            <w:tcBorders>
              <w:top w:val="nil"/>
              <w:left w:val="nil"/>
              <w:bottom w:val="nil"/>
              <w:right w:val="nil"/>
            </w:tcBorders>
            <w:vAlign w:val="center"/>
          </w:tcPr>
          <w:p w14:paraId="6B763542"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10</w:t>
            </w:r>
          </w:p>
        </w:tc>
        <w:tc>
          <w:tcPr>
            <w:tcW w:w="1650" w:type="dxa"/>
            <w:tcBorders>
              <w:top w:val="nil"/>
              <w:left w:val="nil"/>
              <w:bottom w:val="nil"/>
              <w:right w:val="nil"/>
            </w:tcBorders>
            <w:vAlign w:val="center"/>
          </w:tcPr>
          <w:p w14:paraId="30E6130D"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nil"/>
              <w:right w:val="nil"/>
            </w:tcBorders>
            <w:vAlign w:val="center"/>
          </w:tcPr>
          <w:p w14:paraId="05759DB0"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15</w:t>
            </w:r>
          </w:p>
        </w:tc>
        <w:tc>
          <w:tcPr>
            <w:tcW w:w="1650" w:type="dxa"/>
            <w:tcBorders>
              <w:top w:val="nil"/>
              <w:left w:val="nil"/>
              <w:bottom w:val="nil"/>
              <w:right w:val="nil"/>
            </w:tcBorders>
            <w:vAlign w:val="center"/>
          </w:tcPr>
          <w:p w14:paraId="0C2F12C0"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w:t>
            </w:r>
          </w:p>
        </w:tc>
        <w:tc>
          <w:tcPr>
            <w:tcW w:w="1926" w:type="dxa"/>
            <w:tcBorders>
              <w:top w:val="nil"/>
              <w:left w:val="nil"/>
              <w:bottom w:val="nil"/>
              <w:right w:val="nil"/>
            </w:tcBorders>
            <w:vAlign w:val="center"/>
          </w:tcPr>
          <w:p w14:paraId="04EF10DE"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15.3</w:t>
            </w:r>
          </w:p>
        </w:tc>
      </w:tr>
      <w:tr w:rsidR="00F0779B" w14:paraId="47AF472B" w14:textId="77777777">
        <w:trPr>
          <w:trHeight w:val="340"/>
        </w:trPr>
        <w:tc>
          <w:tcPr>
            <w:tcW w:w="1650" w:type="dxa"/>
            <w:tcBorders>
              <w:top w:val="nil"/>
              <w:left w:val="nil"/>
              <w:bottom w:val="nil"/>
              <w:right w:val="nil"/>
            </w:tcBorders>
            <w:vAlign w:val="center"/>
          </w:tcPr>
          <w:p w14:paraId="1B352F84"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11</w:t>
            </w:r>
          </w:p>
        </w:tc>
        <w:tc>
          <w:tcPr>
            <w:tcW w:w="1650" w:type="dxa"/>
            <w:tcBorders>
              <w:top w:val="nil"/>
              <w:left w:val="nil"/>
              <w:bottom w:val="nil"/>
              <w:right w:val="nil"/>
            </w:tcBorders>
            <w:vAlign w:val="center"/>
          </w:tcPr>
          <w:p w14:paraId="626CA0A2"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nil"/>
              <w:right w:val="nil"/>
            </w:tcBorders>
            <w:vAlign w:val="center"/>
          </w:tcPr>
          <w:p w14:paraId="7C5B6434"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w:t>
            </w:r>
          </w:p>
        </w:tc>
        <w:tc>
          <w:tcPr>
            <w:tcW w:w="1650" w:type="dxa"/>
            <w:tcBorders>
              <w:top w:val="nil"/>
              <w:left w:val="nil"/>
              <w:bottom w:val="nil"/>
              <w:right w:val="nil"/>
            </w:tcBorders>
            <w:vAlign w:val="center"/>
          </w:tcPr>
          <w:p w14:paraId="59201AAC"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15</w:t>
            </w:r>
          </w:p>
        </w:tc>
        <w:tc>
          <w:tcPr>
            <w:tcW w:w="1926" w:type="dxa"/>
            <w:tcBorders>
              <w:top w:val="nil"/>
              <w:left w:val="nil"/>
              <w:bottom w:val="nil"/>
              <w:right w:val="nil"/>
            </w:tcBorders>
            <w:vAlign w:val="center"/>
          </w:tcPr>
          <w:p w14:paraId="3FAC1505"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19.4</w:t>
            </w:r>
          </w:p>
        </w:tc>
      </w:tr>
      <w:tr w:rsidR="00F0779B" w14:paraId="1DB01D58" w14:textId="77777777">
        <w:trPr>
          <w:trHeight w:val="340"/>
        </w:trPr>
        <w:tc>
          <w:tcPr>
            <w:tcW w:w="1650" w:type="dxa"/>
            <w:tcBorders>
              <w:top w:val="nil"/>
              <w:left w:val="nil"/>
              <w:bottom w:val="nil"/>
              <w:right w:val="nil"/>
            </w:tcBorders>
            <w:vAlign w:val="center"/>
          </w:tcPr>
          <w:p w14:paraId="2A4A1B1B"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12</w:t>
            </w:r>
          </w:p>
        </w:tc>
        <w:tc>
          <w:tcPr>
            <w:tcW w:w="1650" w:type="dxa"/>
            <w:tcBorders>
              <w:top w:val="nil"/>
              <w:left w:val="nil"/>
              <w:bottom w:val="nil"/>
              <w:right w:val="nil"/>
            </w:tcBorders>
            <w:vAlign w:val="center"/>
          </w:tcPr>
          <w:p w14:paraId="77FEB685"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nil"/>
              <w:right w:val="nil"/>
            </w:tcBorders>
            <w:vAlign w:val="center"/>
          </w:tcPr>
          <w:p w14:paraId="01ACF2BF"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15</w:t>
            </w:r>
          </w:p>
        </w:tc>
        <w:tc>
          <w:tcPr>
            <w:tcW w:w="1650" w:type="dxa"/>
            <w:tcBorders>
              <w:top w:val="nil"/>
              <w:left w:val="nil"/>
              <w:bottom w:val="nil"/>
              <w:right w:val="nil"/>
            </w:tcBorders>
            <w:vAlign w:val="center"/>
          </w:tcPr>
          <w:p w14:paraId="62E9488D"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15</w:t>
            </w:r>
          </w:p>
        </w:tc>
        <w:tc>
          <w:tcPr>
            <w:tcW w:w="1926" w:type="dxa"/>
            <w:tcBorders>
              <w:top w:val="nil"/>
              <w:left w:val="nil"/>
              <w:bottom w:val="nil"/>
              <w:right w:val="nil"/>
            </w:tcBorders>
            <w:vAlign w:val="center"/>
          </w:tcPr>
          <w:p w14:paraId="2A9127C9"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9.5</w:t>
            </w:r>
          </w:p>
        </w:tc>
      </w:tr>
      <w:tr w:rsidR="00F0779B" w14:paraId="4C67FB4B" w14:textId="77777777">
        <w:trPr>
          <w:trHeight w:val="340"/>
        </w:trPr>
        <w:tc>
          <w:tcPr>
            <w:tcW w:w="1650" w:type="dxa"/>
            <w:tcBorders>
              <w:top w:val="nil"/>
              <w:left w:val="nil"/>
              <w:bottom w:val="nil"/>
              <w:right w:val="nil"/>
            </w:tcBorders>
            <w:vAlign w:val="center"/>
          </w:tcPr>
          <w:p w14:paraId="08626BD9"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13</w:t>
            </w:r>
          </w:p>
        </w:tc>
        <w:tc>
          <w:tcPr>
            <w:tcW w:w="1650" w:type="dxa"/>
            <w:tcBorders>
              <w:top w:val="nil"/>
              <w:left w:val="nil"/>
              <w:bottom w:val="nil"/>
              <w:right w:val="nil"/>
            </w:tcBorders>
            <w:vAlign w:val="center"/>
          </w:tcPr>
          <w:p w14:paraId="42D0241F"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nil"/>
              <w:right w:val="nil"/>
            </w:tcBorders>
            <w:vAlign w:val="center"/>
          </w:tcPr>
          <w:p w14:paraId="46068D42"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nil"/>
              <w:right w:val="nil"/>
            </w:tcBorders>
            <w:vAlign w:val="center"/>
          </w:tcPr>
          <w:p w14:paraId="0465E835"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top w:val="nil"/>
              <w:left w:val="nil"/>
              <w:bottom w:val="nil"/>
              <w:right w:val="nil"/>
            </w:tcBorders>
            <w:vAlign w:val="center"/>
          </w:tcPr>
          <w:p w14:paraId="5489FAD1"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18.7</w:t>
            </w:r>
          </w:p>
        </w:tc>
      </w:tr>
      <w:tr w:rsidR="00F0779B" w14:paraId="49570B1B" w14:textId="77777777">
        <w:trPr>
          <w:trHeight w:val="340"/>
        </w:trPr>
        <w:tc>
          <w:tcPr>
            <w:tcW w:w="1650" w:type="dxa"/>
            <w:tcBorders>
              <w:top w:val="nil"/>
              <w:left w:val="nil"/>
              <w:bottom w:val="nil"/>
              <w:right w:val="nil"/>
            </w:tcBorders>
            <w:vAlign w:val="center"/>
          </w:tcPr>
          <w:p w14:paraId="4C203E24"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14</w:t>
            </w:r>
          </w:p>
        </w:tc>
        <w:tc>
          <w:tcPr>
            <w:tcW w:w="1650" w:type="dxa"/>
            <w:tcBorders>
              <w:top w:val="nil"/>
              <w:left w:val="nil"/>
              <w:bottom w:val="nil"/>
              <w:right w:val="nil"/>
            </w:tcBorders>
            <w:vAlign w:val="center"/>
          </w:tcPr>
          <w:p w14:paraId="0BFCD960"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nil"/>
              <w:right w:val="nil"/>
            </w:tcBorders>
            <w:vAlign w:val="center"/>
          </w:tcPr>
          <w:p w14:paraId="7E2BF9BC"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nil"/>
              <w:right w:val="nil"/>
            </w:tcBorders>
            <w:vAlign w:val="center"/>
          </w:tcPr>
          <w:p w14:paraId="78189489"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top w:val="nil"/>
              <w:left w:val="nil"/>
              <w:bottom w:val="nil"/>
              <w:right w:val="nil"/>
            </w:tcBorders>
            <w:vAlign w:val="center"/>
          </w:tcPr>
          <w:p w14:paraId="620733B1"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17.1</w:t>
            </w:r>
          </w:p>
        </w:tc>
      </w:tr>
      <w:tr w:rsidR="00F0779B" w14:paraId="7DB924E6" w14:textId="77777777">
        <w:trPr>
          <w:trHeight w:val="340"/>
        </w:trPr>
        <w:tc>
          <w:tcPr>
            <w:tcW w:w="1650" w:type="dxa"/>
            <w:tcBorders>
              <w:top w:val="nil"/>
              <w:left w:val="nil"/>
              <w:bottom w:val="nil"/>
              <w:right w:val="nil"/>
            </w:tcBorders>
            <w:vAlign w:val="center"/>
          </w:tcPr>
          <w:p w14:paraId="2B51E3AD"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15</w:t>
            </w:r>
          </w:p>
        </w:tc>
        <w:tc>
          <w:tcPr>
            <w:tcW w:w="1650" w:type="dxa"/>
            <w:tcBorders>
              <w:top w:val="nil"/>
              <w:left w:val="nil"/>
              <w:bottom w:val="nil"/>
              <w:right w:val="nil"/>
            </w:tcBorders>
            <w:vAlign w:val="center"/>
          </w:tcPr>
          <w:p w14:paraId="7F9827A7"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nil"/>
              <w:right w:val="nil"/>
            </w:tcBorders>
            <w:vAlign w:val="center"/>
          </w:tcPr>
          <w:p w14:paraId="0B3640A2"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nil"/>
              <w:right w:val="nil"/>
            </w:tcBorders>
            <w:vAlign w:val="center"/>
          </w:tcPr>
          <w:p w14:paraId="3B5A5035"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top w:val="nil"/>
              <w:left w:val="nil"/>
              <w:bottom w:val="nil"/>
              <w:right w:val="nil"/>
            </w:tcBorders>
            <w:vAlign w:val="center"/>
          </w:tcPr>
          <w:p w14:paraId="12C3D46D"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17.9</w:t>
            </w:r>
          </w:p>
        </w:tc>
      </w:tr>
      <w:tr w:rsidR="00F0779B" w14:paraId="202A7038" w14:textId="77777777">
        <w:trPr>
          <w:trHeight w:val="340"/>
        </w:trPr>
        <w:tc>
          <w:tcPr>
            <w:tcW w:w="1650" w:type="dxa"/>
            <w:tcBorders>
              <w:top w:val="nil"/>
              <w:left w:val="nil"/>
              <w:bottom w:val="nil"/>
              <w:right w:val="nil"/>
            </w:tcBorders>
            <w:vAlign w:val="center"/>
          </w:tcPr>
          <w:p w14:paraId="42C97A73"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16</w:t>
            </w:r>
          </w:p>
        </w:tc>
        <w:tc>
          <w:tcPr>
            <w:tcW w:w="1650" w:type="dxa"/>
            <w:tcBorders>
              <w:top w:val="nil"/>
              <w:left w:val="nil"/>
              <w:bottom w:val="nil"/>
              <w:right w:val="nil"/>
            </w:tcBorders>
            <w:vAlign w:val="center"/>
          </w:tcPr>
          <w:p w14:paraId="466B6106"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nil"/>
              <w:right w:val="nil"/>
            </w:tcBorders>
            <w:vAlign w:val="center"/>
          </w:tcPr>
          <w:p w14:paraId="2075F574"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nil"/>
              <w:right w:val="nil"/>
            </w:tcBorders>
            <w:vAlign w:val="center"/>
          </w:tcPr>
          <w:p w14:paraId="6856278C"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top w:val="nil"/>
              <w:left w:val="nil"/>
              <w:bottom w:val="nil"/>
              <w:right w:val="nil"/>
            </w:tcBorders>
            <w:vAlign w:val="center"/>
          </w:tcPr>
          <w:p w14:paraId="4C381FD8"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19.4</w:t>
            </w:r>
          </w:p>
        </w:tc>
      </w:tr>
      <w:tr w:rsidR="00F0779B" w14:paraId="30352C1A" w14:textId="77777777">
        <w:trPr>
          <w:trHeight w:val="340"/>
        </w:trPr>
        <w:tc>
          <w:tcPr>
            <w:tcW w:w="1650" w:type="dxa"/>
            <w:tcBorders>
              <w:top w:val="nil"/>
              <w:left w:val="nil"/>
              <w:bottom w:val="single" w:sz="12" w:space="0" w:color="auto"/>
              <w:right w:val="nil"/>
            </w:tcBorders>
            <w:vAlign w:val="center"/>
          </w:tcPr>
          <w:p w14:paraId="171FEA84"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17</w:t>
            </w:r>
          </w:p>
        </w:tc>
        <w:tc>
          <w:tcPr>
            <w:tcW w:w="1650" w:type="dxa"/>
            <w:tcBorders>
              <w:top w:val="nil"/>
              <w:left w:val="nil"/>
              <w:bottom w:val="single" w:sz="12" w:space="0" w:color="auto"/>
              <w:right w:val="nil"/>
            </w:tcBorders>
            <w:vAlign w:val="center"/>
          </w:tcPr>
          <w:p w14:paraId="3E747915"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50</w:t>
            </w:r>
          </w:p>
        </w:tc>
        <w:tc>
          <w:tcPr>
            <w:tcW w:w="1650" w:type="dxa"/>
            <w:tcBorders>
              <w:top w:val="nil"/>
              <w:left w:val="nil"/>
              <w:bottom w:val="single" w:sz="12" w:space="0" w:color="auto"/>
              <w:right w:val="nil"/>
            </w:tcBorders>
            <w:vAlign w:val="center"/>
          </w:tcPr>
          <w:p w14:paraId="1555FE23"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650" w:type="dxa"/>
            <w:tcBorders>
              <w:top w:val="nil"/>
              <w:left w:val="nil"/>
              <w:bottom w:val="single" w:sz="12" w:space="0" w:color="auto"/>
              <w:right w:val="nil"/>
            </w:tcBorders>
            <w:vAlign w:val="center"/>
          </w:tcPr>
          <w:p w14:paraId="1F034096"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10</w:t>
            </w:r>
          </w:p>
        </w:tc>
        <w:tc>
          <w:tcPr>
            <w:tcW w:w="1926" w:type="dxa"/>
            <w:tcBorders>
              <w:top w:val="nil"/>
              <w:left w:val="nil"/>
              <w:bottom w:val="single" w:sz="12" w:space="0" w:color="auto"/>
              <w:right w:val="nil"/>
            </w:tcBorders>
            <w:vAlign w:val="center"/>
          </w:tcPr>
          <w:p w14:paraId="5AD172FD" w14:textId="77777777" w:rsidR="00F0779B" w:rsidRDefault="00840882">
            <w:pPr>
              <w:widowControl/>
              <w:spacing w:line="300" w:lineRule="auto"/>
              <w:rPr>
                <w:rFonts w:cs="Times New Roman"/>
                <w:color w:val="000000"/>
                <w:kern w:val="0"/>
                <w:szCs w:val="21"/>
                <w:lang w:bidi="ar"/>
              </w:rPr>
            </w:pPr>
            <w:r>
              <w:rPr>
                <w:rFonts w:cs="Times New Roman"/>
                <w:color w:val="000000"/>
                <w:kern w:val="0"/>
                <w:szCs w:val="21"/>
                <w:lang w:bidi="ar"/>
              </w:rPr>
              <w:t>18.7</w:t>
            </w:r>
          </w:p>
        </w:tc>
      </w:tr>
    </w:tbl>
    <w:p w14:paraId="02E9B345" w14:textId="77777777" w:rsidR="00F0779B" w:rsidRDefault="00840882">
      <w:pPr>
        <w:widowControl w:val="0"/>
        <w:spacing w:before="0" w:beforeAutospacing="0"/>
        <w:ind w:firstLineChars="900" w:firstLine="189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lastRenderedPageBreak/>
        <w:t>Table 8. Test schemes and compressive strength values</w:t>
      </w:r>
    </w:p>
    <w:p w14:paraId="5A8F1F07" w14:textId="77777777" w:rsidR="00F0779B" w:rsidRDefault="00840882">
      <w:pPr>
        <w:widowControl w:val="0"/>
        <w:spacing w:before="0" w:beforeAutospacing="0"/>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Analysis of Figure 1 shows that under the condition of a fixed carbide slag </w:t>
      </w:r>
      <w:r>
        <w:rPr>
          <w:rFonts w:ascii="Times New Roman" w:hAnsi="Times New Roman" w:cs="Times New Roman" w:hint="eastAsia"/>
          <w:color w:val="000000" w:themeColor="text1"/>
          <w:szCs w:val="21"/>
        </w:rPr>
        <w:t xml:space="preserve">content of 10%, as the fly ash content increases from 30% to 70%, the compressive strength generally exhibits a declining trend, especially when the desulfurized gypsum content is relatively low (around 5%), where the decrease is more pronounced. When the </w:t>
      </w:r>
      <w:r>
        <w:rPr>
          <w:rFonts w:ascii="Times New Roman" w:hAnsi="Times New Roman" w:cs="Times New Roman" w:hint="eastAsia"/>
          <w:color w:val="000000" w:themeColor="text1"/>
          <w:szCs w:val="21"/>
        </w:rPr>
        <w:t>desulfurized gypsum content varies between 5% and 15%, the strength initially slightly increases with its addition, then the growth tends to level off or even decline, indicating the presence of an optimal dosage range. Under the condition of a fixed desul</w:t>
      </w:r>
      <w:r>
        <w:rPr>
          <w:rFonts w:ascii="Times New Roman" w:hAnsi="Times New Roman" w:cs="Times New Roman" w:hint="eastAsia"/>
          <w:color w:val="000000" w:themeColor="text1"/>
          <w:szCs w:val="21"/>
        </w:rPr>
        <w:t>furized gypsum content of 10%, as the fly ash content increases from 30% to 70%, the compressive strength overall shows a decreasing trend, which is related to the low CaO content in the fly ash; increasing its proportion significantly reduces the calcium-</w:t>
      </w:r>
      <w:r>
        <w:rPr>
          <w:rFonts w:ascii="Times New Roman" w:hAnsi="Times New Roman" w:cs="Times New Roman" w:hint="eastAsia"/>
          <w:color w:val="000000" w:themeColor="text1"/>
          <w:szCs w:val="21"/>
        </w:rPr>
        <w:t xml:space="preserve">to-silicon ratio in the system, limiting the formation of high-calcium-silicate gel. The influence of carbide slag exhibits a distinctly nonlinear characteristic: when the fly ash content is relatively low (30%-50%), increasing the carbide slag from 5% to </w:t>
      </w:r>
      <w:r>
        <w:rPr>
          <w:rFonts w:ascii="Times New Roman" w:hAnsi="Times New Roman" w:cs="Times New Roman" w:hint="eastAsia"/>
          <w:color w:val="000000" w:themeColor="text1"/>
          <w:szCs w:val="21"/>
        </w:rPr>
        <w:t>about 10% gradually enhances the strength, indicating that the strong alkaline environment provided (CaO content 95.67%) can effectively activate the fly ash and slag. However, beyond approximately 10%, the enhancement effect tends to plateau or even decli</w:t>
      </w:r>
      <w:r>
        <w:rPr>
          <w:rFonts w:ascii="Times New Roman" w:hAnsi="Times New Roman" w:cs="Times New Roman" w:hint="eastAsia"/>
          <w:color w:val="000000" w:themeColor="text1"/>
          <w:szCs w:val="21"/>
        </w:rPr>
        <w:t>ne, as excessive CaO causes an imbalance in the reaction process or results in a loose product structure. From the overall trend of the response surface, it can be seen that the system's strength does not monotonically increase with the addition of both co</w:t>
      </w:r>
      <w:r>
        <w:rPr>
          <w:rFonts w:ascii="Times New Roman" w:hAnsi="Times New Roman" w:cs="Times New Roman" w:hint="eastAsia"/>
          <w:color w:val="000000" w:themeColor="text1"/>
          <w:szCs w:val="21"/>
        </w:rPr>
        <w:t>mponents; rather, a notable strength peak appears in the range of about 9%-11% for desulfurized gypsum and 9%-11% for carbide slag, suggesting the existence of an optimal ratio for their synergistic effect near this region. Once this region is exceeded, wh</w:t>
      </w:r>
      <w:r>
        <w:rPr>
          <w:rFonts w:ascii="Times New Roman" w:hAnsi="Times New Roman" w:cs="Times New Roman" w:hint="eastAsia"/>
          <w:color w:val="000000" w:themeColor="text1"/>
          <w:szCs w:val="21"/>
        </w:rPr>
        <w:t>ether the desulfurized gypsum or carbide slag content is individually high or both are simultaneously high, the strength shows a decreasing trend.</w:t>
      </w:r>
    </w:p>
    <w:p w14:paraId="3FA63BE4" w14:textId="77777777" w:rsidR="00F0779B" w:rsidRDefault="00840882">
      <w:pPr>
        <w:widowControl w:val="0"/>
        <w:spacing w:before="0" w:beforeAutospacing="0"/>
        <w:jc w:val="both"/>
        <w:rPr>
          <w:rFonts w:ascii="Times New Roman" w:hAnsi="Times New Roman" w:cs="Times New Roman"/>
          <w:b/>
          <w:bCs/>
          <w:color w:val="000000"/>
          <w:kern w:val="0"/>
          <w:szCs w:val="21"/>
          <w:lang w:bidi="ar"/>
        </w:rPr>
      </w:pPr>
      <w:r>
        <w:rPr>
          <w:rFonts w:hint="eastAsia"/>
          <w:noProof/>
        </w:rPr>
        <w:drawing>
          <wp:inline distT="0" distB="0" distL="114300" distR="114300" wp14:anchorId="04FE3907" wp14:editId="27DE7E16">
            <wp:extent cx="2462530" cy="2127885"/>
            <wp:effectExtent l="0" t="0" r="6350" b="5715"/>
            <wp:docPr id="39" name="图片 39" descr="1770191477844"/>
            <wp:cNvGraphicFramePr/>
            <a:graphic xmlns:a="http://schemas.openxmlformats.org/drawingml/2006/main">
              <a:graphicData uri="http://schemas.openxmlformats.org/drawingml/2006/picture">
                <pic:pic xmlns:pic="http://schemas.openxmlformats.org/drawingml/2006/picture">
                  <pic:nvPicPr>
                    <pic:cNvPr id="39" name="图片 39" descr="1770191477844"/>
                    <pic:cNvPicPr/>
                  </pic:nvPicPr>
                  <pic:blipFill>
                    <a:blip r:embed="rId7"/>
                    <a:stretch>
                      <a:fillRect/>
                    </a:stretch>
                  </pic:blipFill>
                  <pic:spPr>
                    <a:xfrm>
                      <a:off x="0" y="0"/>
                      <a:ext cx="2462530" cy="2127885"/>
                    </a:xfrm>
                    <a:prstGeom prst="rect">
                      <a:avLst/>
                    </a:prstGeom>
                  </pic:spPr>
                </pic:pic>
              </a:graphicData>
            </a:graphic>
          </wp:inline>
        </w:drawing>
      </w:r>
      <w:r>
        <w:rPr>
          <w:rFonts w:hint="eastAsia"/>
        </w:rPr>
        <w:t xml:space="preserve">    </w:t>
      </w:r>
      <w:r>
        <w:rPr>
          <w:rFonts w:ascii="Times New Roman" w:hAnsi="Times New Roman" w:cs="Times New Roman"/>
          <w:b/>
          <w:bCs/>
          <w:noProof/>
          <w:color w:val="000000"/>
          <w:kern w:val="0"/>
          <w:szCs w:val="21"/>
          <w:lang w:bidi="ar"/>
        </w:rPr>
        <w:drawing>
          <wp:inline distT="0" distB="0" distL="114300" distR="114300" wp14:anchorId="1D97E2D8" wp14:editId="66E62B91">
            <wp:extent cx="2462530" cy="2127885"/>
            <wp:effectExtent l="0" t="0" r="6350" b="5715"/>
            <wp:docPr id="41" name="图片 41" descr="1770192940363"/>
            <wp:cNvGraphicFramePr/>
            <a:graphic xmlns:a="http://schemas.openxmlformats.org/drawingml/2006/main">
              <a:graphicData uri="http://schemas.openxmlformats.org/drawingml/2006/picture">
                <pic:pic xmlns:pic="http://schemas.openxmlformats.org/drawingml/2006/picture">
                  <pic:nvPicPr>
                    <pic:cNvPr id="41" name="图片 41" descr="1770192940363"/>
                    <pic:cNvPicPr/>
                  </pic:nvPicPr>
                  <pic:blipFill>
                    <a:blip r:embed="rId8"/>
                    <a:stretch>
                      <a:fillRect/>
                    </a:stretch>
                  </pic:blipFill>
                  <pic:spPr>
                    <a:xfrm>
                      <a:off x="0" y="0"/>
                      <a:ext cx="2462530" cy="2127885"/>
                    </a:xfrm>
                    <a:prstGeom prst="rect">
                      <a:avLst/>
                    </a:prstGeom>
                  </pic:spPr>
                </pic:pic>
              </a:graphicData>
            </a:graphic>
          </wp:inline>
        </w:drawing>
      </w:r>
    </w:p>
    <w:p w14:paraId="67547D55" w14:textId="77777777" w:rsidR="00F0779B" w:rsidRDefault="00840882">
      <w:pPr>
        <w:widowControl w:val="0"/>
        <w:spacing w:before="0" w:beforeAutospacing="0"/>
        <w:jc w:val="both"/>
        <w:rPr>
          <w:rFonts w:ascii="Times New Roman" w:hAnsi="Times New Roman" w:cs="Times New Roman"/>
          <w:b/>
          <w:bCs/>
          <w:color w:val="000000"/>
          <w:kern w:val="0"/>
          <w:szCs w:val="21"/>
          <w:lang w:bidi="ar"/>
        </w:rPr>
      </w:pPr>
      <w:r>
        <w:rPr>
          <w:rFonts w:ascii="Times New Roman" w:hAnsi="Times New Roman" w:cs="Times New Roman"/>
          <w:b/>
          <w:bCs/>
          <w:noProof/>
          <w:color w:val="000000"/>
          <w:kern w:val="0"/>
          <w:szCs w:val="21"/>
          <w:lang w:bidi="ar"/>
        </w:rPr>
        <w:drawing>
          <wp:inline distT="0" distB="0" distL="114300" distR="114300" wp14:anchorId="2722553C" wp14:editId="6B2CA66D">
            <wp:extent cx="2462530" cy="2127885"/>
            <wp:effectExtent l="0" t="0" r="6350" b="5715"/>
            <wp:docPr id="43" name="图片 43" descr="1770196237229"/>
            <wp:cNvGraphicFramePr/>
            <a:graphic xmlns:a="http://schemas.openxmlformats.org/drawingml/2006/main">
              <a:graphicData uri="http://schemas.openxmlformats.org/drawingml/2006/picture">
                <pic:pic xmlns:pic="http://schemas.openxmlformats.org/drawingml/2006/picture">
                  <pic:nvPicPr>
                    <pic:cNvPr id="43" name="图片 43" descr="1770196237229"/>
                    <pic:cNvPicPr/>
                  </pic:nvPicPr>
                  <pic:blipFill>
                    <a:blip r:embed="rId9"/>
                    <a:stretch>
                      <a:fillRect/>
                    </a:stretch>
                  </pic:blipFill>
                  <pic:spPr>
                    <a:xfrm>
                      <a:off x="0" y="0"/>
                      <a:ext cx="2462530" cy="2127885"/>
                    </a:xfrm>
                    <a:prstGeom prst="rect">
                      <a:avLst/>
                    </a:prstGeom>
                  </pic:spPr>
                </pic:pic>
              </a:graphicData>
            </a:graphic>
          </wp:inline>
        </w:drawing>
      </w:r>
    </w:p>
    <w:p w14:paraId="2F59081C" w14:textId="77777777" w:rsidR="00F0779B" w:rsidRDefault="00840882">
      <w:pPr>
        <w:widowControl w:val="0"/>
        <w:spacing w:before="0" w:beforeAutospacing="0"/>
        <w:ind w:firstLineChars="1100" w:firstLine="231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lastRenderedPageBreak/>
        <w:t>Fig. 1. Response surface analysis diagram</w:t>
      </w:r>
    </w:p>
    <w:p w14:paraId="0598F909" w14:textId="77777777" w:rsidR="00F0779B" w:rsidRDefault="00840882">
      <w:pPr>
        <w:widowControl w:val="0"/>
        <w:spacing w:before="0" w:beforeAutospacing="0"/>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Based on the results of the response surface optimization </w:t>
      </w:r>
      <w:r>
        <w:rPr>
          <w:rFonts w:ascii="Times New Roman" w:hAnsi="Times New Roman" w:cs="Times New Roman" w:hint="eastAsia"/>
          <w:color w:val="000000" w:themeColor="text1"/>
          <w:szCs w:val="21"/>
        </w:rPr>
        <w:t>experiments, the relationship between the three variables and the response, namely the 28-day compressive strength of the mortar, was fitted. The corresponding equation is y = 18.36 - 5.35A - 2.00B - 0.6750C - 0.0750AB - 0.1750AC - 2.67BC + 0.6825A</w:t>
      </w:r>
      <w:r>
        <w:rPr>
          <w:rFonts w:ascii="Times New Roman" w:hAnsi="Times New Roman" w:cs="Times New Roman" w:hint="eastAsia"/>
          <w:color w:val="000000" w:themeColor="text1"/>
          <w:szCs w:val="21"/>
        </w:rPr>
        <w:t>²</w:t>
      </w:r>
      <w:r>
        <w:rPr>
          <w:rFonts w:ascii="Times New Roman" w:hAnsi="Times New Roman" w:cs="Times New Roman" w:hint="eastAsia"/>
          <w:color w:val="000000" w:themeColor="text1"/>
          <w:szCs w:val="21"/>
        </w:rPr>
        <w:t xml:space="preserve"> - 2.02</w:t>
      </w:r>
      <w:r>
        <w:rPr>
          <w:rFonts w:ascii="Times New Roman" w:hAnsi="Times New Roman" w:cs="Times New Roman" w:hint="eastAsia"/>
          <w:color w:val="000000" w:themeColor="text1"/>
          <w:szCs w:val="21"/>
        </w:rPr>
        <w:t>B</w:t>
      </w:r>
      <w:r>
        <w:rPr>
          <w:rFonts w:ascii="Times New Roman" w:hAnsi="Times New Roman" w:cs="Times New Roman" w:hint="eastAsia"/>
          <w:color w:val="000000" w:themeColor="text1"/>
          <w:szCs w:val="21"/>
        </w:rPr>
        <w:t>²</w:t>
      </w:r>
      <w:r>
        <w:rPr>
          <w:rFonts w:ascii="Times New Roman" w:hAnsi="Times New Roman" w:cs="Times New Roman" w:hint="eastAsia"/>
          <w:color w:val="000000" w:themeColor="text1"/>
          <w:szCs w:val="21"/>
        </w:rPr>
        <w:t xml:space="preserve"> - 1.67C</w:t>
      </w:r>
      <w:r>
        <w:rPr>
          <w:rFonts w:ascii="Times New Roman" w:hAnsi="Times New Roman" w:cs="Times New Roman" w:hint="eastAsia"/>
          <w:color w:val="000000" w:themeColor="text1"/>
          <w:szCs w:val="21"/>
        </w:rPr>
        <w:t>²</w:t>
      </w:r>
      <w:r>
        <w:rPr>
          <w:rFonts w:ascii="Times New Roman" w:hAnsi="Times New Roman" w:cs="Times New Roman" w:hint="eastAsia"/>
          <w:color w:val="000000" w:themeColor="text1"/>
          <w:szCs w:val="21"/>
        </w:rPr>
        <w:t>. The experimental results of the quadratic model fitting equation and the analysis of variance are shown in Table 9.</w:t>
      </w:r>
    </w:p>
    <w:p w14:paraId="58968018" w14:textId="77777777" w:rsidR="00F0779B" w:rsidRDefault="00F0779B">
      <w:pPr>
        <w:widowControl w:val="0"/>
        <w:spacing w:before="0" w:beforeAutospacing="0"/>
        <w:ind w:firstLineChars="200" w:firstLine="420"/>
        <w:jc w:val="both"/>
        <w:rPr>
          <w:rFonts w:ascii="Times New Roman" w:hAnsi="Times New Roman" w:cs="Times New Roman"/>
          <w:color w:val="000000" w:themeColor="text1"/>
          <w:szCs w:val="21"/>
        </w:rPr>
      </w:pPr>
    </w:p>
    <w:tbl>
      <w:tblPr>
        <w:tblStyle w:val="TableGrid"/>
        <w:tblW w:w="8519" w:type="dxa"/>
        <w:tblLook w:val="04A0" w:firstRow="1" w:lastRow="0" w:firstColumn="1" w:lastColumn="0" w:noHBand="0" w:noVBand="1"/>
      </w:tblPr>
      <w:tblGrid>
        <w:gridCol w:w="1420"/>
        <w:gridCol w:w="1420"/>
        <w:gridCol w:w="1420"/>
        <w:gridCol w:w="1417"/>
        <w:gridCol w:w="1421"/>
        <w:gridCol w:w="1421"/>
      </w:tblGrid>
      <w:tr w:rsidR="00F0779B" w14:paraId="1379E6C5" w14:textId="77777777">
        <w:trPr>
          <w:trHeight w:val="397"/>
        </w:trPr>
        <w:tc>
          <w:tcPr>
            <w:tcW w:w="1420" w:type="dxa"/>
            <w:tcBorders>
              <w:top w:val="single" w:sz="12" w:space="0" w:color="auto"/>
              <w:left w:val="nil"/>
              <w:right w:val="nil"/>
            </w:tcBorders>
            <w:vAlign w:val="center"/>
          </w:tcPr>
          <w:p w14:paraId="20BD10E8"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Source</w:t>
            </w:r>
          </w:p>
        </w:tc>
        <w:tc>
          <w:tcPr>
            <w:tcW w:w="1420" w:type="dxa"/>
            <w:tcBorders>
              <w:top w:val="single" w:sz="12" w:space="0" w:color="auto"/>
              <w:left w:val="nil"/>
              <w:right w:val="nil"/>
            </w:tcBorders>
            <w:vAlign w:val="center"/>
          </w:tcPr>
          <w:p w14:paraId="103E553F"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Sum of Squares</w:t>
            </w:r>
          </w:p>
        </w:tc>
        <w:tc>
          <w:tcPr>
            <w:tcW w:w="1420" w:type="dxa"/>
            <w:tcBorders>
              <w:top w:val="single" w:sz="12" w:space="0" w:color="auto"/>
              <w:left w:val="nil"/>
              <w:right w:val="nil"/>
            </w:tcBorders>
            <w:vAlign w:val="center"/>
          </w:tcPr>
          <w:p w14:paraId="425917DF"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Degree of Freedom</w:t>
            </w:r>
          </w:p>
        </w:tc>
        <w:tc>
          <w:tcPr>
            <w:tcW w:w="1417" w:type="dxa"/>
            <w:tcBorders>
              <w:top w:val="single" w:sz="12" w:space="0" w:color="auto"/>
              <w:left w:val="nil"/>
              <w:right w:val="nil"/>
            </w:tcBorders>
            <w:vAlign w:val="center"/>
          </w:tcPr>
          <w:p w14:paraId="6EF59283"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Mean Square</w:t>
            </w:r>
          </w:p>
        </w:tc>
        <w:tc>
          <w:tcPr>
            <w:tcW w:w="1421" w:type="dxa"/>
            <w:tcBorders>
              <w:top w:val="single" w:sz="12" w:space="0" w:color="auto"/>
              <w:left w:val="nil"/>
              <w:right w:val="nil"/>
            </w:tcBorders>
            <w:vAlign w:val="center"/>
          </w:tcPr>
          <w:p w14:paraId="5E0296E3"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F Value</w:t>
            </w:r>
          </w:p>
        </w:tc>
        <w:tc>
          <w:tcPr>
            <w:tcW w:w="1421" w:type="dxa"/>
            <w:tcBorders>
              <w:top w:val="single" w:sz="12" w:space="0" w:color="auto"/>
              <w:left w:val="nil"/>
              <w:right w:val="nil"/>
            </w:tcBorders>
            <w:vAlign w:val="center"/>
          </w:tcPr>
          <w:p w14:paraId="24636080"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Significance Level P</w:t>
            </w:r>
          </w:p>
        </w:tc>
      </w:tr>
      <w:tr w:rsidR="00F0779B" w14:paraId="03D9E629" w14:textId="77777777">
        <w:trPr>
          <w:trHeight w:val="340"/>
        </w:trPr>
        <w:tc>
          <w:tcPr>
            <w:tcW w:w="1420" w:type="dxa"/>
            <w:tcBorders>
              <w:left w:val="nil"/>
              <w:bottom w:val="nil"/>
              <w:right w:val="nil"/>
            </w:tcBorders>
            <w:vAlign w:val="center"/>
          </w:tcPr>
          <w:p w14:paraId="4696C5FE"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Model</w:t>
            </w:r>
          </w:p>
        </w:tc>
        <w:tc>
          <w:tcPr>
            <w:tcW w:w="1420" w:type="dxa"/>
            <w:tcBorders>
              <w:left w:val="nil"/>
              <w:bottom w:val="nil"/>
              <w:right w:val="nil"/>
            </w:tcBorders>
            <w:vAlign w:val="center"/>
          </w:tcPr>
          <w:p w14:paraId="2136847B"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324.78</w:t>
            </w:r>
          </w:p>
        </w:tc>
        <w:tc>
          <w:tcPr>
            <w:tcW w:w="1420" w:type="dxa"/>
            <w:tcBorders>
              <w:left w:val="nil"/>
              <w:bottom w:val="nil"/>
              <w:right w:val="nil"/>
            </w:tcBorders>
            <w:vAlign w:val="center"/>
          </w:tcPr>
          <w:p w14:paraId="4385290B"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9</w:t>
            </w:r>
          </w:p>
        </w:tc>
        <w:tc>
          <w:tcPr>
            <w:tcW w:w="1417" w:type="dxa"/>
            <w:tcBorders>
              <w:left w:val="nil"/>
              <w:bottom w:val="nil"/>
              <w:right w:val="nil"/>
            </w:tcBorders>
            <w:vAlign w:val="center"/>
          </w:tcPr>
          <w:p w14:paraId="668453F9"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36.09</w:t>
            </w:r>
          </w:p>
        </w:tc>
        <w:tc>
          <w:tcPr>
            <w:tcW w:w="1421" w:type="dxa"/>
            <w:tcBorders>
              <w:left w:val="nil"/>
              <w:bottom w:val="nil"/>
              <w:right w:val="nil"/>
            </w:tcBorders>
            <w:vAlign w:val="center"/>
          </w:tcPr>
          <w:p w14:paraId="7D967482"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37.25</w:t>
            </w:r>
          </w:p>
        </w:tc>
        <w:tc>
          <w:tcPr>
            <w:tcW w:w="1421" w:type="dxa"/>
            <w:tcBorders>
              <w:left w:val="nil"/>
              <w:bottom w:val="nil"/>
              <w:right w:val="nil"/>
            </w:tcBorders>
            <w:vAlign w:val="center"/>
          </w:tcPr>
          <w:p w14:paraId="1000A580"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&lt;0.0001</w:t>
            </w:r>
          </w:p>
        </w:tc>
      </w:tr>
      <w:tr w:rsidR="00F0779B" w14:paraId="67DCF81E" w14:textId="77777777">
        <w:trPr>
          <w:trHeight w:val="340"/>
        </w:trPr>
        <w:tc>
          <w:tcPr>
            <w:tcW w:w="1420" w:type="dxa"/>
            <w:tcBorders>
              <w:top w:val="nil"/>
              <w:left w:val="nil"/>
              <w:bottom w:val="nil"/>
              <w:right w:val="nil"/>
            </w:tcBorders>
            <w:vAlign w:val="center"/>
          </w:tcPr>
          <w:p w14:paraId="595F7162"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A</w:t>
            </w:r>
          </w:p>
        </w:tc>
        <w:tc>
          <w:tcPr>
            <w:tcW w:w="1420" w:type="dxa"/>
            <w:tcBorders>
              <w:top w:val="nil"/>
              <w:left w:val="nil"/>
              <w:bottom w:val="nil"/>
              <w:right w:val="nil"/>
            </w:tcBorders>
            <w:vAlign w:val="center"/>
          </w:tcPr>
          <w:p w14:paraId="3D8DA92C"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228.98</w:t>
            </w:r>
          </w:p>
        </w:tc>
        <w:tc>
          <w:tcPr>
            <w:tcW w:w="1420" w:type="dxa"/>
            <w:tcBorders>
              <w:top w:val="nil"/>
              <w:left w:val="nil"/>
              <w:bottom w:val="nil"/>
              <w:right w:val="nil"/>
            </w:tcBorders>
            <w:vAlign w:val="center"/>
          </w:tcPr>
          <w:p w14:paraId="7E9FDE63"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w:t>
            </w:r>
          </w:p>
        </w:tc>
        <w:tc>
          <w:tcPr>
            <w:tcW w:w="1417" w:type="dxa"/>
            <w:tcBorders>
              <w:top w:val="nil"/>
              <w:left w:val="nil"/>
              <w:bottom w:val="nil"/>
              <w:right w:val="nil"/>
            </w:tcBorders>
            <w:vAlign w:val="center"/>
          </w:tcPr>
          <w:p w14:paraId="56238143"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228.98</w:t>
            </w:r>
          </w:p>
        </w:tc>
        <w:tc>
          <w:tcPr>
            <w:tcW w:w="1421" w:type="dxa"/>
            <w:tcBorders>
              <w:top w:val="nil"/>
              <w:left w:val="nil"/>
              <w:bottom w:val="nil"/>
              <w:right w:val="nil"/>
            </w:tcBorders>
            <w:vAlign w:val="center"/>
          </w:tcPr>
          <w:p w14:paraId="2B22C693"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236.34</w:t>
            </w:r>
          </w:p>
        </w:tc>
        <w:tc>
          <w:tcPr>
            <w:tcW w:w="1421" w:type="dxa"/>
            <w:tcBorders>
              <w:top w:val="nil"/>
              <w:left w:val="nil"/>
              <w:bottom w:val="nil"/>
              <w:right w:val="nil"/>
            </w:tcBorders>
            <w:vAlign w:val="center"/>
          </w:tcPr>
          <w:p w14:paraId="7028CA12"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&lt;0.0001</w:t>
            </w:r>
          </w:p>
        </w:tc>
      </w:tr>
      <w:tr w:rsidR="00F0779B" w14:paraId="5F2A3A85" w14:textId="77777777">
        <w:trPr>
          <w:trHeight w:val="340"/>
        </w:trPr>
        <w:tc>
          <w:tcPr>
            <w:tcW w:w="1420" w:type="dxa"/>
            <w:tcBorders>
              <w:top w:val="nil"/>
              <w:left w:val="nil"/>
              <w:bottom w:val="nil"/>
              <w:right w:val="nil"/>
            </w:tcBorders>
            <w:vAlign w:val="center"/>
          </w:tcPr>
          <w:p w14:paraId="2327802D"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B</w:t>
            </w:r>
          </w:p>
        </w:tc>
        <w:tc>
          <w:tcPr>
            <w:tcW w:w="1420" w:type="dxa"/>
            <w:tcBorders>
              <w:top w:val="nil"/>
              <w:left w:val="nil"/>
              <w:bottom w:val="nil"/>
              <w:right w:val="nil"/>
            </w:tcBorders>
            <w:vAlign w:val="center"/>
          </w:tcPr>
          <w:p w14:paraId="3D6CF9B1"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32.00</w:t>
            </w:r>
          </w:p>
        </w:tc>
        <w:tc>
          <w:tcPr>
            <w:tcW w:w="1420" w:type="dxa"/>
            <w:tcBorders>
              <w:top w:val="nil"/>
              <w:left w:val="nil"/>
              <w:bottom w:val="nil"/>
              <w:right w:val="nil"/>
            </w:tcBorders>
            <w:vAlign w:val="center"/>
          </w:tcPr>
          <w:p w14:paraId="18B3CFBF"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w:t>
            </w:r>
          </w:p>
        </w:tc>
        <w:tc>
          <w:tcPr>
            <w:tcW w:w="1417" w:type="dxa"/>
            <w:tcBorders>
              <w:top w:val="nil"/>
              <w:left w:val="nil"/>
              <w:bottom w:val="nil"/>
              <w:right w:val="nil"/>
            </w:tcBorders>
            <w:vAlign w:val="center"/>
          </w:tcPr>
          <w:p w14:paraId="4535A110"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32.00</w:t>
            </w:r>
          </w:p>
        </w:tc>
        <w:tc>
          <w:tcPr>
            <w:tcW w:w="1421" w:type="dxa"/>
            <w:tcBorders>
              <w:top w:val="nil"/>
              <w:left w:val="nil"/>
              <w:bottom w:val="nil"/>
              <w:right w:val="nil"/>
            </w:tcBorders>
            <w:vAlign w:val="center"/>
          </w:tcPr>
          <w:p w14:paraId="3570B203"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33.03</w:t>
            </w:r>
          </w:p>
        </w:tc>
        <w:tc>
          <w:tcPr>
            <w:tcW w:w="1421" w:type="dxa"/>
            <w:tcBorders>
              <w:top w:val="nil"/>
              <w:left w:val="nil"/>
              <w:bottom w:val="nil"/>
              <w:right w:val="nil"/>
            </w:tcBorders>
            <w:vAlign w:val="center"/>
          </w:tcPr>
          <w:p w14:paraId="3F69F6B4"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0.0007</w:t>
            </w:r>
          </w:p>
        </w:tc>
      </w:tr>
      <w:tr w:rsidR="00F0779B" w14:paraId="3F89F43B" w14:textId="77777777">
        <w:trPr>
          <w:trHeight w:val="340"/>
        </w:trPr>
        <w:tc>
          <w:tcPr>
            <w:tcW w:w="1420" w:type="dxa"/>
            <w:tcBorders>
              <w:top w:val="nil"/>
              <w:left w:val="nil"/>
              <w:bottom w:val="nil"/>
              <w:right w:val="nil"/>
            </w:tcBorders>
            <w:vAlign w:val="center"/>
          </w:tcPr>
          <w:p w14:paraId="7213E611"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C</w:t>
            </w:r>
          </w:p>
        </w:tc>
        <w:tc>
          <w:tcPr>
            <w:tcW w:w="1420" w:type="dxa"/>
            <w:tcBorders>
              <w:top w:val="nil"/>
              <w:left w:val="nil"/>
              <w:bottom w:val="nil"/>
              <w:right w:val="nil"/>
            </w:tcBorders>
            <w:vAlign w:val="center"/>
          </w:tcPr>
          <w:p w14:paraId="006E0DA5"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3.65</w:t>
            </w:r>
          </w:p>
        </w:tc>
        <w:tc>
          <w:tcPr>
            <w:tcW w:w="1420" w:type="dxa"/>
            <w:tcBorders>
              <w:top w:val="nil"/>
              <w:left w:val="nil"/>
              <w:bottom w:val="nil"/>
              <w:right w:val="nil"/>
            </w:tcBorders>
            <w:vAlign w:val="center"/>
          </w:tcPr>
          <w:p w14:paraId="190E22F9"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w:t>
            </w:r>
          </w:p>
        </w:tc>
        <w:tc>
          <w:tcPr>
            <w:tcW w:w="1417" w:type="dxa"/>
            <w:tcBorders>
              <w:top w:val="nil"/>
              <w:left w:val="nil"/>
              <w:bottom w:val="nil"/>
              <w:right w:val="nil"/>
            </w:tcBorders>
            <w:vAlign w:val="center"/>
          </w:tcPr>
          <w:p w14:paraId="4E606E7E"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3.65</w:t>
            </w:r>
          </w:p>
        </w:tc>
        <w:tc>
          <w:tcPr>
            <w:tcW w:w="1421" w:type="dxa"/>
            <w:tcBorders>
              <w:top w:val="nil"/>
              <w:left w:val="nil"/>
              <w:bottom w:val="nil"/>
              <w:right w:val="nil"/>
            </w:tcBorders>
            <w:vAlign w:val="center"/>
          </w:tcPr>
          <w:p w14:paraId="647BBA6A"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3.76</w:t>
            </w:r>
          </w:p>
        </w:tc>
        <w:tc>
          <w:tcPr>
            <w:tcW w:w="1421" w:type="dxa"/>
            <w:tcBorders>
              <w:top w:val="nil"/>
              <w:left w:val="nil"/>
              <w:bottom w:val="nil"/>
              <w:right w:val="nil"/>
            </w:tcBorders>
            <w:vAlign w:val="center"/>
          </w:tcPr>
          <w:p w14:paraId="79AB668C"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0.0936</w:t>
            </w:r>
          </w:p>
        </w:tc>
      </w:tr>
      <w:tr w:rsidR="00F0779B" w14:paraId="2AB08D58" w14:textId="77777777">
        <w:trPr>
          <w:trHeight w:val="340"/>
        </w:trPr>
        <w:tc>
          <w:tcPr>
            <w:tcW w:w="1420" w:type="dxa"/>
            <w:tcBorders>
              <w:top w:val="nil"/>
              <w:left w:val="nil"/>
              <w:bottom w:val="nil"/>
              <w:right w:val="nil"/>
            </w:tcBorders>
            <w:vAlign w:val="center"/>
          </w:tcPr>
          <w:p w14:paraId="2A6B6083"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AB</w:t>
            </w:r>
          </w:p>
        </w:tc>
        <w:tc>
          <w:tcPr>
            <w:tcW w:w="1420" w:type="dxa"/>
            <w:tcBorders>
              <w:top w:val="nil"/>
              <w:left w:val="nil"/>
              <w:bottom w:val="nil"/>
              <w:right w:val="nil"/>
            </w:tcBorders>
            <w:vAlign w:val="center"/>
          </w:tcPr>
          <w:p w14:paraId="74625CB3"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0.0225</w:t>
            </w:r>
          </w:p>
        </w:tc>
        <w:tc>
          <w:tcPr>
            <w:tcW w:w="1420" w:type="dxa"/>
            <w:tcBorders>
              <w:top w:val="nil"/>
              <w:left w:val="nil"/>
              <w:bottom w:val="nil"/>
              <w:right w:val="nil"/>
            </w:tcBorders>
            <w:vAlign w:val="center"/>
          </w:tcPr>
          <w:p w14:paraId="7C8B3A6E"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w:t>
            </w:r>
          </w:p>
        </w:tc>
        <w:tc>
          <w:tcPr>
            <w:tcW w:w="1417" w:type="dxa"/>
            <w:tcBorders>
              <w:top w:val="nil"/>
              <w:left w:val="nil"/>
              <w:bottom w:val="nil"/>
              <w:right w:val="nil"/>
            </w:tcBorders>
            <w:vAlign w:val="center"/>
          </w:tcPr>
          <w:p w14:paraId="044D9476"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0.0225</w:t>
            </w:r>
          </w:p>
        </w:tc>
        <w:tc>
          <w:tcPr>
            <w:tcW w:w="1421" w:type="dxa"/>
            <w:tcBorders>
              <w:top w:val="nil"/>
              <w:left w:val="nil"/>
              <w:bottom w:val="nil"/>
              <w:right w:val="nil"/>
            </w:tcBorders>
            <w:vAlign w:val="center"/>
          </w:tcPr>
          <w:p w14:paraId="2F452824"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0.0232</w:t>
            </w:r>
          </w:p>
        </w:tc>
        <w:tc>
          <w:tcPr>
            <w:tcW w:w="1421" w:type="dxa"/>
            <w:tcBorders>
              <w:top w:val="nil"/>
              <w:left w:val="nil"/>
              <w:bottom w:val="nil"/>
              <w:right w:val="nil"/>
            </w:tcBorders>
            <w:vAlign w:val="center"/>
          </w:tcPr>
          <w:p w14:paraId="0B21CC8A"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0.8832</w:t>
            </w:r>
          </w:p>
        </w:tc>
      </w:tr>
      <w:tr w:rsidR="00F0779B" w14:paraId="2E09790E" w14:textId="77777777">
        <w:trPr>
          <w:trHeight w:val="340"/>
        </w:trPr>
        <w:tc>
          <w:tcPr>
            <w:tcW w:w="1420" w:type="dxa"/>
            <w:tcBorders>
              <w:top w:val="nil"/>
              <w:left w:val="nil"/>
              <w:bottom w:val="nil"/>
              <w:right w:val="nil"/>
            </w:tcBorders>
            <w:vAlign w:val="center"/>
          </w:tcPr>
          <w:p w14:paraId="522B402F"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AC</w:t>
            </w:r>
          </w:p>
        </w:tc>
        <w:tc>
          <w:tcPr>
            <w:tcW w:w="1420" w:type="dxa"/>
            <w:tcBorders>
              <w:top w:val="nil"/>
              <w:left w:val="nil"/>
              <w:bottom w:val="nil"/>
              <w:right w:val="nil"/>
            </w:tcBorders>
            <w:vAlign w:val="center"/>
          </w:tcPr>
          <w:p w14:paraId="604A3565"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0.1225</w:t>
            </w:r>
          </w:p>
        </w:tc>
        <w:tc>
          <w:tcPr>
            <w:tcW w:w="1420" w:type="dxa"/>
            <w:tcBorders>
              <w:top w:val="nil"/>
              <w:left w:val="nil"/>
              <w:bottom w:val="nil"/>
              <w:right w:val="nil"/>
            </w:tcBorders>
            <w:vAlign w:val="center"/>
          </w:tcPr>
          <w:p w14:paraId="19EF5A3B"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w:t>
            </w:r>
          </w:p>
        </w:tc>
        <w:tc>
          <w:tcPr>
            <w:tcW w:w="1417" w:type="dxa"/>
            <w:tcBorders>
              <w:top w:val="nil"/>
              <w:left w:val="nil"/>
              <w:bottom w:val="nil"/>
              <w:right w:val="nil"/>
            </w:tcBorders>
            <w:vAlign w:val="center"/>
          </w:tcPr>
          <w:p w14:paraId="0E654A8D"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0.1225</w:t>
            </w:r>
          </w:p>
        </w:tc>
        <w:tc>
          <w:tcPr>
            <w:tcW w:w="1421" w:type="dxa"/>
            <w:tcBorders>
              <w:top w:val="nil"/>
              <w:left w:val="nil"/>
              <w:bottom w:val="nil"/>
              <w:right w:val="nil"/>
            </w:tcBorders>
            <w:vAlign w:val="center"/>
          </w:tcPr>
          <w:p w14:paraId="5EE9B0C7"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0.1225</w:t>
            </w:r>
          </w:p>
        </w:tc>
        <w:tc>
          <w:tcPr>
            <w:tcW w:w="1421" w:type="dxa"/>
            <w:tcBorders>
              <w:top w:val="nil"/>
              <w:left w:val="nil"/>
              <w:bottom w:val="nil"/>
              <w:right w:val="nil"/>
            </w:tcBorders>
            <w:vAlign w:val="center"/>
          </w:tcPr>
          <w:p w14:paraId="462FACEA"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0.7326</w:t>
            </w:r>
          </w:p>
        </w:tc>
      </w:tr>
      <w:tr w:rsidR="00F0779B" w14:paraId="74D3B885" w14:textId="77777777">
        <w:trPr>
          <w:trHeight w:val="340"/>
        </w:trPr>
        <w:tc>
          <w:tcPr>
            <w:tcW w:w="1420" w:type="dxa"/>
            <w:tcBorders>
              <w:top w:val="nil"/>
              <w:left w:val="nil"/>
              <w:bottom w:val="nil"/>
              <w:right w:val="nil"/>
            </w:tcBorders>
            <w:vAlign w:val="center"/>
          </w:tcPr>
          <w:p w14:paraId="3C75E514"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BC</w:t>
            </w:r>
          </w:p>
        </w:tc>
        <w:tc>
          <w:tcPr>
            <w:tcW w:w="1420" w:type="dxa"/>
            <w:tcBorders>
              <w:top w:val="nil"/>
              <w:left w:val="nil"/>
              <w:bottom w:val="nil"/>
              <w:right w:val="nil"/>
            </w:tcBorders>
            <w:vAlign w:val="center"/>
          </w:tcPr>
          <w:p w14:paraId="11E205B0"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28.62</w:t>
            </w:r>
          </w:p>
        </w:tc>
        <w:tc>
          <w:tcPr>
            <w:tcW w:w="1420" w:type="dxa"/>
            <w:tcBorders>
              <w:top w:val="nil"/>
              <w:left w:val="nil"/>
              <w:bottom w:val="nil"/>
              <w:right w:val="nil"/>
            </w:tcBorders>
            <w:vAlign w:val="center"/>
          </w:tcPr>
          <w:p w14:paraId="2700E71D"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w:t>
            </w:r>
          </w:p>
        </w:tc>
        <w:tc>
          <w:tcPr>
            <w:tcW w:w="1417" w:type="dxa"/>
            <w:tcBorders>
              <w:top w:val="nil"/>
              <w:left w:val="nil"/>
              <w:bottom w:val="nil"/>
              <w:right w:val="nil"/>
            </w:tcBorders>
            <w:vAlign w:val="center"/>
          </w:tcPr>
          <w:p w14:paraId="68AF0386"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28.62</w:t>
            </w:r>
          </w:p>
        </w:tc>
        <w:tc>
          <w:tcPr>
            <w:tcW w:w="1421" w:type="dxa"/>
            <w:tcBorders>
              <w:top w:val="nil"/>
              <w:left w:val="nil"/>
              <w:bottom w:val="nil"/>
              <w:right w:val="nil"/>
            </w:tcBorders>
            <w:vAlign w:val="center"/>
          </w:tcPr>
          <w:p w14:paraId="1D270A2B"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29.54</w:t>
            </w:r>
          </w:p>
        </w:tc>
        <w:tc>
          <w:tcPr>
            <w:tcW w:w="1421" w:type="dxa"/>
            <w:tcBorders>
              <w:top w:val="nil"/>
              <w:left w:val="nil"/>
              <w:bottom w:val="nil"/>
              <w:right w:val="nil"/>
            </w:tcBorders>
            <w:vAlign w:val="center"/>
          </w:tcPr>
          <w:p w14:paraId="7DBDC8F7"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0.0010</w:t>
            </w:r>
          </w:p>
        </w:tc>
      </w:tr>
      <w:tr w:rsidR="00F0779B" w14:paraId="68CE3274" w14:textId="77777777">
        <w:trPr>
          <w:trHeight w:val="340"/>
        </w:trPr>
        <w:tc>
          <w:tcPr>
            <w:tcW w:w="1420" w:type="dxa"/>
            <w:tcBorders>
              <w:top w:val="nil"/>
              <w:left w:val="nil"/>
              <w:bottom w:val="nil"/>
              <w:right w:val="nil"/>
            </w:tcBorders>
            <w:vAlign w:val="center"/>
          </w:tcPr>
          <w:p w14:paraId="795AABD7"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A</w:t>
            </w:r>
            <w:r>
              <w:rPr>
                <w:rFonts w:cs="Times New Roman" w:hint="eastAsia"/>
                <w:color w:val="000000"/>
                <w:kern w:val="0"/>
                <w:szCs w:val="21"/>
                <w:vertAlign w:val="superscript"/>
                <w:lang w:bidi="ar"/>
              </w:rPr>
              <w:t>2</w:t>
            </w:r>
          </w:p>
        </w:tc>
        <w:tc>
          <w:tcPr>
            <w:tcW w:w="1420" w:type="dxa"/>
            <w:tcBorders>
              <w:top w:val="nil"/>
              <w:left w:val="nil"/>
              <w:bottom w:val="nil"/>
              <w:right w:val="nil"/>
            </w:tcBorders>
            <w:vAlign w:val="center"/>
          </w:tcPr>
          <w:p w14:paraId="267F5C1B"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1.96</w:t>
            </w:r>
          </w:p>
        </w:tc>
        <w:tc>
          <w:tcPr>
            <w:tcW w:w="1420" w:type="dxa"/>
            <w:tcBorders>
              <w:top w:val="nil"/>
              <w:left w:val="nil"/>
              <w:bottom w:val="nil"/>
              <w:right w:val="nil"/>
            </w:tcBorders>
            <w:vAlign w:val="center"/>
          </w:tcPr>
          <w:p w14:paraId="7EFD3B2A"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w:t>
            </w:r>
          </w:p>
        </w:tc>
        <w:tc>
          <w:tcPr>
            <w:tcW w:w="1417" w:type="dxa"/>
            <w:tcBorders>
              <w:top w:val="nil"/>
              <w:left w:val="nil"/>
              <w:bottom w:val="nil"/>
              <w:right w:val="nil"/>
            </w:tcBorders>
            <w:vAlign w:val="center"/>
          </w:tcPr>
          <w:p w14:paraId="53D3C5C6"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1.96</w:t>
            </w:r>
          </w:p>
        </w:tc>
        <w:tc>
          <w:tcPr>
            <w:tcW w:w="1421" w:type="dxa"/>
            <w:tcBorders>
              <w:top w:val="nil"/>
              <w:left w:val="nil"/>
              <w:bottom w:val="nil"/>
              <w:right w:val="nil"/>
            </w:tcBorders>
            <w:vAlign w:val="center"/>
          </w:tcPr>
          <w:p w14:paraId="7E571F28"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2.02</w:t>
            </w:r>
          </w:p>
        </w:tc>
        <w:tc>
          <w:tcPr>
            <w:tcW w:w="1421" w:type="dxa"/>
            <w:tcBorders>
              <w:top w:val="nil"/>
              <w:left w:val="nil"/>
              <w:bottom w:val="nil"/>
              <w:right w:val="nil"/>
            </w:tcBorders>
            <w:vAlign w:val="center"/>
          </w:tcPr>
          <w:p w14:paraId="6F5346C0"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0.1978</w:t>
            </w:r>
          </w:p>
        </w:tc>
      </w:tr>
      <w:tr w:rsidR="00F0779B" w14:paraId="40C0DA0F" w14:textId="77777777">
        <w:trPr>
          <w:trHeight w:val="340"/>
        </w:trPr>
        <w:tc>
          <w:tcPr>
            <w:tcW w:w="1420" w:type="dxa"/>
            <w:tcBorders>
              <w:top w:val="nil"/>
              <w:left w:val="nil"/>
              <w:bottom w:val="nil"/>
              <w:right w:val="nil"/>
            </w:tcBorders>
            <w:vAlign w:val="center"/>
          </w:tcPr>
          <w:p w14:paraId="49726BF9"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B</w:t>
            </w:r>
            <w:r>
              <w:rPr>
                <w:rFonts w:cs="Times New Roman" w:hint="eastAsia"/>
                <w:color w:val="000000"/>
                <w:kern w:val="0"/>
                <w:szCs w:val="21"/>
                <w:vertAlign w:val="superscript"/>
                <w:lang w:bidi="ar"/>
              </w:rPr>
              <w:t>2</w:t>
            </w:r>
          </w:p>
        </w:tc>
        <w:tc>
          <w:tcPr>
            <w:tcW w:w="1420" w:type="dxa"/>
            <w:tcBorders>
              <w:top w:val="nil"/>
              <w:left w:val="nil"/>
              <w:bottom w:val="nil"/>
              <w:right w:val="nil"/>
            </w:tcBorders>
            <w:vAlign w:val="center"/>
          </w:tcPr>
          <w:p w14:paraId="45A51582"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17.14</w:t>
            </w:r>
          </w:p>
        </w:tc>
        <w:tc>
          <w:tcPr>
            <w:tcW w:w="1420" w:type="dxa"/>
            <w:tcBorders>
              <w:top w:val="nil"/>
              <w:left w:val="nil"/>
              <w:bottom w:val="nil"/>
              <w:right w:val="nil"/>
            </w:tcBorders>
            <w:vAlign w:val="center"/>
          </w:tcPr>
          <w:p w14:paraId="69370533"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w:t>
            </w:r>
          </w:p>
        </w:tc>
        <w:tc>
          <w:tcPr>
            <w:tcW w:w="1417" w:type="dxa"/>
            <w:tcBorders>
              <w:top w:val="nil"/>
              <w:left w:val="nil"/>
              <w:bottom w:val="nil"/>
              <w:right w:val="nil"/>
            </w:tcBorders>
            <w:vAlign w:val="center"/>
          </w:tcPr>
          <w:p w14:paraId="7ECF61B8"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17.14</w:t>
            </w:r>
          </w:p>
        </w:tc>
        <w:tc>
          <w:tcPr>
            <w:tcW w:w="1421" w:type="dxa"/>
            <w:tcBorders>
              <w:top w:val="nil"/>
              <w:left w:val="nil"/>
              <w:bottom w:val="nil"/>
              <w:right w:val="nil"/>
            </w:tcBorders>
            <w:vAlign w:val="center"/>
          </w:tcPr>
          <w:p w14:paraId="74E4DB22"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17.69</w:t>
            </w:r>
          </w:p>
        </w:tc>
        <w:tc>
          <w:tcPr>
            <w:tcW w:w="1421" w:type="dxa"/>
            <w:tcBorders>
              <w:top w:val="nil"/>
              <w:left w:val="nil"/>
              <w:bottom w:val="nil"/>
              <w:right w:val="nil"/>
            </w:tcBorders>
            <w:vAlign w:val="center"/>
          </w:tcPr>
          <w:p w14:paraId="0AB79AF8"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0.0040</w:t>
            </w:r>
          </w:p>
        </w:tc>
      </w:tr>
      <w:tr w:rsidR="00F0779B" w14:paraId="4FA83D82" w14:textId="77777777">
        <w:trPr>
          <w:trHeight w:val="340"/>
        </w:trPr>
        <w:tc>
          <w:tcPr>
            <w:tcW w:w="1420" w:type="dxa"/>
            <w:tcBorders>
              <w:top w:val="nil"/>
              <w:left w:val="nil"/>
              <w:bottom w:val="nil"/>
              <w:right w:val="nil"/>
            </w:tcBorders>
            <w:vAlign w:val="center"/>
          </w:tcPr>
          <w:p w14:paraId="417A539B"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C</w:t>
            </w:r>
            <w:r>
              <w:rPr>
                <w:rFonts w:cs="Times New Roman" w:hint="eastAsia"/>
                <w:color w:val="000000"/>
                <w:kern w:val="0"/>
                <w:szCs w:val="21"/>
                <w:vertAlign w:val="superscript"/>
                <w:lang w:bidi="ar"/>
              </w:rPr>
              <w:t>2</w:t>
            </w:r>
          </w:p>
        </w:tc>
        <w:tc>
          <w:tcPr>
            <w:tcW w:w="1420" w:type="dxa"/>
            <w:tcBorders>
              <w:top w:val="nil"/>
              <w:left w:val="nil"/>
              <w:bottom w:val="nil"/>
              <w:right w:val="nil"/>
            </w:tcBorders>
            <w:vAlign w:val="center"/>
          </w:tcPr>
          <w:p w14:paraId="0CE63934"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11.71</w:t>
            </w:r>
          </w:p>
        </w:tc>
        <w:tc>
          <w:tcPr>
            <w:tcW w:w="1420" w:type="dxa"/>
            <w:tcBorders>
              <w:top w:val="nil"/>
              <w:left w:val="nil"/>
              <w:bottom w:val="nil"/>
              <w:right w:val="nil"/>
            </w:tcBorders>
            <w:vAlign w:val="center"/>
          </w:tcPr>
          <w:p w14:paraId="772D35D6"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w:t>
            </w:r>
          </w:p>
        </w:tc>
        <w:tc>
          <w:tcPr>
            <w:tcW w:w="1417" w:type="dxa"/>
            <w:tcBorders>
              <w:top w:val="nil"/>
              <w:left w:val="nil"/>
              <w:bottom w:val="nil"/>
              <w:right w:val="nil"/>
            </w:tcBorders>
            <w:vAlign w:val="center"/>
          </w:tcPr>
          <w:p w14:paraId="1C774A8E"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11.71</w:t>
            </w:r>
          </w:p>
        </w:tc>
        <w:tc>
          <w:tcPr>
            <w:tcW w:w="1421" w:type="dxa"/>
            <w:tcBorders>
              <w:top w:val="nil"/>
              <w:left w:val="nil"/>
              <w:bottom w:val="nil"/>
              <w:right w:val="nil"/>
            </w:tcBorders>
            <w:vAlign w:val="center"/>
          </w:tcPr>
          <w:p w14:paraId="2773EE26"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12.08</w:t>
            </w:r>
          </w:p>
        </w:tc>
        <w:tc>
          <w:tcPr>
            <w:tcW w:w="1421" w:type="dxa"/>
            <w:tcBorders>
              <w:top w:val="nil"/>
              <w:left w:val="nil"/>
              <w:bottom w:val="nil"/>
              <w:right w:val="nil"/>
            </w:tcBorders>
            <w:vAlign w:val="center"/>
          </w:tcPr>
          <w:p w14:paraId="2583E300"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0.0103</w:t>
            </w:r>
          </w:p>
        </w:tc>
      </w:tr>
      <w:tr w:rsidR="00F0779B" w14:paraId="0864E1E3" w14:textId="77777777">
        <w:trPr>
          <w:trHeight w:val="340"/>
        </w:trPr>
        <w:tc>
          <w:tcPr>
            <w:tcW w:w="1420" w:type="dxa"/>
            <w:tcBorders>
              <w:top w:val="nil"/>
              <w:left w:val="nil"/>
              <w:bottom w:val="nil"/>
              <w:right w:val="nil"/>
            </w:tcBorders>
            <w:vAlign w:val="center"/>
          </w:tcPr>
          <w:p w14:paraId="044C7B26"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Residual</w:t>
            </w:r>
          </w:p>
        </w:tc>
        <w:tc>
          <w:tcPr>
            <w:tcW w:w="1420" w:type="dxa"/>
            <w:tcBorders>
              <w:top w:val="nil"/>
              <w:left w:val="nil"/>
              <w:bottom w:val="nil"/>
              <w:right w:val="nil"/>
            </w:tcBorders>
            <w:vAlign w:val="center"/>
          </w:tcPr>
          <w:p w14:paraId="051D08E5"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6.78</w:t>
            </w:r>
          </w:p>
        </w:tc>
        <w:tc>
          <w:tcPr>
            <w:tcW w:w="1420" w:type="dxa"/>
            <w:tcBorders>
              <w:top w:val="nil"/>
              <w:left w:val="nil"/>
              <w:bottom w:val="nil"/>
              <w:right w:val="nil"/>
            </w:tcBorders>
            <w:vAlign w:val="center"/>
          </w:tcPr>
          <w:p w14:paraId="45EAF37C"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7</w:t>
            </w:r>
          </w:p>
        </w:tc>
        <w:tc>
          <w:tcPr>
            <w:tcW w:w="1417" w:type="dxa"/>
            <w:tcBorders>
              <w:top w:val="nil"/>
              <w:left w:val="nil"/>
              <w:bottom w:val="nil"/>
              <w:right w:val="nil"/>
            </w:tcBorders>
            <w:vAlign w:val="center"/>
          </w:tcPr>
          <w:p w14:paraId="618BC206"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0.9689</w:t>
            </w:r>
          </w:p>
        </w:tc>
        <w:tc>
          <w:tcPr>
            <w:tcW w:w="1421" w:type="dxa"/>
            <w:tcBorders>
              <w:top w:val="nil"/>
              <w:left w:val="nil"/>
              <w:bottom w:val="nil"/>
              <w:right w:val="nil"/>
            </w:tcBorders>
            <w:vAlign w:val="center"/>
          </w:tcPr>
          <w:p w14:paraId="499F4230" w14:textId="77777777" w:rsidR="00F0779B" w:rsidRDefault="00F0779B">
            <w:pPr>
              <w:widowControl/>
              <w:spacing w:line="300" w:lineRule="auto"/>
              <w:rPr>
                <w:rFonts w:cs="Times New Roman"/>
                <w:color w:val="000000"/>
                <w:kern w:val="0"/>
                <w:szCs w:val="21"/>
                <w:lang w:bidi="ar"/>
              </w:rPr>
            </w:pPr>
          </w:p>
        </w:tc>
        <w:tc>
          <w:tcPr>
            <w:tcW w:w="1421" w:type="dxa"/>
            <w:tcBorders>
              <w:top w:val="nil"/>
              <w:left w:val="nil"/>
              <w:bottom w:val="nil"/>
              <w:right w:val="nil"/>
            </w:tcBorders>
            <w:vAlign w:val="center"/>
          </w:tcPr>
          <w:p w14:paraId="7DBAF563" w14:textId="77777777" w:rsidR="00F0779B" w:rsidRDefault="00F0779B">
            <w:pPr>
              <w:widowControl/>
              <w:spacing w:line="300" w:lineRule="auto"/>
              <w:rPr>
                <w:rFonts w:cs="Times New Roman"/>
                <w:color w:val="000000"/>
                <w:kern w:val="0"/>
                <w:szCs w:val="21"/>
                <w:lang w:bidi="ar"/>
              </w:rPr>
            </w:pPr>
          </w:p>
        </w:tc>
      </w:tr>
      <w:tr w:rsidR="00F0779B" w14:paraId="05073140" w14:textId="77777777">
        <w:trPr>
          <w:trHeight w:val="340"/>
        </w:trPr>
        <w:tc>
          <w:tcPr>
            <w:tcW w:w="1420" w:type="dxa"/>
            <w:tcBorders>
              <w:top w:val="nil"/>
              <w:left w:val="nil"/>
              <w:bottom w:val="nil"/>
              <w:right w:val="nil"/>
            </w:tcBorders>
            <w:vAlign w:val="center"/>
          </w:tcPr>
          <w:p w14:paraId="213A6BF4"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Lack of Fit</w:t>
            </w:r>
          </w:p>
        </w:tc>
        <w:tc>
          <w:tcPr>
            <w:tcW w:w="1420" w:type="dxa"/>
            <w:tcBorders>
              <w:top w:val="nil"/>
              <w:left w:val="nil"/>
              <w:bottom w:val="nil"/>
              <w:right w:val="nil"/>
            </w:tcBorders>
            <w:vAlign w:val="center"/>
          </w:tcPr>
          <w:p w14:paraId="594C22BE"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3.67</w:t>
            </w:r>
          </w:p>
        </w:tc>
        <w:tc>
          <w:tcPr>
            <w:tcW w:w="1420" w:type="dxa"/>
            <w:tcBorders>
              <w:top w:val="nil"/>
              <w:left w:val="nil"/>
              <w:bottom w:val="nil"/>
              <w:right w:val="nil"/>
            </w:tcBorders>
            <w:vAlign w:val="center"/>
          </w:tcPr>
          <w:p w14:paraId="58DDA837"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3</w:t>
            </w:r>
          </w:p>
        </w:tc>
        <w:tc>
          <w:tcPr>
            <w:tcW w:w="1417" w:type="dxa"/>
            <w:tcBorders>
              <w:top w:val="nil"/>
              <w:left w:val="nil"/>
              <w:bottom w:val="nil"/>
              <w:right w:val="nil"/>
            </w:tcBorders>
            <w:vAlign w:val="center"/>
          </w:tcPr>
          <w:p w14:paraId="4A8B33FA"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1.22</w:t>
            </w:r>
          </w:p>
        </w:tc>
        <w:tc>
          <w:tcPr>
            <w:tcW w:w="1421" w:type="dxa"/>
            <w:tcBorders>
              <w:top w:val="nil"/>
              <w:left w:val="nil"/>
              <w:bottom w:val="nil"/>
              <w:right w:val="nil"/>
            </w:tcBorders>
            <w:vAlign w:val="center"/>
          </w:tcPr>
          <w:p w14:paraId="5955CA2C"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1.57</w:t>
            </w:r>
          </w:p>
        </w:tc>
        <w:tc>
          <w:tcPr>
            <w:tcW w:w="1421" w:type="dxa"/>
            <w:tcBorders>
              <w:top w:val="nil"/>
              <w:left w:val="nil"/>
              <w:bottom w:val="nil"/>
              <w:right w:val="nil"/>
            </w:tcBorders>
            <w:vAlign w:val="center"/>
          </w:tcPr>
          <w:p w14:paraId="4B39D758"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0.3279</w:t>
            </w:r>
          </w:p>
        </w:tc>
      </w:tr>
      <w:tr w:rsidR="00F0779B" w14:paraId="392D0BFE" w14:textId="77777777">
        <w:trPr>
          <w:trHeight w:val="340"/>
        </w:trPr>
        <w:tc>
          <w:tcPr>
            <w:tcW w:w="1420" w:type="dxa"/>
            <w:tcBorders>
              <w:top w:val="nil"/>
              <w:left w:val="nil"/>
              <w:bottom w:val="nil"/>
              <w:right w:val="nil"/>
            </w:tcBorders>
            <w:vAlign w:val="center"/>
          </w:tcPr>
          <w:p w14:paraId="7FF91566"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Pure Error</w:t>
            </w:r>
          </w:p>
        </w:tc>
        <w:tc>
          <w:tcPr>
            <w:tcW w:w="1420" w:type="dxa"/>
            <w:tcBorders>
              <w:top w:val="nil"/>
              <w:left w:val="nil"/>
              <w:bottom w:val="nil"/>
              <w:right w:val="nil"/>
            </w:tcBorders>
            <w:vAlign w:val="center"/>
          </w:tcPr>
          <w:p w14:paraId="11B6F041"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3.11</w:t>
            </w:r>
          </w:p>
        </w:tc>
        <w:tc>
          <w:tcPr>
            <w:tcW w:w="1420" w:type="dxa"/>
            <w:tcBorders>
              <w:top w:val="nil"/>
              <w:left w:val="nil"/>
              <w:bottom w:val="nil"/>
              <w:right w:val="nil"/>
            </w:tcBorders>
            <w:vAlign w:val="center"/>
          </w:tcPr>
          <w:p w14:paraId="322BAD61"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4</w:t>
            </w:r>
          </w:p>
        </w:tc>
        <w:tc>
          <w:tcPr>
            <w:tcW w:w="1417" w:type="dxa"/>
            <w:tcBorders>
              <w:top w:val="nil"/>
              <w:left w:val="nil"/>
              <w:bottom w:val="nil"/>
              <w:right w:val="nil"/>
            </w:tcBorders>
            <w:vAlign w:val="center"/>
          </w:tcPr>
          <w:p w14:paraId="50A72BD1"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0.7780</w:t>
            </w:r>
          </w:p>
        </w:tc>
        <w:tc>
          <w:tcPr>
            <w:tcW w:w="1421" w:type="dxa"/>
            <w:tcBorders>
              <w:top w:val="nil"/>
              <w:left w:val="nil"/>
              <w:bottom w:val="nil"/>
              <w:right w:val="nil"/>
            </w:tcBorders>
            <w:vAlign w:val="center"/>
          </w:tcPr>
          <w:p w14:paraId="3848D901" w14:textId="77777777" w:rsidR="00F0779B" w:rsidRDefault="00F0779B">
            <w:pPr>
              <w:widowControl/>
              <w:spacing w:line="300" w:lineRule="auto"/>
              <w:rPr>
                <w:rFonts w:cs="Times New Roman"/>
                <w:color w:val="000000"/>
                <w:kern w:val="0"/>
                <w:szCs w:val="21"/>
                <w:lang w:bidi="ar"/>
              </w:rPr>
            </w:pPr>
          </w:p>
        </w:tc>
        <w:tc>
          <w:tcPr>
            <w:tcW w:w="1421" w:type="dxa"/>
            <w:tcBorders>
              <w:top w:val="nil"/>
              <w:left w:val="nil"/>
              <w:bottom w:val="nil"/>
              <w:right w:val="nil"/>
            </w:tcBorders>
            <w:vAlign w:val="center"/>
          </w:tcPr>
          <w:p w14:paraId="5DB9BA4D" w14:textId="77777777" w:rsidR="00F0779B" w:rsidRDefault="00F0779B">
            <w:pPr>
              <w:widowControl/>
              <w:spacing w:line="300" w:lineRule="auto"/>
              <w:rPr>
                <w:rFonts w:cs="Times New Roman"/>
                <w:color w:val="000000"/>
                <w:kern w:val="0"/>
                <w:szCs w:val="21"/>
                <w:lang w:bidi="ar"/>
              </w:rPr>
            </w:pPr>
          </w:p>
        </w:tc>
      </w:tr>
      <w:tr w:rsidR="00F0779B" w14:paraId="6C9B78B4" w14:textId="77777777">
        <w:trPr>
          <w:trHeight w:val="340"/>
        </w:trPr>
        <w:tc>
          <w:tcPr>
            <w:tcW w:w="1420" w:type="dxa"/>
            <w:tcBorders>
              <w:top w:val="nil"/>
              <w:left w:val="nil"/>
              <w:bottom w:val="nil"/>
              <w:right w:val="nil"/>
            </w:tcBorders>
            <w:vAlign w:val="center"/>
          </w:tcPr>
          <w:p w14:paraId="1031D7F5"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Cor Total</w:t>
            </w:r>
          </w:p>
        </w:tc>
        <w:tc>
          <w:tcPr>
            <w:tcW w:w="1420" w:type="dxa"/>
            <w:tcBorders>
              <w:top w:val="nil"/>
              <w:left w:val="nil"/>
              <w:bottom w:val="nil"/>
              <w:right w:val="nil"/>
            </w:tcBorders>
            <w:vAlign w:val="center"/>
          </w:tcPr>
          <w:p w14:paraId="63368CD2"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331.56</w:t>
            </w:r>
          </w:p>
        </w:tc>
        <w:tc>
          <w:tcPr>
            <w:tcW w:w="1420" w:type="dxa"/>
            <w:tcBorders>
              <w:top w:val="nil"/>
              <w:left w:val="nil"/>
              <w:bottom w:val="nil"/>
              <w:right w:val="nil"/>
            </w:tcBorders>
            <w:vAlign w:val="center"/>
          </w:tcPr>
          <w:p w14:paraId="3EC544AF"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16</w:t>
            </w:r>
          </w:p>
        </w:tc>
        <w:tc>
          <w:tcPr>
            <w:tcW w:w="1417" w:type="dxa"/>
            <w:tcBorders>
              <w:top w:val="nil"/>
              <w:left w:val="nil"/>
              <w:bottom w:val="nil"/>
              <w:right w:val="nil"/>
            </w:tcBorders>
            <w:vAlign w:val="center"/>
          </w:tcPr>
          <w:p w14:paraId="30E8B2BC" w14:textId="77777777" w:rsidR="00F0779B" w:rsidRDefault="00F0779B">
            <w:pPr>
              <w:widowControl/>
              <w:spacing w:line="300" w:lineRule="auto"/>
              <w:rPr>
                <w:rFonts w:cs="Times New Roman"/>
                <w:color w:val="000000"/>
                <w:kern w:val="0"/>
                <w:szCs w:val="21"/>
                <w:lang w:bidi="ar"/>
              </w:rPr>
            </w:pPr>
          </w:p>
        </w:tc>
        <w:tc>
          <w:tcPr>
            <w:tcW w:w="1421" w:type="dxa"/>
            <w:tcBorders>
              <w:top w:val="nil"/>
              <w:left w:val="nil"/>
              <w:bottom w:val="nil"/>
              <w:right w:val="nil"/>
            </w:tcBorders>
            <w:vAlign w:val="center"/>
          </w:tcPr>
          <w:p w14:paraId="6A1DA2DF" w14:textId="77777777" w:rsidR="00F0779B" w:rsidRDefault="00F0779B">
            <w:pPr>
              <w:widowControl/>
              <w:spacing w:line="300" w:lineRule="auto"/>
              <w:rPr>
                <w:rFonts w:cs="Times New Roman"/>
                <w:color w:val="000000"/>
                <w:kern w:val="0"/>
                <w:szCs w:val="21"/>
                <w:lang w:bidi="ar"/>
              </w:rPr>
            </w:pPr>
          </w:p>
        </w:tc>
        <w:tc>
          <w:tcPr>
            <w:tcW w:w="1421" w:type="dxa"/>
            <w:tcBorders>
              <w:top w:val="nil"/>
              <w:left w:val="nil"/>
              <w:bottom w:val="nil"/>
              <w:right w:val="nil"/>
            </w:tcBorders>
            <w:vAlign w:val="center"/>
          </w:tcPr>
          <w:p w14:paraId="0DFE3748" w14:textId="77777777" w:rsidR="00F0779B" w:rsidRDefault="00F0779B">
            <w:pPr>
              <w:widowControl/>
              <w:spacing w:line="300" w:lineRule="auto"/>
              <w:rPr>
                <w:rFonts w:cs="Times New Roman"/>
                <w:color w:val="000000"/>
                <w:kern w:val="0"/>
                <w:szCs w:val="21"/>
                <w:lang w:bidi="ar"/>
              </w:rPr>
            </w:pPr>
          </w:p>
        </w:tc>
      </w:tr>
      <w:tr w:rsidR="00F0779B" w14:paraId="62F23A5D" w14:textId="77777777">
        <w:trPr>
          <w:trHeight w:val="340"/>
        </w:trPr>
        <w:tc>
          <w:tcPr>
            <w:tcW w:w="1420" w:type="dxa"/>
            <w:tcBorders>
              <w:top w:val="nil"/>
              <w:left w:val="nil"/>
              <w:bottom w:val="nil"/>
              <w:right w:val="nil"/>
            </w:tcBorders>
            <w:vAlign w:val="center"/>
          </w:tcPr>
          <w:p w14:paraId="23729065" w14:textId="77777777" w:rsidR="00F0779B" w:rsidRDefault="00F0779B">
            <w:pPr>
              <w:widowControl/>
              <w:spacing w:line="300" w:lineRule="auto"/>
              <w:rPr>
                <w:rFonts w:cs="Times New Roman"/>
                <w:color w:val="000000"/>
                <w:kern w:val="0"/>
                <w:szCs w:val="21"/>
                <w:lang w:bidi="ar"/>
              </w:rPr>
            </w:pPr>
          </w:p>
        </w:tc>
        <w:tc>
          <w:tcPr>
            <w:tcW w:w="1420" w:type="dxa"/>
            <w:tcBorders>
              <w:top w:val="nil"/>
              <w:left w:val="nil"/>
              <w:bottom w:val="nil"/>
              <w:right w:val="nil"/>
            </w:tcBorders>
            <w:vAlign w:val="center"/>
          </w:tcPr>
          <w:p w14:paraId="7D1A4808" w14:textId="77777777" w:rsidR="00F0779B" w:rsidRDefault="00F0779B">
            <w:pPr>
              <w:widowControl/>
              <w:spacing w:line="300" w:lineRule="auto"/>
              <w:rPr>
                <w:rFonts w:cs="Times New Roman"/>
                <w:color w:val="000000"/>
                <w:kern w:val="0"/>
                <w:szCs w:val="21"/>
                <w:lang w:bidi="ar"/>
              </w:rPr>
            </w:pPr>
          </w:p>
        </w:tc>
        <w:tc>
          <w:tcPr>
            <w:tcW w:w="5679" w:type="dxa"/>
            <w:gridSpan w:val="4"/>
            <w:tcBorders>
              <w:top w:val="nil"/>
              <w:left w:val="nil"/>
              <w:bottom w:val="nil"/>
              <w:right w:val="nil"/>
            </w:tcBorders>
            <w:vAlign w:val="center"/>
          </w:tcPr>
          <w:p w14:paraId="744A56D6"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R</w:t>
            </w:r>
            <w:r>
              <w:rPr>
                <w:rFonts w:cs="Times New Roman" w:hint="eastAsia"/>
                <w:color w:val="000000"/>
                <w:kern w:val="0"/>
                <w:szCs w:val="21"/>
                <w:vertAlign w:val="superscript"/>
                <w:lang w:bidi="ar"/>
              </w:rPr>
              <w:t>2</w:t>
            </w:r>
            <w:r>
              <w:rPr>
                <w:rFonts w:cs="Times New Roman" w:hint="eastAsia"/>
                <w:color w:val="000000"/>
                <w:kern w:val="0"/>
                <w:szCs w:val="21"/>
                <w:lang w:bidi="ar"/>
              </w:rPr>
              <w:t>=0.9795          C.V%=5.81</w:t>
            </w:r>
          </w:p>
        </w:tc>
      </w:tr>
      <w:tr w:rsidR="00F0779B" w14:paraId="1BEC0E35" w14:textId="77777777">
        <w:trPr>
          <w:trHeight w:val="340"/>
        </w:trPr>
        <w:tc>
          <w:tcPr>
            <w:tcW w:w="1420" w:type="dxa"/>
            <w:tcBorders>
              <w:top w:val="nil"/>
              <w:left w:val="nil"/>
              <w:bottom w:val="single" w:sz="12" w:space="0" w:color="auto"/>
              <w:right w:val="nil"/>
            </w:tcBorders>
            <w:vAlign w:val="center"/>
          </w:tcPr>
          <w:p w14:paraId="01B5EDE9" w14:textId="77777777" w:rsidR="00F0779B" w:rsidRDefault="00F0779B">
            <w:pPr>
              <w:widowControl/>
              <w:spacing w:line="300" w:lineRule="auto"/>
              <w:rPr>
                <w:rFonts w:cs="Times New Roman"/>
                <w:color w:val="000000"/>
                <w:kern w:val="0"/>
                <w:szCs w:val="21"/>
                <w:lang w:bidi="ar"/>
              </w:rPr>
            </w:pPr>
          </w:p>
        </w:tc>
        <w:tc>
          <w:tcPr>
            <w:tcW w:w="1420" w:type="dxa"/>
            <w:tcBorders>
              <w:top w:val="nil"/>
              <w:left w:val="nil"/>
              <w:bottom w:val="single" w:sz="12" w:space="0" w:color="auto"/>
              <w:right w:val="nil"/>
            </w:tcBorders>
            <w:vAlign w:val="center"/>
          </w:tcPr>
          <w:p w14:paraId="3B74BB3E" w14:textId="77777777" w:rsidR="00F0779B" w:rsidRDefault="00F0779B">
            <w:pPr>
              <w:widowControl/>
              <w:spacing w:line="300" w:lineRule="auto"/>
              <w:rPr>
                <w:rFonts w:cs="Times New Roman"/>
                <w:color w:val="000000"/>
                <w:kern w:val="0"/>
                <w:szCs w:val="21"/>
                <w:lang w:bidi="ar"/>
              </w:rPr>
            </w:pPr>
          </w:p>
        </w:tc>
        <w:tc>
          <w:tcPr>
            <w:tcW w:w="5679" w:type="dxa"/>
            <w:gridSpan w:val="4"/>
            <w:tcBorders>
              <w:top w:val="nil"/>
              <w:left w:val="nil"/>
              <w:bottom w:val="single" w:sz="12" w:space="0" w:color="auto"/>
              <w:right w:val="nil"/>
            </w:tcBorders>
            <w:vAlign w:val="center"/>
          </w:tcPr>
          <w:p w14:paraId="08400AD4" w14:textId="77777777" w:rsidR="00F0779B" w:rsidRDefault="00840882">
            <w:pPr>
              <w:widowControl/>
              <w:spacing w:line="300" w:lineRule="auto"/>
              <w:rPr>
                <w:rFonts w:cs="Times New Roman"/>
                <w:color w:val="000000"/>
                <w:kern w:val="0"/>
                <w:szCs w:val="21"/>
                <w:lang w:bidi="ar"/>
              </w:rPr>
            </w:pPr>
            <w:r>
              <w:rPr>
                <w:rFonts w:cs="Times New Roman" w:hint="eastAsia"/>
                <w:color w:val="000000"/>
                <w:kern w:val="0"/>
                <w:szCs w:val="21"/>
                <w:lang w:bidi="ar"/>
              </w:rPr>
              <w:t>R</w:t>
            </w:r>
            <w:r>
              <w:rPr>
                <w:rFonts w:cs="Times New Roman" w:hint="eastAsia"/>
                <w:color w:val="000000"/>
                <w:kern w:val="0"/>
                <w:szCs w:val="21"/>
                <w:vertAlign w:val="subscript"/>
                <w:lang w:bidi="ar"/>
              </w:rPr>
              <w:t>Adj</w:t>
            </w:r>
            <w:r>
              <w:rPr>
                <w:rFonts w:cs="Times New Roman" w:hint="eastAsia"/>
                <w:color w:val="000000"/>
                <w:kern w:val="0"/>
                <w:szCs w:val="21"/>
                <w:vertAlign w:val="superscript"/>
                <w:lang w:bidi="ar"/>
              </w:rPr>
              <w:t>2</w:t>
            </w:r>
            <w:r>
              <w:rPr>
                <w:rFonts w:cs="Times New Roman" w:hint="eastAsia"/>
                <w:color w:val="000000"/>
                <w:kern w:val="0"/>
                <w:szCs w:val="21"/>
                <w:lang w:bidi="ar"/>
              </w:rPr>
              <w:t xml:space="preserve">=0.9532        S/N=19.8363                </w:t>
            </w:r>
          </w:p>
        </w:tc>
      </w:tr>
    </w:tbl>
    <w:p w14:paraId="49E9BAA8" w14:textId="77777777" w:rsidR="00F0779B" w:rsidRDefault="00840882">
      <w:pPr>
        <w:widowControl w:val="0"/>
        <w:spacing w:before="0" w:beforeAutospacing="0"/>
        <w:ind w:firstLineChars="700" w:firstLine="147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Table 9. Analysis of variance for </w:t>
      </w:r>
      <w:r>
        <w:rPr>
          <w:rFonts w:ascii="Times New Roman" w:hAnsi="Times New Roman" w:cs="Times New Roman" w:hint="eastAsia"/>
          <w:color w:val="000000" w:themeColor="text1"/>
          <w:szCs w:val="21"/>
        </w:rPr>
        <w:t>quadratic model test results</w:t>
      </w:r>
    </w:p>
    <w:p w14:paraId="26AA89BD" w14:textId="77777777" w:rsidR="00F0779B" w:rsidRDefault="00F0779B">
      <w:pPr>
        <w:widowControl w:val="0"/>
        <w:spacing w:before="0" w:beforeAutospacing="0"/>
        <w:ind w:firstLineChars="700" w:firstLine="1470"/>
        <w:jc w:val="both"/>
        <w:rPr>
          <w:rFonts w:ascii="Times New Roman" w:hAnsi="Times New Roman" w:cs="Times New Roman"/>
          <w:color w:val="000000" w:themeColor="text1"/>
          <w:szCs w:val="21"/>
        </w:rPr>
      </w:pPr>
    </w:p>
    <w:p w14:paraId="7772CECE" w14:textId="77777777" w:rsidR="00F0779B" w:rsidRDefault="00840882">
      <w:pPr>
        <w:widowControl w:val="0"/>
        <w:spacing w:before="0" w:beforeAutospacing="0"/>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As shown in Table 9, the regression model for the 28-day compressive strength of mortar is highly significant with P&lt;0.0001; the lack-of-fit term 0.3279&gt;0.05, not significant, indicating that the model has a high degree of fit</w:t>
      </w:r>
      <w:r>
        <w:rPr>
          <w:rFonts w:ascii="Times New Roman" w:hAnsi="Times New Roman" w:cs="Times New Roman" w:hint="eastAsia"/>
          <w:color w:val="000000" w:themeColor="text1"/>
          <w:szCs w:val="21"/>
        </w:rPr>
        <w:t xml:space="preserve"> and is highly reliable. The coefficient of determination R</w:t>
      </w:r>
      <w:r>
        <w:rPr>
          <w:rFonts w:ascii="Times New Roman" w:hAnsi="Times New Roman" w:cs="Times New Roman" w:hint="eastAsia"/>
          <w:color w:val="000000" w:themeColor="text1"/>
          <w:szCs w:val="21"/>
        </w:rPr>
        <w:t>²</w:t>
      </w:r>
      <w:r>
        <w:rPr>
          <w:rFonts w:ascii="Times New Roman" w:hAnsi="Times New Roman" w:cs="Times New Roman" w:hint="eastAsia"/>
          <w:color w:val="000000" w:themeColor="text1"/>
          <w:szCs w:val="21"/>
        </w:rPr>
        <w:t>=0.9795 and the adjusted R</w:t>
      </w:r>
      <w:r>
        <w:rPr>
          <w:rFonts w:ascii="Times New Roman" w:hAnsi="Times New Roman" w:cs="Times New Roman" w:hint="eastAsia"/>
          <w:color w:val="000000" w:themeColor="text1"/>
          <w:szCs w:val="21"/>
        </w:rPr>
        <w:t>²</w:t>
      </w:r>
      <w:r>
        <w:rPr>
          <w:rFonts w:ascii="Times New Roman" w:hAnsi="Times New Roman" w:cs="Times New Roman" w:hint="eastAsia"/>
          <w:color w:val="000000" w:themeColor="text1"/>
          <w:szCs w:val="21"/>
        </w:rPr>
        <w:t xml:space="preserve">=0.9532 both approach 1, indicating a good model fit. About 97.95% of the 28-day mortar compressive strength is affected by the content of fly ash, desulfurized gypsum, </w:t>
      </w:r>
      <w:r>
        <w:rPr>
          <w:rFonts w:ascii="Times New Roman" w:hAnsi="Times New Roman" w:cs="Times New Roman" w:hint="eastAsia"/>
          <w:color w:val="000000" w:themeColor="text1"/>
          <w:szCs w:val="21"/>
        </w:rPr>
        <w:t>and carbide slag in the slurry. The coefficient of variation (C.V%) is 5.81&lt;10, indicating small differences between data points and that the regression model for the 28-day mortar compressive strength is highly reliable. The signal-to-noise ratio (S/N) re</w:t>
      </w:r>
      <w:r>
        <w:rPr>
          <w:rFonts w:ascii="Times New Roman" w:hAnsi="Times New Roman" w:cs="Times New Roman" w:hint="eastAsia"/>
          <w:color w:val="000000" w:themeColor="text1"/>
          <w:szCs w:val="21"/>
        </w:rPr>
        <w:t>presents the ratio of information that can be explained by the model to information that cannot, with S/N=19.8363&gt;4, further indicating that the model is highly reliable. Therefore, this regression model can be used to analyze the effect of slurry proporti</w:t>
      </w:r>
      <w:r>
        <w:rPr>
          <w:rFonts w:ascii="Times New Roman" w:hAnsi="Times New Roman" w:cs="Times New Roman" w:hint="eastAsia"/>
          <w:color w:val="000000" w:themeColor="text1"/>
          <w:szCs w:val="21"/>
        </w:rPr>
        <w:t xml:space="preserve">ons of fly ash, desulfurized gypsum, carbide slag, and slag on the 28-day compressive strength of mortar.  </w:t>
      </w:r>
    </w:p>
    <w:p w14:paraId="0A74A90E" w14:textId="77777777" w:rsidR="00F0779B" w:rsidRDefault="00840882">
      <w:pPr>
        <w:widowControl w:val="0"/>
        <w:spacing w:before="0" w:beforeAutospacing="0"/>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Analysis of variance shows that the fly ash content in the slurry (A, P&lt;0.001) and desulfurized gypsum content (B, P&lt;0.001) have extremely significa</w:t>
      </w:r>
      <w:r>
        <w:rPr>
          <w:rFonts w:ascii="Times New Roman" w:hAnsi="Times New Roman" w:cs="Times New Roman" w:hint="eastAsia"/>
          <w:color w:val="000000" w:themeColor="text1"/>
          <w:szCs w:val="21"/>
        </w:rPr>
        <w:t xml:space="preserve">nt effects on the 28-day compressive strength of mortar, while carbide slag (C, P&lt;0.1) has a significant effect. The order of </w:t>
      </w:r>
      <w:r>
        <w:rPr>
          <w:rFonts w:ascii="Times New Roman" w:hAnsi="Times New Roman" w:cs="Times New Roman" w:hint="eastAsia"/>
          <w:color w:val="000000" w:themeColor="text1"/>
          <w:szCs w:val="21"/>
        </w:rPr>
        <w:lastRenderedPageBreak/>
        <w:t>influence of the single factors is A&gt;B&gt;C. Among the interaction terms, the interaction of the activator content in the slurry (BC,</w:t>
      </w:r>
      <w:r>
        <w:rPr>
          <w:rFonts w:ascii="Times New Roman" w:hAnsi="Times New Roman" w:cs="Times New Roman" w:hint="eastAsia"/>
          <w:color w:val="000000" w:themeColor="text1"/>
          <w:szCs w:val="21"/>
        </w:rPr>
        <w:t xml:space="preserve"> P&lt;0.05) has the greatest effect on the 28-day compressive strength of mortar; the interaction of fly ash in the slurry (AB, P&gt;0.05) has the least effect. The sequence of interaction effects is BC&gt;AC&gt;AB. According to the fitted equation, the optimal mix ra</w:t>
      </w:r>
      <w:r>
        <w:rPr>
          <w:rFonts w:ascii="Times New Roman" w:hAnsi="Times New Roman" w:cs="Times New Roman" w:hint="eastAsia"/>
          <w:color w:val="000000" w:themeColor="text1"/>
          <w:szCs w:val="21"/>
        </w:rPr>
        <w:t>tio is: fly ash content of 31.3%, slag 50.2%, desulfurized gypsum content 8.8%, and carbide slag content 9.7%, with a measured 28-day compressive strength of 24.81 MPa.</w:t>
      </w:r>
    </w:p>
    <w:p w14:paraId="38862713" w14:textId="77777777" w:rsidR="00F0779B" w:rsidRDefault="00840882">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4.Conclusion</w:t>
      </w:r>
    </w:p>
    <w:p w14:paraId="0D95C518" w14:textId="77777777" w:rsidR="00F0779B" w:rsidRDefault="00840882">
      <w:pPr>
        <w:widowControl w:val="0"/>
        <w:spacing w:before="0" w:beforeAutospacing="0"/>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This study took fly ash and S95 grade granulated blast furnace slag powder</w:t>
      </w:r>
      <w:r>
        <w:rPr>
          <w:rFonts w:ascii="Times New Roman" w:hAnsi="Times New Roman" w:cs="Times New Roman" w:hint="eastAsia"/>
          <w:color w:val="000000" w:themeColor="text1"/>
          <w:szCs w:val="21"/>
        </w:rPr>
        <w:t xml:space="preserve"> as the main solid waste base materials, carbide slag and desulfurized gypsum as composite activators, and adopted the response surface method to optimize the proportion of all-solid waste cementitious materials. It explored the influence laws of fly ash, </w:t>
      </w:r>
      <w:r>
        <w:rPr>
          <w:rFonts w:ascii="Times New Roman" w:hAnsi="Times New Roman" w:cs="Times New Roman" w:hint="eastAsia"/>
          <w:color w:val="000000" w:themeColor="text1"/>
          <w:szCs w:val="21"/>
        </w:rPr>
        <w:t>desulfurized gypsum and carbide slag content on the 28-day compressive strength of the materials and the interaction between various factors, and obtained the following core conclusions:</w:t>
      </w:r>
      <w:r>
        <w:rPr>
          <w:rFonts w:ascii="Times New Roman" w:hAnsi="Times New Roman" w:cs="Times New Roman"/>
          <w:color w:val="000000" w:themeColor="text1"/>
          <w:szCs w:val="21"/>
        </w:rPr>
        <w:t xml:space="preserve"> </w:t>
      </w:r>
    </w:p>
    <w:p w14:paraId="45B6DE3E" w14:textId="77777777" w:rsidR="00F0779B" w:rsidRDefault="00840882">
      <w:pPr>
        <w:widowControl w:val="0"/>
        <w:numPr>
          <w:ilvl w:val="0"/>
          <w:numId w:val="2"/>
        </w:numPr>
        <w:spacing w:before="0" w:beforeAutospacing="0"/>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There are significant differences in the influence degree of single </w:t>
      </w:r>
      <w:r>
        <w:rPr>
          <w:rFonts w:ascii="Times New Roman" w:hAnsi="Times New Roman" w:cs="Times New Roman" w:hint="eastAsia"/>
          <w:color w:val="000000" w:themeColor="text1"/>
          <w:szCs w:val="21"/>
        </w:rPr>
        <w:t>factors on the 28-day compressive strength of cementitious materials, in the order of fly ash content &gt; desulfurized gypsum content &gt; carbide slag content from high to low. The increase of fly ash content will significantly reduce the material strength, be</w:t>
      </w:r>
      <w:r>
        <w:rPr>
          <w:rFonts w:ascii="Times New Roman" w:hAnsi="Times New Roman" w:cs="Times New Roman" w:hint="eastAsia"/>
          <w:color w:val="000000" w:themeColor="text1"/>
          <w:szCs w:val="21"/>
        </w:rPr>
        <w:t>cause the CaO content of fly ash is extremely low, and the increase of its proportion will lead to insufficient active CaO in the system, making it difficult to form a sufficient amount of gel with high calcium-silicon ratio and resulting in a loose struct</w:t>
      </w:r>
      <w:r>
        <w:rPr>
          <w:rFonts w:ascii="Times New Roman" w:hAnsi="Times New Roman" w:cs="Times New Roman" w:hint="eastAsia"/>
          <w:color w:val="000000" w:themeColor="text1"/>
          <w:szCs w:val="21"/>
        </w:rPr>
        <w:t>ure.</w:t>
      </w:r>
    </w:p>
    <w:p w14:paraId="1378D707" w14:textId="77777777" w:rsidR="00F0779B" w:rsidRDefault="00840882">
      <w:pPr>
        <w:widowControl w:val="0"/>
        <w:numPr>
          <w:ilvl w:val="0"/>
          <w:numId w:val="2"/>
        </w:numPr>
        <w:spacing w:before="0" w:beforeAutospacing="0"/>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The content of composite activator has a nonlinear effect on the strength: an appropriate amount can effectively improve the strength, while an excessive amount will produce an inhibitory effect. A small amount of carbide slag can provide a strong alk</w:t>
      </w:r>
      <w:r>
        <w:rPr>
          <w:rFonts w:ascii="Times New Roman" w:hAnsi="Times New Roman" w:cs="Times New Roman" w:hint="eastAsia"/>
          <w:color w:val="000000" w:themeColor="text1"/>
          <w:szCs w:val="21"/>
        </w:rPr>
        <w:t>aline environment to promote the dissolution of aluminosilicate, but an excessively high content will lead to an imbalance of system alkalinity, occupy the space of active components such as slag, and affect the stable cross-linking of gel in the later sta</w:t>
      </w:r>
      <w:r>
        <w:rPr>
          <w:rFonts w:ascii="Times New Roman" w:hAnsi="Times New Roman" w:cs="Times New Roman" w:hint="eastAsia"/>
          <w:color w:val="000000" w:themeColor="text1"/>
          <w:szCs w:val="21"/>
        </w:rPr>
        <w:t>ge; desulfurized gypsum and carbide slag can synergistically activate the activity of slag and fly ash and promote the symbiosis of multiple gels, while the high content of both will introduce excessive SO</w:t>
      </w:r>
      <w:r>
        <w:rPr>
          <w:rFonts w:ascii="Times New Roman" w:hAnsi="Times New Roman" w:cs="Times New Roman" w:hint="eastAsia"/>
          <w:color w:val="000000" w:themeColor="text1"/>
          <w:szCs w:val="21"/>
          <w:vertAlign w:val="subscript"/>
        </w:rPr>
        <w:t>3</w:t>
      </w:r>
      <w:r>
        <w:rPr>
          <w:rFonts w:ascii="Times New Roman" w:hAnsi="Times New Roman" w:cs="Times New Roman" w:hint="eastAsia"/>
          <w:color w:val="000000" w:themeColor="text1"/>
          <w:szCs w:val="21"/>
        </w:rPr>
        <w:t xml:space="preserve"> and CaO, causing an imbalance in product composit</w:t>
      </w:r>
      <w:r>
        <w:rPr>
          <w:rFonts w:ascii="Times New Roman" w:hAnsi="Times New Roman" w:cs="Times New Roman" w:hint="eastAsia"/>
          <w:color w:val="000000" w:themeColor="text1"/>
          <w:szCs w:val="21"/>
        </w:rPr>
        <w:t>ion and a sharp drop in strength.</w:t>
      </w:r>
    </w:p>
    <w:p w14:paraId="1DDDED9A" w14:textId="77777777" w:rsidR="00F0779B" w:rsidRDefault="00840882">
      <w:pPr>
        <w:widowControl w:val="0"/>
        <w:numPr>
          <w:ilvl w:val="0"/>
          <w:numId w:val="2"/>
        </w:numPr>
        <w:spacing w:before="0" w:beforeAutospacing="0"/>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Among the interactions between various factors, the interaction between desulfurized gypsum and carbide slag has an extremely significant effect on strength, while the interactions between fly ash and desulfurized gypsum, </w:t>
      </w:r>
      <w:r>
        <w:rPr>
          <w:rFonts w:ascii="Times New Roman" w:hAnsi="Times New Roman" w:cs="Times New Roman" w:hint="eastAsia"/>
          <w:color w:val="000000" w:themeColor="text1"/>
          <w:szCs w:val="21"/>
        </w:rPr>
        <w:t>and fly ash and carbide slag have no significant effect. There is an optimal synergistic dosage range for the composite activator: the material strength reaches a peak when 9%~11% desulfurized gypsum is combined with 9%~11% carbide slag. Beyond this range,</w:t>
      </w:r>
      <w:r>
        <w:rPr>
          <w:rFonts w:ascii="Times New Roman" w:hAnsi="Times New Roman" w:cs="Times New Roman" w:hint="eastAsia"/>
          <w:color w:val="000000" w:themeColor="text1"/>
          <w:szCs w:val="21"/>
        </w:rPr>
        <w:t xml:space="preserve"> the strength shows a downward trend regardless of the high content of a single component or both components.</w:t>
      </w:r>
    </w:p>
    <w:p w14:paraId="65F1006A" w14:textId="77777777" w:rsidR="00F0779B" w:rsidRDefault="00840882">
      <w:pPr>
        <w:widowControl w:val="0"/>
        <w:numPr>
          <w:ilvl w:val="0"/>
          <w:numId w:val="2"/>
        </w:numPr>
        <w:spacing w:before="0" w:beforeAutospacing="0"/>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The quadratic regression model of 28-day compressive strength fitted based on the response surface test data has extremely high fitting degree and</w:t>
      </w:r>
      <w:r>
        <w:rPr>
          <w:rFonts w:ascii="Times New Roman" w:hAnsi="Times New Roman" w:cs="Times New Roman" w:hint="eastAsia"/>
          <w:color w:val="000000" w:themeColor="text1"/>
          <w:szCs w:val="21"/>
        </w:rPr>
        <w:t xml:space="preserve"> reliability (P&lt;0.0001, R</w:t>
      </w:r>
      <w:r>
        <w:rPr>
          <w:rFonts w:ascii="Times New Roman" w:hAnsi="Times New Roman" w:cs="Times New Roman" w:hint="eastAsia"/>
          <w:color w:val="000000" w:themeColor="text1"/>
          <w:szCs w:val="21"/>
        </w:rPr>
        <w:t>²</w:t>
      </w:r>
      <w:r>
        <w:rPr>
          <w:rFonts w:ascii="Times New Roman" w:hAnsi="Times New Roman" w:cs="Times New Roman" w:hint="eastAsia"/>
          <w:color w:val="000000" w:themeColor="text1"/>
          <w:szCs w:val="21"/>
        </w:rPr>
        <w:t>=0.9795), which can effectively analyze the influence of various proportions on the material strength. Through this model, the optimal proportion of cementitious materials in the research system is determined as follows: fly ash 3</w:t>
      </w:r>
      <w:r>
        <w:rPr>
          <w:rFonts w:ascii="Times New Roman" w:hAnsi="Times New Roman" w:cs="Times New Roman" w:hint="eastAsia"/>
          <w:color w:val="000000" w:themeColor="text1"/>
          <w:szCs w:val="21"/>
        </w:rPr>
        <w:t>1.3%, slag powder 50.2%, desulfurized gypsum 8.8%, and carbide slag 9.7%. The measured 28-day compressive strength of the material under this proportion can reach 24.81 MPa.</w:t>
      </w:r>
    </w:p>
    <w:p w14:paraId="69A9C9AF" w14:textId="77777777" w:rsidR="00F0779B" w:rsidRDefault="00840882">
      <w:pPr>
        <w:widowControl w:val="0"/>
        <w:numPr>
          <w:ilvl w:val="0"/>
          <w:numId w:val="2"/>
        </w:numPr>
        <w:spacing w:before="0" w:beforeAutospacing="0"/>
        <w:ind w:firstLineChars="200" w:firstLine="42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lastRenderedPageBreak/>
        <w:t>The relative ratio of fly ash to slag determines the balance of calcium, silicon a</w:t>
      </w:r>
      <w:r>
        <w:rPr>
          <w:rFonts w:ascii="Times New Roman" w:hAnsi="Times New Roman" w:cs="Times New Roman" w:hint="eastAsia"/>
          <w:color w:val="000000" w:themeColor="text1"/>
          <w:szCs w:val="21"/>
        </w:rPr>
        <w:t>nd aluminum sources in the system and directly affects the formation of the basic skeleton of the gel; desulfurized gypsum and carbide slag can promote the depolymerization and recombination of the aluminosilicate network at an appropriate dosage, which is</w:t>
      </w:r>
      <w:r>
        <w:rPr>
          <w:rFonts w:ascii="Times New Roman" w:hAnsi="Times New Roman" w:cs="Times New Roman" w:hint="eastAsia"/>
          <w:color w:val="000000" w:themeColor="text1"/>
          <w:szCs w:val="21"/>
        </w:rPr>
        <w:t xml:space="preserve"> the key to regulating the strength of solid waste cementitious materials, and the synergistic matching of each component is the core to realize the high performance of all-solid waste cementitious materials.</w:t>
      </w:r>
    </w:p>
    <w:p w14:paraId="31AB1CFC" w14:textId="7C9D83DE" w:rsidR="00F0779B" w:rsidRDefault="005233E7">
      <w:pPr>
        <w:widowControl w:val="0"/>
        <w:spacing w:before="0" w:beforeAutospacing="0"/>
        <w:jc w:val="both"/>
        <w:rPr>
          <w:rFonts w:ascii="Times New Roman" w:eastAsia="SimSun" w:hAnsi="Times New Roman" w:cs="Times New Roman"/>
          <w:b/>
          <w:color w:val="000000"/>
          <w:sz w:val="32"/>
          <w:szCs w:val="21"/>
          <w:u w:color="000000"/>
        </w:rPr>
      </w:pPr>
      <w:r>
        <w:rPr>
          <w:rFonts w:ascii="Times New Roman" w:eastAsia="SimSun" w:hAnsi="Times New Roman" w:cs="Times New Roman"/>
          <w:b/>
          <w:color w:val="000000"/>
          <w:sz w:val="32"/>
          <w:szCs w:val="21"/>
          <w:u w:color="000000"/>
        </w:rPr>
        <w:t xml:space="preserve">References </w:t>
      </w:r>
    </w:p>
    <w:p w14:paraId="0C83C44B" w14:textId="77777777" w:rsidR="00F0779B" w:rsidRDefault="00840882">
      <w:pPr>
        <w:widowControl w:val="0"/>
        <w:numPr>
          <w:ilvl w:val="0"/>
          <w:numId w:val="3"/>
        </w:numPr>
        <w:spacing w:before="0" w:beforeAutospacing="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Li Y X, Chen Y M, He X Y, et al. Fractal dimension of pore volume of fly ash-cement paste and its relationship with pore structure and strength[J]. Journal of the Chinese Ceramic Society, 2003, 31(8):774</w:t>
      </w:r>
      <w:r>
        <w:rPr>
          <w:rFonts w:ascii="Times New Roman" w:hAnsi="Times New Roman" w:cs="Times New Roman" w:hint="eastAsia"/>
          <w:color w:val="000000" w:themeColor="text1"/>
          <w:szCs w:val="21"/>
        </w:rPr>
        <w:t>–</w:t>
      </w:r>
      <w:r>
        <w:rPr>
          <w:rFonts w:ascii="Times New Roman" w:hAnsi="Times New Roman" w:cs="Times New Roman" w:hint="eastAsia"/>
          <w:color w:val="000000" w:themeColor="text1"/>
          <w:szCs w:val="21"/>
        </w:rPr>
        <w:t>779.</w:t>
      </w:r>
    </w:p>
    <w:p w14:paraId="360E356F" w14:textId="77777777" w:rsidR="00F0779B" w:rsidRDefault="00840882">
      <w:pPr>
        <w:widowControl w:val="0"/>
        <w:numPr>
          <w:ilvl w:val="0"/>
          <w:numId w:val="3"/>
        </w:numPr>
        <w:spacing w:before="0" w:beforeAutospacing="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Xu J, Li T, Liang X L. Review on research </w:t>
      </w:r>
      <w:r>
        <w:rPr>
          <w:rFonts w:ascii="Times New Roman" w:hAnsi="Times New Roman" w:cs="Times New Roman" w:hint="eastAsia"/>
          <w:color w:val="000000" w:themeColor="text1"/>
          <w:szCs w:val="21"/>
        </w:rPr>
        <w:t>progress of fly ash utilization technology[J]. Journal of Chifeng University (Natural Science Edition), 2019, 35(06):108-110.</w:t>
      </w:r>
    </w:p>
    <w:p w14:paraId="5A24A20A" w14:textId="77777777" w:rsidR="00F0779B" w:rsidRDefault="00840882">
      <w:pPr>
        <w:widowControl w:val="0"/>
        <w:numPr>
          <w:ilvl w:val="0"/>
          <w:numId w:val="3"/>
        </w:numPr>
        <w:spacing w:before="0" w:beforeAutospacing="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Tan X Y, Chen J </w:t>
      </w:r>
      <w:proofErr w:type="spellStart"/>
      <w:r>
        <w:rPr>
          <w:rFonts w:ascii="Times New Roman" w:hAnsi="Times New Roman" w:cs="Times New Roman" w:hint="eastAsia"/>
          <w:color w:val="000000" w:themeColor="text1"/>
          <w:szCs w:val="21"/>
        </w:rPr>
        <w:t>J</w:t>
      </w:r>
      <w:proofErr w:type="spellEnd"/>
      <w:r>
        <w:rPr>
          <w:rFonts w:ascii="Times New Roman" w:hAnsi="Times New Roman" w:cs="Times New Roman" w:hint="eastAsia"/>
          <w:color w:val="000000" w:themeColor="text1"/>
          <w:szCs w:val="21"/>
        </w:rPr>
        <w:t>, Huang C J, et al. Study on the effect of fly ash content on shrinkage performance of alkali-activated slag ceme</w:t>
      </w:r>
      <w:r>
        <w:rPr>
          <w:rFonts w:ascii="Times New Roman" w:hAnsi="Times New Roman" w:cs="Times New Roman" w:hint="eastAsia"/>
          <w:color w:val="000000" w:themeColor="text1"/>
          <w:szCs w:val="21"/>
        </w:rPr>
        <w:t>ntitious materials[J]. Technical Supervision in Water Resources, 2026, (04):244-246.</w:t>
      </w:r>
    </w:p>
    <w:p w14:paraId="4A6934BF" w14:textId="77777777" w:rsidR="00F0779B" w:rsidRDefault="00840882">
      <w:pPr>
        <w:widowControl w:val="0"/>
        <w:numPr>
          <w:ilvl w:val="0"/>
          <w:numId w:val="3"/>
        </w:numPr>
        <w:spacing w:before="0" w:beforeAutospacing="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Wu W B, Wang R Q. Study on mechanical and durability properties of concrete with high volume fly ash[J]. Hydraulic Science and Cold Region Engineering, 2026, 9(01):26-29.</w:t>
      </w:r>
    </w:p>
    <w:p w14:paraId="4119586E" w14:textId="77777777" w:rsidR="00F0779B" w:rsidRDefault="00840882">
      <w:pPr>
        <w:widowControl w:val="0"/>
        <w:numPr>
          <w:ilvl w:val="0"/>
          <w:numId w:val="3"/>
        </w:numPr>
        <w:spacing w:before="0" w:beforeAutospacing="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Chen W Z. Study on the influence of granulated blast furnace slag powder content on the early strength development of concrete[J]. China Cement, 2025, (11):81-83.</w:t>
      </w:r>
    </w:p>
    <w:p w14:paraId="04625406" w14:textId="77777777" w:rsidR="00F0779B" w:rsidRDefault="00840882">
      <w:pPr>
        <w:widowControl w:val="0"/>
        <w:numPr>
          <w:ilvl w:val="0"/>
          <w:numId w:val="3"/>
        </w:numPr>
        <w:spacing w:before="0" w:beforeAutospacing="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Tan Y Q, Hong L, Zhu L </w:t>
      </w:r>
      <w:proofErr w:type="spellStart"/>
      <w:r>
        <w:rPr>
          <w:rFonts w:ascii="Times New Roman" w:hAnsi="Times New Roman" w:cs="Times New Roman" w:hint="eastAsia"/>
          <w:color w:val="000000" w:themeColor="text1"/>
          <w:szCs w:val="21"/>
        </w:rPr>
        <w:t>L</w:t>
      </w:r>
      <w:proofErr w:type="spellEnd"/>
      <w:r>
        <w:rPr>
          <w:rFonts w:ascii="Times New Roman" w:hAnsi="Times New Roman" w:cs="Times New Roman" w:hint="eastAsia"/>
          <w:color w:val="000000" w:themeColor="text1"/>
          <w:szCs w:val="21"/>
        </w:rPr>
        <w:t>, et al. Experimental study on mechanical properties and microstructu</w:t>
      </w:r>
      <w:r>
        <w:rPr>
          <w:rFonts w:ascii="Times New Roman" w:hAnsi="Times New Roman" w:cs="Times New Roman" w:hint="eastAsia"/>
          <w:color w:val="000000" w:themeColor="text1"/>
          <w:szCs w:val="21"/>
        </w:rPr>
        <w:t>re of fly ash-slag based geopolymer cementitious materials[J]. Journal of Hefei University of Technology (Natural Science Edition), 2026, 49(02):268-277.</w:t>
      </w:r>
    </w:p>
    <w:p w14:paraId="4B3E1869" w14:textId="77777777" w:rsidR="00F0779B" w:rsidRDefault="00840882">
      <w:pPr>
        <w:widowControl w:val="0"/>
        <w:numPr>
          <w:ilvl w:val="0"/>
          <w:numId w:val="3"/>
        </w:numPr>
        <w:spacing w:before="0" w:beforeAutospacing="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Hao Z, Liu X, Zhang Z, et al. In-depth insight into the cementitious synergistic effect of steel slag </w:t>
      </w:r>
      <w:r>
        <w:rPr>
          <w:rFonts w:ascii="Times New Roman" w:hAnsi="Times New Roman" w:cs="Times New Roman" w:hint="eastAsia"/>
          <w:color w:val="000000" w:themeColor="text1"/>
          <w:szCs w:val="21"/>
        </w:rPr>
        <w:t>and red mud on the properties of composite cementitious materials [J]. Journal of Building Engineering, 2022, 52: 104449.</w:t>
      </w:r>
    </w:p>
    <w:p w14:paraId="283B50C2" w14:textId="77777777" w:rsidR="00F0779B" w:rsidRDefault="00840882">
      <w:pPr>
        <w:widowControl w:val="0"/>
        <w:numPr>
          <w:ilvl w:val="0"/>
          <w:numId w:val="3"/>
        </w:numPr>
        <w:spacing w:before="0" w:beforeAutospacing="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Xu D, Ni W, Wang Q H, et al. Preparation of clinker-free concrete with alkaline slag composite cementitious materials [J]. Journal of </w:t>
      </w:r>
      <w:r>
        <w:rPr>
          <w:rFonts w:ascii="Times New Roman" w:hAnsi="Times New Roman" w:cs="Times New Roman" w:hint="eastAsia"/>
          <w:color w:val="000000" w:themeColor="text1"/>
          <w:szCs w:val="21"/>
        </w:rPr>
        <w:t>Harbin Institute of Technology, 2020, 52(8): 151-160.</w:t>
      </w:r>
    </w:p>
    <w:p w14:paraId="0695E970" w14:textId="77777777" w:rsidR="00F0779B" w:rsidRDefault="00840882">
      <w:pPr>
        <w:widowControl w:val="0"/>
        <w:numPr>
          <w:ilvl w:val="0"/>
          <w:numId w:val="3"/>
        </w:numPr>
        <w:spacing w:before="0" w:beforeAutospacing="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 xml:space="preserve">Wang J, Li X, Sun R, et al. Early-age carbonation mitigation of SSC by </w:t>
      </w:r>
      <w:proofErr w:type="spellStart"/>
      <w:r>
        <w:rPr>
          <w:rFonts w:ascii="Times New Roman" w:hAnsi="Times New Roman" w:cs="Times New Roman" w:hint="eastAsia"/>
          <w:color w:val="000000" w:themeColor="text1"/>
          <w:szCs w:val="21"/>
        </w:rPr>
        <w:t>CxS</w:t>
      </w:r>
      <w:proofErr w:type="spellEnd"/>
      <w:r>
        <w:rPr>
          <w:rFonts w:ascii="Times New Roman" w:hAnsi="Times New Roman" w:cs="Times New Roman" w:hint="eastAsia"/>
          <w:color w:val="000000" w:themeColor="text1"/>
          <w:szCs w:val="21"/>
        </w:rPr>
        <w:t xml:space="preserve"> minerals: Mechanism and Performances [J]. Construction and Building Materials, 2024, 430.</w:t>
      </w:r>
    </w:p>
    <w:p w14:paraId="402921B0" w14:textId="77777777" w:rsidR="00F0779B" w:rsidRDefault="00840882">
      <w:pPr>
        <w:widowControl w:val="0"/>
        <w:numPr>
          <w:ilvl w:val="0"/>
          <w:numId w:val="3"/>
        </w:numPr>
        <w:spacing w:before="0" w:beforeAutospacing="0"/>
        <w:jc w:val="both"/>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Wang J, Ren C, Huang T, et al. Perfor</w:t>
      </w:r>
      <w:r>
        <w:rPr>
          <w:rFonts w:ascii="Times New Roman" w:hAnsi="Times New Roman" w:cs="Times New Roman" w:hint="eastAsia"/>
          <w:color w:val="000000" w:themeColor="text1"/>
          <w:szCs w:val="21"/>
        </w:rPr>
        <w:t>mances of concrete with binder and/or aggregates replacement by all-solid waste materials [J]. Journal of Cleaner Production, 2024, 450: 141929.</w:t>
      </w:r>
    </w:p>
    <w:sectPr w:rsidR="00F0779B">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1A073" w14:textId="77777777" w:rsidR="00840882" w:rsidRDefault="00840882">
      <w:pPr>
        <w:spacing w:before="0"/>
      </w:pPr>
      <w:r>
        <w:separator/>
      </w:r>
    </w:p>
  </w:endnote>
  <w:endnote w:type="continuationSeparator" w:id="0">
    <w:p w14:paraId="3FBEE34E" w14:textId="77777777" w:rsidR="00840882" w:rsidRDefault="008408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BE7B" w14:textId="77777777" w:rsidR="007C0372" w:rsidRDefault="007C0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C6E11" w14:textId="77777777" w:rsidR="007C0372" w:rsidRDefault="007C03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E40E0" w14:textId="77777777" w:rsidR="007C0372" w:rsidRDefault="007C0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B6F20" w14:textId="77777777" w:rsidR="00840882" w:rsidRDefault="00840882">
      <w:pPr>
        <w:spacing w:before="0"/>
      </w:pPr>
      <w:r>
        <w:separator/>
      </w:r>
    </w:p>
  </w:footnote>
  <w:footnote w:type="continuationSeparator" w:id="0">
    <w:p w14:paraId="36459A86" w14:textId="77777777" w:rsidR="00840882" w:rsidRDefault="0084088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4FCE4" w14:textId="74B999F6" w:rsidR="007C0372" w:rsidRDefault="007C0372">
    <w:pPr>
      <w:pStyle w:val="Header"/>
    </w:pPr>
    <w:r>
      <w:rPr>
        <w:noProof/>
      </w:rPr>
      <w:pict w14:anchorId="64323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963813"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94893" w14:textId="3438BA9E" w:rsidR="007C0372" w:rsidRDefault="007C0372">
    <w:pPr>
      <w:pStyle w:val="Header"/>
    </w:pPr>
    <w:r>
      <w:rPr>
        <w:noProof/>
      </w:rPr>
      <w:pict w14:anchorId="34FBA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963814"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8870" w14:textId="4A1BF755" w:rsidR="007C0372" w:rsidRDefault="007C0372">
    <w:pPr>
      <w:pStyle w:val="Header"/>
    </w:pPr>
    <w:r>
      <w:rPr>
        <w:noProof/>
      </w:rPr>
      <w:pict w14:anchorId="3B085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963812"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70D0E"/>
    <w:multiLevelType w:val="multilevel"/>
    <w:tmpl w:val="29170D0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98C91A3"/>
    <w:multiLevelType w:val="singleLevel"/>
    <w:tmpl w:val="398C91A3"/>
    <w:lvl w:ilvl="0">
      <w:start w:val="1"/>
      <w:numFmt w:val="decimal"/>
      <w:suff w:val="space"/>
      <w:lvlText w:val="[%1]"/>
      <w:lvlJc w:val="left"/>
    </w:lvl>
  </w:abstractNum>
  <w:abstractNum w:abstractNumId="2" w15:restartNumberingAfterBreak="0">
    <w:nsid w:val="710E3D3C"/>
    <w:multiLevelType w:val="singleLevel"/>
    <w:tmpl w:val="710E3D3C"/>
    <w:lvl w:ilvl="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4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F67"/>
    <w:rsid w:val="000376CC"/>
    <w:rsid w:val="000413F1"/>
    <w:rsid w:val="00056DA3"/>
    <w:rsid w:val="00087CCC"/>
    <w:rsid w:val="000F3154"/>
    <w:rsid w:val="00164A09"/>
    <w:rsid w:val="001813B5"/>
    <w:rsid w:val="001B3E3E"/>
    <w:rsid w:val="001C1AA1"/>
    <w:rsid w:val="001E1FF0"/>
    <w:rsid w:val="001F1A4C"/>
    <w:rsid w:val="002331E0"/>
    <w:rsid w:val="00246B41"/>
    <w:rsid w:val="00291208"/>
    <w:rsid w:val="003161DB"/>
    <w:rsid w:val="00321027"/>
    <w:rsid w:val="00346EAE"/>
    <w:rsid w:val="00493817"/>
    <w:rsid w:val="004938E8"/>
    <w:rsid w:val="00514F34"/>
    <w:rsid w:val="005233E7"/>
    <w:rsid w:val="00541ABC"/>
    <w:rsid w:val="00593394"/>
    <w:rsid w:val="005D3CDD"/>
    <w:rsid w:val="005E4133"/>
    <w:rsid w:val="005E5F9A"/>
    <w:rsid w:val="006A0A91"/>
    <w:rsid w:val="006E7F89"/>
    <w:rsid w:val="006F0D98"/>
    <w:rsid w:val="007B7BD9"/>
    <w:rsid w:val="007C0372"/>
    <w:rsid w:val="00822AC3"/>
    <w:rsid w:val="00840882"/>
    <w:rsid w:val="00860A40"/>
    <w:rsid w:val="00884092"/>
    <w:rsid w:val="009E5083"/>
    <w:rsid w:val="009F0E93"/>
    <w:rsid w:val="00A0308D"/>
    <w:rsid w:val="00A65A76"/>
    <w:rsid w:val="00AB4B65"/>
    <w:rsid w:val="00AF4F67"/>
    <w:rsid w:val="00C03D9C"/>
    <w:rsid w:val="00C30AE0"/>
    <w:rsid w:val="00C44443"/>
    <w:rsid w:val="00C92DA9"/>
    <w:rsid w:val="00CC6EA6"/>
    <w:rsid w:val="00CD2955"/>
    <w:rsid w:val="00CE0EB4"/>
    <w:rsid w:val="00D1268E"/>
    <w:rsid w:val="00D4745B"/>
    <w:rsid w:val="00DB3E73"/>
    <w:rsid w:val="00DB7EBB"/>
    <w:rsid w:val="00DD5352"/>
    <w:rsid w:val="00DE1F45"/>
    <w:rsid w:val="00DF25F1"/>
    <w:rsid w:val="00E648D6"/>
    <w:rsid w:val="00E85BA9"/>
    <w:rsid w:val="00EE34CE"/>
    <w:rsid w:val="00F01F3C"/>
    <w:rsid w:val="00F0779B"/>
    <w:rsid w:val="00F27AA1"/>
    <w:rsid w:val="00F74EF3"/>
    <w:rsid w:val="094E3682"/>
    <w:rsid w:val="0A0E1776"/>
    <w:rsid w:val="0A667E21"/>
    <w:rsid w:val="0C4A1EDF"/>
    <w:rsid w:val="0DA41AC3"/>
    <w:rsid w:val="0EEF216E"/>
    <w:rsid w:val="0FE26F7E"/>
    <w:rsid w:val="10C36704"/>
    <w:rsid w:val="110C00AB"/>
    <w:rsid w:val="12D20E80"/>
    <w:rsid w:val="169528F0"/>
    <w:rsid w:val="1CA90EA4"/>
    <w:rsid w:val="1EDD3086"/>
    <w:rsid w:val="1F7C3EC7"/>
    <w:rsid w:val="258129BE"/>
    <w:rsid w:val="265C6F87"/>
    <w:rsid w:val="2B28436D"/>
    <w:rsid w:val="2C212804"/>
    <w:rsid w:val="2EC619E5"/>
    <w:rsid w:val="39AD3929"/>
    <w:rsid w:val="3F9212E0"/>
    <w:rsid w:val="41F83BB0"/>
    <w:rsid w:val="448F3D3D"/>
    <w:rsid w:val="4BE72A79"/>
    <w:rsid w:val="51887B62"/>
    <w:rsid w:val="52D7511B"/>
    <w:rsid w:val="59D2663D"/>
    <w:rsid w:val="5BBC1247"/>
    <w:rsid w:val="5C4C26D6"/>
    <w:rsid w:val="61371BA7"/>
    <w:rsid w:val="6FB44CE9"/>
    <w:rsid w:val="77C91495"/>
    <w:rsid w:val="7A592736"/>
    <w:rsid w:val="7F906EDC"/>
    <w:rsid w:val="7FBD6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DAFC19E"/>
  <w15:docId w15:val="{8DD26536-E759-46D5-A9FD-540C06CD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jc w:val="center"/>
    </w:pPr>
    <w:rPr>
      <w:rFonts w:asciiTheme="minorHAnsi" w:eastAsiaTheme="minorEastAsia" w:hAnsiTheme="minorHAnsi" w:cstheme="minorBidi"/>
      <w:kern w:val="2"/>
      <w:sz w:val="21"/>
      <w:szCs w:val="22"/>
      <w:lang w:val="en-US" w:eastAsia="zh-CN"/>
      <w14:ligatures w14:val="standardContextual"/>
    </w:rPr>
  </w:style>
  <w:style w:type="paragraph" w:styleId="Heading1">
    <w:name w:val="heading 1"/>
    <w:basedOn w:val="Normal"/>
    <w:next w:val="Normal"/>
    <w:link w:val="Heading1Char"/>
    <w:qFormat/>
    <w:pPr>
      <w:widowControl w:val="0"/>
      <w:spacing w:before="0" w:afterAutospacing="1"/>
      <w:jc w:val="left"/>
      <w:outlineLvl w:val="0"/>
    </w:pPr>
    <w:rPr>
      <w:rFonts w:ascii="SimSun" w:eastAsia="SimSun" w:hAnsi="SimSun" w:cs="Times New Roman" w:hint="eastAsia"/>
      <w:b/>
      <w:bCs/>
      <w:kern w:val="44"/>
      <w:sz w:val="48"/>
      <w:szCs w:val="48"/>
    </w:rPr>
  </w:style>
  <w:style w:type="paragraph" w:styleId="Heading2">
    <w:name w:val="heading 2"/>
    <w:basedOn w:val="Normal"/>
    <w:next w:val="Normal"/>
    <w:uiPriority w:val="9"/>
    <w:qFormat/>
    <w:pPr>
      <w:keepNext/>
      <w:keepLines/>
      <w:spacing w:before="260" w:after="260" w:line="416" w:lineRule="auto"/>
      <w:outlineLvl w:val="1"/>
    </w:pPr>
    <w:rPr>
      <w:rFonts w:ascii="Arial" w:eastAsia="SimHei" w:hAnsi="Arial"/>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tabs>
        <w:tab w:val="center" w:pos="4153"/>
        <w:tab w:val="right" w:pos="8306"/>
      </w:tabs>
      <w:snapToGrid w:val="0"/>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SimSun" w:eastAsia="SimSun" w:hAnsi="SimSun" w:cs="Times New Roman"/>
      <w:b/>
      <w:bCs/>
      <w:kern w:val="44"/>
      <w:sz w:val="48"/>
      <w:szCs w:val="48"/>
    </w:rPr>
  </w:style>
  <w:style w:type="character" w:styleId="Hyperlink">
    <w:name w:val="Hyperlink"/>
    <w:basedOn w:val="DefaultParagraphFont"/>
    <w:uiPriority w:val="99"/>
    <w:unhideWhenUsed/>
    <w:rsid w:val="005233E7"/>
    <w:rPr>
      <w:color w:val="0563C1" w:themeColor="hyperlink"/>
      <w:u w:val="single"/>
    </w:rPr>
  </w:style>
  <w:style w:type="character" w:styleId="UnresolvedMention">
    <w:name w:val="Unresolved Mention"/>
    <w:basedOn w:val="DefaultParagraphFont"/>
    <w:uiPriority w:val="99"/>
    <w:semiHidden/>
    <w:unhideWhenUsed/>
    <w:rsid w:val="005233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3530</Words>
  <Characters>20122</Characters>
  <Application>Microsoft Office Word</Application>
  <DocSecurity>0</DocSecurity>
  <Lines>167</Lines>
  <Paragraphs>47</Paragraphs>
  <ScaleCrop>false</ScaleCrop>
  <Company/>
  <LinksUpToDate>false</LinksUpToDate>
  <CharactersWithSpaces>23605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Jingzhong Zhang</dc:creator>
  <cp:lastModifiedBy>SDI 1084</cp:lastModifiedBy>
  <cp:revision>35</cp:revision>
  <dcterms:created xsi:type="dcterms:W3CDTF">2024-05-06T08:31:00Z</dcterms:created>
  <dcterms:modified xsi:type="dcterms:W3CDTF">2026-04-08T13:25:00Z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F09242274BB4494A8E9FFA8BE7B8362E_13</vt:lpwstr>
  </property>
  <property fmtid="{D5CDD505-2E9C-101B-9397-08002B2CF9AE}" pid="4" name="KSOTemplateDocerSaveRecord">
    <vt:lpwstr>eyJoZGlkIjoiMDZhNzE5ZTQ2MDZjNGQ4YTY4N2UyM2E5OGVkYTg1ZjQiLCJ1c2VySWQiOiIxMTU0MjkyODAxIn0=</vt:lpwstr>
  </property>
</Properties>
</file>