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47094" w14:textId="67F450AC" w:rsidR="00DF2062" w:rsidRDefault="00DF2062" w:rsidP="00DF2062">
      <w:pPr>
        <w:spacing w:after="100" w:afterAutospacing="1" w:line="240" w:lineRule="auto"/>
        <w:jc w:val="center"/>
        <w:outlineLvl w:val="0"/>
        <w:rPr>
          <w:rFonts w:ascii="Times New Roman" w:eastAsia="Times New Roman" w:hAnsi="Times New Roman" w:cs="Times New Roman"/>
          <w:b/>
          <w:bCs/>
          <w:kern w:val="36"/>
          <w:sz w:val="32"/>
          <w:szCs w:val="32"/>
          <w:lang w:eastAsia="en-IN" w:bidi="hi-IN"/>
          <w14:ligatures w14:val="none"/>
        </w:rPr>
      </w:pPr>
      <w:r w:rsidRPr="00DF2062">
        <w:rPr>
          <w:rFonts w:ascii="Times New Roman" w:eastAsia="Times New Roman" w:hAnsi="Times New Roman" w:cs="Times New Roman"/>
          <w:b/>
          <w:bCs/>
          <w:kern w:val="36"/>
          <w:sz w:val="32"/>
          <w:szCs w:val="32"/>
          <w:lang w:eastAsia="en-IN" w:bidi="hi-IN"/>
          <w14:ligatures w14:val="none"/>
        </w:rPr>
        <w:t>Impact of Cluster Frontline Demonstrations on Sesame (</w:t>
      </w:r>
      <w:r w:rsidRPr="00DF2062">
        <w:rPr>
          <w:rFonts w:ascii="Times New Roman" w:eastAsia="Times New Roman" w:hAnsi="Times New Roman" w:cs="Times New Roman"/>
          <w:b/>
          <w:bCs/>
          <w:i/>
          <w:iCs/>
          <w:kern w:val="36"/>
          <w:sz w:val="32"/>
          <w:szCs w:val="32"/>
          <w:lang w:eastAsia="en-IN" w:bidi="hi-IN"/>
          <w14:ligatures w14:val="none"/>
        </w:rPr>
        <w:t>Sesamum indicum</w:t>
      </w:r>
      <w:r w:rsidRPr="00DF2062">
        <w:rPr>
          <w:rFonts w:ascii="Times New Roman" w:eastAsia="Times New Roman" w:hAnsi="Times New Roman" w:cs="Times New Roman"/>
          <w:b/>
          <w:bCs/>
          <w:kern w:val="36"/>
          <w:sz w:val="32"/>
          <w:szCs w:val="32"/>
          <w:lang w:eastAsia="en-IN" w:bidi="hi-IN"/>
          <w14:ligatures w14:val="none"/>
        </w:rPr>
        <w:t xml:space="preserve"> L.) Productivity and Profitability in Akola District, Maharashtra</w:t>
      </w:r>
    </w:p>
    <w:p w14:paraId="20DF8F12" w14:textId="77777777" w:rsidR="00DF2062" w:rsidRPr="00DF2062" w:rsidRDefault="00DF2062" w:rsidP="00DF2062">
      <w:pPr>
        <w:spacing w:after="100" w:afterAutospacing="1" w:line="240" w:lineRule="auto"/>
        <w:rPr>
          <w:rFonts w:ascii="Times New Roman" w:eastAsia="Times New Roman" w:hAnsi="Times New Roman" w:cs="Times New Roman"/>
          <w:kern w:val="0"/>
          <w:sz w:val="28"/>
          <w:szCs w:val="28"/>
          <w:lang w:eastAsia="en-IN" w:bidi="hi-IN"/>
          <w14:ligatures w14:val="none"/>
        </w:rPr>
      </w:pPr>
      <w:bookmarkStart w:id="0" w:name="_GoBack"/>
      <w:bookmarkEnd w:id="0"/>
      <w:r w:rsidRPr="00DF2062">
        <w:rPr>
          <w:rFonts w:ascii="Times New Roman" w:eastAsia="Times New Roman" w:hAnsi="Times New Roman" w:cs="Times New Roman"/>
          <w:b/>
          <w:bCs/>
          <w:kern w:val="0"/>
          <w:sz w:val="28"/>
          <w:szCs w:val="28"/>
          <w:lang w:eastAsia="en-IN" w:bidi="hi-IN"/>
          <w14:ligatures w14:val="none"/>
        </w:rPr>
        <w:t>Abstract</w:t>
      </w:r>
    </w:p>
    <w:p w14:paraId="3B806CF2" w14:textId="77777777" w:rsidR="00DF2062" w:rsidRPr="00DF2062" w:rsidRDefault="00DF2062" w:rsidP="00DF2062">
      <w:pPr>
        <w:spacing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The present study was conducted to evaluate the impact of Cluster Frontline Demonstrations (CFLDs) on the productivity and profitability of sesame (</w:t>
      </w:r>
      <w:r w:rsidRPr="00DF2062">
        <w:rPr>
          <w:rFonts w:ascii="Times New Roman" w:eastAsia="Times New Roman" w:hAnsi="Times New Roman" w:cs="Times New Roman"/>
          <w:i/>
          <w:iCs/>
          <w:kern w:val="0"/>
          <w:sz w:val="24"/>
          <w:szCs w:val="24"/>
          <w:lang w:eastAsia="en-IN" w:bidi="hi-IN"/>
          <w14:ligatures w14:val="none"/>
        </w:rPr>
        <w:t>Sesamum indicum</w:t>
      </w:r>
      <w:r w:rsidRPr="00DF2062">
        <w:rPr>
          <w:rFonts w:ascii="Times New Roman" w:eastAsia="Times New Roman" w:hAnsi="Times New Roman" w:cs="Times New Roman"/>
          <w:kern w:val="0"/>
          <w:sz w:val="24"/>
          <w:szCs w:val="24"/>
          <w:lang w:eastAsia="en-IN" w:bidi="hi-IN"/>
          <w14:ligatures w14:val="none"/>
        </w:rPr>
        <w:t xml:space="preserve"> L.) in the Akola district of Maharashtra. Over a five-year period (2020-2024), 200 demonstrations were laid out across 80 hectares of farmers' fields. The demonstrated technologies primarily included the use of improved, high-yielding varieties (AKT-101 and NT-11) alongside recommended scientific crop management practices. Results revealed that demonstration plots consistently outperformed local farmers' practices. The mean seed yield under CFLDs ranged from 7.72 q/ha to 12.13 q/ha, registering a yield advantage of 17.43% to 26.54% over local checks. Economic analysis demonstrated higher profitability in CFLD plots, with net returns peaking at ₹36,850/ha in 2021. The demonstrations successfully bridged an average extension gap of 1.94 q/ha, providing farmers with a mean additional net return of ₹14,623/ha. Furthermore, the Incremental Benefit-Cost Ratio (IBCR) was exceptionally high, confirming the marginal efficiency of the capital invested in improved technologies. The study concludes that CFLDs are a highly effective and economically viable extension methodology for enhancing sesame production in rainfed </w:t>
      </w:r>
      <w:proofErr w:type="spellStart"/>
      <w:r w:rsidRPr="00DF2062">
        <w:rPr>
          <w:rFonts w:ascii="Times New Roman" w:eastAsia="Times New Roman" w:hAnsi="Times New Roman" w:cs="Times New Roman"/>
          <w:kern w:val="0"/>
          <w:sz w:val="24"/>
          <w:szCs w:val="24"/>
          <w:lang w:eastAsia="en-IN" w:bidi="hi-IN"/>
          <w14:ligatures w14:val="none"/>
        </w:rPr>
        <w:t>agro</w:t>
      </w:r>
      <w:proofErr w:type="spellEnd"/>
      <w:r w:rsidRPr="00DF2062">
        <w:rPr>
          <w:rFonts w:ascii="Times New Roman" w:eastAsia="Times New Roman" w:hAnsi="Times New Roman" w:cs="Times New Roman"/>
          <w:kern w:val="0"/>
          <w:sz w:val="24"/>
          <w:szCs w:val="24"/>
          <w:lang w:eastAsia="en-IN" w:bidi="hi-IN"/>
          <w14:ligatures w14:val="none"/>
        </w:rPr>
        <w:t>-ecosystems.</w:t>
      </w:r>
    </w:p>
    <w:p w14:paraId="48E05DB9" w14:textId="77777777" w:rsidR="00DF2062" w:rsidRPr="00DF2062" w:rsidRDefault="00DF2062" w:rsidP="00DF2062">
      <w:pPr>
        <w:spacing w:after="100" w:afterAutospacing="1" w:line="240" w:lineRule="auto"/>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Keywords:</w:t>
      </w:r>
      <w:r w:rsidRPr="00DF2062">
        <w:rPr>
          <w:rFonts w:ascii="Times New Roman" w:eastAsia="Times New Roman" w:hAnsi="Times New Roman" w:cs="Times New Roman"/>
          <w:kern w:val="0"/>
          <w:sz w:val="24"/>
          <w:szCs w:val="24"/>
          <w:lang w:eastAsia="en-IN" w:bidi="hi-IN"/>
          <w14:ligatures w14:val="none"/>
        </w:rPr>
        <w:t xml:space="preserve"> Sesame, Cluster Frontline Demonstrations, Yield Gap, Profitability, Incremental B:C Ratio.</w:t>
      </w:r>
    </w:p>
    <w:p w14:paraId="62786BEE" w14:textId="0602E51F" w:rsidR="00DF2062" w:rsidRPr="00DF2062" w:rsidRDefault="00DF2062" w:rsidP="00DF2062">
      <w:pPr>
        <w:spacing w:after="0" w:line="240" w:lineRule="auto"/>
        <w:rPr>
          <w:rFonts w:ascii="Times New Roman" w:eastAsia="Times New Roman" w:hAnsi="Times New Roman" w:cs="Times New Roman"/>
          <w:kern w:val="0"/>
          <w:sz w:val="24"/>
          <w:szCs w:val="24"/>
          <w:lang w:eastAsia="en-IN" w:bidi="hi-IN"/>
          <w14:ligatures w14:val="none"/>
        </w:rPr>
      </w:pPr>
    </w:p>
    <w:p w14:paraId="40D16E9D" w14:textId="77777777" w:rsidR="00DF2062" w:rsidRPr="00DF2062" w:rsidRDefault="00DF2062" w:rsidP="00DF2062">
      <w:pPr>
        <w:spacing w:after="100" w:afterAutospacing="1" w:line="240" w:lineRule="auto"/>
        <w:outlineLvl w:val="2"/>
        <w:rPr>
          <w:rFonts w:ascii="Times New Roman" w:eastAsia="Times New Roman" w:hAnsi="Times New Roman" w:cs="Times New Roman"/>
          <w:b/>
          <w:bCs/>
          <w:kern w:val="0"/>
          <w:sz w:val="28"/>
          <w:szCs w:val="28"/>
          <w:lang w:eastAsia="en-IN" w:bidi="hi-IN"/>
          <w14:ligatures w14:val="none"/>
        </w:rPr>
      </w:pPr>
      <w:r w:rsidRPr="00DF2062">
        <w:rPr>
          <w:rFonts w:ascii="Times New Roman" w:eastAsia="Times New Roman" w:hAnsi="Times New Roman" w:cs="Times New Roman"/>
          <w:b/>
          <w:bCs/>
          <w:kern w:val="0"/>
          <w:sz w:val="28"/>
          <w:szCs w:val="28"/>
          <w:lang w:eastAsia="en-IN" w:bidi="hi-IN"/>
          <w14:ligatures w14:val="none"/>
        </w:rPr>
        <w:t>1. Introduction</w:t>
      </w:r>
    </w:p>
    <w:p w14:paraId="3FDD5A6F" w14:textId="32BE3E40" w:rsidR="005910C7" w:rsidRPr="005910C7" w:rsidRDefault="005910C7" w:rsidP="005910C7">
      <w:pPr>
        <w:spacing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5910C7">
        <w:rPr>
          <w:rFonts w:ascii="Times New Roman" w:eastAsia="Times New Roman" w:hAnsi="Times New Roman" w:cs="Times New Roman"/>
          <w:kern w:val="0"/>
          <w:sz w:val="24"/>
          <w:szCs w:val="24"/>
          <w:lang w:eastAsia="en-IN" w:bidi="hi-IN"/>
          <w14:ligatures w14:val="none"/>
        </w:rPr>
        <w:t>Sesame (</w:t>
      </w:r>
      <w:r w:rsidRPr="005910C7">
        <w:rPr>
          <w:rFonts w:ascii="Times New Roman" w:eastAsia="Times New Roman" w:hAnsi="Times New Roman" w:cs="Times New Roman"/>
          <w:i/>
          <w:iCs/>
          <w:kern w:val="0"/>
          <w:sz w:val="24"/>
          <w:szCs w:val="24"/>
          <w:lang w:eastAsia="en-IN" w:bidi="hi-IN"/>
          <w14:ligatures w14:val="none"/>
        </w:rPr>
        <w:t>Sesamum indicum</w:t>
      </w:r>
      <w:r w:rsidRPr="005910C7">
        <w:rPr>
          <w:rFonts w:ascii="Times New Roman" w:eastAsia="Times New Roman" w:hAnsi="Times New Roman" w:cs="Times New Roman"/>
          <w:kern w:val="0"/>
          <w:sz w:val="24"/>
          <w:szCs w:val="24"/>
          <w:lang w:eastAsia="en-IN" w:bidi="hi-IN"/>
          <w14:ligatures w14:val="none"/>
        </w:rPr>
        <w:t xml:space="preserve"> L.) is one of the oldest indigenous oilseed crops cultivated in India. Widely prized for its high-quality oil and nutritional benefits, it is often referred to as the "Queen of Oilseed Crops". The seeds possess a remarkably high oil content ranging from 46% to 64%, alongside approximately 25% protein and 15% carbohydrates. Furthermore, unlike many other fats, sesame oil is highly stable, does not develop rancidity, and provides high dietary energy (6355 kcal/kg) </w:t>
      </w:r>
      <w:r w:rsidR="00E94391" w:rsidRPr="00E94391">
        <w:rPr>
          <w:rFonts w:ascii="Times New Roman" w:eastAsia="Times New Roman" w:hAnsi="Times New Roman" w:cs="Times New Roman"/>
          <w:kern w:val="0"/>
          <w:sz w:val="24"/>
          <w:szCs w:val="24"/>
          <w:lang w:eastAsia="en-IN" w:bidi="hi-IN"/>
          <w14:ligatures w14:val="none"/>
        </w:rPr>
        <w:t>(FAO, 2019)</w:t>
      </w:r>
      <w:r w:rsidR="00E94391">
        <w:rPr>
          <w:rFonts w:ascii="Times New Roman" w:eastAsia="Times New Roman" w:hAnsi="Times New Roman" w:cs="Times New Roman"/>
          <w:kern w:val="0"/>
          <w:sz w:val="24"/>
          <w:szCs w:val="24"/>
          <w:lang w:eastAsia="en-IN" w:bidi="hi-IN"/>
          <w14:ligatures w14:val="none"/>
        </w:rPr>
        <w:t xml:space="preserve">. </w:t>
      </w:r>
      <w:r w:rsidRPr="005910C7">
        <w:rPr>
          <w:rFonts w:ascii="Times New Roman" w:eastAsia="Times New Roman" w:hAnsi="Times New Roman" w:cs="Times New Roman"/>
          <w:kern w:val="0"/>
          <w:sz w:val="24"/>
          <w:szCs w:val="24"/>
          <w:lang w:eastAsia="en-IN" w:bidi="hi-IN"/>
          <w14:ligatures w14:val="none"/>
        </w:rPr>
        <w:t xml:space="preserve">These robust nutritional profiles and the presence of beneficial antioxidants make it highly valuable for baking, confectionery, bio-medicine, and culinary industries. </w:t>
      </w:r>
      <w:r w:rsidRPr="008C2208">
        <w:rPr>
          <w:rFonts w:ascii="Times New Roman" w:eastAsia="Times New Roman" w:hAnsi="Times New Roman" w:cs="Times New Roman"/>
          <w:kern w:val="0"/>
          <w:sz w:val="24"/>
          <w:szCs w:val="24"/>
          <w:lang w:eastAsia="en-IN" w:bidi="hi-IN"/>
          <w14:ligatures w14:val="none"/>
        </w:rPr>
        <w:t>(</w:t>
      </w:r>
      <w:proofErr w:type="spellStart"/>
      <w:r w:rsidRPr="008C2208">
        <w:rPr>
          <w:rFonts w:ascii="Times New Roman" w:eastAsia="Times New Roman" w:hAnsi="Times New Roman" w:cs="Times New Roman"/>
          <w:kern w:val="0"/>
          <w:sz w:val="24"/>
          <w:szCs w:val="24"/>
          <w:lang w:eastAsia="en-IN" w:bidi="hi-IN"/>
          <w14:ligatures w14:val="none"/>
        </w:rPr>
        <w:t>Ranjita</w:t>
      </w:r>
      <w:proofErr w:type="spellEnd"/>
      <w:r w:rsidRPr="008C2208">
        <w:rPr>
          <w:rFonts w:ascii="Times New Roman" w:eastAsia="Times New Roman" w:hAnsi="Times New Roman" w:cs="Times New Roman"/>
          <w:kern w:val="0"/>
          <w:sz w:val="24"/>
          <w:szCs w:val="24"/>
          <w:lang w:eastAsia="en-IN" w:bidi="hi-IN"/>
          <w14:ligatures w14:val="none"/>
        </w:rPr>
        <w:t xml:space="preserve"> </w:t>
      </w:r>
      <w:proofErr w:type="spellStart"/>
      <w:r w:rsidRPr="008C2208">
        <w:rPr>
          <w:rFonts w:ascii="Times New Roman" w:eastAsia="Times New Roman" w:hAnsi="Times New Roman" w:cs="Times New Roman"/>
          <w:kern w:val="0"/>
          <w:sz w:val="24"/>
          <w:szCs w:val="24"/>
          <w:lang w:eastAsia="en-IN" w:bidi="hi-IN"/>
          <w14:ligatures w14:val="none"/>
        </w:rPr>
        <w:t>bezbaruah</w:t>
      </w:r>
      <w:proofErr w:type="spellEnd"/>
      <w:r w:rsidRPr="008C2208">
        <w:rPr>
          <w:rFonts w:ascii="Times New Roman" w:eastAsia="Times New Roman" w:hAnsi="Times New Roman" w:cs="Times New Roman"/>
          <w:kern w:val="0"/>
          <w:sz w:val="24"/>
          <w:szCs w:val="24"/>
          <w:lang w:eastAsia="en-IN" w:bidi="hi-IN"/>
          <w14:ligatures w14:val="none"/>
        </w:rPr>
        <w:t xml:space="preserve">, </w:t>
      </w:r>
      <w:r w:rsidRPr="008C2208">
        <w:rPr>
          <w:rFonts w:ascii="Times New Roman" w:eastAsia="Times New Roman" w:hAnsi="Times New Roman" w:cs="Times New Roman"/>
          <w:i/>
          <w:iCs/>
          <w:kern w:val="0"/>
          <w:sz w:val="24"/>
          <w:szCs w:val="24"/>
          <w:lang w:eastAsia="en-IN" w:bidi="hi-IN"/>
          <w14:ligatures w14:val="none"/>
        </w:rPr>
        <w:t>et. al</w:t>
      </w:r>
      <w:r w:rsidR="00E94391" w:rsidRPr="008C2208">
        <w:rPr>
          <w:rFonts w:ascii="Times New Roman" w:eastAsia="Times New Roman" w:hAnsi="Times New Roman" w:cs="Times New Roman"/>
          <w:kern w:val="0"/>
          <w:sz w:val="24"/>
          <w:szCs w:val="24"/>
          <w:lang w:eastAsia="en-IN" w:bidi="hi-IN"/>
          <w14:ligatures w14:val="none"/>
        </w:rPr>
        <w:t>., 2024</w:t>
      </w:r>
      <w:r w:rsidRPr="008C2208">
        <w:rPr>
          <w:rFonts w:ascii="Times New Roman" w:eastAsia="Times New Roman" w:hAnsi="Times New Roman" w:cs="Times New Roman"/>
          <w:kern w:val="0"/>
          <w:sz w:val="24"/>
          <w:szCs w:val="24"/>
          <w:lang w:eastAsia="en-IN" w:bidi="hi-IN"/>
          <w14:ligatures w14:val="none"/>
        </w:rPr>
        <w:t>)</w:t>
      </w:r>
    </w:p>
    <w:p w14:paraId="29E334FC" w14:textId="77777777" w:rsidR="005910C7" w:rsidRPr="005910C7" w:rsidRDefault="005910C7" w:rsidP="005910C7">
      <w:pPr>
        <w:spacing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5910C7">
        <w:rPr>
          <w:rFonts w:ascii="Times New Roman" w:eastAsia="Times New Roman" w:hAnsi="Times New Roman" w:cs="Times New Roman"/>
          <w:kern w:val="0"/>
          <w:sz w:val="24"/>
          <w:szCs w:val="24"/>
          <w:lang w:eastAsia="en-IN" w:bidi="hi-IN"/>
          <w14:ligatures w14:val="none"/>
        </w:rPr>
        <w:t xml:space="preserve">India ranks as the world's leading producer of sesame. However, despite its immense economic importance and adaptability to varied </w:t>
      </w:r>
      <w:proofErr w:type="spellStart"/>
      <w:r w:rsidRPr="005910C7">
        <w:rPr>
          <w:rFonts w:ascii="Times New Roman" w:eastAsia="Times New Roman" w:hAnsi="Times New Roman" w:cs="Times New Roman"/>
          <w:kern w:val="0"/>
          <w:sz w:val="24"/>
          <w:szCs w:val="24"/>
          <w:lang w:eastAsia="en-IN" w:bidi="hi-IN"/>
          <w14:ligatures w14:val="none"/>
        </w:rPr>
        <w:t>agro</w:t>
      </w:r>
      <w:proofErr w:type="spellEnd"/>
      <w:r w:rsidRPr="005910C7">
        <w:rPr>
          <w:rFonts w:ascii="Times New Roman" w:eastAsia="Times New Roman" w:hAnsi="Times New Roman" w:cs="Times New Roman"/>
          <w:kern w:val="0"/>
          <w:sz w:val="24"/>
          <w:szCs w:val="24"/>
          <w:lang w:eastAsia="en-IN" w:bidi="hi-IN"/>
          <w14:ligatures w14:val="none"/>
        </w:rPr>
        <w:t>-climatic conditions, the national average productivity remains alarmingly low. India's average yield is estimated between 391 kg/ha and 413 kg/ha, which is significantly lower than the global average of 535 kg/ha. Consequently, the average productivity of sesame in Maharashtra remains substantially lower than its genetic potential yield. This severe yield gap is primarily attributed to the crop's widespread cultivation on marginal and sub-marginal soils under rainfed conditions, coupled with poor management and input-starved environments. Additional limiting factors include the continued use of older, low-yielding varieties, imbalanced nutrient application, and a critical lack of awareness regarding integrated pest and disease management practices among farmers.</w:t>
      </w:r>
    </w:p>
    <w:p w14:paraId="7386D2D1" w14:textId="166EF4AA" w:rsidR="00DF2062" w:rsidRPr="00DF2062" w:rsidRDefault="005910C7" w:rsidP="00DF2062">
      <w:pPr>
        <w:spacing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5910C7">
        <w:rPr>
          <w:rFonts w:ascii="Times New Roman" w:eastAsia="Times New Roman" w:hAnsi="Times New Roman" w:cs="Times New Roman"/>
          <w:kern w:val="0"/>
          <w:sz w:val="24"/>
          <w:szCs w:val="24"/>
          <w:lang w:eastAsia="en-IN" w:bidi="hi-IN"/>
          <w14:ligatures w14:val="none"/>
        </w:rPr>
        <w:lastRenderedPageBreak/>
        <w:t xml:space="preserve">Despite these production constraints, the systematic adoption of improved, high-yielding varieties and scientific </w:t>
      </w:r>
      <w:proofErr w:type="spellStart"/>
      <w:r w:rsidRPr="005910C7">
        <w:rPr>
          <w:rFonts w:ascii="Times New Roman" w:eastAsia="Times New Roman" w:hAnsi="Times New Roman" w:cs="Times New Roman"/>
          <w:kern w:val="0"/>
          <w:sz w:val="24"/>
          <w:szCs w:val="24"/>
          <w:lang w:eastAsia="en-IN" w:bidi="hi-IN"/>
          <w14:ligatures w14:val="none"/>
        </w:rPr>
        <w:t>agro</w:t>
      </w:r>
      <w:proofErr w:type="spellEnd"/>
      <w:r w:rsidRPr="005910C7">
        <w:rPr>
          <w:rFonts w:ascii="Times New Roman" w:eastAsia="Times New Roman" w:hAnsi="Times New Roman" w:cs="Times New Roman"/>
          <w:kern w:val="0"/>
          <w:sz w:val="24"/>
          <w:szCs w:val="24"/>
          <w:lang w:eastAsia="en-IN" w:bidi="hi-IN"/>
          <w14:ligatures w14:val="none"/>
        </w:rPr>
        <w:t>-production technologies offers substantial scope for productivity enhancement. Under optimal scientific management, sesame crops can achieve potential yields of 800 to 1000 kg/ha in rainfed situations and up to 1200 to 1500 kg/ha under fully irrigated conditions. To accelerate the adoption of these improved agricultural technologies and bridge the existing yield gap, Cluster Frontline Demonstrations (CFLDs) are strategically conducted on farmers' fields. These demonstrations provide a direct interface between researchers, extension workers, and farmers, proving the tangible efficacy of new varieties and scientific management practices under real farming conditions. Therefore, this study was undertaken to comprehensively assess the performance, yield advantages, extension gaps, and incremental economic feasibility of improved sesame production technologies demonstrated through CFLDs in the Akola district.</w:t>
      </w:r>
    </w:p>
    <w:p w14:paraId="1652A2BA" w14:textId="77777777" w:rsidR="00DF2062" w:rsidRPr="00E94391" w:rsidRDefault="00DF2062" w:rsidP="00DF2062">
      <w:pPr>
        <w:spacing w:after="100" w:afterAutospacing="1" w:line="240" w:lineRule="auto"/>
        <w:outlineLvl w:val="2"/>
        <w:rPr>
          <w:rFonts w:ascii="Times New Roman" w:eastAsia="Times New Roman" w:hAnsi="Times New Roman" w:cs="Times New Roman"/>
          <w:b/>
          <w:bCs/>
          <w:kern w:val="0"/>
          <w:sz w:val="28"/>
          <w:szCs w:val="28"/>
          <w:lang w:eastAsia="en-IN" w:bidi="hi-IN"/>
          <w14:ligatures w14:val="none"/>
        </w:rPr>
      </w:pPr>
      <w:r w:rsidRPr="00E94391">
        <w:rPr>
          <w:rFonts w:ascii="Times New Roman" w:eastAsia="Times New Roman" w:hAnsi="Times New Roman" w:cs="Times New Roman"/>
          <w:b/>
          <w:bCs/>
          <w:kern w:val="0"/>
          <w:sz w:val="28"/>
          <w:szCs w:val="28"/>
          <w:lang w:eastAsia="en-IN" w:bidi="hi-IN"/>
          <w14:ligatures w14:val="none"/>
        </w:rPr>
        <w:t>2. Materials and Methods</w:t>
      </w:r>
    </w:p>
    <w:p w14:paraId="08712335" w14:textId="77777777" w:rsidR="00E25BF0" w:rsidRPr="00BB261A"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2.1 Experimental Site and Implementation</w:t>
      </w:r>
      <w:r w:rsidRPr="00BB261A">
        <w:rPr>
          <w:rFonts w:ascii="Times New Roman" w:eastAsia="Times New Roman" w:hAnsi="Times New Roman" w:cs="Times New Roman"/>
          <w:kern w:val="0"/>
          <w:sz w:val="24"/>
          <w:szCs w:val="24"/>
          <w:lang w:eastAsia="en-IN" w:bidi="hi-IN"/>
          <w14:ligatures w14:val="none"/>
        </w:rPr>
        <w:t xml:space="preserve"> The study was carried out during five consecutive </w:t>
      </w:r>
      <w:r w:rsidRPr="00BB261A">
        <w:rPr>
          <w:rFonts w:ascii="Times New Roman" w:eastAsia="Times New Roman" w:hAnsi="Times New Roman" w:cs="Times New Roman"/>
          <w:i/>
          <w:iCs/>
          <w:kern w:val="0"/>
          <w:sz w:val="24"/>
          <w:szCs w:val="24"/>
          <w:lang w:eastAsia="en-IN" w:bidi="hi-IN"/>
          <w14:ligatures w14:val="none"/>
        </w:rPr>
        <w:t>Kharif</w:t>
      </w:r>
      <w:r w:rsidRPr="00BB261A">
        <w:rPr>
          <w:rFonts w:ascii="Times New Roman" w:eastAsia="Times New Roman" w:hAnsi="Times New Roman" w:cs="Times New Roman"/>
          <w:kern w:val="0"/>
          <w:sz w:val="24"/>
          <w:szCs w:val="24"/>
          <w:lang w:eastAsia="en-IN" w:bidi="hi-IN"/>
          <w14:ligatures w14:val="none"/>
        </w:rPr>
        <w:t xml:space="preserve"> seasons from 2020 through 2024 in the Akola district of Maharashtra. To assess the production potential and economic feasibility of improved sesame (</w:t>
      </w:r>
      <w:r w:rsidRPr="00BB261A">
        <w:rPr>
          <w:rFonts w:ascii="Times New Roman" w:eastAsia="Times New Roman" w:hAnsi="Times New Roman" w:cs="Times New Roman"/>
          <w:i/>
          <w:iCs/>
          <w:kern w:val="0"/>
          <w:sz w:val="24"/>
          <w:szCs w:val="24"/>
          <w:lang w:eastAsia="en-IN" w:bidi="hi-IN"/>
          <w14:ligatures w14:val="none"/>
        </w:rPr>
        <w:t>Sesamum indicum</w:t>
      </w:r>
      <w:r w:rsidRPr="00BB261A">
        <w:rPr>
          <w:rFonts w:ascii="Times New Roman" w:eastAsia="Times New Roman" w:hAnsi="Times New Roman" w:cs="Times New Roman"/>
          <w:kern w:val="0"/>
          <w:sz w:val="24"/>
          <w:szCs w:val="24"/>
          <w:lang w:eastAsia="en-IN" w:bidi="hi-IN"/>
          <w14:ligatures w14:val="none"/>
        </w:rPr>
        <w:t xml:space="preserve"> L.) varieties, a total of 200 Cluster Frontline Demonstrations (CFLDs) were systematically implemented across 80 hectares of selected farmers' fields.</w:t>
      </w:r>
    </w:p>
    <w:p w14:paraId="77606551" w14:textId="77777777" w:rsidR="00E25BF0" w:rsidRPr="00BB261A"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2.2 Varietal Selection and Technological Interventions</w:t>
      </w:r>
      <w:r w:rsidRPr="00BB261A">
        <w:rPr>
          <w:rFonts w:ascii="Times New Roman" w:eastAsia="Times New Roman" w:hAnsi="Times New Roman" w:cs="Times New Roman"/>
          <w:kern w:val="0"/>
          <w:sz w:val="24"/>
          <w:szCs w:val="24"/>
          <w:lang w:eastAsia="en-IN" w:bidi="hi-IN"/>
          <w14:ligatures w14:val="none"/>
        </w:rPr>
        <w:t xml:space="preserve"> </w:t>
      </w:r>
      <w:proofErr w:type="gramStart"/>
      <w:r w:rsidRPr="00BB261A">
        <w:rPr>
          <w:rFonts w:ascii="Times New Roman" w:eastAsia="Times New Roman" w:hAnsi="Times New Roman" w:cs="Times New Roman"/>
          <w:kern w:val="0"/>
          <w:sz w:val="24"/>
          <w:szCs w:val="24"/>
          <w:lang w:eastAsia="en-IN" w:bidi="hi-IN"/>
          <w14:ligatures w14:val="none"/>
        </w:rPr>
        <w:t>The</w:t>
      </w:r>
      <w:proofErr w:type="gramEnd"/>
      <w:r w:rsidRPr="00BB261A">
        <w:rPr>
          <w:rFonts w:ascii="Times New Roman" w:eastAsia="Times New Roman" w:hAnsi="Times New Roman" w:cs="Times New Roman"/>
          <w:kern w:val="0"/>
          <w:sz w:val="24"/>
          <w:szCs w:val="24"/>
          <w:lang w:eastAsia="en-IN" w:bidi="hi-IN"/>
          <w14:ligatures w14:val="none"/>
        </w:rPr>
        <w:t xml:space="preserve"> Krishi Vigyan Kendra (KVK) provided certified seeds and essential critical inputs to ensure the proper adoption of the demonstrated technologies.</w:t>
      </w:r>
    </w:p>
    <w:p w14:paraId="481BD60D" w14:textId="77777777" w:rsidR="00E25BF0" w:rsidRPr="00BB261A" w:rsidRDefault="00E25BF0" w:rsidP="00E25BF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Varietal Selection:</w:t>
      </w:r>
      <w:r w:rsidRPr="00BB261A">
        <w:rPr>
          <w:rFonts w:ascii="Times New Roman" w:eastAsia="Times New Roman" w:hAnsi="Times New Roman" w:cs="Times New Roman"/>
          <w:kern w:val="0"/>
          <w:sz w:val="24"/>
          <w:szCs w:val="24"/>
          <w:lang w:eastAsia="en-IN" w:bidi="hi-IN"/>
          <w14:ligatures w14:val="none"/>
        </w:rPr>
        <w:t xml:space="preserve"> During the 2020 </w:t>
      </w:r>
      <w:r w:rsidRPr="00BB261A">
        <w:rPr>
          <w:rFonts w:ascii="Times New Roman" w:eastAsia="Times New Roman" w:hAnsi="Times New Roman" w:cs="Times New Roman"/>
          <w:i/>
          <w:iCs/>
          <w:kern w:val="0"/>
          <w:sz w:val="24"/>
          <w:szCs w:val="24"/>
          <w:lang w:eastAsia="en-IN" w:bidi="hi-IN"/>
          <w14:ligatures w14:val="none"/>
        </w:rPr>
        <w:t>Kharif</w:t>
      </w:r>
      <w:r w:rsidRPr="00BB261A">
        <w:rPr>
          <w:rFonts w:ascii="Times New Roman" w:eastAsia="Times New Roman" w:hAnsi="Times New Roman" w:cs="Times New Roman"/>
          <w:kern w:val="0"/>
          <w:sz w:val="24"/>
          <w:szCs w:val="24"/>
          <w:lang w:eastAsia="en-IN" w:bidi="hi-IN"/>
          <w14:ligatures w14:val="none"/>
        </w:rPr>
        <w:t xml:space="preserve"> season, the improved variety AKT-101 (released in 2009) was demonstrated over 20 hectares. For the subsequent years (2021–2024), the high-yielding variety NT-11 (also released in 2009) was utilized across the remaining demonstration plots (60 hectares).</w:t>
      </w:r>
    </w:p>
    <w:p w14:paraId="6EEF93DA" w14:textId="77777777" w:rsidR="00E25BF0" w:rsidRPr="00BB261A" w:rsidRDefault="00E25BF0" w:rsidP="00E25BF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Technological Interventions:</w:t>
      </w:r>
      <w:r w:rsidRPr="00BB261A">
        <w:rPr>
          <w:rFonts w:ascii="Times New Roman" w:eastAsia="Times New Roman" w:hAnsi="Times New Roman" w:cs="Times New Roman"/>
          <w:kern w:val="0"/>
          <w:sz w:val="24"/>
          <w:szCs w:val="24"/>
          <w:lang w:eastAsia="en-IN" w:bidi="hi-IN"/>
          <w14:ligatures w14:val="none"/>
        </w:rPr>
        <w:t xml:space="preserve"> The recommended package of practices was strictly ensured in the CFLD plots. These scientific interventions primarily included timely sowing, line sowing (to maintain optimum plant population), balanced fertilizer application, and integrated weed and pest management (IPM).</w:t>
      </w:r>
    </w:p>
    <w:p w14:paraId="7807F7F2" w14:textId="77777777" w:rsidR="00E25BF0" w:rsidRPr="00BB261A" w:rsidRDefault="00E25BF0" w:rsidP="00E25BF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Local Checks:</w:t>
      </w:r>
      <w:r w:rsidRPr="00BB261A">
        <w:rPr>
          <w:rFonts w:ascii="Times New Roman" w:eastAsia="Times New Roman" w:hAnsi="Times New Roman" w:cs="Times New Roman"/>
          <w:kern w:val="0"/>
          <w:sz w:val="24"/>
          <w:szCs w:val="24"/>
          <w:lang w:eastAsia="en-IN" w:bidi="hi-IN"/>
          <w14:ligatures w14:val="none"/>
        </w:rPr>
        <w:t xml:space="preserve"> Adjacent fields cultivated by farmers using their existing local varieties and traditional farming practices served as the local checks for comparative evaluation.</w:t>
      </w:r>
    </w:p>
    <w:p w14:paraId="64BFF287" w14:textId="77777777" w:rsidR="00E25BF0" w:rsidRPr="00BB261A"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2.3 Data Collection and Statistical Analysis</w:t>
      </w:r>
      <w:r w:rsidRPr="00BB261A">
        <w:rPr>
          <w:rFonts w:ascii="Times New Roman" w:eastAsia="Times New Roman" w:hAnsi="Times New Roman" w:cs="Times New Roman"/>
          <w:kern w:val="0"/>
          <w:sz w:val="24"/>
          <w:szCs w:val="24"/>
          <w:lang w:eastAsia="en-IN" w:bidi="hi-IN"/>
          <w14:ligatures w14:val="none"/>
        </w:rPr>
        <w:t xml:space="preserve"> Crop yield data was recorded at harvest and converted to quintals per hectare (q/ha) for both the demonstration and check plots. To thoroughly evaluate the efficacy of the demonstrated technologies, the data was </w:t>
      </w:r>
      <w:proofErr w:type="spellStart"/>
      <w:r w:rsidRPr="00BB261A">
        <w:rPr>
          <w:rFonts w:ascii="Times New Roman" w:eastAsia="Times New Roman" w:hAnsi="Times New Roman" w:cs="Times New Roman"/>
          <w:kern w:val="0"/>
          <w:sz w:val="24"/>
          <w:szCs w:val="24"/>
          <w:lang w:eastAsia="en-IN" w:bidi="hi-IN"/>
          <w14:ligatures w14:val="none"/>
        </w:rPr>
        <w:t>analyzed</w:t>
      </w:r>
      <w:proofErr w:type="spellEnd"/>
      <w:r w:rsidRPr="00BB261A">
        <w:rPr>
          <w:rFonts w:ascii="Times New Roman" w:eastAsia="Times New Roman" w:hAnsi="Times New Roman" w:cs="Times New Roman"/>
          <w:kern w:val="0"/>
          <w:sz w:val="24"/>
          <w:szCs w:val="24"/>
          <w:lang w:eastAsia="en-IN" w:bidi="hi-IN"/>
          <w14:ligatures w14:val="none"/>
        </w:rPr>
        <w:t xml:space="preserve"> using standard statistical parameters as described by Samui </w:t>
      </w:r>
      <w:r w:rsidRPr="00BB261A">
        <w:rPr>
          <w:rFonts w:ascii="Times New Roman" w:eastAsia="Times New Roman" w:hAnsi="Times New Roman" w:cs="Times New Roman"/>
          <w:i/>
          <w:iCs/>
          <w:kern w:val="0"/>
          <w:sz w:val="24"/>
          <w:szCs w:val="24"/>
          <w:lang w:eastAsia="en-IN" w:bidi="hi-IN"/>
          <w14:ligatures w14:val="none"/>
        </w:rPr>
        <w:t>et al.</w:t>
      </w:r>
      <w:r w:rsidRPr="00BB261A">
        <w:rPr>
          <w:rFonts w:ascii="Times New Roman" w:eastAsia="Times New Roman" w:hAnsi="Times New Roman" w:cs="Times New Roman"/>
          <w:kern w:val="0"/>
          <w:sz w:val="24"/>
          <w:szCs w:val="24"/>
          <w:lang w:eastAsia="en-IN" w:bidi="hi-IN"/>
          <w14:ligatures w14:val="none"/>
        </w:rPr>
        <w:t xml:space="preserve"> (2000). The specific formulas utilized include:</w:t>
      </w:r>
    </w:p>
    <w:p w14:paraId="32C80960" w14:textId="77777777" w:rsidR="00E25BF0" w:rsidRPr="00BB261A" w:rsidRDefault="00E25BF0" w:rsidP="00E25BF0">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Extension Gap (q/ha)</w:t>
      </w:r>
      <w:r w:rsidRPr="00BB261A">
        <w:rPr>
          <w:rFonts w:ascii="Times New Roman" w:eastAsia="Times New Roman" w:hAnsi="Times New Roman" w:cs="Times New Roman"/>
          <w:kern w:val="0"/>
          <w:sz w:val="24"/>
          <w:szCs w:val="24"/>
          <w:lang w:eastAsia="en-IN" w:bidi="hi-IN"/>
          <w14:ligatures w14:val="none"/>
        </w:rPr>
        <w:t xml:space="preserve"> = Demonstration Yield – Check Yield</w:t>
      </w:r>
    </w:p>
    <w:p w14:paraId="3F1C63AB" w14:textId="77777777" w:rsidR="00E25BF0" w:rsidRPr="00BB261A" w:rsidRDefault="00E25BF0" w:rsidP="00E25BF0">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Technology Gap (q/ha)</w:t>
      </w:r>
      <w:r w:rsidRPr="00BB261A">
        <w:rPr>
          <w:rFonts w:ascii="Times New Roman" w:eastAsia="Times New Roman" w:hAnsi="Times New Roman" w:cs="Times New Roman"/>
          <w:kern w:val="0"/>
          <w:sz w:val="24"/>
          <w:szCs w:val="24"/>
          <w:lang w:eastAsia="en-IN" w:bidi="hi-IN"/>
          <w14:ligatures w14:val="none"/>
        </w:rPr>
        <w:t xml:space="preserve"> = Potential Yield – Demonstration Yield</w:t>
      </w:r>
    </w:p>
    <w:p w14:paraId="3F286F03" w14:textId="77777777" w:rsidR="00E25BF0" w:rsidRPr="00BB261A" w:rsidRDefault="00E25BF0" w:rsidP="00E25BF0">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Technology Index (%)</w:t>
      </w:r>
      <w:r w:rsidRPr="00BB261A">
        <w:rPr>
          <w:rFonts w:ascii="Times New Roman" w:eastAsia="Times New Roman" w:hAnsi="Times New Roman" w:cs="Times New Roman"/>
          <w:kern w:val="0"/>
          <w:sz w:val="24"/>
          <w:szCs w:val="24"/>
          <w:lang w:eastAsia="en-IN" w:bidi="hi-IN"/>
          <w14:ligatures w14:val="none"/>
        </w:rPr>
        <w:t xml:space="preserve"> = [ (Potential Yield – Demonstration Yield) / Potential Yield] × 100</w:t>
      </w:r>
    </w:p>
    <w:p w14:paraId="0D37A268" w14:textId="77777777" w:rsidR="00E25BF0" w:rsidRPr="00BB261A"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2.4 Economic Analysis</w:t>
      </w:r>
      <w:r w:rsidRPr="00BB261A">
        <w:rPr>
          <w:rFonts w:ascii="Times New Roman" w:eastAsia="Times New Roman" w:hAnsi="Times New Roman" w:cs="Times New Roman"/>
          <w:kern w:val="0"/>
          <w:sz w:val="24"/>
          <w:szCs w:val="24"/>
          <w:lang w:eastAsia="en-IN" w:bidi="hi-IN"/>
          <w14:ligatures w14:val="none"/>
        </w:rPr>
        <w:t xml:space="preserve"> To determine the commercial viability of the interventions, economic parameters including the cost of cultivation, gross returns, and net returns were calculated per hectare based on the prevailing local market prices.</w:t>
      </w:r>
    </w:p>
    <w:p w14:paraId="2A5E1ADE" w14:textId="77777777" w:rsidR="00E25BF0" w:rsidRPr="00BB261A"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kern w:val="0"/>
          <w:sz w:val="24"/>
          <w:szCs w:val="24"/>
          <w:lang w:eastAsia="en-IN" w:bidi="hi-IN"/>
          <w14:ligatures w14:val="none"/>
        </w:rPr>
        <w:lastRenderedPageBreak/>
        <w:t>The baseline profitability was assessed using the standard Benefit-Cost ratio:</w:t>
      </w:r>
    </w:p>
    <w:p w14:paraId="77397B21" w14:textId="77777777" w:rsidR="00E25BF0" w:rsidRPr="00BB261A" w:rsidRDefault="00E25BF0" w:rsidP="00E25BF0">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Benefit-Cost (B:C) Ratio</w:t>
      </w:r>
      <w:r w:rsidRPr="00BB261A">
        <w:rPr>
          <w:rFonts w:ascii="Times New Roman" w:eastAsia="Times New Roman" w:hAnsi="Times New Roman" w:cs="Times New Roman"/>
          <w:kern w:val="0"/>
          <w:sz w:val="24"/>
          <w:szCs w:val="24"/>
          <w:lang w:eastAsia="en-IN" w:bidi="hi-IN"/>
          <w14:ligatures w14:val="none"/>
        </w:rPr>
        <w:t xml:space="preserve"> = Gross Returns / Cost of Cultivation</w:t>
      </w:r>
    </w:p>
    <w:p w14:paraId="7335A1F0" w14:textId="77777777" w:rsidR="00E25BF0" w:rsidRPr="00BB261A"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kern w:val="0"/>
          <w:sz w:val="24"/>
          <w:szCs w:val="24"/>
          <w:lang w:eastAsia="en-IN" w:bidi="hi-IN"/>
          <w14:ligatures w14:val="none"/>
        </w:rPr>
        <w:t>To further evaluate the economic efficiency and the marginal return on the capital invested in the new technologies, two additional metrics were computed:</w:t>
      </w:r>
    </w:p>
    <w:p w14:paraId="6B926541" w14:textId="77777777" w:rsidR="00E25BF0" w:rsidRPr="00BB261A" w:rsidRDefault="00E25BF0" w:rsidP="00E25BF0">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Additional Net Returns (₹/ha)</w:t>
      </w:r>
      <w:r w:rsidRPr="00BB261A">
        <w:rPr>
          <w:rFonts w:ascii="Times New Roman" w:eastAsia="Times New Roman" w:hAnsi="Times New Roman" w:cs="Times New Roman"/>
          <w:kern w:val="0"/>
          <w:sz w:val="24"/>
          <w:szCs w:val="24"/>
          <w:lang w:eastAsia="en-IN" w:bidi="hi-IN"/>
          <w14:ligatures w14:val="none"/>
        </w:rPr>
        <w:t xml:space="preserve"> = Net Return of Demonstration – Net Return of Check</w:t>
      </w:r>
    </w:p>
    <w:p w14:paraId="0DD3250F" w14:textId="17C33F0D" w:rsidR="00DF2062" w:rsidRPr="002D5A15" w:rsidRDefault="00E25BF0" w:rsidP="002D5A15">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BB261A">
        <w:rPr>
          <w:rFonts w:ascii="Times New Roman" w:eastAsia="Times New Roman" w:hAnsi="Times New Roman" w:cs="Times New Roman"/>
          <w:b/>
          <w:bCs/>
          <w:kern w:val="0"/>
          <w:sz w:val="24"/>
          <w:szCs w:val="24"/>
          <w:lang w:eastAsia="en-IN" w:bidi="hi-IN"/>
          <w14:ligatures w14:val="none"/>
        </w:rPr>
        <w:t>Incremental Benefit-Cost Ratio (IBCR)</w:t>
      </w:r>
      <w:r w:rsidRPr="00BB261A">
        <w:rPr>
          <w:rFonts w:ascii="Times New Roman" w:eastAsia="Times New Roman" w:hAnsi="Times New Roman" w:cs="Times New Roman"/>
          <w:kern w:val="0"/>
          <w:sz w:val="24"/>
          <w:szCs w:val="24"/>
          <w:lang w:eastAsia="en-IN" w:bidi="hi-IN"/>
          <w14:ligatures w14:val="none"/>
        </w:rPr>
        <w:t xml:space="preserve"> = Additional Gross Return / Additional Cost of Cultivation</w:t>
      </w:r>
    </w:p>
    <w:p w14:paraId="78416678" w14:textId="77777777" w:rsidR="00DF2062" w:rsidRPr="00DF2062" w:rsidRDefault="00DF2062" w:rsidP="00DF2062">
      <w:pPr>
        <w:spacing w:after="100" w:afterAutospacing="1" w:line="240" w:lineRule="auto"/>
        <w:outlineLvl w:val="2"/>
        <w:rPr>
          <w:rFonts w:ascii="Times New Roman" w:eastAsia="Times New Roman" w:hAnsi="Times New Roman" w:cs="Times New Roman"/>
          <w:b/>
          <w:bCs/>
          <w:kern w:val="0"/>
          <w:sz w:val="28"/>
          <w:szCs w:val="28"/>
          <w:lang w:eastAsia="en-IN" w:bidi="hi-IN"/>
          <w14:ligatures w14:val="none"/>
        </w:rPr>
      </w:pPr>
      <w:r w:rsidRPr="00DF2062">
        <w:rPr>
          <w:rFonts w:ascii="Times New Roman" w:eastAsia="Times New Roman" w:hAnsi="Times New Roman" w:cs="Times New Roman"/>
          <w:b/>
          <w:bCs/>
          <w:kern w:val="0"/>
          <w:sz w:val="28"/>
          <w:szCs w:val="28"/>
          <w:lang w:eastAsia="en-IN" w:bidi="hi-IN"/>
          <w14:ligatures w14:val="none"/>
        </w:rPr>
        <w:t>3. Results and Discussion</w:t>
      </w:r>
    </w:p>
    <w:p w14:paraId="00050860" w14:textId="77777777" w:rsidR="00DF2062" w:rsidRPr="00DF2062"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3.1 Yield Performance</w:t>
      </w:r>
    </w:p>
    <w:p w14:paraId="1DE67FD0" w14:textId="40EF0A95" w:rsidR="00AE12BA" w:rsidRDefault="00AE12BA" w:rsidP="00AE12BA">
      <w:pPr>
        <w:spacing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AE12BA">
        <w:rPr>
          <w:rFonts w:ascii="Times New Roman" w:eastAsia="Times New Roman" w:hAnsi="Times New Roman" w:cs="Times New Roman"/>
          <w:kern w:val="0"/>
          <w:sz w:val="24"/>
          <w:szCs w:val="24"/>
          <w:lang w:eastAsia="en-IN" w:bidi="hi-IN"/>
          <w14:ligatures w14:val="none"/>
        </w:rPr>
        <w:t xml:space="preserve">The comparative yield data reveals a highly significant advantage of the demonstrated scientific interventions over traditional farming practices across all five consecutive years of the study (Table 1). The improved cultivar NT-11 exhibited remarkable yield stability and consistent outperformance. The maximum absolute yield was recorded during the 2022 </w:t>
      </w:r>
      <w:r w:rsidRPr="00AE12BA">
        <w:rPr>
          <w:rFonts w:ascii="Times New Roman" w:eastAsia="Times New Roman" w:hAnsi="Times New Roman" w:cs="Times New Roman"/>
          <w:i/>
          <w:iCs/>
          <w:kern w:val="0"/>
          <w:sz w:val="24"/>
          <w:szCs w:val="24"/>
          <w:lang w:eastAsia="en-IN" w:bidi="hi-IN"/>
          <w14:ligatures w14:val="none"/>
        </w:rPr>
        <w:t>Kharif</w:t>
      </w:r>
      <w:r w:rsidRPr="00AE12BA">
        <w:rPr>
          <w:rFonts w:ascii="Times New Roman" w:eastAsia="Times New Roman" w:hAnsi="Times New Roman" w:cs="Times New Roman"/>
          <w:kern w:val="0"/>
          <w:sz w:val="24"/>
          <w:szCs w:val="24"/>
          <w:lang w:eastAsia="en-IN" w:bidi="hi-IN"/>
          <w14:ligatures w14:val="none"/>
        </w:rPr>
        <w:t xml:space="preserve"> season, where the CFLD plots attained an average of 12.13 q/ha. This constituted a substantial 26.54% increase over the local check yield (9.59 q/ha). Such steady yield enhancement underscores the synergistic effect of integrating high-yielding genetic material with optimal agronomic management</w:t>
      </w:r>
      <w:r w:rsidR="00ED754D">
        <w:rPr>
          <w:rFonts w:ascii="Times New Roman" w:eastAsia="Times New Roman" w:hAnsi="Times New Roman" w:cs="Times New Roman"/>
          <w:kern w:val="0"/>
          <w:sz w:val="24"/>
          <w:szCs w:val="24"/>
          <w:lang w:eastAsia="en-IN" w:bidi="hi-IN"/>
          <w14:ligatures w14:val="none"/>
        </w:rPr>
        <w:t xml:space="preserve"> </w:t>
      </w:r>
      <w:r w:rsidRPr="00AE12BA">
        <w:rPr>
          <w:rFonts w:ascii="Times New Roman" w:eastAsia="Times New Roman" w:hAnsi="Times New Roman" w:cs="Times New Roman"/>
          <w:kern w:val="0"/>
          <w:sz w:val="24"/>
          <w:szCs w:val="24"/>
          <w:lang w:eastAsia="en-IN" w:bidi="hi-IN"/>
          <w14:ligatures w14:val="none"/>
        </w:rPr>
        <w:t>specifically timely sowing, precise line geometry, and integrated pest management (IPM).</w:t>
      </w:r>
      <w:r w:rsidR="00ED754D">
        <w:rPr>
          <w:rFonts w:ascii="Times New Roman" w:eastAsia="Times New Roman" w:hAnsi="Times New Roman" w:cs="Times New Roman"/>
          <w:kern w:val="0"/>
          <w:sz w:val="24"/>
          <w:szCs w:val="24"/>
          <w:lang w:eastAsia="en-IN" w:bidi="hi-IN"/>
          <w14:ligatures w14:val="none"/>
        </w:rPr>
        <w:t xml:space="preserve"> </w:t>
      </w:r>
      <w:r w:rsidR="00ED754D" w:rsidRPr="00ED754D">
        <w:rPr>
          <w:rFonts w:ascii="Times New Roman" w:eastAsia="Times New Roman" w:hAnsi="Times New Roman" w:cs="Times New Roman"/>
          <w:kern w:val="0"/>
          <w:sz w:val="24"/>
          <w:szCs w:val="24"/>
          <w:lang w:eastAsia="en-IN" w:bidi="hi-IN"/>
          <w14:ligatures w14:val="none"/>
        </w:rPr>
        <w:t xml:space="preserve">The significant enhancement in sesame seed yield observed in the demonstration plots corroborates the earlier findings of Sagar </w:t>
      </w:r>
      <w:r w:rsidR="00ED754D" w:rsidRPr="00ED754D">
        <w:rPr>
          <w:rFonts w:ascii="Times New Roman" w:eastAsia="Times New Roman" w:hAnsi="Times New Roman" w:cs="Times New Roman"/>
          <w:i/>
          <w:iCs/>
          <w:kern w:val="0"/>
          <w:sz w:val="24"/>
          <w:szCs w:val="24"/>
          <w:lang w:eastAsia="en-IN" w:bidi="hi-IN"/>
          <w14:ligatures w14:val="none"/>
        </w:rPr>
        <w:t>et al.</w:t>
      </w:r>
      <w:r w:rsidR="00ED754D" w:rsidRPr="00ED754D">
        <w:rPr>
          <w:rFonts w:ascii="Times New Roman" w:eastAsia="Times New Roman" w:hAnsi="Times New Roman" w:cs="Times New Roman"/>
          <w:kern w:val="0"/>
          <w:sz w:val="24"/>
          <w:szCs w:val="24"/>
          <w:lang w:eastAsia="en-IN" w:bidi="hi-IN"/>
          <w14:ligatures w14:val="none"/>
        </w:rPr>
        <w:t xml:space="preserve"> (2004), Deshmukh </w:t>
      </w:r>
      <w:r w:rsidR="00ED754D" w:rsidRPr="00ED754D">
        <w:rPr>
          <w:rFonts w:ascii="Times New Roman" w:eastAsia="Times New Roman" w:hAnsi="Times New Roman" w:cs="Times New Roman"/>
          <w:i/>
          <w:iCs/>
          <w:kern w:val="0"/>
          <w:sz w:val="24"/>
          <w:szCs w:val="24"/>
          <w:lang w:eastAsia="en-IN" w:bidi="hi-IN"/>
          <w14:ligatures w14:val="none"/>
        </w:rPr>
        <w:t>et al.</w:t>
      </w:r>
      <w:r w:rsidR="00ED754D" w:rsidRPr="00ED754D">
        <w:rPr>
          <w:rFonts w:ascii="Times New Roman" w:eastAsia="Times New Roman" w:hAnsi="Times New Roman" w:cs="Times New Roman"/>
          <w:kern w:val="0"/>
          <w:sz w:val="24"/>
          <w:szCs w:val="24"/>
          <w:lang w:eastAsia="en-IN" w:bidi="hi-IN"/>
          <w14:ligatures w14:val="none"/>
        </w:rPr>
        <w:t xml:space="preserve"> (2014), and Patel </w:t>
      </w:r>
      <w:r w:rsidR="00ED754D" w:rsidRPr="00ED754D">
        <w:rPr>
          <w:rFonts w:ascii="Times New Roman" w:eastAsia="Times New Roman" w:hAnsi="Times New Roman" w:cs="Times New Roman"/>
          <w:i/>
          <w:iCs/>
          <w:kern w:val="0"/>
          <w:sz w:val="24"/>
          <w:szCs w:val="24"/>
          <w:lang w:eastAsia="en-IN" w:bidi="hi-IN"/>
          <w14:ligatures w14:val="none"/>
        </w:rPr>
        <w:t>et al.</w:t>
      </w:r>
      <w:r w:rsidR="00ED754D" w:rsidRPr="00ED754D">
        <w:rPr>
          <w:rFonts w:ascii="Times New Roman" w:eastAsia="Times New Roman" w:hAnsi="Times New Roman" w:cs="Times New Roman"/>
          <w:kern w:val="0"/>
          <w:sz w:val="24"/>
          <w:szCs w:val="24"/>
          <w:lang w:eastAsia="en-IN" w:bidi="hi-IN"/>
          <w14:ligatures w14:val="none"/>
        </w:rPr>
        <w:t xml:space="preserve"> (2014). To further assess these productivity constraints, the yield from the frontline demonstrations was compared with the crop's potential yield to estimate the overall yield gap, which was subsequently subdivided into technology and extension gaps (Hiremath and Nagaraju, 2009).</w:t>
      </w:r>
    </w:p>
    <w:p w14:paraId="2DFEFE20" w14:textId="06E5186B" w:rsidR="00DF2062" w:rsidRPr="00DF2062" w:rsidRDefault="00DF2062" w:rsidP="00DF2062">
      <w:pPr>
        <w:spacing w:after="100" w:afterAutospacing="1" w:line="240" w:lineRule="auto"/>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Table 1: Yield performance of Sesame under CFLDs compared with farmers' practice</w:t>
      </w:r>
    </w:p>
    <w:tbl>
      <w:tblPr>
        <w:tblStyle w:val="TableGrid"/>
        <w:tblW w:w="0" w:type="auto"/>
        <w:tblLook w:val="04A0" w:firstRow="1" w:lastRow="0" w:firstColumn="1" w:lastColumn="0" w:noHBand="0" w:noVBand="1"/>
      </w:tblPr>
      <w:tblGrid>
        <w:gridCol w:w="723"/>
        <w:gridCol w:w="1115"/>
        <w:gridCol w:w="851"/>
        <w:gridCol w:w="1338"/>
        <w:gridCol w:w="1490"/>
        <w:gridCol w:w="1537"/>
        <w:gridCol w:w="1962"/>
      </w:tblGrid>
      <w:tr w:rsidR="00DF2062" w:rsidRPr="00DF2062" w14:paraId="21A54F2B" w14:textId="77777777" w:rsidTr="002D5A15">
        <w:tc>
          <w:tcPr>
            <w:tcW w:w="0" w:type="auto"/>
            <w:hideMark/>
          </w:tcPr>
          <w:p w14:paraId="2A67E698"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Year</w:t>
            </w:r>
          </w:p>
        </w:tc>
        <w:tc>
          <w:tcPr>
            <w:tcW w:w="1115" w:type="dxa"/>
            <w:hideMark/>
          </w:tcPr>
          <w:p w14:paraId="6F062E4E"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No. of Demos</w:t>
            </w:r>
          </w:p>
        </w:tc>
        <w:tc>
          <w:tcPr>
            <w:tcW w:w="851" w:type="dxa"/>
            <w:hideMark/>
          </w:tcPr>
          <w:p w14:paraId="5B2B656A"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Area (ha)</w:t>
            </w:r>
          </w:p>
        </w:tc>
        <w:tc>
          <w:tcPr>
            <w:tcW w:w="1338" w:type="dxa"/>
            <w:hideMark/>
          </w:tcPr>
          <w:p w14:paraId="2ADE6FBF"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Variety</w:t>
            </w:r>
          </w:p>
        </w:tc>
        <w:tc>
          <w:tcPr>
            <w:tcW w:w="0" w:type="auto"/>
            <w:hideMark/>
          </w:tcPr>
          <w:p w14:paraId="3271BCDE"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Demo Yield (q/ha)</w:t>
            </w:r>
          </w:p>
        </w:tc>
        <w:tc>
          <w:tcPr>
            <w:tcW w:w="0" w:type="auto"/>
            <w:hideMark/>
          </w:tcPr>
          <w:p w14:paraId="50675941"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Check Yield (q/ha)</w:t>
            </w:r>
          </w:p>
        </w:tc>
        <w:tc>
          <w:tcPr>
            <w:tcW w:w="0" w:type="auto"/>
            <w:hideMark/>
          </w:tcPr>
          <w:p w14:paraId="27D7ECD4"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Increase over Check (%)</w:t>
            </w:r>
          </w:p>
        </w:tc>
      </w:tr>
      <w:tr w:rsidR="00DF2062" w:rsidRPr="00DF2062" w14:paraId="5E38A7B1" w14:textId="77777777" w:rsidTr="002D5A15">
        <w:tc>
          <w:tcPr>
            <w:tcW w:w="0" w:type="auto"/>
            <w:hideMark/>
          </w:tcPr>
          <w:p w14:paraId="5DDAE967"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2020</w:t>
            </w:r>
          </w:p>
        </w:tc>
        <w:tc>
          <w:tcPr>
            <w:tcW w:w="1115" w:type="dxa"/>
            <w:hideMark/>
          </w:tcPr>
          <w:p w14:paraId="32390AE1"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50</w:t>
            </w:r>
          </w:p>
        </w:tc>
        <w:tc>
          <w:tcPr>
            <w:tcW w:w="851" w:type="dxa"/>
            <w:hideMark/>
          </w:tcPr>
          <w:p w14:paraId="51633A3F"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20</w:t>
            </w:r>
          </w:p>
        </w:tc>
        <w:tc>
          <w:tcPr>
            <w:tcW w:w="1338" w:type="dxa"/>
            <w:hideMark/>
          </w:tcPr>
          <w:p w14:paraId="66BE5AE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AKT-101</w:t>
            </w:r>
          </w:p>
        </w:tc>
        <w:tc>
          <w:tcPr>
            <w:tcW w:w="0" w:type="auto"/>
            <w:hideMark/>
          </w:tcPr>
          <w:p w14:paraId="2FB32059"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7.72</w:t>
            </w:r>
          </w:p>
        </w:tc>
        <w:tc>
          <w:tcPr>
            <w:tcW w:w="0" w:type="auto"/>
            <w:hideMark/>
          </w:tcPr>
          <w:p w14:paraId="05ECBF8A"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6.42</w:t>
            </w:r>
          </w:p>
        </w:tc>
        <w:tc>
          <w:tcPr>
            <w:tcW w:w="0" w:type="auto"/>
            <w:hideMark/>
          </w:tcPr>
          <w:p w14:paraId="667CD65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20.19</w:t>
            </w:r>
          </w:p>
        </w:tc>
      </w:tr>
      <w:tr w:rsidR="00DF2062" w:rsidRPr="00DF2062" w14:paraId="23FA2165" w14:textId="77777777" w:rsidTr="002D5A15">
        <w:tc>
          <w:tcPr>
            <w:tcW w:w="0" w:type="auto"/>
            <w:hideMark/>
          </w:tcPr>
          <w:p w14:paraId="3E861F72"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2021</w:t>
            </w:r>
          </w:p>
        </w:tc>
        <w:tc>
          <w:tcPr>
            <w:tcW w:w="1115" w:type="dxa"/>
            <w:hideMark/>
          </w:tcPr>
          <w:p w14:paraId="3A7132B4"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50</w:t>
            </w:r>
          </w:p>
        </w:tc>
        <w:tc>
          <w:tcPr>
            <w:tcW w:w="851" w:type="dxa"/>
            <w:hideMark/>
          </w:tcPr>
          <w:p w14:paraId="23B2F88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20</w:t>
            </w:r>
          </w:p>
        </w:tc>
        <w:tc>
          <w:tcPr>
            <w:tcW w:w="1338" w:type="dxa"/>
            <w:hideMark/>
          </w:tcPr>
          <w:p w14:paraId="23F47A41"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NT-11</w:t>
            </w:r>
          </w:p>
        </w:tc>
        <w:tc>
          <w:tcPr>
            <w:tcW w:w="0" w:type="auto"/>
            <w:hideMark/>
          </w:tcPr>
          <w:p w14:paraId="7502E01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11.69</w:t>
            </w:r>
          </w:p>
        </w:tc>
        <w:tc>
          <w:tcPr>
            <w:tcW w:w="0" w:type="auto"/>
            <w:hideMark/>
          </w:tcPr>
          <w:p w14:paraId="0A5B88FB"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9.56</w:t>
            </w:r>
          </w:p>
        </w:tc>
        <w:tc>
          <w:tcPr>
            <w:tcW w:w="0" w:type="auto"/>
            <w:hideMark/>
          </w:tcPr>
          <w:p w14:paraId="74A2C8B1"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22.22</w:t>
            </w:r>
          </w:p>
        </w:tc>
      </w:tr>
      <w:tr w:rsidR="00DF2062" w:rsidRPr="00DF2062" w14:paraId="47F6C4EF" w14:textId="77777777" w:rsidTr="002D5A15">
        <w:tc>
          <w:tcPr>
            <w:tcW w:w="0" w:type="auto"/>
            <w:hideMark/>
          </w:tcPr>
          <w:p w14:paraId="4DDFD32B"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2022</w:t>
            </w:r>
          </w:p>
        </w:tc>
        <w:tc>
          <w:tcPr>
            <w:tcW w:w="1115" w:type="dxa"/>
            <w:hideMark/>
          </w:tcPr>
          <w:p w14:paraId="1EB4EA4C"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25</w:t>
            </w:r>
          </w:p>
        </w:tc>
        <w:tc>
          <w:tcPr>
            <w:tcW w:w="851" w:type="dxa"/>
            <w:hideMark/>
          </w:tcPr>
          <w:p w14:paraId="1D8D18A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10</w:t>
            </w:r>
          </w:p>
        </w:tc>
        <w:tc>
          <w:tcPr>
            <w:tcW w:w="1338" w:type="dxa"/>
            <w:hideMark/>
          </w:tcPr>
          <w:p w14:paraId="48F6F371"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NT-11</w:t>
            </w:r>
          </w:p>
        </w:tc>
        <w:tc>
          <w:tcPr>
            <w:tcW w:w="0" w:type="auto"/>
            <w:hideMark/>
          </w:tcPr>
          <w:p w14:paraId="44E601CE"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12.13</w:t>
            </w:r>
          </w:p>
        </w:tc>
        <w:tc>
          <w:tcPr>
            <w:tcW w:w="0" w:type="auto"/>
            <w:hideMark/>
          </w:tcPr>
          <w:p w14:paraId="46E007D0"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9.59</w:t>
            </w:r>
          </w:p>
        </w:tc>
        <w:tc>
          <w:tcPr>
            <w:tcW w:w="0" w:type="auto"/>
            <w:hideMark/>
          </w:tcPr>
          <w:p w14:paraId="1B98977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26.54</w:t>
            </w:r>
          </w:p>
        </w:tc>
      </w:tr>
      <w:tr w:rsidR="00DF2062" w:rsidRPr="00DF2062" w14:paraId="58BC13BB" w14:textId="77777777" w:rsidTr="002D5A15">
        <w:tc>
          <w:tcPr>
            <w:tcW w:w="0" w:type="auto"/>
            <w:hideMark/>
          </w:tcPr>
          <w:p w14:paraId="60EDDA77"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2023</w:t>
            </w:r>
          </w:p>
        </w:tc>
        <w:tc>
          <w:tcPr>
            <w:tcW w:w="1115" w:type="dxa"/>
            <w:hideMark/>
          </w:tcPr>
          <w:p w14:paraId="1FE2F8A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25</w:t>
            </w:r>
          </w:p>
        </w:tc>
        <w:tc>
          <w:tcPr>
            <w:tcW w:w="851" w:type="dxa"/>
            <w:hideMark/>
          </w:tcPr>
          <w:p w14:paraId="616AB879"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10</w:t>
            </w:r>
          </w:p>
        </w:tc>
        <w:tc>
          <w:tcPr>
            <w:tcW w:w="1338" w:type="dxa"/>
            <w:hideMark/>
          </w:tcPr>
          <w:p w14:paraId="5633D991"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NT-11</w:t>
            </w:r>
          </w:p>
        </w:tc>
        <w:tc>
          <w:tcPr>
            <w:tcW w:w="0" w:type="auto"/>
            <w:hideMark/>
          </w:tcPr>
          <w:p w14:paraId="1E2E60D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11.98</w:t>
            </w:r>
          </w:p>
        </w:tc>
        <w:tc>
          <w:tcPr>
            <w:tcW w:w="0" w:type="auto"/>
            <w:hideMark/>
          </w:tcPr>
          <w:p w14:paraId="74454DA0"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10.21</w:t>
            </w:r>
          </w:p>
        </w:tc>
        <w:tc>
          <w:tcPr>
            <w:tcW w:w="0" w:type="auto"/>
            <w:hideMark/>
          </w:tcPr>
          <w:p w14:paraId="21BFDE3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17.43</w:t>
            </w:r>
          </w:p>
        </w:tc>
      </w:tr>
      <w:tr w:rsidR="00DF2062" w:rsidRPr="00DF2062" w14:paraId="612E8C4B" w14:textId="77777777" w:rsidTr="002D5A15">
        <w:tc>
          <w:tcPr>
            <w:tcW w:w="0" w:type="auto"/>
            <w:hideMark/>
          </w:tcPr>
          <w:p w14:paraId="424DD888"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2024</w:t>
            </w:r>
          </w:p>
        </w:tc>
        <w:tc>
          <w:tcPr>
            <w:tcW w:w="1115" w:type="dxa"/>
            <w:hideMark/>
          </w:tcPr>
          <w:p w14:paraId="3F78ACF4"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50</w:t>
            </w:r>
          </w:p>
        </w:tc>
        <w:tc>
          <w:tcPr>
            <w:tcW w:w="851" w:type="dxa"/>
            <w:hideMark/>
          </w:tcPr>
          <w:p w14:paraId="138FD46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20</w:t>
            </w:r>
          </w:p>
        </w:tc>
        <w:tc>
          <w:tcPr>
            <w:tcW w:w="1338" w:type="dxa"/>
            <w:hideMark/>
          </w:tcPr>
          <w:p w14:paraId="0FD50D87"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NT-11</w:t>
            </w:r>
          </w:p>
        </w:tc>
        <w:tc>
          <w:tcPr>
            <w:tcW w:w="0" w:type="auto"/>
            <w:hideMark/>
          </w:tcPr>
          <w:p w14:paraId="7B74A2CC"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12.06</w:t>
            </w:r>
          </w:p>
        </w:tc>
        <w:tc>
          <w:tcPr>
            <w:tcW w:w="0" w:type="auto"/>
            <w:hideMark/>
          </w:tcPr>
          <w:p w14:paraId="4496532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10.09</w:t>
            </w:r>
          </w:p>
        </w:tc>
        <w:tc>
          <w:tcPr>
            <w:tcW w:w="0" w:type="auto"/>
            <w:hideMark/>
          </w:tcPr>
          <w:p w14:paraId="5600364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19.55</w:t>
            </w:r>
          </w:p>
        </w:tc>
      </w:tr>
    </w:tbl>
    <w:p w14:paraId="13A01A93" w14:textId="77777777" w:rsidR="00DF2062" w:rsidRPr="00DF2062"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p>
    <w:p w14:paraId="51C8FEEC" w14:textId="25178D9A" w:rsidR="00DF2062" w:rsidRPr="00DF2062"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3.2 Economic Analysis</w:t>
      </w:r>
    </w:p>
    <w:p w14:paraId="5FB0A8BC" w14:textId="781BAF87" w:rsidR="00AE12BA" w:rsidRDefault="00AE12BA" w:rsidP="00AE12BA">
      <w:pPr>
        <w:pStyle w:val="NormalWeb"/>
        <w:jc w:val="both"/>
      </w:pPr>
      <w:r>
        <w:t>For any agricultural innovation to achieve widespread horizontal adoption, it must demonstrate robust economic viability. The economic indicators (Table 2) illustrate that while the demonstration plots incurred a marginally higher cost of cultivation primarily attributable to the procurement of certified quality seeds, seed treatment chemicals, and balanced synthetic fertilizers—the commensurate financial returns were disproportionately higher.</w:t>
      </w:r>
    </w:p>
    <w:p w14:paraId="17461FE6" w14:textId="514BB590" w:rsidR="00AE12BA" w:rsidRDefault="00AE12BA" w:rsidP="00AE12BA">
      <w:pPr>
        <w:pStyle w:val="NormalWeb"/>
        <w:jc w:val="both"/>
      </w:pPr>
      <w:r>
        <w:lastRenderedPageBreak/>
        <w:t xml:space="preserve">The net returns from the CFLD plots exhibited consistent superiority, peaking at ₹36,850.00/ha in 2021. Furthermore, the standard Benefit-Cost (B:C) ratio remained highly </w:t>
      </w:r>
      <w:proofErr w:type="spellStart"/>
      <w:r>
        <w:t>favorable</w:t>
      </w:r>
      <w:proofErr w:type="spellEnd"/>
      <w:r>
        <w:t xml:space="preserve"> for the demonstrated practices, fluctuating between 2.07 and 2.57, compared to a modest 1.43 to 1.84 observed in local practices. This establishes that the supplemental investment in improved technologies yields a highly positive and secure baseline economic return for the farming community</w:t>
      </w:r>
      <w:r w:rsidR="00BA223B">
        <w:t xml:space="preserve"> (Thakare et al., 2025)</w:t>
      </w:r>
    </w:p>
    <w:p w14:paraId="593EAB11" w14:textId="77777777" w:rsidR="00DF2062" w:rsidRPr="00DF2062" w:rsidRDefault="00DF2062" w:rsidP="00DF2062">
      <w:pPr>
        <w:spacing w:after="100" w:afterAutospacing="1" w:line="240" w:lineRule="auto"/>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Table 2: Economic viability and profitability of Sesame under CFLDs</w:t>
      </w:r>
    </w:p>
    <w:tbl>
      <w:tblPr>
        <w:tblStyle w:val="TableGrid"/>
        <w:tblW w:w="9682" w:type="dxa"/>
        <w:tblLook w:val="04A0" w:firstRow="1" w:lastRow="0" w:firstColumn="1" w:lastColumn="0" w:noHBand="0" w:noVBand="1"/>
      </w:tblPr>
      <w:tblGrid>
        <w:gridCol w:w="681"/>
        <w:gridCol w:w="1161"/>
        <w:gridCol w:w="1167"/>
        <w:gridCol w:w="1236"/>
        <w:gridCol w:w="1241"/>
        <w:gridCol w:w="1217"/>
        <w:gridCol w:w="1222"/>
        <w:gridCol w:w="854"/>
        <w:gridCol w:w="903"/>
      </w:tblGrid>
      <w:tr w:rsidR="00DF2062" w:rsidRPr="00DF2062" w14:paraId="36B23660" w14:textId="77777777" w:rsidTr="00DF2062">
        <w:trPr>
          <w:trHeight w:val="1026"/>
        </w:trPr>
        <w:tc>
          <w:tcPr>
            <w:tcW w:w="0" w:type="auto"/>
            <w:hideMark/>
          </w:tcPr>
          <w:p w14:paraId="543589F6"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Year</w:t>
            </w:r>
          </w:p>
        </w:tc>
        <w:tc>
          <w:tcPr>
            <w:tcW w:w="0" w:type="auto"/>
            <w:hideMark/>
          </w:tcPr>
          <w:p w14:paraId="24FA7397"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Cost Demo (₹/ha)</w:t>
            </w:r>
          </w:p>
        </w:tc>
        <w:tc>
          <w:tcPr>
            <w:tcW w:w="0" w:type="auto"/>
            <w:hideMark/>
          </w:tcPr>
          <w:p w14:paraId="37313DCD"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Cost Check (₹/ha)</w:t>
            </w:r>
          </w:p>
        </w:tc>
        <w:tc>
          <w:tcPr>
            <w:tcW w:w="0" w:type="auto"/>
            <w:hideMark/>
          </w:tcPr>
          <w:p w14:paraId="771CA20F"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Gross Return Demo (₹/ha)</w:t>
            </w:r>
          </w:p>
        </w:tc>
        <w:tc>
          <w:tcPr>
            <w:tcW w:w="0" w:type="auto"/>
            <w:hideMark/>
          </w:tcPr>
          <w:p w14:paraId="20820952"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Gross Return Check (₹/ha)</w:t>
            </w:r>
          </w:p>
        </w:tc>
        <w:tc>
          <w:tcPr>
            <w:tcW w:w="0" w:type="auto"/>
            <w:hideMark/>
          </w:tcPr>
          <w:p w14:paraId="37AC499C"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Net Return Demo (₹/ha)</w:t>
            </w:r>
          </w:p>
        </w:tc>
        <w:tc>
          <w:tcPr>
            <w:tcW w:w="0" w:type="auto"/>
            <w:hideMark/>
          </w:tcPr>
          <w:p w14:paraId="6790AFB3"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Net Return Check (₹/ha)</w:t>
            </w:r>
          </w:p>
        </w:tc>
        <w:tc>
          <w:tcPr>
            <w:tcW w:w="0" w:type="auto"/>
            <w:hideMark/>
          </w:tcPr>
          <w:p w14:paraId="34B1518D"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B:C Ratio Demo</w:t>
            </w:r>
          </w:p>
        </w:tc>
        <w:tc>
          <w:tcPr>
            <w:tcW w:w="0" w:type="auto"/>
            <w:hideMark/>
          </w:tcPr>
          <w:p w14:paraId="11925ACD"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B:C Ratio Check</w:t>
            </w:r>
          </w:p>
        </w:tc>
      </w:tr>
      <w:tr w:rsidR="00DF2062" w:rsidRPr="00DF2062" w14:paraId="11DA416F" w14:textId="77777777" w:rsidTr="00DF2062">
        <w:trPr>
          <w:trHeight w:val="518"/>
        </w:trPr>
        <w:tc>
          <w:tcPr>
            <w:tcW w:w="0" w:type="auto"/>
            <w:hideMark/>
          </w:tcPr>
          <w:p w14:paraId="6DDCDAC9"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2020</w:t>
            </w:r>
          </w:p>
        </w:tc>
        <w:tc>
          <w:tcPr>
            <w:tcW w:w="0" w:type="auto"/>
            <w:hideMark/>
          </w:tcPr>
          <w:p w14:paraId="4CC25006"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24,712.00</w:t>
            </w:r>
          </w:p>
        </w:tc>
        <w:tc>
          <w:tcPr>
            <w:tcW w:w="0" w:type="auto"/>
            <w:hideMark/>
          </w:tcPr>
          <w:p w14:paraId="5584CB86"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22,864.00</w:t>
            </w:r>
          </w:p>
        </w:tc>
        <w:tc>
          <w:tcPr>
            <w:tcW w:w="0" w:type="auto"/>
            <w:hideMark/>
          </w:tcPr>
          <w:p w14:paraId="6280A93F"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51,070.00</w:t>
            </w:r>
          </w:p>
        </w:tc>
        <w:tc>
          <w:tcPr>
            <w:tcW w:w="0" w:type="auto"/>
            <w:hideMark/>
          </w:tcPr>
          <w:p w14:paraId="7CE9C05B"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32,612.00</w:t>
            </w:r>
          </w:p>
        </w:tc>
        <w:tc>
          <w:tcPr>
            <w:tcW w:w="0" w:type="auto"/>
            <w:hideMark/>
          </w:tcPr>
          <w:p w14:paraId="2E856788"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26,358.00</w:t>
            </w:r>
          </w:p>
        </w:tc>
        <w:tc>
          <w:tcPr>
            <w:tcW w:w="0" w:type="auto"/>
            <w:hideMark/>
          </w:tcPr>
          <w:p w14:paraId="4EE1ABA4"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9,748.00</w:t>
            </w:r>
          </w:p>
        </w:tc>
        <w:tc>
          <w:tcPr>
            <w:tcW w:w="0" w:type="auto"/>
            <w:hideMark/>
          </w:tcPr>
          <w:p w14:paraId="4282873F"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2.07</w:t>
            </w:r>
          </w:p>
        </w:tc>
        <w:tc>
          <w:tcPr>
            <w:tcW w:w="0" w:type="auto"/>
            <w:hideMark/>
          </w:tcPr>
          <w:p w14:paraId="248B5F78"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1.43</w:t>
            </w:r>
          </w:p>
        </w:tc>
      </w:tr>
      <w:tr w:rsidR="00DF2062" w:rsidRPr="00DF2062" w14:paraId="5AAB4AA1" w14:textId="77777777" w:rsidTr="00DF2062">
        <w:trPr>
          <w:trHeight w:val="508"/>
        </w:trPr>
        <w:tc>
          <w:tcPr>
            <w:tcW w:w="0" w:type="auto"/>
            <w:hideMark/>
          </w:tcPr>
          <w:p w14:paraId="7D0CF3B2"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2021</w:t>
            </w:r>
          </w:p>
        </w:tc>
        <w:tc>
          <w:tcPr>
            <w:tcW w:w="0" w:type="auto"/>
            <w:hideMark/>
          </w:tcPr>
          <w:p w14:paraId="74EDF297"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23,450.00</w:t>
            </w:r>
          </w:p>
        </w:tc>
        <w:tc>
          <w:tcPr>
            <w:tcW w:w="0" w:type="auto"/>
            <w:hideMark/>
          </w:tcPr>
          <w:p w14:paraId="67807FAB"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22,560.00</w:t>
            </w:r>
          </w:p>
        </w:tc>
        <w:tc>
          <w:tcPr>
            <w:tcW w:w="0" w:type="auto"/>
            <w:hideMark/>
          </w:tcPr>
          <w:p w14:paraId="47AEA3DA"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60,300.00</w:t>
            </w:r>
          </w:p>
        </w:tc>
        <w:tc>
          <w:tcPr>
            <w:tcW w:w="0" w:type="auto"/>
            <w:hideMark/>
          </w:tcPr>
          <w:p w14:paraId="11D0CF25"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39,560.00</w:t>
            </w:r>
          </w:p>
        </w:tc>
        <w:tc>
          <w:tcPr>
            <w:tcW w:w="0" w:type="auto"/>
            <w:hideMark/>
          </w:tcPr>
          <w:p w14:paraId="12A775F7"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36,850.00</w:t>
            </w:r>
          </w:p>
        </w:tc>
        <w:tc>
          <w:tcPr>
            <w:tcW w:w="0" w:type="auto"/>
            <w:hideMark/>
          </w:tcPr>
          <w:p w14:paraId="3D654F0F"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17,000.00</w:t>
            </w:r>
          </w:p>
        </w:tc>
        <w:tc>
          <w:tcPr>
            <w:tcW w:w="0" w:type="auto"/>
            <w:hideMark/>
          </w:tcPr>
          <w:p w14:paraId="7296D37B"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2.57</w:t>
            </w:r>
          </w:p>
        </w:tc>
        <w:tc>
          <w:tcPr>
            <w:tcW w:w="0" w:type="auto"/>
            <w:hideMark/>
          </w:tcPr>
          <w:p w14:paraId="1F3BF824"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1.75</w:t>
            </w:r>
          </w:p>
        </w:tc>
      </w:tr>
      <w:tr w:rsidR="00DF2062" w:rsidRPr="00DF2062" w14:paraId="6D4C409F" w14:textId="77777777" w:rsidTr="00DF2062">
        <w:trPr>
          <w:trHeight w:val="518"/>
        </w:trPr>
        <w:tc>
          <w:tcPr>
            <w:tcW w:w="0" w:type="auto"/>
            <w:hideMark/>
          </w:tcPr>
          <w:p w14:paraId="785ADC40"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2022</w:t>
            </w:r>
          </w:p>
        </w:tc>
        <w:tc>
          <w:tcPr>
            <w:tcW w:w="0" w:type="auto"/>
            <w:hideMark/>
          </w:tcPr>
          <w:p w14:paraId="50C07451"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24,938.68</w:t>
            </w:r>
          </w:p>
        </w:tc>
        <w:tc>
          <w:tcPr>
            <w:tcW w:w="0" w:type="auto"/>
            <w:hideMark/>
          </w:tcPr>
          <w:p w14:paraId="023B2504"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24,569.00</w:t>
            </w:r>
          </w:p>
        </w:tc>
        <w:tc>
          <w:tcPr>
            <w:tcW w:w="0" w:type="auto"/>
            <w:hideMark/>
          </w:tcPr>
          <w:p w14:paraId="3207B8E9"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61,723.44</w:t>
            </w:r>
          </w:p>
        </w:tc>
        <w:tc>
          <w:tcPr>
            <w:tcW w:w="0" w:type="auto"/>
            <w:hideMark/>
          </w:tcPr>
          <w:p w14:paraId="6D4D8DCC"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40,628.12</w:t>
            </w:r>
          </w:p>
        </w:tc>
        <w:tc>
          <w:tcPr>
            <w:tcW w:w="0" w:type="auto"/>
            <w:hideMark/>
          </w:tcPr>
          <w:p w14:paraId="5345C312"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36,784.76</w:t>
            </w:r>
          </w:p>
        </w:tc>
        <w:tc>
          <w:tcPr>
            <w:tcW w:w="0" w:type="auto"/>
            <w:hideMark/>
          </w:tcPr>
          <w:p w14:paraId="36595C09"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16,059.12</w:t>
            </w:r>
          </w:p>
        </w:tc>
        <w:tc>
          <w:tcPr>
            <w:tcW w:w="0" w:type="auto"/>
            <w:hideMark/>
          </w:tcPr>
          <w:p w14:paraId="1D2C9E96"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2.47</w:t>
            </w:r>
          </w:p>
        </w:tc>
        <w:tc>
          <w:tcPr>
            <w:tcW w:w="0" w:type="auto"/>
            <w:hideMark/>
          </w:tcPr>
          <w:p w14:paraId="53CCA7C0"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1.65</w:t>
            </w:r>
          </w:p>
        </w:tc>
      </w:tr>
      <w:tr w:rsidR="00DF2062" w:rsidRPr="00DF2062" w14:paraId="1112DFC1" w14:textId="77777777" w:rsidTr="00DF2062">
        <w:trPr>
          <w:trHeight w:val="518"/>
        </w:trPr>
        <w:tc>
          <w:tcPr>
            <w:tcW w:w="0" w:type="auto"/>
            <w:hideMark/>
          </w:tcPr>
          <w:p w14:paraId="215805BB"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2023</w:t>
            </w:r>
          </w:p>
        </w:tc>
        <w:tc>
          <w:tcPr>
            <w:tcW w:w="0" w:type="auto"/>
            <w:hideMark/>
          </w:tcPr>
          <w:p w14:paraId="48E0950D"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25,573.04</w:t>
            </w:r>
          </w:p>
        </w:tc>
        <w:tc>
          <w:tcPr>
            <w:tcW w:w="0" w:type="auto"/>
            <w:hideMark/>
          </w:tcPr>
          <w:p w14:paraId="6AC2DD73"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25,054.43</w:t>
            </w:r>
          </w:p>
        </w:tc>
        <w:tc>
          <w:tcPr>
            <w:tcW w:w="0" w:type="auto"/>
            <w:hideMark/>
          </w:tcPr>
          <w:p w14:paraId="50B67ACA"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54,152.21</w:t>
            </w:r>
          </w:p>
        </w:tc>
        <w:tc>
          <w:tcPr>
            <w:tcW w:w="0" w:type="auto"/>
            <w:hideMark/>
          </w:tcPr>
          <w:p w14:paraId="03917473"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46,113.12</w:t>
            </w:r>
          </w:p>
        </w:tc>
        <w:tc>
          <w:tcPr>
            <w:tcW w:w="0" w:type="auto"/>
            <w:hideMark/>
          </w:tcPr>
          <w:p w14:paraId="7E2D03D0"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28,579.17</w:t>
            </w:r>
          </w:p>
        </w:tc>
        <w:tc>
          <w:tcPr>
            <w:tcW w:w="0" w:type="auto"/>
            <w:hideMark/>
          </w:tcPr>
          <w:p w14:paraId="1FF850EE"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21,058.69</w:t>
            </w:r>
          </w:p>
        </w:tc>
        <w:tc>
          <w:tcPr>
            <w:tcW w:w="0" w:type="auto"/>
            <w:hideMark/>
          </w:tcPr>
          <w:p w14:paraId="1445726F"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2.12</w:t>
            </w:r>
          </w:p>
        </w:tc>
        <w:tc>
          <w:tcPr>
            <w:tcW w:w="0" w:type="auto"/>
            <w:hideMark/>
          </w:tcPr>
          <w:p w14:paraId="4743DA1A"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1.84</w:t>
            </w:r>
          </w:p>
        </w:tc>
      </w:tr>
      <w:tr w:rsidR="00DF2062" w:rsidRPr="00DF2062" w14:paraId="7925818A" w14:textId="77777777" w:rsidTr="00DF2062">
        <w:trPr>
          <w:trHeight w:val="508"/>
        </w:trPr>
        <w:tc>
          <w:tcPr>
            <w:tcW w:w="0" w:type="auto"/>
            <w:hideMark/>
          </w:tcPr>
          <w:p w14:paraId="1C1EAD75"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b/>
                <w:bCs/>
                <w:kern w:val="0"/>
                <w:lang w:eastAsia="en-IN" w:bidi="hi-IN"/>
                <w14:ligatures w14:val="none"/>
              </w:rPr>
              <w:t>2024</w:t>
            </w:r>
          </w:p>
        </w:tc>
        <w:tc>
          <w:tcPr>
            <w:tcW w:w="0" w:type="auto"/>
            <w:hideMark/>
          </w:tcPr>
          <w:p w14:paraId="5FF119C6"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25,573.04</w:t>
            </w:r>
          </w:p>
        </w:tc>
        <w:tc>
          <w:tcPr>
            <w:tcW w:w="0" w:type="auto"/>
            <w:hideMark/>
          </w:tcPr>
          <w:p w14:paraId="3F76AA94"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25,054.43</w:t>
            </w:r>
          </w:p>
        </w:tc>
        <w:tc>
          <w:tcPr>
            <w:tcW w:w="0" w:type="auto"/>
            <w:hideMark/>
          </w:tcPr>
          <w:p w14:paraId="467ACDF3"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54,485.00</w:t>
            </w:r>
          </w:p>
        </w:tc>
        <w:tc>
          <w:tcPr>
            <w:tcW w:w="0" w:type="auto"/>
            <w:hideMark/>
          </w:tcPr>
          <w:p w14:paraId="703BC97A"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45,553.00</w:t>
            </w:r>
          </w:p>
        </w:tc>
        <w:tc>
          <w:tcPr>
            <w:tcW w:w="0" w:type="auto"/>
            <w:hideMark/>
          </w:tcPr>
          <w:p w14:paraId="40AD443B"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28,912.00</w:t>
            </w:r>
          </w:p>
        </w:tc>
        <w:tc>
          <w:tcPr>
            <w:tcW w:w="0" w:type="auto"/>
            <w:hideMark/>
          </w:tcPr>
          <w:p w14:paraId="521F6F76"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20,499.00</w:t>
            </w:r>
          </w:p>
        </w:tc>
        <w:tc>
          <w:tcPr>
            <w:tcW w:w="0" w:type="auto"/>
            <w:hideMark/>
          </w:tcPr>
          <w:p w14:paraId="1B03EE84"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2.13</w:t>
            </w:r>
          </w:p>
        </w:tc>
        <w:tc>
          <w:tcPr>
            <w:tcW w:w="0" w:type="auto"/>
            <w:hideMark/>
          </w:tcPr>
          <w:p w14:paraId="00E1FFF8" w14:textId="77777777" w:rsidR="00DF2062" w:rsidRPr="00DF2062" w:rsidRDefault="00DF2062" w:rsidP="00DF2062">
            <w:pPr>
              <w:rPr>
                <w:rFonts w:ascii="Times New Roman" w:eastAsia="Times New Roman" w:hAnsi="Times New Roman" w:cs="Times New Roman"/>
                <w:kern w:val="0"/>
                <w:lang w:eastAsia="en-IN" w:bidi="hi-IN"/>
                <w14:ligatures w14:val="none"/>
              </w:rPr>
            </w:pPr>
            <w:r w:rsidRPr="00DF2062">
              <w:rPr>
                <w:rFonts w:ascii="Times New Roman" w:eastAsia="Times New Roman" w:hAnsi="Times New Roman" w:cs="Times New Roman"/>
                <w:kern w:val="0"/>
                <w:lang w:eastAsia="en-IN" w:bidi="hi-IN"/>
                <w14:ligatures w14:val="none"/>
              </w:rPr>
              <w:t>1.82</w:t>
            </w:r>
          </w:p>
        </w:tc>
      </w:tr>
    </w:tbl>
    <w:p w14:paraId="08479782" w14:textId="77777777" w:rsidR="00DF2062" w:rsidRPr="00DF2062"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p>
    <w:p w14:paraId="2EE79108" w14:textId="460D5375" w:rsidR="00DF2062" w:rsidRPr="00DF2062"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3.3 Extension Gap and Additional Profitability</w:t>
      </w:r>
    </w:p>
    <w:p w14:paraId="7A897724" w14:textId="63B3284A" w:rsidR="00AE12BA" w:rsidRDefault="00AE12BA" w:rsidP="00AE12BA">
      <w:pPr>
        <w:pStyle w:val="NormalWeb"/>
        <w:jc w:val="both"/>
      </w:pPr>
      <w:r>
        <w:t>Beyond baseline profitability, an analysis of the absolute yield differences provides profound insight into the functional value of the agricultural interventions. The extension gap which quantifies the untapped yield potential currently lost under traditional local farming conditions ranged from a minimum of 1.30 q/ha in 2020 to a maximum of 2.54 q/ha in 2022.</w:t>
      </w:r>
    </w:p>
    <w:p w14:paraId="06ACA9BA" w14:textId="0C303DE3" w:rsidR="00AE12BA" w:rsidRDefault="00AE12BA" w:rsidP="00AE12BA">
      <w:pPr>
        <w:pStyle w:val="NormalWeb"/>
        <w:jc w:val="both"/>
      </w:pPr>
      <w:r>
        <w:t xml:space="preserve">Successfully bridging this yield deficit through targeted CFLD interventions translated into substantial financial dividends for the participating farmers. The systematic adoption of the NT-11 and AKT-101 technology packages generated a mean additional net income of ₹14,623.82/ha over traditional practices. This tangible financial dividend acts as a powerful catalyst, motivating the horizontal dissemination of these demonstrated technologies to </w:t>
      </w:r>
      <w:proofErr w:type="spellStart"/>
      <w:r>
        <w:t>neighboring</w:t>
      </w:r>
      <w:proofErr w:type="spellEnd"/>
      <w:r>
        <w:t xml:space="preserve"> non-beneficiary farmers.</w:t>
      </w:r>
      <w:r w:rsidR="00ED754D">
        <w:t xml:space="preserve"> The above findings are similar with the findings of Dubey et al., (2010) and Yadav et al., (2004)</w:t>
      </w:r>
    </w:p>
    <w:p w14:paraId="7D4E6D0A" w14:textId="77777777" w:rsidR="00DF2062" w:rsidRPr="00DF2062" w:rsidRDefault="00DF2062" w:rsidP="00DF2062">
      <w:pPr>
        <w:spacing w:after="100" w:afterAutospacing="1" w:line="240" w:lineRule="auto"/>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Table 3: Extension gap and additional economic benefits of CFLDs in Sesame</w:t>
      </w:r>
    </w:p>
    <w:tbl>
      <w:tblPr>
        <w:tblStyle w:val="TableGrid"/>
        <w:tblW w:w="0" w:type="auto"/>
        <w:tblLook w:val="04A0" w:firstRow="1" w:lastRow="0" w:firstColumn="1" w:lastColumn="0" w:noHBand="0" w:noVBand="1"/>
      </w:tblPr>
      <w:tblGrid>
        <w:gridCol w:w="803"/>
        <w:gridCol w:w="2032"/>
        <w:gridCol w:w="2751"/>
        <w:gridCol w:w="3430"/>
      </w:tblGrid>
      <w:tr w:rsidR="00DF2062" w:rsidRPr="00DF2062" w14:paraId="697223C2" w14:textId="77777777" w:rsidTr="00DF2062">
        <w:tc>
          <w:tcPr>
            <w:tcW w:w="0" w:type="auto"/>
            <w:hideMark/>
          </w:tcPr>
          <w:p w14:paraId="44BA10BE"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Year</w:t>
            </w:r>
          </w:p>
        </w:tc>
        <w:tc>
          <w:tcPr>
            <w:tcW w:w="0" w:type="auto"/>
            <w:hideMark/>
          </w:tcPr>
          <w:p w14:paraId="3121297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Extension Gap (q/ha)</w:t>
            </w:r>
          </w:p>
        </w:tc>
        <w:tc>
          <w:tcPr>
            <w:tcW w:w="0" w:type="auto"/>
            <w:hideMark/>
          </w:tcPr>
          <w:p w14:paraId="60403E9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Additional Cost of Demo (₹/ha)</w:t>
            </w:r>
          </w:p>
        </w:tc>
        <w:tc>
          <w:tcPr>
            <w:tcW w:w="0" w:type="auto"/>
            <w:hideMark/>
          </w:tcPr>
          <w:p w14:paraId="1BAD7BC6"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Additional Net Return over Check (₹/ha)</w:t>
            </w:r>
          </w:p>
        </w:tc>
      </w:tr>
      <w:tr w:rsidR="00DF2062" w:rsidRPr="00DF2062" w14:paraId="0B1027A0" w14:textId="77777777" w:rsidTr="00DF2062">
        <w:tc>
          <w:tcPr>
            <w:tcW w:w="0" w:type="auto"/>
            <w:hideMark/>
          </w:tcPr>
          <w:p w14:paraId="5AD2B898"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2020</w:t>
            </w:r>
          </w:p>
        </w:tc>
        <w:tc>
          <w:tcPr>
            <w:tcW w:w="0" w:type="auto"/>
            <w:hideMark/>
          </w:tcPr>
          <w:p w14:paraId="6100875E"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1.30</w:t>
            </w:r>
          </w:p>
        </w:tc>
        <w:tc>
          <w:tcPr>
            <w:tcW w:w="0" w:type="auto"/>
            <w:hideMark/>
          </w:tcPr>
          <w:p w14:paraId="6C560D6B"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1,848.00</w:t>
            </w:r>
          </w:p>
        </w:tc>
        <w:tc>
          <w:tcPr>
            <w:tcW w:w="0" w:type="auto"/>
            <w:hideMark/>
          </w:tcPr>
          <w:p w14:paraId="3C4DADC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16,610.00</w:t>
            </w:r>
          </w:p>
        </w:tc>
      </w:tr>
      <w:tr w:rsidR="00DF2062" w:rsidRPr="00DF2062" w14:paraId="6A02023E" w14:textId="77777777" w:rsidTr="00DF2062">
        <w:tc>
          <w:tcPr>
            <w:tcW w:w="0" w:type="auto"/>
            <w:hideMark/>
          </w:tcPr>
          <w:p w14:paraId="05CCDC6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2021</w:t>
            </w:r>
          </w:p>
        </w:tc>
        <w:tc>
          <w:tcPr>
            <w:tcW w:w="0" w:type="auto"/>
            <w:hideMark/>
          </w:tcPr>
          <w:p w14:paraId="1F30F706"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2.13</w:t>
            </w:r>
          </w:p>
        </w:tc>
        <w:tc>
          <w:tcPr>
            <w:tcW w:w="0" w:type="auto"/>
            <w:hideMark/>
          </w:tcPr>
          <w:p w14:paraId="34816836"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890.00</w:t>
            </w:r>
          </w:p>
        </w:tc>
        <w:tc>
          <w:tcPr>
            <w:tcW w:w="0" w:type="auto"/>
            <w:hideMark/>
          </w:tcPr>
          <w:p w14:paraId="6387C0F2"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19,850.00</w:t>
            </w:r>
          </w:p>
        </w:tc>
      </w:tr>
      <w:tr w:rsidR="00DF2062" w:rsidRPr="00DF2062" w14:paraId="54AA2410" w14:textId="77777777" w:rsidTr="00DF2062">
        <w:tc>
          <w:tcPr>
            <w:tcW w:w="0" w:type="auto"/>
            <w:hideMark/>
          </w:tcPr>
          <w:p w14:paraId="6A1CE7C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2022</w:t>
            </w:r>
          </w:p>
        </w:tc>
        <w:tc>
          <w:tcPr>
            <w:tcW w:w="0" w:type="auto"/>
            <w:hideMark/>
          </w:tcPr>
          <w:p w14:paraId="71F59729"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2.54</w:t>
            </w:r>
          </w:p>
        </w:tc>
        <w:tc>
          <w:tcPr>
            <w:tcW w:w="0" w:type="auto"/>
            <w:hideMark/>
          </w:tcPr>
          <w:p w14:paraId="75B4EB1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369.68</w:t>
            </w:r>
          </w:p>
        </w:tc>
        <w:tc>
          <w:tcPr>
            <w:tcW w:w="0" w:type="auto"/>
            <w:hideMark/>
          </w:tcPr>
          <w:p w14:paraId="38ACB50A"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20,725.64</w:t>
            </w:r>
          </w:p>
        </w:tc>
      </w:tr>
      <w:tr w:rsidR="00DF2062" w:rsidRPr="00DF2062" w14:paraId="14A6C70D" w14:textId="77777777" w:rsidTr="00DF2062">
        <w:tc>
          <w:tcPr>
            <w:tcW w:w="0" w:type="auto"/>
            <w:hideMark/>
          </w:tcPr>
          <w:p w14:paraId="1E365514"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2023</w:t>
            </w:r>
          </w:p>
        </w:tc>
        <w:tc>
          <w:tcPr>
            <w:tcW w:w="0" w:type="auto"/>
            <w:hideMark/>
          </w:tcPr>
          <w:p w14:paraId="256A9CE2"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1.77</w:t>
            </w:r>
          </w:p>
        </w:tc>
        <w:tc>
          <w:tcPr>
            <w:tcW w:w="0" w:type="auto"/>
            <w:hideMark/>
          </w:tcPr>
          <w:p w14:paraId="061161EC"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518.61</w:t>
            </w:r>
          </w:p>
        </w:tc>
        <w:tc>
          <w:tcPr>
            <w:tcW w:w="0" w:type="auto"/>
            <w:hideMark/>
          </w:tcPr>
          <w:p w14:paraId="63E649B6"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7,520.48</w:t>
            </w:r>
          </w:p>
        </w:tc>
      </w:tr>
      <w:tr w:rsidR="00DF2062" w:rsidRPr="00DF2062" w14:paraId="5E10621F" w14:textId="77777777" w:rsidTr="00DF2062">
        <w:tc>
          <w:tcPr>
            <w:tcW w:w="0" w:type="auto"/>
            <w:hideMark/>
          </w:tcPr>
          <w:p w14:paraId="5D2F01D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2024</w:t>
            </w:r>
          </w:p>
        </w:tc>
        <w:tc>
          <w:tcPr>
            <w:tcW w:w="0" w:type="auto"/>
            <w:hideMark/>
          </w:tcPr>
          <w:p w14:paraId="6F66267C"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1.97</w:t>
            </w:r>
          </w:p>
        </w:tc>
        <w:tc>
          <w:tcPr>
            <w:tcW w:w="0" w:type="auto"/>
            <w:hideMark/>
          </w:tcPr>
          <w:p w14:paraId="3CDF68A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518.61</w:t>
            </w:r>
          </w:p>
        </w:tc>
        <w:tc>
          <w:tcPr>
            <w:tcW w:w="0" w:type="auto"/>
            <w:hideMark/>
          </w:tcPr>
          <w:p w14:paraId="61BE56AF"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8,413.00</w:t>
            </w:r>
          </w:p>
        </w:tc>
      </w:tr>
      <w:tr w:rsidR="00DF2062" w:rsidRPr="00DF2062" w14:paraId="3F617446" w14:textId="77777777" w:rsidTr="00DF2062">
        <w:tc>
          <w:tcPr>
            <w:tcW w:w="0" w:type="auto"/>
            <w:hideMark/>
          </w:tcPr>
          <w:p w14:paraId="35912457"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Mean</w:t>
            </w:r>
          </w:p>
        </w:tc>
        <w:tc>
          <w:tcPr>
            <w:tcW w:w="0" w:type="auto"/>
            <w:hideMark/>
          </w:tcPr>
          <w:p w14:paraId="1C2BF8B9"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1.94</w:t>
            </w:r>
          </w:p>
        </w:tc>
        <w:tc>
          <w:tcPr>
            <w:tcW w:w="0" w:type="auto"/>
            <w:hideMark/>
          </w:tcPr>
          <w:p w14:paraId="5DF17FE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828.98</w:t>
            </w:r>
          </w:p>
        </w:tc>
        <w:tc>
          <w:tcPr>
            <w:tcW w:w="0" w:type="auto"/>
            <w:hideMark/>
          </w:tcPr>
          <w:p w14:paraId="14C40787"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14,623.82</w:t>
            </w:r>
          </w:p>
        </w:tc>
      </w:tr>
    </w:tbl>
    <w:p w14:paraId="7CC847FA" w14:textId="77777777" w:rsidR="00DF2062" w:rsidRPr="00DF2062"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p>
    <w:p w14:paraId="18B67E0B" w14:textId="2CA97A5F" w:rsidR="00DF2062" w:rsidRPr="00DF2062"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3.4 Incremental Return on Investment (IBCR)</w:t>
      </w:r>
    </w:p>
    <w:p w14:paraId="109A7A5D" w14:textId="77777777" w:rsidR="00E94391" w:rsidRDefault="00E94391" w:rsidP="00E94391">
      <w:pPr>
        <w:pStyle w:val="NormalWeb"/>
        <w:jc w:val="both"/>
      </w:pPr>
      <w:r>
        <w:t>To strictly evaluate the marginal efficiency of the additional capital invested in the improved technologies, the Incremental Benefit-Cost Ratio (IBCR) was computed. The IBCR metrics were exceptionally high throughout the study duration, conclusively demonstrating that the slight escalation in cultivation costs (averaging an additional ₹828.98/ha for quality seeds, seed treatment, and balanced fertilizers) was overwhelmingly justified.</w:t>
      </w:r>
    </w:p>
    <w:p w14:paraId="1154F377" w14:textId="77777777" w:rsidR="00E94391" w:rsidRDefault="00E94391" w:rsidP="00E94391">
      <w:pPr>
        <w:pStyle w:val="NormalWeb"/>
        <w:jc w:val="both"/>
      </w:pPr>
      <w:r>
        <w:t>For instance, during the 2022 season, the IBCR peaked at an extraordinary 57.06. In 2021, for every single additional rupee invested in the demonstrated technology package over the local practice, farmers realized an incremental gross return of ₹23.30. These elevated IBCR values unequivocally confirm that the recommended technology package is not only highly productive but also economically resilient and risk-aversive, making it exceptionally well-suited for resource-constrained small and marginal farmers.</w:t>
      </w:r>
    </w:p>
    <w:p w14:paraId="37C59501" w14:textId="77777777" w:rsidR="00DF2062" w:rsidRPr="00DF2062" w:rsidRDefault="00DF2062" w:rsidP="00DF2062">
      <w:pPr>
        <w:spacing w:after="100" w:afterAutospacing="1" w:line="240" w:lineRule="auto"/>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Table 4: Incremental Benefit-Cost Ratio (IBCR) of demonstrated technologies</w:t>
      </w:r>
    </w:p>
    <w:tbl>
      <w:tblPr>
        <w:tblStyle w:val="TableGrid"/>
        <w:tblW w:w="0" w:type="auto"/>
        <w:tblLook w:val="04A0" w:firstRow="1" w:lastRow="0" w:firstColumn="1" w:lastColumn="0" w:noHBand="0" w:noVBand="1"/>
      </w:tblPr>
      <w:tblGrid>
        <w:gridCol w:w="723"/>
        <w:gridCol w:w="2267"/>
        <w:gridCol w:w="3014"/>
        <w:gridCol w:w="3012"/>
      </w:tblGrid>
      <w:tr w:rsidR="00DF2062" w:rsidRPr="00DF2062" w14:paraId="39B69339" w14:textId="77777777" w:rsidTr="00DF2062">
        <w:tc>
          <w:tcPr>
            <w:tcW w:w="0" w:type="auto"/>
            <w:hideMark/>
          </w:tcPr>
          <w:p w14:paraId="31F22374"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Year</w:t>
            </w:r>
          </w:p>
        </w:tc>
        <w:tc>
          <w:tcPr>
            <w:tcW w:w="0" w:type="auto"/>
            <w:hideMark/>
          </w:tcPr>
          <w:p w14:paraId="3146D5AF"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Additional Cost (₹/ha)</w:t>
            </w:r>
          </w:p>
        </w:tc>
        <w:tc>
          <w:tcPr>
            <w:tcW w:w="0" w:type="auto"/>
            <w:hideMark/>
          </w:tcPr>
          <w:p w14:paraId="05806B6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Additional Gross Return (₹/ha)</w:t>
            </w:r>
          </w:p>
        </w:tc>
        <w:tc>
          <w:tcPr>
            <w:tcW w:w="0" w:type="auto"/>
            <w:hideMark/>
          </w:tcPr>
          <w:p w14:paraId="2AA5E7B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Incremental B:C Ratio (IBCR)</w:t>
            </w:r>
          </w:p>
        </w:tc>
      </w:tr>
      <w:tr w:rsidR="00DF2062" w:rsidRPr="00DF2062" w14:paraId="710D6153" w14:textId="77777777" w:rsidTr="00DF2062">
        <w:tc>
          <w:tcPr>
            <w:tcW w:w="0" w:type="auto"/>
            <w:hideMark/>
          </w:tcPr>
          <w:p w14:paraId="2C3AB957"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2020</w:t>
            </w:r>
          </w:p>
        </w:tc>
        <w:tc>
          <w:tcPr>
            <w:tcW w:w="0" w:type="auto"/>
            <w:hideMark/>
          </w:tcPr>
          <w:p w14:paraId="63E50AF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1,848.00</w:t>
            </w:r>
          </w:p>
        </w:tc>
        <w:tc>
          <w:tcPr>
            <w:tcW w:w="0" w:type="auto"/>
            <w:hideMark/>
          </w:tcPr>
          <w:p w14:paraId="64E2365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18,458.00</w:t>
            </w:r>
          </w:p>
        </w:tc>
        <w:tc>
          <w:tcPr>
            <w:tcW w:w="0" w:type="auto"/>
            <w:hideMark/>
          </w:tcPr>
          <w:p w14:paraId="554C7410"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9.98</w:t>
            </w:r>
          </w:p>
        </w:tc>
      </w:tr>
      <w:tr w:rsidR="00DF2062" w:rsidRPr="00DF2062" w14:paraId="3D5C10B7" w14:textId="77777777" w:rsidTr="00DF2062">
        <w:tc>
          <w:tcPr>
            <w:tcW w:w="0" w:type="auto"/>
            <w:hideMark/>
          </w:tcPr>
          <w:p w14:paraId="295BB35A"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2021</w:t>
            </w:r>
          </w:p>
        </w:tc>
        <w:tc>
          <w:tcPr>
            <w:tcW w:w="0" w:type="auto"/>
            <w:hideMark/>
          </w:tcPr>
          <w:p w14:paraId="3DFC4376"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890.00</w:t>
            </w:r>
          </w:p>
        </w:tc>
        <w:tc>
          <w:tcPr>
            <w:tcW w:w="0" w:type="auto"/>
            <w:hideMark/>
          </w:tcPr>
          <w:p w14:paraId="11B4CF7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20,740.00</w:t>
            </w:r>
          </w:p>
        </w:tc>
        <w:tc>
          <w:tcPr>
            <w:tcW w:w="0" w:type="auto"/>
            <w:hideMark/>
          </w:tcPr>
          <w:p w14:paraId="6087307D"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23.30</w:t>
            </w:r>
          </w:p>
        </w:tc>
      </w:tr>
      <w:tr w:rsidR="00DF2062" w:rsidRPr="00DF2062" w14:paraId="5605CDF0" w14:textId="77777777" w:rsidTr="00DF2062">
        <w:tc>
          <w:tcPr>
            <w:tcW w:w="0" w:type="auto"/>
            <w:hideMark/>
          </w:tcPr>
          <w:p w14:paraId="0FFA0623"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2022</w:t>
            </w:r>
          </w:p>
        </w:tc>
        <w:tc>
          <w:tcPr>
            <w:tcW w:w="0" w:type="auto"/>
            <w:hideMark/>
          </w:tcPr>
          <w:p w14:paraId="05CA3566"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369.68</w:t>
            </w:r>
          </w:p>
        </w:tc>
        <w:tc>
          <w:tcPr>
            <w:tcW w:w="0" w:type="auto"/>
            <w:hideMark/>
          </w:tcPr>
          <w:p w14:paraId="396F44E0"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21,095.32</w:t>
            </w:r>
          </w:p>
        </w:tc>
        <w:tc>
          <w:tcPr>
            <w:tcW w:w="0" w:type="auto"/>
            <w:hideMark/>
          </w:tcPr>
          <w:p w14:paraId="7CB20F67"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57.06</w:t>
            </w:r>
          </w:p>
        </w:tc>
      </w:tr>
      <w:tr w:rsidR="00DF2062" w:rsidRPr="00DF2062" w14:paraId="32AE3B65" w14:textId="77777777" w:rsidTr="00DF2062">
        <w:tc>
          <w:tcPr>
            <w:tcW w:w="0" w:type="auto"/>
            <w:hideMark/>
          </w:tcPr>
          <w:p w14:paraId="37BA6334"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2023</w:t>
            </w:r>
          </w:p>
        </w:tc>
        <w:tc>
          <w:tcPr>
            <w:tcW w:w="0" w:type="auto"/>
            <w:hideMark/>
          </w:tcPr>
          <w:p w14:paraId="047C94C4"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518.61</w:t>
            </w:r>
          </w:p>
        </w:tc>
        <w:tc>
          <w:tcPr>
            <w:tcW w:w="0" w:type="auto"/>
            <w:hideMark/>
          </w:tcPr>
          <w:p w14:paraId="3A63D2A2"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8,039.09</w:t>
            </w:r>
          </w:p>
        </w:tc>
        <w:tc>
          <w:tcPr>
            <w:tcW w:w="0" w:type="auto"/>
            <w:hideMark/>
          </w:tcPr>
          <w:p w14:paraId="229469DE"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15.50</w:t>
            </w:r>
          </w:p>
        </w:tc>
      </w:tr>
      <w:tr w:rsidR="00DF2062" w:rsidRPr="00DF2062" w14:paraId="531201D5" w14:textId="77777777" w:rsidTr="00DF2062">
        <w:tc>
          <w:tcPr>
            <w:tcW w:w="0" w:type="auto"/>
            <w:hideMark/>
          </w:tcPr>
          <w:p w14:paraId="6129720C"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b/>
                <w:bCs/>
                <w:kern w:val="0"/>
                <w:sz w:val="24"/>
                <w:szCs w:val="24"/>
                <w:lang w:eastAsia="en-IN" w:bidi="hi-IN"/>
                <w14:ligatures w14:val="none"/>
              </w:rPr>
              <w:t>2024</w:t>
            </w:r>
          </w:p>
        </w:tc>
        <w:tc>
          <w:tcPr>
            <w:tcW w:w="0" w:type="auto"/>
            <w:hideMark/>
          </w:tcPr>
          <w:p w14:paraId="0E0926D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518.61</w:t>
            </w:r>
          </w:p>
        </w:tc>
        <w:tc>
          <w:tcPr>
            <w:tcW w:w="0" w:type="auto"/>
            <w:hideMark/>
          </w:tcPr>
          <w:p w14:paraId="10235F25"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8,932.00</w:t>
            </w:r>
          </w:p>
        </w:tc>
        <w:tc>
          <w:tcPr>
            <w:tcW w:w="0" w:type="auto"/>
            <w:hideMark/>
          </w:tcPr>
          <w:p w14:paraId="3805D6E6" w14:textId="77777777" w:rsidR="00DF2062" w:rsidRPr="00DF2062" w:rsidRDefault="00DF2062" w:rsidP="00DF2062">
            <w:pPr>
              <w:rPr>
                <w:rFonts w:ascii="Times New Roman" w:eastAsia="Times New Roman" w:hAnsi="Times New Roman" w:cs="Times New Roman"/>
                <w:kern w:val="0"/>
                <w:sz w:val="24"/>
                <w:szCs w:val="24"/>
                <w:lang w:eastAsia="en-IN" w:bidi="hi-IN"/>
                <w14:ligatures w14:val="none"/>
              </w:rPr>
            </w:pPr>
            <w:r w:rsidRPr="00DF2062">
              <w:rPr>
                <w:rFonts w:ascii="Times New Roman" w:eastAsia="Times New Roman" w:hAnsi="Times New Roman" w:cs="Times New Roman"/>
                <w:kern w:val="0"/>
                <w:sz w:val="24"/>
                <w:szCs w:val="24"/>
                <w:lang w:eastAsia="en-IN" w:bidi="hi-IN"/>
                <w14:ligatures w14:val="none"/>
              </w:rPr>
              <w:t>17.22</w:t>
            </w:r>
          </w:p>
        </w:tc>
      </w:tr>
    </w:tbl>
    <w:p w14:paraId="182B8D64" w14:textId="77777777" w:rsidR="00DF2062" w:rsidRPr="00DF2062" w:rsidRDefault="00DF2062" w:rsidP="00DF2062">
      <w:pPr>
        <w:spacing w:after="100" w:afterAutospacing="1" w:line="240" w:lineRule="auto"/>
        <w:outlineLvl w:val="2"/>
        <w:rPr>
          <w:rFonts w:ascii="Times New Roman" w:eastAsia="Times New Roman" w:hAnsi="Times New Roman" w:cs="Times New Roman"/>
          <w:b/>
          <w:bCs/>
          <w:kern w:val="0"/>
          <w:sz w:val="27"/>
          <w:szCs w:val="27"/>
          <w:lang w:eastAsia="en-IN" w:bidi="hi-IN"/>
          <w14:ligatures w14:val="none"/>
        </w:rPr>
      </w:pPr>
    </w:p>
    <w:p w14:paraId="74DD1EC5" w14:textId="726B4463" w:rsidR="00DF2062" w:rsidRPr="00E94391" w:rsidRDefault="00DF2062" w:rsidP="00DF2062">
      <w:pPr>
        <w:spacing w:after="100" w:afterAutospacing="1" w:line="240" w:lineRule="auto"/>
        <w:outlineLvl w:val="2"/>
        <w:rPr>
          <w:rFonts w:ascii="Times New Roman" w:eastAsia="Times New Roman" w:hAnsi="Times New Roman" w:cs="Times New Roman"/>
          <w:b/>
          <w:bCs/>
          <w:kern w:val="0"/>
          <w:sz w:val="28"/>
          <w:szCs w:val="28"/>
          <w:lang w:eastAsia="en-IN" w:bidi="hi-IN"/>
          <w14:ligatures w14:val="none"/>
        </w:rPr>
      </w:pPr>
      <w:r w:rsidRPr="00E94391">
        <w:rPr>
          <w:rFonts w:ascii="Times New Roman" w:eastAsia="Times New Roman" w:hAnsi="Times New Roman" w:cs="Times New Roman"/>
          <w:b/>
          <w:bCs/>
          <w:kern w:val="0"/>
          <w:sz w:val="28"/>
          <w:szCs w:val="28"/>
          <w:lang w:eastAsia="en-IN" w:bidi="hi-IN"/>
          <w14:ligatures w14:val="none"/>
        </w:rPr>
        <w:t>4. Conclusion</w:t>
      </w:r>
    </w:p>
    <w:p w14:paraId="45F62818" w14:textId="77777777" w:rsidR="00E94391" w:rsidRDefault="00E94391" w:rsidP="00E94391">
      <w:pPr>
        <w:pStyle w:val="NormalWeb"/>
        <w:jc w:val="both"/>
      </w:pPr>
      <w:r>
        <w:t xml:space="preserve">The implementation of Cluster Frontline Demonstrations (CFLDs) on sesame over a comprehensive five-year period unequivocally establishes the agronomic and economic superiority of improved varieties (NT-11 and AKT-101) integrated with scientific crop management over traditional, localized farming practices. The demonstrations consistently delivered yield enhancements ranging from 17% to 26% and successfully bridged an average extension gap of 1.94 q/ha, physically validating the high adaptability and feasibility of these interventions in rainfed </w:t>
      </w:r>
      <w:proofErr w:type="spellStart"/>
      <w:r>
        <w:t>agro</w:t>
      </w:r>
      <w:proofErr w:type="spellEnd"/>
      <w:r>
        <w:t>-ecosystems.</w:t>
      </w:r>
    </w:p>
    <w:p w14:paraId="0F6D0401" w14:textId="77777777" w:rsidR="00E94391" w:rsidRDefault="00E94391" w:rsidP="00E94391">
      <w:pPr>
        <w:pStyle w:val="NormalWeb"/>
        <w:jc w:val="both"/>
      </w:pPr>
      <w:r>
        <w:t xml:space="preserve">Furthermore, the economic evaluation proved highly </w:t>
      </w:r>
      <w:proofErr w:type="spellStart"/>
      <w:r>
        <w:t>favorable</w:t>
      </w:r>
      <w:proofErr w:type="spellEnd"/>
      <w:r>
        <w:t>; despite incurring a marginal increase in cultivation costs due to the procurement of quality seeds and essential bio-chemical inputs, participating farmers realized substantially higher net returns. The exceptionally high Incremental Benefit-Cost Ratios (IBCR) recorded throughout the study underscore the robust marginal efficiency and risk-resilient nature of the invested capital.</w:t>
      </w:r>
    </w:p>
    <w:p w14:paraId="643F4153" w14:textId="77777777" w:rsidR="00E94391" w:rsidRDefault="00E94391" w:rsidP="00E94391">
      <w:pPr>
        <w:pStyle w:val="NormalWeb"/>
        <w:jc w:val="both"/>
      </w:pPr>
      <w:r>
        <w:t xml:space="preserve">Beyond immediate productivity gains, these demonstrations served as an effective catalyst for changing farmer attitudes, driving the horizontal expansion and acceptance of Integrated Crop Management (IPM) practices. The findings strongly advocate for the large-scale, cluster-based promotion of these technological interventions. Supported by robust seed supply chains, timely input availability, and continuous extension efforts by the Krishi Vigyan Kendra (KVK), such </w:t>
      </w:r>
      <w:r>
        <w:lastRenderedPageBreak/>
        <w:t>initiatives can permanently close persisting yield gaps, mitigate climate-induced production risks, and sustainably elevate the socio-economic status of sesame growers while contributing to broader regional edible oil security.</w:t>
      </w:r>
    </w:p>
    <w:p w14:paraId="554EEA9E" w14:textId="77777777" w:rsidR="00ED754D" w:rsidRDefault="00ED754D" w:rsidP="00E94391">
      <w:pPr>
        <w:pStyle w:val="NormalWeb"/>
        <w:jc w:val="both"/>
      </w:pPr>
    </w:p>
    <w:p w14:paraId="3A47565D" w14:textId="5F184369" w:rsidR="00ED754D" w:rsidRPr="00ED754D" w:rsidRDefault="00ED754D" w:rsidP="00ED754D">
      <w:pPr>
        <w:pStyle w:val="NormalWeb"/>
        <w:spacing w:before="0" w:beforeAutospacing="0"/>
        <w:jc w:val="both"/>
        <w:rPr>
          <w:b/>
          <w:bCs/>
          <w:sz w:val="28"/>
          <w:szCs w:val="28"/>
        </w:rPr>
      </w:pPr>
      <w:r w:rsidRPr="00AD1AD8">
        <w:rPr>
          <w:b/>
          <w:bCs/>
          <w:sz w:val="28"/>
          <w:szCs w:val="28"/>
        </w:rPr>
        <w:t>REFERENCES</w:t>
      </w:r>
    </w:p>
    <w:p w14:paraId="3C82E992" w14:textId="77777777" w:rsidR="00BA223B" w:rsidRPr="00ED754D" w:rsidRDefault="00BA223B" w:rsidP="00BA223B">
      <w:pPr>
        <w:pStyle w:val="NormalWeb"/>
        <w:ind w:left="709" w:hanging="709"/>
        <w:jc w:val="both"/>
        <w:rPr>
          <w:color w:val="222222"/>
          <w:shd w:val="clear" w:color="auto" w:fill="FFFFFF"/>
        </w:rPr>
      </w:pPr>
      <w:r w:rsidRPr="00ED754D">
        <w:rPr>
          <w:color w:val="222222"/>
          <w:shd w:val="clear" w:color="auto" w:fill="FFFFFF"/>
        </w:rPr>
        <w:t xml:space="preserve">Bezbaruah, R., &amp; Singh, A. K. (2024). Millets as </w:t>
      </w:r>
      <w:proofErr w:type="spellStart"/>
      <w:r w:rsidRPr="00ED754D">
        <w:rPr>
          <w:color w:val="222222"/>
          <w:shd w:val="clear" w:color="auto" w:fill="FFFFFF"/>
        </w:rPr>
        <w:t>nutricereal</w:t>
      </w:r>
      <w:proofErr w:type="spellEnd"/>
      <w:r w:rsidRPr="00ED754D">
        <w:rPr>
          <w:color w:val="222222"/>
          <w:shd w:val="clear" w:color="auto" w:fill="FFFFFF"/>
        </w:rPr>
        <w:t xml:space="preserve"> climate resilient smart crop: a review. </w:t>
      </w:r>
      <w:r w:rsidRPr="00ED754D">
        <w:rPr>
          <w:i/>
          <w:iCs/>
          <w:color w:val="222222"/>
          <w:shd w:val="clear" w:color="auto" w:fill="FFFFFF"/>
        </w:rPr>
        <w:t>Available at SSRN 4803931</w:t>
      </w:r>
      <w:r w:rsidRPr="00ED754D">
        <w:rPr>
          <w:color w:val="222222"/>
          <w:shd w:val="clear" w:color="auto" w:fill="FFFFFF"/>
        </w:rPr>
        <w:t>.</w:t>
      </w:r>
    </w:p>
    <w:p w14:paraId="05476175" w14:textId="77777777" w:rsidR="00BA223B" w:rsidRPr="00ED754D" w:rsidRDefault="00BA223B" w:rsidP="00BA223B">
      <w:pPr>
        <w:pStyle w:val="NormalWeb"/>
        <w:ind w:left="709" w:hanging="709"/>
        <w:jc w:val="both"/>
      </w:pPr>
      <w:r w:rsidRPr="00ED754D">
        <w:t>Deshmukh, G., Patel, H.B. and Patel M.R. (2014). Frontline Demonstration Influences on Knowledge and Adoption of Mustard Growers. Gujarat Journal of Extension Education, 25(1): 27-30.</w:t>
      </w:r>
    </w:p>
    <w:p w14:paraId="1E7269B2" w14:textId="77777777" w:rsidR="00BA223B" w:rsidRDefault="00BA223B" w:rsidP="00BA223B">
      <w:pPr>
        <w:pStyle w:val="NormalWeb"/>
        <w:ind w:left="709" w:hanging="709"/>
        <w:jc w:val="both"/>
      </w:pPr>
      <w:r>
        <w:t>Dubey, S., Tripathi, S., Singh, P. and Sharma R.K. (2010). Yield gap analysis of black gram production through frontline demonstration. Journal of Progressive Agriculture, 1(1): 42-44.</w:t>
      </w:r>
    </w:p>
    <w:p w14:paraId="264DA13D" w14:textId="77777777" w:rsidR="00BA223B" w:rsidRPr="00ED754D" w:rsidRDefault="00BA223B" w:rsidP="00BA223B">
      <w:pPr>
        <w:pStyle w:val="NormalWeb"/>
        <w:ind w:left="709" w:hanging="709"/>
        <w:jc w:val="both"/>
      </w:pPr>
      <w:r w:rsidRPr="00ED754D">
        <w:t xml:space="preserve">Food and Agriculture Organisation.  (2019).  Global area, </w:t>
      </w:r>
      <w:proofErr w:type="spellStart"/>
      <w:r w:rsidRPr="00ED754D">
        <w:t>productionand</w:t>
      </w:r>
      <w:proofErr w:type="spellEnd"/>
      <w:r w:rsidRPr="00ED754D">
        <w:t xml:space="preserve"> consumption of oilseeds. </w:t>
      </w:r>
      <w:hyperlink r:id="rId7" w:history="1">
        <w:r w:rsidRPr="00ED754D">
          <w:rPr>
            <w:rStyle w:val="Hyperlink"/>
          </w:rPr>
          <w:t>http://faostat.fao.org/site/567/default.asp</w:t>
        </w:r>
      </w:hyperlink>
    </w:p>
    <w:p w14:paraId="0B2F7742" w14:textId="77777777" w:rsidR="00BA223B" w:rsidRDefault="00BA223B" w:rsidP="00BA223B">
      <w:pPr>
        <w:pStyle w:val="NormalWeb"/>
        <w:ind w:left="709" w:hanging="709"/>
        <w:jc w:val="both"/>
      </w:pPr>
      <w:r w:rsidRPr="00ED754D">
        <w:t>Hire math, S.M. and Nagaraju, M.V. (2009). Evaluation of Frontline demonstration trials on onion in Haveri district of Karnataka. Karnataka Journal of Agricultural Sciences, 22(5): 1092 1093.</w:t>
      </w:r>
    </w:p>
    <w:p w14:paraId="36FEC724" w14:textId="77777777" w:rsidR="00BA223B" w:rsidRPr="00ED754D" w:rsidRDefault="00BA223B" w:rsidP="00BA223B">
      <w:pPr>
        <w:pStyle w:val="NormalWeb"/>
        <w:ind w:left="709" w:hanging="709"/>
        <w:jc w:val="both"/>
      </w:pPr>
      <w:r w:rsidRPr="00ED754D">
        <w:t xml:space="preserve">Patel, R.N. and Patel, J.R. (2014). Impact of Front-Line Demonstration on Mustard Grower. Gujarat Journal of Extension Education, 25(1): 91-92. </w:t>
      </w:r>
    </w:p>
    <w:p w14:paraId="672A7157" w14:textId="77777777" w:rsidR="00BA223B" w:rsidRPr="00ED754D" w:rsidRDefault="00BA223B" w:rsidP="00BA223B">
      <w:pPr>
        <w:pStyle w:val="NormalWeb"/>
        <w:ind w:left="709" w:hanging="709"/>
        <w:jc w:val="both"/>
      </w:pPr>
      <w:r w:rsidRPr="00ED754D">
        <w:t>Sagar, R.L. and Chandra, G. (2004). Frontline demonstrations on sesame in west Bengal. Agriculture Extension Review, 16(2): 7-10.</w:t>
      </w:r>
    </w:p>
    <w:p w14:paraId="624AF876" w14:textId="77777777" w:rsidR="00BA223B" w:rsidRPr="00ED754D" w:rsidRDefault="00BA223B" w:rsidP="00BA223B">
      <w:pPr>
        <w:pStyle w:val="NormalWeb"/>
        <w:ind w:left="709" w:hanging="709"/>
        <w:jc w:val="both"/>
        <w:rPr>
          <w:color w:val="222222"/>
          <w:shd w:val="clear" w:color="auto" w:fill="FFFFFF"/>
        </w:rPr>
      </w:pPr>
      <w:r w:rsidRPr="00ED754D">
        <w:rPr>
          <w:color w:val="222222"/>
          <w:shd w:val="clear" w:color="auto" w:fill="FFFFFF"/>
        </w:rPr>
        <w:t>Samui, S. K., Maitra, S., Roy, D. K., Mandal, A. K., &amp; Saha, D. (2000). Evaluation of front-line demonstration on groundnut. </w:t>
      </w:r>
      <w:r w:rsidRPr="00ED754D">
        <w:rPr>
          <w:i/>
          <w:iCs/>
          <w:color w:val="222222"/>
          <w:shd w:val="clear" w:color="auto" w:fill="FFFFFF"/>
        </w:rPr>
        <w:t>Journal of the Indian Society Costal Agricultural Research</w:t>
      </w:r>
      <w:r w:rsidRPr="00ED754D">
        <w:rPr>
          <w:color w:val="222222"/>
          <w:shd w:val="clear" w:color="auto" w:fill="FFFFFF"/>
        </w:rPr>
        <w:t>, </w:t>
      </w:r>
      <w:r w:rsidRPr="00ED754D">
        <w:rPr>
          <w:i/>
          <w:iCs/>
          <w:color w:val="222222"/>
          <w:shd w:val="clear" w:color="auto" w:fill="FFFFFF"/>
        </w:rPr>
        <w:t>18</w:t>
      </w:r>
      <w:r w:rsidRPr="00ED754D">
        <w:rPr>
          <w:color w:val="222222"/>
          <w:shd w:val="clear" w:color="auto" w:fill="FFFFFF"/>
        </w:rPr>
        <w:t>(2), 180-183.</w:t>
      </w:r>
    </w:p>
    <w:p w14:paraId="712AA93F" w14:textId="77777777" w:rsidR="00BA223B" w:rsidRPr="00ED754D" w:rsidRDefault="00BA223B" w:rsidP="00BA223B">
      <w:pPr>
        <w:pStyle w:val="NormalWeb"/>
        <w:ind w:left="709" w:hanging="709"/>
        <w:jc w:val="both"/>
      </w:pPr>
      <w:r w:rsidRPr="00BA223B">
        <w:t>UG Thakare, KM Deshmukh, RG Matale. Impact of cluster frontline demonstrations on pigeon pea productivity and profitability. Int J Res Agron 2025;8(10S):121-124. DOI: </w:t>
      </w:r>
      <w:hyperlink r:id="rId8" w:tgtFrame="_blank" w:history="1">
        <w:r w:rsidRPr="00BA223B">
          <w:rPr>
            <w:rStyle w:val="Hyperlink"/>
          </w:rPr>
          <w:t>10.33545/2618060X.2025.v</w:t>
        </w:r>
        <w:proofErr w:type="gramStart"/>
        <w:r w:rsidRPr="00BA223B">
          <w:rPr>
            <w:rStyle w:val="Hyperlink"/>
          </w:rPr>
          <w:t>8.i</w:t>
        </w:r>
        <w:proofErr w:type="gramEnd"/>
        <w:r w:rsidRPr="00BA223B">
          <w:rPr>
            <w:rStyle w:val="Hyperlink"/>
          </w:rPr>
          <w:t>10Sb.4051</w:t>
        </w:r>
      </w:hyperlink>
    </w:p>
    <w:p w14:paraId="0CABC2B0" w14:textId="77777777" w:rsidR="00BA223B" w:rsidRDefault="00BA223B" w:rsidP="00BA223B">
      <w:pPr>
        <w:pStyle w:val="NormalWeb"/>
        <w:ind w:left="709" w:hanging="709"/>
        <w:jc w:val="both"/>
      </w:pPr>
      <w:r>
        <w:t xml:space="preserve">Yadav, D.B., Kamboj, B.K. and Garg, R.B. (2004) Increasing the productivity and profitability of sunflower through Crop demonstrations in irrigated </w:t>
      </w:r>
      <w:proofErr w:type="spellStart"/>
      <w:r>
        <w:t>agro</w:t>
      </w:r>
      <w:proofErr w:type="spellEnd"/>
      <w:r>
        <w:t xml:space="preserve"> ecosystem of eastern Haryana. Haryana journal of Agronomy, 20 (1&amp;2): 33-35.</w:t>
      </w:r>
    </w:p>
    <w:sectPr w:rsidR="00BA223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1C8DC" w14:textId="77777777" w:rsidR="00F01177" w:rsidRDefault="00F01177" w:rsidP="00851B9D">
      <w:pPr>
        <w:spacing w:after="0" w:line="240" w:lineRule="auto"/>
      </w:pPr>
      <w:r>
        <w:separator/>
      </w:r>
    </w:p>
  </w:endnote>
  <w:endnote w:type="continuationSeparator" w:id="0">
    <w:p w14:paraId="2EB43A7C" w14:textId="77777777" w:rsidR="00F01177" w:rsidRDefault="00F01177" w:rsidP="0085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8AC3" w14:textId="77777777" w:rsidR="00851B9D" w:rsidRDefault="00851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0DAA8" w14:textId="77777777" w:rsidR="00851B9D" w:rsidRDefault="00851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EA1E" w14:textId="77777777" w:rsidR="00851B9D" w:rsidRDefault="00851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98BE9" w14:textId="77777777" w:rsidR="00F01177" w:rsidRDefault="00F01177" w:rsidP="00851B9D">
      <w:pPr>
        <w:spacing w:after="0" w:line="240" w:lineRule="auto"/>
      </w:pPr>
      <w:r>
        <w:separator/>
      </w:r>
    </w:p>
  </w:footnote>
  <w:footnote w:type="continuationSeparator" w:id="0">
    <w:p w14:paraId="20285617" w14:textId="77777777" w:rsidR="00F01177" w:rsidRDefault="00F01177" w:rsidP="00851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93AC" w14:textId="33AA8A21" w:rsidR="00851B9D" w:rsidRDefault="00851B9D">
    <w:pPr>
      <w:pStyle w:val="Header"/>
    </w:pPr>
    <w:r>
      <w:rPr>
        <w:noProof/>
      </w:rPr>
      <w:pict w14:anchorId="11383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9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6BE3B" w14:textId="77C80858" w:rsidR="00851B9D" w:rsidRDefault="00851B9D">
    <w:pPr>
      <w:pStyle w:val="Header"/>
    </w:pPr>
    <w:r>
      <w:rPr>
        <w:noProof/>
      </w:rPr>
      <w:pict w14:anchorId="7E720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9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8C57A" w14:textId="7562A4FA" w:rsidR="00851B9D" w:rsidRDefault="00851B9D">
    <w:pPr>
      <w:pStyle w:val="Header"/>
    </w:pPr>
    <w:r>
      <w:rPr>
        <w:noProof/>
      </w:rPr>
      <w:pict w14:anchorId="6DBC8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9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8F8"/>
    <w:multiLevelType w:val="multilevel"/>
    <w:tmpl w:val="B3AA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74AE3"/>
    <w:multiLevelType w:val="multilevel"/>
    <w:tmpl w:val="71F8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35B7B"/>
    <w:multiLevelType w:val="hybridMultilevel"/>
    <w:tmpl w:val="2E7CA822"/>
    <w:lvl w:ilvl="0" w:tplc="7506E4F6">
      <w:start w:val="1"/>
      <w:numFmt w:val="decimal"/>
      <w:lvlText w:val="%1."/>
      <w:lvlJc w:val="left"/>
      <w:pPr>
        <w:ind w:left="7732" w:hanging="360"/>
      </w:pPr>
      <w:rPr>
        <w:rFonts w:hint="default"/>
      </w:rPr>
    </w:lvl>
    <w:lvl w:ilvl="1" w:tplc="40090019" w:tentative="1">
      <w:start w:val="1"/>
      <w:numFmt w:val="lowerLetter"/>
      <w:lvlText w:val="%2."/>
      <w:lvlJc w:val="left"/>
      <w:pPr>
        <w:ind w:left="8452" w:hanging="360"/>
      </w:pPr>
    </w:lvl>
    <w:lvl w:ilvl="2" w:tplc="4009001B" w:tentative="1">
      <w:start w:val="1"/>
      <w:numFmt w:val="lowerRoman"/>
      <w:lvlText w:val="%3."/>
      <w:lvlJc w:val="right"/>
      <w:pPr>
        <w:ind w:left="9172" w:hanging="180"/>
      </w:pPr>
    </w:lvl>
    <w:lvl w:ilvl="3" w:tplc="4009000F" w:tentative="1">
      <w:start w:val="1"/>
      <w:numFmt w:val="decimal"/>
      <w:lvlText w:val="%4."/>
      <w:lvlJc w:val="left"/>
      <w:pPr>
        <w:ind w:left="9892" w:hanging="360"/>
      </w:pPr>
    </w:lvl>
    <w:lvl w:ilvl="4" w:tplc="40090019" w:tentative="1">
      <w:start w:val="1"/>
      <w:numFmt w:val="lowerLetter"/>
      <w:lvlText w:val="%5."/>
      <w:lvlJc w:val="left"/>
      <w:pPr>
        <w:ind w:left="10612" w:hanging="360"/>
      </w:pPr>
    </w:lvl>
    <w:lvl w:ilvl="5" w:tplc="4009001B" w:tentative="1">
      <w:start w:val="1"/>
      <w:numFmt w:val="lowerRoman"/>
      <w:lvlText w:val="%6."/>
      <w:lvlJc w:val="right"/>
      <w:pPr>
        <w:ind w:left="11332" w:hanging="180"/>
      </w:pPr>
    </w:lvl>
    <w:lvl w:ilvl="6" w:tplc="4009000F" w:tentative="1">
      <w:start w:val="1"/>
      <w:numFmt w:val="decimal"/>
      <w:lvlText w:val="%7."/>
      <w:lvlJc w:val="left"/>
      <w:pPr>
        <w:ind w:left="12052" w:hanging="360"/>
      </w:pPr>
    </w:lvl>
    <w:lvl w:ilvl="7" w:tplc="40090019" w:tentative="1">
      <w:start w:val="1"/>
      <w:numFmt w:val="lowerLetter"/>
      <w:lvlText w:val="%8."/>
      <w:lvlJc w:val="left"/>
      <w:pPr>
        <w:ind w:left="12772" w:hanging="360"/>
      </w:pPr>
    </w:lvl>
    <w:lvl w:ilvl="8" w:tplc="4009001B" w:tentative="1">
      <w:start w:val="1"/>
      <w:numFmt w:val="lowerRoman"/>
      <w:lvlText w:val="%9."/>
      <w:lvlJc w:val="right"/>
      <w:pPr>
        <w:ind w:left="13492" w:hanging="180"/>
      </w:pPr>
    </w:lvl>
  </w:abstractNum>
  <w:abstractNum w:abstractNumId="3" w15:restartNumberingAfterBreak="0">
    <w:nsid w:val="1AEB704E"/>
    <w:multiLevelType w:val="multilevel"/>
    <w:tmpl w:val="5A36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46B31"/>
    <w:multiLevelType w:val="multilevel"/>
    <w:tmpl w:val="196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134F5"/>
    <w:multiLevelType w:val="multilevel"/>
    <w:tmpl w:val="AF2C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5734F7"/>
    <w:multiLevelType w:val="multilevel"/>
    <w:tmpl w:val="2634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F7E94"/>
    <w:multiLevelType w:val="multilevel"/>
    <w:tmpl w:val="876A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64317A"/>
    <w:multiLevelType w:val="multilevel"/>
    <w:tmpl w:val="820E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5"/>
  </w:num>
  <w:num w:numId="4">
    <w:abstractNumId w:val="4"/>
  </w:num>
  <w:num w:numId="5">
    <w:abstractNumId w:val="6"/>
  </w:num>
  <w:num w:numId="6">
    <w:abstractNumId w:val="1"/>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3F"/>
    <w:rsid w:val="0025162E"/>
    <w:rsid w:val="002D5A15"/>
    <w:rsid w:val="004A32D2"/>
    <w:rsid w:val="005910C7"/>
    <w:rsid w:val="006273F7"/>
    <w:rsid w:val="00643D67"/>
    <w:rsid w:val="006A4608"/>
    <w:rsid w:val="006D4E3A"/>
    <w:rsid w:val="007377FF"/>
    <w:rsid w:val="00822086"/>
    <w:rsid w:val="00851B9D"/>
    <w:rsid w:val="008C2208"/>
    <w:rsid w:val="00AE12BA"/>
    <w:rsid w:val="00BA223B"/>
    <w:rsid w:val="00BD383F"/>
    <w:rsid w:val="00CA1630"/>
    <w:rsid w:val="00CC6ACF"/>
    <w:rsid w:val="00DA3F52"/>
    <w:rsid w:val="00DF2062"/>
    <w:rsid w:val="00E22EA8"/>
    <w:rsid w:val="00E25BF0"/>
    <w:rsid w:val="00E94391"/>
    <w:rsid w:val="00ED754D"/>
    <w:rsid w:val="00F01177"/>
    <w:rsid w:val="00F2049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E0C531F"/>
  <w14:defaultImageDpi w14:val="32767"/>
  <w15:chartTrackingRefBased/>
  <w15:docId w15:val="{99043E81-0E4C-4467-97C4-15E7FCF1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8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38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D38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D38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38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3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8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38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D38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D38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38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3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83F"/>
    <w:rPr>
      <w:rFonts w:eastAsiaTheme="majorEastAsia" w:cstheme="majorBidi"/>
      <w:color w:val="272727" w:themeColor="text1" w:themeTint="D8"/>
    </w:rPr>
  </w:style>
  <w:style w:type="paragraph" w:styleId="Title">
    <w:name w:val="Title"/>
    <w:basedOn w:val="Normal"/>
    <w:next w:val="Normal"/>
    <w:link w:val="TitleChar"/>
    <w:uiPriority w:val="10"/>
    <w:qFormat/>
    <w:rsid w:val="00BD3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83F"/>
    <w:pPr>
      <w:spacing w:before="160"/>
      <w:jc w:val="center"/>
    </w:pPr>
    <w:rPr>
      <w:i/>
      <w:iCs/>
      <w:color w:val="404040" w:themeColor="text1" w:themeTint="BF"/>
    </w:rPr>
  </w:style>
  <w:style w:type="character" w:customStyle="1" w:styleId="QuoteChar">
    <w:name w:val="Quote Char"/>
    <w:basedOn w:val="DefaultParagraphFont"/>
    <w:link w:val="Quote"/>
    <w:uiPriority w:val="29"/>
    <w:rsid w:val="00BD383F"/>
    <w:rPr>
      <w:i/>
      <w:iCs/>
      <w:color w:val="404040" w:themeColor="text1" w:themeTint="BF"/>
    </w:rPr>
  </w:style>
  <w:style w:type="paragraph" w:styleId="ListParagraph">
    <w:name w:val="List Paragraph"/>
    <w:basedOn w:val="Normal"/>
    <w:uiPriority w:val="34"/>
    <w:qFormat/>
    <w:rsid w:val="00BD383F"/>
    <w:pPr>
      <w:ind w:left="720"/>
      <w:contextualSpacing/>
    </w:pPr>
  </w:style>
  <w:style w:type="character" w:styleId="IntenseEmphasis">
    <w:name w:val="Intense Emphasis"/>
    <w:basedOn w:val="DefaultParagraphFont"/>
    <w:uiPriority w:val="21"/>
    <w:qFormat/>
    <w:rsid w:val="00BD383F"/>
    <w:rPr>
      <w:i/>
      <w:iCs/>
      <w:color w:val="2F5496" w:themeColor="accent1" w:themeShade="BF"/>
    </w:rPr>
  </w:style>
  <w:style w:type="paragraph" w:styleId="IntenseQuote">
    <w:name w:val="Intense Quote"/>
    <w:basedOn w:val="Normal"/>
    <w:next w:val="Normal"/>
    <w:link w:val="IntenseQuoteChar"/>
    <w:uiPriority w:val="30"/>
    <w:qFormat/>
    <w:rsid w:val="00BD3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383F"/>
    <w:rPr>
      <w:i/>
      <w:iCs/>
      <w:color w:val="2F5496" w:themeColor="accent1" w:themeShade="BF"/>
    </w:rPr>
  </w:style>
  <w:style w:type="character" w:styleId="IntenseReference">
    <w:name w:val="Intense Reference"/>
    <w:basedOn w:val="DefaultParagraphFont"/>
    <w:uiPriority w:val="32"/>
    <w:qFormat/>
    <w:rsid w:val="00BD383F"/>
    <w:rPr>
      <w:b/>
      <w:bCs/>
      <w:smallCaps/>
      <w:color w:val="2F5496" w:themeColor="accent1" w:themeShade="BF"/>
      <w:spacing w:val="5"/>
    </w:rPr>
  </w:style>
  <w:style w:type="paragraph" w:styleId="NormalWeb">
    <w:name w:val="Normal (Web)"/>
    <w:basedOn w:val="Normal"/>
    <w:uiPriority w:val="99"/>
    <w:unhideWhenUsed/>
    <w:rsid w:val="00BD383F"/>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BD383F"/>
    <w:rPr>
      <w:b/>
      <w:bCs/>
    </w:rPr>
  </w:style>
  <w:style w:type="table" w:styleId="TableGrid">
    <w:name w:val="Table Grid"/>
    <w:basedOn w:val="TableNormal"/>
    <w:uiPriority w:val="39"/>
    <w:rsid w:val="00BD3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09">
    <w:name w:val="citation-109"/>
    <w:basedOn w:val="DefaultParagraphFont"/>
    <w:rsid w:val="006273F7"/>
  </w:style>
  <w:style w:type="character" w:customStyle="1" w:styleId="citation-108">
    <w:name w:val="citation-108"/>
    <w:basedOn w:val="DefaultParagraphFont"/>
    <w:rsid w:val="006273F7"/>
  </w:style>
  <w:style w:type="character" w:customStyle="1" w:styleId="citation-107">
    <w:name w:val="citation-107"/>
    <w:basedOn w:val="DefaultParagraphFont"/>
    <w:rsid w:val="006273F7"/>
  </w:style>
  <w:style w:type="character" w:customStyle="1" w:styleId="citation-106">
    <w:name w:val="citation-106"/>
    <w:basedOn w:val="DefaultParagraphFont"/>
    <w:rsid w:val="006273F7"/>
  </w:style>
  <w:style w:type="character" w:customStyle="1" w:styleId="citation-105">
    <w:name w:val="citation-105"/>
    <w:basedOn w:val="DefaultParagraphFont"/>
    <w:rsid w:val="006273F7"/>
  </w:style>
  <w:style w:type="character" w:customStyle="1" w:styleId="citation-104">
    <w:name w:val="citation-104"/>
    <w:basedOn w:val="DefaultParagraphFont"/>
    <w:rsid w:val="006273F7"/>
  </w:style>
  <w:style w:type="character" w:customStyle="1" w:styleId="citation-103">
    <w:name w:val="citation-103"/>
    <w:basedOn w:val="DefaultParagraphFont"/>
    <w:rsid w:val="006273F7"/>
  </w:style>
  <w:style w:type="character" w:customStyle="1" w:styleId="citation-102">
    <w:name w:val="citation-102"/>
    <w:basedOn w:val="DefaultParagraphFont"/>
    <w:rsid w:val="006273F7"/>
  </w:style>
  <w:style w:type="character" w:customStyle="1" w:styleId="citation-101">
    <w:name w:val="citation-101"/>
    <w:basedOn w:val="DefaultParagraphFont"/>
    <w:rsid w:val="006273F7"/>
  </w:style>
  <w:style w:type="character" w:customStyle="1" w:styleId="citation-100">
    <w:name w:val="citation-100"/>
    <w:basedOn w:val="DefaultParagraphFont"/>
    <w:rsid w:val="006273F7"/>
  </w:style>
  <w:style w:type="character" w:customStyle="1" w:styleId="citation-99">
    <w:name w:val="citation-99"/>
    <w:basedOn w:val="DefaultParagraphFont"/>
    <w:rsid w:val="006273F7"/>
  </w:style>
  <w:style w:type="character" w:customStyle="1" w:styleId="citation-98">
    <w:name w:val="citation-98"/>
    <w:basedOn w:val="DefaultParagraphFont"/>
    <w:rsid w:val="006273F7"/>
  </w:style>
  <w:style w:type="character" w:customStyle="1" w:styleId="citation-97">
    <w:name w:val="citation-97"/>
    <w:basedOn w:val="DefaultParagraphFont"/>
    <w:rsid w:val="006273F7"/>
  </w:style>
  <w:style w:type="character" w:customStyle="1" w:styleId="citation-96">
    <w:name w:val="citation-96"/>
    <w:basedOn w:val="DefaultParagraphFont"/>
    <w:rsid w:val="006273F7"/>
  </w:style>
  <w:style w:type="character" w:customStyle="1" w:styleId="citation-95">
    <w:name w:val="citation-95"/>
    <w:basedOn w:val="DefaultParagraphFont"/>
    <w:rsid w:val="006273F7"/>
  </w:style>
  <w:style w:type="character" w:styleId="Hyperlink">
    <w:name w:val="Hyperlink"/>
    <w:basedOn w:val="DefaultParagraphFont"/>
    <w:uiPriority w:val="99"/>
    <w:unhideWhenUsed/>
    <w:rsid w:val="00ED754D"/>
    <w:rPr>
      <w:color w:val="0563C1" w:themeColor="hyperlink"/>
      <w:u w:val="single"/>
    </w:rPr>
  </w:style>
  <w:style w:type="character" w:styleId="UnresolvedMention">
    <w:name w:val="Unresolved Mention"/>
    <w:basedOn w:val="DefaultParagraphFont"/>
    <w:uiPriority w:val="99"/>
    <w:semiHidden/>
    <w:unhideWhenUsed/>
    <w:rsid w:val="00ED754D"/>
    <w:rPr>
      <w:color w:val="605E5C"/>
      <w:shd w:val="clear" w:color="auto" w:fill="E1DFDD"/>
    </w:rPr>
  </w:style>
  <w:style w:type="paragraph" w:styleId="Header">
    <w:name w:val="header"/>
    <w:basedOn w:val="Normal"/>
    <w:link w:val="HeaderChar"/>
    <w:uiPriority w:val="99"/>
    <w:unhideWhenUsed/>
    <w:rsid w:val="00851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9D"/>
  </w:style>
  <w:style w:type="paragraph" w:styleId="Footer">
    <w:name w:val="footer"/>
    <w:basedOn w:val="Normal"/>
    <w:link w:val="FooterChar"/>
    <w:uiPriority w:val="99"/>
    <w:unhideWhenUsed/>
    <w:rsid w:val="00851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8060X.2025.v8.i10Sb.405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faostat.fao.org/site/567/default.as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rushigmatale@outlook.com</dc:creator>
  <cp:keywords/>
  <dc:description/>
  <cp:lastModifiedBy>SDI 1166</cp:lastModifiedBy>
  <cp:revision>12</cp:revision>
  <dcterms:created xsi:type="dcterms:W3CDTF">2026-03-30T09:20:00Z</dcterms:created>
  <dcterms:modified xsi:type="dcterms:W3CDTF">2026-04-07T09:42:00Z</dcterms:modified>
</cp:coreProperties>
</file>